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EA473" w14:textId="77777777" w:rsidR="00101F83" w:rsidRPr="00A11243" w:rsidRDefault="00101F83" w:rsidP="00101F83">
      <w:pPr>
        <w:pStyle w:val="Rubrik3"/>
        <w:rPr>
          <w:rFonts w:eastAsiaTheme="minorHAnsi"/>
          <w:sz w:val="27"/>
          <w:lang w:val="en-US"/>
        </w:rPr>
      </w:pPr>
      <w:r w:rsidRPr="00A11243">
        <w:rPr>
          <w:rFonts w:ascii="Arial" w:eastAsiaTheme="minorHAnsi" w:hAnsi="Arial" w:cs="Arial"/>
          <w:color w:val="000000"/>
          <w:lang w:val="en-US"/>
        </w:rPr>
        <w:t>7. What are the respondents’ views on the requirements for collection of information and documentation for the purposes of creditworthiness assessment (Section 5.1)?</w:t>
      </w:r>
    </w:p>
    <w:p w14:paraId="2F6774CB" w14:textId="77777777" w:rsidR="00101F83" w:rsidRPr="00A11243" w:rsidRDefault="00101F83" w:rsidP="00101F83">
      <w:pPr>
        <w:rPr>
          <w:lang w:val="en-US"/>
        </w:rPr>
      </w:pPr>
    </w:p>
    <w:p w14:paraId="2EF85F40" w14:textId="77777777" w:rsidR="00101F83" w:rsidRPr="00A11243" w:rsidRDefault="00101F83" w:rsidP="00101F83">
      <w:pPr>
        <w:pStyle w:val="Normalwebb"/>
        <w:spacing w:before="0" w:beforeAutospacing="0" w:after="0" w:afterAutospacing="0"/>
        <w:rPr>
          <w:lang w:val="en-US"/>
        </w:rPr>
      </w:pPr>
      <w:r w:rsidRPr="00A11243">
        <w:rPr>
          <w:rFonts w:ascii="Georgia" w:hAnsi="Georgia"/>
          <w:color w:val="000000"/>
          <w:sz w:val="21"/>
          <w:szCs w:val="21"/>
          <w:lang w:val="en-US"/>
        </w:rPr>
        <w:t xml:space="preserve">The Swedish Consumer Agency's opinion is that it is important to collect as much information from the consumer, as the primary source, as possible and </w:t>
      </w:r>
      <w:bookmarkStart w:id="0" w:name="_GoBack"/>
      <w:bookmarkEnd w:id="0"/>
      <w:r w:rsidRPr="00A11243">
        <w:rPr>
          <w:rFonts w:ascii="Georgia" w:hAnsi="Georgia"/>
          <w:color w:val="000000"/>
          <w:sz w:val="21"/>
          <w:szCs w:val="21"/>
          <w:lang w:val="en-US"/>
        </w:rPr>
        <w:t>thereafter verify it using public sources, such as institutions’ governance, credit risk policies and procedures etc.</w:t>
      </w:r>
    </w:p>
    <w:p w14:paraId="096ADA05" w14:textId="77777777" w:rsidR="00101F83" w:rsidRPr="00A11243" w:rsidRDefault="00101F83" w:rsidP="00101F83">
      <w:pPr>
        <w:rPr>
          <w:lang w:val="en-US"/>
        </w:rPr>
      </w:pPr>
    </w:p>
    <w:p w14:paraId="633A9508" w14:textId="77777777" w:rsidR="00101F83" w:rsidRPr="00A11243" w:rsidRDefault="00101F83" w:rsidP="00101F83">
      <w:pPr>
        <w:pStyle w:val="Normalwebb"/>
        <w:spacing w:before="0" w:beforeAutospacing="0" w:after="0" w:afterAutospacing="0"/>
        <w:rPr>
          <w:lang w:val="en-US"/>
        </w:rPr>
      </w:pPr>
      <w:r w:rsidRPr="00A11243">
        <w:rPr>
          <w:rFonts w:ascii="Georgia" w:hAnsi="Georgia"/>
          <w:color w:val="000000"/>
          <w:sz w:val="21"/>
          <w:szCs w:val="21"/>
          <w:lang w:val="en-US"/>
        </w:rPr>
        <w:t xml:space="preserve">In p. 83. it is stated that lenders must collect information and verify it at a </w:t>
      </w:r>
      <w:proofErr w:type="gramStart"/>
      <w:r w:rsidRPr="00A11243">
        <w:rPr>
          <w:rFonts w:ascii="Georgia" w:hAnsi="Georgia"/>
          <w:color w:val="000000"/>
          <w:sz w:val="21"/>
          <w:szCs w:val="21"/>
          <w:lang w:val="en-US"/>
        </w:rPr>
        <w:t>sufficient</w:t>
      </w:r>
      <w:proofErr w:type="gramEnd"/>
      <w:r w:rsidRPr="00A11243">
        <w:rPr>
          <w:rFonts w:ascii="Georgia" w:hAnsi="Georgia"/>
          <w:color w:val="000000"/>
          <w:sz w:val="21"/>
          <w:szCs w:val="21"/>
          <w:lang w:val="en-US"/>
        </w:rPr>
        <w:t xml:space="preserve"> level. The Swedish Consumer Agency considers that the p.83 should be clarified to include guidelines on where the information must be collected. </w:t>
      </w:r>
    </w:p>
    <w:p w14:paraId="59743BFB" w14:textId="77777777" w:rsidR="00101F83" w:rsidRPr="00A11243" w:rsidRDefault="00101F83" w:rsidP="00101F83">
      <w:pPr>
        <w:rPr>
          <w:lang w:val="en-US"/>
        </w:rPr>
      </w:pPr>
    </w:p>
    <w:p w14:paraId="5B2DF17C" w14:textId="77777777" w:rsidR="00101F83" w:rsidRPr="00A11243" w:rsidRDefault="00101F83" w:rsidP="00101F83">
      <w:pPr>
        <w:pStyle w:val="Normalwebb"/>
        <w:spacing w:before="0" w:beforeAutospacing="0" w:after="0" w:afterAutospacing="0"/>
        <w:rPr>
          <w:lang w:val="en-US"/>
        </w:rPr>
      </w:pPr>
      <w:r w:rsidRPr="00A11243">
        <w:rPr>
          <w:rFonts w:ascii="Georgia" w:hAnsi="Georgia"/>
          <w:color w:val="000000"/>
          <w:sz w:val="21"/>
          <w:szCs w:val="21"/>
          <w:lang w:val="en-US"/>
        </w:rPr>
        <w:t>The Swedish Consumer Agency's opinion is that the information should be primarily collected from the consumer and then be verified with the help of information from public sources, employers, and credit information companies as stated in p. 87.</w:t>
      </w:r>
    </w:p>
    <w:p w14:paraId="0C961211" w14:textId="77777777" w:rsidR="00101F83" w:rsidRPr="00A11243" w:rsidRDefault="00101F83" w:rsidP="00101F83">
      <w:pPr>
        <w:rPr>
          <w:lang w:val="en-US"/>
        </w:rPr>
      </w:pPr>
    </w:p>
    <w:p w14:paraId="743FDEDA" w14:textId="77777777" w:rsidR="00101F83" w:rsidRPr="00A11243" w:rsidRDefault="00101F83" w:rsidP="00101F83">
      <w:pPr>
        <w:pStyle w:val="Normalwebb"/>
        <w:spacing w:before="0" w:beforeAutospacing="0" w:after="0" w:afterAutospacing="0"/>
        <w:rPr>
          <w:lang w:val="en-US"/>
        </w:rPr>
      </w:pPr>
      <w:r w:rsidRPr="00A11243">
        <w:rPr>
          <w:rFonts w:ascii="Georgia" w:hAnsi="Georgia"/>
          <w:color w:val="000000"/>
          <w:sz w:val="21"/>
          <w:szCs w:val="21"/>
          <w:lang w:val="en-US"/>
        </w:rPr>
        <w:t>In p. 91. it is specified in more detail what information should be collected and these are further specified in Appendix 2. The Swedish Consumer Agency considers that the lender also needs to collect information about the consumer's monthly expenses or living expenses such as, cost of living, food, electricity, and childcare to be able to carry out a full credit check and calculation of the borrower's repayment capacity.</w:t>
      </w:r>
    </w:p>
    <w:p w14:paraId="515558BD" w14:textId="77777777" w:rsidR="00101F83" w:rsidRPr="00A11243" w:rsidRDefault="00101F83" w:rsidP="00101F83">
      <w:pPr>
        <w:pStyle w:val="Rubrik3"/>
        <w:rPr>
          <w:rFonts w:eastAsiaTheme="minorHAnsi"/>
          <w:lang w:val="en-US"/>
        </w:rPr>
      </w:pPr>
      <w:r w:rsidRPr="00A11243">
        <w:rPr>
          <w:rFonts w:ascii="Arial" w:eastAsiaTheme="minorHAnsi" w:hAnsi="Arial" w:cs="Arial"/>
          <w:color w:val="000000"/>
          <w:lang w:val="en-US"/>
        </w:rPr>
        <w:t>8. What are the respondents’ views on the requirements for assessment of borrower’s creditworthiness (Section 5.2)?</w:t>
      </w:r>
    </w:p>
    <w:p w14:paraId="523A3B20" w14:textId="77777777" w:rsidR="00101F83" w:rsidRPr="00A11243" w:rsidRDefault="00101F83" w:rsidP="00101F83">
      <w:pPr>
        <w:rPr>
          <w:lang w:val="en-US"/>
        </w:rPr>
      </w:pPr>
    </w:p>
    <w:p w14:paraId="1EFB2D1E" w14:textId="1DC158A9" w:rsidR="00101F83" w:rsidRPr="00A11243" w:rsidRDefault="00101F83" w:rsidP="00101F83">
      <w:pPr>
        <w:pStyle w:val="Normalwebb"/>
        <w:spacing w:before="0" w:beforeAutospacing="0" w:after="0" w:afterAutospacing="0"/>
        <w:rPr>
          <w:rFonts w:ascii="Georgia" w:hAnsi="Georgia"/>
          <w:color w:val="000000"/>
          <w:sz w:val="21"/>
          <w:szCs w:val="21"/>
          <w:lang w:val="en-US"/>
        </w:rPr>
      </w:pPr>
      <w:r w:rsidRPr="00A11243">
        <w:rPr>
          <w:rFonts w:ascii="Georgia" w:hAnsi="Georgia"/>
          <w:color w:val="000000"/>
          <w:sz w:val="21"/>
          <w:szCs w:val="21"/>
          <w:lang w:val="en-US"/>
        </w:rPr>
        <w:t>The Swedish Consumer Agency considers that the proposed guidelines “on loan origination and monitoring” are a</w:t>
      </w:r>
      <w:r w:rsidR="005C1DB6" w:rsidRPr="00A11243">
        <w:rPr>
          <w:rFonts w:ascii="Georgia" w:hAnsi="Georgia"/>
          <w:color w:val="000000"/>
          <w:sz w:val="21"/>
          <w:szCs w:val="21"/>
          <w:lang w:val="en-US"/>
        </w:rPr>
        <w:t>n</w:t>
      </w:r>
      <w:r w:rsidRPr="00A11243">
        <w:rPr>
          <w:rFonts w:ascii="Georgia" w:hAnsi="Georgia"/>
          <w:color w:val="000000"/>
          <w:sz w:val="21"/>
          <w:szCs w:val="21"/>
          <w:lang w:val="en-US"/>
        </w:rPr>
        <w:t xml:space="preserve"> important document. However, the Swedish Consumer Agency considers that creditors may find it difficult to comply with p.118. It is clear from the paragraph that the creditor should </w:t>
      </w:r>
      <w:proofErr w:type="gramStart"/>
      <w:r w:rsidRPr="00A11243">
        <w:rPr>
          <w:rFonts w:ascii="Georgia" w:hAnsi="Georgia"/>
          <w:color w:val="000000"/>
          <w:sz w:val="21"/>
          <w:szCs w:val="21"/>
          <w:lang w:val="en-US"/>
        </w:rPr>
        <w:t>take into account</w:t>
      </w:r>
      <w:proofErr w:type="gramEnd"/>
      <w:r w:rsidRPr="00A11243">
        <w:rPr>
          <w:rFonts w:ascii="Georgia" w:hAnsi="Georgia"/>
          <w:color w:val="000000"/>
          <w:sz w:val="21"/>
          <w:szCs w:val="21"/>
          <w:lang w:val="en-US"/>
        </w:rPr>
        <w:t xml:space="preserve"> factors that may affect the consumer's ability to fulfill his obligations without causing unnecessary difficulties and overwhelming debt. Among other things, these should include </w:t>
      </w:r>
      <w:r w:rsidR="005C1DB6">
        <w:rPr>
          <w:rFonts w:ascii="Georgia" w:hAnsi="Georgia"/>
          <w:color w:val="000000"/>
          <w:sz w:val="21"/>
          <w:szCs w:val="21"/>
          <w:lang w:val="en-US"/>
        </w:rPr>
        <w:t xml:space="preserve">costs of </w:t>
      </w:r>
      <w:r w:rsidRPr="00A11243">
        <w:rPr>
          <w:rFonts w:ascii="Georgia" w:hAnsi="Georgia"/>
          <w:color w:val="000000"/>
          <w:sz w:val="21"/>
          <w:szCs w:val="21"/>
          <w:lang w:val="en-US"/>
        </w:rPr>
        <w:t>living.</w:t>
      </w:r>
    </w:p>
    <w:p w14:paraId="24FEA05B" w14:textId="77777777" w:rsidR="00101F83" w:rsidRPr="00A11243" w:rsidRDefault="00101F83" w:rsidP="00101F83">
      <w:pPr>
        <w:rPr>
          <w:rFonts w:ascii="Georgia" w:hAnsi="Georgia"/>
          <w:color w:val="000000"/>
          <w:sz w:val="21"/>
          <w:szCs w:val="21"/>
          <w:lang w:val="en-US"/>
        </w:rPr>
      </w:pPr>
    </w:p>
    <w:p w14:paraId="575A8F56" w14:textId="77777777" w:rsidR="00101F83" w:rsidRPr="00A11243" w:rsidRDefault="00101F83" w:rsidP="00101F83">
      <w:pPr>
        <w:pStyle w:val="Normalwebb"/>
        <w:spacing w:before="0" w:beforeAutospacing="0" w:after="0" w:afterAutospacing="0"/>
        <w:rPr>
          <w:rFonts w:ascii="Georgia" w:hAnsi="Georgia"/>
          <w:color w:val="000000"/>
          <w:sz w:val="21"/>
          <w:szCs w:val="21"/>
          <w:lang w:val="en-US"/>
        </w:rPr>
      </w:pPr>
      <w:r w:rsidRPr="00A11243">
        <w:rPr>
          <w:rFonts w:ascii="Georgia" w:hAnsi="Georgia"/>
          <w:color w:val="000000"/>
          <w:sz w:val="21"/>
          <w:szCs w:val="21"/>
          <w:lang w:val="en-US"/>
        </w:rPr>
        <w:t>In p. 91 and annex 2, it is clear what information the creditors should be collecting to carry out a credit check. As mentioned earlier, living expenses or the consumer's monthly expenses are never mentioned. Therefore, the Consumer Agency considers that in p. 91 and annex 2, additional points should be included regarding the gathering of living costs or monthly expenses from the consumer.</w:t>
      </w:r>
    </w:p>
    <w:p w14:paraId="4839ACA2" w14:textId="77777777" w:rsidR="00101F83" w:rsidRPr="00A11243" w:rsidRDefault="00101F83" w:rsidP="00101F83">
      <w:pPr>
        <w:rPr>
          <w:rFonts w:ascii="Georgia" w:hAnsi="Georgia"/>
          <w:color w:val="000000"/>
          <w:sz w:val="21"/>
          <w:szCs w:val="21"/>
          <w:lang w:val="en-US"/>
        </w:rPr>
      </w:pPr>
    </w:p>
    <w:p w14:paraId="67A0AD3F" w14:textId="77777777" w:rsidR="00101F83" w:rsidRPr="00A11243" w:rsidRDefault="00101F83" w:rsidP="00101F83">
      <w:pPr>
        <w:pStyle w:val="Normalwebb"/>
        <w:spacing w:before="0" w:beforeAutospacing="0" w:after="0" w:afterAutospacing="0"/>
        <w:rPr>
          <w:rFonts w:ascii="Georgia" w:hAnsi="Georgia"/>
          <w:color w:val="000000"/>
          <w:sz w:val="21"/>
          <w:szCs w:val="21"/>
          <w:lang w:val="en-US"/>
        </w:rPr>
      </w:pPr>
      <w:r w:rsidRPr="00A11243">
        <w:rPr>
          <w:rFonts w:ascii="Georgia" w:hAnsi="Georgia"/>
          <w:color w:val="000000"/>
          <w:sz w:val="21"/>
          <w:szCs w:val="21"/>
          <w:lang w:val="en-US"/>
        </w:rPr>
        <w:t>Regarding p.99 referring to the credit rating assessment, the Consumer Agency considers that further calculation options may be suitable to use, such as “Left to live on” or spendable income (Income-monthly expenses-monthly debt payments). </w:t>
      </w:r>
    </w:p>
    <w:p w14:paraId="1A234765" w14:textId="77777777" w:rsidR="00101F83" w:rsidRPr="00A11243" w:rsidRDefault="00101F83" w:rsidP="00101F83">
      <w:pPr>
        <w:rPr>
          <w:rFonts w:ascii="Georgia" w:hAnsi="Georgia"/>
          <w:color w:val="000000"/>
          <w:sz w:val="21"/>
          <w:szCs w:val="21"/>
          <w:lang w:val="en-US"/>
        </w:rPr>
      </w:pPr>
    </w:p>
    <w:p w14:paraId="5676AAAF" w14:textId="77777777" w:rsidR="00101F83" w:rsidRPr="00A11243" w:rsidRDefault="00101F83" w:rsidP="00101F83">
      <w:pPr>
        <w:pStyle w:val="Normalwebb"/>
        <w:spacing w:before="0" w:beforeAutospacing="0" w:after="0" w:afterAutospacing="0"/>
        <w:rPr>
          <w:rFonts w:ascii="Georgia" w:hAnsi="Georgia"/>
          <w:color w:val="000000"/>
          <w:sz w:val="21"/>
          <w:szCs w:val="21"/>
          <w:lang w:val="en-US"/>
        </w:rPr>
      </w:pPr>
      <w:r w:rsidRPr="00A11243">
        <w:rPr>
          <w:rFonts w:ascii="Georgia" w:hAnsi="Georgia"/>
          <w:color w:val="000000"/>
          <w:sz w:val="21"/>
          <w:szCs w:val="21"/>
          <w:lang w:val="en-US"/>
        </w:rPr>
        <w:t>The calculations method “left to live on” is one of the models used by Swedish lenders when evaluating the borrower's repayment ability.</w:t>
      </w:r>
    </w:p>
    <w:p w14:paraId="217ECFDF" w14:textId="77777777" w:rsidR="00101F83" w:rsidRPr="00A11243" w:rsidRDefault="00101F83" w:rsidP="00101F83">
      <w:pPr>
        <w:rPr>
          <w:lang w:val="en-US"/>
        </w:rPr>
      </w:pPr>
    </w:p>
    <w:p w14:paraId="18F95EC1" w14:textId="77777777" w:rsidR="00894941" w:rsidRPr="00A11243" w:rsidRDefault="00894941" w:rsidP="00297A3F">
      <w:pPr>
        <w:spacing w:after="200" w:line="276" w:lineRule="auto"/>
        <w:rPr>
          <w:lang w:val="en-US"/>
        </w:rPr>
      </w:pPr>
    </w:p>
    <w:sectPr w:rsidR="00894941" w:rsidRPr="00A11243" w:rsidSect="00AB5C7C">
      <w:headerReference w:type="first" r:id="rId7"/>
      <w:pgSz w:w="11906" w:h="16838" w:code="9"/>
      <w:pgMar w:top="1560" w:right="2268" w:bottom="1418"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3AE3" w14:textId="77777777" w:rsidR="007B6B8E" w:rsidRDefault="007B6B8E" w:rsidP="009E0C09">
      <w:r>
        <w:separator/>
      </w:r>
    </w:p>
  </w:endnote>
  <w:endnote w:type="continuationSeparator" w:id="0">
    <w:p w14:paraId="7838F56C" w14:textId="77777777" w:rsidR="007B6B8E" w:rsidRDefault="007B6B8E" w:rsidP="009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A15A2" w14:textId="77777777" w:rsidR="007B6B8E" w:rsidRDefault="007B6B8E" w:rsidP="009E0C09">
      <w:r>
        <w:separator/>
      </w:r>
    </w:p>
  </w:footnote>
  <w:footnote w:type="continuationSeparator" w:id="0">
    <w:p w14:paraId="1650C914" w14:textId="77777777" w:rsidR="007B6B8E" w:rsidRDefault="007B6B8E" w:rsidP="009E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F9C4" w14:textId="77777777" w:rsidR="00894941" w:rsidRDefault="00297A3F" w:rsidP="00E6286D">
    <w:pPr>
      <w:pStyle w:val="Sidhuvud"/>
      <w:tabs>
        <w:tab w:val="clear" w:pos="4536"/>
        <w:tab w:val="clear" w:pos="9072"/>
        <w:tab w:val="right" w:pos="7371"/>
      </w:tabs>
    </w:pPr>
    <w:r>
      <w:rPr>
        <w:noProof/>
      </w:rPr>
      <w:drawing>
        <wp:anchor distT="0" distB="0" distL="114300" distR="114300" simplePos="0" relativeHeight="251658239" behindDoc="0" locked="0" layoutInCell="1" allowOverlap="1" wp14:anchorId="5DD1CCF8" wp14:editId="54B1391C">
          <wp:simplePos x="0" y="0"/>
          <wp:positionH relativeFrom="column">
            <wp:posOffset>-649184</wp:posOffset>
          </wp:positionH>
          <wp:positionV relativeFrom="paragraph">
            <wp:posOffset>87630</wp:posOffset>
          </wp:positionV>
          <wp:extent cx="1260000" cy="5374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v_logo_ppt.png"/>
                  <pic:cNvPicPr/>
                </pic:nvPicPr>
                <pic:blipFill>
                  <a:blip r:embed="rId1">
                    <a:extLst>
                      <a:ext uri="{28A0092B-C50C-407E-A947-70E740481C1C}">
                        <a14:useLocalDpi xmlns:a14="http://schemas.microsoft.com/office/drawing/2010/main" val="0"/>
                      </a:ext>
                    </a:extLst>
                  </a:blip>
                  <a:stretch>
                    <a:fillRect/>
                  </a:stretch>
                </pic:blipFill>
                <pic:spPr>
                  <a:xfrm>
                    <a:off x="0" y="0"/>
                    <a:ext cx="1260000" cy="537458"/>
                  </a:xfrm>
                  <a:prstGeom prst="rect">
                    <a:avLst/>
                  </a:prstGeom>
                </pic:spPr>
              </pic:pic>
            </a:graphicData>
          </a:graphic>
        </wp:anchor>
      </w:drawing>
    </w:r>
  </w:p>
  <w:p w14:paraId="160CBF5A" w14:textId="77777777" w:rsidR="00894941" w:rsidRDefault="00894941" w:rsidP="00E6286D">
    <w:pPr>
      <w:pStyle w:val="Sidhuvud"/>
      <w:tabs>
        <w:tab w:val="clear" w:pos="4536"/>
        <w:tab w:val="clear" w:pos="9072"/>
        <w:tab w:val="right" w:pos="7371"/>
      </w:tabs>
    </w:pPr>
  </w:p>
  <w:p w14:paraId="0215AFF3" w14:textId="77777777" w:rsidR="00894941" w:rsidRDefault="00894941" w:rsidP="00E6286D">
    <w:pPr>
      <w:pStyle w:val="Sidhuvud"/>
      <w:tabs>
        <w:tab w:val="clear" w:pos="4536"/>
        <w:tab w:val="clear" w:pos="9072"/>
        <w:tab w:val="right" w:pos="7371"/>
      </w:tabs>
    </w:pPr>
  </w:p>
  <w:p w14:paraId="150B9EFF" w14:textId="77777777" w:rsidR="00894941" w:rsidRDefault="00894941" w:rsidP="00E6286D">
    <w:pPr>
      <w:pStyle w:val="Sidhuvud"/>
      <w:tabs>
        <w:tab w:val="clear" w:pos="4536"/>
        <w:tab w:val="clear" w:pos="9072"/>
        <w:tab w:val="right" w:pos="7371"/>
      </w:tabs>
    </w:pPr>
  </w:p>
  <w:p w14:paraId="79DF6C6F" w14:textId="77777777" w:rsidR="00894941" w:rsidRDefault="00894941" w:rsidP="00E6286D">
    <w:pPr>
      <w:pStyle w:val="Sidhuvud"/>
      <w:tabs>
        <w:tab w:val="clear" w:pos="4536"/>
        <w:tab w:val="clear" w:pos="9072"/>
        <w:tab w:val="right" w:pos="7371"/>
      </w:tabs>
    </w:pPr>
  </w:p>
  <w:p w14:paraId="0B4FE054" w14:textId="77777777" w:rsidR="00894941" w:rsidRDefault="00894941" w:rsidP="00E6286D">
    <w:pPr>
      <w:pStyle w:val="Sidhuvud"/>
      <w:tabs>
        <w:tab w:val="clear" w:pos="4536"/>
        <w:tab w:val="clear" w:pos="9072"/>
        <w:tab w:val="right" w:pos="7371"/>
      </w:tabs>
    </w:pPr>
  </w:p>
  <w:p w14:paraId="125DAFB0" w14:textId="77777777" w:rsidR="00B41430" w:rsidRPr="00F4479C" w:rsidRDefault="00B41430" w:rsidP="00E6286D">
    <w:pPr>
      <w:pStyle w:val="Sidhuvud"/>
      <w:tabs>
        <w:tab w:val="clear" w:pos="4536"/>
        <w:tab w:val="clear" w:pos="9072"/>
        <w:tab w:val="right" w:pos="73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83"/>
    <w:rsid w:val="00034C9C"/>
    <w:rsid w:val="00040C4D"/>
    <w:rsid w:val="00046E53"/>
    <w:rsid w:val="00047AC6"/>
    <w:rsid w:val="00061A87"/>
    <w:rsid w:val="00062261"/>
    <w:rsid w:val="00072665"/>
    <w:rsid w:val="000A3D2B"/>
    <w:rsid w:val="000C4E3B"/>
    <w:rsid w:val="000F399C"/>
    <w:rsid w:val="00101F83"/>
    <w:rsid w:val="001B564F"/>
    <w:rsid w:val="001B5D39"/>
    <w:rsid w:val="001C2764"/>
    <w:rsid w:val="001E7A8B"/>
    <w:rsid w:val="001F0A80"/>
    <w:rsid w:val="00202554"/>
    <w:rsid w:val="00205F2C"/>
    <w:rsid w:val="00284D6F"/>
    <w:rsid w:val="00297A3F"/>
    <w:rsid w:val="00313692"/>
    <w:rsid w:val="00331797"/>
    <w:rsid w:val="00367625"/>
    <w:rsid w:val="003824C8"/>
    <w:rsid w:val="00391C1E"/>
    <w:rsid w:val="003B237C"/>
    <w:rsid w:val="003E267D"/>
    <w:rsid w:val="003E4C4A"/>
    <w:rsid w:val="003F04AE"/>
    <w:rsid w:val="003F244E"/>
    <w:rsid w:val="0041129E"/>
    <w:rsid w:val="004178E6"/>
    <w:rsid w:val="00430623"/>
    <w:rsid w:val="00434E25"/>
    <w:rsid w:val="00437E8E"/>
    <w:rsid w:val="00462259"/>
    <w:rsid w:val="004700FB"/>
    <w:rsid w:val="00474770"/>
    <w:rsid w:val="004B0B3B"/>
    <w:rsid w:val="004B75B5"/>
    <w:rsid w:val="004E47A5"/>
    <w:rsid w:val="005006EF"/>
    <w:rsid w:val="00513361"/>
    <w:rsid w:val="00527DC5"/>
    <w:rsid w:val="005333C5"/>
    <w:rsid w:val="0053702F"/>
    <w:rsid w:val="005407D8"/>
    <w:rsid w:val="005B3828"/>
    <w:rsid w:val="005B5338"/>
    <w:rsid w:val="005C1DB6"/>
    <w:rsid w:val="005D45A8"/>
    <w:rsid w:val="005F779D"/>
    <w:rsid w:val="0062719D"/>
    <w:rsid w:val="00674E4E"/>
    <w:rsid w:val="0068728C"/>
    <w:rsid w:val="006921AB"/>
    <w:rsid w:val="006C4A47"/>
    <w:rsid w:val="006F313F"/>
    <w:rsid w:val="007150D2"/>
    <w:rsid w:val="00726D8B"/>
    <w:rsid w:val="00736F25"/>
    <w:rsid w:val="007555DB"/>
    <w:rsid w:val="0075774A"/>
    <w:rsid w:val="00773B95"/>
    <w:rsid w:val="007946D1"/>
    <w:rsid w:val="007B6B8E"/>
    <w:rsid w:val="007D6899"/>
    <w:rsid w:val="007D6DCF"/>
    <w:rsid w:val="007E79C2"/>
    <w:rsid w:val="007F2172"/>
    <w:rsid w:val="007F5ECF"/>
    <w:rsid w:val="00830F51"/>
    <w:rsid w:val="00894941"/>
    <w:rsid w:val="008953D6"/>
    <w:rsid w:val="008B007B"/>
    <w:rsid w:val="008D29C3"/>
    <w:rsid w:val="008F308F"/>
    <w:rsid w:val="008F6D1D"/>
    <w:rsid w:val="00905E58"/>
    <w:rsid w:val="00915026"/>
    <w:rsid w:val="00923859"/>
    <w:rsid w:val="009322D4"/>
    <w:rsid w:val="00962FE2"/>
    <w:rsid w:val="009735B8"/>
    <w:rsid w:val="00981279"/>
    <w:rsid w:val="009A2EE6"/>
    <w:rsid w:val="009C2694"/>
    <w:rsid w:val="009C759C"/>
    <w:rsid w:val="009E0C09"/>
    <w:rsid w:val="009E6A8E"/>
    <w:rsid w:val="00A11243"/>
    <w:rsid w:val="00A1748B"/>
    <w:rsid w:val="00A17931"/>
    <w:rsid w:val="00A25583"/>
    <w:rsid w:val="00A508F0"/>
    <w:rsid w:val="00A5703C"/>
    <w:rsid w:val="00A61D87"/>
    <w:rsid w:val="00A65403"/>
    <w:rsid w:val="00A67F98"/>
    <w:rsid w:val="00AA13B0"/>
    <w:rsid w:val="00AA5F40"/>
    <w:rsid w:val="00AB5C7C"/>
    <w:rsid w:val="00AC7BE7"/>
    <w:rsid w:val="00B41430"/>
    <w:rsid w:val="00B45FE0"/>
    <w:rsid w:val="00B54D4B"/>
    <w:rsid w:val="00B554CD"/>
    <w:rsid w:val="00BB12C1"/>
    <w:rsid w:val="00BE42AC"/>
    <w:rsid w:val="00BF1FA8"/>
    <w:rsid w:val="00C03695"/>
    <w:rsid w:val="00C12C78"/>
    <w:rsid w:val="00C32F42"/>
    <w:rsid w:val="00C47DAE"/>
    <w:rsid w:val="00C51D88"/>
    <w:rsid w:val="00C72BFA"/>
    <w:rsid w:val="00C72FC7"/>
    <w:rsid w:val="00C8461D"/>
    <w:rsid w:val="00CC4086"/>
    <w:rsid w:val="00CF0FFB"/>
    <w:rsid w:val="00D37C7A"/>
    <w:rsid w:val="00D47773"/>
    <w:rsid w:val="00D821CF"/>
    <w:rsid w:val="00DA4FBE"/>
    <w:rsid w:val="00DA73D2"/>
    <w:rsid w:val="00DF5CF2"/>
    <w:rsid w:val="00E41923"/>
    <w:rsid w:val="00E47EC3"/>
    <w:rsid w:val="00E6286D"/>
    <w:rsid w:val="00E72620"/>
    <w:rsid w:val="00E74499"/>
    <w:rsid w:val="00EE768B"/>
    <w:rsid w:val="00EE7C20"/>
    <w:rsid w:val="00F03AF1"/>
    <w:rsid w:val="00F17388"/>
    <w:rsid w:val="00F50E61"/>
    <w:rsid w:val="00F5638E"/>
    <w:rsid w:val="00F82449"/>
    <w:rsid w:val="00FC6F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60DCA"/>
  <w15:docId w15:val="{A99D8CE3-0031-43D9-B198-A85E2011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F83"/>
    <w:pPr>
      <w:spacing w:after="0" w:line="240" w:lineRule="auto"/>
    </w:pPr>
    <w:rPr>
      <w:rFonts w:ascii="Calibri" w:hAnsi="Calibri" w:cs="Calibri"/>
      <w:lang w:eastAsia="sv-SE"/>
    </w:rPr>
  </w:style>
  <w:style w:type="paragraph" w:styleId="Rubrik1">
    <w:name w:val="heading 1"/>
    <w:basedOn w:val="Normal"/>
    <w:next w:val="Normal"/>
    <w:link w:val="Rubrik1Char"/>
    <w:uiPriority w:val="9"/>
    <w:qFormat/>
    <w:rsid w:val="00D821CF"/>
    <w:pPr>
      <w:keepNext/>
      <w:keepLines/>
      <w:spacing w:before="480" w:after="4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unhideWhenUsed/>
    <w:qFormat/>
    <w:rsid w:val="00D821CF"/>
    <w:pPr>
      <w:keepNext/>
      <w:keepLines/>
      <w:spacing w:before="360"/>
      <w:contextualSpacing/>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D821CF"/>
    <w:pPr>
      <w:keepNext/>
      <w:keepLines/>
      <w:spacing w:before="360"/>
      <w:contextualSpacing/>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D821CF"/>
    <w:pPr>
      <w:keepNext/>
      <w:keepLines/>
      <w:spacing w:before="360"/>
      <w:outlineLvl w:val="3"/>
    </w:pPr>
    <w:rPr>
      <w:rFonts w:ascii="Arial" w:eastAsiaTheme="majorEastAsia" w:hAnsi="Arial" w:cstheme="majorBidi"/>
      <w:bCs/>
      <w:i/>
      <w:iCs/>
    </w:rPr>
  </w:style>
  <w:style w:type="paragraph" w:styleId="Rubrik5">
    <w:name w:val="heading 5"/>
    <w:basedOn w:val="Normal"/>
    <w:next w:val="Normal"/>
    <w:link w:val="Rubrik5Char"/>
    <w:uiPriority w:val="9"/>
    <w:semiHidden/>
    <w:unhideWhenUsed/>
    <w:qFormat/>
    <w:rsid w:val="00D821CF"/>
    <w:pPr>
      <w:keepNext/>
      <w:keepLines/>
      <w:spacing w:before="200"/>
      <w:outlineLvl w:val="4"/>
    </w:pPr>
    <w:rPr>
      <w:rFonts w:asciiTheme="majorHAnsi" w:eastAsiaTheme="majorEastAsia" w:hAnsiTheme="majorHAnsi" w:cstheme="majorBidi"/>
      <w:sz w:val="24"/>
    </w:rPr>
  </w:style>
  <w:style w:type="paragraph" w:styleId="Rubrik6">
    <w:name w:val="heading 6"/>
    <w:basedOn w:val="Normal"/>
    <w:next w:val="Normal"/>
    <w:link w:val="Rubrik6Char"/>
    <w:uiPriority w:val="9"/>
    <w:semiHidden/>
    <w:unhideWhenUsed/>
    <w:qFormat/>
    <w:rsid w:val="00D821CF"/>
    <w:pPr>
      <w:keepNext/>
      <w:keepLines/>
      <w:spacing w:before="200"/>
      <w:outlineLvl w:val="5"/>
    </w:pPr>
    <w:rPr>
      <w:rFonts w:asciiTheme="majorHAnsi" w:eastAsiaTheme="majorEastAsia" w:hAnsiTheme="majorHAnsi" w:cstheme="majorBidi"/>
      <w:i/>
      <w:iCs/>
      <w:sz w:val="24"/>
    </w:rPr>
  </w:style>
  <w:style w:type="paragraph" w:styleId="Rubrik7">
    <w:name w:val="heading 7"/>
    <w:basedOn w:val="Normal"/>
    <w:next w:val="Normal"/>
    <w:link w:val="Rubrik7Char"/>
    <w:uiPriority w:val="9"/>
    <w:semiHidden/>
    <w:unhideWhenUsed/>
    <w:qFormat/>
    <w:rsid w:val="00D821CF"/>
    <w:pPr>
      <w:keepNext/>
      <w:keepLines/>
      <w:spacing w:before="200"/>
      <w:outlineLvl w:val="6"/>
    </w:pPr>
    <w:rPr>
      <w:rFonts w:asciiTheme="majorHAnsi" w:eastAsiaTheme="majorEastAsia" w:hAnsiTheme="majorHAnsi" w:cstheme="majorBidi"/>
      <w:i/>
      <w:iCs/>
      <w:color w:val="404040" w:themeColor="text1" w:themeTint="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821CF"/>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D821CF"/>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sid w:val="00D821CF"/>
    <w:rPr>
      <w:rFonts w:asciiTheme="majorHAnsi" w:eastAsiaTheme="majorEastAsia" w:hAnsiTheme="majorHAnsi" w:cstheme="majorBidi"/>
      <w:b/>
      <w:bCs/>
    </w:rPr>
  </w:style>
  <w:style w:type="paragraph" w:styleId="Rubrik">
    <w:name w:val="Title"/>
    <w:basedOn w:val="Normal"/>
    <w:next w:val="Normal"/>
    <w:link w:val="RubrikChar"/>
    <w:uiPriority w:val="10"/>
    <w:qFormat/>
    <w:rsid w:val="00D821CF"/>
    <w:rPr>
      <w:rFonts w:asciiTheme="majorHAnsi" w:hAnsiTheme="majorHAnsi" w:cstheme="majorHAnsi"/>
      <w:b/>
      <w:sz w:val="32"/>
    </w:rPr>
  </w:style>
  <w:style w:type="character" w:customStyle="1" w:styleId="RubrikChar">
    <w:name w:val="Rubrik Char"/>
    <w:basedOn w:val="Standardstycketeckensnitt"/>
    <w:link w:val="Rubrik"/>
    <w:uiPriority w:val="10"/>
    <w:rsid w:val="00D821CF"/>
    <w:rPr>
      <w:rFonts w:asciiTheme="majorHAnsi" w:hAnsiTheme="majorHAnsi" w:cstheme="majorHAnsi"/>
      <w:b/>
      <w:sz w:val="32"/>
    </w:rPr>
  </w:style>
  <w:style w:type="character" w:customStyle="1" w:styleId="Rubrik4Char">
    <w:name w:val="Rubrik 4 Char"/>
    <w:basedOn w:val="Standardstycketeckensnitt"/>
    <w:link w:val="Rubrik4"/>
    <w:uiPriority w:val="9"/>
    <w:semiHidden/>
    <w:rsid w:val="00D821CF"/>
    <w:rPr>
      <w:rFonts w:ascii="Arial" w:eastAsiaTheme="majorEastAsia" w:hAnsi="Arial" w:cstheme="majorBidi"/>
      <w:bCs/>
      <w:i/>
      <w:iCs/>
    </w:rPr>
  </w:style>
  <w:style w:type="character" w:customStyle="1" w:styleId="Rubrik5Char">
    <w:name w:val="Rubrik 5 Char"/>
    <w:basedOn w:val="Standardstycketeckensnitt"/>
    <w:link w:val="Rubrik5"/>
    <w:uiPriority w:val="9"/>
    <w:semiHidden/>
    <w:rsid w:val="00D821CF"/>
    <w:rPr>
      <w:rFonts w:asciiTheme="majorHAnsi" w:eastAsiaTheme="majorEastAsia" w:hAnsiTheme="majorHAnsi" w:cstheme="majorBidi"/>
      <w:sz w:val="24"/>
    </w:rPr>
  </w:style>
  <w:style w:type="character" w:customStyle="1" w:styleId="Rubrik6Char">
    <w:name w:val="Rubrik 6 Char"/>
    <w:basedOn w:val="Standardstycketeckensnitt"/>
    <w:link w:val="Rubrik6"/>
    <w:uiPriority w:val="9"/>
    <w:semiHidden/>
    <w:rsid w:val="00D821CF"/>
    <w:rPr>
      <w:rFonts w:asciiTheme="majorHAnsi" w:eastAsiaTheme="majorEastAsia" w:hAnsiTheme="majorHAnsi" w:cstheme="majorBidi"/>
      <w:i/>
      <w:iCs/>
      <w:sz w:val="24"/>
    </w:rPr>
  </w:style>
  <w:style w:type="character" w:customStyle="1" w:styleId="Rubrik7Char">
    <w:name w:val="Rubrik 7 Char"/>
    <w:basedOn w:val="Standardstycketeckensnitt"/>
    <w:link w:val="Rubrik7"/>
    <w:uiPriority w:val="9"/>
    <w:semiHidden/>
    <w:rsid w:val="00D821CF"/>
    <w:rPr>
      <w:rFonts w:asciiTheme="majorHAnsi" w:eastAsiaTheme="majorEastAsia" w:hAnsiTheme="majorHAnsi" w:cstheme="majorBidi"/>
      <w:i/>
      <w:iCs/>
      <w:color w:val="404040" w:themeColor="text1" w:themeTint="BF"/>
      <w:sz w:val="24"/>
    </w:rPr>
  </w:style>
  <w:style w:type="table" w:styleId="Tabellrutnt">
    <w:name w:val="Table Grid"/>
    <w:basedOn w:val="Normaltabell"/>
    <w:uiPriority w:val="59"/>
    <w:rsid w:val="005B5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uiPriority w:val="99"/>
    <w:unhideWhenUsed/>
    <w:rsid w:val="005B5338"/>
    <w:pPr>
      <w:tabs>
        <w:tab w:val="center" w:pos="4536"/>
        <w:tab w:val="right" w:pos="9072"/>
      </w:tabs>
    </w:pPr>
  </w:style>
  <w:style w:type="character" w:customStyle="1" w:styleId="SidhuvudChar">
    <w:name w:val="Sidhuvud Char"/>
    <w:basedOn w:val="Standardstycketeckensnitt"/>
    <w:link w:val="Sidhuvud"/>
    <w:uiPriority w:val="99"/>
    <w:rsid w:val="005B5338"/>
    <w:rPr>
      <w:rFonts w:ascii="Times New Roman" w:hAnsi="Times New Roman"/>
      <w:sz w:val="24"/>
    </w:rPr>
  </w:style>
  <w:style w:type="paragraph" w:styleId="Sidfot">
    <w:name w:val="footer"/>
    <w:basedOn w:val="Normal"/>
    <w:link w:val="SidfotChar"/>
    <w:uiPriority w:val="99"/>
    <w:unhideWhenUsed/>
    <w:rsid w:val="005B5338"/>
    <w:pPr>
      <w:tabs>
        <w:tab w:val="center" w:pos="4536"/>
        <w:tab w:val="right" w:pos="9072"/>
      </w:tabs>
    </w:pPr>
  </w:style>
  <w:style w:type="character" w:customStyle="1" w:styleId="SidfotChar">
    <w:name w:val="Sidfot Char"/>
    <w:basedOn w:val="Standardstycketeckensnitt"/>
    <w:link w:val="Sidfot"/>
    <w:uiPriority w:val="99"/>
    <w:rsid w:val="005B5338"/>
    <w:rPr>
      <w:rFonts w:ascii="Times New Roman" w:hAnsi="Times New Roman"/>
      <w:sz w:val="24"/>
    </w:rPr>
  </w:style>
  <w:style w:type="paragraph" w:customStyle="1" w:styleId="Adressupg">
    <w:name w:val="Adressupg"/>
    <w:basedOn w:val="Normal"/>
    <w:rsid w:val="005B5338"/>
    <w:rPr>
      <w:rFonts w:ascii="Arial" w:eastAsia="Times New Roman" w:hAnsi="Arial" w:cs="Times New Roman"/>
      <w:color w:val="000000"/>
      <w:sz w:val="12"/>
      <w:szCs w:val="20"/>
    </w:rPr>
  </w:style>
  <w:style w:type="character" w:styleId="Platshllartext">
    <w:name w:val="Placeholder Text"/>
    <w:basedOn w:val="Standardstycketeckensnitt"/>
    <w:uiPriority w:val="99"/>
    <w:semiHidden/>
    <w:rsid w:val="00331797"/>
    <w:rPr>
      <w:color w:val="808080"/>
    </w:rPr>
  </w:style>
  <w:style w:type="paragraph" w:styleId="Ballongtext">
    <w:name w:val="Balloon Text"/>
    <w:basedOn w:val="Normal"/>
    <w:link w:val="BallongtextChar"/>
    <w:uiPriority w:val="99"/>
    <w:semiHidden/>
    <w:unhideWhenUsed/>
    <w:rsid w:val="00F50E61"/>
    <w:rPr>
      <w:rFonts w:ascii="Tahoma" w:hAnsi="Tahoma" w:cs="Tahoma"/>
      <w:sz w:val="16"/>
      <w:szCs w:val="16"/>
    </w:rPr>
  </w:style>
  <w:style w:type="character" w:customStyle="1" w:styleId="BallongtextChar">
    <w:name w:val="Ballongtext Char"/>
    <w:basedOn w:val="Standardstycketeckensnitt"/>
    <w:link w:val="Ballongtext"/>
    <w:uiPriority w:val="99"/>
    <w:semiHidden/>
    <w:rsid w:val="00F50E61"/>
    <w:rPr>
      <w:rFonts w:ascii="Tahoma" w:hAnsi="Tahoma" w:cs="Tahoma"/>
      <w:sz w:val="16"/>
      <w:szCs w:val="16"/>
    </w:rPr>
  </w:style>
  <w:style w:type="table" w:customStyle="1" w:styleId="KVbl">
    <w:name w:val="KV blå"/>
    <w:basedOn w:val="Normaltabell"/>
    <w:uiPriority w:val="99"/>
    <w:rsid w:val="00D821CF"/>
    <w:pPr>
      <w:spacing w:before="40" w:after="40" w:line="240" w:lineRule="auto"/>
    </w:pPr>
    <w:rPr>
      <w:rFonts w:ascii="Arial" w:hAnsi="Arial"/>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pPr>
        <w:jc w:val="left"/>
      </w:pPr>
      <w:rPr>
        <w:rFonts w:ascii="Arial" w:hAnsi="Arial" w:cs="Arial" w:hint="default"/>
        <w:b/>
        <w:bCs/>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5C79BB"/>
        <w:vAlign w:val="top"/>
      </w:tcPr>
    </w:tblStylePr>
    <w:tblStylePr w:type="lastRow">
      <w:rPr>
        <w:b/>
        <w:bCs/>
      </w:rPr>
      <w:tblPr/>
      <w:tcPr>
        <w:tcBorders>
          <w:top w:val="double" w:sz="4" w:space="0" w:color="000000"/>
        </w:tcBorders>
      </w:tcPr>
    </w:tblStylePr>
    <w:tblStylePr w:type="firstCol">
      <w:rPr>
        <w:b w:val="0"/>
        <w:bCs/>
      </w:rPr>
    </w:tblStylePr>
    <w:tblStylePr w:type="lastCol">
      <w:rPr>
        <w:b/>
        <w:bCs/>
      </w:rPr>
    </w:tblStylePr>
    <w:tblStylePr w:type="band1Vert">
      <w:tblPr/>
      <w:tcPr>
        <w:shd w:val="clear" w:color="auto" w:fill="CCCCCC"/>
      </w:tcPr>
    </w:tblStylePr>
    <w:tblStylePr w:type="band1Horz">
      <w:tblPr/>
      <w:tcPr>
        <w:shd w:val="clear" w:color="auto" w:fill="BDC9E3"/>
      </w:tcPr>
    </w:tblStylePr>
  </w:style>
  <w:style w:type="paragraph" w:styleId="Normalwebb">
    <w:name w:val="Normal (Web)"/>
    <w:basedOn w:val="Normal"/>
    <w:uiPriority w:val="99"/>
    <w:semiHidden/>
    <w:unhideWhenUsed/>
    <w:rsid w:val="00101F83"/>
    <w:pPr>
      <w:spacing w:before="100" w:beforeAutospacing="1" w:after="100" w:afterAutospacing="1"/>
    </w:pPr>
  </w:style>
  <w:style w:type="character" w:styleId="Kommentarsreferens">
    <w:name w:val="annotation reference"/>
    <w:basedOn w:val="Standardstycketeckensnitt"/>
    <w:uiPriority w:val="99"/>
    <w:semiHidden/>
    <w:unhideWhenUsed/>
    <w:rsid w:val="005C1DB6"/>
    <w:rPr>
      <w:sz w:val="16"/>
      <w:szCs w:val="16"/>
    </w:rPr>
  </w:style>
  <w:style w:type="paragraph" w:styleId="Kommentarer">
    <w:name w:val="annotation text"/>
    <w:basedOn w:val="Normal"/>
    <w:link w:val="KommentarerChar"/>
    <w:uiPriority w:val="99"/>
    <w:semiHidden/>
    <w:unhideWhenUsed/>
    <w:rsid w:val="005C1DB6"/>
    <w:rPr>
      <w:sz w:val="20"/>
      <w:szCs w:val="20"/>
    </w:rPr>
  </w:style>
  <w:style w:type="character" w:customStyle="1" w:styleId="KommentarerChar">
    <w:name w:val="Kommentarer Char"/>
    <w:basedOn w:val="Standardstycketeckensnitt"/>
    <w:link w:val="Kommentarer"/>
    <w:uiPriority w:val="99"/>
    <w:semiHidden/>
    <w:rsid w:val="005C1DB6"/>
    <w:rPr>
      <w:rFonts w:ascii="Calibri" w:hAnsi="Calibri" w:cs="Calibri"/>
      <w:sz w:val="20"/>
      <w:szCs w:val="20"/>
      <w:lang w:eastAsia="sv-SE"/>
    </w:rPr>
  </w:style>
  <w:style w:type="paragraph" w:styleId="Kommentarsmne">
    <w:name w:val="annotation subject"/>
    <w:basedOn w:val="Kommentarer"/>
    <w:next w:val="Kommentarer"/>
    <w:link w:val="KommentarsmneChar"/>
    <w:uiPriority w:val="99"/>
    <w:semiHidden/>
    <w:unhideWhenUsed/>
    <w:rsid w:val="005C1DB6"/>
    <w:rPr>
      <w:b/>
      <w:bCs/>
    </w:rPr>
  </w:style>
  <w:style w:type="character" w:customStyle="1" w:styleId="KommentarsmneChar">
    <w:name w:val="Kommentarsämne Char"/>
    <w:basedOn w:val="KommentarerChar"/>
    <w:link w:val="Kommentarsmne"/>
    <w:uiPriority w:val="99"/>
    <w:semiHidden/>
    <w:rsid w:val="005C1DB6"/>
    <w:rPr>
      <w:rFonts w:ascii="Calibri" w:hAnsi="Calibri" w:cs="Calibri"/>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Hult\AppData\Roaming\Microsoft\Templates\Endast%20logotyp.dotx" TargetMode="External"/></Relationships>
</file>

<file path=word/theme/theme1.xml><?xml version="1.0" encoding="utf-8"?>
<a:theme xmlns:a="http://schemas.openxmlformats.org/drawingml/2006/main" name="KOV Word ny">
  <a:themeElements>
    <a:clrScheme name="KOV ny dec">
      <a:dk1>
        <a:srgbClr val="000000"/>
      </a:dk1>
      <a:lt1>
        <a:sysClr val="window" lastClr="FFFFFF"/>
      </a:lt1>
      <a:dk2>
        <a:srgbClr val="92D2F4"/>
      </a:dk2>
      <a:lt2>
        <a:srgbClr val="FFFFFF"/>
      </a:lt2>
      <a:accent1>
        <a:srgbClr val="0074CC"/>
      </a:accent1>
      <a:accent2>
        <a:srgbClr val="162259"/>
      </a:accent2>
      <a:accent3>
        <a:srgbClr val="76B82A"/>
      </a:accent3>
      <a:accent4>
        <a:srgbClr val="B50156"/>
      </a:accent4>
      <a:accent5>
        <a:srgbClr val="F59C00"/>
      </a:accent5>
      <a:accent6>
        <a:srgbClr val="83726E"/>
      </a:accent6>
      <a:hlink>
        <a:srgbClr val="4967AA"/>
      </a:hlink>
      <a:folHlink>
        <a:srgbClr val="8A5566"/>
      </a:folHlink>
    </a:clrScheme>
    <a:fontScheme name="KOV 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KOV ny" id="{94A09248-AAAA-48B0-B5C0-BAE04225FC03}" vid="{003260A8-C0AC-4B11-BEE2-4C931DDB53B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D8522-807C-4C79-B71B-B7395C19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Endast logotyp</Template>
  <TotalTime>45</TotalTime>
  <Pages>2</Pages>
  <Words>436</Words>
  <Characters>2311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Hult</dc:creator>
  <cp:lastModifiedBy>Anna Hult</cp:lastModifiedBy>
  <cp:revision>3</cp:revision>
  <dcterms:created xsi:type="dcterms:W3CDTF">2019-09-30T10:16:00Z</dcterms:created>
  <dcterms:modified xsi:type="dcterms:W3CDTF">2019-09-30T10:18:00Z</dcterms:modified>
</cp:coreProperties>
</file>