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3CA" w14:textId="67951F91" w:rsidR="00943C1C" w:rsidRPr="00A40E95" w:rsidRDefault="00A40E95" w:rsidP="00A40E95">
      <w:pPr>
        <w:pStyle w:val="Annexetitre"/>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bookmarkStart w:id="10" w:name="_GoBack"/>
      <w:bookmarkEnd w:id="10"/>
      <w:r>
        <w:t xml:space="preserve">ANNEX </w:t>
      </w:r>
      <w:r w:rsidR="00C37A3E">
        <w:t>XXIV</w:t>
      </w:r>
      <w:r>
        <w:t xml:space="preserve"> - </w:t>
      </w:r>
      <w:r w:rsidRPr="003B6A5A">
        <w:t xml:space="preserve">Disclosure of </w:t>
      </w:r>
      <w:r w:rsidRPr="00EB5D28">
        <w:t>specialised lending</w:t>
      </w:r>
      <w:r>
        <w:t xml:space="preserve"> and equity exposures u</w:t>
      </w:r>
      <w:r w:rsidRPr="00EB5D28">
        <w:t>nder the simple risk weight approach</w:t>
      </w:r>
    </w:p>
    <w:p w14:paraId="34D4DB6D" w14:textId="77777777" w:rsidR="00192421" w:rsidRPr="00203DC6" w:rsidRDefault="00192421" w:rsidP="003D3350">
      <w:pPr>
        <w:rPr>
          <w:rFonts w:ascii="Times New Roman" w:hAnsi="Times New Roman" w:cs="Times New Roman"/>
          <w:noProof/>
          <w:sz w:val="24"/>
        </w:rPr>
      </w:pPr>
    </w:p>
    <w:p w14:paraId="64F2C5C7" w14:textId="0856B28C" w:rsidR="00DE5C30" w:rsidRPr="0040650B" w:rsidRDefault="004E5C74" w:rsidP="0040650B">
      <w:pPr>
        <w:spacing w:before="120" w:after="120"/>
        <w:ind w:left="3"/>
        <w:rPr>
          <w:rFonts w:ascii="Times New Roman" w:hAnsi="Times New Roman"/>
          <w:sz w:val="24"/>
        </w:rPr>
      </w:pPr>
      <w:r w:rsidRPr="0040650B">
        <w:rPr>
          <w:rFonts w:ascii="Times New Roman" w:hAnsi="Times New Roman"/>
          <w:b/>
          <w:noProof/>
          <w:sz w:val="24"/>
        </w:rPr>
        <w:t>Template EU CR10</w:t>
      </w:r>
      <w:r w:rsidR="00DE5C30" w:rsidRPr="0040650B">
        <w:rPr>
          <w:rFonts w:ascii="Times New Roman" w:hAnsi="Times New Roman"/>
          <w:b/>
          <w:noProof/>
          <w:sz w:val="24"/>
        </w:rPr>
        <w:t xml:space="preserve"> – </w:t>
      </w:r>
      <w:r w:rsidR="003D3350" w:rsidRPr="0040650B">
        <w:rPr>
          <w:rFonts w:ascii="Times New Roman" w:hAnsi="Times New Roman"/>
          <w:b/>
          <w:noProof/>
          <w:sz w:val="24"/>
        </w:rPr>
        <w:t>Specialised lending and equit</w:t>
      </w:r>
      <w:r w:rsidR="00C8011D" w:rsidRPr="0040650B">
        <w:rPr>
          <w:rFonts w:ascii="Times New Roman" w:hAnsi="Times New Roman"/>
          <w:b/>
          <w:noProof/>
          <w:sz w:val="24"/>
        </w:rPr>
        <w:t>y exposures</w:t>
      </w:r>
      <w:r w:rsidR="003D3350" w:rsidRPr="0040650B">
        <w:rPr>
          <w:rFonts w:ascii="Times New Roman" w:hAnsi="Times New Roman"/>
          <w:b/>
          <w:noProof/>
          <w:sz w:val="24"/>
        </w:rPr>
        <w:t xml:space="preserve"> under the simple risk</w:t>
      </w:r>
      <w:r w:rsidR="00E3266A" w:rsidRPr="0040650B">
        <w:rPr>
          <w:rFonts w:ascii="Times New Roman" w:hAnsi="Times New Roman"/>
          <w:b/>
          <w:noProof/>
          <w:sz w:val="24"/>
        </w:rPr>
        <w:t>-</w:t>
      </w:r>
      <w:r w:rsidR="003D3350" w:rsidRPr="0040650B">
        <w:rPr>
          <w:rFonts w:ascii="Times New Roman" w:hAnsi="Times New Roman"/>
          <w:b/>
          <w:noProof/>
          <w:sz w:val="24"/>
        </w:rPr>
        <w:t>weighted approach</w:t>
      </w:r>
      <w:r w:rsidR="0080027F" w:rsidRPr="0040650B">
        <w:rPr>
          <w:rFonts w:ascii="Times New Roman" w:hAnsi="Times New Roman"/>
          <w:b/>
          <w:noProof/>
          <w:sz w:val="24"/>
        </w:rPr>
        <w:t>.</w:t>
      </w:r>
      <w:r w:rsidR="0080027F" w:rsidRPr="0040650B">
        <w:rPr>
          <w:rFonts w:ascii="Times New Roman" w:hAnsi="Times New Roman"/>
          <w:noProof/>
          <w:sz w:val="24"/>
        </w:rPr>
        <w:t xml:space="preserve"> Fixed template.</w:t>
      </w:r>
    </w:p>
    <w:p w14:paraId="7DB897DF" w14:textId="087E4B19" w:rsidR="00517915" w:rsidRPr="00EC5D8B" w:rsidRDefault="0095046E" w:rsidP="00EC5D8B">
      <w:pPr>
        <w:pStyle w:val="ListParagraph"/>
        <w:numPr>
          <w:ilvl w:val="0"/>
          <w:numId w:val="55"/>
        </w:numPr>
        <w:spacing w:before="120" w:after="120"/>
        <w:ind w:hanging="357"/>
        <w:rPr>
          <w:rFonts w:ascii="Times New Roman" w:hAnsi="Times New Roman"/>
          <w:noProof/>
          <w:sz w:val="24"/>
        </w:rPr>
      </w:pPr>
      <w:r w:rsidRPr="00EC5D8B">
        <w:rPr>
          <w:rFonts w:ascii="Times New Roman" w:hAnsi="Times New Roman"/>
          <w:noProof/>
          <w:sz w:val="24"/>
        </w:rPr>
        <w:t xml:space="preserve">Institutions shall </w:t>
      </w:r>
      <w:r w:rsidR="00A40E95" w:rsidRPr="00EC5D8B">
        <w:rPr>
          <w:rFonts w:ascii="Times New Roman" w:hAnsi="Times New Roman"/>
          <w:noProof/>
          <w:sz w:val="24"/>
        </w:rPr>
        <w:t>apply the instructions provided below in this Annex in order to complete temp</w:t>
      </w:r>
      <w:r w:rsidR="004E5C74" w:rsidRPr="00EC5D8B">
        <w:rPr>
          <w:rFonts w:ascii="Times New Roman" w:hAnsi="Times New Roman"/>
          <w:noProof/>
          <w:sz w:val="24"/>
        </w:rPr>
        <w:t>l</w:t>
      </w:r>
      <w:r w:rsidR="00A40E95" w:rsidRPr="00EC5D8B">
        <w:rPr>
          <w:rFonts w:ascii="Times New Roman" w:hAnsi="Times New Roman"/>
          <w:noProof/>
          <w:sz w:val="24"/>
        </w:rPr>
        <w:t>ate</w:t>
      </w:r>
      <w:r w:rsidR="00835DE2" w:rsidRPr="00EC5D8B">
        <w:rPr>
          <w:rFonts w:ascii="Times New Roman" w:hAnsi="Times New Roman"/>
          <w:noProof/>
          <w:sz w:val="24"/>
        </w:rPr>
        <w:t>s EU CR10</w:t>
      </w:r>
      <w:r w:rsidR="00A40E95" w:rsidRPr="00EC5D8B">
        <w:rPr>
          <w:rFonts w:ascii="Times New Roman" w:hAnsi="Times New Roman"/>
          <w:noProof/>
          <w:sz w:val="24"/>
        </w:rPr>
        <w:t xml:space="preserve"> as presented in Annex </w:t>
      </w:r>
      <w:r w:rsidR="00C37A3E">
        <w:rPr>
          <w:rFonts w:ascii="Times New Roman" w:hAnsi="Times New Roman"/>
          <w:noProof/>
          <w:sz w:val="24"/>
        </w:rPr>
        <w:t>XXIII</w:t>
      </w:r>
      <w:r w:rsidR="00586A7A">
        <w:rPr>
          <w:rFonts w:ascii="Times New Roman" w:hAnsi="Times New Roman"/>
          <w:noProof/>
          <w:sz w:val="24"/>
        </w:rPr>
        <w:t xml:space="preserve"> to this Implementing Regulation</w:t>
      </w:r>
      <w:r w:rsidR="00A40E95" w:rsidRPr="00EC5D8B">
        <w:rPr>
          <w:rFonts w:ascii="Times New Roman" w:hAnsi="Times New Roman"/>
          <w:noProof/>
          <w:sz w:val="24"/>
        </w:rPr>
        <w:t>,</w:t>
      </w:r>
      <w:r w:rsidRPr="00EC5D8B">
        <w:rPr>
          <w:rFonts w:ascii="Times New Roman" w:hAnsi="Times New Roman"/>
          <w:noProof/>
          <w:sz w:val="24"/>
        </w:rPr>
        <w:t xml:space="preserve"> in application </w:t>
      </w:r>
      <w:r w:rsidR="00E3266A" w:rsidRPr="00EC5D8B">
        <w:rPr>
          <w:rFonts w:ascii="Times New Roman" w:hAnsi="Times New Roman"/>
          <w:noProof/>
          <w:sz w:val="24"/>
        </w:rPr>
        <w:t xml:space="preserve">of </w:t>
      </w:r>
      <w:r w:rsidR="00C404C1">
        <w:rPr>
          <w:rFonts w:ascii="Times New Roman" w:hAnsi="Times New Roman"/>
          <w:noProof/>
          <w:sz w:val="24"/>
        </w:rPr>
        <w:t xml:space="preserve">point (e) of </w:t>
      </w:r>
      <w:r w:rsidRPr="00EC5D8B">
        <w:rPr>
          <w:rFonts w:ascii="Times New Roman" w:hAnsi="Times New Roman"/>
          <w:noProof/>
          <w:sz w:val="24"/>
        </w:rPr>
        <w:t>Article 438</w:t>
      </w:r>
      <w:r w:rsidR="00DA707E" w:rsidRPr="00EC5D8B">
        <w:rPr>
          <w:rFonts w:ascii="Times New Roman" w:hAnsi="Times New Roman"/>
          <w:noProof/>
          <w:sz w:val="24"/>
        </w:rPr>
        <w:t xml:space="preserve"> of </w:t>
      </w:r>
      <w:r w:rsidR="00586A7A" w:rsidRPr="00ED299C">
        <w:rPr>
          <w:rFonts w:ascii="Times New Roman" w:hAnsi="Times New Roman"/>
          <w:sz w:val="24"/>
        </w:rPr>
        <w:t>Regulation (EU) 575/2013</w:t>
      </w:r>
      <w:r w:rsidR="00586A7A">
        <w:rPr>
          <w:rStyle w:val="FootnoteReference"/>
        </w:rPr>
        <w:footnoteReference w:id="2"/>
      </w:r>
      <w:r w:rsidR="00586A7A" w:rsidRPr="00ED299C">
        <w:rPr>
          <w:rFonts w:ascii="Times New Roman" w:hAnsi="Times New Roman"/>
          <w:sz w:val="24"/>
        </w:rPr>
        <w:t xml:space="preserve"> (</w:t>
      </w:r>
      <w:r w:rsidR="00586A7A">
        <w:rPr>
          <w:rFonts w:ascii="Times New Roman" w:hAnsi="Times New Roman"/>
          <w:sz w:val="24"/>
        </w:rPr>
        <w:t>“</w:t>
      </w:r>
      <w:r w:rsidR="00586A7A" w:rsidRPr="00ED299C">
        <w:rPr>
          <w:rFonts w:ascii="Times New Roman" w:hAnsi="Times New Roman"/>
          <w:sz w:val="24"/>
        </w:rPr>
        <w:t>CRR</w:t>
      </w:r>
      <w:r w:rsidR="00586A7A">
        <w:rPr>
          <w:rFonts w:ascii="Times New Roman" w:hAnsi="Times New Roman"/>
          <w:noProof/>
          <w:sz w:val="24"/>
        </w:rPr>
        <w:t>”)</w:t>
      </w:r>
      <w:r w:rsidR="00447FA7" w:rsidRPr="00EC5D8B">
        <w:rPr>
          <w:rFonts w:ascii="Times New Roman" w:hAnsi="Times New Roman"/>
          <w:noProof/>
          <w:sz w:val="24"/>
        </w:rPr>
        <w:t>.</w:t>
      </w:r>
      <w:r w:rsidR="00AB5E47" w:rsidRPr="00EC5D8B">
        <w:rPr>
          <w:rFonts w:ascii="Times New Roman" w:hAnsi="Times New Roman"/>
          <w:noProof/>
          <w:sz w:val="24"/>
        </w:rPr>
        <w:t xml:space="preserve"> Institutions shall dis</w:t>
      </w:r>
      <w:r w:rsidR="00517915" w:rsidRPr="00EC5D8B">
        <w:rPr>
          <w:rFonts w:ascii="Times New Roman" w:hAnsi="Times New Roman"/>
          <w:noProof/>
          <w:sz w:val="24"/>
        </w:rPr>
        <w:t>c</w:t>
      </w:r>
      <w:r w:rsidR="00AB5E47" w:rsidRPr="00EC5D8B">
        <w:rPr>
          <w:rFonts w:ascii="Times New Roman" w:hAnsi="Times New Roman"/>
          <w:noProof/>
          <w:sz w:val="24"/>
        </w:rPr>
        <w:t>lo</w:t>
      </w:r>
      <w:r w:rsidR="00517915" w:rsidRPr="00EC5D8B">
        <w:rPr>
          <w:rFonts w:ascii="Times New Roman" w:hAnsi="Times New Roman"/>
          <w:noProof/>
          <w:sz w:val="24"/>
        </w:rPr>
        <w:t>s</w:t>
      </w:r>
      <w:r w:rsidR="00AB5E47" w:rsidRPr="00EC5D8B">
        <w:rPr>
          <w:rFonts w:ascii="Times New Roman" w:hAnsi="Times New Roman"/>
          <w:noProof/>
          <w:sz w:val="24"/>
        </w:rPr>
        <w:t>e</w:t>
      </w:r>
      <w:r w:rsidR="00517915" w:rsidRPr="00EC5D8B">
        <w:rPr>
          <w:rFonts w:ascii="Times New Roman" w:hAnsi="Times New Roman"/>
          <w:noProof/>
          <w:sz w:val="24"/>
        </w:rPr>
        <w:t xml:space="preserve"> </w:t>
      </w:r>
    </w:p>
    <w:p w14:paraId="4B894C19" w14:textId="7744D07D" w:rsidR="0095046E" w:rsidRPr="00203DC6" w:rsidRDefault="00517915" w:rsidP="00CF5B4A">
      <w:pPr>
        <w:pStyle w:val="ListParagraph"/>
        <w:numPr>
          <w:ilvl w:val="1"/>
          <w:numId w:val="55"/>
        </w:numPr>
        <w:spacing w:before="120" w:after="120"/>
        <w:rPr>
          <w:rFonts w:ascii="Times New Roman" w:hAnsi="Times New Roman"/>
          <w:noProof/>
          <w:sz w:val="24"/>
          <w:szCs w:val="24"/>
        </w:rPr>
      </w:pPr>
      <w:r w:rsidRPr="00203DC6">
        <w:rPr>
          <w:rFonts w:ascii="Times New Roman" w:hAnsi="Times New Roman"/>
          <w:noProof/>
          <w:sz w:val="24"/>
          <w:szCs w:val="24"/>
        </w:rPr>
        <w:t>information on the following types of specialised lending exposures</w:t>
      </w:r>
      <w:r w:rsidR="00CF5B4A">
        <w:rPr>
          <w:rFonts w:ascii="Times New Roman" w:hAnsi="Times New Roman"/>
          <w:noProof/>
          <w:sz w:val="24"/>
          <w:szCs w:val="24"/>
        </w:rPr>
        <w:t xml:space="preserve"> </w:t>
      </w:r>
      <w:r w:rsidR="00CF5B4A">
        <w:t>referred</w:t>
      </w:r>
      <w:r w:rsidR="00CF5B4A">
        <w:rPr>
          <w:rFonts w:ascii="Times New Roman" w:hAnsi="Times New Roman"/>
          <w:noProof/>
          <w:sz w:val="24"/>
          <w:szCs w:val="24"/>
        </w:rPr>
        <w:t xml:space="preserve"> </w:t>
      </w:r>
      <w:r w:rsidR="00CF5B4A" w:rsidRPr="00CF5B4A">
        <w:rPr>
          <w:rFonts w:ascii="Times New Roman" w:hAnsi="Times New Roman"/>
          <w:noProof/>
          <w:sz w:val="24"/>
          <w:szCs w:val="24"/>
        </w:rPr>
        <w:t>to in Table 1 of Article 153(5)</w:t>
      </w:r>
      <w:r w:rsidR="00AB5E47" w:rsidRPr="00203DC6">
        <w:rPr>
          <w:rFonts w:ascii="Times New Roman" w:hAnsi="Times New Roman"/>
          <w:noProof/>
          <w:sz w:val="24"/>
          <w:szCs w:val="24"/>
        </w:rPr>
        <w:t>:</w:t>
      </w:r>
    </w:p>
    <w:p w14:paraId="6F2B7691" w14:textId="61C7ADFB" w:rsidR="00AB5E47" w:rsidRPr="00203DC6" w:rsidRDefault="00AB5E47" w:rsidP="00EC5D8B">
      <w:pPr>
        <w:pStyle w:val="ListParagraph"/>
        <w:numPr>
          <w:ilvl w:val="0"/>
          <w:numId w:val="51"/>
        </w:numPr>
        <w:spacing w:before="120" w:after="120"/>
        <w:ind w:hanging="357"/>
        <w:rPr>
          <w:rFonts w:ascii="Times New Roman" w:hAnsi="Times New Roman"/>
          <w:noProof/>
          <w:sz w:val="24"/>
          <w:szCs w:val="24"/>
        </w:rPr>
      </w:pPr>
      <w:r w:rsidRPr="00203DC6">
        <w:rPr>
          <w:rFonts w:ascii="Times New Roman" w:hAnsi="Times New Roman"/>
          <w:noProof/>
          <w:sz w:val="24"/>
          <w:szCs w:val="24"/>
        </w:rPr>
        <w:t>“Project finance” in template EU CR10.1</w:t>
      </w:r>
    </w:p>
    <w:p w14:paraId="4197ECB4" w14:textId="5A2A5CC2" w:rsidR="00AB5E47" w:rsidRPr="00203DC6" w:rsidRDefault="00AB5E47" w:rsidP="00EC5D8B">
      <w:pPr>
        <w:pStyle w:val="ListParagraph"/>
        <w:numPr>
          <w:ilvl w:val="0"/>
          <w:numId w:val="51"/>
        </w:numPr>
        <w:spacing w:before="120" w:after="120"/>
        <w:ind w:hanging="357"/>
        <w:rPr>
          <w:rFonts w:ascii="Times New Roman" w:hAnsi="Times New Roman"/>
          <w:noProof/>
          <w:sz w:val="24"/>
          <w:szCs w:val="24"/>
        </w:rPr>
      </w:pPr>
      <w:r w:rsidRPr="00203DC6">
        <w:rPr>
          <w:rFonts w:ascii="Times New Roman" w:hAnsi="Times New Roman"/>
          <w:noProof/>
          <w:sz w:val="24"/>
          <w:szCs w:val="24"/>
        </w:rPr>
        <w:t>“Income-producing real estate and  high volatility commercial real estate” in tem</w:t>
      </w:r>
      <w:r w:rsidR="00517915" w:rsidRPr="00203DC6">
        <w:rPr>
          <w:rFonts w:ascii="Times New Roman" w:hAnsi="Times New Roman"/>
          <w:noProof/>
          <w:sz w:val="24"/>
          <w:szCs w:val="24"/>
        </w:rPr>
        <w:t>p</w:t>
      </w:r>
      <w:r w:rsidRPr="00203DC6">
        <w:rPr>
          <w:rFonts w:ascii="Times New Roman" w:hAnsi="Times New Roman"/>
          <w:noProof/>
          <w:sz w:val="24"/>
          <w:szCs w:val="24"/>
        </w:rPr>
        <w:t>late EU CR10.2</w:t>
      </w:r>
    </w:p>
    <w:p w14:paraId="6C2F7685" w14:textId="51E8B0C2" w:rsidR="00AB5E47" w:rsidRPr="00203DC6" w:rsidRDefault="00AB5E47" w:rsidP="00EC5D8B">
      <w:pPr>
        <w:pStyle w:val="ListParagraph"/>
        <w:numPr>
          <w:ilvl w:val="0"/>
          <w:numId w:val="51"/>
        </w:numPr>
        <w:spacing w:before="120" w:after="120"/>
        <w:ind w:hanging="357"/>
        <w:rPr>
          <w:rFonts w:ascii="Times New Roman" w:hAnsi="Times New Roman"/>
          <w:noProof/>
          <w:sz w:val="24"/>
          <w:szCs w:val="24"/>
        </w:rPr>
      </w:pPr>
      <w:r w:rsidRPr="00203DC6">
        <w:rPr>
          <w:rFonts w:ascii="Times New Roman" w:hAnsi="Times New Roman"/>
          <w:noProof/>
          <w:sz w:val="24"/>
          <w:szCs w:val="24"/>
        </w:rPr>
        <w:t>“Object finance” in template EU CR10.3</w:t>
      </w:r>
    </w:p>
    <w:p w14:paraId="19DE9639" w14:textId="34E87609" w:rsidR="00517915" w:rsidRPr="00203DC6" w:rsidRDefault="00517915" w:rsidP="00EC5D8B">
      <w:pPr>
        <w:pStyle w:val="ListParagraph"/>
        <w:numPr>
          <w:ilvl w:val="0"/>
          <w:numId w:val="51"/>
        </w:numPr>
        <w:spacing w:before="120" w:after="120"/>
        <w:ind w:hanging="357"/>
        <w:rPr>
          <w:rFonts w:ascii="Times New Roman" w:hAnsi="Times New Roman"/>
          <w:noProof/>
          <w:sz w:val="24"/>
          <w:szCs w:val="24"/>
        </w:rPr>
      </w:pPr>
      <w:r w:rsidRPr="00203DC6">
        <w:rPr>
          <w:rFonts w:ascii="Times New Roman" w:hAnsi="Times New Roman"/>
          <w:noProof/>
          <w:sz w:val="24"/>
          <w:szCs w:val="24"/>
        </w:rPr>
        <w:t>“Commodities finance” in template EU CR 10.4</w:t>
      </w:r>
    </w:p>
    <w:p w14:paraId="633864F4" w14:textId="3163F538" w:rsidR="00AB5E47" w:rsidRPr="00203DC6" w:rsidRDefault="00517915" w:rsidP="00EC5D8B">
      <w:pPr>
        <w:pStyle w:val="ListParagraph"/>
        <w:numPr>
          <w:ilvl w:val="1"/>
          <w:numId w:val="55"/>
        </w:numPr>
        <w:spacing w:before="120" w:after="120"/>
        <w:ind w:hanging="357"/>
        <w:rPr>
          <w:rFonts w:ascii="Times New Roman" w:hAnsi="Times New Roman"/>
          <w:noProof/>
          <w:sz w:val="24"/>
          <w:szCs w:val="24"/>
        </w:rPr>
      </w:pPr>
      <w:r w:rsidRPr="00203DC6">
        <w:rPr>
          <w:rFonts w:ascii="Times New Roman" w:hAnsi="Times New Roman"/>
          <w:noProof/>
          <w:sz w:val="24"/>
          <w:szCs w:val="24"/>
        </w:rPr>
        <w:t>i</w:t>
      </w:r>
      <w:r w:rsidR="00AB5E47" w:rsidRPr="00203DC6">
        <w:rPr>
          <w:rFonts w:ascii="Times New Roman" w:hAnsi="Times New Roman"/>
          <w:noProof/>
          <w:sz w:val="24"/>
          <w:szCs w:val="24"/>
        </w:rPr>
        <w:t xml:space="preserve">nformation on </w:t>
      </w:r>
      <w:r w:rsidRPr="00203DC6">
        <w:rPr>
          <w:rFonts w:ascii="Times New Roman" w:hAnsi="Times New Roman"/>
          <w:noProof/>
          <w:sz w:val="24"/>
          <w:szCs w:val="24"/>
        </w:rPr>
        <w:t>e</w:t>
      </w:r>
      <w:r w:rsidR="00AB5E47" w:rsidRPr="00203DC6">
        <w:rPr>
          <w:rFonts w:ascii="Times New Roman" w:hAnsi="Times New Roman"/>
          <w:noProof/>
          <w:sz w:val="24"/>
          <w:szCs w:val="24"/>
        </w:rPr>
        <w:t>quit</w:t>
      </w:r>
      <w:r w:rsidRPr="00203DC6">
        <w:rPr>
          <w:rFonts w:ascii="Times New Roman" w:hAnsi="Times New Roman"/>
          <w:noProof/>
          <w:sz w:val="24"/>
          <w:szCs w:val="24"/>
        </w:rPr>
        <w:t>y exposures</w:t>
      </w:r>
      <w:r w:rsidR="00AB5E47" w:rsidRPr="00203DC6">
        <w:rPr>
          <w:rFonts w:ascii="Times New Roman" w:hAnsi="Times New Roman"/>
          <w:noProof/>
          <w:sz w:val="24"/>
          <w:szCs w:val="24"/>
        </w:rPr>
        <w:t xml:space="preserve"> under the simple risk-weighted approach in template EU CR10.</w:t>
      </w:r>
      <w:r w:rsidRPr="00203DC6">
        <w:rPr>
          <w:rFonts w:ascii="Times New Roman" w:hAnsi="Times New Roman"/>
          <w:noProof/>
          <w:sz w:val="24"/>
          <w:szCs w:val="24"/>
        </w:rPr>
        <w:t>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0329C7" w:rsidRPr="00203DC6" w14:paraId="7808FD95" w14:textId="77777777" w:rsidTr="008667ED">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0F9E1891" w14:textId="77777777" w:rsidR="000329C7" w:rsidRPr="00203DC6" w:rsidRDefault="000329C7" w:rsidP="008667ED">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Column reference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1355D" w14:textId="77777777" w:rsidR="000329C7" w:rsidRPr="00203DC6" w:rsidRDefault="000329C7" w:rsidP="008667ED">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0329C7" w:rsidRPr="00203DC6" w14:paraId="42A8ED72" w14:textId="77777777" w:rsidTr="008667ED">
        <w:trPr>
          <w:trHeight w:val="359"/>
        </w:trPr>
        <w:tc>
          <w:tcPr>
            <w:tcW w:w="1413" w:type="dxa"/>
            <w:vMerge/>
            <w:tcBorders>
              <w:left w:val="single" w:sz="4" w:space="0" w:color="auto"/>
              <w:right w:val="single" w:sz="4" w:space="0" w:color="auto"/>
            </w:tcBorders>
            <w:shd w:val="clear" w:color="auto" w:fill="D9D9D9" w:themeFill="background1" w:themeFillShade="D9"/>
          </w:tcPr>
          <w:p w14:paraId="0BF5444E" w14:textId="77777777" w:rsidR="000329C7" w:rsidRPr="00203DC6" w:rsidRDefault="000329C7" w:rsidP="008667ED">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5B4A0B86" w14:textId="77777777" w:rsidR="000329C7" w:rsidRPr="00203DC6" w:rsidRDefault="000329C7" w:rsidP="008667ED">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0329C7" w:rsidRPr="00203DC6" w14:paraId="56528A14" w14:textId="77777777" w:rsidTr="008667ED">
        <w:trPr>
          <w:trHeight w:val="316"/>
        </w:trPr>
        <w:tc>
          <w:tcPr>
            <w:tcW w:w="1413" w:type="dxa"/>
          </w:tcPr>
          <w:p w14:paraId="65A9F91E" w14:textId="00013477" w:rsidR="000329C7" w:rsidRPr="00203DC6" w:rsidRDefault="007D2F06" w:rsidP="008667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a</w:t>
            </w:r>
          </w:p>
        </w:tc>
        <w:tc>
          <w:tcPr>
            <w:tcW w:w="7654" w:type="dxa"/>
          </w:tcPr>
          <w:p w14:paraId="44C6D169" w14:textId="77777777" w:rsidR="000329C7" w:rsidRPr="00203DC6" w:rsidRDefault="000329C7" w:rsidP="008667ED">
            <w:pPr>
              <w:jc w:val="both"/>
              <w:rPr>
                <w:rFonts w:ascii="Times New Roman" w:eastAsia="Times New Roman" w:hAnsi="Times New Roman" w:cs="Times New Roman"/>
                <w:sz w:val="24"/>
                <w:lang w:val="en-GB"/>
              </w:rPr>
            </w:pPr>
          </w:p>
          <w:p w14:paraId="5FE9F2CA" w14:textId="77777777" w:rsidR="004E5C74" w:rsidRDefault="004E5C74" w:rsidP="004E5C74">
            <w:pPr>
              <w:jc w:val="both"/>
              <w:rPr>
                <w:rFonts w:ascii="Times New Roman" w:eastAsiaTheme="minorHAnsi" w:hAnsi="Times New Roman" w:cs="Times New Roman"/>
                <w:sz w:val="24"/>
                <w:lang w:val="en-GB"/>
              </w:rPr>
            </w:pPr>
            <w:r>
              <w:rPr>
                <w:rFonts w:ascii="Times New Roman" w:eastAsia="Times New Roman" w:hAnsi="Times New Roman" w:cs="Times New Roman"/>
                <w:sz w:val="24"/>
                <w:lang w:val="en-GB"/>
              </w:rPr>
              <w:t>On-balance-sheet exposures</w:t>
            </w:r>
            <w:r>
              <w:rPr>
                <w:rFonts w:ascii="Times New Roman" w:eastAsiaTheme="minorHAnsi" w:hAnsi="Times New Roman" w:cs="Times New Roman"/>
                <w:sz w:val="24"/>
                <w:lang w:val="en-GB"/>
              </w:rPr>
              <w:t>:</w:t>
            </w:r>
          </w:p>
          <w:p w14:paraId="684DE3E9" w14:textId="77777777" w:rsidR="000329C7" w:rsidRPr="00203DC6" w:rsidRDefault="000329C7" w:rsidP="008667ED">
            <w:pPr>
              <w:jc w:val="both"/>
              <w:rPr>
                <w:rFonts w:ascii="Times New Roman" w:eastAsiaTheme="minorHAnsi" w:hAnsi="Times New Roman" w:cs="Times New Roman"/>
                <w:sz w:val="24"/>
                <w:lang w:val="en-GB"/>
              </w:rPr>
            </w:pPr>
          </w:p>
          <w:p w14:paraId="0F2D423B" w14:textId="6ACA2B92" w:rsidR="000329C7" w:rsidRPr="00203DC6" w:rsidRDefault="000329C7" w:rsidP="00DA707E">
            <w:pPr>
              <w:jc w:val="both"/>
              <w:rPr>
                <w:rFonts w:ascii="Times New Roman" w:hAnsi="Times New Roman" w:cs="Times New Roman"/>
                <w:sz w:val="24"/>
                <w:lang w:val="en-GB"/>
              </w:rPr>
            </w:pPr>
            <w:r w:rsidRPr="00203DC6">
              <w:rPr>
                <w:rFonts w:ascii="Times New Roman" w:eastAsiaTheme="minorHAnsi" w:hAnsi="Times New Roman" w:cs="Times New Roman"/>
                <w:sz w:val="24"/>
                <w:lang w:val="en-GB"/>
              </w:rPr>
              <w:t xml:space="preserve">Institutions shall disclose the exposure </w:t>
            </w:r>
            <w:r w:rsidR="001171EA" w:rsidRPr="00203DC6">
              <w:rPr>
                <w:rFonts w:ascii="Times New Roman" w:eastAsiaTheme="minorHAnsi" w:hAnsi="Times New Roman" w:cs="Times New Roman"/>
                <w:sz w:val="24"/>
                <w:lang w:val="en-GB"/>
              </w:rPr>
              <w:t>value of on-balance sheet exposure</w:t>
            </w:r>
            <w:r w:rsidR="0080027F" w:rsidRPr="00203DC6">
              <w:rPr>
                <w:rFonts w:ascii="Times New Roman" w:eastAsiaTheme="minorHAnsi" w:hAnsi="Times New Roman" w:cs="Times New Roman"/>
                <w:sz w:val="24"/>
                <w:lang w:val="en-GB"/>
              </w:rPr>
              <w:t>s</w:t>
            </w:r>
            <w:r w:rsidRPr="00203DC6">
              <w:rPr>
                <w:rFonts w:ascii="Times New Roman" w:eastAsiaTheme="minorHAnsi" w:hAnsi="Times New Roman" w:cs="Times New Roman"/>
                <w:sz w:val="24"/>
                <w:lang w:val="en-GB"/>
              </w:rPr>
              <w:t xml:space="preserve"> in accordance with Article</w:t>
            </w:r>
            <w:r w:rsidR="00DA707E" w:rsidRPr="00203DC6">
              <w:rPr>
                <w:rFonts w:ascii="Times New Roman" w:eastAsiaTheme="minorHAnsi" w:hAnsi="Times New Roman" w:cs="Times New Roman"/>
                <w:sz w:val="24"/>
                <w:lang w:val="en-GB"/>
              </w:rPr>
              <w:t xml:space="preserve"> 166</w:t>
            </w:r>
            <w:r w:rsidR="001171EA" w:rsidRPr="00203DC6">
              <w:rPr>
                <w:rFonts w:ascii="Times New Roman" w:eastAsiaTheme="minorHAnsi" w:hAnsi="Times New Roman" w:cs="Times New Roman"/>
                <w:sz w:val="24"/>
                <w:lang w:val="en-GB"/>
              </w:rPr>
              <w:t>(1) to (7)</w:t>
            </w:r>
            <w:r w:rsidR="00DA707E" w:rsidRPr="00203DC6">
              <w:rPr>
                <w:rFonts w:ascii="Times New Roman" w:eastAsiaTheme="minorHAnsi" w:hAnsi="Times New Roman" w:cs="Times New Roman"/>
                <w:sz w:val="24"/>
                <w:lang w:val="en-GB"/>
              </w:rPr>
              <w:t xml:space="preserve"> and</w:t>
            </w:r>
            <w:r w:rsidRPr="00203DC6">
              <w:rPr>
                <w:rFonts w:ascii="Times New Roman" w:eastAsiaTheme="minorHAnsi" w:hAnsi="Times New Roman" w:cs="Times New Roman"/>
                <w:sz w:val="24"/>
                <w:lang w:val="en-GB"/>
              </w:rPr>
              <w:t xml:space="preserve"> </w:t>
            </w:r>
            <w:r w:rsidR="001171EA" w:rsidRPr="00203DC6">
              <w:rPr>
                <w:rFonts w:ascii="Times New Roman" w:eastAsiaTheme="minorHAnsi" w:hAnsi="Times New Roman" w:cs="Times New Roman"/>
                <w:sz w:val="24"/>
                <w:lang w:val="en-GB"/>
              </w:rPr>
              <w:t xml:space="preserve">Article </w:t>
            </w:r>
            <w:r w:rsidRPr="00203DC6">
              <w:rPr>
                <w:rFonts w:ascii="Times New Roman" w:eastAsiaTheme="minorHAnsi" w:hAnsi="Times New Roman" w:cs="Times New Roman"/>
                <w:sz w:val="24"/>
                <w:lang w:val="en-GB"/>
              </w:rPr>
              <w:t>167</w:t>
            </w:r>
            <w:r w:rsidR="001171EA" w:rsidRPr="00203DC6">
              <w:rPr>
                <w:rFonts w:ascii="Times New Roman" w:eastAsiaTheme="minorHAnsi" w:hAnsi="Times New Roman" w:cs="Times New Roman"/>
                <w:sz w:val="24"/>
                <w:lang w:val="en-GB"/>
              </w:rPr>
              <w:t>(1)</w:t>
            </w:r>
            <w:r w:rsidRPr="00203DC6">
              <w:rPr>
                <w:rFonts w:ascii="Times New Roman" w:eastAsiaTheme="minorHAnsi" w:hAnsi="Times New Roman" w:cs="Times New Roman"/>
                <w:sz w:val="24"/>
                <w:lang w:val="en-GB"/>
              </w:rPr>
              <w:t xml:space="preserve"> </w:t>
            </w:r>
            <w:r w:rsidR="00A1176E" w:rsidRPr="00203DC6">
              <w:rPr>
                <w:rFonts w:ascii="Times New Roman" w:eastAsiaTheme="minorHAnsi" w:hAnsi="Times New Roman" w:cs="Times New Roman"/>
                <w:sz w:val="24"/>
                <w:lang w:val="en-GB"/>
              </w:rPr>
              <w:t>CRR</w:t>
            </w:r>
            <w:r w:rsidRPr="00203DC6">
              <w:rPr>
                <w:rFonts w:ascii="Times New Roman" w:eastAsiaTheme="minorHAnsi" w:hAnsi="Times New Roman" w:cs="Times New Roman"/>
                <w:sz w:val="24"/>
                <w:lang w:val="en-GB"/>
              </w:rPr>
              <w:t>.</w:t>
            </w:r>
          </w:p>
        </w:tc>
      </w:tr>
      <w:tr w:rsidR="000329C7" w:rsidRPr="00203DC6" w14:paraId="00269C76" w14:textId="77777777" w:rsidTr="008667ED">
        <w:trPr>
          <w:trHeight w:val="316"/>
        </w:trPr>
        <w:tc>
          <w:tcPr>
            <w:tcW w:w="1413" w:type="dxa"/>
          </w:tcPr>
          <w:p w14:paraId="37880765" w14:textId="77777777" w:rsidR="000329C7" w:rsidRPr="00203DC6" w:rsidRDefault="000329C7" w:rsidP="008667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b</w:t>
            </w:r>
          </w:p>
        </w:tc>
        <w:tc>
          <w:tcPr>
            <w:tcW w:w="7654" w:type="dxa"/>
          </w:tcPr>
          <w:p w14:paraId="78907745" w14:textId="13B070B1" w:rsidR="000329C7" w:rsidRPr="00203DC6" w:rsidRDefault="000329C7" w:rsidP="008667ED">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 xml:space="preserve">Off-balance-sheet </w:t>
            </w:r>
            <w:r w:rsidR="00C73602" w:rsidRPr="00203DC6">
              <w:rPr>
                <w:rFonts w:ascii="Times New Roman" w:eastAsia="Times New Roman" w:hAnsi="Times New Roman" w:cs="Times New Roman"/>
                <w:sz w:val="24"/>
                <w:lang w:val="en-GB"/>
              </w:rPr>
              <w:t>exposure</w:t>
            </w:r>
            <w:r w:rsidRPr="00203DC6">
              <w:rPr>
                <w:rFonts w:ascii="Times New Roman" w:hAnsi="Times New Roman" w:cs="Times New Roman"/>
                <w:sz w:val="24"/>
                <w:lang w:val="en-GB"/>
              </w:rPr>
              <w:t>:</w:t>
            </w:r>
          </w:p>
          <w:p w14:paraId="4AAD0CB8" w14:textId="1D61E310" w:rsidR="001171EA" w:rsidRPr="00203DC6" w:rsidRDefault="000329C7" w:rsidP="001171EA">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Institutions shall disclose the exposure value </w:t>
            </w:r>
            <w:r w:rsidR="001171EA" w:rsidRPr="00203DC6">
              <w:rPr>
                <w:rFonts w:ascii="Times New Roman" w:hAnsi="Times New Roman" w:cs="Times New Roman"/>
                <w:sz w:val="24"/>
                <w:lang w:val="en-GB"/>
              </w:rPr>
              <w:t>of off-balance sheet exposures</w:t>
            </w:r>
            <w:r w:rsidRPr="00203DC6">
              <w:rPr>
                <w:rFonts w:ascii="Times New Roman" w:hAnsi="Times New Roman" w:cs="Times New Roman"/>
                <w:sz w:val="24"/>
                <w:lang w:val="en-GB"/>
              </w:rPr>
              <w:t xml:space="preserve"> in accordance with Article</w:t>
            </w:r>
            <w:r w:rsidR="00DA707E" w:rsidRPr="00203DC6">
              <w:rPr>
                <w:rFonts w:ascii="Times New Roman" w:hAnsi="Times New Roman" w:cs="Times New Roman"/>
                <w:sz w:val="24"/>
                <w:lang w:val="en-GB"/>
              </w:rPr>
              <w:t>s 166 and</w:t>
            </w:r>
            <w:r w:rsidRPr="00203DC6">
              <w:rPr>
                <w:rFonts w:ascii="Times New Roman" w:hAnsi="Times New Roman" w:cs="Times New Roman"/>
                <w:sz w:val="24"/>
                <w:lang w:val="en-GB"/>
              </w:rPr>
              <w:t xml:space="preserve"> 167</w:t>
            </w:r>
            <w:r w:rsidR="004E5C74">
              <w:rPr>
                <w:rFonts w:ascii="Times New Roman" w:hAnsi="Times New Roman" w:cs="Times New Roman"/>
                <w:sz w:val="24"/>
                <w:lang w:val="en-GB"/>
              </w:rPr>
              <w:t xml:space="preserve"> (2)</w:t>
            </w:r>
            <w:r w:rsidRPr="00203DC6">
              <w:rPr>
                <w:rFonts w:ascii="Times New Roman" w:hAnsi="Times New Roman" w:cs="Times New Roman"/>
                <w:sz w:val="24"/>
                <w:lang w:val="en-GB"/>
              </w:rPr>
              <w:t xml:space="preserve"> </w:t>
            </w:r>
            <w:r w:rsidR="00556D6C" w:rsidRPr="00203DC6">
              <w:rPr>
                <w:rFonts w:ascii="Times New Roman" w:hAnsi="Times New Roman" w:cs="Times New Roman"/>
                <w:sz w:val="24"/>
                <w:lang w:val="en-GB"/>
              </w:rPr>
              <w:t>CRR</w:t>
            </w:r>
            <w:r w:rsidRPr="00203DC6">
              <w:rPr>
                <w:rFonts w:ascii="Times New Roman" w:hAnsi="Times New Roman" w:cs="Times New Roman"/>
                <w:sz w:val="24"/>
                <w:lang w:val="en-GB"/>
              </w:rPr>
              <w:t xml:space="preserve"> without taking into account </w:t>
            </w:r>
            <w:r w:rsidR="001171EA" w:rsidRPr="00203DC6">
              <w:rPr>
                <w:rFonts w:ascii="Times New Roman" w:hAnsi="Times New Roman" w:cs="Times New Roman"/>
                <w:sz w:val="24"/>
                <w:lang w:val="en-GB"/>
              </w:rPr>
              <w:t xml:space="preserve">any </w:t>
            </w:r>
            <w:r w:rsidRPr="00203DC6">
              <w:rPr>
                <w:rFonts w:ascii="Times New Roman" w:hAnsi="Times New Roman" w:cs="Times New Roman"/>
                <w:sz w:val="24"/>
                <w:lang w:val="en-GB"/>
              </w:rPr>
              <w:t>conversion factors</w:t>
            </w:r>
            <w:r w:rsidR="001171EA" w:rsidRPr="00203DC6">
              <w:rPr>
                <w:rFonts w:ascii="Times New Roman" w:hAnsi="Times New Roman" w:cs="Times New Roman"/>
                <w:sz w:val="24"/>
                <w:lang w:val="en-GB"/>
              </w:rPr>
              <w:t xml:space="preserve"> specified in Article 166(8) </w:t>
            </w:r>
            <w:r w:rsidR="004E5C74">
              <w:rPr>
                <w:rFonts w:ascii="Times New Roman" w:hAnsi="Times New Roman" w:cs="Times New Roman"/>
                <w:sz w:val="24"/>
                <w:lang w:val="en-GB"/>
              </w:rPr>
              <w:t>or (9)</w:t>
            </w:r>
            <w:r w:rsidR="001171EA" w:rsidRPr="00203DC6">
              <w:rPr>
                <w:rFonts w:ascii="Times New Roman" w:hAnsi="Times New Roman" w:cs="Times New Roman"/>
                <w:sz w:val="24"/>
                <w:lang w:val="en-GB"/>
              </w:rPr>
              <w:t xml:space="preserve"> CRR, or any percentages specified in Article 166(10)  CRR.</w:t>
            </w:r>
          </w:p>
          <w:p w14:paraId="6BCDCFF3" w14:textId="4F5099CE" w:rsidR="001171EA" w:rsidRPr="00203DC6" w:rsidRDefault="001171EA" w:rsidP="001171EA">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 xml:space="preserve">Off balance sheet </w:t>
            </w:r>
            <w:proofErr w:type="gramStart"/>
            <w:r w:rsidRPr="00203DC6">
              <w:rPr>
                <w:rFonts w:ascii="Times New Roman" w:eastAsia="Times New Roman" w:hAnsi="Times New Roman" w:cs="Times New Roman"/>
                <w:sz w:val="24"/>
                <w:lang w:val="en-GB"/>
              </w:rPr>
              <w:t>exposures</w:t>
            </w:r>
            <w:proofErr w:type="gramEnd"/>
            <w:r w:rsidRPr="00203DC6">
              <w:rPr>
                <w:rFonts w:ascii="Times New Roman" w:eastAsia="Times New Roman" w:hAnsi="Times New Roman" w:cs="Times New Roman"/>
                <w:sz w:val="24"/>
                <w:lang w:val="en-GB"/>
              </w:rPr>
              <w:t xml:space="preserve"> comprise all committed but undrawn amounts and all off-balance sheet items, as listed in Annex I CRR.</w:t>
            </w:r>
          </w:p>
          <w:p w14:paraId="593C7A24" w14:textId="27E3ED0A" w:rsidR="000329C7" w:rsidRPr="00203DC6" w:rsidRDefault="000329C7" w:rsidP="008667ED">
            <w:pPr>
              <w:autoSpaceDE w:val="0"/>
              <w:autoSpaceDN w:val="0"/>
              <w:adjustRightInd w:val="0"/>
              <w:spacing w:before="120" w:after="120"/>
              <w:jc w:val="both"/>
              <w:rPr>
                <w:rFonts w:ascii="Times New Roman" w:hAnsi="Times New Roman" w:cs="Times New Roman"/>
                <w:sz w:val="24"/>
                <w:lang w:val="en-GB"/>
              </w:rPr>
            </w:pPr>
          </w:p>
        </w:tc>
      </w:tr>
      <w:tr w:rsidR="000329C7" w:rsidRPr="00203DC6" w14:paraId="5DE8A1B2" w14:textId="77777777" w:rsidTr="008667ED">
        <w:trPr>
          <w:trHeight w:val="316"/>
        </w:trPr>
        <w:tc>
          <w:tcPr>
            <w:tcW w:w="1413" w:type="dxa"/>
          </w:tcPr>
          <w:p w14:paraId="644D0520" w14:textId="129F0E4A" w:rsidR="000329C7" w:rsidRPr="00203DC6" w:rsidRDefault="0017541E" w:rsidP="008667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c</w:t>
            </w:r>
          </w:p>
        </w:tc>
        <w:tc>
          <w:tcPr>
            <w:tcW w:w="7654" w:type="dxa"/>
          </w:tcPr>
          <w:p w14:paraId="79CA878C" w14:textId="3617162D" w:rsidR="000329C7" w:rsidRPr="00203DC6" w:rsidRDefault="000329C7" w:rsidP="008667ED">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Risk weight</w:t>
            </w:r>
            <w:r w:rsidRPr="00203DC6">
              <w:rPr>
                <w:rFonts w:ascii="Times New Roman" w:hAnsi="Times New Roman" w:cs="Times New Roman"/>
                <w:sz w:val="24"/>
                <w:lang w:val="en-GB"/>
              </w:rPr>
              <w:t>:</w:t>
            </w:r>
          </w:p>
          <w:p w14:paraId="476AE6A2" w14:textId="77777777" w:rsidR="002042FE" w:rsidRPr="00203DC6" w:rsidRDefault="000329C7" w:rsidP="002042FE">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This is a fixed column. It </w:t>
            </w:r>
            <w:proofErr w:type="gramStart"/>
            <w:r w:rsidRPr="00203DC6">
              <w:rPr>
                <w:rFonts w:ascii="Times New Roman" w:hAnsi="Times New Roman" w:cs="Times New Roman"/>
                <w:sz w:val="24"/>
                <w:lang w:val="en-GB"/>
              </w:rPr>
              <w:t>shall not be altered</w:t>
            </w:r>
            <w:proofErr w:type="gramEnd"/>
            <w:r w:rsidRPr="00203DC6">
              <w:rPr>
                <w:rFonts w:ascii="Times New Roman" w:hAnsi="Times New Roman" w:cs="Times New Roman"/>
                <w:sz w:val="24"/>
                <w:lang w:val="en-GB"/>
              </w:rPr>
              <w:t>.</w:t>
            </w:r>
            <w:r w:rsidR="002042FE" w:rsidRPr="00203DC6">
              <w:rPr>
                <w:rFonts w:ascii="Times New Roman" w:hAnsi="Times New Roman" w:cs="Times New Roman"/>
                <w:sz w:val="24"/>
                <w:lang w:val="en-GB"/>
              </w:rPr>
              <w:t xml:space="preserve"> </w:t>
            </w:r>
          </w:p>
          <w:p w14:paraId="69BEF5CD" w14:textId="64C10116" w:rsidR="000329C7" w:rsidRPr="00203DC6" w:rsidRDefault="002042FE" w:rsidP="008667ED">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lastRenderedPageBreak/>
              <w:t xml:space="preserve">This column </w:t>
            </w:r>
            <w:proofErr w:type="gramStart"/>
            <w:r w:rsidRPr="00203DC6">
              <w:rPr>
                <w:rFonts w:ascii="Times New Roman" w:hAnsi="Times New Roman" w:cs="Times New Roman"/>
                <w:sz w:val="24"/>
                <w:lang w:val="en-GB"/>
              </w:rPr>
              <w:t>has been specified</w:t>
            </w:r>
            <w:proofErr w:type="gramEnd"/>
            <w:r w:rsidRPr="00203DC6">
              <w:rPr>
                <w:rFonts w:ascii="Times New Roman" w:hAnsi="Times New Roman" w:cs="Times New Roman"/>
                <w:sz w:val="24"/>
                <w:lang w:val="en-GB"/>
              </w:rPr>
              <w:t xml:space="preserve"> in accordance with Article 153(5) CRR for templates </w:t>
            </w:r>
            <w:r w:rsidRPr="00203DC6">
              <w:rPr>
                <w:rFonts w:ascii="Times New Roman" w:eastAsia="Times New Roman" w:hAnsi="Times New Roman" w:cs="Times New Roman"/>
                <w:sz w:val="24"/>
                <w:lang w:val="en-GB"/>
              </w:rPr>
              <w:t xml:space="preserve">CR10.1 to CR10.4 and in accordance with Article 155(2) </w:t>
            </w:r>
            <w:r w:rsidR="00586A7A">
              <w:rPr>
                <w:rFonts w:ascii="Times New Roman" w:eastAsia="Times New Roman" w:hAnsi="Times New Roman" w:cs="Times New Roman"/>
                <w:sz w:val="24"/>
                <w:lang w:val="en-GB"/>
              </w:rPr>
              <w:t>C</w:t>
            </w:r>
            <w:r w:rsidRPr="00203DC6">
              <w:rPr>
                <w:rFonts w:ascii="Times New Roman" w:eastAsia="Times New Roman" w:hAnsi="Times New Roman" w:cs="Times New Roman"/>
                <w:sz w:val="24"/>
                <w:lang w:val="en-GB"/>
              </w:rPr>
              <w:t>RR for template CR10.5.</w:t>
            </w:r>
          </w:p>
        </w:tc>
      </w:tr>
      <w:tr w:rsidR="000329C7" w:rsidRPr="00203DC6" w14:paraId="691B49DB" w14:textId="77777777" w:rsidTr="008667ED">
        <w:trPr>
          <w:trHeight w:val="316"/>
        </w:trPr>
        <w:tc>
          <w:tcPr>
            <w:tcW w:w="1413" w:type="dxa"/>
          </w:tcPr>
          <w:p w14:paraId="40901CE7" w14:textId="7AF3D9C3" w:rsidR="000329C7" w:rsidRPr="00203DC6" w:rsidRDefault="0017541E" w:rsidP="008667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lastRenderedPageBreak/>
              <w:t>d</w:t>
            </w:r>
          </w:p>
        </w:tc>
        <w:tc>
          <w:tcPr>
            <w:tcW w:w="7654" w:type="dxa"/>
          </w:tcPr>
          <w:p w14:paraId="73B1B1B1" w14:textId="34633AE1" w:rsidR="000329C7" w:rsidRPr="00203DC6" w:rsidRDefault="000329C7" w:rsidP="008667ED">
            <w:pPr>
              <w:autoSpaceDE w:val="0"/>
              <w:autoSpaceDN w:val="0"/>
              <w:adjustRightInd w:val="0"/>
              <w:spacing w:before="120" w:after="120"/>
              <w:jc w:val="both"/>
              <w:rPr>
                <w:rFonts w:ascii="Times New Roman" w:hAnsi="Times New Roman" w:cs="Times New Roman"/>
                <w:sz w:val="24"/>
                <w:lang w:val="en-GB"/>
              </w:rPr>
            </w:pPr>
            <w:r w:rsidRPr="00203DC6">
              <w:rPr>
                <w:rFonts w:ascii="Times New Roman" w:eastAsia="Times New Roman" w:hAnsi="Times New Roman" w:cs="Times New Roman"/>
                <w:sz w:val="24"/>
                <w:lang w:val="en-GB"/>
              </w:rPr>
              <w:t xml:space="preserve">Exposure </w:t>
            </w:r>
            <w:r w:rsidR="0017541E" w:rsidRPr="00203DC6">
              <w:rPr>
                <w:rFonts w:ascii="Times New Roman" w:eastAsia="Times New Roman" w:hAnsi="Times New Roman" w:cs="Times New Roman"/>
                <w:sz w:val="24"/>
                <w:lang w:val="en-GB"/>
              </w:rPr>
              <w:t>v</w:t>
            </w:r>
            <w:r w:rsidR="00C73602" w:rsidRPr="00203DC6">
              <w:rPr>
                <w:rFonts w:ascii="Times New Roman" w:eastAsia="Times New Roman" w:hAnsi="Times New Roman" w:cs="Times New Roman"/>
                <w:sz w:val="24"/>
                <w:lang w:val="en-GB"/>
              </w:rPr>
              <w:t>alue</w:t>
            </w:r>
            <w:r w:rsidRPr="00203DC6">
              <w:rPr>
                <w:rFonts w:ascii="Times New Roman" w:hAnsi="Times New Roman" w:cs="Times New Roman"/>
                <w:sz w:val="24"/>
                <w:lang w:val="en-GB"/>
              </w:rPr>
              <w:t>:</w:t>
            </w:r>
          </w:p>
          <w:p w14:paraId="49A879D4" w14:textId="5B53A6CC" w:rsidR="00580A47" w:rsidRPr="00203DC6" w:rsidRDefault="00580A47" w:rsidP="00580A47">
            <w:pPr>
              <w:autoSpaceDE w:val="0"/>
              <w:autoSpaceDN w:val="0"/>
              <w:adjustRightInd w:val="0"/>
              <w:spacing w:before="120" w:after="120"/>
              <w:rPr>
                <w:rFonts w:ascii="Times New Roman" w:hAnsi="Times New Roman" w:cs="Times New Roman"/>
                <w:sz w:val="24"/>
                <w:lang w:val="en-GB"/>
              </w:rPr>
            </w:pPr>
            <w:r w:rsidRPr="00203DC6">
              <w:rPr>
                <w:rFonts w:ascii="Times New Roman" w:hAnsi="Times New Roman" w:cs="Times New Roman"/>
                <w:sz w:val="24"/>
                <w:lang w:val="en-GB"/>
              </w:rPr>
              <w:t xml:space="preserve">Exposure value in accordance with Article 166 or Article 167 CRR. </w:t>
            </w:r>
          </w:p>
          <w:p w14:paraId="02FAC319" w14:textId="3332B8FA" w:rsidR="000329C7" w:rsidRPr="004E5C74" w:rsidRDefault="00580A47" w:rsidP="004E5C74">
            <w:pPr>
              <w:rPr>
                <w:rFonts w:ascii="Times New Roman" w:hAnsi="Times New Roman" w:cs="Times New Roman"/>
                <w:sz w:val="24"/>
              </w:rPr>
            </w:pPr>
            <w:r w:rsidRPr="00203DC6">
              <w:rPr>
                <w:rFonts w:ascii="Times New Roman" w:hAnsi="Times New Roman" w:cs="Times New Roman"/>
                <w:sz w:val="24"/>
                <w:lang w:val="en-GB"/>
              </w:rPr>
              <w:t xml:space="preserve">This column includes the sum of exposure value of on-balance sheet exposures and exposure value of off-balance sheet exposures </w:t>
            </w:r>
            <w:r w:rsidR="004E5C74">
              <w:rPr>
                <w:rFonts w:ascii="Times New Roman" w:hAnsi="Times New Roman" w:cs="Times New Roman"/>
                <w:sz w:val="24"/>
                <w:lang w:val="en-GB"/>
              </w:rPr>
              <w:t xml:space="preserve"> post conversion factors and percentages </w:t>
            </w:r>
            <w:r w:rsidRPr="00203DC6">
              <w:rPr>
                <w:rFonts w:ascii="Times New Roman" w:hAnsi="Times New Roman" w:cs="Times New Roman"/>
                <w:sz w:val="24"/>
                <w:lang w:val="en-GB"/>
              </w:rPr>
              <w:t>in accordance with Article 166(8) to (10)</w:t>
            </w:r>
            <w:r w:rsidR="00BC1EA9">
              <w:rPr>
                <w:rFonts w:ascii="Times New Roman" w:hAnsi="Times New Roman" w:cs="Times New Roman"/>
                <w:sz w:val="24"/>
                <w:lang w:val="en-GB"/>
              </w:rPr>
              <w:t xml:space="preserve"> </w:t>
            </w:r>
            <w:r w:rsidRPr="00203DC6">
              <w:rPr>
                <w:rFonts w:ascii="Times New Roman" w:hAnsi="Times New Roman" w:cs="Times New Roman"/>
                <w:sz w:val="24"/>
                <w:lang w:val="en-GB"/>
              </w:rPr>
              <w:t xml:space="preserve"> CRR. </w:t>
            </w:r>
          </w:p>
        </w:tc>
      </w:tr>
      <w:tr w:rsidR="000329C7" w:rsidRPr="00203DC6" w14:paraId="24883F5B" w14:textId="77777777" w:rsidTr="00D50F79">
        <w:trPr>
          <w:trHeight w:val="316"/>
        </w:trPr>
        <w:tc>
          <w:tcPr>
            <w:tcW w:w="1413" w:type="dxa"/>
            <w:tcBorders>
              <w:bottom w:val="single" w:sz="4" w:space="0" w:color="auto"/>
            </w:tcBorders>
          </w:tcPr>
          <w:p w14:paraId="56ED441B" w14:textId="7526A293" w:rsidR="000329C7" w:rsidRPr="00203DC6" w:rsidRDefault="00580A47" w:rsidP="00CC0714">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 (templates CR10.1 to CR10.4)</w:t>
            </w:r>
          </w:p>
        </w:tc>
        <w:tc>
          <w:tcPr>
            <w:tcW w:w="7654" w:type="dxa"/>
          </w:tcPr>
          <w:p w14:paraId="675A9FB7" w14:textId="50419363" w:rsidR="000329C7" w:rsidRPr="00203DC6" w:rsidRDefault="000329C7" w:rsidP="00CC0714">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Risk-weighted exposure amount</w:t>
            </w:r>
            <w:r w:rsidR="002042FE" w:rsidRPr="00203DC6">
              <w:rPr>
                <w:rFonts w:ascii="Times New Roman" w:hAnsi="Times New Roman" w:cs="Times New Roman"/>
                <w:sz w:val="24"/>
                <w:lang w:val="en-GB"/>
              </w:rPr>
              <w:t xml:space="preserve"> (specialised lending exposures</w:t>
            </w:r>
            <w:r w:rsidR="00CF5B4A" w:rsidRPr="00203DC6">
              <w:rPr>
                <w:rFonts w:ascii="Times New Roman" w:hAnsi="Times New Roman" w:cs="Times New Roman"/>
                <w:sz w:val="24"/>
                <w:lang w:val="en-GB"/>
              </w:rPr>
              <w:t xml:space="preserve"> under the slotting approach</w:t>
            </w:r>
            <w:r w:rsidR="002042FE" w:rsidRPr="00203DC6">
              <w:rPr>
                <w:rFonts w:ascii="Times New Roman" w:hAnsi="Times New Roman" w:cs="Times New Roman"/>
                <w:sz w:val="24"/>
                <w:lang w:val="en-GB"/>
              </w:rPr>
              <w:t>)</w:t>
            </w:r>
            <w:r w:rsidRPr="00203DC6">
              <w:rPr>
                <w:rFonts w:ascii="Times New Roman" w:hAnsi="Times New Roman" w:cs="Times New Roman"/>
                <w:sz w:val="24"/>
                <w:lang w:val="en-GB"/>
              </w:rPr>
              <w:t>:</w:t>
            </w:r>
          </w:p>
          <w:p w14:paraId="1AAE1C81" w14:textId="68F67A9F" w:rsidR="000329C7" w:rsidRPr="00203DC6" w:rsidRDefault="000329C7" w:rsidP="004E5C74">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The risk-weighted exposure amount </w:t>
            </w:r>
            <w:r w:rsidR="00580A47" w:rsidRPr="00203DC6">
              <w:rPr>
                <w:rFonts w:ascii="Times New Roman" w:hAnsi="Times New Roman" w:cs="Times New Roman"/>
                <w:sz w:val="24"/>
                <w:lang w:val="en-GB"/>
              </w:rPr>
              <w:t>calculated in accordance with Article 153 (5) CRR,</w:t>
            </w:r>
            <w:r w:rsidRPr="00203DC6">
              <w:rPr>
                <w:rFonts w:ascii="Times New Roman" w:hAnsi="Times New Roman" w:cs="Times New Roman"/>
                <w:sz w:val="24"/>
                <w:lang w:val="en-GB"/>
              </w:rPr>
              <w:t xml:space="preserve"> </w:t>
            </w:r>
            <w:r w:rsidRPr="00203DC6">
              <w:rPr>
                <w:rFonts w:ascii="Times New Roman" w:eastAsia="Times New Roman" w:hAnsi="Times New Roman" w:cs="Times New Roman"/>
                <w:sz w:val="24"/>
                <w:lang w:val="en-GB"/>
              </w:rPr>
              <w:t>after supporting factor</w:t>
            </w:r>
            <w:r w:rsidR="009325D8" w:rsidRPr="00203DC6">
              <w:rPr>
                <w:rFonts w:ascii="Times New Roman" w:eastAsia="Times New Roman" w:hAnsi="Times New Roman" w:cs="Times New Roman"/>
                <w:sz w:val="24"/>
                <w:lang w:val="en-GB"/>
              </w:rPr>
              <w:t>s</w:t>
            </w:r>
            <w:r w:rsidRPr="00203DC6">
              <w:rPr>
                <w:rFonts w:ascii="Times New Roman" w:hAnsi="Times New Roman" w:cs="Times New Roman"/>
                <w:sz w:val="24"/>
                <w:lang w:val="en-GB"/>
              </w:rPr>
              <w:t xml:space="preserve"> </w:t>
            </w:r>
            <w:r w:rsidR="00580A47" w:rsidRPr="00203DC6">
              <w:rPr>
                <w:rFonts w:ascii="Times New Roman" w:hAnsi="Times New Roman" w:cs="Times New Roman"/>
                <w:sz w:val="24"/>
                <w:lang w:val="en-GB"/>
              </w:rPr>
              <w:t xml:space="preserve">in accordance with Article 501 </w:t>
            </w:r>
            <w:r w:rsidR="009325D8" w:rsidRPr="00203DC6">
              <w:rPr>
                <w:rFonts w:ascii="Times New Roman" w:hAnsi="Times New Roman" w:cs="Times New Roman"/>
                <w:sz w:val="24"/>
                <w:lang w:val="en-GB"/>
              </w:rPr>
              <w:t xml:space="preserve">and 501a </w:t>
            </w:r>
            <w:r w:rsidR="00580A47" w:rsidRPr="00203DC6">
              <w:rPr>
                <w:rFonts w:ascii="Times New Roman" w:hAnsi="Times New Roman" w:cs="Times New Roman"/>
                <w:sz w:val="24"/>
                <w:lang w:val="en-GB"/>
              </w:rPr>
              <w:t>CRR, where relevant</w:t>
            </w:r>
            <w:r w:rsidR="00447FA7" w:rsidRPr="00203DC6">
              <w:rPr>
                <w:rFonts w:ascii="Times New Roman" w:hAnsi="Times New Roman" w:cs="Times New Roman"/>
                <w:sz w:val="24"/>
                <w:lang w:val="en-GB"/>
              </w:rPr>
              <w:t>.</w:t>
            </w:r>
          </w:p>
        </w:tc>
      </w:tr>
      <w:tr w:rsidR="00580A47" w:rsidRPr="00203DC6" w14:paraId="1427EFF0" w14:textId="77777777" w:rsidTr="00005E8C">
        <w:trPr>
          <w:trHeight w:val="316"/>
        </w:trPr>
        <w:tc>
          <w:tcPr>
            <w:tcW w:w="1413" w:type="dxa"/>
            <w:tcBorders>
              <w:bottom w:val="single" w:sz="4" w:space="0" w:color="auto"/>
            </w:tcBorders>
          </w:tcPr>
          <w:p w14:paraId="4AFA3FE4" w14:textId="79F750CC" w:rsidR="00580A47" w:rsidRPr="00203DC6" w:rsidRDefault="00580A47" w:rsidP="00CC0714">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e (template CR10.5)</w:t>
            </w:r>
          </w:p>
        </w:tc>
        <w:tc>
          <w:tcPr>
            <w:tcW w:w="7654" w:type="dxa"/>
          </w:tcPr>
          <w:p w14:paraId="42A193A4" w14:textId="6FEE6849" w:rsidR="00580A47" w:rsidRPr="00203DC6" w:rsidRDefault="00580A47" w:rsidP="00580A47">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Risk-weighted exposure amount</w:t>
            </w:r>
            <w:r w:rsidR="002042FE" w:rsidRPr="00203DC6">
              <w:rPr>
                <w:rFonts w:ascii="Times New Roman" w:hAnsi="Times New Roman" w:cs="Times New Roman"/>
                <w:sz w:val="24"/>
                <w:lang w:val="en-GB"/>
              </w:rPr>
              <w:t xml:space="preserve"> (equity exposures</w:t>
            </w:r>
            <w:r w:rsidR="00CF5B4A" w:rsidRPr="00203DC6">
              <w:rPr>
                <w:rFonts w:ascii="Times New Roman" w:hAnsi="Times New Roman" w:cs="Times New Roman"/>
                <w:sz w:val="24"/>
                <w:lang w:val="en-GB"/>
              </w:rPr>
              <w:t xml:space="preserve"> under the simple risk weight approach</w:t>
            </w:r>
            <w:r w:rsidR="002042FE" w:rsidRPr="00203DC6">
              <w:rPr>
                <w:rFonts w:ascii="Times New Roman" w:hAnsi="Times New Roman" w:cs="Times New Roman"/>
                <w:sz w:val="24"/>
                <w:lang w:val="en-GB"/>
              </w:rPr>
              <w:t>)</w:t>
            </w:r>
            <w:r w:rsidRPr="00203DC6">
              <w:rPr>
                <w:rFonts w:ascii="Times New Roman" w:hAnsi="Times New Roman" w:cs="Times New Roman"/>
                <w:sz w:val="24"/>
                <w:lang w:val="en-GB"/>
              </w:rPr>
              <w:t>:</w:t>
            </w:r>
          </w:p>
          <w:p w14:paraId="7D71DC93" w14:textId="73D9A2B5" w:rsidR="00580A47" w:rsidRPr="00203DC6" w:rsidRDefault="00580A47" w:rsidP="002042FE">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The risk-weighted exposure amount calculated in accordance with Article 15</w:t>
            </w:r>
            <w:r w:rsidR="002042FE" w:rsidRPr="00203DC6">
              <w:rPr>
                <w:rFonts w:ascii="Times New Roman" w:hAnsi="Times New Roman" w:cs="Times New Roman"/>
                <w:sz w:val="24"/>
                <w:lang w:val="en-GB"/>
              </w:rPr>
              <w:t>5</w:t>
            </w:r>
            <w:r w:rsidRPr="00203DC6">
              <w:rPr>
                <w:rFonts w:ascii="Times New Roman" w:hAnsi="Times New Roman" w:cs="Times New Roman"/>
                <w:sz w:val="24"/>
                <w:lang w:val="en-GB"/>
              </w:rPr>
              <w:t>(</w:t>
            </w:r>
            <w:r w:rsidR="002042FE" w:rsidRPr="00203DC6">
              <w:rPr>
                <w:rFonts w:ascii="Times New Roman" w:hAnsi="Times New Roman" w:cs="Times New Roman"/>
                <w:sz w:val="24"/>
                <w:lang w:val="en-GB"/>
              </w:rPr>
              <w:t>2</w:t>
            </w:r>
            <w:r w:rsidRPr="00203DC6">
              <w:rPr>
                <w:rFonts w:ascii="Times New Roman" w:hAnsi="Times New Roman" w:cs="Times New Roman"/>
                <w:sz w:val="24"/>
                <w:lang w:val="en-GB"/>
              </w:rPr>
              <w:t>) CRR.</w:t>
            </w:r>
          </w:p>
        </w:tc>
      </w:tr>
      <w:tr w:rsidR="000329C7" w:rsidRPr="00203DC6" w14:paraId="6D51B5F7" w14:textId="77777777" w:rsidTr="00D50F79">
        <w:trPr>
          <w:trHeight w:val="316"/>
        </w:trPr>
        <w:tc>
          <w:tcPr>
            <w:tcW w:w="1413" w:type="dxa"/>
            <w:tcBorders>
              <w:bottom w:val="nil"/>
            </w:tcBorders>
          </w:tcPr>
          <w:p w14:paraId="19F34C45" w14:textId="33AAEE71" w:rsidR="000329C7" w:rsidRPr="00203DC6" w:rsidRDefault="00AB5E47" w:rsidP="008667ED">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 (templates CR10.1 to CR10.</w:t>
            </w:r>
            <w:r w:rsidR="00580A47" w:rsidRPr="00203DC6">
              <w:rPr>
                <w:rFonts w:ascii="Times New Roman" w:eastAsia="Times New Roman" w:hAnsi="Times New Roman" w:cs="Times New Roman"/>
                <w:sz w:val="24"/>
                <w:lang w:val="en-GB"/>
              </w:rPr>
              <w:t>4</w:t>
            </w:r>
            <w:r w:rsidRPr="00203DC6">
              <w:rPr>
                <w:rFonts w:ascii="Times New Roman" w:eastAsia="Times New Roman" w:hAnsi="Times New Roman" w:cs="Times New Roman"/>
                <w:sz w:val="24"/>
                <w:lang w:val="en-GB"/>
              </w:rPr>
              <w:t>)</w:t>
            </w:r>
          </w:p>
        </w:tc>
        <w:tc>
          <w:tcPr>
            <w:tcW w:w="7654" w:type="dxa"/>
          </w:tcPr>
          <w:p w14:paraId="25C1AE1D" w14:textId="32BE4242" w:rsidR="000329C7" w:rsidRPr="00203DC6" w:rsidRDefault="000329C7" w:rsidP="008667ED">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Expected loss</w:t>
            </w:r>
            <w:r w:rsidR="00DA707E" w:rsidRPr="00203DC6">
              <w:rPr>
                <w:rFonts w:ascii="Times New Roman" w:hAnsi="Times New Roman" w:cs="Times New Roman"/>
                <w:sz w:val="24"/>
                <w:lang w:val="en-GB"/>
              </w:rPr>
              <w:t xml:space="preserve"> </w:t>
            </w:r>
            <w:r w:rsidR="00580A47" w:rsidRPr="00203DC6">
              <w:rPr>
                <w:rFonts w:ascii="Times New Roman" w:hAnsi="Times New Roman" w:cs="Times New Roman"/>
                <w:sz w:val="24"/>
                <w:lang w:val="en-GB"/>
              </w:rPr>
              <w:t>amount</w:t>
            </w:r>
            <w:r w:rsidR="00DA707E" w:rsidRPr="00203DC6">
              <w:rPr>
                <w:rFonts w:ascii="Times New Roman" w:hAnsi="Times New Roman" w:cs="Times New Roman"/>
                <w:sz w:val="24"/>
                <w:lang w:val="en-GB"/>
              </w:rPr>
              <w:t xml:space="preserve"> (specialised lending exposures</w:t>
            </w:r>
            <w:r w:rsidR="002042FE" w:rsidRPr="00203DC6">
              <w:rPr>
                <w:rFonts w:ascii="Times New Roman" w:hAnsi="Times New Roman" w:cs="Times New Roman"/>
                <w:sz w:val="24"/>
                <w:lang w:val="en-GB"/>
              </w:rPr>
              <w:t xml:space="preserve"> under the slotting approach</w:t>
            </w:r>
            <w:r w:rsidR="00DA707E" w:rsidRPr="00203DC6">
              <w:rPr>
                <w:rFonts w:ascii="Times New Roman" w:hAnsi="Times New Roman" w:cs="Times New Roman"/>
                <w:sz w:val="24"/>
                <w:lang w:val="en-GB"/>
              </w:rPr>
              <w:t>)</w:t>
            </w:r>
            <w:r w:rsidRPr="00203DC6">
              <w:rPr>
                <w:rFonts w:ascii="Times New Roman" w:hAnsi="Times New Roman" w:cs="Times New Roman"/>
                <w:sz w:val="24"/>
                <w:lang w:val="en-GB"/>
              </w:rPr>
              <w:t>:</w:t>
            </w:r>
          </w:p>
          <w:p w14:paraId="1241471C" w14:textId="7F43F349" w:rsidR="000329C7" w:rsidRPr="00203DC6" w:rsidRDefault="000329C7" w:rsidP="004E5C74">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 xml:space="preserve">Amount of expected loss calculated </w:t>
            </w:r>
            <w:r w:rsidR="00580A47" w:rsidRPr="00203DC6">
              <w:rPr>
                <w:rFonts w:ascii="Times New Roman" w:hAnsi="Times New Roman" w:cs="Times New Roman"/>
                <w:sz w:val="24"/>
                <w:lang w:val="en-GB"/>
              </w:rPr>
              <w:t xml:space="preserve">in </w:t>
            </w:r>
            <w:r w:rsidRPr="00203DC6">
              <w:rPr>
                <w:rFonts w:ascii="Times New Roman" w:hAnsi="Times New Roman" w:cs="Times New Roman"/>
                <w:sz w:val="24"/>
                <w:lang w:val="en-GB"/>
              </w:rPr>
              <w:t>accord</w:t>
            </w:r>
            <w:r w:rsidR="00580A47" w:rsidRPr="00203DC6">
              <w:rPr>
                <w:rFonts w:ascii="Times New Roman" w:hAnsi="Times New Roman" w:cs="Times New Roman"/>
                <w:sz w:val="24"/>
                <w:lang w:val="en-GB"/>
              </w:rPr>
              <w:t>ance</w:t>
            </w:r>
            <w:r w:rsidRPr="00203DC6">
              <w:rPr>
                <w:rFonts w:ascii="Times New Roman" w:hAnsi="Times New Roman" w:cs="Times New Roman"/>
                <w:sz w:val="24"/>
                <w:lang w:val="en-GB"/>
              </w:rPr>
              <w:t xml:space="preserve"> </w:t>
            </w:r>
            <w:r w:rsidR="00580A47" w:rsidRPr="00203DC6">
              <w:rPr>
                <w:rFonts w:ascii="Times New Roman" w:hAnsi="Times New Roman" w:cs="Times New Roman"/>
                <w:sz w:val="24"/>
                <w:lang w:val="en-GB"/>
              </w:rPr>
              <w:t>with</w:t>
            </w:r>
            <w:r w:rsidRPr="00203DC6">
              <w:rPr>
                <w:rFonts w:ascii="Times New Roman" w:hAnsi="Times New Roman" w:cs="Times New Roman"/>
                <w:sz w:val="24"/>
                <w:lang w:val="en-GB"/>
              </w:rPr>
              <w:t xml:space="preserve"> Article 158 (6)</w:t>
            </w:r>
            <w:r w:rsidR="00586A7A">
              <w:rPr>
                <w:rFonts w:ascii="Times New Roman" w:hAnsi="Times New Roman" w:cs="Times New Roman"/>
                <w:sz w:val="24"/>
                <w:lang w:val="en-GB"/>
              </w:rPr>
              <w:t xml:space="preserve"> </w:t>
            </w:r>
            <w:r w:rsidR="00556D6C" w:rsidRPr="00203DC6">
              <w:rPr>
                <w:rFonts w:ascii="Times New Roman" w:hAnsi="Times New Roman" w:cs="Times New Roman"/>
                <w:sz w:val="24"/>
                <w:lang w:val="en-GB"/>
              </w:rPr>
              <w:t>CRR</w:t>
            </w:r>
            <w:r w:rsidRPr="00203DC6">
              <w:rPr>
                <w:rFonts w:ascii="Times New Roman" w:hAnsi="Times New Roman" w:cs="Times New Roman"/>
                <w:sz w:val="24"/>
                <w:lang w:val="en-GB"/>
              </w:rPr>
              <w:t>.</w:t>
            </w:r>
          </w:p>
        </w:tc>
      </w:tr>
      <w:tr w:rsidR="00AB5E47" w:rsidRPr="00203DC6" w14:paraId="6880CB09" w14:textId="77777777" w:rsidTr="00D50F79">
        <w:trPr>
          <w:trHeight w:val="316"/>
        </w:trPr>
        <w:tc>
          <w:tcPr>
            <w:tcW w:w="1413" w:type="dxa"/>
            <w:tcBorders>
              <w:top w:val="nil"/>
            </w:tcBorders>
          </w:tcPr>
          <w:p w14:paraId="12FC19DB" w14:textId="6ACF6477" w:rsidR="00AB5E47" w:rsidRPr="00203DC6" w:rsidRDefault="00AB5E47" w:rsidP="00B952F3">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f (template CR10.</w:t>
            </w:r>
            <w:r w:rsidR="00580A47" w:rsidRPr="00203DC6">
              <w:rPr>
                <w:rFonts w:ascii="Times New Roman" w:eastAsia="Times New Roman" w:hAnsi="Times New Roman" w:cs="Times New Roman"/>
                <w:sz w:val="24"/>
                <w:lang w:val="en-GB"/>
              </w:rPr>
              <w:t>5</w:t>
            </w:r>
            <w:r w:rsidRPr="00203DC6">
              <w:rPr>
                <w:rFonts w:ascii="Times New Roman" w:eastAsia="Times New Roman" w:hAnsi="Times New Roman" w:cs="Times New Roman"/>
                <w:sz w:val="24"/>
                <w:lang w:val="en-GB"/>
              </w:rPr>
              <w:t>)</w:t>
            </w:r>
          </w:p>
        </w:tc>
        <w:tc>
          <w:tcPr>
            <w:tcW w:w="7654" w:type="dxa"/>
          </w:tcPr>
          <w:p w14:paraId="0500FEBE" w14:textId="4C9659D7" w:rsidR="00AB5E47" w:rsidRPr="00203DC6" w:rsidRDefault="002042FE" w:rsidP="00AB5E47">
            <w:pPr>
              <w:autoSpaceDE w:val="0"/>
              <w:autoSpaceDN w:val="0"/>
              <w:adjustRightInd w:val="0"/>
              <w:spacing w:before="120" w:after="120"/>
              <w:jc w:val="both"/>
              <w:rPr>
                <w:rFonts w:ascii="Times New Roman" w:hAnsi="Times New Roman" w:cs="Times New Roman"/>
                <w:sz w:val="24"/>
                <w:lang w:val="en-GB"/>
              </w:rPr>
            </w:pPr>
            <w:r w:rsidRPr="00203DC6" w:rsidDel="002042FE">
              <w:rPr>
                <w:rFonts w:ascii="Times New Roman" w:hAnsi="Times New Roman" w:cs="Times New Roman"/>
                <w:sz w:val="24"/>
                <w:lang w:val="en-GB"/>
              </w:rPr>
              <w:t xml:space="preserve"> </w:t>
            </w:r>
            <w:r w:rsidRPr="00203DC6">
              <w:rPr>
                <w:rFonts w:ascii="Times New Roman" w:hAnsi="Times New Roman" w:cs="Times New Roman"/>
                <w:sz w:val="24"/>
                <w:lang w:val="en-GB"/>
              </w:rPr>
              <w:t>Expected loss amount (e</w:t>
            </w:r>
            <w:r w:rsidR="00AB5E47" w:rsidRPr="00203DC6">
              <w:rPr>
                <w:rFonts w:ascii="Times New Roman" w:hAnsi="Times New Roman" w:cs="Times New Roman"/>
                <w:sz w:val="24"/>
                <w:lang w:val="en-GB"/>
              </w:rPr>
              <w:t>quit</w:t>
            </w:r>
            <w:r w:rsidRPr="00203DC6">
              <w:rPr>
                <w:rFonts w:ascii="Times New Roman" w:hAnsi="Times New Roman" w:cs="Times New Roman"/>
                <w:sz w:val="24"/>
                <w:lang w:val="en-GB"/>
              </w:rPr>
              <w:t>y exposures</w:t>
            </w:r>
            <w:r w:rsidR="00AB5E47" w:rsidRPr="00203DC6">
              <w:rPr>
                <w:rFonts w:ascii="Times New Roman" w:hAnsi="Times New Roman" w:cs="Times New Roman"/>
                <w:sz w:val="24"/>
                <w:lang w:val="en-GB"/>
              </w:rPr>
              <w:t xml:space="preserve"> under the </w:t>
            </w:r>
            <w:r w:rsidRPr="00203DC6">
              <w:rPr>
                <w:rFonts w:ascii="Times New Roman" w:hAnsi="Times New Roman" w:cs="Times New Roman"/>
                <w:sz w:val="24"/>
                <w:lang w:val="en-GB"/>
              </w:rPr>
              <w:t xml:space="preserve">simple </w:t>
            </w:r>
            <w:r w:rsidR="00AB5E47" w:rsidRPr="00203DC6">
              <w:rPr>
                <w:rFonts w:ascii="Times New Roman" w:hAnsi="Times New Roman" w:cs="Times New Roman"/>
                <w:sz w:val="24"/>
                <w:lang w:val="en-GB"/>
              </w:rPr>
              <w:t>risk</w:t>
            </w:r>
            <w:r w:rsidRPr="00203DC6">
              <w:rPr>
                <w:rFonts w:ascii="Times New Roman" w:hAnsi="Times New Roman" w:cs="Times New Roman"/>
                <w:sz w:val="24"/>
                <w:lang w:val="en-GB"/>
              </w:rPr>
              <w:t xml:space="preserve"> </w:t>
            </w:r>
            <w:r w:rsidR="00AB5E47" w:rsidRPr="00203DC6">
              <w:rPr>
                <w:rFonts w:ascii="Times New Roman" w:hAnsi="Times New Roman" w:cs="Times New Roman"/>
                <w:sz w:val="24"/>
                <w:lang w:val="en-GB"/>
              </w:rPr>
              <w:t>weight approach)</w:t>
            </w:r>
          </w:p>
          <w:p w14:paraId="6C7891DD" w14:textId="6CD92955" w:rsidR="00AB5E47" w:rsidRPr="00203DC6" w:rsidRDefault="002042FE" w:rsidP="00AB5E47">
            <w:pPr>
              <w:autoSpaceDE w:val="0"/>
              <w:autoSpaceDN w:val="0"/>
              <w:adjustRightInd w:val="0"/>
              <w:spacing w:before="120" w:after="120"/>
              <w:jc w:val="both"/>
              <w:rPr>
                <w:rFonts w:ascii="Times New Roman" w:hAnsi="Times New Roman" w:cs="Times New Roman"/>
                <w:sz w:val="24"/>
                <w:lang w:val="en-GB"/>
              </w:rPr>
            </w:pPr>
            <w:r w:rsidRPr="00203DC6">
              <w:rPr>
                <w:rFonts w:ascii="Times New Roman" w:hAnsi="Times New Roman" w:cs="Times New Roman"/>
                <w:sz w:val="24"/>
                <w:lang w:val="en-GB"/>
              </w:rPr>
              <w:t>Amount of expected loss calculated in accordance with Article 158(7) CRR.</w:t>
            </w:r>
          </w:p>
        </w:tc>
      </w:tr>
    </w:tbl>
    <w:p w14:paraId="68DD5F4E" w14:textId="77777777" w:rsidR="000329C7" w:rsidRPr="00203DC6" w:rsidRDefault="000329C7" w:rsidP="0095046E">
      <w:pPr>
        <w:rPr>
          <w:rFonts w:ascii="Times New Roman" w:hAnsi="Times New Roman" w:cs="Times New Roman"/>
          <w:noProof/>
          <w:sz w:val="24"/>
        </w:rPr>
      </w:pPr>
    </w:p>
    <w:p w14:paraId="6D3927A8" w14:textId="77777777" w:rsidR="0095046E" w:rsidRPr="00203DC6" w:rsidRDefault="0095046E" w:rsidP="00DE5C30">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E63D31" w:rsidRPr="00203DC6" w14:paraId="10671032" w14:textId="77777777" w:rsidTr="00435DE5">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44B34A4C" w14:textId="77777777" w:rsidR="00E63D31" w:rsidRPr="00203DC6" w:rsidRDefault="00E63D31" w:rsidP="00E63D31">
            <w:pPr>
              <w:autoSpaceDE w:val="0"/>
              <w:autoSpaceDN w:val="0"/>
              <w:adjustRightInd w:val="0"/>
              <w:rPr>
                <w:rFonts w:ascii="Times New Roman" w:hAnsi="Times New Roman" w:cs="Times New Roman"/>
                <w:b/>
                <w:sz w:val="24"/>
                <w:lang w:val="en-GB"/>
              </w:rPr>
            </w:pPr>
            <w:r w:rsidRPr="00203DC6">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61F9A" w14:textId="77777777" w:rsidR="00E63D31" w:rsidRPr="00203DC6" w:rsidRDefault="00E63D31" w:rsidP="00E63D31">
            <w:pPr>
              <w:rPr>
                <w:rFonts w:ascii="Times New Roman" w:hAnsi="Times New Roman" w:cs="Times New Roman"/>
                <w:b/>
                <w:sz w:val="24"/>
                <w:lang w:val="en-GB"/>
              </w:rPr>
            </w:pPr>
            <w:r w:rsidRPr="00203DC6">
              <w:rPr>
                <w:rFonts w:ascii="Times New Roman" w:hAnsi="Times New Roman" w:cs="Times New Roman"/>
                <w:b/>
                <w:sz w:val="24"/>
                <w:lang w:val="en-GB"/>
              </w:rPr>
              <w:t>Legal references and instructions</w:t>
            </w:r>
          </w:p>
        </w:tc>
      </w:tr>
      <w:tr w:rsidR="00E63D31" w:rsidRPr="00203DC6" w14:paraId="4D4CEF52" w14:textId="77777777" w:rsidTr="00191579">
        <w:trPr>
          <w:trHeight w:val="403"/>
        </w:trPr>
        <w:tc>
          <w:tcPr>
            <w:tcW w:w="1413" w:type="dxa"/>
            <w:vMerge/>
            <w:tcBorders>
              <w:left w:val="single" w:sz="4" w:space="0" w:color="auto"/>
              <w:right w:val="single" w:sz="4" w:space="0" w:color="auto"/>
            </w:tcBorders>
            <w:shd w:val="clear" w:color="auto" w:fill="D9D9D9" w:themeFill="background1" w:themeFillShade="D9"/>
          </w:tcPr>
          <w:p w14:paraId="5CE4F8F2" w14:textId="77777777" w:rsidR="00E63D31" w:rsidRPr="00203DC6" w:rsidRDefault="00E63D31" w:rsidP="00E63D31">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572F5140" w14:textId="77777777" w:rsidR="00E63D31" w:rsidRPr="00203DC6" w:rsidRDefault="00E63D31" w:rsidP="009765E0">
            <w:pPr>
              <w:autoSpaceDE w:val="0"/>
              <w:autoSpaceDN w:val="0"/>
              <w:adjustRightInd w:val="0"/>
              <w:rPr>
                <w:rFonts w:ascii="Times New Roman" w:hAnsi="Times New Roman" w:cs="Times New Roman"/>
                <w:color w:val="000000"/>
                <w:sz w:val="24"/>
                <w:lang w:val="en-GB"/>
              </w:rPr>
            </w:pPr>
            <w:r w:rsidRPr="00203DC6">
              <w:rPr>
                <w:rFonts w:ascii="Times New Roman" w:hAnsi="Times New Roman" w:cs="Times New Roman"/>
                <w:b/>
                <w:sz w:val="24"/>
                <w:lang w:val="en-GB"/>
              </w:rPr>
              <w:t>Explanation</w:t>
            </w:r>
          </w:p>
        </w:tc>
      </w:tr>
      <w:tr w:rsidR="00DE5C30" w:rsidRPr="00203DC6" w14:paraId="14525F59" w14:textId="77777777" w:rsidTr="009765E0">
        <w:trPr>
          <w:trHeight w:val="316"/>
        </w:trPr>
        <w:tc>
          <w:tcPr>
            <w:tcW w:w="1413" w:type="dxa"/>
          </w:tcPr>
          <w:p w14:paraId="1B860C49" w14:textId="77777777" w:rsidR="00DE5C30" w:rsidRPr="00203DC6" w:rsidRDefault="00E63D31" w:rsidP="009765E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Regulatory c</w:t>
            </w:r>
            <w:r w:rsidR="00DE5C30" w:rsidRPr="00203DC6">
              <w:rPr>
                <w:rFonts w:ascii="Times New Roman" w:eastAsia="Times New Roman" w:hAnsi="Times New Roman" w:cs="Times New Roman"/>
                <w:sz w:val="24"/>
                <w:lang w:val="en-GB"/>
              </w:rPr>
              <w:t>ategory</w:t>
            </w:r>
          </w:p>
        </w:tc>
        <w:tc>
          <w:tcPr>
            <w:tcW w:w="7654" w:type="dxa"/>
          </w:tcPr>
          <w:p w14:paraId="408D98F8" w14:textId="7AEA5A6E" w:rsidR="004E5C74" w:rsidRPr="004E5C74" w:rsidRDefault="004E5C74" w:rsidP="009765E0">
            <w:pPr>
              <w:jc w:val="both"/>
              <w:rPr>
                <w:rFonts w:ascii="Times New Roman" w:eastAsiaTheme="minorHAnsi" w:hAnsi="Times New Roman" w:cs="Times New Roman"/>
                <w:sz w:val="24"/>
                <w:lang w:val="fr-FR"/>
              </w:rPr>
            </w:pPr>
            <w:proofErr w:type="spellStart"/>
            <w:r>
              <w:rPr>
                <w:rFonts w:ascii="Times New Roman" w:eastAsiaTheme="minorHAnsi" w:hAnsi="Times New Roman" w:cs="Times New Roman"/>
                <w:sz w:val="24"/>
                <w:lang w:val="fr-FR"/>
              </w:rPr>
              <w:t>Templates</w:t>
            </w:r>
            <w:proofErr w:type="spellEnd"/>
            <w:r>
              <w:rPr>
                <w:rFonts w:ascii="Times New Roman" w:eastAsiaTheme="minorHAnsi" w:hAnsi="Times New Roman" w:cs="Times New Roman"/>
                <w:sz w:val="24"/>
                <w:lang w:val="fr-FR"/>
              </w:rPr>
              <w:t xml:space="preserve"> EU CR10.1 - EU CR10.4</w:t>
            </w:r>
          </w:p>
          <w:p w14:paraId="00920ACA" w14:textId="638AD850" w:rsidR="00E63D31" w:rsidRPr="00203DC6" w:rsidRDefault="00E63D31" w:rsidP="009765E0">
            <w:pPr>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Regulatory c</w:t>
            </w:r>
            <w:r w:rsidR="00DE5C30" w:rsidRPr="00203DC6">
              <w:rPr>
                <w:rFonts w:ascii="Times New Roman" w:eastAsiaTheme="minorHAnsi" w:hAnsi="Times New Roman" w:cs="Times New Roman"/>
                <w:sz w:val="24"/>
                <w:lang w:val="en-GB"/>
              </w:rPr>
              <w:t>ategor</w:t>
            </w:r>
            <w:r w:rsidRPr="00203DC6">
              <w:rPr>
                <w:rFonts w:ascii="Times New Roman" w:eastAsiaTheme="minorHAnsi" w:hAnsi="Times New Roman" w:cs="Times New Roman"/>
                <w:sz w:val="24"/>
                <w:lang w:val="en-GB"/>
              </w:rPr>
              <w:t>ies</w:t>
            </w:r>
            <w:r w:rsidR="00DE5C30" w:rsidRPr="00203DC6">
              <w:rPr>
                <w:rFonts w:ascii="Times New Roman" w:eastAsiaTheme="minorHAnsi" w:hAnsi="Times New Roman" w:cs="Times New Roman"/>
                <w:sz w:val="24"/>
                <w:lang w:val="en-GB"/>
              </w:rPr>
              <w:t xml:space="preserve"> </w:t>
            </w:r>
            <w:r w:rsidR="00005E8C" w:rsidRPr="00203DC6">
              <w:rPr>
                <w:rFonts w:ascii="Times New Roman" w:eastAsiaTheme="minorHAnsi" w:hAnsi="Times New Roman" w:cs="Times New Roman"/>
                <w:sz w:val="24"/>
                <w:lang w:val="en-GB"/>
              </w:rPr>
              <w:t>applicable to specialised lending</w:t>
            </w:r>
            <w:r w:rsidR="00CF5B4A">
              <w:rPr>
                <w:rFonts w:ascii="Times New Roman" w:eastAsiaTheme="minorHAnsi" w:hAnsi="Times New Roman" w:cs="Times New Roman"/>
                <w:sz w:val="24"/>
                <w:lang w:val="en-GB"/>
              </w:rPr>
              <w:t xml:space="preserve"> under the slotting approach</w:t>
            </w:r>
            <w:r w:rsidR="00005E8C" w:rsidRPr="00203DC6">
              <w:rPr>
                <w:rFonts w:ascii="Times New Roman" w:eastAsiaTheme="minorHAnsi" w:hAnsi="Times New Roman" w:cs="Times New Roman"/>
                <w:sz w:val="24"/>
                <w:lang w:val="en-GB"/>
              </w:rPr>
              <w:t xml:space="preserve"> for </w:t>
            </w:r>
            <w:r w:rsidR="00005E8C" w:rsidRPr="00203DC6">
              <w:rPr>
                <w:rFonts w:ascii="Times New Roman" w:hAnsi="Times New Roman" w:cs="Times New Roman"/>
                <w:iCs/>
                <w:sz w:val="24"/>
              </w:rPr>
              <w:t xml:space="preserve">each class of </w:t>
            </w:r>
            <w:proofErr w:type="spellStart"/>
            <w:r w:rsidR="00005E8C" w:rsidRPr="00203DC6">
              <w:rPr>
                <w:rFonts w:ascii="Times New Roman" w:hAnsi="Times New Roman" w:cs="Times New Roman"/>
                <w:iCs/>
                <w:sz w:val="24"/>
              </w:rPr>
              <w:t>specialised</w:t>
            </w:r>
            <w:proofErr w:type="spellEnd"/>
            <w:r w:rsidR="00005E8C" w:rsidRPr="00203DC6">
              <w:rPr>
                <w:rFonts w:ascii="Times New Roman" w:hAnsi="Times New Roman" w:cs="Times New Roman"/>
                <w:iCs/>
                <w:sz w:val="24"/>
              </w:rPr>
              <w:t xml:space="preserve"> lending exposures.</w:t>
            </w:r>
          </w:p>
          <w:p w14:paraId="7DB498AF" w14:textId="62139EC8" w:rsidR="00DE5C30" w:rsidRPr="004E5C74" w:rsidRDefault="00E63D31" w:rsidP="004E5C74">
            <w:pPr>
              <w:rPr>
                <w:rFonts w:ascii="Times New Roman" w:hAnsi="Times New Roman" w:cs="Times New Roman"/>
                <w:sz w:val="24"/>
              </w:rPr>
            </w:pPr>
            <w:r w:rsidRPr="00203DC6">
              <w:rPr>
                <w:rFonts w:ascii="Times New Roman" w:eastAsiaTheme="minorHAnsi" w:hAnsi="Times New Roman" w:cs="Times New Roman"/>
                <w:sz w:val="24"/>
                <w:lang w:val="en-GB"/>
              </w:rPr>
              <w:t xml:space="preserve">As </w:t>
            </w:r>
            <w:r w:rsidR="00DE5C30" w:rsidRPr="00203DC6">
              <w:rPr>
                <w:rFonts w:ascii="Times New Roman" w:eastAsiaTheme="minorHAnsi" w:hAnsi="Times New Roman" w:cs="Times New Roman"/>
                <w:sz w:val="24"/>
                <w:lang w:val="en-GB"/>
              </w:rPr>
              <w:t xml:space="preserve">specified in Article 153(5) </w:t>
            </w:r>
            <w:r w:rsidR="00A1176E" w:rsidRPr="00203DC6">
              <w:rPr>
                <w:rFonts w:ascii="Times New Roman" w:eastAsiaTheme="minorHAnsi" w:hAnsi="Times New Roman" w:cs="Times New Roman"/>
                <w:sz w:val="24"/>
                <w:lang w:val="en-GB"/>
              </w:rPr>
              <w:t>CRR</w:t>
            </w:r>
            <w:r w:rsidR="002042FE" w:rsidRPr="00203DC6">
              <w:rPr>
                <w:rFonts w:ascii="Times New Roman" w:eastAsiaTheme="minorHAnsi" w:hAnsi="Times New Roman" w:cs="Times New Roman"/>
                <w:sz w:val="24"/>
                <w:lang w:val="en-GB"/>
              </w:rPr>
              <w:t xml:space="preserve"> and in the </w:t>
            </w:r>
            <w:r w:rsidR="004E5C74">
              <w:rPr>
                <w:rFonts w:ascii="Times New Roman" w:eastAsiaTheme="minorHAnsi" w:hAnsi="Times New Roman" w:cs="Times New Roman"/>
                <w:sz w:val="24"/>
                <w:lang w:val="en-GB"/>
              </w:rPr>
              <w:t>final draft RTS on slotting approach</w:t>
            </w:r>
            <w:r w:rsidR="00DE5C30" w:rsidRPr="00203DC6">
              <w:rPr>
                <w:rFonts w:ascii="Times New Roman" w:eastAsiaTheme="minorHAnsi" w:hAnsi="Times New Roman" w:cs="Times New Roman"/>
                <w:sz w:val="24"/>
                <w:lang w:val="en-GB"/>
              </w:rPr>
              <w:t>.</w:t>
            </w:r>
          </w:p>
        </w:tc>
      </w:tr>
      <w:tr w:rsidR="00005E8C" w:rsidRPr="00203DC6" w14:paraId="59443113" w14:textId="77777777" w:rsidTr="009765E0">
        <w:trPr>
          <w:trHeight w:val="316"/>
        </w:trPr>
        <w:tc>
          <w:tcPr>
            <w:tcW w:w="1413" w:type="dxa"/>
          </w:tcPr>
          <w:p w14:paraId="525F619E" w14:textId="52915CB8" w:rsidR="00005E8C" w:rsidRPr="00203DC6" w:rsidRDefault="00005E8C" w:rsidP="009765E0">
            <w:pPr>
              <w:autoSpaceDE w:val="0"/>
              <w:autoSpaceDN w:val="0"/>
              <w:adjustRightInd w:val="0"/>
              <w:spacing w:before="120" w:after="120"/>
              <w:jc w:val="both"/>
              <w:rPr>
                <w:rFonts w:ascii="Times New Roman" w:eastAsia="Times New Roman" w:hAnsi="Times New Roman" w:cs="Times New Roman"/>
                <w:sz w:val="24"/>
                <w:lang w:val="en-GB"/>
              </w:rPr>
            </w:pPr>
            <w:r w:rsidRPr="00203DC6">
              <w:rPr>
                <w:rFonts w:ascii="Times New Roman" w:eastAsia="Times New Roman" w:hAnsi="Times New Roman" w:cs="Times New Roman"/>
                <w:sz w:val="24"/>
                <w:lang w:val="en-GB"/>
              </w:rPr>
              <w:t>Categories</w:t>
            </w:r>
          </w:p>
        </w:tc>
        <w:tc>
          <w:tcPr>
            <w:tcW w:w="7654" w:type="dxa"/>
          </w:tcPr>
          <w:p w14:paraId="76452AF8" w14:textId="77777777" w:rsidR="004E5C74" w:rsidRDefault="004E5C74" w:rsidP="004E5C74">
            <w:pPr>
              <w:jc w:val="both"/>
              <w:rPr>
                <w:rFonts w:ascii="Times New Roman" w:eastAsiaTheme="minorHAnsi" w:hAnsi="Times New Roman" w:cs="Times New Roman"/>
                <w:sz w:val="24"/>
                <w:lang w:val="en-GB"/>
              </w:rPr>
            </w:pPr>
            <w:r>
              <w:rPr>
                <w:rFonts w:ascii="Times New Roman" w:eastAsiaTheme="minorHAnsi" w:hAnsi="Times New Roman" w:cs="Times New Roman"/>
                <w:sz w:val="24"/>
                <w:lang w:val="en-GB"/>
              </w:rPr>
              <w:t>Template EU CR10.5</w:t>
            </w:r>
          </w:p>
          <w:p w14:paraId="3030C00B" w14:textId="25BF5711" w:rsidR="00005E8C" w:rsidRPr="00203DC6" w:rsidRDefault="00005E8C" w:rsidP="00B952F3">
            <w:pPr>
              <w:jc w:val="both"/>
              <w:rPr>
                <w:rFonts w:ascii="Times New Roman" w:eastAsiaTheme="minorHAnsi" w:hAnsi="Times New Roman" w:cs="Times New Roman"/>
                <w:sz w:val="24"/>
                <w:lang w:val="en-GB"/>
              </w:rPr>
            </w:pPr>
            <w:r w:rsidRPr="00203DC6">
              <w:rPr>
                <w:rFonts w:ascii="Times New Roman" w:eastAsiaTheme="minorHAnsi" w:hAnsi="Times New Roman" w:cs="Times New Roman"/>
                <w:sz w:val="24"/>
                <w:lang w:val="en-GB"/>
              </w:rPr>
              <w:t>Regulatory categories applicable to equities under the simple risk-weight approach in accordance with Article 155(2) CRR.</w:t>
            </w:r>
          </w:p>
        </w:tc>
      </w:tr>
    </w:tbl>
    <w:p w14:paraId="516E58BF" w14:textId="77777777" w:rsidR="00851866" w:rsidRPr="00203DC6" w:rsidRDefault="00851866" w:rsidP="002E4106">
      <w:pPr>
        <w:rPr>
          <w:rFonts w:ascii="Times New Roman" w:hAnsi="Times New Roman" w:cs="Times New Roman"/>
          <w:noProof/>
          <w:sz w:val="24"/>
        </w:rPr>
      </w:pPr>
    </w:p>
    <w:p w14:paraId="114F677D" w14:textId="77777777" w:rsidR="00851866" w:rsidRPr="00203DC6" w:rsidRDefault="00851866" w:rsidP="002E4106">
      <w:pPr>
        <w:rPr>
          <w:rFonts w:ascii="Times New Roman" w:hAnsi="Times New Roman" w:cs="Times New Roman"/>
          <w:noProof/>
          <w:sz w:val="24"/>
        </w:rPr>
      </w:pPr>
    </w:p>
    <w:bookmarkEnd w:id="0"/>
    <w:bookmarkEnd w:id="1"/>
    <w:bookmarkEnd w:id="2"/>
    <w:bookmarkEnd w:id="3"/>
    <w:bookmarkEnd w:id="4"/>
    <w:bookmarkEnd w:id="5"/>
    <w:bookmarkEnd w:id="6"/>
    <w:bookmarkEnd w:id="7"/>
    <w:bookmarkEnd w:id="8"/>
    <w:bookmarkEnd w:id="9"/>
    <w:p w14:paraId="2E41E08E" w14:textId="77777777" w:rsidR="00851866" w:rsidRPr="00203DC6" w:rsidRDefault="00851866" w:rsidP="002E4106">
      <w:pPr>
        <w:rPr>
          <w:rFonts w:ascii="Times New Roman" w:hAnsi="Times New Roman" w:cs="Times New Roman"/>
          <w:noProof/>
          <w:sz w:val="24"/>
        </w:rPr>
      </w:pPr>
    </w:p>
    <w:sectPr w:rsidR="00851866" w:rsidRPr="00203DC6" w:rsidSect="000F33D3">
      <w:headerReference w:type="default" r:id="rId8"/>
      <w:footerReference w:type="default" r:id="rId9"/>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0784" w14:textId="77777777" w:rsidR="001E0570" w:rsidRDefault="001E0570" w:rsidP="00A00E34">
      <w:r>
        <w:separator/>
      </w:r>
    </w:p>
    <w:p w14:paraId="580D279F" w14:textId="77777777" w:rsidR="001E0570" w:rsidRDefault="001E0570"/>
  </w:endnote>
  <w:endnote w:type="continuationSeparator" w:id="0">
    <w:p w14:paraId="5BB90CCE" w14:textId="77777777" w:rsidR="001E0570" w:rsidRDefault="001E0570" w:rsidP="00A00E34">
      <w:r>
        <w:continuationSeparator/>
      </w:r>
    </w:p>
    <w:p w14:paraId="652D1592" w14:textId="77777777" w:rsidR="001E0570" w:rsidRDefault="001E0570"/>
  </w:endnote>
  <w:endnote w:type="continuationNotice" w:id="1">
    <w:p w14:paraId="07DD7866" w14:textId="77777777" w:rsidR="001E0570" w:rsidRDefault="001E0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30D" w14:textId="77777777" w:rsidR="001E0570" w:rsidRDefault="001E0570" w:rsidP="00D50F79">
    <w:pPr>
      <w:pStyle w:val="Footer"/>
      <w:ind w:right="360"/>
    </w:pPr>
    <w:r>
      <w:rPr>
        <w:noProof/>
      </w:rPr>
      <mc:AlternateContent>
        <mc:Choice Requires="wps">
          <w:drawing>
            <wp:anchor distT="4294967295" distB="4294967295" distL="114300" distR="114300" simplePos="0" relativeHeight="251661312" behindDoc="1" locked="1" layoutInCell="1" allowOverlap="1" wp14:anchorId="53393073" wp14:editId="540486BD">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7FDE5" id="Straight Connector 1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p w14:paraId="706A1DE1" w14:textId="41843AC4" w:rsidR="001E0570" w:rsidRDefault="001E0570" w:rsidP="00D5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789">
      <w:rPr>
        <w:rStyle w:val="PageNumber"/>
        <w:noProof/>
      </w:rPr>
      <w:t>2</w:t>
    </w:r>
    <w:r>
      <w:rPr>
        <w:rStyle w:val="PageNumber"/>
      </w:rPr>
      <w:fldChar w:fldCharType="end"/>
    </w:r>
  </w:p>
  <w:p w14:paraId="1BA4995F" w14:textId="77777777" w:rsidR="001E0570" w:rsidRDefault="001E0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A836" w14:textId="77777777" w:rsidR="001E0570" w:rsidRPr="00DB5E8F" w:rsidRDefault="001E0570">
      <w:pPr>
        <w:rPr>
          <w:sz w:val="12"/>
          <w:szCs w:val="12"/>
        </w:rPr>
      </w:pPr>
      <w:r w:rsidRPr="00DB5E8F">
        <w:rPr>
          <w:sz w:val="12"/>
          <w:szCs w:val="12"/>
        </w:rPr>
        <w:separator/>
      </w:r>
    </w:p>
  </w:footnote>
  <w:footnote w:type="continuationSeparator" w:id="0">
    <w:p w14:paraId="552A7F66" w14:textId="77777777" w:rsidR="001E0570" w:rsidRDefault="001E0570" w:rsidP="00A00E34">
      <w:r>
        <w:continuationSeparator/>
      </w:r>
    </w:p>
    <w:p w14:paraId="5A664166" w14:textId="77777777" w:rsidR="001E0570" w:rsidRDefault="001E0570"/>
  </w:footnote>
  <w:footnote w:type="continuationNotice" w:id="1">
    <w:p w14:paraId="1815AD3D" w14:textId="77777777" w:rsidR="001E0570" w:rsidRDefault="001E0570"/>
  </w:footnote>
  <w:footnote w:id="2">
    <w:p w14:paraId="5D09ADA2" w14:textId="70A40F1A" w:rsidR="00586A7A" w:rsidRDefault="00586A7A" w:rsidP="00586A7A">
      <w:pPr>
        <w:pStyle w:val="FootnoteText"/>
      </w:pPr>
      <w:r>
        <w:rPr>
          <w:rStyle w:val="FootnoteReference"/>
        </w:rPr>
        <w:footnoteRef/>
      </w:r>
      <w:r>
        <w:t xml:space="preserve"> </w:t>
      </w:r>
      <w:r w:rsidRPr="00E018B1">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r>
        <w:t>, p.195</w:t>
      </w:r>
      <w:r w:rsidRPr="00E018B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3D35" w14:textId="77777777" w:rsidR="001E0570" w:rsidRPr="00F9452C" w:rsidRDefault="001E0570" w:rsidP="00D50F79">
    <w:pPr>
      <w:pStyle w:val="Runningtitle"/>
    </w:pPr>
    <w:r w:rsidRPr="00A27B9D">
      <w:rPr>
        <w:highlight w:val="yellow"/>
      </w:rPr>
      <w:t>CONSULTATION PAPER / FINAL REPORT</w:t>
    </w:r>
    <w:r>
      <w:t xml:space="preserve"> ON </w:t>
    </w:r>
    <w:r w:rsidRPr="00254CA9">
      <w:rPr>
        <w:highlight w:val="yellow"/>
      </w:rPr>
      <w:t>[</w:t>
    </w:r>
    <w:r w:rsidRPr="00254CA9">
      <w:rPr>
        <w:highlight w:val="yellow"/>
      </w:rPr>
      <w:tab/>
      <w:t>]</w:t>
    </w:r>
  </w:p>
  <w:p w14:paraId="669C270B" w14:textId="77777777" w:rsidR="001E0570" w:rsidRDefault="001E0570" w:rsidP="00D50F79">
    <w:pPr>
      <w:pStyle w:val="Header"/>
    </w:pPr>
    <w:r>
      <w:rPr>
        <w:noProof/>
      </w:rPr>
      <w:drawing>
        <wp:anchor distT="0" distB="0" distL="114300" distR="114300" simplePos="0" relativeHeight="251659264" behindDoc="1" locked="0" layoutInCell="1" allowOverlap="1" wp14:anchorId="0F92B687" wp14:editId="0A71113E">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51D4DAB7" w14:textId="77777777" w:rsidR="001E0570" w:rsidRDefault="001E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9134A45"/>
    <w:multiLevelType w:val="hybridMultilevel"/>
    <w:tmpl w:val="D67031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9"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432A7"/>
    <w:multiLevelType w:val="hybridMultilevel"/>
    <w:tmpl w:val="BC4E7152"/>
    <w:lvl w:ilvl="0" w:tplc="1F58E3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6" w15:restartNumberingAfterBreak="0">
    <w:nsid w:val="2E3C6E12"/>
    <w:multiLevelType w:val="hybridMultilevel"/>
    <w:tmpl w:val="A0DCC94A"/>
    <w:lvl w:ilvl="0" w:tplc="04070019">
      <w:start w:val="1"/>
      <w:numFmt w:val="lowerLetter"/>
      <w:lvlText w:val="%1."/>
      <w:lvlJc w:val="left"/>
      <w:pPr>
        <w:ind w:left="360" w:hanging="360"/>
      </w:pPr>
      <w:rPr>
        <w:rFonts w:hint="default"/>
      </w:rPr>
    </w:lvl>
    <w:lvl w:ilvl="1" w:tplc="B3B2567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032129"/>
    <w:multiLevelType w:val="hybridMultilevel"/>
    <w:tmpl w:val="19309CE2"/>
    <w:lvl w:ilvl="0" w:tplc="32068306">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823"/>
    <w:multiLevelType w:val="hybridMultilevel"/>
    <w:tmpl w:val="A99403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FB7BE8"/>
    <w:multiLevelType w:val="hybridMultilevel"/>
    <w:tmpl w:val="DA2A1476"/>
    <w:lvl w:ilvl="0" w:tplc="3F82BFBA">
      <w:start w:val="1"/>
      <w:numFmt w:val="bullet"/>
      <w:lvlText w:val="-"/>
      <w:lvlJc w:val="left"/>
      <w:pPr>
        <w:ind w:left="1800" w:hanging="360"/>
      </w:pPr>
      <w:rPr>
        <w:rFonts w:ascii="Times New Roman" w:eastAsiaTheme="minorEastAsia"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A9D2440"/>
    <w:multiLevelType w:val="hybridMultilevel"/>
    <w:tmpl w:val="DFF8DDD2"/>
    <w:lvl w:ilvl="0" w:tplc="615C709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DC6495"/>
    <w:multiLevelType w:val="hybridMultilevel"/>
    <w:tmpl w:val="AA96C210"/>
    <w:lvl w:ilvl="0" w:tplc="6334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319DB"/>
    <w:multiLevelType w:val="multilevel"/>
    <w:tmpl w:val="BEAAFA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D727D"/>
    <w:multiLevelType w:val="hybridMultilevel"/>
    <w:tmpl w:val="A352F802"/>
    <w:lvl w:ilvl="0" w:tplc="42DA0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9683C"/>
    <w:multiLevelType w:val="hybridMultilevel"/>
    <w:tmpl w:val="BB1CA9DA"/>
    <w:lvl w:ilvl="0" w:tplc="FBA230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47495"/>
    <w:multiLevelType w:val="hybridMultilevel"/>
    <w:tmpl w:val="90B6FD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860A99"/>
    <w:multiLevelType w:val="hybridMultilevel"/>
    <w:tmpl w:val="6D688978"/>
    <w:lvl w:ilvl="0" w:tplc="1F58E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69C1613A"/>
    <w:multiLevelType w:val="hybridMultilevel"/>
    <w:tmpl w:val="8C7041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A0E5E13"/>
    <w:multiLevelType w:val="hybridMultilevel"/>
    <w:tmpl w:val="37763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7A0A1380"/>
    <w:multiLevelType w:val="hybridMultilevel"/>
    <w:tmpl w:val="9D64A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5"/>
  </w:num>
  <w:num w:numId="4">
    <w:abstractNumId w:val="19"/>
  </w:num>
  <w:num w:numId="5">
    <w:abstractNumId w:val="36"/>
  </w:num>
  <w:num w:numId="6">
    <w:abstractNumId w:val="1"/>
  </w:num>
  <w:num w:numId="7">
    <w:abstractNumId w:val="35"/>
  </w:num>
  <w:num w:numId="8">
    <w:abstractNumId w:val="25"/>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0"/>
  </w:num>
  <w:num w:numId="16">
    <w:abstractNumId w:val="4"/>
  </w:num>
  <w:num w:numId="17">
    <w:abstractNumId w:val="12"/>
  </w:num>
  <w:num w:numId="18">
    <w:abstractNumId w:val="37"/>
  </w:num>
  <w:num w:numId="19">
    <w:abstractNumId w:val="6"/>
  </w:num>
  <w:num w:numId="20">
    <w:abstractNumId w:val="9"/>
  </w:num>
  <w:num w:numId="21">
    <w:abstractNumId w:val="35"/>
  </w:num>
  <w:num w:numId="22">
    <w:abstractNumId w:val="35"/>
  </w:num>
  <w:num w:numId="23">
    <w:abstractNumId w:val="35"/>
  </w:num>
  <w:num w:numId="24">
    <w:abstractNumId w:val="35"/>
  </w:num>
  <w:num w:numId="25">
    <w:abstractNumId w:val="35"/>
  </w:num>
  <w:num w:numId="26">
    <w:abstractNumId w:val="35"/>
  </w:num>
  <w:num w:numId="27">
    <w:abstractNumId w:val="35"/>
  </w:num>
  <w:num w:numId="28">
    <w:abstractNumId w:val="38"/>
  </w:num>
  <w:num w:numId="29">
    <w:abstractNumId w:val="14"/>
  </w:num>
  <w:num w:numId="30">
    <w:abstractNumId w:val="8"/>
  </w:num>
  <w:num w:numId="31">
    <w:abstractNumId w:val="10"/>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 w:numId="37">
    <w:abstractNumId w:val="18"/>
  </w:num>
  <w:num w:numId="38">
    <w:abstractNumId w:val="30"/>
  </w:num>
  <w:num w:numId="39">
    <w:abstractNumId w:val="3"/>
  </w:num>
  <w:num w:numId="40">
    <w:abstractNumId w:val="7"/>
  </w:num>
  <w:num w:numId="41">
    <w:abstractNumId w:val="13"/>
  </w:num>
  <w:num w:numId="42">
    <w:abstractNumId w:val="11"/>
  </w:num>
  <w:num w:numId="43">
    <w:abstractNumId w:val="23"/>
  </w:num>
  <w:num w:numId="44">
    <w:abstractNumId w:val="32"/>
  </w:num>
  <w:num w:numId="45">
    <w:abstractNumId w:val="26"/>
  </w:num>
  <w:num w:numId="46">
    <w:abstractNumId w:val="29"/>
  </w:num>
  <w:num w:numId="47">
    <w:abstractNumId w:val="16"/>
  </w:num>
  <w:num w:numId="48">
    <w:abstractNumId w:val="33"/>
  </w:num>
  <w:num w:numId="49">
    <w:abstractNumId w:val="28"/>
  </w:num>
  <w:num w:numId="50">
    <w:abstractNumId w:val="17"/>
  </w:num>
  <w:num w:numId="51">
    <w:abstractNumId w:val="22"/>
  </w:num>
  <w:num w:numId="52">
    <w:abstractNumId w:val="31"/>
  </w:num>
  <w:num w:numId="53">
    <w:abstractNumId w:val="20"/>
  </w:num>
  <w:num w:numId="54">
    <w:abstractNumId w:val="5"/>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0E83"/>
    <w:rsid w:val="00001873"/>
    <w:rsid w:val="00002ECD"/>
    <w:rsid w:val="0000357D"/>
    <w:rsid w:val="00003F50"/>
    <w:rsid w:val="00005E8C"/>
    <w:rsid w:val="000074CA"/>
    <w:rsid w:val="00013281"/>
    <w:rsid w:val="00015DE4"/>
    <w:rsid w:val="00016E0D"/>
    <w:rsid w:val="00017DB6"/>
    <w:rsid w:val="000231B7"/>
    <w:rsid w:val="00027CA0"/>
    <w:rsid w:val="00030D65"/>
    <w:rsid w:val="000329C7"/>
    <w:rsid w:val="00036762"/>
    <w:rsid w:val="00037EAE"/>
    <w:rsid w:val="00040129"/>
    <w:rsid w:val="00042150"/>
    <w:rsid w:val="00046ABC"/>
    <w:rsid w:val="00055CF9"/>
    <w:rsid w:val="00060F40"/>
    <w:rsid w:val="00062830"/>
    <w:rsid w:val="00062937"/>
    <w:rsid w:val="00063AA9"/>
    <w:rsid w:val="00066A9A"/>
    <w:rsid w:val="00073BFA"/>
    <w:rsid w:val="000774B3"/>
    <w:rsid w:val="0008096D"/>
    <w:rsid w:val="00080CCA"/>
    <w:rsid w:val="0008189F"/>
    <w:rsid w:val="00081A0C"/>
    <w:rsid w:val="00083C33"/>
    <w:rsid w:val="000843CD"/>
    <w:rsid w:val="000862C3"/>
    <w:rsid w:val="00092FC2"/>
    <w:rsid w:val="00093162"/>
    <w:rsid w:val="00095CFB"/>
    <w:rsid w:val="00096389"/>
    <w:rsid w:val="000A04DE"/>
    <w:rsid w:val="000A1C81"/>
    <w:rsid w:val="000A2565"/>
    <w:rsid w:val="000A2ADA"/>
    <w:rsid w:val="000A3851"/>
    <w:rsid w:val="000A3A15"/>
    <w:rsid w:val="000A46BA"/>
    <w:rsid w:val="000A4E5B"/>
    <w:rsid w:val="000A5B1B"/>
    <w:rsid w:val="000A73CD"/>
    <w:rsid w:val="000A7CCA"/>
    <w:rsid w:val="000B054F"/>
    <w:rsid w:val="000B1645"/>
    <w:rsid w:val="000B16EC"/>
    <w:rsid w:val="000B4507"/>
    <w:rsid w:val="000B77BE"/>
    <w:rsid w:val="000C15F7"/>
    <w:rsid w:val="000C3124"/>
    <w:rsid w:val="000C3FF9"/>
    <w:rsid w:val="000C5A8A"/>
    <w:rsid w:val="000C7FD8"/>
    <w:rsid w:val="000D1A6E"/>
    <w:rsid w:val="000D1FC3"/>
    <w:rsid w:val="000D4679"/>
    <w:rsid w:val="000D7A44"/>
    <w:rsid w:val="000E0C27"/>
    <w:rsid w:val="000E1DD3"/>
    <w:rsid w:val="000E2E5F"/>
    <w:rsid w:val="000E6D15"/>
    <w:rsid w:val="000F22F5"/>
    <w:rsid w:val="000F33D3"/>
    <w:rsid w:val="000F3E72"/>
    <w:rsid w:val="000F505C"/>
    <w:rsid w:val="000F5F81"/>
    <w:rsid w:val="000F607B"/>
    <w:rsid w:val="000F6495"/>
    <w:rsid w:val="000F6FD8"/>
    <w:rsid w:val="00103AB2"/>
    <w:rsid w:val="001061FA"/>
    <w:rsid w:val="0010670B"/>
    <w:rsid w:val="00107658"/>
    <w:rsid w:val="00110BE4"/>
    <w:rsid w:val="0011517F"/>
    <w:rsid w:val="00116509"/>
    <w:rsid w:val="001167D5"/>
    <w:rsid w:val="001171EA"/>
    <w:rsid w:val="001202E1"/>
    <w:rsid w:val="00121BB0"/>
    <w:rsid w:val="00121E46"/>
    <w:rsid w:val="00126783"/>
    <w:rsid w:val="0012686C"/>
    <w:rsid w:val="00130804"/>
    <w:rsid w:val="0013090C"/>
    <w:rsid w:val="00131C5D"/>
    <w:rsid w:val="00135822"/>
    <w:rsid w:val="001415C8"/>
    <w:rsid w:val="00142DF6"/>
    <w:rsid w:val="00145D24"/>
    <w:rsid w:val="00147142"/>
    <w:rsid w:val="00147449"/>
    <w:rsid w:val="00152832"/>
    <w:rsid w:val="00153DAA"/>
    <w:rsid w:val="00154596"/>
    <w:rsid w:val="00155278"/>
    <w:rsid w:val="001561B9"/>
    <w:rsid w:val="001575E1"/>
    <w:rsid w:val="001600FC"/>
    <w:rsid w:val="00160D08"/>
    <w:rsid w:val="0016737A"/>
    <w:rsid w:val="00170CF2"/>
    <w:rsid w:val="00172007"/>
    <w:rsid w:val="0017446F"/>
    <w:rsid w:val="0017541E"/>
    <w:rsid w:val="001777A5"/>
    <w:rsid w:val="00177CB9"/>
    <w:rsid w:val="0018026D"/>
    <w:rsid w:val="00180540"/>
    <w:rsid w:val="001834D4"/>
    <w:rsid w:val="00183758"/>
    <w:rsid w:val="001865A0"/>
    <w:rsid w:val="00190259"/>
    <w:rsid w:val="00190643"/>
    <w:rsid w:val="00191579"/>
    <w:rsid w:val="00192287"/>
    <w:rsid w:val="00192421"/>
    <w:rsid w:val="00192B8E"/>
    <w:rsid w:val="00196896"/>
    <w:rsid w:val="00196E64"/>
    <w:rsid w:val="001A016C"/>
    <w:rsid w:val="001A0376"/>
    <w:rsid w:val="001A0943"/>
    <w:rsid w:val="001A0BCF"/>
    <w:rsid w:val="001A2A81"/>
    <w:rsid w:val="001A5BD4"/>
    <w:rsid w:val="001A70A8"/>
    <w:rsid w:val="001B1DB0"/>
    <w:rsid w:val="001B2C0D"/>
    <w:rsid w:val="001B3E4D"/>
    <w:rsid w:val="001B452F"/>
    <w:rsid w:val="001B4D3D"/>
    <w:rsid w:val="001B5AFD"/>
    <w:rsid w:val="001B6017"/>
    <w:rsid w:val="001B77E8"/>
    <w:rsid w:val="001B7A0B"/>
    <w:rsid w:val="001B7EB3"/>
    <w:rsid w:val="001C1FD9"/>
    <w:rsid w:val="001C5137"/>
    <w:rsid w:val="001C5BC2"/>
    <w:rsid w:val="001D0179"/>
    <w:rsid w:val="001D0CB9"/>
    <w:rsid w:val="001D4347"/>
    <w:rsid w:val="001E0570"/>
    <w:rsid w:val="001E1188"/>
    <w:rsid w:val="001E2779"/>
    <w:rsid w:val="001E3599"/>
    <w:rsid w:val="001E3BFE"/>
    <w:rsid w:val="001F1CB9"/>
    <w:rsid w:val="001F2ADD"/>
    <w:rsid w:val="001F3255"/>
    <w:rsid w:val="001F3C3A"/>
    <w:rsid w:val="001F5619"/>
    <w:rsid w:val="001F7501"/>
    <w:rsid w:val="00203DC6"/>
    <w:rsid w:val="002042FE"/>
    <w:rsid w:val="00205878"/>
    <w:rsid w:val="00210112"/>
    <w:rsid w:val="0021112F"/>
    <w:rsid w:val="00213D7B"/>
    <w:rsid w:val="00214DEC"/>
    <w:rsid w:val="00215D50"/>
    <w:rsid w:val="00216948"/>
    <w:rsid w:val="00223CF0"/>
    <w:rsid w:val="00224761"/>
    <w:rsid w:val="00224A3F"/>
    <w:rsid w:val="00224D96"/>
    <w:rsid w:val="00225EA2"/>
    <w:rsid w:val="002302AC"/>
    <w:rsid w:val="002305ED"/>
    <w:rsid w:val="002306C7"/>
    <w:rsid w:val="00230BC7"/>
    <w:rsid w:val="00231B5D"/>
    <w:rsid w:val="0023788A"/>
    <w:rsid w:val="00240F1A"/>
    <w:rsid w:val="00241BD8"/>
    <w:rsid w:val="002434B0"/>
    <w:rsid w:val="00247148"/>
    <w:rsid w:val="00247E1D"/>
    <w:rsid w:val="0025017D"/>
    <w:rsid w:val="00252398"/>
    <w:rsid w:val="00254CA9"/>
    <w:rsid w:val="00254F9D"/>
    <w:rsid w:val="00255F5B"/>
    <w:rsid w:val="00256EF8"/>
    <w:rsid w:val="002572A1"/>
    <w:rsid w:val="00257D1F"/>
    <w:rsid w:val="00261678"/>
    <w:rsid w:val="00263B67"/>
    <w:rsid w:val="002666F9"/>
    <w:rsid w:val="00266F94"/>
    <w:rsid w:val="00271093"/>
    <w:rsid w:val="0027418E"/>
    <w:rsid w:val="002767AA"/>
    <w:rsid w:val="00290DA3"/>
    <w:rsid w:val="002949E7"/>
    <w:rsid w:val="00294CF9"/>
    <w:rsid w:val="00294FC0"/>
    <w:rsid w:val="002A01A5"/>
    <w:rsid w:val="002A0AD5"/>
    <w:rsid w:val="002A0FF0"/>
    <w:rsid w:val="002A112D"/>
    <w:rsid w:val="002A3A19"/>
    <w:rsid w:val="002A7748"/>
    <w:rsid w:val="002B0E2C"/>
    <w:rsid w:val="002B0F08"/>
    <w:rsid w:val="002B74E5"/>
    <w:rsid w:val="002C0DCF"/>
    <w:rsid w:val="002D1867"/>
    <w:rsid w:val="002D325A"/>
    <w:rsid w:val="002D5A9E"/>
    <w:rsid w:val="002D780D"/>
    <w:rsid w:val="002E4106"/>
    <w:rsid w:val="002F2009"/>
    <w:rsid w:val="002F557E"/>
    <w:rsid w:val="002F6D57"/>
    <w:rsid w:val="00300924"/>
    <w:rsid w:val="003025A8"/>
    <w:rsid w:val="003129B6"/>
    <w:rsid w:val="00314D6E"/>
    <w:rsid w:val="00316409"/>
    <w:rsid w:val="00320E57"/>
    <w:rsid w:val="003219E8"/>
    <w:rsid w:val="003221EF"/>
    <w:rsid w:val="00322C23"/>
    <w:rsid w:val="003248A2"/>
    <w:rsid w:val="00324E95"/>
    <w:rsid w:val="003278FD"/>
    <w:rsid w:val="00337A62"/>
    <w:rsid w:val="003461F7"/>
    <w:rsid w:val="00347BC6"/>
    <w:rsid w:val="00350D0D"/>
    <w:rsid w:val="0035170A"/>
    <w:rsid w:val="00353794"/>
    <w:rsid w:val="0035477B"/>
    <w:rsid w:val="0035599C"/>
    <w:rsid w:val="00356C9A"/>
    <w:rsid w:val="003604AA"/>
    <w:rsid w:val="0036082E"/>
    <w:rsid w:val="003616E2"/>
    <w:rsid w:val="003632C6"/>
    <w:rsid w:val="00363A99"/>
    <w:rsid w:val="00372BEC"/>
    <w:rsid w:val="0037659E"/>
    <w:rsid w:val="0038020E"/>
    <w:rsid w:val="00382CF6"/>
    <w:rsid w:val="00385B55"/>
    <w:rsid w:val="003913C0"/>
    <w:rsid w:val="003919BE"/>
    <w:rsid w:val="00392385"/>
    <w:rsid w:val="00393AF3"/>
    <w:rsid w:val="003A4578"/>
    <w:rsid w:val="003B3E6C"/>
    <w:rsid w:val="003B503D"/>
    <w:rsid w:val="003B6A5A"/>
    <w:rsid w:val="003B7EA0"/>
    <w:rsid w:val="003C1860"/>
    <w:rsid w:val="003C1AC0"/>
    <w:rsid w:val="003D01F8"/>
    <w:rsid w:val="003D3350"/>
    <w:rsid w:val="003D7823"/>
    <w:rsid w:val="003D7A72"/>
    <w:rsid w:val="003E086E"/>
    <w:rsid w:val="003E318D"/>
    <w:rsid w:val="003E40BA"/>
    <w:rsid w:val="003E5EDA"/>
    <w:rsid w:val="003E6056"/>
    <w:rsid w:val="003E6D6A"/>
    <w:rsid w:val="00402D92"/>
    <w:rsid w:val="0040650B"/>
    <w:rsid w:val="00406ABD"/>
    <w:rsid w:val="00411BE8"/>
    <w:rsid w:val="00412567"/>
    <w:rsid w:val="0041462B"/>
    <w:rsid w:val="004172D1"/>
    <w:rsid w:val="00421427"/>
    <w:rsid w:val="00422886"/>
    <w:rsid w:val="0042345D"/>
    <w:rsid w:val="00423E6F"/>
    <w:rsid w:val="00424530"/>
    <w:rsid w:val="00427E35"/>
    <w:rsid w:val="0043420F"/>
    <w:rsid w:val="00434E03"/>
    <w:rsid w:val="0043577F"/>
    <w:rsid w:val="00435DE5"/>
    <w:rsid w:val="004363CC"/>
    <w:rsid w:val="0043675A"/>
    <w:rsid w:val="004373E9"/>
    <w:rsid w:val="0044119A"/>
    <w:rsid w:val="00441A72"/>
    <w:rsid w:val="00441F85"/>
    <w:rsid w:val="004436D6"/>
    <w:rsid w:val="00447FA7"/>
    <w:rsid w:val="00450052"/>
    <w:rsid w:val="00451372"/>
    <w:rsid w:val="00452468"/>
    <w:rsid w:val="0045301B"/>
    <w:rsid w:val="004541F3"/>
    <w:rsid w:val="00455E0E"/>
    <w:rsid w:val="00462F45"/>
    <w:rsid w:val="00463F2C"/>
    <w:rsid w:val="004717B5"/>
    <w:rsid w:val="004719B4"/>
    <w:rsid w:val="00471CA1"/>
    <w:rsid w:val="00471CCE"/>
    <w:rsid w:val="00472661"/>
    <w:rsid w:val="0047318B"/>
    <w:rsid w:val="0047368B"/>
    <w:rsid w:val="00474CC2"/>
    <w:rsid w:val="0047543E"/>
    <w:rsid w:val="00481AC4"/>
    <w:rsid w:val="00482FB6"/>
    <w:rsid w:val="00484609"/>
    <w:rsid w:val="00490AF9"/>
    <w:rsid w:val="00491D7C"/>
    <w:rsid w:val="00492B4D"/>
    <w:rsid w:val="004955E7"/>
    <w:rsid w:val="00497791"/>
    <w:rsid w:val="0049781D"/>
    <w:rsid w:val="004A1033"/>
    <w:rsid w:val="004A5D8B"/>
    <w:rsid w:val="004A69B7"/>
    <w:rsid w:val="004B1E20"/>
    <w:rsid w:val="004B24E0"/>
    <w:rsid w:val="004B2FC0"/>
    <w:rsid w:val="004B7623"/>
    <w:rsid w:val="004B7784"/>
    <w:rsid w:val="004B7965"/>
    <w:rsid w:val="004C1B19"/>
    <w:rsid w:val="004C320A"/>
    <w:rsid w:val="004C392C"/>
    <w:rsid w:val="004C5115"/>
    <w:rsid w:val="004C6392"/>
    <w:rsid w:val="004D0817"/>
    <w:rsid w:val="004D1184"/>
    <w:rsid w:val="004D18C8"/>
    <w:rsid w:val="004D3523"/>
    <w:rsid w:val="004D6B38"/>
    <w:rsid w:val="004D6CC6"/>
    <w:rsid w:val="004D7668"/>
    <w:rsid w:val="004E0FEF"/>
    <w:rsid w:val="004E27EE"/>
    <w:rsid w:val="004E405B"/>
    <w:rsid w:val="004E526A"/>
    <w:rsid w:val="004E5C74"/>
    <w:rsid w:val="004E68A9"/>
    <w:rsid w:val="004E6C6B"/>
    <w:rsid w:val="004E6EF4"/>
    <w:rsid w:val="004F0AB6"/>
    <w:rsid w:val="004F1C9B"/>
    <w:rsid w:val="004F29FF"/>
    <w:rsid w:val="004F5434"/>
    <w:rsid w:val="004F6371"/>
    <w:rsid w:val="004F63DB"/>
    <w:rsid w:val="004F7817"/>
    <w:rsid w:val="0050144F"/>
    <w:rsid w:val="00505C64"/>
    <w:rsid w:val="00506265"/>
    <w:rsid w:val="00507387"/>
    <w:rsid w:val="005105EF"/>
    <w:rsid w:val="00510A14"/>
    <w:rsid w:val="00514AB6"/>
    <w:rsid w:val="00517915"/>
    <w:rsid w:val="00520FD0"/>
    <w:rsid w:val="00522208"/>
    <w:rsid w:val="00523895"/>
    <w:rsid w:val="00523B71"/>
    <w:rsid w:val="00530F57"/>
    <w:rsid w:val="00531783"/>
    <w:rsid w:val="0053178E"/>
    <w:rsid w:val="005326AB"/>
    <w:rsid w:val="005410AB"/>
    <w:rsid w:val="005424D3"/>
    <w:rsid w:val="00543A44"/>
    <w:rsid w:val="00545E67"/>
    <w:rsid w:val="00546D72"/>
    <w:rsid w:val="005470B6"/>
    <w:rsid w:val="00556D6C"/>
    <w:rsid w:val="00557555"/>
    <w:rsid w:val="00565691"/>
    <w:rsid w:val="005673AC"/>
    <w:rsid w:val="00571BB6"/>
    <w:rsid w:val="005755F6"/>
    <w:rsid w:val="00575BA7"/>
    <w:rsid w:val="0058010A"/>
    <w:rsid w:val="00580A47"/>
    <w:rsid w:val="00582AA7"/>
    <w:rsid w:val="0058477C"/>
    <w:rsid w:val="00584C72"/>
    <w:rsid w:val="0058568F"/>
    <w:rsid w:val="005862BF"/>
    <w:rsid w:val="0058688B"/>
    <w:rsid w:val="00586A7A"/>
    <w:rsid w:val="00587B08"/>
    <w:rsid w:val="00590E93"/>
    <w:rsid w:val="00593D83"/>
    <w:rsid w:val="00593DDE"/>
    <w:rsid w:val="00595589"/>
    <w:rsid w:val="005A2ED8"/>
    <w:rsid w:val="005A4E72"/>
    <w:rsid w:val="005A502A"/>
    <w:rsid w:val="005A6911"/>
    <w:rsid w:val="005A7F9A"/>
    <w:rsid w:val="005B49BB"/>
    <w:rsid w:val="005B5C09"/>
    <w:rsid w:val="005B7D63"/>
    <w:rsid w:val="005C2344"/>
    <w:rsid w:val="005C3DFF"/>
    <w:rsid w:val="005C498B"/>
    <w:rsid w:val="005C590A"/>
    <w:rsid w:val="005C7FBA"/>
    <w:rsid w:val="005D2406"/>
    <w:rsid w:val="005D3611"/>
    <w:rsid w:val="005D4005"/>
    <w:rsid w:val="005D40D1"/>
    <w:rsid w:val="005D46E5"/>
    <w:rsid w:val="005D7532"/>
    <w:rsid w:val="005E5ADF"/>
    <w:rsid w:val="005E6DD6"/>
    <w:rsid w:val="005F3895"/>
    <w:rsid w:val="005F7B1D"/>
    <w:rsid w:val="006017FA"/>
    <w:rsid w:val="00605635"/>
    <w:rsid w:val="006059B2"/>
    <w:rsid w:val="00610305"/>
    <w:rsid w:val="00610419"/>
    <w:rsid w:val="00611DDB"/>
    <w:rsid w:val="00612AD3"/>
    <w:rsid w:val="00612C7B"/>
    <w:rsid w:val="00612DA9"/>
    <w:rsid w:val="00615CA4"/>
    <w:rsid w:val="00616F8F"/>
    <w:rsid w:val="0062061A"/>
    <w:rsid w:val="006209BD"/>
    <w:rsid w:val="006224C1"/>
    <w:rsid w:val="00622726"/>
    <w:rsid w:val="00622D58"/>
    <w:rsid w:val="006269B7"/>
    <w:rsid w:val="00627EA5"/>
    <w:rsid w:val="006307A5"/>
    <w:rsid w:val="006323FC"/>
    <w:rsid w:val="00633DC7"/>
    <w:rsid w:val="00634A62"/>
    <w:rsid w:val="00635A91"/>
    <w:rsid w:val="00635C58"/>
    <w:rsid w:val="00636E1D"/>
    <w:rsid w:val="006416A3"/>
    <w:rsid w:val="00642DCD"/>
    <w:rsid w:val="0064385D"/>
    <w:rsid w:val="0065105C"/>
    <w:rsid w:val="0065120C"/>
    <w:rsid w:val="0065487C"/>
    <w:rsid w:val="00654B72"/>
    <w:rsid w:val="00655112"/>
    <w:rsid w:val="00655986"/>
    <w:rsid w:val="00663344"/>
    <w:rsid w:val="00663B0A"/>
    <w:rsid w:val="006641F8"/>
    <w:rsid w:val="0066476D"/>
    <w:rsid w:val="0066649B"/>
    <w:rsid w:val="006671A5"/>
    <w:rsid w:val="00670254"/>
    <w:rsid w:val="006712B1"/>
    <w:rsid w:val="006759C3"/>
    <w:rsid w:val="006766E1"/>
    <w:rsid w:val="00676739"/>
    <w:rsid w:val="0067683F"/>
    <w:rsid w:val="006778D2"/>
    <w:rsid w:val="00680AAB"/>
    <w:rsid w:val="00680E3F"/>
    <w:rsid w:val="0068357C"/>
    <w:rsid w:val="00693E8D"/>
    <w:rsid w:val="0069432F"/>
    <w:rsid w:val="00695CBA"/>
    <w:rsid w:val="006973AC"/>
    <w:rsid w:val="006A0D6A"/>
    <w:rsid w:val="006A11CC"/>
    <w:rsid w:val="006A47ED"/>
    <w:rsid w:val="006B2411"/>
    <w:rsid w:val="006B4294"/>
    <w:rsid w:val="006B692A"/>
    <w:rsid w:val="006B7125"/>
    <w:rsid w:val="006B777F"/>
    <w:rsid w:val="006C186D"/>
    <w:rsid w:val="006C2FC8"/>
    <w:rsid w:val="006C68FB"/>
    <w:rsid w:val="006D092D"/>
    <w:rsid w:val="006D5AFF"/>
    <w:rsid w:val="006D6958"/>
    <w:rsid w:val="006D6E9A"/>
    <w:rsid w:val="006D7393"/>
    <w:rsid w:val="006D77DC"/>
    <w:rsid w:val="006D7AB9"/>
    <w:rsid w:val="006E55E1"/>
    <w:rsid w:val="006F23A8"/>
    <w:rsid w:val="006F2E13"/>
    <w:rsid w:val="006F445D"/>
    <w:rsid w:val="006F72C6"/>
    <w:rsid w:val="00703E4E"/>
    <w:rsid w:val="0070415A"/>
    <w:rsid w:val="007071C6"/>
    <w:rsid w:val="00707A72"/>
    <w:rsid w:val="00711E1C"/>
    <w:rsid w:val="00712D2C"/>
    <w:rsid w:val="007131B8"/>
    <w:rsid w:val="00721969"/>
    <w:rsid w:val="00721FBA"/>
    <w:rsid w:val="00723B1A"/>
    <w:rsid w:val="00725C83"/>
    <w:rsid w:val="00727173"/>
    <w:rsid w:val="00730352"/>
    <w:rsid w:val="00731FDF"/>
    <w:rsid w:val="00736584"/>
    <w:rsid w:val="00737968"/>
    <w:rsid w:val="007416F5"/>
    <w:rsid w:val="00742839"/>
    <w:rsid w:val="00745E9A"/>
    <w:rsid w:val="00752710"/>
    <w:rsid w:val="00755505"/>
    <w:rsid w:val="00756616"/>
    <w:rsid w:val="00762CFA"/>
    <w:rsid w:val="00762FD5"/>
    <w:rsid w:val="0076316D"/>
    <w:rsid w:val="00763B2D"/>
    <w:rsid w:val="00763EBC"/>
    <w:rsid w:val="00764D8B"/>
    <w:rsid w:val="00765E5F"/>
    <w:rsid w:val="00766094"/>
    <w:rsid w:val="0076722E"/>
    <w:rsid w:val="00772993"/>
    <w:rsid w:val="007741C1"/>
    <w:rsid w:val="007758A7"/>
    <w:rsid w:val="00775C96"/>
    <w:rsid w:val="00775FF0"/>
    <w:rsid w:val="00777FE2"/>
    <w:rsid w:val="007804DE"/>
    <w:rsid w:val="0078107C"/>
    <w:rsid w:val="007815FB"/>
    <w:rsid w:val="00781D80"/>
    <w:rsid w:val="007849A5"/>
    <w:rsid w:val="00784B83"/>
    <w:rsid w:val="00785483"/>
    <w:rsid w:val="00785F76"/>
    <w:rsid w:val="0078667F"/>
    <w:rsid w:val="00787550"/>
    <w:rsid w:val="00791DE5"/>
    <w:rsid w:val="007952E9"/>
    <w:rsid w:val="00797067"/>
    <w:rsid w:val="007974C0"/>
    <w:rsid w:val="007A0054"/>
    <w:rsid w:val="007A011F"/>
    <w:rsid w:val="007A2A87"/>
    <w:rsid w:val="007A38F2"/>
    <w:rsid w:val="007A3F43"/>
    <w:rsid w:val="007A44A6"/>
    <w:rsid w:val="007A5353"/>
    <w:rsid w:val="007B367E"/>
    <w:rsid w:val="007B3D63"/>
    <w:rsid w:val="007B3D92"/>
    <w:rsid w:val="007B69D6"/>
    <w:rsid w:val="007C16A3"/>
    <w:rsid w:val="007C55D0"/>
    <w:rsid w:val="007C6863"/>
    <w:rsid w:val="007D2F06"/>
    <w:rsid w:val="007D423D"/>
    <w:rsid w:val="007D4405"/>
    <w:rsid w:val="007E17FF"/>
    <w:rsid w:val="007E30B7"/>
    <w:rsid w:val="007E57CE"/>
    <w:rsid w:val="007E6E43"/>
    <w:rsid w:val="007F352E"/>
    <w:rsid w:val="0080027F"/>
    <w:rsid w:val="00800A3F"/>
    <w:rsid w:val="008024A6"/>
    <w:rsid w:val="008123E1"/>
    <w:rsid w:val="00813BAC"/>
    <w:rsid w:val="00813CD4"/>
    <w:rsid w:val="00816161"/>
    <w:rsid w:val="00821B9D"/>
    <w:rsid w:val="00822A99"/>
    <w:rsid w:val="008232A1"/>
    <w:rsid w:val="00823FF9"/>
    <w:rsid w:val="00830265"/>
    <w:rsid w:val="008339CE"/>
    <w:rsid w:val="00835BE0"/>
    <w:rsid w:val="00835DE2"/>
    <w:rsid w:val="0084468C"/>
    <w:rsid w:val="00844EE2"/>
    <w:rsid w:val="0085041F"/>
    <w:rsid w:val="00850A8A"/>
    <w:rsid w:val="00851866"/>
    <w:rsid w:val="00851DC4"/>
    <w:rsid w:val="00852EB4"/>
    <w:rsid w:val="008535E4"/>
    <w:rsid w:val="008552A0"/>
    <w:rsid w:val="0085684B"/>
    <w:rsid w:val="00861A4D"/>
    <w:rsid w:val="00861D83"/>
    <w:rsid w:val="00862D23"/>
    <w:rsid w:val="0086479E"/>
    <w:rsid w:val="00864D44"/>
    <w:rsid w:val="00865492"/>
    <w:rsid w:val="008667ED"/>
    <w:rsid w:val="00867CB4"/>
    <w:rsid w:val="008708AB"/>
    <w:rsid w:val="0087160D"/>
    <w:rsid w:val="008717FE"/>
    <w:rsid w:val="00871C0D"/>
    <w:rsid w:val="00871CEA"/>
    <w:rsid w:val="00874ED5"/>
    <w:rsid w:val="0087530F"/>
    <w:rsid w:val="008776ED"/>
    <w:rsid w:val="008810BC"/>
    <w:rsid w:val="00883B8B"/>
    <w:rsid w:val="00890656"/>
    <w:rsid w:val="00892227"/>
    <w:rsid w:val="00892748"/>
    <w:rsid w:val="0089430C"/>
    <w:rsid w:val="00895FCA"/>
    <w:rsid w:val="00896A2F"/>
    <w:rsid w:val="00897F43"/>
    <w:rsid w:val="008A0FBE"/>
    <w:rsid w:val="008A2445"/>
    <w:rsid w:val="008A5C54"/>
    <w:rsid w:val="008A6B10"/>
    <w:rsid w:val="008B016C"/>
    <w:rsid w:val="008B0845"/>
    <w:rsid w:val="008B28A6"/>
    <w:rsid w:val="008C0A06"/>
    <w:rsid w:val="008C0E53"/>
    <w:rsid w:val="008C1A94"/>
    <w:rsid w:val="008C32B8"/>
    <w:rsid w:val="008C5B82"/>
    <w:rsid w:val="008C5E65"/>
    <w:rsid w:val="008C7180"/>
    <w:rsid w:val="008D1FF6"/>
    <w:rsid w:val="008E2A6D"/>
    <w:rsid w:val="008E3217"/>
    <w:rsid w:val="008E44BC"/>
    <w:rsid w:val="008E54BB"/>
    <w:rsid w:val="008F37A4"/>
    <w:rsid w:val="008F3908"/>
    <w:rsid w:val="008F3F42"/>
    <w:rsid w:val="008F6727"/>
    <w:rsid w:val="008F778C"/>
    <w:rsid w:val="0090038A"/>
    <w:rsid w:val="009014B6"/>
    <w:rsid w:val="00903928"/>
    <w:rsid w:val="009040A4"/>
    <w:rsid w:val="00905F23"/>
    <w:rsid w:val="00906161"/>
    <w:rsid w:val="00907369"/>
    <w:rsid w:val="00912882"/>
    <w:rsid w:val="00912895"/>
    <w:rsid w:val="0092072B"/>
    <w:rsid w:val="009210DE"/>
    <w:rsid w:val="0092311E"/>
    <w:rsid w:val="009325D8"/>
    <w:rsid w:val="00935E39"/>
    <w:rsid w:val="00942EBC"/>
    <w:rsid w:val="00943B87"/>
    <w:rsid w:val="00943C1C"/>
    <w:rsid w:val="00943C57"/>
    <w:rsid w:val="00944480"/>
    <w:rsid w:val="00944C21"/>
    <w:rsid w:val="00950374"/>
    <w:rsid w:val="0095046E"/>
    <w:rsid w:val="00951E9B"/>
    <w:rsid w:val="009531CB"/>
    <w:rsid w:val="0096160F"/>
    <w:rsid w:val="00963FE3"/>
    <w:rsid w:val="009644C6"/>
    <w:rsid w:val="00965B80"/>
    <w:rsid w:val="00966DA9"/>
    <w:rsid w:val="009765E0"/>
    <w:rsid w:val="009836E9"/>
    <w:rsid w:val="00984294"/>
    <w:rsid w:val="00985D1E"/>
    <w:rsid w:val="00993A06"/>
    <w:rsid w:val="00993B1E"/>
    <w:rsid w:val="00994F87"/>
    <w:rsid w:val="009A6594"/>
    <w:rsid w:val="009B1722"/>
    <w:rsid w:val="009B3412"/>
    <w:rsid w:val="009B6E3C"/>
    <w:rsid w:val="009B7766"/>
    <w:rsid w:val="009C12C9"/>
    <w:rsid w:val="009C1CE7"/>
    <w:rsid w:val="009D55F7"/>
    <w:rsid w:val="009D5DC4"/>
    <w:rsid w:val="009D5DEE"/>
    <w:rsid w:val="009E38A2"/>
    <w:rsid w:val="009E3994"/>
    <w:rsid w:val="009E4107"/>
    <w:rsid w:val="009E4468"/>
    <w:rsid w:val="009E50E7"/>
    <w:rsid w:val="009E7094"/>
    <w:rsid w:val="009E76BE"/>
    <w:rsid w:val="009E79BF"/>
    <w:rsid w:val="009F12DA"/>
    <w:rsid w:val="009F13EF"/>
    <w:rsid w:val="009F2985"/>
    <w:rsid w:val="009F3FE6"/>
    <w:rsid w:val="009F53AF"/>
    <w:rsid w:val="00A00793"/>
    <w:rsid w:val="00A00C54"/>
    <w:rsid w:val="00A00E34"/>
    <w:rsid w:val="00A01888"/>
    <w:rsid w:val="00A0200A"/>
    <w:rsid w:val="00A04069"/>
    <w:rsid w:val="00A062C7"/>
    <w:rsid w:val="00A064FC"/>
    <w:rsid w:val="00A10257"/>
    <w:rsid w:val="00A1176E"/>
    <w:rsid w:val="00A14123"/>
    <w:rsid w:val="00A14332"/>
    <w:rsid w:val="00A15CF5"/>
    <w:rsid w:val="00A161F2"/>
    <w:rsid w:val="00A16984"/>
    <w:rsid w:val="00A16E35"/>
    <w:rsid w:val="00A17252"/>
    <w:rsid w:val="00A20C0B"/>
    <w:rsid w:val="00A22696"/>
    <w:rsid w:val="00A23608"/>
    <w:rsid w:val="00A27B9D"/>
    <w:rsid w:val="00A27D88"/>
    <w:rsid w:val="00A304D0"/>
    <w:rsid w:val="00A3395F"/>
    <w:rsid w:val="00A3448B"/>
    <w:rsid w:val="00A37FED"/>
    <w:rsid w:val="00A40E95"/>
    <w:rsid w:val="00A43D59"/>
    <w:rsid w:val="00A4607D"/>
    <w:rsid w:val="00A51300"/>
    <w:rsid w:val="00A53EC9"/>
    <w:rsid w:val="00A5508B"/>
    <w:rsid w:val="00A567C2"/>
    <w:rsid w:val="00A57C40"/>
    <w:rsid w:val="00A62647"/>
    <w:rsid w:val="00A62919"/>
    <w:rsid w:val="00A629DF"/>
    <w:rsid w:val="00A63654"/>
    <w:rsid w:val="00A725D6"/>
    <w:rsid w:val="00A72C7D"/>
    <w:rsid w:val="00A76FCA"/>
    <w:rsid w:val="00A81586"/>
    <w:rsid w:val="00A831D1"/>
    <w:rsid w:val="00A835AB"/>
    <w:rsid w:val="00A86EC6"/>
    <w:rsid w:val="00A92440"/>
    <w:rsid w:val="00A9316D"/>
    <w:rsid w:val="00A96D80"/>
    <w:rsid w:val="00A979BD"/>
    <w:rsid w:val="00A97A78"/>
    <w:rsid w:val="00AA0913"/>
    <w:rsid w:val="00AA36AA"/>
    <w:rsid w:val="00AA5954"/>
    <w:rsid w:val="00AA722E"/>
    <w:rsid w:val="00AB104D"/>
    <w:rsid w:val="00AB1974"/>
    <w:rsid w:val="00AB22C8"/>
    <w:rsid w:val="00AB2476"/>
    <w:rsid w:val="00AB5E47"/>
    <w:rsid w:val="00AC390C"/>
    <w:rsid w:val="00AC7DE3"/>
    <w:rsid w:val="00AD0C73"/>
    <w:rsid w:val="00AD2E63"/>
    <w:rsid w:val="00AD72FD"/>
    <w:rsid w:val="00AD7837"/>
    <w:rsid w:val="00AD794D"/>
    <w:rsid w:val="00AE023E"/>
    <w:rsid w:val="00AE1A2D"/>
    <w:rsid w:val="00AE1CB9"/>
    <w:rsid w:val="00AE531A"/>
    <w:rsid w:val="00AE5347"/>
    <w:rsid w:val="00AE55F6"/>
    <w:rsid w:val="00AE56BB"/>
    <w:rsid w:val="00AE56DB"/>
    <w:rsid w:val="00AE5F3C"/>
    <w:rsid w:val="00AE6FEE"/>
    <w:rsid w:val="00AE7B5C"/>
    <w:rsid w:val="00AE7D68"/>
    <w:rsid w:val="00AF24BE"/>
    <w:rsid w:val="00AF39CB"/>
    <w:rsid w:val="00AF4A8F"/>
    <w:rsid w:val="00AF6428"/>
    <w:rsid w:val="00AF7442"/>
    <w:rsid w:val="00AF7643"/>
    <w:rsid w:val="00B00704"/>
    <w:rsid w:val="00B0628E"/>
    <w:rsid w:val="00B1144E"/>
    <w:rsid w:val="00B11D05"/>
    <w:rsid w:val="00B13C87"/>
    <w:rsid w:val="00B16AC9"/>
    <w:rsid w:val="00B1710D"/>
    <w:rsid w:val="00B23E5B"/>
    <w:rsid w:val="00B31B48"/>
    <w:rsid w:val="00B32510"/>
    <w:rsid w:val="00B32BAC"/>
    <w:rsid w:val="00B3385E"/>
    <w:rsid w:val="00B33A76"/>
    <w:rsid w:val="00B3595C"/>
    <w:rsid w:val="00B36D5E"/>
    <w:rsid w:val="00B430EF"/>
    <w:rsid w:val="00B43B8F"/>
    <w:rsid w:val="00B43E07"/>
    <w:rsid w:val="00B444F8"/>
    <w:rsid w:val="00B4463A"/>
    <w:rsid w:val="00B47ABF"/>
    <w:rsid w:val="00B526A8"/>
    <w:rsid w:val="00B55FAB"/>
    <w:rsid w:val="00B6074E"/>
    <w:rsid w:val="00B6734E"/>
    <w:rsid w:val="00B74223"/>
    <w:rsid w:val="00B74B03"/>
    <w:rsid w:val="00B76198"/>
    <w:rsid w:val="00B83D9D"/>
    <w:rsid w:val="00B84529"/>
    <w:rsid w:val="00B920FF"/>
    <w:rsid w:val="00B95198"/>
    <w:rsid w:val="00B952F3"/>
    <w:rsid w:val="00B9583A"/>
    <w:rsid w:val="00B95CFF"/>
    <w:rsid w:val="00B96289"/>
    <w:rsid w:val="00B96F7F"/>
    <w:rsid w:val="00BA071B"/>
    <w:rsid w:val="00BA4076"/>
    <w:rsid w:val="00BA414B"/>
    <w:rsid w:val="00BA52B5"/>
    <w:rsid w:val="00BA5D61"/>
    <w:rsid w:val="00BA6836"/>
    <w:rsid w:val="00BA6F3F"/>
    <w:rsid w:val="00BA7BA3"/>
    <w:rsid w:val="00BA7BE7"/>
    <w:rsid w:val="00BB2111"/>
    <w:rsid w:val="00BB488F"/>
    <w:rsid w:val="00BB680D"/>
    <w:rsid w:val="00BC1EA9"/>
    <w:rsid w:val="00BC20B2"/>
    <w:rsid w:val="00BC2901"/>
    <w:rsid w:val="00BC542D"/>
    <w:rsid w:val="00BC70D3"/>
    <w:rsid w:val="00BC7FD2"/>
    <w:rsid w:val="00BD7D59"/>
    <w:rsid w:val="00BE6B21"/>
    <w:rsid w:val="00BF2087"/>
    <w:rsid w:val="00BF7AE0"/>
    <w:rsid w:val="00C03AE7"/>
    <w:rsid w:val="00C05D9D"/>
    <w:rsid w:val="00C12E96"/>
    <w:rsid w:val="00C12FA8"/>
    <w:rsid w:val="00C17951"/>
    <w:rsid w:val="00C25338"/>
    <w:rsid w:val="00C261D1"/>
    <w:rsid w:val="00C27C24"/>
    <w:rsid w:val="00C27E7D"/>
    <w:rsid w:val="00C3254B"/>
    <w:rsid w:val="00C35592"/>
    <w:rsid w:val="00C356AF"/>
    <w:rsid w:val="00C37A3E"/>
    <w:rsid w:val="00C401E9"/>
    <w:rsid w:val="00C404C1"/>
    <w:rsid w:val="00C41927"/>
    <w:rsid w:val="00C439D6"/>
    <w:rsid w:val="00C43FD9"/>
    <w:rsid w:val="00C44EB2"/>
    <w:rsid w:val="00C47BD1"/>
    <w:rsid w:val="00C47E8F"/>
    <w:rsid w:val="00C53AAB"/>
    <w:rsid w:val="00C54CC8"/>
    <w:rsid w:val="00C57BC4"/>
    <w:rsid w:val="00C60915"/>
    <w:rsid w:val="00C61085"/>
    <w:rsid w:val="00C629D6"/>
    <w:rsid w:val="00C643A0"/>
    <w:rsid w:val="00C64F14"/>
    <w:rsid w:val="00C6786E"/>
    <w:rsid w:val="00C71EBA"/>
    <w:rsid w:val="00C73602"/>
    <w:rsid w:val="00C7383C"/>
    <w:rsid w:val="00C74AA6"/>
    <w:rsid w:val="00C8011D"/>
    <w:rsid w:val="00C84E7D"/>
    <w:rsid w:val="00C85B32"/>
    <w:rsid w:val="00C940EB"/>
    <w:rsid w:val="00C95D98"/>
    <w:rsid w:val="00C964B8"/>
    <w:rsid w:val="00C97BCB"/>
    <w:rsid w:val="00CA241D"/>
    <w:rsid w:val="00CA3773"/>
    <w:rsid w:val="00CA5219"/>
    <w:rsid w:val="00CA606F"/>
    <w:rsid w:val="00CA6BC2"/>
    <w:rsid w:val="00CA77F1"/>
    <w:rsid w:val="00CB0EC8"/>
    <w:rsid w:val="00CB2C3C"/>
    <w:rsid w:val="00CB4710"/>
    <w:rsid w:val="00CB7D4F"/>
    <w:rsid w:val="00CC0714"/>
    <w:rsid w:val="00CD3A3F"/>
    <w:rsid w:val="00CD4AF7"/>
    <w:rsid w:val="00CD4C1C"/>
    <w:rsid w:val="00CE018C"/>
    <w:rsid w:val="00CE1171"/>
    <w:rsid w:val="00CE1291"/>
    <w:rsid w:val="00CE2504"/>
    <w:rsid w:val="00CE3517"/>
    <w:rsid w:val="00CE4A0E"/>
    <w:rsid w:val="00CE59AE"/>
    <w:rsid w:val="00CE6791"/>
    <w:rsid w:val="00CE7636"/>
    <w:rsid w:val="00CE76CC"/>
    <w:rsid w:val="00CF11DB"/>
    <w:rsid w:val="00CF1207"/>
    <w:rsid w:val="00CF5650"/>
    <w:rsid w:val="00CF5B4A"/>
    <w:rsid w:val="00D01670"/>
    <w:rsid w:val="00D05C26"/>
    <w:rsid w:val="00D062AC"/>
    <w:rsid w:val="00D10263"/>
    <w:rsid w:val="00D120EF"/>
    <w:rsid w:val="00D1323E"/>
    <w:rsid w:val="00D152E7"/>
    <w:rsid w:val="00D170C5"/>
    <w:rsid w:val="00D17BC6"/>
    <w:rsid w:val="00D21F91"/>
    <w:rsid w:val="00D23371"/>
    <w:rsid w:val="00D25BFE"/>
    <w:rsid w:val="00D3022B"/>
    <w:rsid w:val="00D30873"/>
    <w:rsid w:val="00D311C6"/>
    <w:rsid w:val="00D33027"/>
    <w:rsid w:val="00D3796C"/>
    <w:rsid w:val="00D41169"/>
    <w:rsid w:val="00D42797"/>
    <w:rsid w:val="00D44360"/>
    <w:rsid w:val="00D50F79"/>
    <w:rsid w:val="00D53948"/>
    <w:rsid w:val="00D549B9"/>
    <w:rsid w:val="00D557EE"/>
    <w:rsid w:val="00D56058"/>
    <w:rsid w:val="00D57F4B"/>
    <w:rsid w:val="00D61B33"/>
    <w:rsid w:val="00D6451F"/>
    <w:rsid w:val="00D656AD"/>
    <w:rsid w:val="00D679D7"/>
    <w:rsid w:val="00D74E7B"/>
    <w:rsid w:val="00D75D40"/>
    <w:rsid w:val="00D76E91"/>
    <w:rsid w:val="00D77CAB"/>
    <w:rsid w:val="00D849AA"/>
    <w:rsid w:val="00D872D1"/>
    <w:rsid w:val="00D9308E"/>
    <w:rsid w:val="00D97A6C"/>
    <w:rsid w:val="00DA5BEA"/>
    <w:rsid w:val="00DA5D59"/>
    <w:rsid w:val="00DA6122"/>
    <w:rsid w:val="00DA707E"/>
    <w:rsid w:val="00DB4809"/>
    <w:rsid w:val="00DB4B7D"/>
    <w:rsid w:val="00DB5668"/>
    <w:rsid w:val="00DB5E8F"/>
    <w:rsid w:val="00DB6A82"/>
    <w:rsid w:val="00DC3E99"/>
    <w:rsid w:val="00DC7C3E"/>
    <w:rsid w:val="00DE0A41"/>
    <w:rsid w:val="00DE307B"/>
    <w:rsid w:val="00DE30E0"/>
    <w:rsid w:val="00DE51AF"/>
    <w:rsid w:val="00DE5C30"/>
    <w:rsid w:val="00DF0A15"/>
    <w:rsid w:val="00DF16A1"/>
    <w:rsid w:val="00DF35D8"/>
    <w:rsid w:val="00DF4EA4"/>
    <w:rsid w:val="00E02490"/>
    <w:rsid w:val="00E02D7C"/>
    <w:rsid w:val="00E07415"/>
    <w:rsid w:val="00E07623"/>
    <w:rsid w:val="00E110C1"/>
    <w:rsid w:val="00E12B3C"/>
    <w:rsid w:val="00E139F2"/>
    <w:rsid w:val="00E14AA0"/>
    <w:rsid w:val="00E17ECA"/>
    <w:rsid w:val="00E209C3"/>
    <w:rsid w:val="00E20C3A"/>
    <w:rsid w:val="00E22BCE"/>
    <w:rsid w:val="00E245F4"/>
    <w:rsid w:val="00E250D2"/>
    <w:rsid w:val="00E258D8"/>
    <w:rsid w:val="00E303A1"/>
    <w:rsid w:val="00E3266A"/>
    <w:rsid w:val="00E326FF"/>
    <w:rsid w:val="00E34985"/>
    <w:rsid w:val="00E34B8E"/>
    <w:rsid w:val="00E361B0"/>
    <w:rsid w:val="00E3757C"/>
    <w:rsid w:val="00E41563"/>
    <w:rsid w:val="00E423E6"/>
    <w:rsid w:val="00E4412E"/>
    <w:rsid w:val="00E4521B"/>
    <w:rsid w:val="00E46B8A"/>
    <w:rsid w:val="00E5181A"/>
    <w:rsid w:val="00E52BE2"/>
    <w:rsid w:val="00E56FB5"/>
    <w:rsid w:val="00E574A1"/>
    <w:rsid w:val="00E62DB8"/>
    <w:rsid w:val="00E63010"/>
    <w:rsid w:val="00E63D31"/>
    <w:rsid w:val="00E677EF"/>
    <w:rsid w:val="00E7159B"/>
    <w:rsid w:val="00E833E1"/>
    <w:rsid w:val="00E859DF"/>
    <w:rsid w:val="00E86A9F"/>
    <w:rsid w:val="00E87041"/>
    <w:rsid w:val="00E91B90"/>
    <w:rsid w:val="00E92B6D"/>
    <w:rsid w:val="00E95201"/>
    <w:rsid w:val="00E9522F"/>
    <w:rsid w:val="00EA1807"/>
    <w:rsid w:val="00EA4947"/>
    <w:rsid w:val="00EB007D"/>
    <w:rsid w:val="00EC0C41"/>
    <w:rsid w:val="00EC11F0"/>
    <w:rsid w:val="00EC1594"/>
    <w:rsid w:val="00EC1C8C"/>
    <w:rsid w:val="00EC5D8B"/>
    <w:rsid w:val="00ED1810"/>
    <w:rsid w:val="00ED22B6"/>
    <w:rsid w:val="00ED2521"/>
    <w:rsid w:val="00ED2FB9"/>
    <w:rsid w:val="00ED3B0E"/>
    <w:rsid w:val="00ED4154"/>
    <w:rsid w:val="00EE0C7D"/>
    <w:rsid w:val="00EE189B"/>
    <w:rsid w:val="00EE456B"/>
    <w:rsid w:val="00EE4789"/>
    <w:rsid w:val="00EE5476"/>
    <w:rsid w:val="00EF35BF"/>
    <w:rsid w:val="00EF36F4"/>
    <w:rsid w:val="00EF381C"/>
    <w:rsid w:val="00EF4272"/>
    <w:rsid w:val="00EF488C"/>
    <w:rsid w:val="00EF48B9"/>
    <w:rsid w:val="00F004E6"/>
    <w:rsid w:val="00F00C37"/>
    <w:rsid w:val="00F01063"/>
    <w:rsid w:val="00F034AC"/>
    <w:rsid w:val="00F079B2"/>
    <w:rsid w:val="00F10F5C"/>
    <w:rsid w:val="00F15CBD"/>
    <w:rsid w:val="00F160D2"/>
    <w:rsid w:val="00F175CD"/>
    <w:rsid w:val="00F178D9"/>
    <w:rsid w:val="00F21A9F"/>
    <w:rsid w:val="00F22F28"/>
    <w:rsid w:val="00F24A82"/>
    <w:rsid w:val="00F264A2"/>
    <w:rsid w:val="00F34074"/>
    <w:rsid w:val="00F352CC"/>
    <w:rsid w:val="00F4106E"/>
    <w:rsid w:val="00F41AA2"/>
    <w:rsid w:val="00F430E7"/>
    <w:rsid w:val="00F44C49"/>
    <w:rsid w:val="00F44D95"/>
    <w:rsid w:val="00F4748D"/>
    <w:rsid w:val="00F509EA"/>
    <w:rsid w:val="00F53841"/>
    <w:rsid w:val="00F53B21"/>
    <w:rsid w:val="00F53F10"/>
    <w:rsid w:val="00F563C4"/>
    <w:rsid w:val="00F578B0"/>
    <w:rsid w:val="00F612B3"/>
    <w:rsid w:val="00F61BB7"/>
    <w:rsid w:val="00F62313"/>
    <w:rsid w:val="00F653FF"/>
    <w:rsid w:val="00F7064A"/>
    <w:rsid w:val="00F71353"/>
    <w:rsid w:val="00F747AD"/>
    <w:rsid w:val="00F754DE"/>
    <w:rsid w:val="00F75853"/>
    <w:rsid w:val="00F773E0"/>
    <w:rsid w:val="00F77B1F"/>
    <w:rsid w:val="00F8337D"/>
    <w:rsid w:val="00F835AF"/>
    <w:rsid w:val="00F8457D"/>
    <w:rsid w:val="00F8512D"/>
    <w:rsid w:val="00F86F1F"/>
    <w:rsid w:val="00F87F11"/>
    <w:rsid w:val="00F90DAC"/>
    <w:rsid w:val="00F942CA"/>
    <w:rsid w:val="00F9452C"/>
    <w:rsid w:val="00F9550D"/>
    <w:rsid w:val="00F96C5B"/>
    <w:rsid w:val="00F9723B"/>
    <w:rsid w:val="00FA11C1"/>
    <w:rsid w:val="00FA1B27"/>
    <w:rsid w:val="00FA1CD4"/>
    <w:rsid w:val="00FA55F1"/>
    <w:rsid w:val="00FA7331"/>
    <w:rsid w:val="00FB017B"/>
    <w:rsid w:val="00FB12D4"/>
    <w:rsid w:val="00FB2EF6"/>
    <w:rsid w:val="00FB7206"/>
    <w:rsid w:val="00FC1D72"/>
    <w:rsid w:val="00FD7E5F"/>
    <w:rsid w:val="00FE0C92"/>
    <w:rsid w:val="00FE10A7"/>
    <w:rsid w:val="00FE1E8E"/>
    <w:rsid w:val="00FE28A4"/>
    <w:rsid w:val="00FE5577"/>
    <w:rsid w:val="00FF34CA"/>
    <w:rsid w:val="00FF3C50"/>
    <w:rsid w:val="00FF61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50E1EAA"/>
  <w15:docId w15:val="{0BBD1DE3-2DBC-4E02-B6DF-5E1BDB6D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styleId="Revision">
    <w:name w:val="Revision"/>
    <w:hidden/>
    <w:uiPriority w:val="99"/>
    <w:semiHidden/>
    <w:rsid w:val="00E4521B"/>
    <w:rPr>
      <w:sz w:val="22"/>
    </w:rPr>
  </w:style>
  <w:style w:type="character" w:customStyle="1" w:styleId="InstructionsTabelleText">
    <w:name w:val="Instructions Tabelle Text"/>
    <w:rsid w:val="00B1144E"/>
    <w:rPr>
      <w:rFonts w:ascii="Verdana" w:hAnsi="Verdana" w:cs="Times New Roman"/>
      <w:sz w:val="20"/>
    </w:rPr>
  </w:style>
  <w:style w:type="paragraph" w:customStyle="1" w:styleId="CM11">
    <w:name w:val="CM1+1"/>
    <w:basedOn w:val="Default"/>
    <w:next w:val="Default"/>
    <w:uiPriority w:val="99"/>
    <w:rsid w:val="00B952F3"/>
    <w:rPr>
      <w:rFonts w:ascii="EUAlbertina" w:eastAsiaTheme="minorEastAsia" w:hAnsi="EUAlbertina" w:cstheme="minorBidi"/>
      <w:color w:val="auto"/>
    </w:rPr>
  </w:style>
  <w:style w:type="paragraph" w:customStyle="1" w:styleId="CM31">
    <w:name w:val="CM3+1"/>
    <w:basedOn w:val="Default"/>
    <w:next w:val="Default"/>
    <w:uiPriority w:val="99"/>
    <w:rsid w:val="00B952F3"/>
    <w:rPr>
      <w:rFonts w:ascii="EUAlbertina" w:eastAsiaTheme="minorEastAsi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16">
      <w:bodyDiv w:val="1"/>
      <w:marLeft w:val="0"/>
      <w:marRight w:val="0"/>
      <w:marTop w:val="0"/>
      <w:marBottom w:val="0"/>
      <w:divBdr>
        <w:top w:val="none" w:sz="0" w:space="0" w:color="auto"/>
        <w:left w:val="none" w:sz="0" w:space="0" w:color="auto"/>
        <w:bottom w:val="none" w:sz="0" w:space="0" w:color="auto"/>
        <w:right w:val="none" w:sz="0" w:space="0" w:color="auto"/>
      </w:divBdr>
    </w:div>
    <w:div w:id="222524128">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53654639">
      <w:bodyDiv w:val="1"/>
      <w:marLeft w:val="0"/>
      <w:marRight w:val="0"/>
      <w:marTop w:val="0"/>
      <w:marBottom w:val="0"/>
      <w:divBdr>
        <w:top w:val="none" w:sz="0" w:space="0" w:color="auto"/>
        <w:left w:val="none" w:sz="0" w:space="0" w:color="auto"/>
        <w:bottom w:val="none" w:sz="0" w:space="0" w:color="auto"/>
        <w:right w:val="none" w:sz="0" w:space="0" w:color="auto"/>
      </w:divBdr>
    </w:div>
    <w:div w:id="522088949">
      <w:bodyDiv w:val="1"/>
      <w:marLeft w:val="0"/>
      <w:marRight w:val="0"/>
      <w:marTop w:val="0"/>
      <w:marBottom w:val="0"/>
      <w:divBdr>
        <w:top w:val="none" w:sz="0" w:space="0" w:color="auto"/>
        <w:left w:val="none" w:sz="0" w:space="0" w:color="auto"/>
        <w:bottom w:val="none" w:sz="0" w:space="0" w:color="auto"/>
        <w:right w:val="none" w:sz="0" w:space="0" w:color="auto"/>
      </w:divBdr>
    </w:div>
    <w:div w:id="71546776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555502644">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 w:id="2021345967">
      <w:bodyDiv w:val="1"/>
      <w:marLeft w:val="0"/>
      <w:marRight w:val="0"/>
      <w:marTop w:val="0"/>
      <w:marBottom w:val="0"/>
      <w:divBdr>
        <w:top w:val="none" w:sz="0" w:space="0" w:color="auto"/>
        <w:left w:val="none" w:sz="0" w:space="0" w:color="auto"/>
        <w:bottom w:val="none" w:sz="0" w:space="0" w:color="auto"/>
        <w:right w:val="none" w:sz="0" w:space="0" w:color="auto"/>
      </w:divBdr>
    </w:div>
    <w:div w:id="2084184131">
      <w:bodyDiv w:val="1"/>
      <w:marLeft w:val="0"/>
      <w:marRight w:val="0"/>
      <w:marTop w:val="0"/>
      <w:marBottom w:val="0"/>
      <w:divBdr>
        <w:top w:val="none" w:sz="0" w:space="0" w:color="auto"/>
        <w:left w:val="none" w:sz="0" w:space="0" w:color="auto"/>
        <w:bottom w:val="none" w:sz="0" w:space="0" w:color="auto"/>
        <w:right w:val="none" w:sz="0" w:space="0" w:color="auto"/>
      </w:divBdr>
    </w:div>
    <w:div w:id="2119714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7ADB-74E4-481A-80E8-B1536484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518</Words>
  <Characters>2956</Characters>
  <Application>Microsoft Office Word</Application>
  <DocSecurity>0</DocSecurity>
  <Lines>24</Lines>
  <Paragraphs>6</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ariant>
        <vt:lpstr>Rubrik</vt:lpstr>
      </vt:variant>
      <vt:variant>
        <vt:i4>1</vt:i4>
      </vt:variant>
    </vt:vector>
  </HeadingPairs>
  <TitlesOfParts>
    <vt:vector size="5" baseType="lpstr">
      <vt:lpstr/>
      <vt:lpstr/>
      <vt:lpstr/>
      <vt:lpstr/>
      <vt:lpstr/>
    </vt:vector>
  </TitlesOfParts>
  <Company>OP</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Andreea Lungu</cp:lastModifiedBy>
  <cp:revision>35</cp:revision>
  <cp:lastPrinted>2018-12-13T07:34:00Z</cp:lastPrinted>
  <dcterms:created xsi:type="dcterms:W3CDTF">2019-06-07T14:38:00Z</dcterms:created>
  <dcterms:modified xsi:type="dcterms:W3CDTF">2020-06-15T08:23:00Z</dcterms:modified>
</cp:coreProperties>
</file>