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4DD48C" w14:textId="1C9765D0" w:rsidR="00BD40F6" w:rsidRPr="00C001BC" w:rsidRDefault="00BD40F6" w:rsidP="00BD40F6">
      <w:pPr>
        <w:pStyle w:val="Annexetitre"/>
        <w:rPr>
          <w:noProof/>
          <w:lang w:val="en-US"/>
        </w:rPr>
      </w:pPr>
      <w:bookmarkStart w:id="0" w:name="_Toc298787969"/>
      <w:bookmarkStart w:id="1" w:name="_Toc298788158"/>
      <w:bookmarkStart w:id="2" w:name="_Toc298788641"/>
      <w:bookmarkStart w:id="3" w:name="_Toc305686691"/>
      <w:bookmarkStart w:id="4" w:name="_Toc306350093"/>
      <w:bookmarkStart w:id="5" w:name="_Toc306350113"/>
      <w:bookmarkStart w:id="6" w:name="_Toc331517265"/>
      <w:bookmarkStart w:id="7" w:name="_Toc245891774"/>
      <w:bookmarkStart w:id="8" w:name="_Toc238803087"/>
      <w:bookmarkStart w:id="9" w:name="_Toc238803888"/>
      <w:r w:rsidRPr="00581203">
        <w:rPr>
          <w:noProof/>
        </w:rPr>
        <w:t xml:space="preserve">ANNEX </w:t>
      </w:r>
      <w:r w:rsidR="009E4D56">
        <w:rPr>
          <w:noProof/>
        </w:rPr>
        <w:t>XVI</w:t>
      </w:r>
      <w:r w:rsidRPr="00581203">
        <w:rPr>
          <w:noProof/>
        </w:rPr>
        <w:t xml:space="preserve"> – Instructions for </w:t>
      </w:r>
      <w:r>
        <w:rPr>
          <w:noProof/>
          <w:lang w:val="en-US"/>
        </w:rPr>
        <w:t>d</w:t>
      </w:r>
      <w:r w:rsidRPr="00C001BC">
        <w:rPr>
          <w:noProof/>
          <w:lang w:val="en-US"/>
        </w:rPr>
        <w:t>isclosure of</w:t>
      </w:r>
      <w:r>
        <w:rPr>
          <w:noProof/>
          <w:lang w:val="en-US"/>
        </w:rPr>
        <w:t xml:space="preserve"> risk management objectives and policies, </w:t>
      </w:r>
      <w:r w:rsidRPr="00C001BC">
        <w:rPr>
          <w:noProof/>
          <w:lang w:val="en-US"/>
        </w:rPr>
        <w:t>exposures to credit risk, dilution risk and credit quality</w:t>
      </w:r>
    </w:p>
    <w:p w14:paraId="1CC03400" w14:textId="0D365833" w:rsidR="00EA21E6" w:rsidRPr="000E5C13" w:rsidRDefault="00594183" w:rsidP="0016436F">
      <w:pPr>
        <w:pStyle w:val="ListParagraph"/>
        <w:numPr>
          <w:ilvl w:val="0"/>
          <w:numId w:val="43"/>
        </w:numPr>
        <w:spacing w:before="120" w:after="120"/>
        <w:jc w:val="both"/>
        <w:rPr>
          <w:rFonts w:ascii="Times New Roman" w:hAnsi="Times New Roman"/>
          <w:bCs/>
          <w:sz w:val="24"/>
        </w:rPr>
      </w:pPr>
      <w:r w:rsidRPr="0016436F">
        <w:rPr>
          <w:rFonts w:ascii="Times New Roman" w:hAnsi="Times New Roman"/>
          <w:sz w:val="24"/>
          <w:lang w:val="en-US"/>
        </w:rPr>
        <w:t xml:space="preserve">Annex </w:t>
      </w:r>
      <w:r w:rsidR="009E4D56" w:rsidRPr="0016436F">
        <w:rPr>
          <w:rFonts w:ascii="Times New Roman" w:hAnsi="Times New Roman"/>
          <w:sz w:val="24"/>
          <w:lang w:val="en-US"/>
        </w:rPr>
        <w:t>XV</w:t>
      </w:r>
      <w:r w:rsidRPr="0016436F">
        <w:rPr>
          <w:rFonts w:ascii="Times New Roman" w:hAnsi="Times New Roman"/>
          <w:sz w:val="24"/>
          <w:lang w:val="en-US"/>
        </w:rPr>
        <w:t xml:space="preserve"> of this implementing regulation includes a set of templates that are applicable to all institutions subject to Article 442 CRR. It also includes some additional templates required to large institutions with a ratio of gross carrying amount of non-performing loans and advances divided by the total gross carrying amount of loans and advances subject to the definition of non-performing according to Article 47a of Regulation (EU) No 575/2013 equal to or higher than 5%. </w:t>
      </w:r>
      <w:r w:rsidR="00EA21E6" w:rsidRPr="0016436F">
        <w:rPr>
          <w:rFonts w:ascii="Times New Roman" w:hAnsi="Times New Roman"/>
          <w:sz w:val="24"/>
          <w:lang w:val="en-US"/>
        </w:rPr>
        <w:t xml:space="preserve">For the purpose of this </w:t>
      </w:r>
      <w:r w:rsidR="00EA21E6" w:rsidRPr="00587037">
        <w:rPr>
          <w:rFonts w:ascii="Times New Roman" w:hAnsi="Times New Roman"/>
          <w:sz w:val="24"/>
          <w:lang w:val="en-US"/>
        </w:rPr>
        <w:t xml:space="preserve">ratio, </w:t>
      </w:r>
      <w:r w:rsidR="007362D9">
        <w:rPr>
          <w:rFonts w:ascii="Times New Roman" w:hAnsi="Times New Roman"/>
          <w:sz w:val="24"/>
          <w:lang w:val="en-US"/>
        </w:rPr>
        <w:t xml:space="preserve">and of the templates included in Annex XV, </w:t>
      </w:r>
      <w:r w:rsidR="00EA21E6" w:rsidRPr="00587037">
        <w:rPr>
          <w:rFonts w:ascii="Times New Roman" w:hAnsi="Times New Roman"/>
          <w:sz w:val="24"/>
          <w:lang w:val="en-US"/>
        </w:rPr>
        <w:t xml:space="preserve">loans and advances classified as held for sale, cash balances at central banks and other demand deposits </w:t>
      </w:r>
      <w:proofErr w:type="gramStart"/>
      <w:r w:rsidR="00EA21E6" w:rsidRPr="00587037">
        <w:rPr>
          <w:rFonts w:ascii="Times New Roman" w:hAnsi="Times New Roman"/>
          <w:sz w:val="24"/>
          <w:lang w:val="en-US"/>
        </w:rPr>
        <w:t>shall be e</w:t>
      </w:r>
      <w:r w:rsidR="00EA21E6" w:rsidRPr="0016436F">
        <w:rPr>
          <w:rFonts w:ascii="Times New Roman" w:hAnsi="Times New Roman"/>
          <w:sz w:val="24"/>
          <w:lang w:val="en-US"/>
        </w:rPr>
        <w:t>xcluded</w:t>
      </w:r>
      <w:proofErr w:type="gramEnd"/>
      <w:r w:rsidR="00EA21E6" w:rsidRPr="0016436F">
        <w:rPr>
          <w:rFonts w:ascii="Times New Roman" w:hAnsi="Times New Roman"/>
          <w:sz w:val="24"/>
          <w:lang w:val="en-US"/>
        </w:rPr>
        <w:t xml:space="preserve"> both from the denominator</w:t>
      </w:r>
      <w:r w:rsidR="007362D9">
        <w:rPr>
          <w:rFonts w:ascii="Times New Roman" w:hAnsi="Times New Roman"/>
          <w:sz w:val="24"/>
          <w:lang w:val="en-US"/>
        </w:rPr>
        <w:t xml:space="preserve"> and the numerator of the ratios, and from the </w:t>
      </w:r>
      <w:r w:rsidR="009F6DC7">
        <w:rPr>
          <w:rFonts w:ascii="Times New Roman" w:hAnsi="Times New Roman"/>
          <w:sz w:val="24"/>
          <w:lang w:val="en-US"/>
        </w:rPr>
        <w:t>rows on</w:t>
      </w:r>
      <w:r w:rsidR="007362D9">
        <w:rPr>
          <w:rFonts w:ascii="Times New Roman" w:hAnsi="Times New Roman"/>
          <w:sz w:val="24"/>
          <w:lang w:val="en-US"/>
        </w:rPr>
        <w:t xml:space="preserve"> loans and advances included in the templates.</w:t>
      </w:r>
      <w:r w:rsidR="006F7296">
        <w:rPr>
          <w:rFonts w:ascii="Times New Roman" w:hAnsi="Times New Roman"/>
          <w:sz w:val="24"/>
          <w:lang w:val="en-US"/>
        </w:rPr>
        <w:t xml:space="preserve"> The information on </w:t>
      </w:r>
      <w:r w:rsidR="006F7296" w:rsidRPr="00587037">
        <w:rPr>
          <w:rFonts w:ascii="Times New Roman" w:hAnsi="Times New Roman"/>
          <w:sz w:val="24"/>
          <w:lang w:val="en-US"/>
        </w:rPr>
        <w:t>cash balances at central banks and other demand deposits</w:t>
      </w:r>
      <w:r w:rsidR="006F7296">
        <w:rPr>
          <w:rFonts w:ascii="Times New Roman" w:hAnsi="Times New Roman"/>
          <w:sz w:val="24"/>
          <w:lang w:val="en-US"/>
        </w:rPr>
        <w:t xml:space="preserve"> </w:t>
      </w:r>
      <w:proofErr w:type="gramStart"/>
      <w:r w:rsidR="006F7296">
        <w:rPr>
          <w:rFonts w:ascii="Times New Roman" w:hAnsi="Times New Roman"/>
          <w:sz w:val="24"/>
          <w:lang w:val="en-US"/>
        </w:rPr>
        <w:t>is disclosed</w:t>
      </w:r>
      <w:proofErr w:type="gramEnd"/>
      <w:r w:rsidR="006F7296">
        <w:rPr>
          <w:rFonts w:ascii="Times New Roman" w:hAnsi="Times New Roman"/>
          <w:sz w:val="24"/>
          <w:lang w:val="en-US"/>
        </w:rPr>
        <w:t xml:space="preserve"> separately in some of them.</w:t>
      </w:r>
    </w:p>
    <w:p w14:paraId="5A7AEEAF" w14:textId="04932A08" w:rsidR="00386638" w:rsidRPr="00386638" w:rsidRDefault="00594183" w:rsidP="009E4D56">
      <w:pPr>
        <w:pStyle w:val="ListParagraph"/>
        <w:numPr>
          <w:ilvl w:val="0"/>
          <w:numId w:val="43"/>
        </w:numPr>
        <w:spacing w:before="120" w:after="120"/>
        <w:jc w:val="both"/>
        <w:rPr>
          <w:rFonts w:ascii="Times New Roman" w:hAnsi="Times New Roman"/>
          <w:bCs/>
          <w:sz w:val="24"/>
        </w:rPr>
      </w:pPr>
      <w:r>
        <w:rPr>
          <w:rFonts w:ascii="Times New Roman" w:hAnsi="Times New Roman"/>
          <w:sz w:val="24"/>
          <w:lang w:val="en-US"/>
        </w:rPr>
        <w:t xml:space="preserve">The additional templates are required </w:t>
      </w:r>
      <w:r w:rsidRPr="00594183">
        <w:rPr>
          <w:rFonts w:ascii="Times New Roman" w:hAnsi="Times New Roman"/>
          <w:sz w:val="24"/>
          <w:lang w:val="en-US"/>
        </w:rPr>
        <w:t>in order to convey sufficiently comprehensive and comparable information for users of that information to assess the risk profiles of institutions</w:t>
      </w:r>
      <w:r>
        <w:rPr>
          <w:rFonts w:ascii="Times New Roman" w:hAnsi="Times New Roman"/>
          <w:sz w:val="24"/>
          <w:lang w:val="en-US"/>
        </w:rPr>
        <w:t>. For this reason, w</w:t>
      </w:r>
      <w:r w:rsidR="00386638">
        <w:rPr>
          <w:rFonts w:ascii="Times New Roman" w:hAnsi="Times New Roman"/>
          <w:sz w:val="24"/>
          <w:lang w:val="en-US"/>
        </w:rPr>
        <w:t>hen reading these instructions</w:t>
      </w:r>
      <w:r>
        <w:rPr>
          <w:rFonts w:ascii="Times New Roman" w:hAnsi="Times New Roman"/>
          <w:sz w:val="24"/>
          <w:lang w:val="en-US"/>
        </w:rPr>
        <w:t>,</w:t>
      </w:r>
      <w:r w:rsidR="00386638">
        <w:rPr>
          <w:rFonts w:ascii="Times New Roman" w:hAnsi="Times New Roman"/>
          <w:sz w:val="24"/>
          <w:lang w:val="en-US"/>
        </w:rPr>
        <w:t xml:space="preserve"> institutions shall take into account the proportionality criteria included in Article 9 of this implementing regulation. </w:t>
      </w:r>
    </w:p>
    <w:p w14:paraId="70EDBA61" w14:textId="423B57EB" w:rsidR="00AC4D4A" w:rsidRPr="009E4D56" w:rsidRDefault="00AC4D4A" w:rsidP="009E4D56">
      <w:pPr>
        <w:spacing w:before="120" w:after="120"/>
        <w:ind w:left="360"/>
        <w:jc w:val="both"/>
        <w:rPr>
          <w:rFonts w:ascii="Times New Roman" w:hAnsi="Times New Roman"/>
          <w:bCs/>
          <w:sz w:val="24"/>
        </w:rPr>
      </w:pPr>
    </w:p>
    <w:p w14:paraId="4250D963" w14:textId="36EA6291" w:rsidR="00AC4D4A" w:rsidRDefault="00AC4D4A" w:rsidP="00AC4D4A">
      <w:pPr>
        <w:autoSpaceDE w:val="0"/>
        <w:autoSpaceDN w:val="0"/>
        <w:adjustRightInd w:val="0"/>
        <w:rPr>
          <w:rFonts w:ascii="Times New Roman" w:hAnsi="Times New Roman" w:cs="Times New Roman"/>
          <w:b/>
          <w:sz w:val="24"/>
          <w:lang w:val="en-GB"/>
        </w:rPr>
      </w:pPr>
      <w:r>
        <w:rPr>
          <w:rFonts w:ascii="Times New Roman" w:hAnsi="Times New Roman" w:cs="Times New Roman"/>
          <w:b/>
          <w:sz w:val="24"/>
          <w:lang w:val="en-GB"/>
        </w:rPr>
        <w:t>Table EU CRA</w:t>
      </w:r>
      <w:r w:rsidRPr="00581203">
        <w:rPr>
          <w:rFonts w:ascii="Times New Roman" w:hAnsi="Times New Roman" w:cs="Times New Roman"/>
          <w:b/>
          <w:sz w:val="24"/>
          <w:lang w:val="en-GB"/>
        </w:rPr>
        <w:t xml:space="preserve">: </w:t>
      </w:r>
      <w:r>
        <w:rPr>
          <w:rFonts w:ascii="Times New Roman" w:hAnsi="Times New Roman" w:cs="Times New Roman"/>
          <w:b/>
          <w:sz w:val="24"/>
          <w:lang w:val="en-GB"/>
        </w:rPr>
        <w:t>General qualitative information about credit risk</w:t>
      </w:r>
    </w:p>
    <w:p w14:paraId="32B089C0" w14:textId="12310E2B" w:rsidR="00AC4D4A" w:rsidRPr="003D6D40" w:rsidRDefault="00BC6920" w:rsidP="003D6D40">
      <w:pPr>
        <w:pStyle w:val="ListParagraph"/>
        <w:numPr>
          <w:ilvl w:val="0"/>
          <w:numId w:val="43"/>
        </w:numPr>
        <w:spacing w:before="120" w:after="120"/>
        <w:jc w:val="both"/>
        <w:rPr>
          <w:rFonts w:ascii="Times New Roman" w:hAnsi="Times New Roman"/>
          <w:bCs/>
          <w:sz w:val="24"/>
        </w:rPr>
      </w:pPr>
      <w:r w:rsidRPr="003D6D40">
        <w:rPr>
          <w:rFonts w:ascii="Times New Roman" w:hAnsi="Times New Roman"/>
          <w:bCs/>
          <w:sz w:val="24"/>
        </w:rPr>
        <w:t>Institutions shall describe their risk management objectives and policies for credit risk by providing the following information</w:t>
      </w:r>
      <w:r w:rsidR="007F2E62" w:rsidRPr="003D6D40">
        <w:rPr>
          <w:rFonts w:ascii="Times New Roman" w:hAnsi="Times New Roman"/>
          <w:bCs/>
          <w:sz w:val="24"/>
        </w:rPr>
        <w:t xml:space="preserve"> in Table EU CRA, included in  Annex </w:t>
      </w:r>
      <w:r w:rsidR="009E4D56">
        <w:rPr>
          <w:rFonts w:ascii="Times New Roman" w:hAnsi="Times New Roman"/>
          <w:bCs/>
          <w:sz w:val="24"/>
        </w:rPr>
        <w:t>XV</w:t>
      </w:r>
      <w:r w:rsidR="0041071E">
        <w:rPr>
          <w:rFonts w:ascii="Times New Roman" w:hAnsi="Times New Roman"/>
          <w:bCs/>
          <w:sz w:val="24"/>
        </w:rPr>
        <w:t xml:space="preserve"> to</w:t>
      </w:r>
      <w:r w:rsidR="006D7826">
        <w:rPr>
          <w:rFonts w:ascii="Times New Roman" w:hAnsi="Times New Roman"/>
          <w:bCs/>
          <w:sz w:val="24"/>
        </w:rPr>
        <w:t xml:space="preserve"> this Implementing Regulation</w:t>
      </w:r>
      <w:r w:rsidR="007F2E62" w:rsidRPr="003D6D40">
        <w:rPr>
          <w:rFonts w:ascii="Times New Roman" w:hAnsi="Times New Roman"/>
          <w:bCs/>
          <w:sz w:val="24"/>
        </w:rPr>
        <w:t xml:space="preserve">, in application of </w:t>
      </w:r>
      <w:r w:rsidR="006D7826">
        <w:rPr>
          <w:rFonts w:ascii="Times New Roman" w:hAnsi="Times New Roman"/>
          <w:bCs/>
          <w:sz w:val="24"/>
        </w:rPr>
        <w:t xml:space="preserve">points (a), (b), (d) and (f) of </w:t>
      </w:r>
      <w:r w:rsidR="007F2E62" w:rsidRPr="003D6D40">
        <w:rPr>
          <w:rFonts w:ascii="Times New Roman" w:hAnsi="Times New Roman"/>
          <w:bCs/>
          <w:sz w:val="24"/>
        </w:rPr>
        <w:t xml:space="preserve">Article 435(1) of </w:t>
      </w:r>
      <w:r w:rsidR="007F2E62" w:rsidRPr="003D6D40">
        <w:rPr>
          <w:rFonts w:ascii="Times New Roman" w:hAnsi="Times New Roman"/>
          <w:noProof/>
          <w:color w:val="000000"/>
          <w:sz w:val="24"/>
        </w:rPr>
        <w:t>Regulation (EU) 575/2013</w:t>
      </w:r>
      <w:r w:rsidR="00E018B1">
        <w:rPr>
          <w:rStyle w:val="FootnoteReference"/>
          <w:noProof/>
          <w:color w:val="000000"/>
        </w:rPr>
        <w:footnoteReference w:id="2"/>
      </w:r>
      <w:r w:rsidR="007F2E62" w:rsidRPr="003D6D40">
        <w:rPr>
          <w:rFonts w:ascii="Times New Roman" w:hAnsi="Times New Roman"/>
          <w:noProof/>
          <w:color w:val="000000"/>
          <w:sz w:val="24"/>
        </w:rPr>
        <w:t xml:space="preserve"> (</w:t>
      </w:r>
      <w:r w:rsidR="00E018B1">
        <w:rPr>
          <w:rFonts w:ascii="Times New Roman" w:hAnsi="Times New Roman"/>
          <w:noProof/>
          <w:color w:val="000000"/>
          <w:sz w:val="24"/>
        </w:rPr>
        <w:t>“</w:t>
      </w:r>
      <w:r w:rsidR="007F2E62" w:rsidRPr="003D6D40">
        <w:rPr>
          <w:rFonts w:ascii="Times New Roman" w:hAnsi="Times New Roman"/>
          <w:noProof/>
          <w:color w:val="000000"/>
          <w:sz w:val="24"/>
        </w:rPr>
        <w:t>CRR</w:t>
      </w:r>
      <w:r w:rsidR="00E018B1">
        <w:rPr>
          <w:rFonts w:ascii="Times New Roman" w:hAnsi="Times New Roman"/>
          <w:noProof/>
          <w:color w:val="000000"/>
          <w:sz w:val="24"/>
        </w:rPr>
        <w:t>”</w:t>
      </w:r>
      <w:r w:rsidR="007F2E62" w:rsidRPr="003D6D40">
        <w:rPr>
          <w:rFonts w:ascii="Times New Roman" w:hAnsi="Times New Roman"/>
          <w:noProof/>
          <w:color w:val="000000"/>
          <w:sz w:val="24"/>
        </w:rPr>
        <w:t>)</w:t>
      </w:r>
      <w:r w:rsidR="00AE5145" w:rsidRPr="003D6D40">
        <w:rPr>
          <w:rFonts w:ascii="Times New Roman" w:hAnsi="Times New Roman"/>
          <w:bCs/>
          <w:sz w:val="24"/>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AC4D4A" w:rsidRPr="00581203" w14:paraId="7E523565" w14:textId="77777777" w:rsidTr="00AC4D4A">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A15BF9" w14:textId="77777777" w:rsidR="00AC4D4A" w:rsidRPr="00581203" w:rsidRDefault="00AC4D4A" w:rsidP="00AC4D4A">
            <w:pPr>
              <w:rPr>
                <w:rFonts w:ascii="Times New Roman" w:hAnsi="Times New Roman" w:cs="Times New Roman"/>
                <w:b/>
                <w:sz w:val="24"/>
                <w:lang w:val="en-GB"/>
              </w:rPr>
            </w:pPr>
            <w:r w:rsidRPr="00581203">
              <w:rPr>
                <w:rFonts w:ascii="Times New Roman" w:hAnsi="Times New Roman" w:cs="Times New Roman"/>
                <w:b/>
                <w:sz w:val="24"/>
                <w:lang w:val="en-GB"/>
              </w:rPr>
              <w:t>Legal references and instructions</w:t>
            </w:r>
          </w:p>
        </w:tc>
      </w:tr>
      <w:tr w:rsidR="00AC4D4A" w:rsidRPr="00581203" w14:paraId="28B52F49" w14:textId="77777777" w:rsidTr="00AC4D4A">
        <w:trPr>
          <w:trHeight w:val="238"/>
        </w:trPr>
        <w:tc>
          <w:tcPr>
            <w:tcW w:w="1384" w:type="dxa"/>
            <w:shd w:val="clear" w:color="auto" w:fill="D9D9D9" w:themeFill="background1" w:themeFillShade="D9"/>
          </w:tcPr>
          <w:p w14:paraId="32D77102" w14:textId="77777777" w:rsidR="00AC4D4A" w:rsidRPr="00581203" w:rsidRDefault="00AC4D4A" w:rsidP="00AC4D4A">
            <w:pPr>
              <w:autoSpaceDE w:val="0"/>
              <w:autoSpaceDN w:val="0"/>
              <w:adjustRightInd w:val="0"/>
              <w:rPr>
                <w:rFonts w:ascii="Times New Roman" w:hAnsi="Times New Roman" w:cs="Times New Roman"/>
                <w:b/>
                <w:sz w:val="24"/>
                <w:lang w:val="en-GB"/>
              </w:rPr>
            </w:pPr>
            <w:r w:rsidRPr="00581203">
              <w:rPr>
                <w:rFonts w:ascii="Times New Roman" w:hAnsi="Times New Roman" w:cs="Times New Roman"/>
                <w:b/>
                <w:sz w:val="24"/>
                <w:lang w:val="en-GB"/>
              </w:rPr>
              <w:t>Row number</w:t>
            </w:r>
          </w:p>
        </w:tc>
        <w:tc>
          <w:tcPr>
            <w:tcW w:w="7655" w:type="dxa"/>
            <w:shd w:val="clear" w:color="auto" w:fill="D9D9D9" w:themeFill="background1" w:themeFillShade="D9"/>
          </w:tcPr>
          <w:p w14:paraId="0E172362" w14:textId="77777777" w:rsidR="00AC4D4A" w:rsidRPr="0043712F" w:rsidRDefault="00AC4D4A" w:rsidP="00AC4D4A">
            <w:pPr>
              <w:autoSpaceDE w:val="0"/>
              <w:autoSpaceDN w:val="0"/>
              <w:adjustRightInd w:val="0"/>
              <w:rPr>
                <w:rFonts w:ascii="Times New Roman" w:hAnsi="Times New Roman" w:cs="Times New Roman"/>
                <w:color w:val="000000"/>
                <w:sz w:val="24"/>
                <w:lang w:val="en-GB"/>
              </w:rPr>
            </w:pPr>
            <w:r w:rsidRPr="00581203">
              <w:rPr>
                <w:rFonts w:ascii="Times New Roman" w:hAnsi="Times New Roman" w:cs="Times New Roman"/>
                <w:b/>
                <w:sz w:val="24"/>
                <w:lang w:val="en-GB"/>
              </w:rPr>
              <w:t>Explanation</w:t>
            </w:r>
          </w:p>
        </w:tc>
      </w:tr>
      <w:tr w:rsidR="00AC4D4A" w:rsidRPr="00581203" w14:paraId="39FABA74" w14:textId="77777777" w:rsidTr="00AC4D4A">
        <w:trPr>
          <w:trHeight w:val="935"/>
        </w:trPr>
        <w:tc>
          <w:tcPr>
            <w:tcW w:w="1384" w:type="dxa"/>
          </w:tcPr>
          <w:p w14:paraId="49E3BE57" w14:textId="3B8A4B8D" w:rsidR="00AC4D4A" w:rsidRDefault="00AC4D4A" w:rsidP="00AC4D4A">
            <w:pPr>
              <w:pStyle w:val="Applicationdirecte"/>
              <w:spacing w:before="120"/>
            </w:pPr>
            <w:r>
              <w:t>a</w:t>
            </w:r>
          </w:p>
        </w:tc>
        <w:tc>
          <w:tcPr>
            <w:tcW w:w="7655" w:type="dxa"/>
          </w:tcPr>
          <w:p w14:paraId="31EF0760" w14:textId="126748DC" w:rsidR="00AC4D4A" w:rsidRPr="007A6CBD" w:rsidRDefault="00AC4D4A" w:rsidP="00AC4D4A">
            <w:pPr>
              <w:pStyle w:val="Applicationdirecte"/>
              <w:spacing w:before="120"/>
            </w:pPr>
            <w:r>
              <w:t xml:space="preserve">In the concise risk statement in accordance with </w:t>
            </w:r>
            <w:r w:rsidR="00E018B1">
              <w:t xml:space="preserve">point (f) of </w:t>
            </w:r>
            <w:r>
              <w:t>Article 435(1)</w:t>
            </w:r>
            <w:r w:rsidR="00E018B1">
              <w:t xml:space="preserve"> </w:t>
            </w:r>
            <w:r w:rsidR="00BC6920">
              <w:t>CRR</w:t>
            </w:r>
            <w:r>
              <w:t>, how the business model translates into the components of the institution’s credit risk profile.</w:t>
            </w:r>
          </w:p>
        </w:tc>
      </w:tr>
      <w:tr w:rsidR="00AC4D4A" w:rsidRPr="00581203" w14:paraId="5BDEFAFB" w14:textId="77777777" w:rsidTr="00AC4D4A">
        <w:trPr>
          <w:trHeight w:val="1403"/>
        </w:trPr>
        <w:tc>
          <w:tcPr>
            <w:tcW w:w="1384" w:type="dxa"/>
          </w:tcPr>
          <w:p w14:paraId="62CFC00B" w14:textId="438132B8" w:rsidR="00AC4D4A" w:rsidRPr="00581203" w:rsidRDefault="00AC4D4A" w:rsidP="00AC4D4A">
            <w:pPr>
              <w:pStyle w:val="Applicationdirecte"/>
              <w:spacing w:before="120"/>
            </w:pPr>
            <w:r>
              <w:t>b</w:t>
            </w:r>
          </w:p>
        </w:tc>
        <w:tc>
          <w:tcPr>
            <w:tcW w:w="7655" w:type="dxa"/>
          </w:tcPr>
          <w:p w14:paraId="419713CA" w14:textId="2E407720" w:rsidR="00AC4D4A" w:rsidRPr="004D3597" w:rsidRDefault="00AC4D4A" w:rsidP="00AC4D4A">
            <w:pPr>
              <w:pStyle w:val="Fait"/>
            </w:pPr>
            <w:r>
              <w:t xml:space="preserve">When discussing their strategies and processes to manage credit risk and the policies for hedging and mitigating that risk in accordance with </w:t>
            </w:r>
            <w:r w:rsidR="00E018B1">
              <w:t xml:space="preserve">points (a) and (d) of </w:t>
            </w:r>
            <w:r>
              <w:t>Article 435(1)</w:t>
            </w:r>
            <w:r w:rsidR="00E018B1">
              <w:t xml:space="preserve"> </w:t>
            </w:r>
            <w:r w:rsidR="00BC6920">
              <w:t>CRR</w:t>
            </w:r>
            <w:r>
              <w:t>, the criteria and approach used for defining the credit risk management policy and for setting credit risk limits.</w:t>
            </w:r>
          </w:p>
        </w:tc>
      </w:tr>
      <w:tr w:rsidR="00AC4D4A" w:rsidRPr="00581203" w14:paraId="364B20E2" w14:textId="77777777" w:rsidTr="00AC4D4A">
        <w:trPr>
          <w:trHeight w:val="755"/>
        </w:trPr>
        <w:tc>
          <w:tcPr>
            <w:tcW w:w="1384" w:type="dxa"/>
          </w:tcPr>
          <w:p w14:paraId="144F5DC8" w14:textId="2497FB5A" w:rsidR="00AC4D4A" w:rsidRDefault="00AC4D4A" w:rsidP="00AC4D4A">
            <w:pPr>
              <w:pStyle w:val="Applicationdirecte"/>
              <w:spacing w:before="120"/>
            </w:pPr>
            <w:r>
              <w:t>c</w:t>
            </w:r>
          </w:p>
        </w:tc>
        <w:tc>
          <w:tcPr>
            <w:tcW w:w="7655" w:type="dxa"/>
          </w:tcPr>
          <w:p w14:paraId="3CA8E44D" w14:textId="5255EB61" w:rsidR="00AC4D4A" w:rsidRPr="007A6CBD" w:rsidRDefault="00AC4D4A" w:rsidP="00AC4D4A">
            <w:pPr>
              <w:pStyle w:val="Applicationdirecte"/>
              <w:spacing w:before="120"/>
            </w:pPr>
            <w:r>
              <w:t xml:space="preserve">When informing on the structure and organisation of the risk management function in accordance with </w:t>
            </w:r>
            <w:r w:rsidR="00E018B1">
              <w:t xml:space="preserve">point (b) of </w:t>
            </w:r>
            <w:r>
              <w:t>Article 435(1)</w:t>
            </w:r>
            <w:r w:rsidR="00E018B1">
              <w:t xml:space="preserve"> </w:t>
            </w:r>
            <w:r w:rsidR="00BC6920">
              <w:t>CRR</w:t>
            </w:r>
            <w:r>
              <w:t>, the structure and organisation of the credit risk management and control function.</w:t>
            </w:r>
          </w:p>
        </w:tc>
      </w:tr>
      <w:tr w:rsidR="00AC4D4A" w:rsidRPr="00581203" w14:paraId="1A02E7DE" w14:textId="77777777" w:rsidTr="00AC4D4A">
        <w:trPr>
          <w:trHeight w:val="755"/>
        </w:trPr>
        <w:tc>
          <w:tcPr>
            <w:tcW w:w="1384" w:type="dxa"/>
          </w:tcPr>
          <w:p w14:paraId="5A42A694" w14:textId="7C85E931" w:rsidR="00AC4D4A" w:rsidRDefault="00AC4D4A" w:rsidP="00AC4D4A">
            <w:pPr>
              <w:pStyle w:val="Applicationdirecte"/>
              <w:spacing w:before="120"/>
            </w:pPr>
            <w:r>
              <w:lastRenderedPageBreak/>
              <w:t>d</w:t>
            </w:r>
          </w:p>
        </w:tc>
        <w:tc>
          <w:tcPr>
            <w:tcW w:w="7655" w:type="dxa"/>
          </w:tcPr>
          <w:p w14:paraId="49FD6B1C" w14:textId="6D6CEDA7" w:rsidR="00AC4D4A" w:rsidRDefault="00AC4D4A" w:rsidP="00AC4D4A">
            <w:pPr>
              <w:pStyle w:val="Applicationdirecte"/>
              <w:spacing w:before="120"/>
            </w:pPr>
            <w:r>
              <w:t xml:space="preserve">When informing on the authority, status and other arrangements for the risk management function in accordance with </w:t>
            </w:r>
            <w:r w:rsidR="00E018B1">
              <w:t xml:space="preserve">point (b) of </w:t>
            </w:r>
            <w:r>
              <w:t>Article 435(1)</w:t>
            </w:r>
            <w:r w:rsidR="00E018B1">
              <w:t xml:space="preserve"> </w:t>
            </w:r>
            <w:r w:rsidR="00BC6920">
              <w:t>CRR</w:t>
            </w:r>
            <w:r>
              <w:t>, the relationships between credit risk management, risk control, compliance and internal audit functions.</w:t>
            </w:r>
          </w:p>
        </w:tc>
      </w:tr>
    </w:tbl>
    <w:p w14:paraId="7B194FB7" w14:textId="77777777" w:rsidR="008073D4" w:rsidRDefault="008073D4" w:rsidP="008073D4">
      <w:pPr>
        <w:spacing w:before="120" w:after="120"/>
        <w:jc w:val="both"/>
        <w:rPr>
          <w:rFonts w:ascii="Times New Roman" w:hAnsi="Times New Roman" w:cs="Times New Roman"/>
          <w:bCs/>
          <w:sz w:val="24"/>
        </w:rPr>
      </w:pPr>
    </w:p>
    <w:p w14:paraId="28722F01" w14:textId="423590FA" w:rsidR="008073D4" w:rsidRPr="009C46A1" w:rsidRDefault="008073D4" w:rsidP="008073D4">
      <w:pPr>
        <w:spacing w:before="120" w:after="120"/>
        <w:jc w:val="both"/>
        <w:rPr>
          <w:rFonts w:ascii="Times New Roman" w:hAnsi="Times New Roman" w:cs="Times New Roman"/>
          <w:bCs/>
          <w:sz w:val="24"/>
        </w:rPr>
      </w:pPr>
      <w:r w:rsidRPr="000769C4">
        <w:rPr>
          <w:rFonts w:ascii="Times New Roman" w:hAnsi="Times New Roman" w:cs="Times New Roman"/>
          <w:bCs/>
          <w:sz w:val="24"/>
        </w:rPr>
        <w:t>.</w:t>
      </w:r>
    </w:p>
    <w:p w14:paraId="41883181" w14:textId="740BE0D1" w:rsidR="00F34AD2" w:rsidRDefault="00F34AD2" w:rsidP="00603437">
      <w:pPr>
        <w:autoSpaceDE w:val="0"/>
        <w:autoSpaceDN w:val="0"/>
        <w:adjustRightInd w:val="0"/>
        <w:spacing w:after="120"/>
        <w:rPr>
          <w:rFonts w:ascii="Times New Roman" w:hAnsi="Times New Roman" w:cs="Times New Roman"/>
          <w:b/>
          <w:sz w:val="24"/>
          <w:lang w:val="en-GB"/>
        </w:rPr>
      </w:pPr>
      <w:r>
        <w:rPr>
          <w:rFonts w:ascii="Times New Roman" w:hAnsi="Times New Roman" w:cs="Times New Roman"/>
          <w:b/>
          <w:sz w:val="24"/>
          <w:lang w:val="en-GB"/>
        </w:rPr>
        <w:t>Table EU CRB</w:t>
      </w:r>
      <w:r w:rsidRPr="00581203">
        <w:rPr>
          <w:rFonts w:ascii="Times New Roman" w:hAnsi="Times New Roman" w:cs="Times New Roman"/>
          <w:b/>
          <w:sz w:val="24"/>
          <w:lang w:val="en-GB"/>
        </w:rPr>
        <w:t xml:space="preserve">: </w:t>
      </w:r>
      <w:r w:rsidR="00696C0F" w:rsidRPr="00696C0F">
        <w:rPr>
          <w:rFonts w:ascii="Times New Roman" w:hAnsi="Times New Roman" w:cs="Times New Roman"/>
          <w:b/>
          <w:sz w:val="24"/>
          <w:lang w:val="en-GB"/>
        </w:rPr>
        <w:t>Additional disclosure related to the credit quality of assets</w:t>
      </w:r>
    </w:p>
    <w:p w14:paraId="06BCA0E6" w14:textId="6A62F9EF" w:rsidR="007F2E62" w:rsidRPr="00FD04D2" w:rsidRDefault="007F2E62" w:rsidP="00FE38E5">
      <w:pPr>
        <w:pStyle w:val="ListParagraph"/>
        <w:numPr>
          <w:ilvl w:val="0"/>
          <w:numId w:val="43"/>
        </w:numPr>
        <w:autoSpaceDE w:val="0"/>
        <w:autoSpaceDN w:val="0"/>
        <w:adjustRightInd w:val="0"/>
        <w:spacing w:after="120"/>
        <w:rPr>
          <w:rFonts w:ascii="Times New Roman" w:hAnsi="Times New Roman"/>
          <w:sz w:val="24"/>
        </w:rPr>
      </w:pPr>
      <w:r w:rsidRPr="00FD04D2">
        <w:rPr>
          <w:rFonts w:ascii="Times New Roman" w:hAnsi="Times New Roman"/>
          <w:bCs/>
          <w:sz w:val="24"/>
        </w:rPr>
        <w:t xml:space="preserve">Institutions shall apply the instructions provided below in order to complete the table EU CRB as presented in Annex </w:t>
      </w:r>
      <w:r w:rsidR="009E4D56">
        <w:rPr>
          <w:rFonts w:ascii="Times New Roman" w:hAnsi="Times New Roman"/>
          <w:bCs/>
          <w:sz w:val="24"/>
        </w:rPr>
        <w:t>XV</w:t>
      </w:r>
      <w:r w:rsidR="00862F18">
        <w:rPr>
          <w:rFonts w:ascii="Times New Roman" w:hAnsi="Times New Roman"/>
          <w:bCs/>
          <w:sz w:val="24"/>
        </w:rPr>
        <w:t xml:space="preserve"> to</w:t>
      </w:r>
      <w:r w:rsidR="00E018B1">
        <w:rPr>
          <w:rFonts w:ascii="Times New Roman" w:hAnsi="Times New Roman"/>
          <w:bCs/>
          <w:sz w:val="24"/>
        </w:rPr>
        <w:t xml:space="preserve"> this Implementing Regulation</w:t>
      </w:r>
      <w:r w:rsidRPr="00FD04D2">
        <w:rPr>
          <w:rFonts w:ascii="Times New Roman" w:hAnsi="Times New Roman"/>
          <w:bCs/>
          <w:sz w:val="24"/>
        </w:rPr>
        <w:t xml:space="preserve">, in application of </w:t>
      </w:r>
      <w:bookmarkStart w:id="10" w:name="_GoBack"/>
      <w:r w:rsidR="00D6319A">
        <w:rPr>
          <w:rFonts w:ascii="Times New Roman" w:hAnsi="Times New Roman"/>
          <w:bCs/>
          <w:sz w:val="24"/>
        </w:rPr>
        <w:t xml:space="preserve">points (a) and (b) of </w:t>
      </w:r>
      <w:bookmarkEnd w:id="10"/>
      <w:r w:rsidRPr="00FD04D2">
        <w:rPr>
          <w:rFonts w:ascii="Times New Roman" w:hAnsi="Times New Roman"/>
          <w:bCs/>
          <w:sz w:val="24"/>
        </w:rPr>
        <w:t xml:space="preserve">Article 442 </w:t>
      </w:r>
      <w:r w:rsidRPr="00FD04D2">
        <w:rPr>
          <w:rFonts w:ascii="Times New Roman" w:hAnsi="Times New Roman"/>
          <w:noProof/>
          <w:color w:val="000000"/>
          <w:sz w:val="24"/>
        </w:rPr>
        <w:t>CRR</w:t>
      </w:r>
      <w:r w:rsidR="00AE5145" w:rsidRPr="00FD04D2">
        <w:rPr>
          <w:rFonts w:ascii="Times New Roman" w:hAnsi="Times New Roman"/>
          <w:noProof/>
          <w:color w:val="000000"/>
          <w:sz w:val="24"/>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F34AD2" w:rsidRPr="00581203" w14:paraId="4C6EB290" w14:textId="77777777" w:rsidTr="0073643E">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E0000D" w14:textId="77777777" w:rsidR="00F34AD2" w:rsidRPr="00581203" w:rsidRDefault="00F34AD2" w:rsidP="0073643E">
            <w:pPr>
              <w:rPr>
                <w:rFonts w:ascii="Times New Roman" w:hAnsi="Times New Roman" w:cs="Times New Roman"/>
                <w:b/>
                <w:sz w:val="24"/>
                <w:lang w:val="en-GB"/>
              </w:rPr>
            </w:pPr>
            <w:r w:rsidRPr="00581203">
              <w:rPr>
                <w:rFonts w:ascii="Times New Roman" w:hAnsi="Times New Roman" w:cs="Times New Roman"/>
                <w:b/>
                <w:sz w:val="24"/>
                <w:lang w:val="en-GB"/>
              </w:rPr>
              <w:t>Legal references and instructions</w:t>
            </w:r>
          </w:p>
        </w:tc>
      </w:tr>
      <w:tr w:rsidR="00F34AD2" w:rsidRPr="00581203" w14:paraId="4667040D" w14:textId="77777777" w:rsidTr="0073643E">
        <w:trPr>
          <w:trHeight w:val="238"/>
        </w:trPr>
        <w:tc>
          <w:tcPr>
            <w:tcW w:w="1384" w:type="dxa"/>
            <w:shd w:val="clear" w:color="auto" w:fill="D9D9D9" w:themeFill="background1" w:themeFillShade="D9"/>
          </w:tcPr>
          <w:p w14:paraId="4DC50EDC" w14:textId="77777777" w:rsidR="00F34AD2" w:rsidRPr="00581203" w:rsidRDefault="00F34AD2" w:rsidP="0073643E">
            <w:pPr>
              <w:autoSpaceDE w:val="0"/>
              <w:autoSpaceDN w:val="0"/>
              <w:adjustRightInd w:val="0"/>
              <w:rPr>
                <w:rFonts w:ascii="Times New Roman" w:hAnsi="Times New Roman" w:cs="Times New Roman"/>
                <w:b/>
                <w:sz w:val="24"/>
                <w:lang w:val="en-GB"/>
              </w:rPr>
            </w:pPr>
            <w:r w:rsidRPr="00581203">
              <w:rPr>
                <w:rFonts w:ascii="Times New Roman" w:hAnsi="Times New Roman" w:cs="Times New Roman"/>
                <w:b/>
                <w:sz w:val="24"/>
                <w:lang w:val="en-GB"/>
              </w:rPr>
              <w:t>Row number</w:t>
            </w:r>
          </w:p>
        </w:tc>
        <w:tc>
          <w:tcPr>
            <w:tcW w:w="7655" w:type="dxa"/>
            <w:shd w:val="clear" w:color="auto" w:fill="D9D9D9" w:themeFill="background1" w:themeFillShade="D9"/>
          </w:tcPr>
          <w:p w14:paraId="1BD7F1E1" w14:textId="77777777" w:rsidR="00F34AD2" w:rsidRPr="0043712F" w:rsidRDefault="00F34AD2" w:rsidP="0073643E">
            <w:pPr>
              <w:autoSpaceDE w:val="0"/>
              <w:autoSpaceDN w:val="0"/>
              <w:adjustRightInd w:val="0"/>
              <w:rPr>
                <w:rFonts w:ascii="Times New Roman" w:hAnsi="Times New Roman" w:cs="Times New Roman"/>
                <w:color w:val="000000"/>
                <w:sz w:val="24"/>
                <w:lang w:val="en-GB"/>
              </w:rPr>
            </w:pPr>
            <w:r w:rsidRPr="00581203">
              <w:rPr>
                <w:rFonts w:ascii="Times New Roman" w:hAnsi="Times New Roman" w:cs="Times New Roman"/>
                <w:b/>
                <w:sz w:val="24"/>
                <w:lang w:val="en-GB"/>
              </w:rPr>
              <w:t>Explanation</w:t>
            </w:r>
          </w:p>
        </w:tc>
      </w:tr>
      <w:tr w:rsidR="00F34AD2" w:rsidRPr="00581203" w14:paraId="5A898CC9" w14:textId="77777777" w:rsidTr="008E74C8">
        <w:trPr>
          <w:trHeight w:val="710"/>
        </w:trPr>
        <w:tc>
          <w:tcPr>
            <w:tcW w:w="1384" w:type="dxa"/>
          </w:tcPr>
          <w:p w14:paraId="79135337" w14:textId="77777777" w:rsidR="00F34AD2" w:rsidRDefault="00F34AD2" w:rsidP="0073643E">
            <w:pPr>
              <w:pStyle w:val="Applicationdirecte"/>
              <w:spacing w:before="120"/>
            </w:pPr>
            <w:r>
              <w:t>a</w:t>
            </w:r>
          </w:p>
        </w:tc>
        <w:tc>
          <w:tcPr>
            <w:tcW w:w="7655" w:type="dxa"/>
          </w:tcPr>
          <w:p w14:paraId="756C65C7" w14:textId="66F73094" w:rsidR="00F34AD2" w:rsidRPr="007A6CBD" w:rsidRDefault="00F34AD2" w:rsidP="00603437">
            <w:pPr>
              <w:pStyle w:val="Applicationdirecte"/>
              <w:spacing w:before="120"/>
            </w:pPr>
            <w:r>
              <w:t xml:space="preserve">The scope and definitions of ‘past-due’ and ‘impaired’ exposures used for </w:t>
            </w:r>
            <w:r w:rsidRPr="00F34AD2">
              <w:t xml:space="preserve">accounting purposes and the differences, if any, between the definitions of past due and default for accounting and regulatory purposes </w:t>
            </w:r>
            <w:r w:rsidR="00603437">
              <w:t>in accordance with Article 178 CRR</w:t>
            </w:r>
            <w:r>
              <w:t>.</w:t>
            </w:r>
          </w:p>
        </w:tc>
      </w:tr>
      <w:tr w:rsidR="00F34AD2" w:rsidRPr="00581203" w14:paraId="6682481D" w14:textId="77777777" w:rsidTr="00F34AD2">
        <w:trPr>
          <w:trHeight w:val="800"/>
        </w:trPr>
        <w:tc>
          <w:tcPr>
            <w:tcW w:w="1384" w:type="dxa"/>
          </w:tcPr>
          <w:p w14:paraId="69EAE0D8" w14:textId="77777777" w:rsidR="00F34AD2" w:rsidRPr="00581203" w:rsidRDefault="00F34AD2" w:rsidP="0073643E">
            <w:pPr>
              <w:pStyle w:val="Applicationdirecte"/>
              <w:spacing w:before="120"/>
            </w:pPr>
            <w:r>
              <w:t>b</w:t>
            </w:r>
          </w:p>
        </w:tc>
        <w:tc>
          <w:tcPr>
            <w:tcW w:w="7655" w:type="dxa"/>
          </w:tcPr>
          <w:p w14:paraId="72C0B8E6" w14:textId="6C217E12" w:rsidR="00F34AD2" w:rsidRPr="004D3597" w:rsidRDefault="00F34AD2" w:rsidP="0073643E">
            <w:pPr>
              <w:pStyle w:val="Fait"/>
            </w:pPr>
            <w:r>
              <w:t xml:space="preserve">The extent of past-due exposures (more than 90 days) that are not considered </w:t>
            </w:r>
            <w:proofErr w:type="gramStart"/>
            <w:r>
              <w:t>to be impaired</w:t>
            </w:r>
            <w:proofErr w:type="gramEnd"/>
            <w:r>
              <w:t xml:space="preserve"> and the reasons for this.</w:t>
            </w:r>
          </w:p>
        </w:tc>
      </w:tr>
      <w:tr w:rsidR="00F34AD2" w:rsidRPr="00581203" w14:paraId="17CCCF9A" w14:textId="77777777" w:rsidTr="0073643E">
        <w:trPr>
          <w:trHeight w:val="755"/>
        </w:trPr>
        <w:tc>
          <w:tcPr>
            <w:tcW w:w="1384" w:type="dxa"/>
          </w:tcPr>
          <w:p w14:paraId="2F15646A" w14:textId="77777777" w:rsidR="00F34AD2" w:rsidRDefault="00F34AD2" w:rsidP="0073643E">
            <w:pPr>
              <w:pStyle w:val="Applicationdirecte"/>
              <w:spacing w:before="120"/>
            </w:pPr>
            <w:r>
              <w:t>c</w:t>
            </w:r>
          </w:p>
        </w:tc>
        <w:tc>
          <w:tcPr>
            <w:tcW w:w="7655" w:type="dxa"/>
          </w:tcPr>
          <w:p w14:paraId="62BA1537" w14:textId="661B1523" w:rsidR="00F34AD2" w:rsidRPr="007A6CBD" w:rsidRDefault="00F34AD2" w:rsidP="0073643E">
            <w:pPr>
              <w:pStyle w:val="Applicationdirecte"/>
              <w:spacing w:before="120"/>
            </w:pPr>
            <w:r>
              <w:t>Description of methods used for determining general and specific credit risk adjustments.</w:t>
            </w:r>
          </w:p>
        </w:tc>
      </w:tr>
      <w:tr w:rsidR="00F34AD2" w:rsidRPr="00581203" w14:paraId="55462557" w14:textId="77777777" w:rsidTr="0073643E">
        <w:trPr>
          <w:trHeight w:val="755"/>
        </w:trPr>
        <w:tc>
          <w:tcPr>
            <w:tcW w:w="1384" w:type="dxa"/>
          </w:tcPr>
          <w:p w14:paraId="2744FAA6" w14:textId="77777777" w:rsidR="00F34AD2" w:rsidRDefault="00F34AD2" w:rsidP="0073643E">
            <w:pPr>
              <w:pStyle w:val="Applicationdirecte"/>
              <w:spacing w:before="120"/>
            </w:pPr>
            <w:r>
              <w:t>d</w:t>
            </w:r>
          </w:p>
        </w:tc>
        <w:tc>
          <w:tcPr>
            <w:tcW w:w="7655" w:type="dxa"/>
          </w:tcPr>
          <w:p w14:paraId="1C507285" w14:textId="7A7342CF" w:rsidR="00F34AD2" w:rsidRDefault="00F34AD2" w:rsidP="00603437">
            <w:pPr>
              <w:pStyle w:val="Applicationdirecte"/>
              <w:spacing w:before="120"/>
            </w:pPr>
            <w:r>
              <w:t xml:space="preserve">The institution’s own definition of a restructured exposure used for the implementation of </w:t>
            </w:r>
            <w:r w:rsidR="00E018B1">
              <w:t xml:space="preserve">point (d) of </w:t>
            </w:r>
            <w:r>
              <w:t xml:space="preserve">Article 178(3) CRR </w:t>
            </w:r>
            <w:r w:rsidR="00603437">
              <w:t>in accordance with Article 178 CRR</w:t>
            </w:r>
            <w:r>
              <w:t xml:space="preserve"> when different from the definition of </w:t>
            </w:r>
            <w:r w:rsidR="003D6D40" w:rsidRPr="003D6D40">
              <w:t>exposures with forbearance measures as defined in Article 47b CRR</w:t>
            </w:r>
            <w:r>
              <w:t>.</w:t>
            </w:r>
          </w:p>
        </w:tc>
      </w:tr>
    </w:tbl>
    <w:p w14:paraId="4149290F" w14:textId="4F70A152" w:rsidR="00AC4D4A" w:rsidRDefault="00AC4D4A" w:rsidP="00C51B2A">
      <w:pPr>
        <w:spacing w:before="120" w:after="120"/>
        <w:jc w:val="both"/>
        <w:rPr>
          <w:rFonts w:ascii="Times New Roman" w:hAnsi="Times New Roman" w:cs="Times New Roman"/>
          <w:bCs/>
          <w:sz w:val="24"/>
        </w:rPr>
      </w:pPr>
    </w:p>
    <w:p w14:paraId="62722632" w14:textId="77777777" w:rsidR="00AB3A69" w:rsidRDefault="00AB3A69" w:rsidP="00AB3A69">
      <w:pPr>
        <w:autoSpaceDE w:val="0"/>
        <w:autoSpaceDN w:val="0"/>
        <w:adjustRightInd w:val="0"/>
        <w:jc w:val="both"/>
        <w:rPr>
          <w:rFonts w:ascii="Times New Roman" w:hAnsi="Times New Roman" w:cs="Times New Roman"/>
          <w:b/>
          <w:sz w:val="24"/>
          <w:lang w:val="en-GB"/>
        </w:rPr>
      </w:pPr>
    </w:p>
    <w:p w14:paraId="7B842AA0" w14:textId="700A9E91" w:rsidR="00AB3A69" w:rsidRDefault="00AB3A69" w:rsidP="00FD04D2">
      <w:pPr>
        <w:autoSpaceDE w:val="0"/>
        <w:autoSpaceDN w:val="0"/>
        <w:adjustRightInd w:val="0"/>
        <w:spacing w:after="120"/>
        <w:rPr>
          <w:rFonts w:ascii="Times New Roman" w:hAnsi="Times New Roman" w:cs="Times New Roman"/>
          <w:b/>
          <w:sz w:val="24"/>
          <w:lang w:val="en-GB"/>
        </w:rPr>
      </w:pPr>
      <w:r>
        <w:rPr>
          <w:rFonts w:ascii="Times New Roman" w:hAnsi="Times New Roman" w:cs="Times New Roman"/>
          <w:b/>
          <w:sz w:val="24"/>
          <w:lang w:val="en-GB"/>
        </w:rPr>
        <w:t>Template EU CR1</w:t>
      </w:r>
      <w:r w:rsidRPr="00581203">
        <w:rPr>
          <w:rFonts w:ascii="Times New Roman" w:hAnsi="Times New Roman" w:cs="Times New Roman"/>
          <w:b/>
          <w:sz w:val="24"/>
          <w:lang w:val="en-GB"/>
        </w:rPr>
        <w:t xml:space="preserve">: </w:t>
      </w:r>
      <w:r w:rsidRPr="00962B68">
        <w:rPr>
          <w:rFonts w:ascii="Times New Roman" w:hAnsi="Times New Roman" w:cs="Times New Roman"/>
          <w:b/>
          <w:sz w:val="24"/>
          <w:lang w:val="en-GB"/>
        </w:rPr>
        <w:t>Performing and non-performing exposures and rel</w:t>
      </w:r>
      <w:r>
        <w:rPr>
          <w:rFonts w:ascii="Times New Roman" w:hAnsi="Times New Roman" w:cs="Times New Roman"/>
          <w:b/>
          <w:sz w:val="24"/>
          <w:lang w:val="en-GB"/>
        </w:rPr>
        <w:t>ated provisions</w:t>
      </w:r>
    </w:p>
    <w:p w14:paraId="186425A0" w14:textId="1677E479" w:rsidR="00AB3A69" w:rsidRPr="00FE38E5" w:rsidRDefault="00AB3A69" w:rsidP="00FE38E5">
      <w:pPr>
        <w:pStyle w:val="ListParagraph"/>
        <w:numPr>
          <w:ilvl w:val="0"/>
          <w:numId w:val="43"/>
        </w:numPr>
        <w:spacing w:before="120" w:after="120"/>
        <w:jc w:val="both"/>
        <w:rPr>
          <w:rFonts w:ascii="Times New Roman" w:hAnsi="Times New Roman"/>
          <w:bCs/>
          <w:sz w:val="24"/>
        </w:rPr>
      </w:pPr>
      <w:r w:rsidRPr="00FE38E5">
        <w:rPr>
          <w:rFonts w:ascii="Times New Roman" w:hAnsi="Times New Roman"/>
          <w:bCs/>
          <w:sz w:val="24"/>
        </w:rPr>
        <w:t>Institutions shall apply the instructions provided below in this Annex in order to complete template EU C</w:t>
      </w:r>
      <w:r w:rsidR="008B36A8" w:rsidRPr="00FE38E5">
        <w:rPr>
          <w:rFonts w:ascii="Times New Roman" w:hAnsi="Times New Roman"/>
          <w:bCs/>
          <w:sz w:val="24"/>
        </w:rPr>
        <w:t>R1</w:t>
      </w:r>
      <w:r w:rsidRPr="00FE38E5">
        <w:rPr>
          <w:rFonts w:ascii="Times New Roman" w:hAnsi="Times New Roman"/>
          <w:bCs/>
          <w:sz w:val="24"/>
        </w:rPr>
        <w:t xml:space="preserve"> as presented in Annex </w:t>
      </w:r>
      <w:r w:rsidR="009E4D56">
        <w:rPr>
          <w:rFonts w:ascii="Times New Roman" w:hAnsi="Times New Roman"/>
          <w:bCs/>
          <w:sz w:val="24"/>
        </w:rPr>
        <w:t>XV</w:t>
      </w:r>
      <w:r w:rsidR="00862F18">
        <w:rPr>
          <w:rFonts w:ascii="Times New Roman" w:hAnsi="Times New Roman"/>
          <w:bCs/>
          <w:sz w:val="24"/>
        </w:rPr>
        <w:t xml:space="preserve"> to</w:t>
      </w:r>
      <w:r w:rsidR="00E018B1">
        <w:rPr>
          <w:rFonts w:ascii="Times New Roman" w:hAnsi="Times New Roman"/>
          <w:bCs/>
          <w:sz w:val="24"/>
        </w:rPr>
        <w:t xml:space="preserve"> this Implementing Regulation</w:t>
      </w:r>
      <w:r w:rsidRPr="00FE38E5">
        <w:rPr>
          <w:rFonts w:ascii="Times New Roman" w:hAnsi="Times New Roman"/>
          <w:bCs/>
          <w:sz w:val="24"/>
        </w:rPr>
        <w:t xml:space="preserve">, in application of </w:t>
      </w:r>
      <w:r w:rsidR="00F37BC7">
        <w:rPr>
          <w:rFonts w:ascii="Times New Roman" w:hAnsi="Times New Roman"/>
          <w:bCs/>
          <w:sz w:val="24"/>
        </w:rPr>
        <w:t>points (c) and (e</w:t>
      </w:r>
      <w:r w:rsidR="00D6319A">
        <w:rPr>
          <w:rFonts w:ascii="Times New Roman" w:hAnsi="Times New Roman"/>
          <w:bCs/>
          <w:sz w:val="24"/>
        </w:rPr>
        <w:t xml:space="preserve">) of </w:t>
      </w:r>
      <w:r w:rsidRPr="00FE38E5">
        <w:rPr>
          <w:rFonts w:ascii="Times New Roman" w:hAnsi="Times New Roman"/>
          <w:bCs/>
          <w:sz w:val="24"/>
        </w:rPr>
        <w:t xml:space="preserve">Article 442 </w:t>
      </w:r>
      <w:r w:rsidRPr="00FE38E5">
        <w:rPr>
          <w:rFonts w:ascii="Times New Roman" w:hAnsi="Times New Roman"/>
          <w:noProof/>
          <w:color w:val="000000"/>
          <w:sz w:val="24"/>
        </w:rPr>
        <w:t>CRR</w:t>
      </w:r>
      <w:r w:rsidRPr="00FE38E5">
        <w:rPr>
          <w:rFonts w:ascii="Times New Roman" w:hAnsi="Times New Roman"/>
          <w:bCs/>
          <w:sz w:val="24"/>
        </w:rPr>
        <w:t>.</w:t>
      </w:r>
    </w:p>
    <w:p w14:paraId="55043B5F" w14:textId="77777777" w:rsidR="00AB3A69" w:rsidRPr="00962B68" w:rsidRDefault="00AB3A69" w:rsidP="00AB3A69">
      <w:pPr>
        <w:autoSpaceDE w:val="0"/>
        <w:autoSpaceDN w:val="0"/>
        <w:adjustRightInd w:val="0"/>
        <w:jc w:val="both"/>
        <w:rPr>
          <w:rFonts w:ascii="Times New Roman" w:hAnsi="Times New Roman" w:cs="Times New Roman"/>
          <w:b/>
          <w:sz w:val="24"/>
          <w:lang w:val="en-GB"/>
        </w:rPr>
      </w:pPr>
    </w:p>
    <w:p w14:paraId="1E6699F5" w14:textId="77777777" w:rsidR="00AB3A69" w:rsidRPr="0043712F" w:rsidRDefault="00AB3A69" w:rsidP="00AB3A69">
      <w:pPr>
        <w:contextualSpacing/>
        <w:jc w:val="both"/>
        <w:rPr>
          <w:rFonts w:ascii="Times New Roman" w:hAnsi="Times New Roman"/>
          <w:sz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AB3A69" w:rsidRPr="00581203" w14:paraId="1A907279" w14:textId="77777777" w:rsidTr="004B32A0">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2D1BCD" w14:textId="77777777" w:rsidR="00AB3A69" w:rsidRPr="00581203" w:rsidRDefault="00AB3A69" w:rsidP="004B32A0">
            <w:pPr>
              <w:rPr>
                <w:rFonts w:ascii="Times New Roman" w:hAnsi="Times New Roman" w:cs="Times New Roman"/>
                <w:b/>
                <w:sz w:val="24"/>
                <w:lang w:val="en-GB"/>
              </w:rPr>
            </w:pPr>
            <w:r w:rsidRPr="00581203">
              <w:rPr>
                <w:rFonts w:ascii="Times New Roman" w:hAnsi="Times New Roman" w:cs="Times New Roman"/>
                <w:b/>
                <w:sz w:val="24"/>
                <w:lang w:val="en-GB"/>
              </w:rPr>
              <w:t>Legal references and instructions</w:t>
            </w:r>
          </w:p>
        </w:tc>
      </w:tr>
      <w:tr w:rsidR="00AB3A69" w:rsidRPr="0043712F" w14:paraId="0F396099" w14:textId="77777777" w:rsidTr="004B32A0">
        <w:trPr>
          <w:trHeight w:val="238"/>
        </w:trPr>
        <w:tc>
          <w:tcPr>
            <w:tcW w:w="1384" w:type="dxa"/>
            <w:shd w:val="clear" w:color="auto" w:fill="D9D9D9" w:themeFill="background1" w:themeFillShade="D9"/>
          </w:tcPr>
          <w:p w14:paraId="32844E1F" w14:textId="77777777" w:rsidR="00AB3A69" w:rsidRPr="00581203" w:rsidRDefault="00AB3A69" w:rsidP="004B32A0">
            <w:pPr>
              <w:autoSpaceDE w:val="0"/>
              <w:autoSpaceDN w:val="0"/>
              <w:adjustRightInd w:val="0"/>
              <w:rPr>
                <w:rFonts w:ascii="Times New Roman" w:hAnsi="Times New Roman" w:cs="Times New Roman"/>
                <w:b/>
                <w:sz w:val="24"/>
                <w:lang w:val="en-GB"/>
              </w:rPr>
            </w:pPr>
            <w:r w:rsidRPr="00357816">
              <w:rPr>
                <w:rFonts w:ascii="Times New Roman" w:hAnsi="Times New Roman" w:cs="Times New Roman"/>
                <w:b/>
                <w:sz w:val="24"/>
                <w:lang w:val="en-GB"/>
              </w:rPr>
              <w:t>Row number</w:t>
            </w:r>
          </w:p>
        </w:tc>
        <w:tc>
          <w:tcPr>
            <w:tcW w:w="7655" w:type="dxa"/>
            <w:shd w:val="clear" w:color="auto" w:fill="D9D9D9" w:themeFill="background1" w:themeFillShade="D9"/>
          </w:tcPr>
          <w:p w14:paraId="18B5BDA7" w14:textId="77777777" w:rsidR="00AB3A69" w:rsidRPr="0043712F" w:rsidRDefault="00AB3A69" w:rsidP="004B32A0">
            <w:pPr>
              <w:autoSpaceDE w:val="0"/>
              <w:autoSpaceDN w:val="0"/>
              <w:adjustRightInd w:val="0"/>
              <w:rPr>
                <w:rFonts w:ascii="Times New Roman" w:hAnsi="Times New Roman" w:cs="Times New Roman"/>
                <w:color w:val="000000"/>
                <w:sz w:val="24"/>
                <w:lang w:val="en-GB"/>
              </w:rPr>
            </w:pPr>
            <w:r w:rsidRPr="00581203">
              <w:rPr>
                <w:rFonts w:ascii="Times New Roman" w:hAnsi="Times New Roman" w:cs="Times New Roman"/>
                <w:b/>
                <w:sz w:val="24"/>
                <w:lang w:val="en-GB"/>
              </w:rPr>
              <w:t>Explanation</w:t>
            </w:r>
          </w:p>
        </w:tc>
      </w:tr>
      <w:tr w:rsidR="00DF67AC" w:rsidRPr="0043712F" w14:paraId="11288A2A" w14:textId="77777777" w:rsidTr="008736F9">
        <w:trPr>
          <w:trHeight w:val="845"/>
        </w:trPr>
        <w:tc>
          <w:tcPr>
            <w:tcW w:w="1384" w:type="dxa"/>
          </w:tcPr>
          <w:p w14:paraId="66BD834D" w14:textId="11C02889" w:rsidR="00DF67AC" w:rsidRDefault="00DF67AC" w:rsidP="008736F9">
            <w:pPr>
              <w:pStyle w:val="Applicationdirecte"/>
              <w:spacing w:before="120"/>
            </w:pPr>
            <w:r>
              <w:t>005</w:t>
            </w:r>
          </w:p>
        </w:tc>
        <w:tc>
          <w:tcPr>
            <w:tcW w:w="7655" w:type="dxa"/>
          </w:tcPr>
          <w:p w14:paraId="749825DE" w14:textId="77777777" w:rsidR="00DF67AC" w:rsidRDefault="00DF67AC" w:rsidP="008736F9">
            <w:pPr>
              <w:pStyle w:val="Applicationdirecte"/>
              <w:spacing w:before="120"/>
              <w:rPr>
                <w:b/>
              </w:rPr>
            </w:pPr>
            <w:r w:rsidRPr="00DF67AC">
              <w:rPr>
                <w:b/>
              </w:rPr>
              <w:t>Cash balances at central banks and other demand deposits</w:t>
            </w:r>
          </w:p>
          <w:p w14:paraId="64790102" w14:textId="25CACAB9" w:rsidR="00DF67AC" w:rsidRPr="00AD2223" w:rsidRDefault="00DF67AC" w:rsidP="008736F9">
            <w:pPr>
              <w:pStyle w:val="Applicationdirecte"/>
              <w:spacing w:before="120"/>
            </w:pPr>
            <w:r>
              <w:lastRenderedPageBreak/>
              <w:t xml:space="preserve">Institutions shall disclose this information in line with the information reported in Annexes III and IV </w:t>
            </w:r>
            <w:r w:rsidRPr="0017224C">
              <w:t>Commission Implementing Regulation (EU</w:t>
            </w:r>
            <w:proofErr w:type="gramStart"/>
            <w:r w:rsidRPr="0017224C">
              <w:t>)</w:t>
            </w:r>
            <w:r>
              <w:t xml:space="preserve"> </w:t>
            </w:r>
            <w:r w:rsidRPr="0017224C">
              <w:t xml:space="preserve"> 680</w:t>
            </w:r>
            <w:proofErr w:type="gramEnd"/>
            <w:r w:rsidRPr="0017224C">
              <w:t>/2014</w:t>
            </w:r>
            <w:r>
              <w:rPr>
                <w:rStyle w:val="FootnoteReference"/>
              </w:rPr>
              <w:footnoteReference w:id="3"/>
            </w:r>
            <w:r>
              <w:t>.</w:t>
            </w:r>
          </w:p>
        </w:tc>
      </w:tr>
      <w:tr w:rsidR="00AB3A69" w:rsidRPr="0043712F" w14:paraId="32D5885C" w14:textId="77777777" w:rsidTr="004B32A0">
        <w:trPr>
          <w:trHeight w:val="845"/>
        </w:trPr>
        <w:tc>
          <w:tcPr>
            <w:tcW w:w="1384" w:type="dxa"/>
          </w:tcPr>
          <w:p w14:paraId="273B9883" w14:textId="77777777" w:rsidR="00AB3A69" w:rsidRDefault="00AB3A69" w:rsidP="004B32A0">
            <w:pPr>
              <w:pStyle w:val="Applicationdirecte"/>
              <w:spacing w:before="120"/>
            </w:pPr>
            <w:r>
              <w:lastRenderedPageBreak/>
              <w:t>010</w:t>
            </w:r>
          </w:p>
        </w:tc>
        <w:tc>
          <w:tcPr>
            <w:tcW w:w="7655" w:type="dxa"/>
          </w:tcPr>
          <w:p w14:paraId="3456A5A5" w14:textId="77777777" w:rsidR="00AB3A69" w:rsidRDefault="00AB3A69" w:rsidP="004B32A0">
            <w:pPr>
              <w:pStyle w:val="Applicationdirecte"/>
              <w:spacing w:before="120"/>
              <w:rPr>
                <w:b/>
              </w:rPr>
            </w:pPr>
            <w:r>
              <w:rPr>
                <w:b/>
              </w:rPr>
              <w:t>Loans and advances</w:t>
            </w:r>
          </w:p>
          <w:p w14:paraId="7B1D6C6D" w14:textId="5DCAC355" w:rsidR="00AB3A69" w:rsidRPr="00AD2223" w:rsidRDefault="00CD3AD5" w:rsidP="00DF67AC">
            <w:pPr>
              <w:pStyle w:val="Applicationdirecte"/>
              <w:spacing w:before="120"/>
            </w:pPr>
            <w:proofErr w:type="gramStart"/>
            <w:r w:rsidRPr="00EC4FA2">
              <w:t xml:space="preserve">Loans and advances are debt instruments held by the institutions that are not securities; this item includes ‘loans’ in accordance with </w:t>
            </w:r>
            <w:r w:rsidR="00D125F0">
              <w:t>Regulation (EU) 1071/2013(“</w:t>
            </w:r>
            <w:r w:rsidRPr="00EC4FA2">
              <w:t>ECB BSI Regulation</w:t>
            </w:r>
            <w:r w:rsidR="00D125F0">
              <w:t>”)</w:t>
            </w:r>
            <w:r w:rsidR="002D4851">
              <w:rPr>
                <w:rStyle w:val="FootnoteReference"/>
              </w:rPr>
              <w:footnoteReference w:id="4"/>
            </w:r>
            <w:r w:rsidRPr="00EC4FA2">
              <w:t xml:space="preserve"> as well as advances that cannot be classified as ‘loans’ </w:t>
            </w:r>
            <w:r w:rsidR="008B2ED1">
              <w:t>in accordance with</w:t>
            </w:r>
            <w:r>
              <w:t xml:space="preserve"> the ECB BSI Regulation, as defined in paragraph 32 of Part 1 of Annex V to </w:t>
            </w:r>
            <w:r w:rsidRPr="0017224C">
              <w:t>Commission Implementing Regulation (EU)</w:t>
            </w:r>
            <w:r w:rsidR="001D1C02">
              <w:t xml:space="preserve"> </w:t>
            </w:r>
            <w:r w:rsidRPr="0017224C">
              <w:t xml:space="preserve"> 680/2014</w:t>
            </w:r>
            <w:r w:rsidR="0051165C">
              <w:t xml:space="preserve">, but excluding </w:t>
            </w:r>
            <w:r w:rsidR="0051165C" w:rsidRPr="00205070">
              <w:rPr>
                <w:sz w:val="22"/>
                <w:szCs w:val="22"/>
              </w:rPr>
              <w:t>loans and advances classified as held for sale, cash balances at central banks and other demand deposits</w:t>
            </w:r>
            <w:r w:rsidR="007A2F6C">
              <w:rPr>
                <w:sz w:val="22"/>
                <w:szCs w:val="22"/>
              </w:rPr>
              <w:t>.</w:t>
            </w:r>
            <w:proofErr w:type="gramEnd"/>
          </w:p>
        </w:tc>
      </w:tr>
      <w:tr w:rsidR="00AB3A69" w:rsidRPr="004D3597" w14:paraId="4ECB44D1" w14:textId="77777777" w:rsidTr="004B32A0">
        <w:trPr>
          <w:trHeight w:val="3815"/>
        </w:trPr>
        <w:tc>
          <w:tcPr>
            <w:tcW w:w="1384" w:type="dxa"/>
          </w:tcPr>
          <w:p w14:paraId="44DD0784" w14:textId="77777777" w:rsidR="00AB3A69" w:rsidRPr="00581203" w:rsidRDefault="00AB3A69" w:rsidP="004B32A0">
            <w:pPr>
              <w:pStyle w:val="Applicationdirecte"/>
              <w:spacing w:before="120"/>
            </w:pPr>
            <w:r>
              <w:t>020 – 060, 080, 100 – 140, 160 –210</w:t>
            </w:r>
          </w:p>
        </w:tc>
        <w:tc>
          <w:tcPr>
            <w:tcW w:w="7655" w:type="dxa"/>
          </w:tcPr>
          <w:p w14:paraId="6E76217A" w14:textId="77777777" w:rsidR="00AB3A69" w:rsidRPr="00581203" w:rsidRDefault="00AB3A69" w:rsidP="004B32A0">
            <w:pPr>
              <w:pStyle w:val="Applicationdirecte"/>
              <w:spacing w:before="120"/>
              <w:rPr>
                <w:b/>
              </w:rPr>
            </w:pPr>
            <w:r w:rsidRPr="0043712F">
              <w:rPr>
                <w:b/>
              </w:rPr>
              <w:t>Counterparty breakdown</w:t>
            </w:r>
          </w:p>
          <w:p w14:paraId="44EF2CF2" w14:textId="2D4B2C5D" w:rsidR="00AB3A69" w:rsidRPr="0017224C" w:rsidRDefault="00AB3A69" w:rsidP="004B32A0">
            <w:pPr>
              <w:pStyle w:val="Applicationdirecte"/>
              <w:spacing w:before="120"/>
            </w:pPr>
            <w:r w:rsidRPr="0017224C">
              <w:t>Institutions shall apply the breakdown by counterparty as defined in paragraph 42 of Part 1 of Annex V to Commission Implementing Regulation (EU</w:t>
            </w:r>
            <w:proofErr w:type="gramStart"/>
            <w:r w:rsidRPr="0017224C">
              <w:t>)  680</w:t>
            </w:r>
            <w:proofErr w:type="gramEnd"/>
            <w:r w:rsidRPr="0017224C">
              <w:t>/2014.</w:t>
            </w:r>
          </w:p>
          <w:p w14:paraId="269C21D9" w14:textId="77777777" w:rsidR="00AB3A69" w:rsidRPr="004D3597" w:rsidRDefault="00AB3A69" w:rsidP="004B32A0">
            <w:pPr>
              <w:pStyle w:val="Fait"/>
            </w:pPr>
            <w:r w:rsidRPr="0017224C">
              <w:t xml:space="preserve">Counterparty sector allocation </w:t>
            </w:r>
            <w:proofErr w:type="gramStart"/>
            <w:r w:rsidRPr="0017224C">
              <w:t>shall be based</w:t>
            </w:r>
            <w:proofErr w:type="gramEnd"/>
            <w:r w:rsidRPr="0017224C">
              <w:t xml:space="preserve"> exclusively on the nature of the immediate counterparty. The classification of exposures incurred jointly by more than one obligor </w:t>
            </w:r>
            <w:proofErr w:type="gramStart"/>
            <w:r w:rsidRPr="0017224C">
              <w:t>shall be done</w:t>
            </w:r>
            <w:proofErr w:type="gramEnd"/>
            <w:r w:rsidRPr="0017224C">
              <w:t xml:space="preserve"> based on the characteristics of the obligor that was the more relevant, or determinant, for the institution’s decision to grant the exposure. Among other classifications, the distribution of jointly incurred exposures by counterparty sector, country of residence and NACE code shall be driven</w:t>
            </w:r>
            <w:r w:rsidRPr="0043712F">
              <w:t xml:space="preserve"> by the characteristics of the more r</w:t>
            </w:r>
            <w:r>
              <w:t>elevant or determinant obligor.</w:t>
            </w:r>
          </w:p>
        </w:tc>
      </w:tr>
      <w:tr w:rsidR="00AB3A69" w:rsidRPr="003F5E9A" w14:paraId="4C1BC293" w14:textId="77777777" w:rsidTr="004B32A0">
        <w:trPr>
          <w:trHeight w:val="316"/>
        </w:trPr>
        <w:tc>
          <w:tcPr>
            <w:tcW w:w="1384" w:type="dxa"/>
          </w:tcPr>
          <w:p w14:paraId="671BEE99" w14:textId="77777777" w:rsidR="00AB3A69" w:rsidRPr="0043712F" w:rsidRDefault="00AB3A69" w:rsidP="004B32A0">
            <w:pPr>
              <w:autoSpaceDE w:val="0"/>
              <w:autoSpaceDN w:val="0"/>
              <w:adjustRightInd w:val="0"/>
              <w:rPr>
                <w:rFonts w:ascii="Times New Roman" w:hAnsi="Times New Roman" w:cs="Times New Roman"/>
                <w:color w:val="000000"/>
                <w:sz w:val="24"/>
                <w:lang w:val="en-GB"/>
              </w:rPr>
            </w:pPr>
            <w:r>
              <w:rPr>
                <w:rFonts w:ascii="Times New Roman" w:eastAsia="Times New Roman" w:hAnsi="Times New Roman" w:cs="Times New Roman"/>
                <w:sz w:val="24"/>
                <w:lang w:val="en-GB"/>
              </w:rPr>
              <w:t>070</w:t>
            </w:r>
          </w:p>
        </w:tc>
        <w:tc>
          <w:tcPr>
            <w:tcW w:w="7655" w:type="dxa"/>
          </w:tcPr>
          <w:p w14:paraId="359D5A45" w14:textId="77777777" w:rsidR="00AB3A69" w:rsidRDefault="00AB3A69" w:rsidP="004B32A0">
            <w:pPr>
              <w:autoSpaceDE w:val="0"/>
              <w:autoSpaceDN w:val="0"/>
              <w:adjustRightInd w:val="0"/>
              <w:rPr>
                <w:rFonts w:ascii="Times New Roman" w:hAnsi="Times New Roman" w:cs="Times New Roman"/>
                <w:b/>
                <w:sz w:val="24"/>
                <w:lang w:val="en-GB"/>
              </w:rPr>
            </w:pPr>
            <w:r w:rsidRPr="00A81300">
              <w:rPr>
                <w:rFonts w:ascii="Times New Roman" w:hAnsi="Times New Roman" w:cs="Times New Roman"/>
                <w:b/>
                <w:sz w:val="24"/>
                <w:lang w:val="en-GB"/>
              </w:rPr>
              <w:t>SMEs</w:t>
            </w:r>
          </w:p>
          <w:p w14:paraId="709CD81D" w14:textId="37F1B524" w:rsidR="00AB3A69" w:rsidRPr="003F5E9A" w:rsidRDefault="00AB3A69" w:rsidP="004B32A0">
            <w:pPr>
              <w:autoSpaceDE w:val="0"/>
              <w:autoSpaceDN w:val="0"/>
              <w:adjustRightInd w:val="0"/>
              <w:spacing w:before="120"/>
              <w:rPr>
                <w:rFonts w:ascii="Times New Roman" w:hAnsi="Times New Roman" w:cs="Times New Roman"/>
                <w:b/>
                <w:sz w:val="24"/>
                <w:lang w:val="en-GB"/>
              </w:rPr>
            </w:pPr>
            <w:r>
              <w:rPr>
                <w:rFonts w:ascii="Times New Roman" w:eastAsia="Times New Roman" w:hAnsi="Times New Roman" w:cs="Times New Roman"/>
                <w:sz w:val="24"/>
                <w:lang w:val="en-GB"/>
              </w:rPr>
              <w:t>A</w:t>
            </w:r>
            <w:r w:rsidRPr="00A81300">
              <w:rPr>
                <w:rFonts w:ascii="Times New Roman" w:eastAsia="Times New Roman" w:hAnsi="Times New Roman" w:cs="Times New Roman"/>
                <w:sz w:val="24"/>
                <w:lang w:val="en-GB"/>
              </w:rPr>
              <w:t>s defined in paragraph 5(</w:t>
            </w:r>
            <w:proofErr w:type="spellStart"/>
            <w:r w:rsidRPr="00A81300">
              <w:rPr>
                <w:rFonts w:ascii="Times New Roman" w:eastAsia="Times New Roman" w:hAnsi="Times New Roman" w:cs="Times New Roman"/>
                <w:sz w:val="24"/>
                <w:lang w:val="en-GB"/>
              </w:rPr>
              <w:t>i</w:t>
            </w:r>
            <w:proofErr w:type="spellEnd"/>
            <w:r w:rsidRPr="00A81300">
              <w:rPr>
                <w:rFonts w:ascii="Times New Roman" w:eastAsia="Times New Roman" w:hAnsi="Times New Roman" w:cs="Times New Roman"/>
                <w:sz w:val="24"/>
                <w:lang w:val="en-GB"/>
              </w:rPr>
              <w:t>) of Part 1 of Annex V to Commission Implementing Regulation (EU</w:t>
            </w:r>
            <w:proofErr w:type="gramStart"/>
            <w:r w:rsidRPr="00A81300">
              <w:rPr>
                <w:rFonts w:ascii="Times New Roman" w:eastAsia="Times New Roman" w:hAnsi="Times New Roman" w:cs="Times New Roman"/>
                <w:sz w:val="24"/>
                <w:lang w:val="en-GB"/>
              </w:rPr>
              <w:t>)  680</w:t>
            </w:r>
            <w:proofErr w:type="gramEnd"/>
            <w:r w:rsidRPr="00A81300">
              <w:rPr>
                <w:rFonts w:ascii="Times New Roman" w:eastAsia="Times New Roman" w:hAnsi="Times New Roman" w:cs="Times New Roman"/>
                <w:sz w:val="24"/>
                <w:lang w:val="en-GB"/>
              </w:rPr>
              <w:t>/2014.</w:t>
            </w:r>
          </w:p>
        </w:tc>
      </w:tr>
      <w:tr w:rsidR="00AB3A69" w:rsidRPr="00A81300" w14:paraId="43FF63AA" w14:textId="77777777" w:rsidTr="004B32A0">
        <w:trPr>
          <w:trHeight w:val="530"/>
        </w:trPr>
        <w:tc>
          <w:tcPr>
            <w:tcW w:w="1384" w:type="dxa"/>
          </w:tcPr>
          <w:p w14:paraId="60046CEC" w14:textId="77777777" w:rsidR="00AB3A69" w:rsidRDefault="00AB3A69" w:rsidP="004B32A0">
            <w:pPr>
              <w:autoSpaceDE w:val="0"/>
              <w:autoSpaceDN w:val="0"/>
              <w:adjustRightInd w:val="0"/>
              <w:rPr>
                <w:rFonts w:ascii="Times New Roman" w:eastAsia="Times New Roman" w:hAnsi="Times New Roman" w:cs="Times New Roman"/>
                <w:sz w:val="24"/>
                <w:lang w:val="en-GB"/>
              </w:rPr>
            </w:pPr>
            <w:r>
              <w:rPr>
                <w:rFonts w:ascii="Times New Roman" w:eastAsia="Times New Roman" w:hAnsi="Times New Roman" w:cs="Times New Roman"/>
                <w:sz w:val="24"/>
                <w:lang w:val="en-GB"/>
              </w:rPr>
              <w:t>090</w:t>
            </w:r>
          </w:p>
        </w:tc>
        <w:tc>
          <w:tcPr>
            <w:tcW w:w="7655" w:type="dxa"/>
          </w:tcPr>
          <w:p w14:paraId="24D38CAD" w14:textId="77777777" w:rsidR="00AB3A69" w:rsidRDefault="00AB3A69" w:rsidP="004B32A0">
            <w:pPr>
              <w:autoSpaceDE w:val="0"/>
              <w:autoSpaceDN w:val="0"/>
              <w:adjustRightInd w:val="0"/>
              <w:rPr>
                <w:rFonts w:ascii="Times New Roman" w:hAnsi="Times New Roman" w:cs="Times New Roman"/>
                <w:b/>
                <w:sz w:val="24"/>
                <w:lang w:val="en-GB"/>
              </w:rPr>
            </w:pPr>
            <w:r>
              <w:rPr>
                <w:rFonts w:ascii="Times New Roman" w:hAnsi="Times New Roman" w:cs="Times New Roman"/>
                <w:b/>
                <w:sz w:val="24"/>
                <w:lang w:val="en-GB"/>
              </w:rPr>
              <w:t>Debt securities</w:t>
            </w:r>
          </w:p>
          <w:p w14:paraId="62C894C0" w14:textId="4EBEF93F" w:rsidR="00AB3A69" w:rsidRPr="00AD2223" w:rsidRDefault="00CD3AD5" w:rsidP="00CD3AD5">
            <w:pPr>
              <w:pStyle w:val="Applicationdirecte"/>
              <w:spacing w:before="120"/>
            </w:pPr>
            <w:r w:rsidRPr="00EC4FA2">
              <w:t>Debt securities are debt instruments held by the institution issued as securities that are not loans in accorda</w:t>
            </w:r>
            <w:r>
              <w:t xml:space="preserve">nce with the ECB BSI Regulation, as defined in paragraph 31 of Part 1 of Annex V to </w:t>
            </w:r>
            <w:r w:rsidRPr="0017224C">
              <w:t>Commission Implementing Regulation (EU</w:t>
            </w:r>
            <w:proofErr w:type="gramStart"/>
            <w:r w:rsidRPr="0017224C">
              <w:t>)  680</w:t>
            </w:r>
            <w:proofErr w:type="gramEnd"/>
            <w:r w:rsidRPr="0017224C">
              <w:t>/2014.</w:t>
            </w:r>
          </w:p>
        </w:tc>
      </w:tr>
      <w:tr w:rsidR="00AB3A69" w14:paraId="51E7356B" w14:textId="77777777" w:rsidTr="004B32A0">
        <w:trPr>
          <w:trHeight w:val="620"/>
        </w:trPr>
        <w:tc>
          <w:tcPr>
            <w:tcW w:w="1384" w:type="dxa"/>
          </w:tcPr>
          <w:p w14:paraId="379F4966" w14:textId="77777777" w:rsidR="00AB3A69" w:rsidRDefault="00AB3A69" w:rsidP="004B32A0">
            <w:pPr>
              <w:autoSpaceDE w:val="0"/>
              <w:autoSpaceDN w:val="0"/>
              <w:adjustRightInd w:val="0"/>
              <w:rPr>
                <w:rFonts w:ascii="Times New Roman" w:eastAsia="Times New Roman" w:hAnsi="Times New Roman" w:cs="Times New Roman"/>
                <w:sz w:val="24"/>
                <w:lang w:val="en-GB"/>
              </w:rPr>
            </w:pPr>
            <w:r>
              <w:rPr>
                <w:rFonts w:ascii="Times New Roman" w:eastAsia="Times New Roman" w:hAnsi="Times New Roman" w:cs="Times New Roman"/>
                <w:sz w:val="24"/>
                <w:lang w:val="en-GB"/>
              </w:rPr>
              <w:t>150</w:t>
            </w:r>
          </w:p>
        </w:tc>
        <w:tc>
          <w:tcPr>
            <w:tcW w:w="7655" w:type="dxa"/>
          </w:tcPr>
          <w:p w14:paraId="74CFA352" w14:textId="77777777" w:rsidR="00AB3A69" w:rsidRDefault="00AB3A69" w:rsidP="004B32A0">
            <w:pPr>
              <w:autoSpaceDE w:val="0"/>
              <w:autoSpaceDN w:val="0"/>
              <w:adjustRightInd w:val="0"/>
              <w:rPr>
                <w:rFonts w:ascii="Times New Roman" w:hAnsi="Times New Roman" w:cs="Times New Roman"/>
                <w:b/>
                <w:sz w:val="24"/>
                <w:lang w:val="en-GB"/>
              </w:rPr>
            </w:pPr>
            <w:r>
              <w:rPr>
                <w:rFonts w:ascii="Times New Roman" w:hAnsi="Times New Roman" w:cs="Times New Roman"/>
                <w:b/>
                <w:sz w:val="24"/>
                <w:lang w:val="en-GB"/>
              </w:rPr>
              <w:t>Off-balance-sheet exposures</w:t>
            </w:r>
          </w:p>
          <w:p w14:paraId="5CB975C0" w14:textId="5D962B1D" w:rsidR="00AB3A69" w:rsidRPr="00AD2223" w:rsidRDefault="00CD3AD5" w:rsidP="004B32A0">
            <w:pPr>
              <w:pStyle w:val="Applicationdirecte"/>
              <w:spacing w:before="120"/>
            </w:pPr>
            <w:r w:rsidRPr="00EC4FA2">
              <w:t>Off-balance sheet exposures shall include the off-balance sheet items listed in Annex I CRR.</w:t>
            </w:r>
          </w:p>
        </w:tc>
      </w:tr>
      <w:tr w:rsidR="00AB3A69" w14:paraId="067AEEEC" w14:textId="77777777" w:rsidTr="004B32A0">
        <w:trPr>
          <w:trHeight w:val="620"/>
        </w:trPr>
        <w:tc>
          <w:tcPr>
            <w:tcW w:w="1384" w:type="dxa"/>
          </w:tcPr>
          <w:p w14:paraId="2DF92E93" w14:textId="7B27117C" w:rsidR="00AB3A69" w:rsidRDefault="003641C0" w:rsidP="004B32A0">
            <w:pPr>
              <w:autoSpaceDE w:val="0"/>
              <w:autoSpaceDN w:val="0"/>
              <w:adjustRightInd w:val="0"/>
              <w:rPr>
                <w:rFonts w:ascii="Times New Roman" w:eastAsia="Times New Roman" w:hAnsi="Times New Roman" w:cs="Times New Roman"/>
                <w:sz w:val="24"/>
                <w:lang w:val="en-GB"/>
              </w:rPr>
            </w:pPr>
            <w:r>
              <w:rPr>
                <w:rFonts w:ascii="Times New Roman" w:eastAsia="Times New Roman" w:hAnsi="Times New Roman" w:cs="Times New Roman"/>
                <w:sz w:val="24"/>
                <w:lang w:val="en-GB"/>
              </w:rPr>
              <w:t>220</w:t>
            </w:r>
          </w:p>
        </w:tc>
        <w:tc>
          <w:tcPr>
            <w:tcW w:w="7655" w:type="dxa"/>
          </w:tcPr>
          <w:p w14:paraId="4B7C9C09" w14:textId="77777777" w:rsidR="00AB3A69" w:rsidRDefault="00AB3A69" w:rsidP="004B32A0">
            <w:pPr>
              <w:autoSpaceDE w:val="0"/>
              <w:autoSpaceDN w:val="0"/>
              <w:adjustRightInd w:val="0"/>
              <w:rPr>
                <w:rFonts w:ascii="Times New Roman" w:hAnsi="Times New Roman" w:cs="Times New Roman"/>
                <w:b/>
                <w:sz w:val="24"/>
                <w:lang w:val="en-GB"/>
              </w:rPr>
            </w:pPr>
            <w:r>
              <w:rPr>
                <w:rFonts w:ascii="Times New Roman" w:hAnsi="Times New Roman" w:cs="Times New Roman"/>
                <w:b/>
                <w:sz w:val="24"/>
                <w:lang w:val="en-GB"/>
              </w:rPr>
              <w:t>Total</w:t>
            </w:r>
          </w:p>
        </w:tc>
      </w:tr>
    </w:tbl>
    <w:p w14:paraId="352C8B8F" w14:textId="77777777" w:rsidR="00AB3A69" w:rsidRPr="0043712F" w:rsidRDefault="00AB3A69" w:rsidP="00AB3A69">
      <w:pPr>
        <w:rPr>
          <w:rFonts w:ascii="Times New Roman" w:hAnsi="Times New Roman" w:cs="Times New Roman"/>
          <w:sz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AB3A69" w:rsidRPr="00581203" w14:paraId="60DB91EE" w14:textId="77777777" w:rsidTr="004B32A0">
        <w:trPr>
          <w:trHeight w:val="238"/>
        </w:trPr>
        <w:tc>
          <w:tcPr>
            <w:tcW w:w="9039" w:type="dxa"/>
            <w:gridSpan w:val="2"/>
            <w:shd w:val="clear" w:color="auto" w:fill="D9D9D9" w:themeFill="background1" w:themeFillShade="D9"/>
          </w:tcPr>
          <w:p w14:paraId="08F2ACCB" w14:textId="77777777" w:rsidR="00AB3A69" w:rsidRPr="00581203" w:rsidRDefault="00AB3A69" w:rsidP="004B32A0">
            <w:pPr>
              <w:autoSpaceDE w:val="0"/>
              <w:autoSpaceDN w:val="0"/>
              <w:adjustRightInd w:val="0"/>
              <w:rPr>
                <w:rFonts w:ascii="Times New Roman" w:hAnsi="Times New Roman" w:cs="Times New Roman"/>
                <w:b/>
                <w:sz w:val="24"/>
                <w:lang w:val="en-GB"/>
              </w:rPr>
            </w:pPr>
            <w:r w:rsidRPr="00581203">
              <w:rPr>
                <w:rFonts w:ascii="Times New Roman" w:hAnsi="Times New Roman" w:cs="Times New Roman"/>
                <w:b/>
                <w:sz w:val="24"/>
                <w:lang w:val="en-GB"/>
              </w:rPr>
              <w:lastRenderedPageBreak/>
              <w:t>Legal references and instructions</w:t>
            </w:r>
          </w:p>
        </w:tc>
      </w:tr>
      <w:tr w:rsidR="00AB3A69" w:rsidRPr="00581203" w14:paraId="4EBFF292" w14:textId="77777777" w:rsidTr="004B32A0">
        <w:trPr>
          <w:trHeight w:val="238"/>
        </w:trPr>
        <w:tc>
          <w:tcPr>
            <w:tcW w:w="1384" w:type="dxa"/>
            <w:shd w:val="clear" w:color="auto" w:fill="D9D9D9" w:themeFill="background1" w:themeFillShade="D9"/>
          </w:tcPr>
          <w:p w14:paraId="627A3B6A" w14:textId="77777777" w:rsidR="00AB3A69" w:rsidRPr="00581203" w:rsidRDefault="00AB3A69" w:rsidP="004B32A0">
            <w:pPr>
              <w:autoSpaceDE w:val="0"/>
              <w:autoSpaceDN w:val="0"/>
              <w:adjustRightInd w:val="0"/>
              <w:rPr>
                <w:rFonts w:ascii="Times New Roman" w:hAnsi="Times New Roman" w:cs="Times New Roman"/>
                <w:b/>
                <w:sz w:val="24"/>
                <w:lang w:val="en-GB"/>
              </w:rPr>
            </w:pPr>
            <w:r w:rsidRPr="003065D5">
              <w:rPr>
                <w:rFonts w:ascii="Times New Roman" w:hAnsi="Times New Roman" w:cs="Times New Roman"/>
                <w:b/>
                <w:sz w:val="24"/>
                <w:lang w:val="en-GB"/>
              </w:rPr>
              <w:t>Column number</w:t>
            </w:r>
          </w:p>
        </w:tc>
        <w:tc>
          <w:tcPr>
            <w:tcW w:w="7655" w:type="dxa"/>
            <w:shd w:val="clear" w:color="auto" w:fill="D9D9D9" w:themeFill="background1" w:themeFillShade="D9"/>
          </w:tcPr>
          <w:p w14:paraId="06463730" w14:textId="77777777" w:rsidR="00AB3A69" w:rsidRPr="004D3597" w:rsidRDefault="00AB3A69" w:rsidP="004B32A0">
            <w:pPr>
              <w:autoSpaceDE w:val="0"/>
              <w:autoSpaceDN w:val="0"/>
              <w:adjustRightInd w:val="0"/>
              <w:rPr>
                <w:rFonts w:ascii="Times New Roman" w:hAnsi="Times New Roman" w:cs="Times New Roman"/>
                <w:b/>
                <w:sz w:val="24"/>
                <w:lang w:val="en-GB"/>
              </w:rPr>
            </w:pPr>
            <w:r w:rsidRPr="00581203">
              <w:rPr>
                <w:rFonts w:ascii="Times New Roman" w:hAnsi="Times New Roman" w:cs="Times New Roman"/>
                <w:b/>
                <w:sz w:val="24"/>
                <w:lang w:val="en-GB"/>
              </w:rPr>
              <w:t>Explanation</w:t>
            </w:r>
          </w:p>
        </w:tc>
      </w:tr>
      <w:tr w:rsidR="00AB3A69" w:rsidRPr="00581203" w14:paraId="463F038F" w14:textId="77777777" w:rsidTr="004B32A0">
        <w:trPr>
          <w:trHeight w:val="841"/>
        </w:trPr>
        <w:tc>
          <w:tcPr>
            <w:tcW w:w="1384" w:type="dxa"/>
          </w:tcPr>
          <w:p w14:paraId="34C9A57B" w14:textId="77777777" w:rsidR="00AB3A69" w:rsidRPr="00581203" w:rsidRDefault="00AB3A69" w:rsidP="004B32A0">
            <w:pPr>
              <w:pStyle w:val="Applicationdirecte"/>
              <w:spacing w:before="120"/>
            </w:pPr>
            <w:r>
              <w:t>a</w:t>
            </w:r>
          </w:p>
        </w:tc>
        <w:tc>
          <w:tcPr>
            <w:tcW w:w="7655" w:type="dxa"/>
          </w:tcPr>
          <w:p w14:paraId="36DE1C60" w14:textId="27BA2F52" w:rsidR="00AB3A69" w:rsidRDefault="00AB3A69" w:rsidP="004B32A0">
            <w:pPr>
              <w:pStyle w:val="Fait"/>
              <w:spacing w:after="120"/>
              <w:rPr>
                <w:rFonts w:eastAsiaTheme="minorEastAsia"/>
                <w:b/>
              </w:rPr>
            </w:pPr>
            <w:r>
              <w:rPr>
                <w:rFonts w:eastAsiaTheme="minorEastAsia"/>
                <w:b/>
              </w:rPr>
              <w:t>Gross carrying amount/nominal amount on performing exposures</w:t>
            </w:r>
          </w:p>
          <w:p w14:paraId="01F36DAA" w14:textId="6500F124" w:rsidR="00AB3A69" w:rsidRDefault="00AB3A69" w:rsidP="004B32A0">
            <w:pPr>
              <w:pStyle w:val="Fait"/>
            </w:pPr>
            <w:r>
              <w:t>G</w:t>
            </w:r>
            <w:r w:rsidRPr="006172E4">
              <w:t>ross carrying amount as defined in paragraph 34 of Part 1 of Annex V to Commission Implementing Regulation (EU) 680/2014</w:t>
            </w:r>
            <w:r>
              <w:t xml:space="preserve">. </w:t>
            </w:r>
          </w:p>
          <w:p w14:paraId="72C2BD9D" w14:textId="26DAF5A9" w:rsidR="00AB3A69" w:rsidRDefault="00AB3A69" w:rsidP="004B32A0">
            <w:pPr>
              <w:pStyle w:val="Institutionquisigne"/>
              <w:spacing w:before="120"/>
            </w:pPr>
            <w:r>
              <w:rPr>
                <w:i w:val="0"/>
              </w:rPr>
              <w:t>N</w:t>
            </w:r>
            <w:r w:rsidRPr="006172E4">
              <w:rPr>
                <w:i w:val="0"/>
              </w:rPr>
              <w:t>ominal amount as defined in paragraph 118 of Part 2 of Annex V to Commission Implementing Regulation (EU) 680/2014</w:t>
            </w:r>
            <w:r w:rsidRPr="00300D5D">
              <w:t>.</w:t>
            </w:r>
          </w:p>
          <w:p w14:paraId="33F12C58" w14:textId="77777777" w:rsidR="00AB3A69" w:rsidRPr="00224E28" w:rsidRDefault="00AB3A69" w:rsidP="004B32A0">
            <w:pPr>
              <w:pStyle w:val="Institutionquisigne"/>
              <w:spacing w:before="120"/>
            </w:pPr>
          </w:p>
        </w:tc>
      </w:tr>
      <w:tr w:rsidR="00AB3A69" w:rsidRPr="00581203" w14:paraId="21F7CC36" w14:textId="77777777" w:rsidTr="004B32A0">
        <w:trPr>
          <w:trHeight w:val="841"/>
        </w:trPr>
        <w:tc>
          <w:tcPr>
            <w:tcW w:w="1384" w:type="dxa"/>
          </w:tcPr>
          <w:p w14:paraId="7A786BBF" w14:textId="77777777" w:rsidR="00AB3A69" w:rsidRPr="00581203" w:rsidRDefault="00AB3A69" w:rsidP="004B32A0">
            <w:pPr>
              <w:pStyle w:val="Applicationdirecte"/>
              <w:spacing w:before="120"/>
            </w:pPr>
            <w:r>
              <w:rPr>
                <w:color w:val="000000"/>
              </w:rPr>
              <w:t xml:space="preserve">b, c, e, f, h, </w:t>
            </w:r>
            <w:proofErr w:type="spellStart"/>
            <w:r>
              <w:rPr>
                <w:color w:val="000000"/>
              </w:rPr>
              <w:t>i</w:t>
            </w:r>
            <w:proofErr w:type="spellEnd"/>
            <w:r>
              <w:rPr>
                <w:color w:val="000000"/>
              </w:rPr>
              <w:t>, k and l</w:t>
            </w:r>
          </w:p>
        </w:tc>
        <w:tc>
          <w:tcPr>
            <w:tcW w:w="7655" w:type="dxa"/>
          </w:tcPr>
          <w:p w14:paraId="78CA86AE" w14:textId="77777777" w:rsidR="00AB3A69" w:rsidRDefault="00AB3A69" w:rsidP="009B7115">
            <w:pPr>
              <w:autoSpaceDE w:val="0"/>
              <w:autoSpaceDN w:val="0"/>
              <w:adjustRightInd w:val="0"/>
              <w:spacing w:before="120" w:after="120"/>
              <w:rPr>
                <w:rFonts w:ascii="Times New Roman" w:hAnsi="Times New Roman" w:cs="Times New Roman"/>
                <w:b/>
                <w:sz w:val="24"/>
                <w:lang w:val="en-GB"/>
              </w:rPr>
            </w:pPr>
            <w:r w:rsidRPr="00FB79AA">
              <w:rPr>
                <w:rFonts w:ascii="Times New Roman" w:hAnsi="Times New Roman" w:cs="Times New Roman"/>
                <w:b/>
                <w:sz w:val="24"/>
                <w:lang w:val="en-GB"/>
              </w:rPr>
              <w:t>Of which stage 1/stage 2/stage 3</w:t>
            </w:r>
          </w:p>
          <w:p w14:paraId="0C9DAAA3" w14:textId="6CCA9F9C" w:rsidR="00AB3A69" w:rsidRDefault="00C15C79" w:rsidP="004B32A0">
            <w:pPr>
              <w:pStyle w:val="Fait"/>
            </w:pPr>
            <w:r>
              <w:t>For institutions applying IFRS, c</w:t>
            </w:r>
            <w:r w:rsidR="00AB3A69" w:rsidRPr="00FB79AA">
              <w:t>ategories of impairment, as defined in IFRS 9.5.5. ‘Stage 1’ refers to impairment measured in accordance with IFRS 9.5.5.5. ‘Stage 2’ refers to impairment measured in accordance with IFRS 9.5.5.3. ‘Stage 3’ refers to impairment on credit-impaired assets, as defined in Appendix A to IFRS 9.</w:t>
            </w:r>
          </w:p>
          <w:p w14:paraId="17A7F893" w14:textId="7B492885" w:rsidR="00AB3A69" w:rsidRPr="00AD2223" w:rsidRDefault="00AB3A69" w:rsidP="004B32A0">
            <w:pPr>
              <w:pStyle w:val="Fait"/>
              <w:spacing w:after="120"/>
              <w:rPr>
                <w:rFonts w:eastAsiaTheme="minorEastAsia"/>
              </w:rPr>
            </w:pPr>
            <w:r w:rsidRPr="00FB79AA">
              <w:t xml:space="preserve">The columns ‘Of which stage 1’, ‘Of which stage 2’ and ‘Of which stage 3’ </w:t>
            </w:r>
            <w:r w:rsidRPr="00D802E8">
              <w:t>shall</w:t>
            </w:r>
            <w:r w:rsidRPr="00FB79AA">
              <w:t xml:space="preserve"> not be </w:t>
            </w:r>
            <w:r>
              <w:t>disclosed</w:t>
            </w:r>
            <w:r w:rsidRPr="00FB79AA">
              <w:t xml:space="preserve"> by institutions that apply national generally accepted accounting principles based on Council Directive</w:t>
            </w:r>
            <w:r w:rsidR="008B591F">
              <w:t xml:space="preserve"> (EEC)</w:t>
            </w:r>
            <w:r w:rsidRPr="00FB79AA">
              <w:t xml:space="preserve"> 86/635</w:t>
            </w:r>
            <w:r w:rsidR="002573A5">
              <w:rPr>
                <w:rStyle w:val="FootnoteReference"/>
              </w:rPr>
              <w:footnoteReference w:id="5"/>
            </w:r>
            <w:r w:rsidRPr="00FB79AA">
              <w:t xml:space="preserve">  on the annual accounts and consolidated accounts of banks and other financial institutions.</w:t>
            </w:r>
          </w:p>
        </w:tc>
      </w:tr>
      <w:tr w:rsidR="00AB3A69" w:rsidRPr="00581203" w14:paraId="690BA278" w14:textId="77777777" w:rsidTr="004B32A0">
        <w:trPr>
          <w:trHeight w:val="841"/>
        </w:trPr>
        <w:tc>
          <w:tcPr>
            <w:tcW w:w="1384" w:type="dxa"/>
          </w:tcPr>
          <w:p w14:paraId="3A61FEEC" w14:textId="77777777" w:rsidR="00AB3A69" w:rsidRPr="00581203" w:rsidRDefault="00AB3A69" w:rsidP="004B32A0">
            <w:pPr>
              <w:pStyle w:val="Applicationdirecte"/>
              <w:spacing w:before="120"/>
            </w:pPr>
            <w:r>
              <w:t>d</w:t>
            </w:r>
          </w:p>
        </w:tc>
        <w:tc>
          <w:tcPr>
            <w:tcW w:w="7655" w:type="dxa"/>
          </w:tcPr>
          <w:p w14:paraId="5C7D6C43" w14:textId="77777777" w:rsidR="00AB3A69" w:rsidRDefault="00AB3A69" w:rsidP="004B32A0">
            <w:pPr>
              <w:pStyle w:val="Fait"/>
              <w:spacing w:after="120"/>
              <w:rPr>
                <w:rFonts w:eastAsiaTheme="minorEastAsia"/>
                <w:b/>
              </w:rPr>
            </w:pPr>
            <w:r>
              <w:rPr>
                <w:rFonts w:eastAsiaTheme="minorEastAsia"/>
                <w:b/>
              </w:rPr>
              <w:t>Gross carrying amount/nominal amount on non-performing exposures</w:t>
            </w:r>
          </w:p>
          <w:p w14:paraId="52AF3FF3" w14:textId="40A47279" w:rsidR="00AB3A69" w:rsidRDefault="00AB3A69" w:rsidP="004B32A0">
            <w:pPr>
              <w:pStyle w:val="Fait"/>
            </w:pPr>
            <w:r>
              <w:t>G</w:t>
            </w:r>
            <w:r w:rsidRPr="006172E4">
              <w:t>ross carrying amount as defined in paragraph 34 of Part 1 of Annex V to Commission Implementing Regulation (EU) 680/2014</w:t>
            </w:r>
            <w:r>
              <w:t xml:space="preserve">. </w:t>
            </w:r>
          </w:p>
          <w:p w14:paraId="28351F8D" w14:textId="0DB38208" w:rsidR="00AB3A69" w:rsidRDefault="00AB3A69" w:rsidP="004B32A0">
            <w:pPr>
              <w:pStyle w:val="Institutionquisigne"/>
              <w:spacing w:before="120"/>
            </w:pPr>
            <w:r>
              <w:rPr>
                <w:i w:val="0"/>
              </w:rPr>
              <w:t>N</w:t>
            </w:r>
            <w:r w:rsidRPr="006172E4">
              <w:rPr>
                <w:i w:val="0"/>
              </w:rPr>
              <w:t>ominal amount as defined in paragraph 118 of Part 2 of Annex V to Commission Implementing Regulation (EU)</w:t>
            </w:r>
            <w:r w:rsidR="008B591F">
              <w:rPr>
                <w:i w:val="0"/>
              </w:rPr>
              <w:t xml:space="preserve"> </w:t>
            </w:r>
            <w:r w:rsidRPr="006172E4">
              <w:rPr>
                <w:i w:val="0"/>
              </w:rPr>
              <w:t>680/2014</w:t>
            </w:r>
            <w:r w:rsidRPr="00300D5D">
              <w:t>.</w:t>
            </w:r>
          </w:p>
          <w:p w14:paraId="190828A3" w14:textId="45D95613" w:rsidR="00AB3A69" w:rsidRPr="003D2EA6" w:rsidRDefault="00AB3A69" w:rsidP="004B32A0">
            <w:pPr>
              <w:pStyle w:val="Fait"/>
              <w:spacing w:after="120"/>
              <w:rPr>
                <w:b/>
              </w:rPr>
            </w:pPr>
            <w:r>
              <w:t>Non-performing exposures</w:t>
            </w:r>
            <w:r w:rsidRPr="001F2A6F">
              <w:t xml:space="preserve"> as defined in </w:t>
            </w:r>
            <w:r w:rsidR="00BD40F6">
              <w:t xml:space="preserve">Article 47a </w:t>
            </w:r>
            <w:r>
              <w:t>CRR</w:t>
            </w:r>
            <w:r w:rsidRPr="001F2A6F">
              <w:t>.</w:t>
            </w:r>
          </w:p>
        </w:tc>
      </w:tr>
      <w:tr w:rsidR="00AB3A69" w:rsidRPr="00581203" w14:paraId="29BF1F49" w14:textId="77777777" w:rsidTr="004B32A0">
        <w:trPr>
          <w:trHeight w:val="316"/>
        </w:trPr>
        <w:tc>
          <w:tcPr>
            <w:tcW w:w="1384" w:type="dxa"/>
          </w:tcPr>
          <w:p w14:paraId="7E64CAB4" w14:textId="77777777" w:rsidR="00AB3A69" w:rsidRPr="0043712F" w:rsidRDefault="00AB3A69" w:rsidP="004B32A0">
            <w:pPr>
              <w:autoSpaceDE w:val="0"/>
              <w:autoSpaceDN w:val="0"/>
              <w:adjustRightInd w:val="0"/>
              <w:rPr>
                <w:rFonts w:ascii="Times New Roman" w:hAnsi="Times New Roman" w:cs="Times New Roman"/>
                <w:color w:val="000000"/>
                <w:sz w:val="24"/>
                <w:lang w:val="en-GB"/>
              </w:rPr>
            </w:pPr>
            <w:r>
              <w:rPr>
                <w:rFonts w:ascii="Times New Roman" w:hAnsi="Times New Roman" w:cs="Times New Roman"/>
                <w:color w:val="000000"/>
                <w:sz w:val="24"/>
                <w:lang w:val="en-GB"/>
              </w:rPr>
              <w:t>g</w:t>
            </w:r>
          </w:p>
        </w:tc>
        <w:tc>
          <w:tcPr>
            <w:tcW w:w="7655" w:type="dxa"/>
          </w:tcPr>
          <w:p w14:paraId="7BC157EB" w14:textId="77777777" w:rsidR="00AB3A69" w:rsidRDefault="00AB3A69" w:rsidP="004B32A0">
            <w:pPr>
              <w:autoSpaceDE w:val="0"/>
              <w:autoSpaceDN w:val="0"/>
              <w:adjustRightInd w:val="0"/>
              <w:spacing w:before="120" w:after="120"/>
              <w:rPr>
                <w:rFonts w:ascii="Times New Roman" w:hAnsi="Times New Roman" w:cs="Times New Roman"/>
                <w:b/>
                <w:sz w:val="24"/>
                <w:lang w:val="en-GB"/>
              </w:rPr>
            </w:pPr>
            <w:r>
              <w:rPr>
                <w:rFonts w:ascii="Times New Roman" w:hAnsi="Times New Roman" w:cs="Times New Roman"/>
                <w:b/>
                <w:sz w:val="24"/>
                <w:lang w:val="en-GB"/>
              </w:rPr>
              <w:t>Performing exposures – accumulated impairment and provisions</w:t>
            </w:r>
          </w:p>
          <w:p w14:paraId="4356CE61" w14:textId="3A902075" w:rsidR="00AB3A69" w:rsidRDefault="00AB3A69" w:rsidP="004B32A0">
            <w:pPr>
              <w:pStyle w:val="Fait"/>
              <w:spacing w:after="120"/>
            </w:pPr>
            <w:r>
              <w:t>T</w:t>
            </w:r>
            <w:r w:rsidRPr="003D52A3">
              <w:t xml:space="preserve">his </w:t>
            </w:r>
            <w:r>
              <w:t>shall</w:t>
            </w:r>
            <w:r w:rsidRPr="003D52A3">
              <w:t xml:space="preserve"> include the amounts determined in accordance with paragraphs 11, 69 to 71, 106 and 110 of Part 2 of Annex V to Commission Implementing Regulation (EU) 680/2014.</w:t>
            </w:r>
          </w:p>
          <w:p w14:paraId="74382A63" w14:textId="77777777" w:rsidR="00AB3A69" w:rsidRPr="003D2EA6" w:rsidRDefault="00AB3A69" w:rsidP="004B32A0">
            <w:pPr>
              <w:pStyle w:val="Fait"/>
              <w:spacing w:after="120"/>
            </w:pPr>
            <w:r w:rsidRPr="001F2A6F">
              <w:t>.</w:t>
            </w:r>
          </w:p>
        </w:tc>
      </w:tr>
      <w:tr w:rsidR="00AB3A69" w:rsidRPr="00581203" w14:paraId="1C764B9C" w14:textId="77777777" w:rsidTr="004B32A0">
        <w:trPr>
          <w:trHeight w:val="316"/>
        </w:trPr>
        <w:tc>
          <w:tcPr>
            <w:tcW w:w="1384" w:type="dxa"/>
          </w:tcPr>
          <w:p w14:paraId="24200F29" w14:textId="77777777" w:rsidR="00AB3A69" w:rsidRPr="0043712F" w:rsidRDefault="00AB3A69" w:rsidP="004B32A0">
            <w:pPr>
              <w:autoSpaceDE w:val="0"/>
              <w:autoSpaceDN w:val="0"/>
              <w:adjustRightInd w:val="0"/>
              <w:rPr>
                <w:rFonts w:ascii="Times New Roman" w:hAnsi="Times New Roman" w:cs="Times New Roman"/>
                <w:color w:val="000000"/>
                <w:sz w:val="24"/>
                <w:lang w:val="en-GB"/>
              </w:rPr>
            </w:pPr>
            <w:r>
              <w:rPr>
                <w:rFonts w:ascii="Times New Roman" w:hAnsi="Times New Roman" w:cs="Times New Roman"/>
                <w:color w:val="000000"/>
                <w:sz w:val="24"/>
                <w:lang w:val="en-GB"/>
              </w:rPr>
              <w:t>j</w:t>
            </w:r>
          </w:p>
        </w:tc>
        <w:tc>
          <w:tcPr>
            <w:tcW w:w="7655" w:type="dxa"/>
          </w:tcPr>
          <w:p w14:paraId="7CF250FD" w14:textId="77777777" w:rsidR="00AB3A69" w:rsidRDefault="00AB3A69" w:rsidP="004B32A0">
            <w:pPr>
              <w:autoSpaceDE w:val="0"/>
              <w:autoSpaceDN w:val="0"/>
              <w:adjustRightInd w:val="0"/>
              <w:spacing w:before="120" w:after="120"/>
              <w:rPr>
                <w:rFonts w:ascii="Times New Roman" w:hAnsi="Times New Roman" w:cs="Times New Roman"/>
                <w:b/>
                <w:sz w:val="24"/>
                <w:lang w:val="en-GB"/>
              </w:rPr>
            </w:pPr>
            <w:r>
              <w:rPr>
                <w:rFonts w:ascii="Times New Roman" w:hAnsi="Times New Roman" w:cs="Times New Roman"/>
                <w:b/>
                <w:sz w:val="24"/>
                <w:lang w:val="en-GB"/>
              </w:rPr>
              <w:t>Non-performing – accumulated impairment, accumulated negative changes in fair value due to credit risk and provisions</w:t>
            </w:r>
          </w:p>
          <w:p w14:paraId="7719E37B" w14:textId="463A0125" w:rsidR="00AB3A69" w:rsidRDefault="00AB3A69" w:rsidP="004B32A0">
            <w:pPr>
              <w:pStyle w:val="Fait"/>
              <w:spacing w:after="120"/>
            </w:pPr>
            <w:r>
              <w:lastRenderedPageBreak/>
              <w:t>T</w:t>
            </w:r>
            <w:r w:rsidRPr="003D52A3">
              <w:t xml:space="preserve">his </w:t>
            </w:r>
            <w:r w:rsidRPr="00D802E8">
              <w:t>shall</w:t>
            </w:r>
            <w:r w:rsidRPr="003D52A3">
              <w:t xml:space="preserve"> include the amounts determined in accordance with paragraphs 11, 69 to 71, 106 and 110 of Part 2 of Annex V to Commission Implementing Regulation (EU) 680/2014.</w:t>
            </w:r>
          </w:p>
          <w:p w14:paraId="3738E357" w14:textId="3A4ABDB6" w:rsidR="00AB3A69" w:rsidRDefault="00AB3A69" w:rsidP="004B32A0">
            <w:pPr>
              <w:pStyle w:val="Fait"/>
              <w:spacing w:after="120"/>
              <w:rPr>
                <w:b/>
              </w:rPr>
            </w:pPr>
            <w:r>
              <w:t>Non-performing exposures</w:t>
            </w:r>
            <w:r w:rsidRPr="001F2A6F">
              <w:t xml:space="preserve"> as defined in </w:t>
            </w:r>
            <w:r>
              <w:t>Article 47a CRR</w:t>
            </w:r>
            <w:r w:rsidRPr="001F2A6F">
              <w:t>.</w:t>
            </w:r>
          </w:p>
        </w:tc>
      </w:tr>
      <w:tr w:rsidR="00AB3A69" w:rsidRPr="00581203" w14:paraId="0F785528" w14:textId="77777777" w:rsidTr="004B32A0">
        <w:trPr>
          <w:trHeight w:val="316"/>
        </w:trPr>
        <w:tc>
          <w:tcPr>
            <w:tcW w:w="1384" w:type="dxa"/>
          </w:tcPr>
          <w:p w14:paraId="013F72B2" w14:textId="77777777" w:rsidR="00AB3A69" w:rsidRPr="00581203" w:rsidRDefault="00AB3A69" w:rsidP="004B32A0">
            <w:pPr>
              <w:autoSpaceDE w:val="0"/>
              <w:autoSpaceDN w:val="0"/>
              <w:adjustRightInd w:val="0"/>
              <w:rPr>
                <w:rFonts w:ascii="Times New Roman" w:eastAsia="Times New Roman" w:hAnsi="Times New Roman" w:cs="Times New Roman"/>
                <w:sz w:val="24"/>
                <w:lang w:val="en-GB"/>
              </w:rPr>
            </w:pPr>
            <w:r>
              <w:rPr>
                <w:rFonts w:ascii="Times New Roman" w:eastAsia="Times New Roman" w:hAnsi="Times New Roman" w:cs="Times New Roman"/>
                <w:sz w:val="24"/>
                <w:lang w:val="en-GB"/>
              </w:rPr>
              <w:lastRenderedPageBreak/>
              <w:t>m</w:t>
            </w:r>
          </w:p>
        </w:tc>
        <w:tc>
          <w:tcPr>
            <w:tcW w:w="7655" w:type="dxa"/>
          </w:tcPr>
          <w:p w14:paraId="7A1FD407" w14:textId="77777777" w:rsidR="00AB3A69" w:rsidRDefault="00AB3A69" w:rsidP="004B32A0">
            <w:pPr>
              <w:autoSpaceDE w:val="0"/>
              <w:autoSpaceDN w:val="0"/>
              <w:adjustRightInd w:val="0"/>
              <w:spacing w:before="120" w:after="120"/>
              <w:rPr>
                <w:rFonts w:ascii="Times New Roman" w:hAnsi="Times New Roman" w:cs="Times New Roman"/>
                <w:b/>
                <w:sz w:val="24"/>
                <w:lang w:val="en-GB"/>
              </w:rPr>
            </w:pPr>
            <w:r w:rsidRPr="00962B68">
              <w:rPr>
                <w:rFonts w:ascii="Times New Roman" w:hAnsi="Times New Roman" w:cs="Times New Roman"/>
                <w:b/>
                <w:sz w:val="24"/>
                <w:lang w:val="en-GB"/>
              </w:rPr>
              <w:t>Accumulated partial write-off</w:t>
            </w:r>
          </w:p>
          <w:p w14:paraId="321607AE" w14:textId="7D4D65CC" w:rsidR="00AB3A69" w:rsidRDefault="00AB3A69" w:rsidP="004B32A0">
            <w:pPr>
              <w:autoSpaceDE w:val="0"/>
              <w:autoSpaceDN w:val="0"/>
              <w:adjustRightInd w:val="0"/>
              <w:spacing w:before="120" w:after="120"/>
              <w:rPr>
                <w:rFonts w:ascii="Times New Roman" w:eastAsia="Times New Roman" w:hAnsi="Times New Roman" w:cs="Times New Roman"/>
                <w:sz w:val="24"/>
                <w:lang w:val="en-GB"/>
              </w:rPr>
            </w:pPr>
            <w:proofErr w:type="gramStart"/>
            <w:r w:rsidRPr="00962B68">
              <w:rPr>
                <w:rFonts w:ascii="Times New Roman" w:eastAsia="Times New Roman" w:hAnsi="Times New Roman" w:cs="Times New Roman"/>
                <w:sz w:val="24"/>
                <w:lang w:val="en-GB"/>
              </w:rPr>
              <w:t xml:space="preserve">This is to include the accumulated partial amount at the reference date of principal and accrued past-due interest and fees for any debt instrument that has been de-recognised to date using either of the methods described in paragraph 74 of Part 2 of Annex V to Commission Implementing Regulation (EU) </w:t>
            </w:r>
            <w:r w:rsidR="001256E5">
              <w:rPr>
                <w:rFonts w:ascii="Times New Roman" w:eastAsia="Times New Roman" w:hAnsi="Times New Roman" w:cs="Times New Roman"/>
                <w:sz w:val="24"/>
                <w:lang w:val="en-GB"/>
              </w:rPr>
              <w:t xml:space="preserve"> </w:t>
            </w:r>
            <w:r w:rsidRPr="00962B68">
              <w:rPr>
                <w:rFonts w:ascii="Times New Roman" w:eastAsia="Times New Roman" w:hAnsi="Times New Roman" w:cs="Times New Roman"/>
                <w:sz w:val="24"/>
                <w:lang w:val="en-GB"/>
              </w:rPr>
              <w:t xml:space="preserve">680/2014, to be </w:t>
            </w:r>
            <w:r>
              <w:rPr>
                <w:rFonts w:ascii="Times New Roman" w:eastAsia="Times New Roman" w:hAnsi="Times New Roman" w:cs="Times New Roman"/>
                <w:sz w:val="24"/>
                <w:lang w:val="en-GB"/>
              </w:rPr>
              <w:t>disclosed</w:t>
            </w:r>
            <w:r w:rsidRPr="00962B68">
              <w:rPr>
                <w:rFonts w:ascii="Times New Roman" w:eastAsia="Times New Roman" w:hAnsi="Times New Roman" w:cs="Times New Roman"/>
                <w:sz w:val="24"/>
                <w:lang w:val="en-GB"/>
              </w:rPr>
              <w:t xml:space="preserve"> because the institution has no reasonable expectation of recovering the contractual cash flows.</w:t>
            </w:r>
            <w:proofErr w:type="gramEnd"/>
            <w:r w:rsidRPr="00962B68">
              <w:rPr>
                <w:rFonts w:ascii="Times New Roman" w:eastAsia="Times New Roman" w:hAnsi="Times New Roman" w:cs="Times New Roman"/>
                <w:sz w:val="24"/>
                <w:lang w:val="en-GB"/>
              </w:rPr>
              <w:t xml:space="preserve"> These amounts are to </w:t>
            </w:r>
            <w:proofErr w:type="gramStart"/>
            <w:r w:rsidRPr="00962B68">
              <w:rPr>
                <w:rFonts w:ascii="Times New Roman" w:eastAsia="Times New Roman" w:hAnsi="Times New Roman" w:cs="Times New Roman"/>
                <w:sz w:val="24"/>
                <w:lang w:val="en-GB"/>
              </w:rPr>
              <w:t xml:space="preserve">be </w:t>
            </w:r>
            <w:r>
              <w:rPr>
                <w:rFonts w:ascii="Times New Roman" w:eastAsia="Times New Roman" w:hAnsi="Times New Roman" w:cs="Times New Roman"/>
                <w:sz w:val="24"/>
                <w:lang w:val="en-GB"/>
              </w:rPr>
              <w:t>disclosed</w:t>
            </w:r>
            <w:proofErr w:type="gramEnd"/>
            <w:r w:rsidRPr="00962B68">
              <w:rPr>
                <w:rFonts w:ascii="Times New Roman" w:eastAsia="Times New Roman" w:hAnsi="Times New Roman" w:cs="Times New Roman"/>
                <w:sz w:val="24"/>
                <w:lang w:val="en-GB"/>
              </w:rPr>
              <w:t xml:space="preserve"> until the total extinguishment of all the institution’s rights by expiry of the statute-of-limitations period, forgiveness or another cause, or until recovery. Therefore, where the written-off amounts </w:t>
            </w:r>
            <w:proofErr w:type="gramStart"/>
            <w:r w:rsidRPr="00962B68">
              <w:rPr>
                <w:rFonts w:ascii="Times New Roman" w:eastAsia="Times New Roman" w:hAnsi="Times New Roman" w:cs="Times New Roman"/>
                <w:sz w:val="24"/>
                <w:lang w:val="en-GB"/>
              </w:rPr>
              <w:t>are not recovered</w:t>
            </w:r>
            <w:proofErr w:type="gramEnd"/>
            <w:r w:rsidRPr="00962B68">
              <w:rPr>
                <w:rFonts w:ascii="Times New Roman" w:eastAsia="Times New Roman" w:hAnsi="Times New Roman" w:cs="Times New Roman"/>
                <w:sz w:val="24"/>
                <w:lang w:val="en-GB"/>
              </w:rPr>
              <w:t xml:space="preserve">, they are to be </w:t>
            </w:r>
            <w:r>
              <w:rPr>
                <w:rFonts w:ascii="Times New Roman" w:eastAsia="Times New Roman" w:hAnsi="Times New Roman" w:cs="Times New Roman"/>
                <w:sz w:val="24"/>
                <w:lang w:val="en-GB"/>
              </w:rPr>
              <w:t>disclosed</w:t>
            </w:r>
            <w:r w:rsidRPr="00962B68">
              <w:rPr>
                <w:rFonts w:ascii="Times New Roman" w:eastAsia="Times New Roman" w:hAnsi="Times New Roman" w:cs="Times New Roman"/>
                <w:sz w:val="24"/>
                <w:lang w:val="en-GB"/>
              </w:rPr>
              <w:t xml:space="preserve"> while they are subject to enforcement activities.</w:t>
            </w:r>
          </w:p>
          <w:p w14:paraId="12317C40" w14:textId="77777777" w:rsidR="00AB3A69" w:rsidRPr="003D2EA6" w:rsidRDefault="00AB3A69" w:rsidP="004B32A0">
            <w:pPr>
              <w:autoSpaceDE w:val="0"/>
              <w:autoSpaceDN w:val="0"/>
              <w:adjustRightInd w:val="0"/>
              <w:spacing w:before="120" w:after="120"/>
              <w:rPr>
                <w:rFonts w:ascii="Times New Roman" w:hAnsi="Times New Roman" w:cs="Times New Roman"/>
                <w:sz w:val="24"/>
                <w:lang w:val="en-GB"/>
              </w:rPr>
            </w:pPr>
            <w:r w:rsidRPr="00FB79AA">
              <w:rPr>
                <w:rFonts w:ascii="Times New Roman" w:hAnsi="Times New Roman" w:cs="Times New Roman"/>
                <w:sz w:val="24"/>
                <w:lang w:val="en-GB"/>
              </w:rPr>
              <w:t>Write-offs constitute a de-recognition event and relate to a financial asset in its entirety or (in the case of a partial write-off) to a portion of it, including where the modification of an asset leads the institution to give up its right to collect cash flows either on a portion or on the entirety of that asset.</w:t>
            </w:r>
          </w:p>
        </w:tc>
      </w:tr>
      <w:tr w:rsidR="00AB3A69" w:rsidRPr="00581203" w14:paraId="4B7D5A2A" w14:textId="77777777" w:rsidTr="004B32A0">
        <w:trPr>
          <w:trHeight w:val="695"/>
        </w:trPr>
        <w:tc>
          <w:tcPr>
            <w:tcW w:w="1384" w:type="dxa"/>
          </w:tcPr>
          <w:p w14:paraId="166791F6" w14:textId="77777777" w:rsidR="00AB3A69" w:rsidRPr="00581203" w:rsidRDefault="00AB3A69" w:rsidP="004B32A0">
            <w:pPr>
              <w:autoSpaceDE w:val="0"/>
              <w:autoSpaceDN w:val="0"/>
              <w:adjustRightInd w:val="0"/>
              <w:rPr>
                <w:rFonts w:ascii="Times New Roman" w:eastAsia="Times New Roman" w:hAnsi="Times New Roman" w:cs="Times New Roman"/>
                <w:sz w:val="24"/>
              </w:rPr>
            </w:pPr>
            <w:r>
              <w:rPr>
                <w:rFonts w:ascii="Times New Roman" w:eastAsia="Times New Roman" w:hAnsi="Times New Roman" w:cs="Times New Roman"/>
                <w:sz w:val="24"/>
              </w:rPr>
              <w:t>n</w:t>
            </w:r>
          </w:p>
        </w:tc>
        <w:tc>
          <w:tcPr>
            <w:tcW w:w="7655" w:type="dxa"/>
          </w:tcPr>
          <w:p w14:paraId="1E574736" w14:textId="77777777" w:rsidR="00AB3A69" w:rsidRDefault="00AB3A69" w:rsidP="004B32A0">
            <w:pPr>
              <w:autoSpaceDE w:val="0"/>
              <w:autoSpaceDN w:val="0"/>
              <w:adjustRightInd w:val="0"/>
              <w:spacing w:before="120" w:after="120"/>
              <w:rPr>
                <w:rFonts w:ascii="Times New Roman" w:hAnsi="Times New Roman" w:cs="Times New Roman"/>
                <w:b/>
                <w:sz w:val="24"/>
                <w:lang w:val="en-GB"/>
              </w:rPr>
            </w:pPr>
            <w:r w:rsidRPr="00FB79AA">
              <w:rPr>
                <w:rFonts w:ascii="Times New Roman" w:hAnsi="Times New Roman" w:cs="Times New Roman"/>
                <w:b/>
                <w:sz w:val="24"/>
                <w:lang w:val="en-GB"/>
              </w:rPr>
              <w:t xml:space="preserve">Collateral and </w:t>
            </w:r>
            <w:r>
              <w:rPr>
                <w:rFonts w:ascii="Times New Roman" w:hAnsi="Times New Roman" w:cs="Times New Roman"/>
                <w:b/>
                <w:sz w:val="24"/>
                <w:lang w:val="en-GB"/>
              </w:rPr>
              <w:t xml:space="preserve">financial </w:t>
            </w:r>
            <w:r w:rsidRPr="00FB79AA">
              <w:rPr>
                <w:rFonts w:ascii="Times New Roman" w:hAnsi="Times New Roman" w:cs="Times New Roman"/>
                <w:b/>
                <w:sz w:val="24"/>
                <w:lang w:val="en-GB"/>
              </w:rPr>
              <w:t>guarantees received</w:t>
            </w:r>
            <w:r>
              <w:rPr>
                <w:rFonts w:ascii="Times New Roman" w:hAnsi="Times New Roman" w:cs="Times New Roman"/>
                <w:b/>
                <w:sz w:val="24"/>
                <w:lang w:val="en-GB"/>
              </w:rPr>
              <w:t xml:space="preserve"> on performing exposures</w:t>
            </w:r>
          </w:p>
          <w:p w14:paraId="1553A8FA" w14:textId="605CBDB7" w:rsidR="00AB3A69" w:rsidRDefault="00AB3A69" w:rsidP="004B32A0">
            <w:pPr>
              <w:pStyle w:val="Fait"/>
              <w:spacing w:after="120"/>
            </w:pPr>
            <w:r w:rsidRPr="003D52A3">
              <w:t xml:space="preserve">Amounts </w:t>
            </w:r>
            <w:r>
              <w:t>disclosed</w:t>
            </w:r>
            <w:r w:rsidRPr="003D52A3">
              <w:t xml:space="preserve"> for collateral received and guarantees received </w:t>
            </w:r>
            <w:proofErr w:type="gramStart"/>
            <w:r w:rsidRPr="00D802E8">
              <w:t>shall</w:t>
            </w:r>
            <w:r w:rsidRPr="003D52A3">
              <w:t xml:space="preserve"> be calculated</w:t>
            </w:r>
            <w:proofErr w:type="gramEnd"/>
            <w:r w:rsidRPr="003D52A3">
              <w:t xml:space="preserve"> in accordance with paragraph 239 of Part 2 of Annex V to Commission Implementing Regulation (EU) 680/2014. The sum of the amounts </w:t>
            </w:r>
            <w:r>
              <w:t>disclosed</w:t>
            </w:r>
            <w:r w:rsidRPr="003D52A3">
              <w:t xml:space="preserve"> for both collateral and guarantees is to </w:t>
            </w:r>
            <w:proofErr w:type="gramStart"/>
            <w:r w:rsidRPr="003D52A3">
              <w:t>be capped</w:t>
            </w:r>
            <w:proofErr w:type="gramEnd"/>
            <w:r w:rsidRPr="003D52A3">
              <w:t xml:space="preserve"> at the carrying amount of the related exposure.</w:t>
            </w:r>
          </w:p>
          <w:p w14:paraId="458647CD" w14:textId="77777777" w:rsidR="00AB3A69" w:rsidRPr="00581203" w:rsidRDefault="00AB3A69" w:rsidP="004B32A0">
            <w:pPr>
              <w:pStyle w:val="Fait"/>
              <w:spacing w:after="120"/>
            </w:pPr>
          </w:p>
        </w:tc>
      </w:tr>
      <w:tr w:rsidR="00AB3A69" w:rsidRPr="00581203" w14:paraId="2C8B1E00" w14:textId="77777777" w:rsidTr="004B32A0">
        <w:trPr>
          <w:trHeight w:val="695"/>
        </w:trPr>
        <w:tc>
          <w:tcPr>
            <w:tcW w:w="1384" w:type="dxa"/>
          </w:tcPr>
          <w:p w14:paraId="22F8DD2B" w14:textId="77777777" w:rsidR="00AB3A69" w:rsidRPr="00581203" w:rsidRDefault="00AB3A69" w:rsidP="004B32A0">
            <w:pPr>
              <w:autoSpaceDE w:val="0"/>
              <w:autoSpaceDN w:val="0"/>
              <w:adjustRightInd w:val="0"/>
              <w:rPr>
                <w:rFonts w:ascii="Times New Roman" w:eastAsia="Times New Roman" w:hAnsi="Times New Roman" w:cs="Times New Roman"/>
                <w:sz w:val="24"/>
              </w:rPr>
            </w:pPr>
            <w:r>
              <w:rPr>
                <w:rFonts w:ascii="Times New Roman" w:eastAsia="Times New Roman" w:hAnsi="Times New Roman" w:cs="Times New Roman"/>
                <w:sz w:val="24"/>
              </w:rPr>
              <w:t>o</w:t>
            </w:r>
          </w:p>
        </w:tc>
        <w:tc>
          <w:tcPr>
            <w:tcW w:w="7655" w:type="dxa"/>
          </w:tcPr>
          <w:p w14:paraId="40498147" w14:textId="77777777" w:rsidR="00AB3A69" w:rsidRDefault="00AB3A69" w:rsidP="004B32A0">
            <w:pPr>
              <w:autoSpaceDE w:val="0"/>
              <w:autoSpaceDN w:val="0"/>
              <w:adjustRightInd w:val="0"/>
              <w:spacing w:before="120" w:after="120"/>
              <w:rPr>
                <w:rFonts w:ascii="Times New Roman" w:hAnsi="Times New Roman" w:cs="Times New Roman"/>
                <w:b/>
                <w:sz w:val="24"/>
                <w:lang w:val="en-GB"/>
              </w:rPr>
            </w:pPr>
            <w:r>
              <w:rPr>
                <w:rFonts w:ascii="Times New Roman" w:hAnsi="Times New Roman" w:cs="Times New Roman"/>
                <w:b/>
                <w:sz w:val="24"/>
                <w:lang w:val="en-GB"/>
              </w:rPr>
              <w:t xml:space="preserve">Collateral and financial guarantees received on non-performing exposures </w:t>
            </w:r>
          </w:p>
          <w:p w14:paraId="5EF165A5" w14:textId="502DB9FC" w:rsidR="00AB3A69" w:rsidRDefault="00AB3A69" w:rsidP="004B32A0">
            <w:pPr>
              <w:pStyle w:val="Fait"/>
              <w:spacing w:after="120"/>
            </w:pPr>
            <w:r w:rsidRPr="003D52A3">
              <w:t xml:space="preserve">Amounts </w:t>
            </w:r>
            <w:r>
              <w:t>disclosed</w:t>
            </w:r>
            <w:r w:rsidRPr="003D52A3">
              <w:t xml:space="preserve"> for collateral received and guarantees received </w:t>
            </w:r>
            <w:proofErr w:type="gramStart"/>
            <w:r w:rsidRPr="00D802E8">
              <w:t>shall</w:t>
            </w:r>
            <w:r w:rsidRPr="003D52A3">
              <w:t xml:space="preserve"> be calculated</w:t>
            </w:r>
            <w:proofErr w:type="gramEnd"/>
            <w:r w:rsidRPr="003D52A3">
              <w:t xml:space="preserve"> in accordance with paragraph 239 of Part 2 of Annex V to Commission Implementing Regulation (EU) 680/2014. The sum of the amounts </w:t>
            </w:r>
            <w:r>
              <w:t>disclosed</w:t>
            </w:r>
            <w:r w:rsidRPr="003D52A3">
              <w:t xml:space="preserve"> for both collateral and guarantees is to </w:t>
            </w:r>
            <w:proofErr w:type="gramStart"/>
            <w:r w:rsidRPr="003D52A3">
              <w:t>be capped</w:t>
            </w:r>
            <w:proofErr w:type="gramEnd"/>
            <w:r w:rsidRPr="003D52A3">
              <w:t xml:space="preserve"> at the carrying amount of the related exposure.</w:t>
            </w:r>
          </w:p>
          <w:p w14:paraId="6DD55783" w14:textId="0544CF9E" w:rsidR="00AB3A69" w:rsidRPr="00FB79AA" w:rsidRDefault="00AB3A69" w:rsidP="004B32A0">
            <w:pPr>
              <w:autoSpaceDE w:val="0"/>
              <w:autoSpaceDN w:val="0"/>
              <w:adjustRightInd w:val="0"/>
              <w:spacing w:before="120" w:after="120"/>
              <w:rPr>
                <w:rFonts w:ascii="Times New Roman" w:hAnsi="Times New Roman" w:cs="Times New Roman"/>
                <w:b/>
                <w:sz w:val="24"/>
                <w:lang w:val="en-GB"/>
              </w:rPr>
            </w:pPr>
            <w:r w:rsidRPr="00210D39">
              <w:rPr>
                <w:rFonts w:ascii="Times New Roman" w:hAnsi="Times New Roman" w:cs="Times New Roman"/>
                <w:sz w:val="24"/>
                <w:lang w:val="en-GB"/>
              </w:rPr>
              <w:t xml:space="preserve">Non-performing exposures as defined in </w:t>
            </w:r>
            <w:r>
              <w:rPr>
                <w:rFonts w:ascii="Times New Roman" w:hAnsi="Times New Roman" w:cs="Times New Roman"/>
                <w:sz w:val="24"/>
                <w:lang w:val="en-GB"/>
              </w:rPr>
              <w:t>Article 47a CRR</w:t>
            </w:r>
            <w:r w:rsidRPr="00210D39">
              <w:rPr>
                <w:rFonts w:ascii="Times New Roman" w:hAnsi="Times New Roman" w:cs="Times New Roman"/>
                <w:sz w:val="24"/>
                <w:lang w:val="en-GB"/>
              </w:rPr>
              <w:t>.</w:t>
            </w:r>
          </w:p>
        </w:tc>
      </w:tr>
    </w:tbl>
    <w:p w14:paraId="4D21E8C1" w14:textId="5BED84AD" w:rsidR="00CD6F4C" w:rsidRDefault="00CD6F4C" w:rsidP="00C51B2A">
      <w:pPr>
        <w:spacing w:before="120" w:after="120"/>
        <w:jc w:val="both"/>
        <w:rPr>
          <w:rFonts w:ascii="Times New Roman" w:hAnsi="Times New Roman" w:cs="Times New Roman"/>
          <w:bCs/>
          <w:sz w:val="24"/>
        </w:rPr>
      </w:pPr>
    </w:p>
    <w:p w14:paraId="3609B3A7" w14:textId="248CE178" w:rsidR="0073643E" w:rsidRDefault="0073643E" w:rsidP="00C51B2A">
      <w:pPr>
        <w:spacing w:before="120" w:after="120"/>
        <w:jc w:val="both"/>
        <w:rPr>
          <w:rFonts w:ascii="Times New Roman" w:hAnsi="Times New Roman" w:cs="Times New Roman"/>
          <w:bCs/>
          <w:sz w:val="24"/>
        </w:rPr>
      </w:pPr>
      <w:r w:rsidRPr="000769C4">
        <w:rPr>
          <w:rFonts w:ascii="Times New Roman" w:hAnsi="Times New Roman" w:cs="Times New Roman"/>
          <w:bCs/>
          <w:sz w:val="24"/>
        </w:rPr>
        <w:t>.</w:t>
      </w:r>
    </w:p>
    <w:p w14:paraId="3F2E4CEA" w14:textId="2423B0B5" w:rsidR="00895E44" w:rsidRDefault="00895E44" w:rsidP="00DC52C8">
      <w:pPr>
        <w:autoSpaceDE w:val="0"/>
        <w:autoSpaceDN w:val="0"/>
        <w:adjustRightInd w:val="0"/>
        <w:spacing w:after="120"/>
        <w:rPr>
          <w:rFonts w:ascii="Times New Roman" w:hAnsi="Times New Roman" w:cs="Times New Roman"/>
          <w:b/>
          <w:sz w:val="24"/>
          <w:lang w:val="en-GB"/>
        </w:rPr>
      </w:pPr>
      <w:r w:rsidRPr="0073643E">
        <w:rPr>
          <w:rFonts w:ascii="Times New Roman" w:hAnsi="Times New Roman" w:cs="Times New Roman"/>
          <w:b/>
          <w:sz w:val="24"/>
          <w:lang w:val="en-GB"/>
        </w:rPr>
        <w:t xml:space="preserve">Template </w:t>
      </w:r>
      <w:r w:rsidR="009411C7">
        <w:rPr>
          <w:rFonts w:ascii="Times New Roman" w:hAnsi="Times New Roman" w:cs="Times New Roman"/>
          <w:b/>
          <w:sz w:val="24"/>
          <w:lang w:val="en-GB"/>
        </w:rPr>
        <w:t xml:space="preserve">EU </w:t>
      </w:r>
      <w:r w:rsidRPr="0073643E">
        <w:rPr>
          <w:rFonts w:ascii="Times New Roman" w:hAnsi="Times New Roman" w:cs="Times New Roman"/>
          <w:b/>
          <w:sz w:val="24"/>
          <w:lang w:val="en-GB"/>
        </w:rPr>
        <w:t>CR1</w:t>
      </w:r>
      <w:r w:rsidR="00CD6F4C">
        <w:rPr>
          <w:rFonts w:ascii="Times New Roman" w:hAnsi="Times New Roman" w:cs="Times New Roman"/>
          <w:b/>
          <w:sz w:val="24"/>
          <w:lang w:val="en-GB"/>
        </w:rPr>
        <w:t>-A</w:t>
      </w:r>
      <w:r w:rsidR="0073643E">
        <w:rPr>
          <w:rFonts w:ascii="Times New Roman" w:hAnsi="Times New Roman" w:cs="Times New Roman"/>
          <w:b/>
          <w:sz w:val="24"/>
          <w:lang w:val="en-GB"/>
        </w:rPr>
        <w:t>:</w:t>
      </w:r>
      <w:r w:rsidR="005A733D" w:rsidRPr="0073643E">
        <w:rPr>
          <w:rFonts w:ascii="Times New Roman" w:hAnsi="Times New Roman" w:cs="Times New Roman"/>
          <w:b/>
          <w:sz w:val="24"/>
          <w:lang w:val="en-GB"/>
        </w:rPr>
        <w:t xml:space="preserve"> Maturity of exposures</w:t>
      </w:r>
    </w:p>
    <w:p w14:paraId="083EDA03" w14:textId="1F4E9642" w:rsidR="007F2E62" w:rsidRPr="00FE38E5" w:rsidRDefault="007F2E62" w:rsidP="00FE38E5">
      <w:pPr>
        <w:pStyle w:val="ListParagraph"/>
        <w:numPr>
          <w:ilvl w:val="0"/>
          <w:numId w:val="43"/>
        </w:numPr>
        <w:autoSpaceDE w:val="0"/>
        <w:autoSpaceDN w:val="0"/>
        <w:adjustRightInd w:val="0"/>
        <w:spacing w:after="120"/>
        <w:rPr>
          <w:rFonts w:ascii="Times New Roman" w:hAnsi="Times New Roman"/>
          <w:noProof/>
          <w:color w:val="000000"/>
          <w:sz w:val="24"/>
        </w:rPr>
      </w:pPr>
      <w:r w:rsidRPr="00FE38E5">
        <w:rPr>
          <w:rFonts w:ascii="Times New Roman" w:hAnsi="Times New Roman"/>
          <w:bCs/>
          <w:sz w:val="24"/>
        </w:rPr>
        <w:t xml:space="preserve">Institutions shall apply the instructions provided below in order to complete template EU CR1-A as presented in Annex </w:t>
      </w:r>
      <w:r w:rsidR="009E4D56">
        <w:rPr>
          <w:rFonts w:ascii="Times New Roman" w:hAnsi="Times New Roman"/>
          <w:bCs/>
          <w:sz w:val="24"/>
        </w:rPr>
        <w:t>XV</w:t>
      </w:r>
      <w:r w:rsidR="00862F18">
        <w:rPr>
          <w:rFonts w:ascii="Times New Roman" w:hAnsi="Times New Roman"/>
          <w:bCs/>
          <w:sz w:val="24"/>
        </w:rPr>
        <w:t xml:space="preserve"> to</w:t>
      </w:r>
      <w:r w:rsidR="00B439F8">
        <w:rPr>
          <w:rFonts w:ascii="Times New Roman" w:hAnsi="Times New Roman"/>
          <w:bCs/>
          <w:sz w:val="24"/>
        </w:rPr>
        <w:t xml:space="preserve"> this Implementing Regulation</w:t>
      </w:r>
      <w:r w:rsidRPr="00FE38E5">
        <w:rPr>
          <w:rFonts w:ascii="Times New Roman" w:hAnsi="Times New Roman"/>
          <w:bCs/>
          <w:sz w:val="24"/>
        </w:rPr>
        <w:t xml:space="preserve">, in application of </w:t>
      </w:r>
      <w:r w:rsidR="00D6319A">
        <w:rPr>
          <w:rFonts w:ascii="Times New Roman" w:hAnsi="Times New Roman"/>
          <w:bCs/>
          <w:sz w:val="24"/>
        </w:rPr>
        <w:t xml:space="preserve">point (g) of </w:t>
      </w:r>
      <w:r w:rsidRPr="00FE38E5">
        <w:rPr>
          <w:rFonts w:ascii="Times New Roman" w:hAnsi="Times New Roman"/>
          <w:bCs/>
          <w:sz w:val="24"/>
        </w:rPr>
        <w:t>Article 44</w:t>
      </w:r>
      <w:r w:rsidR="00D6319A">
        <w:rPr>
          <w:rFonts w:ascii="Times New Roman" w:hAnsi="Times New Roman"/>
          <w:bCs/>
          <w:sz w:val="24"/>
        </w:rPr>
        <w:t>2</w:t>
      </w:r>
      <w:r w:rsidRPr="00FE38E5">
        <w:rPr>
          <w:rFonts w:ascii="Times New Roman" w:hAnsi="Times New Roman"/>
          <w:bCs/>
          <w:sz w:val="24"/>
        </w:rPr>
        <w:t xml:space="preserve"> </w:t>
      </w:r>
      <w:r w:rsidRPr="00FE38E5">
        <w:rPr>
          <w:rFonts w:ascii="Times New Roman" w:hAnsi="Times New Roman"/>
          <w:noProof/>
          <w:color w:val="000000"/>
          <w:sz w:val="24"/>
        </w:rPr>
        <w:t>CRR</w:t>
      </w:r>
      <w:r w:rsidR="00AE5145" w:rsidRPr="00FE38E5">
        <w:rPr>
          <w:rFonts w:ascii="Times New Roman" w:hAnsi="Times New Roman"/>
          <w:noProof/>
          <w:color w:val="000000"/>
          <w:sz w:val="24"/>
        </w:rPr>
        <w:t>.</w:t>
      </w:r>
    </w:p>
    <w:p w14:paraId="7510D025" w14:textId="77777777" w:rsidR="007F2E62" w:rsidRPr="0073643E" w:rsidRDefault="007F2E62" w:rsidP="00DC52C8">
      <w:pPr>
        <w:autoSpaceDE w:val="0"/>
        <w:autoSpaceDN w:val="0"/>
        <w:adjustRightInd w:val="0"/>
        <w:spacing w:after="120"/>
        <w:rPr>
          <w:rFonts w:ascii="Times New Roman" w:hAnsi="Times New Roman" w:cs="Times New Roman"/>
          <w:b/>
          <w:sz w:val="24"/>
          <w:lang w:val="en-G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DC52C8" w:rsidRPr="00581203" w14:paraId="5B6F6BAE" w14:textId="77777777" w:rsidTr="00DC52C8">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0477AA" w14:textId="77777777" w:rsidR="00DC52C8" w:rsidRPr="00581203" w:rsidRDefault="00DC52C8" w:rsidP="00DC52C8">
            <w:pPr>
              <w:rPr>
                <w:rFonts w:ascii="Times New Roman" w:hAnsi="Times New Roman" w:cs="Times New Roman"/>
                <w:b/>
                <w:sz w:val="24"/>
                <w:lang w:val="en-GB"/>
              </w:rPr>
            </w:pPr>
            <w:r w:rsidRPr="00581203">
              <w:rPr>
                <w:rFonts w:ascii="Times New Roman" w:hAnsi="Times New Roman" w:cs="Times New Roman"/>
                <w:b/>
                <w:sz w:val="24"/>
                <w:lang w:val="en-GB"/>
              </w:rPr>
              <w:t>Legal references and instructions</w:t>
            </w:r>
          </w:p>
        </w:tc>
      </w:tr>
      <w:tr w:rsidR="00DC52C8" w:rsidRPr="00581203" w14:paraId="79F38E19" w14:textId="77777777" w:rsidTr="00DC52C8">
        <w:trPr>
          <w:trHeight w:val="238"/>
        </w:trPr>
        <w:tc>
          <w:tcPr>
            <w:tcW w:w="1384" w:type="dxa"/>
            <w:shd w:val="clear" w:color="auto" w:fill="D9D9D9" w:themeFill="background1" w:themeFillShade="D9"/>
          </w:tcPr>
          <w:p w14:paraId="5C82D185" w14:textId="77777777" w:rsidR="00DC52C8" w:rsidRPr="00581203" w:rsidRDefault="00DC52C8" w:rsidP="00DC52C8">
            <w:pPr>
              <w:autoSpaceDE w:val="0"/>
              <w:autoSpaceDN w:val="0"/>
              <w:adjustRightInd w:val="0"/>
              <w:rPr>
                <w:rFonts w:ascii="Times New Roman" w:hAnsi="Times New Roman" w:cs="Times New Roman"/>
                <w:b/>
                <w:sz w:val="24"/>
                <w:lang w:val="en-GB"/>
              </w:rPr>
            </w:pPr>
            <w:r w:rsidRPr="00581203">
              <w:rPr>
                <w:rFonts w:ascii="Times New Roman" w:hAnsi="Times New Roman" w:cs="Times New Roman"/>
                <w:b/>
                <w:sz w:val="24"/>
                <w:lang w:val="en-GB"/>
              </w:rPr>
              <w:t>Row number</w:t>
            </w:r>
          </w:p>
        </w:tc>
        <w:tc>
          <w:tcPr>
            <w:tcW w:w="7655" w:type="dxa"/>
            <w:shd w:val="clear" w:color="auto" w:fill="D9D9D9" w:themeFill="background1" w:themeFillShade="D9"/>
          </w:tcPr>
          <w:p w14:paraId="21ACB6F5" w14:textId="77777777" w:rsidR="00DC52C8" w:rsidRPr="0043712F" w:rsidRDefault="00DC52C8" w:rsidP="00DC52C8">
            <w:pPr>
              <w:autoSpaceDE w:val="0"/>
              <w:autoSpaceDN w:val="0"/>
              <w:adjustRightInd w:val="0"/>
              <w:rPr>
                <w:rFonts w:ascii="Times New Roman" w:hAnsi="Times New Roman" w:cs="Times New Roman"/>
                <w:color w:val="000000"/>
                <w:sz w:val="24"/>
                <w:lang w:val="en-GB"/>
              </w:rPr>
            </w:pPr>
            <w:r w:rsidRPr="00581203">
              <w:rPr>
                <w:rFonts w:ascii="Times New Roman" w:hAnsi="Times New Roman" w:cs="Times New Roman"/>
                <w:b/>
                <w:sz w:val="24"/>
                <w:lang w:val="en-GB"/>
              </w:rPr>
              <w:t>Explanation</w:t>
            </w:r>
          </w:p>
        </w:tc>
      </w:tr>
      <w:tr w:rsidR="009B7115" w:rsidRPr="00581203" w14:paraId="705D8861" w14:textId="77777777" w:rsidTr="00DC52C8">
        <w:trPr>
          <w:trHeight w:val="316"/>
        </w:trPr>
        <w:tc>
          <w:tcPr>
            <w:tcW w:w="1384" w:type="dxa"/>
          </w:tcPr>
          <w:p w14:paraId="7F262A0A" w14:textId="17E5E495" w:rsidR="009B7115" w:rsidRDefault="009B7115" w:rsidP="00DC52C8">
            <w:pPr>
              <w:autoSpaceDE w:val="0"/>
              <w:autoSpaceDN w:val="0"/>
              <w:adjustRightInd w:val="0"/>
              <w:rPr>
                <w:rFonts w:ascii="Times New Roman" w:hAnsi="Times New Roman" w:cs="Times New Roman"/>
                <w:color w:val="000000"/>
                <w:sz w:val="24"/>
                <w:lang w:val="en-GB"/>
              </w:rPr>
            </w:pPr>
            <w:r>
              <w:rPr>
                <w:rFonts w:ascii="Times New Roman" w:hAnsi="Times New Roman" w:cs="Times New Roman"/>
                <w:color w:val="000000"/>
                <w:sz w:val="24"/>
                <w:lang w:val="en-GB"/>
              </w:rPr>
              <w:t>010</w:t>
            </w:r>
          </w:p>
        </w:tc>
        <w:tc>
          <w:tcPr>
            <w:tcW w:w="7655" w:type="dxa"/>
          </w:tcPr>
          <w:p w14:paraId="0842D988" w14:textId="77777777" w:rsidR="009B7115" w:rsidRPr="009B7115" w:rsidRDefault="009B7115" w:rsidP="009B7115">
            <w:pPr>
              <w:autoSpaceDE w:val="0"/>
              <w:autoSpaceDN w:val="0"/>
              <w:adjustRightInd w:val="0"/>
              <w:rPr>
                <w:rFonts w:ascii="Times New Roman" w:hAnsi="Times New Roman" w:cs="Times New Roman"/>
                <w:b/>
                <w:sz w:val="24"/>
                <w:lang w:val="en-GB"/>
              </w:rPr>
            </w:pPr>
            <w:r w:rsidRPr="009B7115">
              <w:rPr>
                <w:rFonts w:ascii="Times New Roman" w:hAnsi="Times New Roman" w:cs="Times New Roman"/>
                <w:b/>
                <w:sz w:val="24"/>
                <w:lang w:val="en-GB"/>
              </w:rPr>
              <w:t>Loans and advances</w:t>
            </w:r>
          </w:p>
          <w:p w14:paraId="7627CFD8" w14:textId="46B46B9F" w:rsidR="009B7115" w:rsidRDefault="009B7115" w:rsidP="009B7115">
            <w:pPr>
              <w:pStyle w:val="Fait"/>
              <w:spacing w:after="120"/>
              <w:rPr>
                <w:b/>
              </w:rPr>
            </w:pPr>
            <w:proofErr w:type="gramStart"/>
            <w:r w:rsidRPr="009B7115">
              <w:t xml:space="preserve">Loans and advances are debt instruments held by the institutions that are not securities; this item includes ‘loans’ in accordance with the ECB BSI Regulation as well as advances that cannot be classified as ‘loans’ </w:t>
            </w:r>
            <w:r w:rsidR="008B2ED1">
              <w:t>in accordance with</w:t>
            </w:r>
            <w:r w:rsidRPr="009B7115">
              <w:t xml:space="preserve"> the ECB BSI Regulation, as defined in paragraph 32 of Part 1 of Annex V to Commission Implementing Regulation (EU) 680/2014</w:t>
            </w:r>
            <w:r w:rsidR="007A2F6C">
              <w:t xml:space="preserve">, but excluding </w:t>
            </w:r>
            <w:r w:rsidR="007A2F6C" w:rsidRPr="00205070">
              <w:rPr>
                <w:sz w:val="22"/>
                <w:szCs w:val="22"/>
              </w:rPr>
              <w:t>loans and advances classified as held for sale, cash balances at central banks and other demand deposits</w:t>
            </w:r>
            <w:r w:rsidR="007A2F6C">
              <w:rPr>
                <w:sz w:val="22"/>
                <w:szCs w:val="22"/>
              </w:rPr>
              <w:t>.</w:t>
            </w:r>
            <w:proofErr w:type="gramEnd"/>
          </w:p>
        </w:tc>
      </w:tr>
      <w:tr w:rsidR="009B7115" w:rsidRPr="00581203" w14:paraId="53A18534" w14:textId="77777777" w:rsidTr="00DC52C8">
        <w:trPr>
          <w:trHeight w:val="316"/>
        </w:trPr>
        <w:tc>
          <w:tcPr>
            <w:tcW w:w="1384" w:type="dxa"/>
          </w:tcPr>
          <w:p w14:paraId="2F63DF4B" w14:textId="1AA8092B" w:rsidR="009B7115" w:rsidRDefault="009B7115" w:rsidP="00DC52C8">
            <w:pPr>
              <w:autoSpaceDE w:val="0"/>
              <w:autoSpaceDN w:val="0"/>
              <w:adjustRightInd w:val="0"/>
              <w:rPr>
                <w:rFonts w:ascii="Times New Roman" w:hAnsi="Times New Roman" w:cs="Times New Roman"/>
                <w:color w:val="000000"/>
                <w:sz w:val="24"/>
                <w:lang w:val="en-GB"/>
              </w:rPr>
            </w:pPr>
            <w:r>
              <w:rPr>
                <w:rFonts w:ascii="Times New Roman" w:hAnsi="Times New Roman" w:cs="Times New Roman"/>
                <w:color w:val="000000"/>
                <w:sz w:val="24"/>
                <w:lang w:val="en-GB"/>
              </w:rPr>
              <w:t>020</w:t>
            </w:r>
          </w:p>
        </w:tc>
        <w:tc>
          <w:tcPr>
            <w:tcW w:w="7655" w:type="dxa"/>
          </w:tcPr>
          <w:p w14:paraId="3CBF8823" w14:textId="77777777" w:rsidR="009B7115" w:rsidRPr="009B7115" w:rsidRDefault="009B7115" w:rsidP="009B7115">
            <w:pPr>
              <w:autoSpaceDE w:val="0"/>
              <w:autoSpaceDN w:val="0"/>
              <w:adjustRightInd w:val="0"/>
              <w:rPr>
                <w:rFonts w:ascii="Times New Roman" w:hAnsi="Times New Roman" w:cs="Times New Roman"/>
                <w:b/>
                <w:sz w:val="24"/>
                <w:lang w:val="en-GB"/>
              </w:rPr>
            </w:pPr>
            <w:r w:rsidRPr="009B7115">
              <w:rPr>
                <w:rFonts w:ascii="Times New Roman" w:hAnsi="Times New Roman" w:cs="Times New Roman"/>
                <w:b/>
                <w:sz w:val="24"/>
                <w:lang w:val="en-GB"/>
              </w:rPr>
              <w:t>Debt securities</w:t>
            </w:r>
          </w:p>
          <w:p w14:paraId="2579FB11" w14:textId="19942AA4" w:rsidR="009B7115" w:rsidRDefault="009B7115" w:rsidP="009B7115">
            <w:pPr>
              <w:pStyle w:val="Fait"/>
              <w:spacing w:after="120"/>
              <w:rPr>
                <w:b/>
              </w:rPr>
            </w:pPr>
            <w:r w:rsidRPr="009B7115">
              <w:t>Debt securities are debt instruments held by the institution issued as securities that are not loans in accordance with the ECB BSI Regulation, as defined in paragraph 31 of Part 1 of Annex V to Commission Implementing Regulation (EU) 680/2014.</w:t>
            </w:r>
          </w:p>
        </w:tc>
      </w:tr>
      <w:tr w:rsidR="00DC52C8" w:rsidRPr="00581203" w14:paraId="207F8CDD" w14:textId="77777777" w:rsidTr="00DC52C8">
        <w:trPr>
          <w:trHeight w:val="316"/>
        </w:trPr>
        <w:tc>
          <w:tcPr>
            <w:tcW w:w="1384" w:type="dxa"/>
          </w:tcPr>
          <w:p w14:paraId="74E62414" w14:textId="1069F117" w:rsidR="00DC52C8" w:rsidRPr="0043712F" w:rsidRDefault="009B7115" w:rsidP="00DC52C8">
            <w:pPr>
              <w:autoSpaceDE w:val="0"/>
              <w:autoSpaceDN w:val="0"/>
              <w:adjustRightInd w:val="0"/>
              <w:rPr>
                <w:rFonts w:ascii="Times New Roman" w:hAnsi="Times New Roman" w:cs="Times New Roman"/>
                <w:color w:val="000000"/>
                <w:sz w:val="24"/>
                <w:lang w:val="en-GB"/>
              </w:rPr>
            </w:pPr>
            <w:r>
              <w:rPr>
                <w:rFonts w:ascii="Times New Roman" w:hAnsi="Times New Roman" w:cs="Times New Roman"/>
                <w:color w:val="000000"/>
                <w:sz w:val="24"/>
                <w:lang w:val="en-GB"/>
              </w:rPr>
              <w:t>030</w:t>
            </w:r>
          </w:p>
        </w:tc>
        <w:tc>
          <w:tcPr>
            <w:tcW w:w="7655" w:type="dxa"/>
          </w:tcPr>
          <w:p w14:paraId="3C030109" w14:textId="77777777" w:rsidR="00DC52C8" w:rsidRDefault="00DC52C8" w:rsidP="00DC52C8">
            <w:pPr>
              <w:autoSpaceDE w:val="0"/>
              <w:autoSpaceDN w:val="0"/>
              <w:adjustRightInd w:val="0"/>
              <w:rPr>
                <w:rFonts w:ascii="Times New Roman" w:hAnsi="Times New Roman" w:cs="Times New Roman"/>
                <w:b/>
                <w:sz w:val="24"/>
                <w:lang w:val="en-GB"/>
              </w:rPr>
            </w:pPr>
            <w:r>
              <w:rPr>
                <w:rFonts w:ascii="Times New Roman" w:hAnsi="Times New Roman" w:cs="Times New Roman"/>
                <w:b/>
                <w:sz w:val="24"/>
                <w:lang w:val="en-GB"/>
              </w:rPr>
              <w:t xml:space="preserve">Total </w:t>
            </w:r>
          </w:p>
          <w:p w14:paraId="5A4B9427" w14:textId="77777777" w:rsidR="00DC52C8" w:rsidRPr="003F5E9A" w:rsidRDefault="00DC52C8" w:rsidP="00DC52C8">
            <w:pPr>
              <w:autoSpaceDE w:val="0"/>
              <w:autoSpaceDN w:val="0"/>
              <w:adjustRightInd w:val="0"/>
              <w:rPr>
                <w:rFonts w:ascii="Times New Roman" w:hAnsi="Times New Roman" w:cs="Times New Roman"/>
                <w:b/>
                <w:sz w:val="24"/>
                <w:lang w:val="en-GB"/>
              </w:rPr>
            </w:pPr>
          </w:p>
        </w:tc>
      </w:tr>
    </w:tbl>
    <w:p w14:paraId="584BB4F4" w14:textId="77777777" w:rsidR="00DC52C8" w:rsidRPr="0043712F" w:rsidRDefault="00DC52C8" w:rsidP="00DC52C8">
      <w:pPr>
        <w:rPr>
          <w:rFonts w:ascii="Times New Roman" w:hAnsi="Times New Roman" w:cs="Times New Roman"/>
          <w:sz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DC52C8" w:rsidRPr="00581203" w14:paraId="566DA77B" w14:textId="77777777" w:rsidTr="00DC52C8">
        <w:trPr>
          <w:trHeight w:val="238"/>
        </w:trPr>
        <w:tc>
          <w:tcPr>
            <w:tcW w:w="9039" w:type="dxa"/>
            <w:gridSpan w:val="2"/>
            <w:shd w:val="clear" w:color="auto" w:fill="D9D9D9" w:themeFill="background1" w:themeFillShade="D9"/>
          </w:tcPr>
          <w:p w14:paraId="6B69D718" w14:textId="77777777" w:rsidR="00DC52C8" w:rsidRPr="00581203" w:rsidRDefault="00DC52C8" w:rsidP="00DC52C8">
            <w:pPr>
              <w:autoSpaceDE w:val="0"/>
              <w:autoSpaceDN w:val="0"/>
              <w:adjustRightInd w:val="0"/>
              <w:rPr>
                <w:rFonts w:ascii="Times New Roman" w:hAnsi="Times New Roman" w:cs="Times New Roman"/>
                <w:b/>
                <w:sz w:val="24"/>
                <w:lang w:val="en-GB"/>
              </w:rPr>
            </w:pPr>
            <w:r w:rsidRPr="00581203">
              <w:rPr>
                <w:rFonts w:ascii="Times New Roman" w:hAnsi="Times New Roman" w:cs="Times New Roman"/>
                <w:b/>
                <w:sz w:val="24"/>
                <w:lang w:val="en-GB"/>
              </w:rPr>
              <w:t>Legal references and instructions</w:t>
            </w:r>
          </w:p>
        </w:tc>
      </w:tr>
      <w:tr w:rsidR="00DC52C8" w:rsidRPr="00581203" w14:paraId="61308770" w14:textId="77777777" w:rsidTr="00DC52C8">
        <w:trPr>
          <w:trHeight w:val="238"/>
        </w:trPr>
        <w:tc>
          <w:tcPr>
            <w:tcW w:w="1384" w:type="dxa"/>
            <w:shd w:val="clear" w:color="auto" w:fill="D9D9D9" w:themeFill="background1" w:themeFillShade="D9"/>
          </w:tcPr>
          <w:p w14:paraId="47BF0BF3" w14:textId="77777777" w:rsidR="00DC52C8" w:rsidRPr="00581203" w:rsidRDefault="00DC52C8" w:rsidP="00DC52C8">
            <w:pPr>
              <w:autoSpaceDE w:val="0"/>
              <w:autoSpaceDN w:val="0"/>
              <w:adjustRightInd w:val="0"/>
              <w:rPr>
                <w:rFonts w:ascii="Times New Roman" w:hAnsi="Times New Roman" w:cs="Times New Roman"/>
                <w:b/>
                <w:sz w:val="24"/>
                <w:lang w:val="en-GB"/>
              </w:rPr>
            </w:pPr>
            <w:r w:rsidRPr="00584246">
              <w:rPr>
                <w:rFonts w:ascii="Times New Roman" w:hAnsi="Times New Roman" w:cs="Times New Roman"/>
                <w:b/>
                <w:sz w:val="24"/>
                <w:lang w:val="en-GB"/>
              </w:rPr>
              <w:t>Column number</w:t>
            </w:r>
          </w:p>
        </w:tc>
        <w:tc>
          <w:tcPr>
            <w:tcW w:w="7655" w:type="dxa"/>
            <w:shd w:val="clear" w:color="auto" w:fill="D9D9D9" w:themeFill="background1" w:themeFillShade="D9"/>
          </w:tcPr>
          <w:p w14:paraId="073A4332" w14:textId="77777777" w:rsidR="00DC52C8" w:rsidRPr="004D3597" w:rsidRDefault="00DC52C8" w:rsidP="00DC52C8">
            <w:pPr>
              <w:autoSpaceDE w:val="0"/>
              <w:autoSpaceDN w:val="0"/>
              <w:adjustRightInd w:val="0"/>
              <w:rPr>
                <w:rFonts w:ascii="Times New Roman" w:hAnsi="Times New Roman" w:cs="Times New Roman"/>
                <w:b/>
                <w:sz w:val="24"/>
                <w:lang w:val="en-GB"/>
              </w:rPr>
            </w:pPr>
            <w:r w:rsidRPr="00581203">
              <w:rPr>
                <w:rFonts w:ascii="Times New Roman" w:hAnsi="Times New Roman" w:cs="Times New Roman"/>
                <w:b/>
                <w:sz w:val="24"/>
                <w:lang w:val="en-GB"/>
              </w:rPr>
              <w:t>Explanation</w:t>
            </w:r>
          </w:p>
        </w:tc>
      </w:tr>
      <w:tr w:rsidR="00DC52C8" w:rsidRPr="00581203" w14:paraId="147D9DCB" w14:textId="77777777" w:rsidTr="00DC52C8">
        <w:trPr>
          <w:trHeight w:val="841"/>
        </w:trPr>
        <w:tc>
          <w:tcPr>
            <w:tcW w:w="1384" w:type="dxa"/>
          </w:tcPr>
          <w:p w14:paraId="1DC8CF52" w14:textId="1BAD6359" w:rsidR="00DC52C8" w:rsidRDefault="00B4580F" w:rsidP="00DC52C8">
            <w:pPr>
              <w:pStyle w:val="Applicationdirecte"/>
              <w:spacing w:before="120"/>
            </w:pPr>
            <w:proofErr w:type="spellStart"/>
            <w:r>
              <w:t>a</w:t>
            </w:r>
            <w:proofErr w:type="spellEnd"/>
            <w:r>
              <w:t xml:space="preserve"> to e</w:t>
            </w:r>
          </w:p>
        </w:tc>
        <w:tc>
          <w:tcPr>
            <w:tcW w:w="7655" w:type="dxa"/>
          </w:tcPr>
          <w:p w14:paraId="14608627" w14:textId="6E5ADF30" w:rsidR="008C2717" w:rsidRPr="008C2717" w:rsidRDefault="008C2717" w:rsidP="008C2717">
            <w:pPr>
              <w:autoSpaceDE w:val="0"/>
              <w:autoSpaceDN w:val="0"/>
              <w:adjustRightInd w:val="0"/>
              <w:rPr>
                <w:rFonts w:ascii="Times New Roman" w:hAnsi="Times New Roman" w:cs="Times New Roman"/>
                <w:b/>
                <w:sz w:val="24"/>
                <w:lang w:val="en-GB"/>
              </w:rPr>
            </w:pPr>
            <w:r w:rsidRPr="008C2717">
              <w:rPr>
                <w:rFonts w:ascii="Times New Roman" w:hAnsi="Times New Roman" w:cs="Times New Roman"/>
                <w:b/>
                <w:sz w:val="24"/>
                <w:lang w:val="en-GB"/>
              </w:rPr>
              <w:t>Net exposure values</w:t>
            </w:r>
            <w:r w:rsidR="009E6A3B" w:rsidRPr="008C2717">
              <w:rPr>
                <w:rFonts w:ascii="Times New Roman" w:hAnsi="Times New Roman" w:cs="Times New Roman"/>
                <w:b/>
                <w:sz w:val="24"/>
                <w:lang w:val="en-GB"/>
              </w:rPr>
              <w:t xml:space="preserve"> </w:t>
            </w:r>
          </w:p>
          <w:p w14:paraId="547255B0" w14:textId="1A3A8CFE" w:rsidR="00747FEB" w:rsidRDefault="00DB0767" w:rsidP="008C2717">
            <w:pPr>
              <w:pStyle w:val="Fait"/>
            </w:pPr>
            <w:r>
              <w:t xml:space="preserve">The net values </w:t>
            </w:r>
            <w:proofErr w:type="gramStart"/>
            <w:r w:rsidR="009E6A3B">
              <w:t xml:space="preserve">shall be </w:t>
            </w:r>
            <w:r>
              <w:t>disclosed</w:t>
            </w:r>
            <w:proofErr w:type="gramEnd"/>
            <w:r w:rsidR="009E6A3B">
              <w:t xml:space="preserve"> by residual contractual maturities.</w:t>
            </w:r>
          </w:p>
          <w:p w14:paraId="6EAA5477" w14:textId="09A3F1F3" w:rsidR="008C2717" w:rsidRDefault="00747FEB" w:rsidP="008C2717">
            <w:pPr>
              <w:pStyle w:val="Fait"/>
            </w:pPr>
            <w:r>
              <w:t>Net value of the exposure: For on-balance-sheet items, the net value is the gross carrying value of exposure less allowances/impairments. For off-balance-sheet items, the net value is the gross carrying value of exposure less provisions.</w:t>
            </w:r>
            <w:r w:rsidR="009E6A3B">
              <w:t xml:space="preserve"> </w:t>
            </w:r>
          </w:p>
          <w:p w14:paraId="71859BD7" w14:textId="41246A36" w:rsidR="00DB0767" w:rsidRPr="00DB0767" w:rsidRDefault="00DB0767" w:rsidP="00DB0767">
            <w:pPr>
              <w:pStyle w:val="Fait"/>
            </w:pPr>
            <w:r>
              <w:t xml:space="preserve">Exposure: In accordance with Article 5 CRR, exposure refers to an asset or an off-balance-sheet item that gives rise to a credit risk exposure </w:t>
            </w:r>
            <w:r w:rsidR="00E71944">
              <w:t xml:space="preserve">in accordance </w:t>
            </w:r>
            <w:proofErr w:type="gramStart"/>
            <w:r w:rsidR="00E71944">
              <w:t xml:space="preserve">with </w:t>
            </w:r>
            <w:r>
              <w:t xml:space="preserve"> the</w:t>
            </w:r>
            <w:proofErr w:type="gramEnd"/>
            <w:r>
              <w:t xml:space="preserve"> CRR framework.</w:t>
            </w:r>
          </w:p>
          <w:p w14:paraId="10D52701" w14:textId="2B89FEFB" w:rsidR="00747FEB" w:rsidRPr="00747FEB" w:rsidRDefault="00747FEB" w:rsidP="00DB0767">
            <w:pPr>
              <w:pStyle w:val="Fait"/>
            </w:pPr>
            <w:r>
              <w:t xml:space="preserve">Gross carrying values: The accounting value before any allowance/impairments but after considering write-offs. Institutions </w:t>
            </w:r>
            <w:r w:rsidR="00B4580F">
              <w:t>shall</w:t>
            </w:r>
            <w:r>
              <w:t xml:space="preserve"> not take into account any CRM technique in the application of </w:t>
            </w:r>
            <w:r w:rsidR="009C2E8E">
              <w:t xml:space="preserve">Chapter 4 of Title II </w:t>
            </w:r>
            <w:proofErr w:type="gramStart"/>
            <w:r w:rsidR="009C2E8E">
              <w:t>of  Part</w:t>
            </w:r>
            <w:proofErr w:type="gramEnd"/>
            <w:r w:rsidR="009C2E8E">
              <w:t xml:space="preserve"> Three CRR </w:t>
            </w:r>
            <w:r>
              <w:t xml:space="preserve">. </w:t>
            </w:r>
            <w:proofErr w:type="gramStart"/>
            <w:r>
              <w:t xml:space="preserve">Off-balance-sheet items </w:t>
            </w:r>
            <w:r w:rsidR="00B4580F">
              <w:t>shall</w:t>
            </w:r>
            <w:r>
              <w:t xml:space="preserve"> be disclosed for their nominal amount gross of any CCF applicable in accordance with Article 111 and 166 CRR or CRM techniques, and gross of any provision, particularly (a) guarantees given (the maximum amount that the institution would have to pay </w:t>
            </w:r>
            <w:r>
              <w:lastRenderedPageBreak/>
              <w:t>if the guarantee were called) and (b) loan commitments and other commitments (the total amount that the institution has committed to lend).</w:t>
            </w:r>
            <w:proofErr w:type="gramEnd"/>
          </w:p>
          <w:p w14:paraId="58588CF3" w14:textId="77777777" w:rsidR="008C2717" w:rsidRDefault="009E6A3B" w:rsidP="008C2717">
            <w:pPr>
              <w:pStyle w:val="Fait"/>
            </w:pPr>
            <w:r>
              <w:t>In this disclosure:</w:t>
            </w:r>
          </w:p>
          <w:p w14:paraId="7F32B692" w14:textId="77777777" w:rsidR="008C2717" w:rsidRDefault="009E6A3B" w:rsidP="008C2717">
            <w:pPr>
              <w:pStyle w:val="Fait"/>
            </w:pPr>
            <w:r>
              <w:t xml:space="preserve"> - When a counterparty has a choice of when an amount </w:t>
            </w:r>
            <w:proofErr w:type="gramStart"/>
            <w:r>
              <w:t>is repaid</w:t>
            </w:r>
            <w:proofErr w:type="gramEnd"/>
            <w:r>
              <w:t>, the amount is allocated to column ‘on demand’. The column includes balances receivable on demand (call), at short notice, current accounts and similar balances (which may include loans that are overnight deposits for the borrower, regardless of their legal form). It also includes ‘overdrafts’ that are debit balances on current account balances;</w:t>
            </w:r>
          </w:p>
          <w:p w14:paraId="3F9E4518" w14:textId="53B709B4" w:rsidR="008C2717" w:rsidRDefault="009E6A3B" w:rsidP="008C2717">
            <w:pPr>
              <w:pStyle w:val="Fait"/>
            </w:pPr>
            <w:r>
              <w:t xml:space="preserve"> - When an exposure has no stated maturity for reasons other than the counterparty having the choice of the repayment date, the amount of this exposure </w:t>
            </w:r>
            <w:proofErr w:type="gramStart"/>
            <w:r w:rsidR="00B4580F">
              <w:t>shall</w:t>
            </w:r>
            <w:r>
              <w:t xml:space="preserve"> be disclosed</w:t>
            </w:r>
            <w:proofErr w:type="gramEnd"/>
            <w:r>
              <w:t xml:space="preserve"> in column ‘no stated maturity’.</w:t>
            </w:r>
          </w:p>
          <w:p w14:paraId="78B6B654" w14:textId="74780B27" w:rsidR="00DC52C8" w:rsidRPr="00C83329" w:rsidRDefault="009E6A3B" w:rsidP="00B4580F">
            <w:pPr>
              <w:pStyle w:val="Fait"/>
              <w:spacing w:after="120"/>
              <w:rPr>
                <w:rFonts w:eastAsiaTheme="minorEastAsia"/>
                <w:i/>
              </w:rPr>
            </w:pPr>
            <w:r>
              <w:t xml:space="preserve"> - When the amount </w:t>
            </w:r>
            <w:proofErr w:type="gramStart"/>
            <w:r>
              <w:t>is repaid</w:t>
            </w:r>
            <w:proofErr w:type="gramEnd"/>
            <w:r>
              <w:t xml:space="preserve"> in instalments, the exposure </w:t>
            </w:r>
            <w:r w:rsidR="00B4580F">
              <w:t>shall</w:t>
            </w:r>
            <w:r>
              <w:t xml:space="preserve"> be allocated in the maturity bucket corresponding to the last instalment.</w:t>
            </w:r>
          </w:p>
        </w:tc>
      </w:tr>
      <w:tr w:rsidR="00DC52C8" w:rsidRPr="00581203" w14:paraId="7C1FD8DB" w14:textId="77777777" w:rsidTr="00DC52C8">
        <w:trPr>
          <w:trHeight w:val="841"/>
        </w:trPr>
        <w:tc>
          <w:tcPr>
            <w:tcW w:w="1384" w:type="dxa"/>
          </w:tcPr>
          <w:p w14:paraId="321B302A" w14:textId="70D9D64C" w:rsidR="00DC52C8" w:rsidRDefault="00B4580F" w:rsidP="00DC52C8">
            <w:pPr>
              <w:pStyle w:val="Applicationdirecte"/>
              <w:spacing w:before="120"/>
            </w:pPr>
            <w:r>
              <w:lastRenderedPageBreak/>
              <w:t>f</w:t>
            </w:r>
          </w:p>
        </w:tc>
        <w:tc>
          <w:tcPr>
            <w:tcW w:w="7655" w:type="dxa"/>
          </w:tcPr>
          <w:p w14:paraId="2FE8415A" w14:textId="0B6C1BFF" w:rsidR="00DC52C8" w:rsidRPr="00C83329" w:rsidRDefault="00DB0767" w:rsidP="00DB0767">
            <w:pPr>
              <w:autoSpaceDE w:val="0"/>
              <w:autoSpaceDN w:val="0"/>
              <w:adjustRightInd w:val="0"/>
            </w:pPr>
            <w:r w:rsidRPr="00DB0767">
              <w:rPr>
                <w:rFonts w:ascii="Times New Roman" w:hAnsi="Times New Roman" w:cs="Times New Roman"/>
                <w:b/>
                <w:sz w:val="24"/>
                <w:lang w:val="en-GB"/>
              </w:rPr>
              <w:t>Total</w:t>
            </w:r>
          </w:p>
        </w:tc>
      </w:tr>
    </w:tbl>
    <w:p w14:paraId="1A29F2D7" w14:textId="41DCFE9E" w:rsidR="00B902AA" w:rsidRDefault="00B902AA" w:rsidP="00B902AA">
      <w:pPr>
        <w:spacing w:before="120" w:after="120"/>
        <w:jc w:val="both"/>
        <w:rPr>
          <w:rFonts w:ascii="Times New Roman" w:hAnsi="Times New Roman" w:cs="Times New Roman"/>
          <w:bCs/>
          <w:sz w:val="24"/>
        </w:rPr>
      </w:pPr>
    </w:p>
    <w:p w14:paraId="48F2841A" w14:textId="455809D0" w:rsidR="00B37E88" w:rsidRDefault="00B37E88" w:rsidP="00B37E88">
      <w:pPr>
        <w:autoSpaceDE w:val="0"/>
        <w:autoSpaceDN w:val="0"/>
        <w:adjustRightInd w:val="0"/>
        <w:spacing w:after="120"/>
        <w:rPr>
          <w:rFonts w:ascii="Times New Roman" w:hAnsi="Times New Roman" w:cs="Times New Roman"/>
          <w:b/>
          <w:sz w:val="24"/>
          <w:lang w:val="en-GB"/>
        </w:rPr>
      </w:pPr>
      <w:r>
        <w:rPr>
          <w:rFonts w:ascii="Times New Roman" w:hAnsi="Times New Roman" w:cs="Times New Roman"/>
          <w:b/>
          <w:sz w:val="24"/>
          <w:lang w:val="en-GB"/>
        </w:rPr>
        <w:t xml:space="preserve">Template EU CR2: </w:t>
      </w:r>
      <w:r w:rsidRPr="001625E5">
        <w:rPr>
          <w:rFonts w:ascii="Times New Roman" w:hAnsi="Times New Roman" w:cs="Times New Roman"/>
          <w:b/>
          <w:sz w:val="24"/>
          <w:lang w:val="en-GB"/>
        </w:rPr>
        <w:t>Changes in the stock of non-performing loans and advances</w:t>
      </w:r>
    </w:p>
    <w:p w14:paraId="1AC2B9E1" w14:textId="24E72FBC" w:rsidR="00B37E88" w:rsidRPr="00FE38E5" w:rsidRDefault="00B37E88" w:rsidP="00B37E88">
      <w:pPr>
        <w:pStyle w:val="ListParagraph"/>
        <w:numPr>
          <w:ilvl w:val="0"/>
          <w:numId w:val="45"/>
        </w:numPr>
        <w:rPr>
          <w:rFonts w:ascii="Times New Roman" w:hAnsi="Times New Roman"/>
          <w:sz w:val="24"/>
        </w:rPr>
      </w:pPr>
      <w:r w:rsidRPr="00FE38E5">
        <w:rPr>
          <w:rFonts w:ascii="Times New Roman" w:hAnsi="Times New Roman"/>
          <w:bCs/>
          <w:sz w:val="24"/>
        </w:rPr>
        <w:t xml:space="preserve">Institutions shall apply the instructions provided below in order to complete template EU CR2 as presented in Annex </w:t>
      </w:r>
      <w:r w:rsidR="00A82A03">
        <w:rPr>
          <w:rFonts w:ascii="Times New Roman" w:hAnsi="Times New Roman"/>
          <w:bCs/>
          <w:sz w:val="24"/>
        </w:rPr>
        <w:t>XV</w:t>
      </w:r>
      <w:r>
        <w:rPr>
          <w:rFonts w:ascii="Times New Roman" w:hAnsi="Times New Roman"/>
          <w:bCs/>
          <w:sz w:val="24"/>
        </w:rPr>
        <w:t xml:space="preserve"> to this Implementing Regulation</w:t>
      </w:r>
      <w:r w:rsidRPr="00FE38E5">
        <w:rPr>
          <w:rFonts w:ascii="Times New Roman" w:hAnsi="Times New Roman"/>
          <w:bCs/>
          <w:sz w:val="24"/>
        </w:rPr>
        <w:t xml:space="preserve">, in application of </w:t>
      </w:r>
      <w:r w:rsidR="00D6319A">
        <w:rPr>
          <w:rFonts w:ascii="Times New Roman" w:hAnsi="Times New Roman"/>
          <w:bCs/>
          <w:sz w:val="24"/>
        </w:rPr>
        <w:t xml:space="preserve">point (f) of </w:t>
      </w:r>
      <w:r w:rsidRPr="00FE38E5">
        <w:rPr>
          <w:rFonts w:ascii="Times New Roman" w:hAnsi="Times New Roman"/>
          <w:bCs/>
          <w:sz w:val="24"/>
        </w:rPr>
        <w:t xml:space="preserve">Article 442 </w:t>
      </w:r>
      <w:r w:rsidRPr="00FE38E5">
        <w:rPr>
          <w:rFonts w:ascii="Times New Roman" w:hAnsi="Times New Roman"/>
          <w:noProof/>
          <w:color w:val="000000"/>
          <w:sz w:val="24"/>
        </w:rPr>
        <w:t>CRR</w:t>
      </w:r>
      <w:r w:rsidRPr="00FE38E5">
        <w:rPr>
          <w:rFonts w:ascii="Times New Roman" w:hAnsi="Times New Roman"/>
          <w:bCs/>
          <w:sz w:val="24"/>
        </w:rPr>
        <w:t>.</w:t>
      </w:r>
      <w:r>
        <w:rPr>
          <w:rFonts w:ascii="Times New Roman" w:hAnsi="Times New Roman"/>
          <w:bCs/>
          <w:sz w:val="24"/>
        </w:rPr>
        <w:t xml:space="preserve"> </w:t>
      </w:r>
      <w:r w:rsidRPr="00FE38E5">
        <w:rPr>
          <w:rFonts w:ascii="Times New Roman" w:hAnsi="Times New Roman"/>
          <w:bCs/>
          <w:sz w:val="24"/>
        </w:rPr>
        <w:t xml:space="preserve">Institutions shall explain in the narrative accompanying these templates any material difference between the non-performing values disclosed in each row and the values as if the definition of defaulted </w:t>
      </w:r>
      <w:r>
        <w:rPr>
          <w:rFonts w:ascii="Times New Roman" w:hAnsi="Times New Roman"/>
          <w:bCs/>
          <w:sz w:val="24"/>
        </w:rPr>
        <w:t>in accordance with</w:t>
      </w:r>
      <w:r w:rsidRPr="00FE38E5">
        <w:rPr>
          <w:rFonts w:ascii="Times New Roman" w:hAnsi="Times New Roman"/>
          <w:bCs/>
          <w:sz w:val="24"/>
        </w:rPr>
        <w:t xml:space="preserve"> Article 178 </w:t>
      </w:r>
      <w:r>
        <w:rPr>
          <w:rFonts w:ascii="Times New Roman" w:hAnsi="Times New Roman"/>
          <w:bCs/>
          <w:sz w:val="24"/>
        </w:rPr>
        <w:t xml:space="preserve"> </w:t>
      </w:r>
      <w:r w:rsidRPr="00FE38E5">
        <w:rPr>
          <w:rFonts w:ascii="Times New Roman" w:hAnsi="Times New Roman"/>
          <w:bCs/>
          <w:sz w:val="24"/>
        </w:rPr>
        <w:t>CRR was applied.</w:t>
      </w:r>
    </w:p>
    <w:p w14:paraId="3B61BDD0" w14:textId="77777777" w:rsidR="00B37E88" w:rsidRDefault="00B37E88" w:rsidP="00B37E88">
      <w:pPr>
        <w:autoSpaceDE w:val="0"/>
        <w:autoSpaceDN w:val="0"/>
        <w:adjustRightInd w:val="0"/>
        <w:jc w:val="both"/>
        <w:rPr>
          <w:rFonts w:ascii="Times New Roman" w:hAnsi="Times New Roman" w:cs="Times New Roman"/>
          <w:b/>
          <w:sz w:val="24"/>
          <w:lang w:val="en-GB"/>
        </w:rPr>
      </w:pPr>
    </w:p>
    <w:p w14:paraId="2FBB9C92" w14:textId="77777777" w:rsidR="00B37E88" w:rsidRDefault="00B37E88" w:rsidP="00B37E88">
      <w:pPr>
        <w:autoSpaceDE w:val="0"/>
        <w:autoSpaceDN w:val="0"/>
        <w:adjustRightInd w:val="0"/>
        <w:jc w:val="both"/>
        <w:rPr>
          <w:rFonts w:ascii="Times New Roman" w:hAnsi="Times New Roman" w:cs="Times New Roman"/>
          <w:b/>
          <w:sz w:val="24"/>
          <w:lang w:val="en-G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B37E88" w:rsidRPr="00581203" w14:paraId="7C5514C4" w14:textId="77777777" w:rsidTr="009E4D56">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7255DE" w14:textId="77777777" w:rsidR="00B37E88" w:rsidRPr="00581203" w:rsidRDefault="00B37E88" w:rsidP="009E4D56">
            <w:pPr>
              <w:rPr>
                <w:rFonts w:ascii="Times New Roman" w:hAnsi="Times New Roman" w:cs="Times New Roman"/>
                <w:b/>
                <w:sz w:val="24"/>
                <w:lang w:val="en-GB"/>
              </w:rPr>
            </w:pPr>
            <w:r w:rsidRPr="00581203">
              <w:rPr>
                <w:rFonts w:ascii="Times New Roman" w:hAnsi="Times New Roman" w:cs="Times New Roman"/>
                <w:b/>
                <w:sz w:val="24"/>
                <w:lang w:val="en-GB"/>
              </w:rPr>
              <w:t>Legal references and instructions</w:t>
            </w:r>
          </w:p>
        </w:tc>
      </w:tr>
      <w:tr w:rsidR="00B37E88" w:rsidRPr="00581203" w14:paraId="44259A5E" w14:textId="77777777" w:rsidTr="009E4D56">
        <w:trPr>
          <w:trHeight w:val="238"/>
        </w:trPr>
        <w:tc>
          <w:tcPr>
            <w:tcW w:w="1384" w:type="dxa"/>
            <w:shd w:val="clear" w:color="auto" w:fill="D9D9D9" w:themeFill="background1" w:themeFillShade="D9"/>
          </w:tcPr>
          <w:p w14:paraId="670A8B5A" w14:textId="77777777" w:rsidR="00B37E88" w:rsidRPr="00581203" w:rsidRDefault="00B37E88" w:rsidP="009E4D56">
            <w:pPr>
              <w:autoSpaceDE w:val="0"/>
              <w:autoSpaceDN w:val="0"/>
              <w:adjustRightInd w:val="0"/>
              <w:rPr>
                <w:rFonts w:ascii="Times New Roman" w:hAnsi="Times New Roman" w:cs="Times New Roman"/>
                <w:b/>
                <w:sz w:val="24"/>
                <w:lang w:val="en-GB"/>
              </w:rPr>
            </w:pPr>
            <w:r w:rsidRPr="00313EC9">
              <w:rPr>
                <w:rFonts w:ascii="Times New Roman" w:hAnsi="Times New Roman" w:cs="Times New Roman"/>
                <w:b/>
                <w:sz w:val="24"/>
                <w:lang w:val="en-GB"/>
              </w:rPr>
              <w:t>Row number</w:t>
            </w:r>
          </w:p>
        </w:tc>
        <w:tc>
          <w:tcPr>
            <w:tcW w:w="7655" w:type="dxa"/>
            <w:shd w:val="clear" w:color="auto" w:fill="D9D9D9" w:themeFill="background1" w:themeFillShade="D9"/>
          </w:tcPr>
          <w:p w14:paraId="1A90E81F" w14:textId="77777777" w:rsidR="00B37E88" w:rsidRPr="0043712F" w:rsidRDefault="00B37E88" w:rsidP="009E4D56">
            <w:pPr>
              <w:autoSpaceDE w:val="0"/>
              <w:autoSpaceDN w:val="0"/>
              <w:adjustRightInd w:val="0"/>
              <w:rPr>
                <w:rFonts w:ascii="Times New Roman" w:hAnsi="Times New Roman" w:cs="Times New Roman"/>
                <w:color w:val="000000"/>
                <w:sz w:val="24"/>
                <w:lang w:val="en-GB"/>
              </w:rPr>
            </w:pPr>
            <w:r w:rsidRPr="00581203">
              <w:rPr>
                <w:rFonts w:ascii="Times New Roman" w:hAnsi="Times New Roman" w:cs="Times New Roman"/>
                <w:b/>
                <w:sz w:val="24"/>
                <w:lang w:val="en-GB"/>
              </w:rPr>
              <w:t>Explanation</w:t>
            </w:r>
          </w:p>
        </w:tc>
      </w:tr>
      <w:tr w:rsidR="00B37E88" w:rsidRPr="00581203" w14:paraId="617111A2" w14:textId="77777777" w:rsidTr="009E4D56">
        <w:trPr>
          <w:trHeight w:val="971"/>
        </w:trPr>
        <w:tc>
          <w:tcPr>
            <w:tcW w:w="1384" w:type="dxa"/>
          </w:tcPr>
          <w:p w14:paraId="719FEF52" w14:textId="77777777" w:rsidR="00B37E88" w:rsidRDefault="00B37E88" w:rsidP="009E4D56">
            <w:pPr>
              <w:pStyle w:val="Applicationdirecte"/>
              <w:spacing w:before="120"/>
            </w:pPr>
            <w:r>
              <w:t>010</w:t>
            </w:r>
          </w:p>
        </w:tc>
        <w:tc>
          <w:tcPr>
            <w:tcW w:w="7655" w:type="dxa"/>
          </w:tcPr>
          <w:p w14:paraId="1FAD2190" w14:textId="77777777" w:rsidR="00B37E88" w:rsidRPr="001625E5" w:rsidRDefault="00B37E88" w:rsidP="009E4D56">
            <w:pPr>
              <w:autoSpaceDE w:val="0"/>
              <w:autoSpaceDN w:val="0"/>
              <w:adjustRightInd w:val="0"/>
              <w:spacing w:before="120" w:after="120"/>
              <w:rPr>
                <w:rFonts w:ascii="Times New Roman" w:hAnsi="Times New Roman" w:cs="Times New Roman"/>
                <w:b/>
                <w:sz w:val="24"/>
                <w:lang w:val="en-GB"/>
              </w:rPr>
            </w:pPr>
            <w:r w:rsidRPr="001625E5">
              <w:rPr>
                <w:rFonts w:ascii="Times New Roman" w:hAnsi="Times New Roman" w:cs="Times New Roman"/>
                <w:b/>
                <w:sz w:val="24"/>
                <w:lang w:val="en-GB"/>
              </w:rPr>
              <w:t>Initial stock of non-performing loans and advances</w:t>
            </w:r>
          </w:p>
          <w:p w14:paraId="4FED660E" w14:textId="77777777" w:rsidR="00B37E88" w:rsidRPr="001625E5" w:rsidRDefault="00B37E88" w:rsidP="009E4D56">
            <w:pPr>
              <w:autoSpaceDE w:val="0"/>
              <w:autoSpaceDN w:val="0"/>
              <w:adjustRightInd w:val="0"/>
              <w:spacing w:before="120" w:after="120"/>
              <w:rPr>
                <w:rFonts w:ascii="Times New Roman" w:hAnsi="Times New Roman" w:cs="Times New Roman"/>
                <w:b/>
                <w:sz w:val="24"/>
                <w:lang w:val="en-GB"/>
              </w:rPr>
            </w:pPr>
            <w:r>
              <w:rPr>
                <w:rFonts w:ascii="Times New Roman" w:hAnsi="Times New Roman" w:cs="Times New Roman"/>
                <w:sz w:val="24"/>
                <w:lang w:val="en-GB"/>
              </w:rPr>
              <w:t>T</w:t>
            </w:r>
            <w:r w:rsidRPr="001625E5">
              <w:rPr>
                <w:rFonts w:ascii="Times New Roman" w:hAnsi="Times New Roman" w:cs="Times New Roman"/>
                <w:sz w:val="24"/>
                <w:lang w:val="en-GB"/>
              </w:rPr>
              <w:t>he gross carrying amount of the stock of non-performing loans and advances at the end of the last financial year.</w:t>
            </w:r>
          </w:p>
        </w:tc>
      </w:tr>
      <w:tr w:rsidR="00B37E88" w:rsidRPr="00581203" w14:paraId="37310679" w14:textId="77777777" w:rsidTr="009E4D56">
        <w:trPr>
          <w:trHeight w:val="316"/>
        </w:trPr>
        <w:tc>
          <w:tcPr>
            <w:tcW w:w="1384" w:type="dxa"/>
          </w:tcPr>
          <w:p w14:paraId="49BE58EE" w14:textId="77777777" w:rsidR="00B37E88" w:rsidRPr="0043712F" w:rsidRDefault="00B37E88" w:rsidP="009E4D56">
            <w:pPr>
              <w:autoSpaceDE w:val="0"/>
              <w:autoSpaceDN w:val="0"/>
              <w:adjustRightInd w:val="0"/>
              <w:rPr>
                <w:rFonts w:ascii="Times New Roman" w:hAnsi="Times New Roman" w:cs="Times New Roman"/>
                <w:color w:val="000000"/>
                <w:sz w:val="24"/>
                <w:lang w:val="en-GB"/>
              </w:rPr>
            </w:pPr>
            <w:r>
              <w:rPr>
                <w:rFonts w:ascii="Times New Roman" w:hAnsi="Times New Roman" w:cs="Times New Roman"/>
                <w:color w:val="000000"/>
                <w:sz w:val="24"/>
                <w:lang w:val="en-GB"/>
              </w:rPr>
              <w:t>020</w:t>
            </w:r>
          </w:p>
        </w:tc>
        <w:tc>
          <w:tcPr>
            <w:tcW w:w="7655" w:type="dxa"/>
          </w:tcPr>
          <w:p w14:paraId="26667D93" w14:textId="77777777" w:rsidR="00B37E88" w:rsidRDefault="00B37E88" w:rsidP="009E4D56">
            <w:pPr>
              <w:autoSpaceDE w:val="0"/>
              <w:autoSpaceDN w:val="0"/>
              <w:adjustRightInd w:val="0"/>
              <w:rPr>
                <w:rFonts w:ascii="Times New Roman" w:hAnsi="Times New Roman" w:cs="Times New Roman"/>
                <w:b/>
                <w:sz w:val="24"/>
                <w:lang w:val="en-GB"/>
              </w:rPr>
            </w:pPr>
            <w:r w:rsidRPr="00F74438">
              <w:rPr>
                <w:rFonts w:ascii="Times New Roman" w:hAnsi="Times New Roman" w:cs="Times New Roman"/>
                <w:b/>
                <w:sz w:val="24"/>
                <w:lang w:val="en-GB"/>
              </w:rPr>
              <w:t>Inflows to non-performing portfolios</w:t>
            </w:r>
          </w:p>
          <w:p w14:paraId="44EC4572" w14:textId="77777777" w:rsidR="00B37E88" w:rsidRPr="00F74438" w:rsidRDefault="00B37E88" w:rsidP="009E4D56">
            <w:pPr>
              <w:autoSpaceDE w:val="0"/>
              <w:autoSpaceDN w:val="0"/>
              <w:adjustRightInd w:val="0"/>
              <w:spacing w:before="120" w:after="120"/>
              <w:rPr>
                <w:rFonts w:ascii="Times New Roman" w:hAnsi="Times New Roman" w:cs="Times New Roman"/>
                <w:sz w:val="24"/>
                <w:lang w:val="en-GB"/>
              </w:rPr>
            </w:pPr>
            <w:r>
              <w:rPr>
                <w:rFonts w:ascii="Times New Roman" w:hAnsi="Times New Roman" w:cs="Times New Roman"/>
                <w:sz w:val="24"/>
                <w:lang w:val="en-GB"/>
              </w:rPr>
              <w:t>T</w:t>
            </w:r>
            <w:r w:rsidRPr="00F74438">
              <w:rPr>
                <w:rFonts w:ascii="Times New Roman" w:hAnsi="Times New Roman" w:cs="Times New Roman"/>
                <w:sz w:val="24"/>
                <w:lang w:val="en-GB"/>
              </w:rPr>
              <w:t>he gross carrying amount of loans and advances that entered non-performing status during the period (since the end of last financial year).</w:t>
            </w:r>
          </w:p>
        </w:tc>
      </w:tr>
      <w:tr w:rsidR="00B37E88" w:rsidRPr="00581203" w14:paraId="4D357E64" w14:textId="77777777" w:rsidTr="009E4D56">
        <w:trPr>
          <w:trHeight w:val="316"/>
        </w:trPr>
        <w:tc>
          <w:tcPr>
            <w:tcW w:w="1384" w:type="dxa"/>
          </w:tcPr>
          <w:p w14:paraId="6ED2248C" w14:textId="77777777" w:rsidR="00B37E88" w:rsidRDefault="00B37E88" w:rsidP="009E4D56">
            <w:pPr>
              <w:autoSpaceDE w:val="0"/>
              <w:autoSpaceDN w:val="0"/>
              <w:adjustRightInd w:val="0"/>
              <w:rPr>
                <w:rFonts w:ascii="Times New Roman" w:hAnsi="Times New Roman" w:cs="Times New Roman"/>
                <w:color w:val="000000"/>
                <w:sz w:val="24"/>
                <w:lang w:val="en-GB"/>
              </w:rPr>
            </w:pPr>
            <w:r>
              <w:rPr>
                <w:rFonts w:ascii="Times New Roman" w:hAnsi="Times New Roman" w:cs="Times New Roman"/>
                <w:color w:val="000000"/>
                <w:sz w:val="24"/>
                <w:lang w:val="en-GB"/>
              </w:rPr>
              <w:t>030</w:t>
            </w:r>
          </w:p>
        </w:tc>
        <w:tc>
          <w:tcPr>
            <w:tcW w:w="7655" w:type="dxa"/>
          </w:tcPr>
          <w:p w14:paraId="0ED111D6" w14:textId="77777777" w:rsidR="00B37E88" w:rsidRDefault="00B37E88" w:rsidP="009E4D56">
            <w:pPr>
              <w:autoSpaceDE w:val="0"/>
              <w:autoSpaceDN w:val="0"/>
              <w:adjustRightInd w:val="0"/>
              <w:rPr>
                <w:rFonts w:ascii="Times New Roman" w:hAnsi="Times New Roman" w:cs="Times New Roman"/>
                <w:b/>
                <w:sz w:val="24"/>
                <w:lang w:val="en-GB"/>
              </w:rPr>
            </w:pPr>
            <w:r w:rsidRPr="00192A57">
              <w:rPr>
                <w:rFonts w:ascii="Times New Roman" w:hAnsi="Times New Roman" w:cs="Times New Roman"/>
                <w:b/>
                <w:sz w:val="24"/>
                <w:lang w:val="en-GB"/>
              </w:rPr>
              <w:t>Outflows from non-performing portfolios</w:t>
            </w:r>
          </w:p>
          <w:p w14:paraId="05A605B4" w14:textId="77777777" w:rsidR="00B37E88" w:rsidRPr="00F74438" w:rsidRDefault="00B37E88" w:rsidP="009E4D56">
            <w:pPr>
              <w:autoSpaceDE w:val="0"/>
              <w:autoSpaceDN w:val="0"/>
              <w:adjustRightInd w:val="0"/>
              <w:spacing w:before="120" w:after="120"/>
              <w:rPr>
                <w:rFonts w:ascii="Times New Roman" w:hAnsi="Times New Roman" w:cs="Times New Roman"/>
                <w:b/>
                <w:sz w:val="24"/>
                <w:lang w:val="en-GB"/>
              </w:rPr>
            </w:pPr>
            <w:r w:rsidRPr="00F74438">
              <w:rPr>
                <w:rFonts w:ascii="Times New Roman" w:hAnsi="Times New Roman" w:cs="Times New Roman"/>
                <w:sz w:val="24"/>
                <w:lang w:val="en-GB"/>
              </w:rPr>
              <w:t>The gross carrying amount of loans and advances that exited non-performing status</w:t>
            </w:r>
            <w:r>
              <w:rPr>
                <w:rFonts w:ascii="Times New Roman" w:hAnsi="Times New Roman" w:cs="Times New Roman"/>
                <w:sz w:val="24"/>
                <w:lang w:val="en-GB"/>
              </w:rPr>
              <w:t>.</w:t>
            </w:r>
          </w:p>
        </w:tc>
      </w:tr>
      <w:tr w:rsidR="00B37E88" w:rsidRPr="00581203" w14:paraId="57CA4686" w14:textId="77777777" w:rsidTr="009E4D56">
        <w:trPr>
          <w:trHeight w:val="316"/>
        </w:trPr>
        <w:tc>
          <w:tcPr>
            <w:tcW w:w="1384" w:type="dxa"/>
          </w:tcPr>
          <w:p w14:paraId="183E9E6B" w14:textId="77777777" w:rsidR="00B37E88" w:rsidRPr="0043712F" w:rsidRDefault="00B37E88" w:rsidP="009E4D56">
            <w:pPr>
              <w:autoSpaceDE w:val="0"/>
              <w:autoSpaceDN w:val="0"/>
              <w:adjustRightInd w:val="0"/>
              <w:rPr>
                <w:rFonts w:ascii="Times New Roman" w:hAnsi="Times New Roman" w:cs="Times New Roman"/>
                <w:color w:val="000000"/>
                <w:sz w:val="24"/>
                <w:lang w:val="en-GB"/>
              </w:rPr>
            </w:pPr>
            <w:r>
              <w:rPr>
                <w:rFonts w:ascii="Times New Roman" w:hAnsi="Times New Roman" w:cs="Times New Roman"/>
                <w:color w:val="000000"/>
                <w:sz w:val="24"/>
                <w:lang w:val="en-GB"/>
              </w:rPr>
              <w:t>040</w:t>
            </w:r>
          </w:p>
        </w:tc>
        <w:tc>
          <w:tcPr>
            <w:tcW w:w="7655" w:type="dxa"/>
          </w:tcPr>
          <w:p w14:paraId="35502B6A" w14:textId="77777777" w:rsidR="00B37E88" w:rsidRDefault="00B37E88" w:rsidP="009E4D56">
            <w:pPr>
              <w:autoSpaceDE w:val="0"/>
              <w:autoSpaceDN w:val="0"/>
              <w:adjustRightInd w:val="0"/>
              <w:rPr>
                <w:rFonts w:ascii="Times New Roman" w:hAnsi="Times New Roman" w:cs="Times New Roman"/>
                <w:b/>
                <w:sz w:val="24"/>
                <w:lang w:val="en-GB"/>
              </w:rPr>
            </w:pPr>
            <w:r>
              <w:rPr>
                <w:rFonts w:ascii="Times New Roman" w:hAnsi="Times New Roman" w:cs="Times New Roman"/>
                <w:b/>
                <w:sz w:val="24"/>
                <w:lang w:val="en-GB"/>
              </w:rPr>
              <w:t>Outflow due to write-offs</w:t>
            </w:r>
            <w:r w:rsidRPr="00F74438">
              <w:rPr>
                <w:rFonts w:ascii="Times New Roman" w:hAnsi="Times New Roman" w:cs="Times New Roman"/>
                <w:b/>
                <w:sz w:val="24"/>
                <w:lang w:val="en-GB"/>
              </w:rPr>
              <w:t xml:space="preserve"> </w:t>
            </w:r>
          </w:p>
          <w:p w14:paraId="5F9E525B" w14:textId="77777777" w:rsidR="00B37E88" w:rsidRPr="00F74438" w:rsidRDefault="00B37E88" w:rsidP="009E4D56">
            <w:pPr>
              <w:autoSpaceDE w:val="0"/>
              <w:autoSpaceDN w:val="0"/>
              <w:adjustRightInd w:val="0"/>
              <w:spacing w:before="120" w:after="120"/>
              <w:rPr>
                <w:rFonts w:ascii="Times New Roman" w:hAnsi="Times New Roman" w:cs="Times New Roman"/>
                <w:b/>
                <w:sz w:val="24"/>
                <w:lang w:val="en-GB"/>
              </w:rPr>
            </w:pPr>
            <w:r>
              <w:rPr>
                <w:rFonts w:ascii="Times New Roman" w:hAnsi="Times New Roman" w:cs="Times New Roman"/>
                <w:sz w:val="24"/>
                <w:lang w:val="en-GB"/>
              </w:rPr>
              <w:lastRenderedPageBreak/>
              <w:t>F</w:t>
            </w:r>
            <w:r w:rsidRPr="00F74438">
              <w:rPr>
                <w:rFonts w:ascii="Times New Roman" w:hAnsi="Times New Roman" w:cs="Times New Roman"/>
                <w:sz w:val="24"/>
                <w:lang w:val="en-GB"/>
              </w:rPr>
              <w:t xml:space="preserve">ull or partial write-offs of total loans and advances recorded during the reference period. A write-off (full or partial) constitutes a de-recognition event. Therefore, the gross carrying amount of loans and advances </w:t>
            </w:r>
            <w:proofErr w:type="gramStart"/>
            <w:r w:rsidRPr="00F74438">
              <w:rPr>
                <w:rFonts w:ascii="Times New Roman" w:hAnsi="Times New Roman" w:cs="Times New Roman"/>
                <w:sz w:val="24"/>
                <w:lang w:val="en-GB"/>
              </w:rPr>
              <w:t>is reduced</w:t>
            </w:r>
            <w:proofErr w:type="gramEnd"/>
            <w:r w:rsidRPr="00F74438">
              <w:rPr>
                <w:rFonts w:ascii="Times New Roman" w:hAnsi="Times New Roman" w:cs="Times New Roman"/>
                <w:sz w:val="24"/>
                <w:lang w:val="en-GB"/>
              </w:rPr>
              <w:t xml:space="preserve"> by the amount of the write-offs. Furthermore, debt forgiveness in the context of forbearance measures, i.e. write-offs for which the amount of debt outstanding from the borrower was cancelled (the </w:t>
            </w:r>
            <w:r>
              <w:rPr>
                <w:rFonts w:ascii="Times New Roman" w:hAnsi="Times New Roman" w:cs="Times New Roman"/>
                <w:sz w:val="24"/>
                <w:lang w:val="en-GB"/>
              </w:rPr>
              <w:t>institution</w:t>
            </w:r>
            <w:r w:rsidRPr="00F74438">
              <w:rPr>
                <w:rFonts w:ascii="Times New Roman" w:hAnsi="Times New Roman" w:cs="Times New Roman"/>
                <w:sz w:val="24"/>
                <w:lang w:val="en-GB"/>
              </w:rPr>
              <w:t xml:space="preserve"> forfeits the right to legally recover it), is also to be included in this category.</w:t>
            </w:r>
          </w:p>
        </w:tc>
      </w:tr>
      <w:tr w:rsidR="00B37E88" w:rsidRPr="00581203" w14:paraId="5C053167" w14:textId="77777777" w:rsidTr="009E4D56">
        <w:trPr>
          <w:trHeight w:val="316"/>
        </w:trPr>
        <w:tc>
          <w:tcPr>
            <w:tcW w:w="1384" w:type="dxa"/>
          </w:tcPr>
          <w:p w14:paraId="060057E1" w14:textId="77777777" w:rsidR="00B37E88" w:rsidRDefault="00B37E88" w:rsidP="009E4D56">
            <w:pPr>
              <w:autoSpaceDE w:val="0"/>
              <w:autoSpaceDN w:val="0"/>
              <w:adjustRightInd w:val="0"/>
              <w:rPr>
                <w:rFonts w:ascii="Times New Roman" w:hAnsi="Times New Roman" w:cs="Times New Roman"/>
                <w:color w:val="000000"/>
                <w:sz w:val="24"/>
                <w:lang w:val="en-GB"/>
              </w:rPr>
            </w:pPr>
            <w:r>
              <w:rPr>
                <w:rFonts w:ascii="Times New Roman" w:hAnsi="Times New Roman" w:cs="Times New Roman"/>
                <w:color w:val="000000"/>
                <w:sz w:val="24"/>
                <w:lang w:val="en-GB"/>
              </w:rPr>
              <w:lastRenderedPageBreak/>
              <w:t>050</w:t>
            </w:r>
          </w:p>
        </w:tc>
        <w:tc>
          <w:tcPr>
            <w:tcW w:w="7655" w:type="dxa"/>
          </w:tcPr>
          <w:p w14:paraId="5637F401" w14:textId="77777777" w:rsidR="00B37E88" w:rsidRPr="00F74438" w:rsidRDefault="00B37E88" w:rsidP="009E4D56">
            <w:pPr>
              <w:autoSpaceDE w:val="0"/>
              <w:autoSpaceDN w:val="0"/>
              <w:adjustRightInd w:val="0"/>
              <w:rPr>
                <w:rFonts w:ascii="Times New Roman" w:hAnsi="Times New Roman" w:cs="Times New Roman"/>
                <w:b/>
                <w:sz w:val="24"/>
                <w:lang w:val="en-GB"/>
              </w:rPr>
            </w:pPr>
            <w:r w:rsidRPr="00F74438">
              <w:rPr>
                <w:rFonts w:ascii="Times New Roman" w:hAnsi="Times New Roman" w:cs="Times New Roman"/>
                <w:b/>
                <w:sz w:val="24"/>
                <w:lang w:val="en-GB"/>
              </w:rPr>
              <w:t xml:space="preserve">Outflow due to other situations </w:t>
            </w:r>
          </w:p>
          <w:p w14:paraId="3B98BD14" w14:textId="77777777" w:rsidR="00B37E88" w:rsidRDefault="00B37E88" w:rsidP="009E4D56">
            <w:pPr>
              <w:autoSpaceDE w:val="0"/>
              <w:autoSpaceDN w:val="0"/>
              <w:adjustRightInd w:val="0"/>
              <w:spacing w:before="120" w:after="120"/>
              <w:rPr>
                <w:rFonts w:ascii="Times New Roman" w:hAnsi="Times New Roman" w:cs="Times New Roman"/>
                <w:sz w:val="24"/>
                <w:lang w:val="en-GB"/>
              </w:rPr>
            </w:pPr>
            <w:r>
              <w:rPr>
                <w:rFonts w:ascii="Times New Roman" w:hAnsi="Times New Roman" w:cs="Times New Roman"/>
                <w:sz w:val="24"/>
                <w:lang w:val="en-GB"/>
              </w:rPr>
              <w:t>A</w:t>
            </w:r>
            <w:r w:rsidRPr="00F74438">
              <w:rPr>
                <w:rFonts w:ascii="Times New Roman" w:hAnsi="Times New Roman" w:cs="Times New Roman"/>
                <w:sz w:val="24"/>
                <w:lang w:val="en-GB"/>
              </w:rPr>
              <w:t xml:space="preserve">ny other decreases to the carrying amount of loans and advances </w:t>
            </w:r>
            <w:r>
              <w:rPr>
                <w:rFonts w:ascii="Times New Roman" w:hAnsi="Times New Roman" w:cs="Times New Roman"/>
                <w:sz w:val="24"/>
                <w:lang w:val="en-GB"/>
              </w:rPr>
              <w:t>other than write-off</w:t>
            </w:r>
            <w:r w:rsidRPr="00F74438">
              <w:rPr>
                <w:rFonts w:ascii="Times New Roman" w:hAnsi="Times New Roman" w:cs="Times New Roman"/>
                <w:sz w:val="24"/>
                <w:lang w:val="en-GB"/>
              </w:rPr>
              <w:t xml:space="preserve"> </w:t>
            </w:r>
            <w:r w:rsidRPr="00D802E8">
              <w:rPr>
                <w:rFonts w:ascii="Times New Roman" w:hAnsi="Times New Roman" w:cs="Times New Roman"/>
                <w:sz w:val="24"/>
                <w:lang w:val="en-GB"/>
              </w:rPr>
              <w:t>shall</w:t>
            </w:r>
            <w:r w:rsidRPr="00F74438">
              <w:rPr>
                <w:rFonts w:ascii="Times New Roman" w:hAnsi="Times New Roman" w:cs="Times New Roman"/>
                <w:sz w:val="24"/>
                <w:lang w:val="en-GB"/>
              </w:rPr>
              <w:t xml:space="preserve"> be included in this row. Those adjustments might include, for instance, </w:t>
            </w:r>
            <w:r>
              <w:rPr>
                <w:rFonts w:ascii="Times New Roman" w:hAnsi="Times New Roman" w:cs="Times New Roman"/>
                <w:sz w:val="24"/>
                <w:lang w:val="en-GB"/>
              </w:rPr>
              <w:t xml:space="preserve">the outflow due to: </w:t>
            </w:r>
            <w:proofErr w:type="spellStart"/>
            <w:r>
              <w:rPr>
                <w:rFonts w:ascii="Times New Roman" w:hAnsi="Times New Roman" w:cs="Times New Roman"/>
                <w:sz w:val="24"/>
                <w:lang w:val="en-GB"/>
              </w:rPr>
              <w:t>i</w:t>
            </w:r>
            <w:proofErr w:type="spellEnd"/>
            <w:r>
              <w:rPr>
                <w:rFonts w:ascii="Times New Roman" w:hAnsi="Times New Roman" w:cs="Times New Roman"/>
                <w:sz w:val="24"/>
                <w:lang w:val="en-GB"/>
              </w:rPr>
              <w:t xml:space="preserve">) </w:t>
            </w:r>
            <w:r w:rsidRPr="00B05C6E">
              <w:rPr>
                <w:rFonts w:ascii="Times New Roman" w:hAnsi="Times New Roman" w:cs="Times New Roman"/>
                <w:sz w:val="24"/>
                <w:lang w:val="en-GB"/>
              </w:rPr>
              <w:t>loan repayment, partial or total</w:t>
            </w:r>
            <w:r>
              <w:rPr>
                <w:rFonts w:ascii="Times New Roman" w:hAnsi="Times New Roman" w:cs="Times New Roman"/>
                <w:sz w:val="24"/>
                <w:lang w:val="en-GB"/>
              </w:rPr>
              <w:t xml:space="preserve">; ii) </w:t>
            </w:r>
            <w:r w:rsidRPr="00B05C6E">
              <w:rPr>
                <w:rFonts w:ascii="Times New Roman" w:hAnsi="Times New Roman" w:cs="Times New Roman"/>
                <w:sz w:val="24"/>
                <w:lang w:val="en-GB"/>
              </w:rPr>
              <w:t>collateral liquidations</w:t>
            </w:r>
            <w:r>
              <w:rPr>
                <w:rFonts w:ascii="Times New Roman" w:hAnsi="Times New Roman" w:cs="Times New Roman"/>
                <w:sz w:val="24"/>
                <w:lang w:val="en-GB"/>
              </w:rPr>
              <w:t xml:space="preserve">; iii) </w:t>
            </w:r>
            <w:r w:rsidRPr="00B05C6E">
              <w:rPr>
                <w:rFonts w:ascii="Times New Roman" w:hAnsi="Times New Roman" w:cs="Times New Roman"/>
                <w:sz w:val="24"/>
                <w:lang w:val="en-GB"/>
              </w:rPr>
              <w:t>taking possession of collateral</w:t>
            </w:r>
            <w:r>
              <w:rPr>
                <w:rFonts w:ascii="Times New Roman" w:hAnsi="Times New Roman" w:cs="Times New Roman"/>
                <w:sz w:val="24"/>
                <w:lang w:val="en-GB"/>
              </w:rPr>
              <w:t xml:space="preserve">, iv) </w:t>
            </w:r>
            <w:r w:rsidRPr="00B05C6E">
              <w:rPr>
                <w:rFonts w:ascii="Times New Roman" w:hAnsi="Times New Roman" w:cs="Times New Roman"/>
                <w:sz w:val="24"/>
                <w:lang w:val="en-GB"/>
              </w:rPr>
              <w:t>sale of instruments</w:t>
            </w:r>
            <w:r>
              <w:rPr>
                <w:rFonts w:ascii="Times New Roman" w:hAnsi="Times New Roman" w:cs="Times New Roman"/>
                <w:sz w:val="24"/>
                <w:lang w:val="en-GB"/>
              </w:rPr>
              <w:t xml:space="preserve">; v) </w:t>
            </w:r>
            <w:r w:rsidRPr="00B05C6E">
              <w:rPr>
                <w:rFonts w:ascii="Times New Roman" w:hAnsi="Times New Roman" w:cs="Times New Roman"/>
                <w:sz w:val="24"/>
                <w:lang w:val="en-GB"/>
              </w:rPr>
              <w:t>risk transfers</w:t>
            </w:r>
            <w:r>
              <w:rPr>
                <w:rFonts w:ascii="Times New Roman" w:hAnsi="Times New Roman" w:cs="Times New Roman"/>
                <w:sz w:val="24"/>
                <w:lang w:val="en-GB"/>
              </w:rPr>
              <w:t>; vi) FX changes; vii) other closure actions;</w:t>
            </w:r>
            <w:r w:rsidRPr="00F74438">
              <w:rPr>
                <w:rFonts w:ascii="Times New Roman" w:hAnsi="Times New Roman" w:cs="Times New Roman"/>
                <w:sz w:val="24"/>
                <w:lang w:val="en-GB"/>
              </w:rPr>
              <w:t xml:space="preserve"> </w:t>
            </w:r>
            <w:r>
              <w:rPr>
                <w:rFonts w:ascii="Times New Roman" w:hAnsi="Times New Roman" w:cs="Times New Roman"/>
                <w:sz w:val="24"/>
                <w:lang w:val="en-GB"/>
              </w:rPr>
              <w:t xml:space="preserve">viii) </w:t>
            </w:r>
            <w:r w:rsidRPr="00F74438">
              <w:rPr>
                <w:rFonts w:ascii="Times New Roman" w:hAnsi="Times New Roman" w:cs="Times New Roman"/>
                <w:sz w:val="24"/>
                <w:lang w:val="en-GB"/>
              </w:rPr>
              <w:t xml:space="preserve">reclassifications between asset classes, etc. </w:t>
            </w:r>
            <w:r>
              <w:rPr>
                <w:rFonts w:ascii="Times New Roman" w:hAnsi="Times New Roman" w:cs="Times New Roman"/>
                <w:sz w:val="24"/>
                <w:lang w:val="en-GB"/>
              </w:rPr>
              <w:t xml:space="preserve">Moreover, the adjustments shall include the outflow due to reclassification as held for sale. </w:t>
            </w:r>
          </w:p>
          <w:p w14:paraId="6D9A85A0" w14:textId="77777777" w:rsidR="00B37E88" w:rsidRDefault="00B37E88" w:rsidP="009E4D56">
            <w:pPr>
              <w:autoSpaceDE w:val="0"/>
              <w:autoSpaceDN w:val="0"/>
              <w:adjustRightInd w:val="0"/>
              <w:spacing w:before="120" w:after="120"/>
              <w:rPr>
                <w:rFonts w:ascii="Times New Roman" w:hAnsi="Times New Roman" w:cs="Times New Roman"/>
                <w:b/>
                <w:sz w:val="24"/>
                <w:lang w:val="en-GB"/>
              </w:rPr>
            </w:pPr>
            <w:r w:rsidRPr="00F74438">
              <w:rPr>
                <w:rFonts w:ascii="Times New Roman" w:hAnsi="Times New Roman" w:cs="Times New Roman"/>
                <w:sz w:val="24"/>
                <w:lang w:val="en-GB"/>
              </w:rPr>
              <w:t xml:space="preserve">Where the amount for this category is significant, </w:t>
            </w:r>
            <w:r w:rsidRPr="00746515">
              <w:rPr>
                <w:rFonts w:ascii="Times New Roman" w:hAnsi="Times New Roman" w:cs="Times New Roman"/>
                <w:sz w:val="24"/>
                <w:lang w:val="en-GB"/>
              </w:rPr>
              <w:t xml:space="preserve">institutions </w:t>
            </w:r>
            <w:proofErr w:type="gramStart"/>
            <w:r w:rsidRPr="00746515">
              <w:rPr>
                <w:rFonts w:ascii="Times New Roman" w:hAnsi="Times New Roman" w:cs="Times New Roman"/>
                <w:sz w:val="24"/>
                <w:lang w:val="en-GB"/>
              </w:rPr>
              <w:t>are asked</w:t>
            </w:r>
            <w:proofErr w:type="gramEnd"/>
            <w:r w:rsidRPr="00746515">
              <w:rPr>
                <w:rFonts w:ascii="Times New Roman" w:hAnsi="Times New Roman" w:cs="Times New Roman"/>
                <w:sz w:val="24"/>
                <w:lang w:val="en-GB"/>
              </w:rPr>
              <w:t xml:space="preserve"> to provide additional information in the narrative accompanying this template.</w:t>
            </w:r>
          </w:p>
        </w:tc>
      </w:tr>
      <w:tr w:rsidR="00B37E88" w:rsidRPr="00581203" w14:paraId="645ED4CE" w14:textId="77777777" w:rsidTr="009E4D56">
        <w:trPr>
          <w:trHeight w:val="316"/>
        </w:trPr>
        <w:tc>
          <w:tcPr>
            <w:tcW w:w="1384" w:type="dxa"/>
          </w:tcPr>
          <w:p w14:paraId="4E451402" w14:textId="77777777" w:rsidR="00B37E88" w:rsidRDefault="00B37E88" w:rsidP="009E4D56">
            <w:pPr>
              <w:autoSpaceDE w:val="0"/>
              <w:autoSpaceDN w:val="0"/>
              <w:adjustRightInd w:val="0"/>
              <w:rPr>
                <w:rFonts w:ascii="Times New Roman" w:hAnsi="Times New Roman" w:cs="Times New Roman"/>
                <w:color w:val="000000"/>
                <w:sz w:val="24"/>
                <w:lang w:val="en-GB"/>
              </w:rPr>
            </w:pPr>
            <w:r>
              <w:rPr>
                <w:rFonts w:ascii="Times New Roman" w:hAnsi="Times New Roman" w:cs="Times New Roman"/>
                <w:color w:val="000000"/>
                <w:sz w:val="24"/>
                <w:lang w:val="en-GB"/>
              </w:rPr>
              <w:t>060</w:t>
            </w:r>
          </w:p>
        </w:tc>
        <w:tc>
          <w:tcPr>
            <w:tcW w:w="7655" w:type="dxa"/>
          </w:tcPr>
          <w:p w14:paraId="4B1D7787" w14:textId="77777777" w:rsidR="00B37E88" w:rsidRDefault="00B37E88" w:rsidP="009E4D56">
            <w:pPr>
              <w:autoSpaceDE w:val="0"/>
              <w:autoSpaceDN w:val="0"/>
              <w:adjustRightInd w:val="0"/>
              <w:rPr>
                <w:rFonts w:ascii="Times New Roman" w:hAnsi="Times New Roman" w:cs="Times New Roman"/>
                <w:b/>
                <w:sz w:val="24"/>
                <w:lang w:val="en-GB"/>
              </w:rPr>
            </w:pPr>
            <w:r>
              <w:rPr>
                <w:rFonts w:ascii="Times New Roman" w:hAnsi="Times New Roman" w:cs="Times New Roman"/>
                <w:b/>
                <w:sz w:val="24"/>
                <w:lang w:val="en-GB"/>
              </w:rPr>
              <w:t>Final stock of non-performing loans and advances</w:t>
            </w:r>
          </w:p>
          <w:p w14:paraId="447F57F9" w14:textId="77777777" w:rsidR="00B37E88" w:rsidRPr="00F74438" w:rsidRDefault="00B37E88" w:rsidP="009E4D56">
            <w:pPr>
              <w:autoSpaceDE w:val="0"/>
              <w:autoSpaceDN w:val="0"/>
              <w:adjustRightInd w:val="0"/>
              <w:rPr>
                <w:rFonts w:ascii="Times New Roman" w:hAnsi="Times New Roman" w:cs="Times New Roman"/>
                <w:b/>
                <w:sz w:val="24"/>
                <w:lang w:val="en-GB"/>
              </w:rPr>
            </w:pPr>
            <w:r>
              <w:rPr>
                <w:rFonts w:ascii="Times New Roman" w:hAnsi="Times New Roman" w:cs="Times New Roman"/>
                <w:sz w:val="24"/>
                <w:lang w:val="en-GB"/>
              </w:rPr>
              <w:t>T</w:t>
            </w:r>
            <w:r w:rsidRPr="001625E5">
              <w:rPr>
                <w:rFonts w:ascii="Times New Roman" w:hAnsi="Times New Roman" w:cs="Times New Roman"/>
                <w:sz w:val="24"/>
                <w:lang w:val="en-GB"/>
              </w:rPr>
              <w:t xml:space="preserve">he gross carrying amount of the stock of non-performing loans and advances at the </w:t>
            </w:r>
            <w:r>
              <w:rPr>
                <w:rFonts w:ascii="Times New Roman" w:hAnsi="Times New Roman" w:cs="Times New Roman"/>
                <w:sz w:val="24"/>
                <w:lang w:val="en-GB"/>
              </w:rPr>
              <w:t>disclosure reference date</w:t>
            </w:r>
            <w:r w:rsidRPr="001625E5">
              <w:rPr>
                <w:rFonts w:ascii="Times New Roman" w:hAnsi="Times New Roman" w:cs="Times New Roman"/>
                <w:sz w:val="24"/>
                <w:lang w:val="en-GB"/>
              </w:rPr>
              <w:t>.</w:t>
            </w:r>
          </w:p>
        </w:tc>
      </w:tr>
    </w:tbl>
    <w:p w14:paraId="2516CB83" w14:textId="77777777" w:rsidR="00B37E88" w:rsidRPr="0043712F" w:rsidRDefault="00B37E88" w:rsidP="00B37E88">
      <w:pPr>
        <w:rPr>
          <w:rFonts w:ascii="Times New Roman" w:hAnsi="Times New Roman" w:cs="Times New Roman"/>
          <w:sz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B37E88" w:rsidRPr="00581203" w14:paraId="2E83500F" w14:textId="77777777" w:rsidTr="009E4D56">
        <w:trPr>
          <w:trHeight w:val="238"/>
        </w:trPr>
        <w:tc>
          <w:tcPr>
            <w:tcW w:w="9039" w:type="dxa"/>
            <w:gridSpan w:val="2"/>
            <w:shd w:val="clear" w:color="auto" w:fill="D9D9D9" w:themeFill="background1" w:themeFillShade="D9"/>
          </w:tcPr>
          <w:p w14:paraId="768A30E9" w14:textId="77777777" w:rsidR="00B37E88" w:rsidRPr="00581203" w:rsidRDefault="00B37E88" w:rsidP="009E4D56">
            <w:pPr>
              <w:autoSpaceDE w:val="0"/>
              <w:autoSpaceDN w:val="0"/>
              <w:adjustRightInd w:val="0"/>
              <w:rPr>
                <w:rFonts w:ascii="Times New Roman" w:hAnsi="Times New Roman" w:cs="Times New Roman"/>
                <w:b/>
                <w:sz w:val="24"/>
                <w:lang w:val="en-GB"/>
              </w:rPr>
            </w:pPr>
            <w:r w:rsidRPr="00581203">
              <w:rPr>
                <w:rFonts w:ascii="Times New Roman" w:hAnsi="Times New Roman" w:cs="Times New Roman"/>
                <w:b/>
                <w:sz w:val="24"/>
                <w:lang w:val="en-GB"/>
              </w:rPr>
              <w:t>Legal references and instructions</w:t>
            </w:r>
          </w:p>
        </w:tc>
      </w:tr>
      <w:tr w:rsidR="00B37E88" w:rsidRPr="00581203" w14:paraId="7DEBD6AD" w14:textId="77777777" w:rsidTr="009E4D56">
        <w:trPr>
          <w:trHeight w:val="238"/>
        </w:trPr>
        <w:tc>
          <w:tcPr>
            <w:tcW w:w="1384" w:type="dxa"/>
            <w:shd w:val="clear" w:color="auto" w:fill="D9D9D9" w:themeFill="background1" w:themeFillShade="D9"/>
          </w:tcPr>
          <w:p w14:paraId="7EA31B33" w14:textId="77777777" w:rsidR="00B37E88" w:rsidRPr="00581203" w:rsidRDefault="00B37E88" w:rsidP="009E4D56">
            <w:pPr>
              <w:autoSpaceDE w:val="0"/>
              <w:autoSpaceDN w:val="0"/>
              <w:adjustRightInd w:val="0"/>
              <w:rPr>
                <w:rFonts w:ascii="Times New Roman" w:hAnsi="Times New Roman" w:cs="Times New Roman"/>
                <w:b/>
                <w:sz w:val="24"/>
                <w:lang w:val="en-GB"/>
              </w:rPr>
            </w:pPr>
            <w:r w:rsidRPr="00F74438">
              <w:rPr>
                <w:rFonts w:ascii="Times New Roman" w:hAnsi="Times New Roman" w:cs="Times New Roman"/>
                <w:b/>
                <w:sz w:val="24"/>
                <w:lang w:val="en-GB"/>
              </w:rPr>
              <w:t>Column number</w:t>
            </w:r>
          </w:p>
        </w:tc>
        <w:tc>
          <w:tcPr>
            <w:tcW w:w="7655" w:type="dxa"/>
            <w:shd w:val="clear" w:color="auto" w:fill="D9D9D9" w:themeFill="background1" w:themeFillShade="D9"/>
          </w:tcPr>
          <w:p w14:paraId="525765DE" w14:textId="77777777" w:rsidR="00B37E88" w:rsidRPr="004D3597" w:rsidRDefault="00B37E88" w:rsidP="009E4D56">
            <w:pPr>
              <w:autoSpaceDE w:val="0"/>
              <w:autoSpaceDN w:val="0"/>
              <w:adjustRightInd w:val="0"/>
              <w:rPr>
                <w:rFonts w:ascii="Times New Roman" w:hAnsi="Times New Roman" w:cs="Times New Roman"/>
                <w:b/>
                <w:sz w:val="24"/>
                <w:lang w:val="en-GB"/>
              </w:rPr>
            </w:pPr>
            <w:r w:rsidRPr="00581203">
              <w:rPr>
                <w:rFonts w:ascii="Times New Roman" w:hAnsi="Times New Roman" w:cs="Times New Roman"/>
                <w:b/>
                <w:sz w:val="24"/>
                <w:lang w:val="en-GB"/>
              </w:rPr>
              <w:t>Explanation</w:t>
            </w:r>
          </w:p>
        </w:tc>
      </w:tr>
      <w:tr w:rsidR="00B37E88" w:rsidRPr="00581203" w14:paraId="0D5195F5" w14:textId="77777777" w:rsidTr="009E4D56">
        <w:trPr>
          <w:trHeight w:val="841"/>
        </w:trPr>
        <w:tc>
          <w:tcPr>
            <w:tcW w:w="1384" w:type="dxa"/>
          </w:tcPr>
          <w:p w14:paraId="5B97B3AA" w14:textId="77777777" w:rsidR="00B37E88" w:rsidRPr="00581203" w:rsidRDefault="00B37E88" w:rsidP="009E4D56">
            <w:pPr>
              <w:pStyle w:val="Applicationdirecte"/>
              <w:spacing w:before="120"/>
            </w:pPr>
            <w:r>
              <w:t>a</w:t>
            </w:r>
          </w:p>
        </w:tc>
        <w:tc>
          <w:tcPr>
            <w:tcW w:w="7655" w:type="dxa"/>
          </w:tcPr>
          <w:p w14:paraId="65D474AB" w14:textId="77777777" w:rsidR="00B37E88" w:rsidRDefault="00B37E88" w:rsidP="009E4D56">
            <w:pPr>
              <w:pStyle w:val="Fait"/>
              <w:spacing w:after="120"/>
              <w:rPr>
                <w:rFonts w:eastAsiaTheme="minorEastAsia"/>
                <w:b/>
              </w:rPr>
            </w:pPr>
            <w:r w:rsidRPr="00224E28">
              <w:rPr>
                <w:rFonts w:eastAsiaTheme="minorEastAsia"/>
                <w:b/>
              </w:rPr>
              <w:t xml:space="preserve">Gross carrying amount </w:t>
            </w:r>
          </w:p>
          <w:p w14:paraId="228CC440" w14:textId="77777777" w:rsidR="00B37E88" w:rsidRPr="00224E28" w:rsidRDefault="00B37E88" w:rsidP="009E4D56">
            <w:pPr>
              <w:autoSpaceDE w:val="0"/>
              <w:autoSpaceDN w:val="0"/>
              <w:adjustRightInd w:val="0"/>
              <w:spacing w:before="120" w:after="120"/>
            </w:pPr>
            <w:r w:rsidRPr="00506580">
              <w:rPr>
                <w:rFonts w:ascii="Times New Roman" w:hAnsi="Times New Roman" w:cs="Times New Roman"/>
                <w:sz w:val="24"/>
                <w:lang w:val="en-GB"/>
              </w:rPr>
              <w:t>Gross carrying amount as defined in paragraph 34 of Part 1 of Annex V to Commission Implementing Regulation (EU) 680/2014.</w:t>
            </w:r>
          </w:p>
        </w:tc>
      </w:tr>
    </w:tbl>
    <w:p w14:paraId="5620C7C4" w14:textId="77777777" w:rsidR="00B37E88" w:rsidRDefault="00B37E88" w:rsidP="00B902AA">
      <w:pPr>
        <w:spacing w:before="120" w:after="120"/>
        <w:jc w:val="both"/>
        <w:rPr>
          <w:rFonts w:ascii="Times New Roman" w:hAnsi="Times New Roman" w:cs="Times New Roman"/>
          <w:bCs/>
          <w:sz w:val="24"/>
        </w:rPr>
      </w:pPr>
    </w:p>
    <w:p w14:paraId="3DD2A625" w14:textId="0CF007C9" w:rsidR="00CD6F4C" w:rsidRDefault="00CD6F4C" w:rsidP="00FD04D2">
      <w:pPr>
        <w:autoSpaceDE w:val="0"/>
        <w:autoSpaceDN w:val="0"/>
        <w:adjustRightInd w:val="0"/>
        <w:spacing w:after="120"/>
        <w:rPr>
          <w:rFonts w:ascii="Times New Roman" w:hAnsi="Times New Roman" w:cs="Times New Roman"/>
          <w:b/>
          <w:sz w:val="24"/>
          <w:lang w:val="en-GB"/>
        </w:rPr>
      </w:pPr>
      <w:r>
        <w:rPr>
          <w:rFonts w:ascii="Times New Roman" w:hAnsi="Times New Roman" w:cs="Times New Roman"/>
          <w:b/>
          <w:sz w:val="24"/>
          <w:lang w:val="en-GB"/>
        </w:rPr>
        <w:t>Template EU CR2</w:t>
      </w:r>
      <w:r w:rsidR="002331E4">
        <w:rPr>
          <w:rFonts w:ascii="Times New Roman" w:hAnsi="Times New Roman" w:cs="Times New Roman"/>
          <w:b/>
          <w:sz w:val="24"/>
          <w:lang w:val="en-GB"/>
        </w:rPr>
        <w:t>a</w:t>
      </w:r>
      <w:r>
        <w:rPr>
          <w:rFonts w:ascii="Times New Roman" w:hAnsi="Times New Roman" w:cs="Times New Roman"/>
          <w:b/>
          <w:sz w:val="24"/>
          <w:lang w:val="en-GB"/>
        </w:rPr>
        <w:t xml:space="preserve">: </w:t>
      </w:r>
      <w:r w:rsidRPr="001625E5">
        <w:rPr>
          <w:rFonts w:ascii="Times New Roman" w:hAnsi="Times New Roman" w:cs="Times New Roman"/>
          <w:b/>
          <w:sz w:val="24"/>
          <w:lang w:val="en-GB"/>
        </w:rPr>
        <w:t>Changes in the stock of non-performing loans and advances</w:t>
      </w:r>
      <w:r w:rsidR="00B37E88">
        <w:rPr>
          <w:rFonts w:ascii="Times New Roman" w:hAnsi="Times New Roman" w:cs="Times New Roman"/>
          <w:b/>
          <w:sz w:val="24"/>
          <w:lang w:val="en-GB"/>
        </w:rPr>
        <w:t xml:space="preserve"> and related net accumulated recoveries</w:t>
      </w:r>
    </w:p>
    <w:p w14:paraId="53442232" w14:textId="78D0A720" w:rsidR="007F2E62" w:rsidRPr="000E5C13" w:rsidRDefault="007F2E62" w:rsidP="0077493C">
      <w:pPr>
        <w:pStyle w:val="ListParagraph"/>
        <w:numPr>
          <w:ilvl w:val="0"/>
          <w:numId w:val="45"/>
        </w:numPr>
        <w:rPr>
          <w:rFonts w:ascii="Times New Roman" w:hAnsi="Times New Roman"/>
          <w:sz w:val="24"/>
        </w:rPr>
      </w:pPr>
      <w:r w:rsidRPr="00FE38E5">
        <w:rPr>
          <w:rFonts w:ascii="Times New Roman" w:hAnsi="Times New Roman"/>
          <w:bCs/>
          <w:sz w:val="24"/>
        </w:rPr>
        <w:t>Institutions shall apply the instructions provided below in order to complete template EU CR2</w:t>
      </w:r>
      <w:r w:rsidR="002331E4">
        <w:rPr>
          <w:rFonts w:ascii="Times New Roman" w:hAnsi="Times New Roman"/>
          <w:bCs/>
          <w:sz w:val="24"/>
        </w:rPr>
        <w:t>a</w:t>
      </w:r>
      <w:r w:rsidRPr="00FE38E5">
        <w:rPr>
          <w:rFonts w:ascii="Times New Roman" w:hAnsi="Times New Roman"/>
          <w:bCs/>
          <w:sz w:val="24"/>
        </w:rPr>
        <w:t xml:space="preserve"> as presented in Annex </w:t>
      </w:r>
      <w:r w:rsidR="00A82A03">
        <w:rPr>
          <w:rFonts w:ascii="Times New Roman" w:hAnsi="Times New Roman"/>
          <w:bCs/>
          <w:sz w:val="24"/>
        </w:rPr>
        <w:t>XV</w:t>
      </w:r>
      <w:r w:rsidR="009C2E8E">
        <w:rPr>
          <w:rFonts w:ascii="Times New Roman" w:hAnsi="Times New Roman"/>
          <w:bCs/>
          <w:sz w:val="24"/>
        </w:rPr>
        <w:t xml:space="preserve"> to this Implementing Regulation</w:t>
      </w:r>
      <w:r w:rsidRPr="00FE38E5">
        <w:rPr>
          <w:rFonts w:ascii="Times New Roman" w:hAnsi="Times New Roman"/>
          <w:bCs/>
          <w:sz w:val="24"/>
        </w:rPr>
        <w:t xml:space="preserve">, in application of </w:t>
      </w:r>
      <w:r w:rsidR="00D6319A">
        <w:rPr>
          <w:rFonts w:ascii="Times New Roman" w:hAnsi="Times New Roman"/>
          <w:bCs/>
          <w:sz w:val="24"/>
        </w:rPr>
        <w:t xml:space="preserve">points (c) and (f) of </w:t>
      </w:r>
      <w:r w:rsidRPr="00FE38E5">
        <w:rPr>
          <w:rFonts w:ascii="Times New Roman" w:hAnsi="Times New Roman"/>
          <w:bCs/>
          <w:sz w:val="24"/>
        </w:rPr>
        <w:t>Article 442</w:t>
      </w:r>
      <w:r w:rsidRPr="000E5C13">
        <w:rPr>
          <w:rFonts w:ascii="Times New Roman" w:hAnsi="Times New Roman"/>
          <w:bCs/>
          <w:sz w:val="24"/>
        </w:rPr>
        <w:t xml:space="preserve"> </w:t>
      </w:r>
      <w:r w:rsidRPr="000E5C13">
        <w:rPr>
          <w:rFonts w:ascii="Times New Roman" w:hAnsi="Times New Roman"/>
          <w:noProof/>
          <w:color w:val="000000"/>
          <w:sz w:val="24"/>
        </w:rPr>
        <w:t>CRR</w:t>
      </w:r>
      <w:r w:rsidR="00AE5145" w:rsidRPr="000E5C13">
        <w:rPr>
          <w:rFonts w:ascii="Times New Roman" w:hAnsi="Times New Roman"/>
          <w:bCs/>
          <w:sz w:val="24"/>
        </w:rPr>
        <w:t>.</w:t>
      </w:r>
      <w:r w:rsidR="002331E4" w:rsidRPr="000E5C13">
        <w:rPr>
          <w:rFonts w:ascii="Times New Roman" w:hAnsi="Times New Roman"/>
          <w:bCs/>
          <w:sz w:val="24"/>
        </w:rPr>
        <w:t xml:space="preserve"> </w:t>
      </w:r>
      <w:r w:rsidR="003D6D40" w:rsidRPr="000E5C13">
        <w:rPr>
          <w:rFonts w:ascii="Times New Roman" w:hAnsi="Times New Roman"/>
          <w:bCs/>
          <w:sz w:val="24"/>
        </w:rPr>
        <w:t xml:space="preserve">Institutions shall explain in the narrative accompanying these templates any material difference between the non-performing values disclosed in each row and the values as if the definition of defaulted </w:t>
      </w:r>
      <w:r w:rsidR="00E71944" w:rsidRPr="000E5C13">
        <w:rPr>
          <w:rFonts w:ascii="Times New Roman" w:hAnsi="Times New Roman"/>
          <w:bCs/>
          <w:sz w:val="24"/>
        </w:rPr>
        <w:t>i</w:t>
      </w:r>
      <w:r w:rsidR="008B2ED1" w:rsidRPr="000E5C13">
        <w:rPr>
          <w:rFonts w:ascii="Times New Roman" w:hAnsi="Times New Roman"/>
          <w:bCs/>
          <w:sz w:val="24"/>
        </w:rPr>
        <w:t>n accordance with</w:t>
      </w:r>
      <w:r w:rsidR="003D6D40" w:rsidRPr="000E5C13">
        <w:rPr>
          <w:rFonts w:ascii="Times New Roman" w:hAnsi="Times New Roman"/>
          <w:bCs/>
          <w:sz w:val="24"/>
        </w:rPr>
        <w:t xml:space="preserve"> Article 178 CRR was applied, in particular for rows 010, 030, 100 and 130.</w:t>
      </w:r>
    </w:p>
    <w:p w14:paraId="65ADAFF4" w14:textId="77777777" w:rsidR="007F2E62" w:rsidRDefault="007F2E62" w:rsidP="00CD6F4C">
      <w:pPr>
        <w:autoSpaceDE w:val="0"/>
        <w:autoSpaceDN w:val="0"/>
        <w:adjustRightInd w:val="0"/>
        <w:jc w:val="both"/>
        <w:rPr>
          <w:rFonts w:ascii="Times New Roman" w:hAnsi="Times New Roman" w:cs="Times New Roman"/>
          <w:b/>
          <w:sz w:val="24"/>
          <w:lang w:val="en-GB"/>
        </w:rPr>
      </w:pPr>
    </w:p>
    <w:p w14:paraId="553CBE38" w14:textId="77777777" w:rsidR="00CD6F4C" w:rsidRDefault="00CD6F4C" w:rsidP="00CD6F4C">
      <w:pPr>
        <w:autoSpaceDE w:val="0"/>
        <w:autoSpaceDN w:val="0"/>
        <w:adjustRightInd w:val="0"/>
        <w:jc w:val="both"/>
        <w:rPr>
          <w:rFonts w:ascii="Times New Roman" w:hAnsi="Times New Roman" w:cs="Times New Roman"/>
          <w:b/>
          <w:sz w:val="24"/>
          <w:lang w:val="en-G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CD6F4C" w:rsidRPr="00581203" w14:paraId="21B9DC72" w14:textId="77777777" w:rsidTr="00CD6F4C">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A4FF3" w14:textId="77777777" w:rsidR="00CD6F4C" w:rsidRPr="00581203" w:rsidRDefault="00CD6F4C" w:rsidP="00CD6F4C">
            <w:pPr>
              <w:rPr>
                <w:rFonts w:ascii="Times New Roman" w:hAnsi="Times New Roman" w:cs="Times New Roman"/>
                <w:b/>
                <w:sz w:val="24"/>
                <w:lang w:val="en-GB"/>
              </w:rPr>
            </w:pPr>
            <w:r w:rsidRPr="00581203">
              <w:rPr>
                <w:rFonts w:ascii="Times New Roman" w:hAnsi="Times New Roman" w:cs="Times New Roman"/>
                <w:b/>
                <w:sz w:val="24"/>
                <w:lang w:val="en-GB"/>
              </w:rPr>
              <w:t>Legal references and instructions</w:t>
            </w:r>
          </w:p>
        </w:tc>
      </w:tr>
      <w:tr w:rsidR="00CD6F4C" w:rsidRPr="00581203" w14:paraId="4778F713" w14:textId="77777777" w:rsidTr="00CD6F4C">
        <w:trPr>
          <w:trHeight w:val="238"/>
        </w:trPr>
        <w:tc>
          <w:tcPr>
            <w:tcW w:w="1384" w:type="dxa"/>
            <w:shd w:val="clear" w:color="auto" w:fill="D9D9D9" w:themeFill="background1" w:themeFillShade="D9"/>
          </w:tcPr>
          <w:p w14:paraId="724AB99C" w14:textId="77777777" w:rsidR="00CD6F4C" w:rsidRPr="00581203" w:rsidRDefault="00CD6F4C" w:rsidP="00CD6F4C">
            <w:pPr>
              <w:autoSpaceDE w:val="0"/>
              <w:autoSpaceDN w:val="0"/>
              <w:adjustRightInd w:val="0"/>
              <w:rPr>
                <w:rFonts w:ascii="Times New Roman" w:hAnsi="Times New Roman" w:cs="Times New Roman"/>
                <w:b/>
                <w:sz w:val="24"/>
                <w:lang w:val="en-GB"/>
              </w:rPr>
            </w:pPr>
            <w:r w:rsidRPr="00313EC9">
              <w:rPr>
                <w:rFonts w:ascii="Times New Roman" w:hAnsi="Times New Roman" w:cs="Times New Roman"/>
                <w:b/>
                <w:sz w:val="24"/>
                <w:lang w:val="en-GB"/>
              </w:rPr>
              <w:t>Row number</w:t>
            </w:r>
          </w:p>
        </w:tc>
        <w:tc>
          <w:tcPr>
            <w:tcW w:w="7655" w:type="dxa"/>
            <w:shd w:val="clear" w:color="auto" w:fill="D9D9D9" w:themeFill="background1" w:themeFillShade="D9"/>
          </w:tcPr>
          <w:p w14:paraId="37BF785A" w14:textId="77777777" w:rsidR="00CD6F4C" w:rsidRPr="0043712F" w:rsidRDefault="00CD6F4C" w:rsidP="00CD6F4C">
            <w:pPr>
              <w:autoSpaceDE w:val="0"/>
              <w:autoSpaceDN w:val="0"/>
              <w:adjustRightInd w:val="0"/>
              <w:rPr>
                <w:rFonts w:ascii="Times New Roman" w:hAnsi="Times New Roman" w:cs="Times New Roman"/>
                <w:color w:val="000000"/>
                <w:sz w:val="24"/>
                <w:lang w:val="en-GB"/>
              </w:rPr>
            </w:pPr>
            <w:r w:rsidRPr="00581203">
              <w:rPr>
                <w:rFonts w:ascii="Times New Roman" w:hAnsi="Times New Roman" w:cs="Times New Roman"/>
                <w:b/>
                <w:sz w:val="24"/>
                <w:lang w:val="en-GB"/>
              </w:rPr>
              <w:t>Explanation</w:t>
            </w:r>
          </w:p>
        </w:tc>
      </w:tr>
      <w:tr w:rsidR="00CD6F4C" w:rsidRPr="00581203" w14:paraId="034813C4" w14:textId="77777777" w:rsidTr="00CD6F4C">
        <w:trPr>
          <w:trHeight w:val="971"/>
        </w:trPr>
        <w:tc>
          <w:tcPr>
            <w:tcW w:w="1384" w:type="dxa"/>
          </w:tcPr>
          <w:p w14:paraId="06AB80B4" w14:textId="77777777" w:rsidR="00CD6F4C" w:rsidRDefault="00CD6F4C" w:rsidP="00CD6F4C">
            <w:pPr>
              <w:pStyle w:val="Applicationdirecte"/>
              <w:spacing w:before="120"/>
            </w:pPr>
            <w:r>
              <w:lastRenderedPageBreak/>
              <w:t>010</w:t>
            </w:r>
          </w:p>
        </w:tc>
        <w:tc>
          <w:tcPr>
            <w:tcW w:w="7655" w:type="dxa"/>
          </w:tcPr>
          <w:p w14:paraId="7C7522F9" w14:textId="77777777" w:rsidR="00CD6F4C" w:rsidRPr="001625E5" w:rsidRDefault="00CD6F4C" w:rsidP="00CD6F4C">
            <w:pPr>
              <w:autoSpaceDE w:val="0"/>
              <w:autoSpaceDN w:val="0"/>
              <w:adjustRightInd w:val="0"/>
              <w:spacing w:before="120" w:after="120"/>
              <w:rPr>
                <w:rFonts w:ascii="Times New Roman" w:hAnsi="Times New Roman" w:cs="Times New Roman"/>
                <w:b/>
                <w:sz w:val="24"/>
                <w:lang w:val="en-GB"/>
              </w:rPr>
            </w:pPr>
            <w:r w:rsidRPr="001625E5">
              <w:rPr>
                <w:rFonts w:ascii="Times New Roman" w:hAnsi="Times New Roman" w:cs="Times New Roman"/>
                <w:b/>
                <w:sz w:val="24"/>
                <w:lang w:val="en-GB"/>
              </w:rPr>
              <w:t>Initial stock of non-performing loans and advances</w:t>
            </w:r>
          </w:p>
          <w:p w14:paraId="34CBA364" w14:textId="77777777" w:rsidR="00CD6F4C" w:rsidRPr="001625E5" w:rsidRDefault="00CD6F4C" w:rsidP="00CD6F4C">
            <w:pPr>
              <w:autoSpaceDE w:val="0"/>
              <w:autoSpaceDN w:val="0"/>
              <w:adjustRightInd w:val="0"/>
              <w:spacing w:before="120" w:after="120"/>
              <w:rPr>
                <w:rFonts w:ascii="Times New Roman" w:hAnsi="Times New Roman" w:cs="Times New Roman"/>
                <w:b/>
                <w:sz w:val="24"/>
                <w:lang w:val="en-GB"/>
              </w:rPr>
            </w:pPr>
            <w:r>
              <w:rPr>
                <w:rFonts w:ascii="Times New Roman" w:hAnsi="Times New Roman" w:cs="Times New Roman"/>
                <w:sz w:val="24"/>
                <w:lang w:val="en-GB"/>
              </w:rPr>
              <w:t>T</w:t>
            </w:r>
            <w:r w:rsidRPr="001625E5">
              <w:rPr>
                <w:rFonts w:ascii="Times New Roman" w:hAnsi="Times New Roman" w:cs="Times New Roman"/>
                <w:sz w:val="24"/>
                <w:lang w:val="en-GB"/>
              </w:rPr>
              <w:t>he gross carrying amount of the stock of non-performing loans and advances at the end of the last financial year.</w:t>
            </w:r>
          </w:p>
        </w:tc>
      </w:tr>
      <w:tr w:rsidR="00CD6F4C" w:rsidRPr="00581203" w14:paraId="590FDC92" w14:textId="77777777" w:rsidTr="00CD6F4C">
        <w:trPr>
          <w:trHeight w:val="316"/>
        </w:trPr>
        <w:tc>
          <w:tcPr>
            <w:tcW w:w="1384" w:type="dxa"/>
          </w:tcPr>
          <w:p w14:paraId="7F2AF0E9" w14:textId="77777777" w:rsidR="00CD6F4C" w:rsidRPr="0043712F" w:rsidRDefault="00CD6F4C" w:rsidP="00CD6F4C">
            <w:pPr>
              <w:autoSpaceDE w:val="0"/>
              <w:autoSpaceDN w:val="0"/>
              <w:adjustRightInd w:val="0"/>
              <w:rPr>
                <w:rFonts w:ascii="Times New Roman" w:hAnsi="Times New Roman" w:cs="Times New Roman"/>
                <w:color w:val="000000"/>
                <w:sz w:val="24"/>
                <w:lang w:val="en-GB"/>
              </w:rPr>
            </w:pPr>
            <w:r>
              <w:rPr>
                <w:rFonts w:ascii="Times New Roman" w:hAnsi="Times New Roman" w:cs="Times New Roman"/>
                <w:color w:val="000000"/>
                <w:sz w:val="24"/>
                <w:lang w:val="en-GB"/>
              </w:rPr>
              <w:t>020</w:t>
            </w:r>
          </w:p>
        </w:tc>
        <w:tc>
          <w:tcPr>
            <w:tcW w:w="7655" w:type="dxa"/>
          </w:tcPr>
          <w:p w14:paraId="2D690905" w14:textId="77777777" w:rsidR="00CD6F4C" w:rsidRDefault="00CD6F4C" w:rsidP="00CD6F4C">
            <w:pPr>
              <w:autoSpaceDE w:val="0"/>
              <w:autoSpaceDN w:val="0"/>
              <w:adjustRightInd w:val="0"/>
              <w:rPr>
                <w:rFonts w:ascii="Times New Roman" w:hAnsi="Times New Roman" w:cs="Times New Roman"/>
                <w:b/>
                <w:sz w:val="24"/>
                <w:lang w:val="en-GB"/>
              </w:rPr>
            </w:pPr>
            <w:r w:rsidRPr="00F74438">
              <w:rPr>
                <w:rFonts w:ascii="Times New Roman" w:hAnsi="Times New Roman" w:cs="Times New Roman"/>
                <w:b/>
                <w:sz w:val="24"/>
                <w:lang w:val="en-GB"/>
              </w:rPr>
              <w:t>Inflows to non-performing portfolios</w:t>
            </w:r>
          </w:p>
          <w:p w14:paraId="318BBE4A" w14:textId="77777777" w:rsidR="00CD6F4C" w:rsidRPr="00F74438" w:rsidRDefault="00CD6F4C" w:rsidP="00CD6F4C">
            <w:pPr>
              <w:autoSpaceDE w:val="0"/>
              <w:autoSpaceDN w:val="0"/>
              <w:adjustRightInd w:val="0"/>
              <w:spacing w:before="120" w:after="120"/>
              <w:rPr>
                <w:rFonts w:ascii="Times New Roman" w:hAnsi="Times New Roman" w:cs="Times New Roman"/>
                <w:sz w:val="24"/>
                <w:lang w:val="en-GB"/>
              </w:rPr>
            </w:pPr>
            <w:r>
              <w:rPr>
                <w:rFonts w:ascii="Times New Roman" w:hAnsi="Times New Roman" w:cs="Times New Roman"/>
                <w:sz w:val="24"/>
                <w:lang w:val="en-GB"/>
              </w:rPr>
              <w:t>T</w:t>
            </w:r>
            <w:r w:rsidRPr="00F74438">
              <w:rPr>
                <w:rFonts w:ascii="Times New Roman" w:hAnsi="Times New Roman" w:cs="Times New Roman"/>
                <w:sz w:val="24"/>
                <w:lang w:val="en-GB"/>
              </w:rPr>
              <w:t>he gross carrying amount of loans and advances that entered non-performing status during the period (since the end of last financial year).</w:t>
            </w:r>
          </w:p>
        </w:tc>
      </w:tr>
      <w:tr w:rsidR="00CD6F4C" w:rsidRPr="00581203" w14:paraId="44FB8EF4" w14:textId="77777777" w:rsidTr="00CD6F4C">
        <w:trPr>
          <w:trHeight w:val="316"/>
        </w:trPr>
        <w:tc>
          <w:tcPr>
            <w:tcW w:w="1384" w:type="dxa"/>
          </w:tcPr>
          <w:p w14:paraId="508DB603" w14:textId="77777777" w:rsidR="00CD6F4C" w:rsidRDefault="00CD6F4C" w:rsidP="00CD6F4C">
            <w:pPr>
              <w:autoSpaceDE w:val="0"/>
              <w:autoSpaceDN w:val="0"/>
              <w:adjustRightInd w:val="0"/>
              <w:rPr>
                <w:rFonts w:ascii="Times New Roman" w:hAnsi="Times New Roman" w:cs="Times New Roman"/>
                <w:color w:val="000000"/>
                <w:sz w:val="24"/>
                <w:lang w:val="en-GB"/>
              </w:rPr>
            </w:pPr>
            <w:r>
              <w:rPr>
                <w:rFonts w:ascii="Times New Roman" w:hAnsi="Times New Roman" w:cs="Times New Roman"/>
                <w:color w:val="000000"/>
                <w:sz w:val="24"/>
                <w:lang w:val="en-GB"/>
              </w:rPr>
              <w:t>030</w:t>
            </w:r>
          </w:p>
        </w:tc>
        <w:tc>
          <w:tcPr>
            <w:tcW w:w="7655" w:type="dxa"/>
          </w:tcPr>
          <w:p w14:paraId="678C7D49" w14:textId="77777777" w:rsidR="00CD6F4C" w:rsidRDefault="00CD6F4C" w:rsidP="00CD6F4C">
            <w:pPr>
              <w:autoSpaceDE w:val="0"/>
              <w:autoSpaceDN w:val="0"/>
              <w:adjustRightInd w:val="0"/>
              <w:rPr>
                <w:rFonts w:ascii="Times New Roman" w:hAnsi="Times New Roman" w:cs="Times New Roman"/>
                <w:b/>
                <w:sz w:val="24"/>
                <w:lang w:val="en-GB"/>
              </w:rPr>
            </w:pPr>
            <w:r w:rsidRPr="00192A57">
              <w:rPr>
                <w:rFonts w:ascii="Times New Roman" w:hAnsi="Times New Roman" w:cs="Times New Roman"/>
                <w:b/>
                <w:sz w:val="24"/>
                <w:lang w:val="en-GB"/>
              </w:rPr>
              <w:t>Outflows from non-performing portfolios</w:t>
            </w:r>
          </w:p>
          <w:p w14:paraId="13AF3E73" w14:textId="77777777" w:rsidR="00CD6F4C" w:rsidRPr="00F74438" w:rsidRDefault="00CD6F4C" w:rsidP="00CD6F4C">
            <w:pPr>
              <w:autoSpaceDE w:val="0"/>
              <w:autoSpaceDN w:val="0"/>
              <w:adjustRightInd w:val="0"/>
              <w:spacing w:before="120" w:after="120"/>
              <w:rPr>
                <w:rFonts w:ascii="Times New Roman" w:hAnsi="Times New Roman" w:cs="Times New Roman"/>
                <w:b/>
                <w:sz w:val="24"/>
                <w:lang w:val="en-GB"/>
              </w:rPr>
            </w:pPr>
            <w:r w:rsidRPr="00F74438">
              <w:rPr>
                <w:rFonts w:ascii="Times New Roman" w:hAnsi="Times New Roman" w:cs="Times New Roman"/>
                <w:sz w:val="24"/>
                <w:lang w:val="en-GB"/>
              </w:rPr>
              <w:t>The gross carrying amount of loans and advances that exited non-performing status</w:t>
            </w:r>
            <w:r>
              <w:rPr>
                <w:rFonts w:ascii="Times New Roman" w:hAnsi="Times New Roman" w:cs="Times New Roman"/>
                <w:sz w:val="24"/>
                <w:lang w:val="en-GB"/>
              </w:rPr>
              <w:t>.</w:t>
            </w:r>
          </w:p>
        </w:tc>
      </w:tr>
      <w:tr w:rsidR="00CD6F4C" w:rsidRPr="00581203" w14:paraId="5FECCAD4" w14:textId="77777777" w:rsidTr="00CD6F4C">
        <w:trPr>
          <w:trHeight w:val="316"/>
        </w:trPr>
        <w:tc>
          <w:tcPr>
            <w:tcW w:w="1384" w:type="dxa"/>
          </w:tcPr>
          <w:p w14:paraId="01A803EE" w14:textId="77777777" w:rsidR="00CD6F4C" w:rsidRPr="0043712F" w:rsidRDefault="00CD6F4C" w:rsidP="00CD6F4C">
            <w:pPr>
              <w:autoSpaceDE w:val="0"/>
              <w:autoSpaceDN w:val="0"/>
              <w:adjustRightInd w:val="0"/>
              <w:rPr>
                <w:rFonts w:ascii="Times New Roman" w:hAnsi="Times New Roman" w:cs="Times New Roman"/>
                <w:color w:val="000000"/>
                <w:sz w:val="24"/>
                <w:lang w:val="en-GB"/>
              </w:rPr>
            </w:pPr>
            <w:r>
              <w:rPr>
                <w:rFonts w:ascii="Times New Roman" w:hAnsi="Times New Roman" w:cs="Times New Roman"/>
                <w:color w:val="000000"/>
                <w:sz w:val="24"/>
                <w:lang w:val="en-GB"/>
              </w:rPr>
              <w:t>040</w:t>
            </w:r>
          </w:p>
        </w:tc>
        <w:tc>
          <w:tcPr>
            <w:tcW w:w="7655" w:type="dxa"/>
          </w:tcPr>
          <w:p w14:paraId="25AB7A69" w14:textId="77777777" w:rsidR="00CD6F4C" w:rsidRDefault="00CD6F4C" w:rsidP="00CD6F4C">
            <w:pPr>
              <w:autoSpaceDE w:val="0"/>
              <w:autoSpaceDN w:val="0"/>
              <w:adjustRightInd w:val="0"/>
              <w:rPr>
                <w:rFonts w:ascii="Times New Roman" w:hAnsi="Times New Roman" w:cs="Times New Roman"/>
                <w:b/>
                <w:sz w:val="24"/>
                <w:lang w:val="en-GB"/>
              </w:rPr>
            </w:pPr>
            <w:r w:rsidRPr="00F74438">
              <w:rPr>
                <w:rFonts w:ascii="Times New Roman" w:hAnsi="Times New Roman" w:cs="Times New Roman"/>
                <w:b/>
                <w:sz w:val="24"/>
                <w:lang w:val="en-GB"/>
              </w:rPr>
              <w:t>Outflow to performing portfolio</w:t>
            </w:r>
          </w:p>
          <w:p w14:paraId="3E83C36C" w14:textId="77777777" w:rsidR="00CD6F4C" w:rsidRPr="00F74438" w:rsidRDefault="00CD6F4C" w:rsidP="00CD6F4C">
            <w:pPr>
              <w:autoSpaceDE w:val="0"/>
              <w:autoSpaceDN w:val="0"/>
              <w:adjustRightInd w:val="0"/>
              <w:spacing w:before="120" w:after="120"/>
              <w:rPr>
                <w:rFonts w:ascii="Times New Roman" w:hAnsi="Times New Roman" w:cs="Times New Roman"/>
                <w:b/>
                <w:sz w:val="24"/>
                <w:lang w:val="en-GB"/>
              </w:rPr>
            </w:pPr>
            <w:r w:rsidRPr="00F74438">
              <w:rPr>
                <w:rFonts w:ascii="Times New Roman" w:hAnsi="Times New Roman" w:cs="Times New Roman"/>
                <w:sz w:val="24"/>
                <w:lang w:val="en-GB"/>
              </w:rPr>
              <w:t>The gross carrying amount of loans and advances that exited non-performing status and became performing during the period (since the end of last financial year)</w:t>
            </w:r>
          </w:p>
        </w:tc>
      </w:tr>
      <w:tr w:rsidR="00CD6F4C" w:rsidRPr="00581203" w14:paraId="79FA3A25" w14:textId="77777777" w:rsidTr="00CD6F4C">
        <w:trPr>
          <w:trHeight w:val="316"/>
        </w:trPr>
        <w:tc>
          <w:tcPr>
            <w:tcW w:w="1384" w:type="dxa"/>
          </w:tcPr>
          <w:p w14:paraId="1A2E1F34" w14:textId="77777777" w:rsidR="00CD6F4C" w:rsidRPr="0043712F" w:rsidRDefault="00CD6F4C" w:rsidP="00CD6F4C">
            <w:pPr>
              <w:autoSpaceDE w:val="0"/>
              <w:autoSpaceDN w:val="0"/>
              <w:adjustRightInd w:val="0"/>
              <w:rPr>
                <w:rFonts w:ascii="Times New Roman" w:hAnsi="Times New Roman" w:cs="Times New Roman"/>
                <w:color w:val="000000"/>
                <w:sz w:val="24"/>
                <w:lang w:val="en-GB"/>
              </w:rPr>
            </w:pPr>
            <w:r>
              <w:rPr>
                <w:rFonts w:ascii="Times New Roman" w:hAnsi="Times New Roman" w:cs="Times New Roman"/>
                <w:color w:val="000000"/>
                <w:sz w:val="24"/>
                <w:lang w:val="en-GB"/>
              </w:rPr>
              <w:t>050</w:t>
            </w:r>
          </w:p>
        </w:tc>
        <w:tc>
          <w:tcPr>
            <w:tcW w:w="7655" w:type="dxa"/>
          </w:tcPr>
          <w:p w14:paraId="766FCEDA" w14:textId="77777777" w:rsidR="00CD6F4C" w:rsidRDefault="00CD6F4C" w:rsidP="00CD6F4C">
            <w:pPr>
              <w:autoSpaceDE w:val="0"/>
              <w:autoSpaceDN w:val="0"/>
              <w:adjustRightInd w:val="0"/>
              <w:rPr>
                <w:rFonts w:ascii="Times New Roman" w:hAnsi="Times New Roman" w:cs="Times New Roman"/>
                <w:b/>
                <w:sz w:val="24"/>
                <w:lang w:val="en-GB"/>
              </w:rPr>
            </w:pPr>
            <w:r w:rsidRPr="00F74438">
              <w:rPr>
                <w:rFonts w:ascii="Times New Roman" w:hAnsi="Times New Roman" w:cs="Times New Roman"/>
                <w:b/>
                <w:sz w:val="24"/>
                <w:lang w:val="en-GB"/>
              </w:rPr>
              <w:t>Outflow due to loan repayment, partial or total</w:t>
            </w:r>
          </w:p>
          <w:p w14:paraId="3A5F6D8B" w14:textId="77777777" w:rsidR="00CD6F4C" w:rsidRPr="00F74438" w:rsidRDefault="00CD6F4C" w:rsidP="00CD6F4C">
            <w:pPr>
              <w:autoSpaceDE w:val="0"/>
              <w:autoSpaceDN w:val="0"/>
              <w:adjustRightInd w:val="0"/>
              <w:spacing w:before="120" w:after="120"/>
              <w:rPr>
                <w:rFonts w:ascii="Times New Roman" w:hAnsi="Times New Roman" w:cs="Times New Roman"/>
                <w:b/>
                <w:sz w:val="24"/>
                <w:lang w:val="en-GB"/>
              </w:rPr>
            </w:pPr>
            <w:r>
              <w:rPr>
                <w:rFonts w:ascii="Times New Roman" w:hAnsi="Times New Roman" w:cs="Times New Roman"/>
                <w:sz w:val="24"/>
                <w:lang w:val="en-GB"/>
              </w:rPr>
              <w:t>T</w:t>
            </w:r>
            <w:r w:rsidRPr="00F74438">
              <w:rPr>
                <w:rFonts w:ascii="Times New Roman" w:hAnsi="Times New Roman" w:cs="Times New Roman"/>
                <w:sz w:val="24"/>
                <w:lang w:val="en-GB"/>
              </w:rPr>
              <w:t>he reduction in the gross carrying amount of non-performing loans and advances due to cash payments, namely regular payments of capital and any ad hoc repayments during the period (since the end of last financial year).</w:t>
            </w:r>
          </w:p>
        </w:tc>
      </w:tr>
      <w:tr w:rsidR="00CD6F4C" w:rsidRPr="00581203" w14:paraId="5C14E8E5" w14:textId="77777777" w:rsidTr="00CD6F4C">
        <w:trPr>
          <w:trHeight w:val="316"/>
        </w:trPr>
        <w:tc>
          <w:tcPr>
            <w:tcW w:w="1384" w:type="dxa"/>
          </w:tcPr>
          <w:p w14:paraId="0F9596AE" w14:textId="77777777" w:rsidR="00CD6F4C" w:rsidRPr="0043712F" w:rsidRDefault="00CD6F4C" w:rsidP="00CD6F4C">
            <w:pPr>
              <w:autoSpaceDE w:val="0"/>
              <w:autoSpaceDN w:val="0"/>
              <w:adjustRightInd w:val="0"/>
              <w:rPr>
                <w:rFonts w:ascii="Times New Roman" w:hAnsi="Times New Roman" w:cs="Times New Roman"/>
                <w:color w:val="000000"/>
                <w:sz w:val="24"/>
                <w:lang w:val="en-GB"/>
              </w:rPr>
            </w:pPr>
            <w:r>
              <w:rPr>
                <w:rFonts w:ascii="Times New Roman" w:hAnsi="Times New Roman" w:cs="Times New Roman"/>
                <w:color w:val="000000"/>
                <w:sz w:val="24"/>
                <w:lang w:val="en-GB"/>
              </w:rPr>
              <w:t>060</w:t>
            </w:r>
          </w:p>
        </w:tc>
        <w:tc>
          <w:tcPr>
            <w:tcW w:w="7655" w:type="dxa"/>
          </w:tcPr>
          <w:p w14:paraId="78C240CA" w14:textId="77777777" w:rsidR="00CD6F4C" w:rsidRPr="00D802E8" w:rsidRDefault="00CD6F4C" w:rsidP="00CD6F4C">
            <w:pPr>
              <w:autoSpaceDE w:val="0"/>
              <w:autoSpaceDN w:val="0"/>
              <w:adjustRightInd w:val="0"/>
              <w:rPr>
                <w:rFonts w:ascii="Times New Roman" w:hAnsi="Times New Roman" w:cs="Times New Roman"/>
                <w:b/>
                <w:sz w:val="24"/>
                <w:lang w:val="en-GB"/>
              </w:rPr>
            </w:pPr>
            <w:r w:rsidRPr="00D802E8">
              <w:rPr>
                <w:rFonts w:ascii="Times New Roman" w:hAnsi="Times New Roman" w:cs="Times New Roman"/>
                <w:b/>
                <w:sz w:val="24"/>
                <w:lang w:val="en-GB"/>
              </w:rPr>
              <w:t xml:space="preserve">Outflow due to collateral liquidations </w:t>
            </w:r>
          </w:p>
          <w:p w14:paraId="4F3C6C55" w14:textId="77777777" w:rsidR="00CD6F4C" w:rsidRPr="00D802E8" w:rsidRDefault="00CD6F4C" w:rsidP="00CD6F4C">
            <w:pPr>
              <w:autoSpaceDE w:val="0"/>
              <w:autoSpaceDN w:val="0"/>
              <w:adjustRightInd w:val="0"/>
              <w:spacing w:before="120" w:after="120"/>
              <w:rPr>
                <w:rFonts w:ascii="Times New Roman" w:hAnsi="Times New Roman" w:cs="Times New Roman"/>
                <w:b/>
                <w:sz w:val="24"/>
                <w:lang w:val="en-GB"/>
              </w:rPr>
            </w:pPr>
            <w:r w:rsidRPr="00D802E8">
              <w:rPr>
                <w:rFonts w:ascii="Times New Roman" w:hAnsi="Times New Roman" w:cs="Times New Roman"/>
                <w:sz w:val="24"/>
                <w:lang w:val="en-GB"/>
              </w:rPr>
              <w:t xml:space="preserve">The effect on the gross carrying amount of an instrument from the liquidation of any kind of collateral </w:t>
            </w:r>
            <w:proofErr w:type="gramStart"/>
            <w:r w:rsidRPr="00D802E8">
              <w:rPr>
                <w:rFonts w:ascii="Times New Roman" w:hAnsi="Times New Roman" w:cs="Times New Roman"/>
                <w:sz w:val="24"/>
                <w:lang w:val="en-GB"/>
              </w:rPr>
              <w:t>shall be disclosed</w:t>
            </w:r>
            <w:proofErr w:type="gramEnd"/>
            <w:r w:rsidRPr="00D802E8">
              <w:rPr>
                <w:rFonts w:ascii="Times New Roman" w:hAnsi="Times New Roman" w:cs="Times New Roman"/>
                <w:sz w:val="24"/>
                <w:lang w:val="en-GB"/>
              </w:rPr>
              <w:t xml:space="preserve"> in this row. Outflows due to other liquidation or legal procedures and voluntary sale of property are also to be included in this row. For the avoidance of doubt, please note that the gross carrying amount of the instrument </w:t>
            </w:r>
            <w:proofErr w:type="gramStart"/>
            <w:r w:rsidRPr="00D802E8">
              <w:rPr>
                <w:rFonts w:ascii="Times New Roman" w:hAnsi="Times New Roman" w:cs="Times New Roman"/>
                <w:sz w:val="24"/>
                <w:lang w:val="en-GB"/>
              </w:rPr>
              <w:t>shall be disclosed</w:t>
            </w:r>
            <w:proofErr w:type="gramEnd"/>
            <w:r w:rsidRPr="00D802E8">
              <w:rPr>
                <w:rFonts w:ascii="Times New Roman" w:hAnsi="Times New Roman" w:cs="Times New Roman"/>
                <w:sz w:val="24"/>
                <w:lang w:val="en-GB"/>
              </w:rPr>
              <w:t>, including any potential accompanying partial write-off. Please also note that outflows might not be equal to the sum of net cumulated recoveries and partial write-offs.</w:t>
            </w:r>
          </w:p>
        </w:tc>
      </w:tr>
      <w:tr w:rsidR="00CD6F4C" w:rsidRPr="00581203" w14:paraId="4B156424" w14:textId="77777777" w:rsidTr="00CD6F4C">
        <w:trPr>
          <w:trHeight w:val="316"/>
        </w:trPr>
        <w:tc>
          <w:tcPr>
            <w:tcW w:w="1384" w:type="dxa"/>
          </w:tcPr>
          <w:p w14:paraId="2937883D" w14:textId="77777777" w:rsidR="00CD6F4C" w:rsidRPr="0043712F" w:rsidRDefault="00CD6F4C" w:rsidP="00CD6F4C">
            <w:pPr>
              <w:autoSpaceDE w:val="0"/>
              <w:autoSpaceDN w:val="0"/>
              <w:adjustRightInd w:val="0"/>
              <w:rPr>
                <w:rFonts w:ascii="Times New Roman" w:hAnsi="Times New Roman" w:cs="Times New Roman"/>
                <w:color w:val="000000"/>
                <w:sz w:val="24"/>
                <w:lang w:val="en-GB"/>
              </w:rPr>
            </w:pPr>
            <w:r>
              <w:rPr>
                <w:rFonts w:ascii="Times New Roman" w:hAnsi="Times New Roman" w:cs="Times New Roman"/>
                <w:color w:val="000000"/>
                <w:sz w:val="24"/>
                <w:lang w:val="en-GB"/>
              </w:rPr>
              <w:t>060 column b</w:t>
            </w:r>
          </w:p>
        </w:tc>
        <w:tc>
          <w:tcPr>
            <w:tcW w:w="7655" w:type="dxa"/>
          </w:tcPr>
          <w:p w14:paraId="527246FA" w14:textId="77777777" w:rsidR="00CD6F4C" w:rsidRPr="00D802E8" w:rsidRDefault="00CD6F4C" w:rsidP="00CD6F4C">
            <w:pPr>
              <w:autoSpaceDE w:val="0"/>
              <w:autoSpaceDN w:val="0"/>
              <w:adjustRightInd w:val="0"/>
              <w:rPr>
                <w:rFonts w:ascii="Times New Roman" w:hAnsi="Times New Roman" w:cs="Times New Roman"/>
                <w:b/>
                <w:sz w:val="24"/>
                <w:lang w:val="en-GB"/>
              </w:rPr>
            </w:pPr>
            <w:r w:rsidRPr="00D802E8">
              <w:rPr>
                <w:rFonts w:ascii="Times New Roman" w:hAnsi="Times New Roman" w:cs="Times New Roman"/>
                <w:b/>
                <w:sz w:val="24"/>
                <w:lang w:val="en-GB"/>
              </w:rPr>
              <w:t xml:space="preserve">Related net accumulated recoveries </w:t>
            </w:r>
          </w:p>
          <w:p w14:paraId="0519D537" w14:textId="77777777" w:rsidR="00CD6F4C" w:rsidRPr="00D802E8" w:rsidRDefault="00CD6F4C" w:rsidP="00CD6F4C">
            <w:pPr>
              <w:autoSpaceDE w:val="0"/>
              <w:autoSpaceDN w:val="0"/>
              <w:adjustRightInd w:val="0"/>
              <w:spacing w:before="120" w:after="120"/>
              <w:rPr>
                <w:rFonts w:ascii="Times New Roman" w:hAnsi="Times New Roman" w:cs="Times New Roman"/>
                <w:b/>
                <w:sz w:val="24"/>
                <w:lang w:val="en-GB"/>
              </w:rPr>
            </w:pPr>
            <w:r w:rsidRPr="00D802E8">
              <w:rPr>
                <w:rFonts w:ascii="Times New Roman" w:hAnsi="Times New Roman" w:cs="Times New Roman"/>
                <w:sz w:val="24"/>
                <w:lang w:val="en-GB"/>
              </w:rPr>
              <w:t xml:space="preserve">Cash recoveries or cash equivalents collected due to collateral liquidations (net of respective collateral liquidation costs) are to </w:t>
            </w:r>
            <w:proofErr w:type="gramStart"/>
            <w:r w:rsidRPr="00D802E8">
              <w:rPr>
                <w:rFonts w:ascii="Times New Roman" w:hAnsi="Times New Roman" w:cs="Times New Roman"/>
                <w:sz w:val="24"/>
                <w:lang w:val="en-GB"/>
              </w:rPr>
              <w:t>be disclosed</w:t>
            </w:r>
            <w:proofErr w:type="gramEnd"/>
            <w:r w:rsidRPr="00D802E8">
              <w:rPr>
                <w:rFonts w:ascii="Times New Roman" w:hAnsi="Times New Roman" w:cs="Times New Roman"/>
                <w:sz w:val="24"/>
                <w:lang w:val="en-GB"/>
              </w:rPr>
              <w:t xml:space="preserve"> in this row.</w:t>
            </w:r>
          </w:p>
        </w:tc>
      </w:tr>
      <w:tr w:rsidR="00CD6F4C" w:rsidRPr="00581203" w14:paraId="1E503E4D" w14:textId="77777777" w:rsidTr="00CD6F4C">
        <w:trPr>
          <w:trHeight w:val="316"/>
        </w:trPr>
        <w:tc>
          <w:tcPr>
            <w:tcW w:w="1384" w:type="dxa"/>
          </w:tcPr>
          <w:p w14:paraId="0EAF85A8" w14:textId="77777777" w:rsidR="00CD6F4C" w:rsidRPr="0043712F" w:rsidRDefault="00CD6F4C" w:rsidP="00CD6F4C">
            <w:pPr>
              <w:autoSpaceDE w:val="0"/>
              <w:autoSpaceDN w:val="0"/>
              <w:adjustRightInd w:val="0"/>
              <w:rPr>
                <w:rFonts w:ascii="Times New Roman" w:hAnsi="Times New Roman" w:cs="Times New Roman"/>
                <w:color w:val="000000"/>
                <w:sz w:val="24"/>
                <w:lang w:val="en-GB"/>
              </w:rPr>
            </w:pPr>
            <w:r>
              <w:rPr>
                <w:rFonts w:ascii="Times New Roman" w:hAnsi="Times New Roman" w:cs="Times New Roman"/>
                <w:color w:val="000000"/>
                <w:sz w:val="24"/>
                <w:lang w:val="en-GB"/>
              </w:rPr>
              <w:t>070</w:t>
            </w:r>
          </w:p>
        </w:tc>
        <w:tc>
          <w:tcPr>
            <w:tcW w:w="7655" w:type="dxa"/>
          </w:tcPr>
          <w:p w14:paraId="7EA749EE" w14:textId="77777777" w:rsidR="00CD6F4C" w:rsidRPr="00D802E8" w:rsidRDefault="00CD6F4C" w:rsidP="00CD6F4C">
            <w:pPr>
              <w:autoSpaceDE w:val="0"/>
              <w:autoSpaceDN w:val="0"/>
              <w:adjustRightInd w:val="0"/>
              <w:rPr>
                <w:rFonts w:ascii="Times New Roman" w:hAnsi="Times New Roman" w:cs="Times New Roman"/>
                <w:b/>
                <w:sz w:val="24"/>
                <w:lang w:val="en-GB"/>
              </w:rPr>
            </w:pPr>
            <w:r w:rsidRPr="00D802E8">
              <w:rPr>
                <w:rFonts w:ascii="Times New Roman" w:hAnsi="Times New Roman" w:cs="Times New Roman"/>
                <w:b/>
                <w:sz w:val="24"/>
                <w:lang w:val="en-GB"/>
              </w:rPr>
              <w:t xml:space="preserve">Outflow due to taking possession of collateral </w:t>
            </w:r>
          </w:p>
          <w:p w14:paraId="72CC2FBC" w14:textId="12DC65FF" w:rsidR="00CD6F4C" w:rsidRPr="00D802E8" w:rsidRDefault="00CD6F4C" w:rsidP="00411B21">
            <w:pPr>
              <w:autoSpaceDE w:val="0"/>
              <w:autoSpaceDN w:val="0"/>
              <w:adjustRightInd w:val="0"/>
              <w:spacing w:before="120" w:after="120"/>
              <w:rPr>
                <w:rFonts w:ascii="Times New Roman" w:hAnsi="Times New Roman" w:cs="Times New Roman"/>
                <w:b/>
                <w:sz w:val="24"/>
                <w:lang w:val="en-GB"/>
              </w:rPr>
            </w:pPr>
            <w:r w:rsidRPr="00D802E8">
              <w:rPr>
                <w:rFonts w:ascii="Times New Roman" w:hAnsi="Times New Roman" w:cs="Times New Roman"/>
                <w:sz w:val="24"/>
                <w:lang w:val="en-GB"/>
              </w:rPr>
              <w:t xml:space="preserve">The effect on the gross carrying amount of an instrument due to the foreclosure of any kind of collateral </w:t>
            </w:r>
            <w:proofErr w:type="gramStart"/>
            <w:r w:rsidRPr="00D802E8">
              <w:rPr>
                <w:rFonts w:ascii="Times New Roman" w:hAnsi="Times New Roman" w:cs="Times New Roman"/>
                <w:sz w:val="24"/>
                <w:lang w:val="en-GB"/>
              </w:rPr>
              <w:t>shall be disclosed</w:t>
            </w:r>
            <w:proofErr w:type="gramEnd"/>
            <w:r w:rsidRPr="00D802E8">
              <w:rPr>
                <w:rFonts w:ascii="Times New Roman" w:hAnsi="Times New Roman" w:cs="Times New Roman"/>
                <w:sz w:val="24"/>
                <w:lang w:val="en-GB"/>
              </w:rPr>
              <w:t xml:space="preserve"> in this row. Taking possession refers to the acquisition of non-cash collateral of which the institution or a group subsidiary has acquired ownership and which it has not yet sold to a third party. Debt asset swaps, voluntary surrenders and debt equity swaps are also to be included in this category. For the avoidance of doubt, please note that the gross carrying amount of the instrument </w:t>
            </w:r>
            <w:proofErr w:type="gramStart"/>
            <w:r w:rsidRPr="00D802E8">
              <w:rPr>
                <w:rFonts w:ascii="Times New Roman" w:hAnsi="Times New Roman" w:cs="Times New Roman"/>
                <w:sz w:val="24"/>
                <w:lang w:val="en-GB"/>
              </w:rPr>
              <w:t xml:space="preserve">shall be </w:t>
            </w:r>
            <w:r>
              <w:rPr>
                <w:rFonts w:ascii="Times New Roman" w:hAnsi="Times New Roman" w:cs="Times New Roman"/>
                <w:sz w:val="24"/>
                <w:lang w:val="en-GB"/>
              </w:rPr>
              <w:t>disclosed</w:t>
            </w:r>
            <w:proofErr w:type="gramEnd"/>
            <w:r w:rsidRPr="00D802E8">
              <w:rPr>
                <w:rFonts w:ascii="Times New Roman" w:hAnsi="Times New Roman" w:cs="Times New Roman"/>
                <w:sz w:val="24"/>
                <w:lang w:val="en-GB"/>
              </w:rPr>
              <w:t>, including any potential accompanying partial write-offs. Please also note that outflows might not be equal to the sum of net cumulated recoveries and partial write-offs.</w:t>
            </w:r>
          </w:p>
        </w:tc>
      </w:tr>
      <w:tr w:rsidR="00CD6F4C" w:rsidRPr="00581203" w14:paraId="72A3807E" w14:textId="77777777" w:rsidTr="00CD6F4C">
        <w:trPr>
          <w:trHeight w:val="316"/>
        </w:trPr>
        <w:tc>
          <w:tcPr>
            <w:tcW w:w="1384" w:type="dxa"/>
          </w:tcPr>
          <w:p w14:paraId="0772E552" w14:textId="77777777" w:rsidR="00CD6F4C" w:rsidRPr="0043712F" w:rsidRDefault="00CD6F4C" w:rsidP="00CD6F4C">
            <w:pPr>
              <w:autoSpaceDE w:val="0"/>
              <w:autoSpaceDN w:val="0"/>
              <w:adjustRightInd w:val="0"/>
              <w:rPr>
                <w:rFonts w:ascii="Times New Roman" w:hAnsi="Times New Roman" w:cs="Times New Roman"/>
                <w:color w:val="000000"/>
                <w:sz w:val="24"/>
                <w:lang w:val="en-GB"/>
              </w:rPr>
            </w:pPr>
            <w:r>
              <w:rPr>
                <w:rFonts w:ascii="Times New Roman" w:hAnsi="Times New Roman" w:cs="Times New Roman"/>
                <w:color w:val="000000"/>
                <w:sz w:val="24"/>
                <w:lang w:val="en-GB"/>
              </w:rPr>
              <w:lastRenderedPageBreak/>
              <w:t xml:space="preserve">070 column b </w:t>
            </w:r>
          </w:p>
        </w:tc>
        <w:tc>
          <w:tcPr>
            <w:tcW w:w="7655" w:type="dxa"/>
          </w:tcPr>
          <w:p w14:paraId="5DD429FE" w14:textId="77777777" w:rsidR="00CD6F4C" w:rsidRDefault="00CD6F4C" w:rsidP="00CD6F4C">
            <w:pPr>
              <w:autoSpaceDE w:val="0"/>
              <w:autoSpaceDN w:val="0"/>
              <w:adjustRightInd w:val="0"/>
              <w:rPr>
                <w:rFonts w:ascii="Times New Roman" w:hAnsi="Times New Roman" w:cs="Times New Roman"/>
                <w:b/>
                <w:sz w:val="24"/>
                <w:lang w:val="en-GB"/>
              </w:rPr>
            </w:pPr>
            <w:r w:rsidRPr="00F74438">
              <w:rPr>
                <w:rFonts w:ascii="Times New Roman" w:hAnsi="Times New Roman" w:cs="Times New Roman"/>
                <w:b/>
                <w:sz w:val="24"/>
                <w:lang w:val="en-GB"/>
              </w:rPr>
              <w:t>Rel</w:t>
            </w:r>
            <w:r>
              <w:rPr>
                <w:rFonts w:ascii="Times New Roman" w:hAnsi="Times New Roman" w:cs="Times New Roman"/>
                <w:b/>
                <w:sz w:val="24"/>
                <w:lang w:val="en-GB"/>
              </w:rPr>
              <w:t>ated net accumulated recoveries</w:t>
            </w:r>
            <w:r w:rsidRPr="00F74438">
              <w:rPr>
                <w:rFonts w:ascii="Times New Roman" w:hAnsi="Times New Roman" w:cs="Times New Roman"/>
                <w:b/>
                <w:sz w:val="24"/>
                <w:lang w:val="en-GB"/>
              </w:rPr>
              <w:t xml:space="preserve"> </w:t>
            </w:r>
          </w:p>
          <w:p w14:paraId="2F5BDFBF" w14:textId="77777777" w:rsidR="00CD6F4C" w:rsidRPr="00F74438" w:rsidRDefault="00CD6F4C" w:rsidP="00CD6F4C">
            <w:pPr>
              <w:autoSpaceDE w:val="0"/>
              <w:autoSpaceDN w:val="0"/>
              <w:adjustRightInd w:val="0"/>
              <w:spacing w:before="120" w:after="120"/>
              <w:rPr>
                <w:rFonts w:ascii="Times New Roman" w:hAnsi="Times New Roman" w:cs="Times New Roman"/>
                <w:b/>
                <w:sz w:val="24"/>
                <w:lang w:val="en-GB"/>
              </w:rPr>
            </w:pPr>
            <w:r>
              <w:rPr>
                <w:rFonts w:ascii="Times New Roman" w:hAnsi="Times New Roman" w:cs="Times New Roman"/>
                <w:sz w:val="24"/>
                <w:lang w:val="en-GB"/>
              </w:rPr>
              <w:t>T</w:t>
            </w:r>
            <w:r w:rsidRPr="00F74438">
              <w:rPr>
                <w:rFonts w:ascii="Times New Roman" w:hAnsi="Times New Roman" w:cs="Times New Roman"/>
                <w:sz w:val="24"/>
                <w:lang w:val="en-GB"/>
              </w:rPr>
              <w:t>he</w:t>
            </w:r>
            <w:r>
              <w:rPr>
                <w:rFonts w:ascii="Times New Roman" w:hAnsi="Times New Roman" w:cs="Times New Roman"/>
                <w:sz w:val="24"/>
                <w:lang w:val="en-GB"/>
              </w:rPr>
              <w:t xml:space="preserve"> initial recognition in the institution</w:t>
            </w:r>
            <w:r w:rsidRPr="00F74438">
              <w:rPr>
                <w:rFonts w:ascii="Times New Roman" w:hAnsi="Times New Roman" w:cs="Times New Roman"/>
                <w:sz w:val="24"/>
                <w:lang w:val="en-GB"/>
              </w:rPr>
              <w:t xml:space="preserve">’s balance sheet of the fair value of the collateral </w:t>
            </w:r>
            <w:proofErr w:type="gramStart"/>
            <w:r w:rsidRPr="00F74438">
              <w:rPr>
                <w:rFonts w:ascii="Times New Roman" w:hAnsi="Times New Roman" w:cs="Times New Roman"/>
                <w:sz w:val="24"/>
                <w:lang w:val="en-GB"/>
              </w:rPr>
              <w:t>at the moment</w:t>
            </w:r>
            <w:proofErr w:type="gramEnd"/>
            <w:r w:rsidRPr="00F74438">
              <w:rPr>
                <w:rFonts w:ascii="Times New Roman" w:hAnsi="Times New Roman" w:cs="Times New Roman"/>
                <w:sz w:val="24"/>
                <w:lang w:val="en-GB"/>
              </w:rPr>
              <w:t xml:space="preserve"> of taking possession is to be </w:t>
            </w:r>
            <w:r>
              <w:rPr>
                <w:rFonts w:ascii="Times New Roman" w:hAnsi="Times New Roman" w:cs="Times New Roman"/>
                <w:sz w:val="24"/>
                <w:lang w:val="en-GB"/>
              </w:rPr>
              <w:t>disclosed</w:t>
            </w:r>
            <w:r w:rsidRPr="00F74438">
              <w:rPr>
                <w:rFonts w:ascii="Times New Roman" w:hAnsi="Times New Roman" w:cs="Times New Roman"/>
                <w:sz w:val="24"/>
                <w:lang w:val="en-GB"/>
              </w:rPr>
              <w:t xml:space="preserve"> in this row. Cash recoveries or cash equivalents collected in the context of taking possession of collateral net of costs </w:t>
            </w:r>
            <w:r w:rsidRPr="00D802E8">
              <w:rPr>
                <w:rFonts w:ascii="Times New Roman" w:hAnsi="Times New Roman" w:cs="Times New Roman"/>
                <w:sz w:val="24"/>
                <w:lang w:val="en-GB"/>
              </w:rPr>
              <w:t>shall</w:t>
            </w:r>
            <w:r w:rsidRPr="00F74438">
              <w:rPr>
                <w:rFonts w:ascii="Times New Roman" w:hAnsi="Times New Roman" w:cs="Times New Roman"/>
                <w:sz w:val="24"/>
                <w:lang w:val="en-GB"/>
              </w:rPr>
              <w:t xml:space="preserve"> not be included in this row but be </w:t>
            </w:r>
            <w:r>
              <w:rPr>
                <w:rFonts w:ascii="Times New Roman" w:hAnsi="Times New Roman" w:cs="Times New Roman"/>
                <w:sz w:val="24"/>
                <w:lang w:val="en-GB"/>
              </w:rPr>
              <w:t xml:space="preserve">disclosed under </w:t>
            </w:r>
            <w:r w:rsidRPr="00F74438">
              <w:rPr>
                <w:rFonts w:ascii="Times New Roman" w:hAnsi="Times New Roman" w:cs="Times New Roman"/>
                <w:sz w:val="24"/>
                <w:lang w:val="en-GB"/>
              </w:rPr>
              <w:t>Outflow due to loan repayment, partial or total.</w:t>
            </w:r>
          </w:p>
        </w:tc>
      </w:tr>
      <w:tr w:rsidR="00CD6F4C" w:rsidRPr="00581203" w14:paraId="7B1E6DF8" w14:textId="77777777" w:rsidTr="00CD6F4C">
        <w:trPr>
          <w:trHeight w:val="316"/>
        </w:trPr>
        <w:tc>
          <w:tcPr>
            <w:tcW w:w="1384" w:type="dxa"/>
          </w:tcPr>
          <w:p w14:paraId="05856760" w14:textId="77777777" w:rsidR="00CD6F4C" w:rsidRPr="0043712F" w:rsidRDefault="00CD6F4C" w:rsidP="00CD6F4C">
            <w:pPr>
              <w:autoSpaceDE w:val="0"/>
              <w:autoSpaceDN w:val="0"/>
              <w:adjustRightInd w:val="0"/>
              <w:rPr>
                <w:rFonts w:ascii="Times New Roman" w:hAnsi="Times New Roman" w:cs="Times New Roman"/>
                <w:color w:val="000000"/>
                <w:sz w:val="24"/>
                <w:lang w:val="en-GB"/>
              </w:rPr>
            </w:pPr>
            <w:r>
              <w:rPr>
                <w:rFonts w:ascii="Times New Roman" w:hAnsi="Times New Roman" w:cs="Times New Roman"/>
                <w:color w:val="000000"/>
                <w:sz w:val="24"/>
                <w:lang w:val="en-GB"/>
              </w:rPr>
              <w:t>080</w:t>
            </w:r>
          </w:p>
        </w:tc>
        <w:tc>
          <w:tcPr>
            <w:tcW w:w="7655" w:type="dxa"/>
          </w:tcPr>
          <w:p w14:paraId="69DB7C41" w14:textId="77777777" w:rsidR="00CD6F4C" w:rsidRDefault="00CD6F4C" w:rsidP="00CD6F4C">
            <w:pPr>
              <w:autoSpaceDE w:val="0"/>
              <w:autoSpaceDN w:val="0"/>
              <w:adjustRightInd w:val="0"/>
              <w:rPr>
                <w:rFonts w:ascii="Times New Roman" w:hAnsi="Times New Roman" w:cs="Times New Roman"/>
                <w:b/>
                <w:sz w:val="24"/>
                <w:lang w:val="en-GB"/>
              </w:rPr>
            </w:pPr>
            <w:r w:rsidRPr="00F74438">
              <w:rPr>
                <w:rFonts w:ascii="Times New Roman" w:hAnsi="Times New Roman" w:cs="Times New Roman"/>
                <w:b/>
                <w:sz w:val="24"/>
                <w:lang w:val="en-GB"/>
              </w:rPr>
              <w:t>Out</w:t>
            </w:r>
            <w:r>
              <w:rPr>
                <w:rFonts w:ascii="Times New Roman" w:hAnsi="Times New Roman" w:cs="Times New Roman"/>
                <w:b/>
                <w:sz w:val="24"/>
                <w:lang w:val="en-GB"/>
              </w:rPr>
              <w:t>flow due to sale of instruments</w:t>
            </w:r>
            <w:r w:rsidRPr="00F74438">
              <w:rPr>
                <w:rFonts w:ascii="Times New Roman" w:hAnsi="Times New Roman" w:cs="Times New Roman"/>
                <w:b/>
                <w:sz w:val="24"/>
                <w:lang w:val="en-GB"/>
              </w:rPr>
              <w:t xml:space="preserve"> </w:t>
            </w:r>
          </w:p>
          <w:p w14:paraId="243AB42A" w14:textId="77777777" w:rsidR="00CD6F4C" w:rsidRPr="00F74438" w:rsidRDefault="00CD6F4C" w:rsidP="00CD6F4C">
            <w:pPr>
              <w:autoSpaceDE w:val="0"/>
              <w:autoSpaceDN w:val="0"/>
              <w:adjustRightInd w:val="0"/>
              <w:spacing w:before="120" w:after="120"/>
              <w:rPr>
                <w:rFonts w:ascii="Times New Roman" w:hAnsi="Times New Roman" w:cs="Times New Roman"/>
                <w:b/>
                <w:sz w:val="24"/>
                <w:lang w:val="en-GB"/>
              </w:rPr>
            </w:pPr>
            <w:r>
              <w:rPr>
                <w:rFonts w:ascii="Times New Roman" w:hAnsi="Times New Roman" w:cs="Times New Roman"/>
                <w:sz w:val="24"/>
                <w:lang w:val="en-GB"/>
              </w:rPr>
              <w:t>T</w:t>
            </w:r>
            <w:r w:rsidRPr="00F74438">
              <w:rPr>
                <w:rFonts w:ascii="Times New Roman" w:hAnsi="Times New Roman" w:cs="Times New Roman"/>
                <w:sz w:val="24"/>
                <w:lang w:val="en-GB"/>
              </w:rPr>
              <w:t xml:space="preserve">otal balance changes stemming from loans and advances sold to other institutions, excluding intragroup transactions. For the avoidance of doubt, please note that the gross carrying amount of the loans and advances sold is to </w:t>
            </w:r>
            <w:proofErr w:type="gramStart"/>
            <w:r w:rsidRPr="00F74438">
              <w:rPr>
                <w:rFonts w:ascii="Times New Roman" w:hAnsi="Times New Roman" w:cs="Times New Roman"/>
                <w:sz w:val="24"/>
                <w:lang w:val="en-GB"/>
              </w:rPr>
              <w:t xml:space="preserve">be </w:t>
            </w:r>
            <w:r>
              <w:rPr>
                <w:rFonts w:ascii="Times New Roman" w:hAnsi="Times New Roman" w:cs="Times New Roman"/>
                <w:sz w:val="24"/>
                <w:lang w:val="en-GB"/>
              </w:rPr>
              <w:t>disclosed</w:t>
            </w:r>
            <w:proofErr w:type="gramEnd"/>
            <w:r w:rsidRPr="00F74438">
              <w:rPr>
                <w:rFonts w:ascii="Times New Roman" w:hAnsi="Times New Roman" w:cs="Times New Roman"/>
                <w:sz w:val="24"/>
                <w:lang w:val="en-GB"/>
              </w:rPr>
              <w:t xml:space="preserve"> (including any potential accompanying partial write-offs) and not its valuation or price during the transaction. Please also note that outflows might not be equal to the sum of net cumulated recoveries and partial write-offs.</w:t>
            </w:r>
          </w:p>
        </w:tc>
      </w:tr>
      <w:tr w:rsidR="00CD6F4C" w:rsidRPr="00581203" w14:paraId="159ABF89" w14:textId="77777777" w:rsidTr="00CD6F4C">
        <w:trPr>
          <w:trHeight w:val="316"/>
        </w:trPr>
        <w:tc>
          <w:tcPr>
            <w:tcW w:w="1384" w:type="dxa"/>
          </w:tcPr>
          <w:p w14:paraId="596DC492" w14:textId="77777777" w:rsidR="00CD6F4C" w:rsidRPr="0043712F" w:rsidRDefault="00CD6F4C" w:rsidP="00CD6F4C">
            <w:pPr>
              <w:autoSpaceDE w:val="0"/>
              <w:autoSpaceDN w:val="0"/>
              <w:adjustRightInd w:val="0"/>
              <w:rPr>
                <w:rFonts w:ascii="Times New Roman" w:hAnsi="Times New Roman" w:cs="Times New Roman"/>
                <w:color w:val="000000"/>
                <w:sz w:val="24"/>
                <w:lang w:val="en-GB"/>
              </w:rPr>
            </w:pPr>
            <w:r>
              <w:rPr>
                <w:rFonts w:ascii="Times New Roman" w:hAnsi="Times New Roman" w:cs="Times New Roman"/>
                <w:color w:val="000000"/>
                <w:sz w:val="24"/>
                <w:lang w:val="en-GB"/>
              </w:rPr>
              <w:t xml:space="preserve">080 column b </w:t>
            </w:r>
          </w:p>
        </w:tc>
        <w:tc>
          <w:tcPr>
            <w:tcW w:w="7655" w:type="dxa"/>
          </w:tcPr>
          <w:p w14:paraId="631AEA15" w14:textId="77777777" w:rsidR="00CD6F4C" w:rsidRDefault="00CD6F4C" w:rsidP="00CD6F4C">
            <w:pPr>
              <w:autoSpaceDE w:val="0"/>
              <w:autoSpaceDN w:val="0"/>
              <w:adjustRightInd w:val="0"/>
              <w:rPr>
                <w:rFonts w:ascii="Times New Roman" w:hAnsi="Times New Roman" w:cs="Times New Roman"/>
                <w:b/>
                <w:sz w:val="24"/>
                <w:lang w:val="en-GB"/>
              </w:rPr>
            </w:pPr>
            <w:r w:rsidRPr="00F74438">
              <w:rPr>
                <w:rFonts w:ascii="Times New Roman" w:hAnsi="Times New Roman" w:cs="Times New Roman"/>
                <w:b/>
                <w:sz w:val="24"/>
                <w:lang w:val="en-GB"/>
              </w:rPr>
              <w:t>Related net a</w:t>
            </w:r>
            <w:r>
              <w:rPr>
                <w:rFonts w:ascii="Times New Roman" w:hAnsi="Times New Roman" w:cs="Times New Roman"/>
                <w:b/>
                <w:sz w:val="24"/>
                <w:lang w:val="en-GB"/>
              </w:rPr>
              <w:t>ccumulated recoveries</w:t>
            </w:r>
            <w:r w:rsidRPr="00F74438">
              <w:rPr>
                <w:rFonts w:ascii="Times New Roman" w:hAnsi="Times New Roman" w:cs="Times New Roman"/>
                <w:b/>
                <w:sz w:val="24"/>
                <w:lang w:val="en-GB"/>
              </w:rPr>
              <w:t xml:space="preserve"> </w:t>
            </w:r>
          </w:p>
          <w:p w14:paraId="1A9307B1" w14:textId="77777777" w:rsidR="00CD6F4C" w:rsidRPr="00F74438" w:rsidRDefault="00CD6F4C" w:rsidP="00CD6F4C">
            <w:pPr>
              <w:autoSpaceDE w:val="0"/>
              <w:autoSpaceDN w:val="0"/>
              <w:adjustRightInd w:val="0"/>
              <w:spacing w:before="120" w:after="120"/>
              <w:rPr>
                <w:rFonts w:ascii="Times New Roman" w:hAnsi="Times New Roman" w:cs="Times New Roman"/>
                <w:b/>
                <w:sz w:val="24"/>
                <w:lang w:val="en-GB"/>
              </w:rPr>
            </w:pPr>
            <w:r>
              <w:rPr>
                <w:rFonts w:ascii="Times New Roman" w:hAnsi="Times New Roman" w:cs="Times New Roman"/>
                <w:sz w:val="24"/>
                <w:lang w:val="en-GB"/>
              </w:rPr>
              <w:t>C</w:t>
            </w:r>
            <w:r w:rsidRPr="00F74438">
              <w:rPr>
                <w:rFonts w:ascii="Times New Roman" w:hAnsi="Times New Roman" w:cs="Times New Roman"/>
                <w:sz w:val="24"/>
                <w:lang w:val="en-GB"/>
              </w:rPr>
              <w:t>ash recoveries or cash equivalents collected in the context of the sale of loans and advances, net of selling costs, are included in this row.</w:t>
            </w:r>
          </w:p>
        </w:tc>
      </w:tr>
      <w:tr w:rsidR="00CD6F4C" w:rsidRPr="00581203" w14:paraId="5D430234" w14:textId="77777777" w:rsidTr="00CD6F4C">
        <w:trPr>
          <w:trHeight w:val="316"/>
        </w:trPr>
        <w:tc>
          <w:tcPr>
            <w:tcW w:w="1384" w:type="dxa"/>
          </w:tcPr>
          <w:p w14:paraId="6CB2A104" w14:textId="77777777" w:rsidR="00CD6F4C" w:rsidRPr="0043712F" w:rsidRDefault="00CD6F4C" w:rsidP="00CD6F4C">
            <w:pPr>
              <w:autoSpaceDE w:val="0"/>
              <w:autoSpaceDN w:val="0"/>
              <w:adjustRightInd w:val="0"/>
              <w:rPr>
                <w:rFonts w:ascii="Times New Roman" w:hAnsi="Times New Roman" w:cs="Times New Roman"/>
                <w:color w:val="000000"/>
                <w:sz w:val="24"/>
                <w:lang w:val="en-GB"/>
              </w:rPr>
            </w:pPr>
            <w:r>
              <w:rPr>
                <w:rFonts w:ascii="Times New Roman" w:hAnsi="Times New Roman" w:cs="Times New Roman"/>
                <w:color w:val="000000"/>
                <w:sz w:val="24"/>
                <w:lang w:val="en-GB"/>
              </w:rPr>
              <w:t>090</w:t>
            </w:r>
          </w:p>
        </w:tc>
        <w:tc>
          <w:tcPr>
            <w:tcW w:w="7655" w:type="dxa"/>
          </w:tcPr>
          <w:p w14:paraId="1BD803C7" w14:textId="77777777" w:rsidR="00CD6F4C" w:rsidRDefault="00CD6F4C" w:rsidP="00CD6F4C">
            <w:pPr>
              <w:autoSpaceDE w:val="0"/>
              <w:autoSpaceDN w:val="0"/>
              <w:adjustRightInd w:val="0"/>
              <w:rPr>
                <w:rFonts w:ascii="Times New Roman" w:hAnsi="Times New Roman" w:cs="Times New Roman"/>
                <w:b/>
                <w:sz w:val="24"/>
                <w:lang w:val="en-GB"/>
              </w:rPr>
            </w:pPr>
            <w:r>
              <w:rPr>
                <w:rFonts w:ascii="Times New Roman" w:hAnsi="Times New Roman" w:cs="Times New Roman"/>
                <w:b/>
                <w:sz w:val="24"/>
                <w:lang w:val="en-GB"/>
              </w:rPr>
              <w:t>Outflow due to risk transfers</w:t>
            </w:r>
            <w:r w:rsidRPr="00F74438">
              <w:rPr>
                <w:rFonts w:ascii="Times New Roman" w:hAnsi="Times New Roman" w:cs="Times New Roman"/>
                <w:b/>
                <w:sz w:val="24"/>
                <w:lang w:val="en-GB"/>
              </w:rPr>
              <w:t xml:space="preserve"> </w:t>
            </w:r>
          </w:p>
          <w:p w14:paraId="49159D5E" w14:textId="77777777" w:rsidR="00CD6F4C" w:rsidRPr="00F74438" w:rsidRDefault="00CD6F4C" w:rsidP="00CD6F4C">
            <w:pPr>
              <w:autoSpaceDE w:val="0"/>
              <w:autoSpaceDN w:val="0"/>
              <w:adjustRightInd w:val="0"/>
              <w:spacing w:before="120" w:after="120"/>
              <w:rPr>
                <w:rFonts w:ascii="Times New Roman" w:hAnsi="Times New Roman" w:cs="Times New Roman"/>
                <w:b/>
                <w:sz w:val="24"/>
                <w:lang w:val="en-GB"/>
              </w:rPr>
            </w:pPr>
            <w:r>
              <w:rPr>
                <w:rFonts w:ascii="Times New Roman" w:hAnsi="Times New Roman" w:cs="Times New Roman"/>
                <w:sz w:val="24"/>
                <w:lang w:val="en-GB"/>
              </w:rPr>
              <w:t>T</w:t>
            </w:r>
            <w:r w:rsidRPr="00F74438">
              <w:rPr>
                <w:rFonts w:ascii="Times New Roman" w:hAnsi="Times New Roman" w:cs="Times New Roman"/>
                <w:sz w:val="24"/>
                <w:lang w:val="en-GB"/>
              </w:rPr>
              <w:t>he gross reduction in non-performing loans and advances due to securitisation or other risk transfers qualifying for de-recognition from the balance sheet. Please also note that outflows might not be equal to the sum of net cumulated recoveries and partial write-offs.</w:t>
            </w:r>
          </w:p>
        </w:tc>
      </w:tr>
      <w:tr w:rsidR="00CD6F4C" w:rsidRPr="00581203" w14:paraId="3B96DAA3" w14:textId="77777777" w:rsidTr="00CD6F4C">
        <w:trPr>
          <w:trHeight w:val="316"/>
        </w:trPr>
        <w:tc>
          <w:tcPr>
            <w:tcW w:w="1384" w:type="dxa"/>
          </w:tcPr>
          <w:p w14:paraId="6EB863AC" w14:textId="77777777" w:rsidR="00CD6F4C" w:rsidRPr="0043712F" w:rsidRDefault="00CD6F4C" w:rsidP="00CD6F4C">
            <w:pPr>
              <w:autoSpaceDE w:val="0"/>
              <w:autoSpaceDN w:val="0"/>
              <w:adjustRightInd w:val="0"/>
              <w:rPr>
                <w:rFonts w:ascii="Times New Roman" w:hAnsi="Times New Roman" w:cs="Times New Roman"/>
                <w:color w:val="000000"/>
                <w:sz w:val="24"/>
                <w:lang w:val="en-GB"/>
              </w:rPr>
            </w:pPr>
            <w:r>
              <w:rPr>
                <w:rFonts w:ascii="Times New Roman" w:hAnsi="Times New Roman" w:cs="Times New Roman"/>
                <w:color w:val="000000"/>
                <w:sz w:val="24"/>
                <w:lang w:val="en-GB"/>
              </w:rPr>
              <w:t xml:space="preserve">090 column b </w:t>
            </w:r>
          </w:p>
        </w:tc>
        <w:tc>
          <w:tcPr>
            <w:tcW w:w="7655" w:type="dxa"/>
          </w:tcPr>
          <w:p w14:paraId="32D4B512" w14:textId="77777777" w:rsidR="00CD6F4C" w:rsidRDefault="00CD6F4C" w:rsidP="00CD6F4C">
            <w:pPr>
              <w:autoSpaceDE w:val="0"/>
              <w:autoSpaceDN w:val="0"/>
              <w:adjustRightInd w:val="0"/>
              <w:rPr>
                <w:rFonts w:ascii="Times New Roman" w:hAnsi="Times New Roman" w:cs="Times New Roman"/>
                <w:b/>
                <w:sz w:val="24"/>
                <w:lang w:val="en-GB"/>
              </w:rPr>
            </w:pPr>
            <w:r w:rsidRPr="00F74438">
              <w:rPr>
                <w:rFonts w:ascii="Times New Roman" w:hAnsi="Times New Roman" w:cs="Times New Roman"/>
                <w:b/>
                <w:sz w:val="24"/>
                <w:lang w:val="en-GB"/>
              </w:rPr>
              <w:t>Rel</w:t>
            </w:r>
            <w:r>
              <w:rPr>
                <w:rFonts w:ascii="Times New Roman" w:hAnsi="Times New Roman" w:cs="Times New Roman"/>
                <w:b/>
                <w:sz w:val="24"/>
                <w:lang w:val="en-GB"/>
              </w:rPr>
              <w:t>ated net accumulated recoveries</w:t>
            </w:r>
            <w:r w:rsidRPr="00F74438">
              <w:rPr>
                <w:rFonts w:ascii="Times New Roman" w:hAnsi="Times New Roman" w:cs="Times New Roman"/>
                <w:b/>
                <w:sz w:val="24"/>
                <w:lang w:val="en-GB"/>
              </w:rPr>
              <w:t xml:space="preserve"> </w:t>
            </w:r>
          </w:p>
          <w:p w14:paraId="2533497C" w14:textId="77777777" w:rsidR="00CD6F4C" w:rsidRPr="00F74438" w:rsidRDefault="00CD6F4C" w:rsidP="00CD6F4C">
            <w:pPr>
              <w:autoSpaceDE w:val="0"/>
              <w:autoSpaceDN w:val="0"/>
              <w:adjustRightInd w:val="0"/>
              <w:spacing w:before="120" w:after="120"/>
              <w:rPr>
                <w:rFonts w:ascii="Times New Roman" w:hAnsi="Times New Roman" w:cs="Times New Roman"/>
                <w:b/>
                <w:sz w:val="24"/>
                <w:lang w:val="en-GB"/>
              </w:rPr>
            </w:pPr>
            <w:r>
              <w:rPr>
                <w:rFonts w:ascii="Times New Roman" w:hAnsi="Times New Roman" w:cs="Times New Roman"/>
                <w:sz w:val="24"/>
                <w:lang w:val="en-GB"/>
              </w:rPr>
              <w:t>C</w:t>
            </w:r>
            <w:r w:rsidRPr="00F74438">
              <w:rPr>
                <w:rFonts w:ascii="Times New Roman" w:hAnsi="Times New Roman" w:cs="Times New Roman"/>
                <w:sz w:val="24"/>
                <w:lang w:val="en-GB"/>
              </w:rPr>
              <w:t xml:space="preserve">ash recoveries or cash equivalents collected in the context of the outflows due to significant risk transfers are to </w:t>
            </w:r>
            <w:proofErr w:type="gramStart"/>
            <w:r w:rsidRPr="00F74438">
              <w:rPr>
                <w:rFonts w:ascii="Times New Roman" w:hAnsi="Times New Roman" w:cs="Times New Roman"/>
                <w:sz w:val="24"/>
                <w:lang w:val="en-GB"/>
              </w:rPr>
              <w:t xml:space="preserve">be </w:t>
            </w:r>
            <w:r>
              <w:rPr>
                <w:rFonts w:ascii="Times New Roman" w:hAnsi="Times New Roman" w:cs="Times New Roman"/>
                <w:sz w:val="24"/>
                <w:lang w:val="en-GB"/>
              </w:rPr>
              <w:t>disclosed</w:t>
            </w:r>
            <w:proofErr w:type="gramEnd"/>
            <w:r w:rsidRPr="00F74438">
              <w:rPr>
                <w:rFonts w:ascii="Times New Roman" w:hAnsi="Times New Roman" w:cs="Times New Roman"/>
                <w:sz w:val="24"/>
                <w:lang w:val="en-GB"/>
              </w:rPr>
              <w:t xml:space="preserve"> in this row.</w:t>
            </w:r>
          </w:p>
        </w:tc>
      </w:tr>
      <w:tr w:rsidR="00CD6F4C" w:rsidRPr="00581203" w14:paraId="7ED63CAB" w14:textId="77777777" w:rsidTr="00CD6F4C">
        <w:trPr>
          <w:trHeight w:val="316"/>
        </w:trPr>
        <w:tc>
          <w:tcPr>
            <w:tcW w:w="1384" w:type="dxa"/>
          </w:tcPr>
          <w:p w14:paraId="254E68B9" w14:textId="77777777" w:rsidR="00CD6F4C" w:rsidRPr="0043712F" w:rsidRDefault="00CD6F4C" w:rsidP="00CD6F4C">
            <w:pPr>
              <w:autoSpaceDE w:val="0"/>
              <w:autoSpaceDN w:val="0"/>
              <w:adjustRightInd w:val="0"/>
              <w:rPr>
                <w:rFonts w:ascii="Times New Roman" w:hAnsi="Times New Roman" w:cs="Times New Roman"/>
                <w:color w:val="000000"/>
                <w:sz w:val="24"/>
                <w:lang w:val="en-GB"/>
              </w:rPr>
            </w:pPr>
            <w:r>
              <w:rPr>
                <w:rFonts w:ascii="Times New Roman" w:hAnsi="Times New Roman" w:cs="Times New Roman"/>
                <w:color w:val="000000"/>
                <w:sz w:val="24"/>
                <w:lang w:val="en-GB"/>
              </w:rPr>
              <w:t>100</w:t>
            </w:r>
          </w:p>
        </w:tc>
        <w:tc>
          <w:tcPr>
            <w:tcW w:w="7655" w:type="dxa"/>
          </w:tcPr>
          <w:p w14:paraId="4C143BF3" w14:textId="77777777" w:rsidR="00CD6F4C" w:rsidRDefault="00CD6F4C" w:rsidP="00CD6F4C">
            <w:pPr>
              <w:autoSpaceDE w:val="0"/>
              <w:autoSpaceDN w:val="0"/>
              <w:adjustRightInd w:val="0"/>
              <w:rPr>
                <w:rFonts w:ascii="Times New Roman" w:hAnsi="Times New Roman" w:cs="Times New Roman"/>
                <w:b/>
                <w:sz w:val="24"/>
                <w:lang w:val="en-GB"/>
              </w:rPr>
            </w:pPr>
            <w:r>
              <w:rPr>
                <w:rFonts w:ascii="Times New Roman" w:hAnsi="Times New Roman" w:cs="Times New Roman"/>
                <w:b/>
                <w:sz w:val="24"/>
                <w:lang w:val="en-GB"/>
              </w:rPr>
              <w:t>Outflow due to write-offs</w:t>
            </w:r>
            <w:r w:rsidRPr="00F74438">
              <w:rPr>
                <w:rFonts w:ascii="Times New Roman" w:hAnsi="Times New Roman" w:cs="Times New Roman"/>
                <w:b/>
                <w:sz w:val="24"/>
                <w:lang w:val="en-GB"/>
              </w:rPr>
              <w:t xml:space="preserve"> </w:t>
            </w:r>
          </w:p>
          <w:p w14:paraId="3F4CC2B4" w14:textId="77777777" w:rsidR="00CD6F4C" w:rsidRPr="00F74438" w:rsidRDefault="00CD6F4C" w:rsidP="00CD6F4C">
            <w:pPr>
              <w:autoSpaceDE w:val="0"/>
              <w:autoSpaceDN w:val="0"/>
              <w:adjustRightInd w:val="0"/>
              <w:spacing w:before="120" w:after="120"/>
              <w:rPr>
                <w:rFonts w:ascii="Times New Roman" w:hAnsi="Times New Roman" w:cs="Times New Roman"/>
                <w:b/>
                <w:sz w:val="24"/>
                <w:lang w:val="en-GB"/>
              </w:rPr>
            </w:pPr>
            <w:r>
              <w:rPr>
                <w:rFonts w:ascii="Times New Roman" w:hAnsi="Times New Roman" w:cs="Times New Roman"/>
                <w:sz w:val="24"/>
                <w:lang w:val="en-GB"/>
              </w:rPr>
              <w:t>F</w:t>
            </w:r>
            <w:r w:rsidRPr="00F74438">
              <w:rPr>
                <w:rFonts w:ascii="Times New Roman" w:hAnsi="Times New Roman" w:cs="Times New Roman"/>
                <w:sz w:val="24"/>
                <w:lang w:val="en-GB"/>
              </w:rPr>
              <w:t xml:space="preserve">ull or partial write-offs of total loans and advances recorded during the reference period. A write-off (full or partial) constitutes a de-recognition event. Therefore, the gross carrying amount of loans and advances </w:t>
            </w:r>
            <w:proofErr w:type="gramStart"/>
            <w:r w:rsidRPr="00F74438">
              <w:rPr>
                <w:rFonts w:ascii="Times New Roman" w:hAnsi="Times New Roman" w:cs="Times New Roman"/>
                <w:sz w:val="24"/>
                <w:lang w:val="en-GB"/>
              </w:rPr>
              <w:t>is reduced</w:t>
            </w:r>
            <w:proofErr w:type="gramEnd"/>
            <w:r w:rsidRPr="00F74438">
              <w:rPr>
                <w:rFonts w:ascii="Times New Roman" w:hAnsi="Times New Roman" w:cs="Times New Roman"/>
                <w:sz w:val="24"/>
                <w:lang w:val="en-GB"/>
              </w:rPr>
              <w:t xml:space="preserve"> by the amount of the write-offs. For the avoidance of doubt, please note that this row reflects changes in the gross carrying amount of loans and advances, and any potential partial write-offs that have already been </w:t>
            </w:r>
            <w:r>
              <w:rPr>
                <w:rFonts w:ascii="Times New Roman" w:hAnsi="Times New Roman" w:cs="Times New Roman"/>
                <w:sz w:val="24"/>
                <w:lang w:val="en-GB"/>
              </w:rPr>
              <w:t>disclosed</w:t>
            </w:r>
            <w:r w:rsidRPr="00F74438">
              <w:rPr>
                <w:rFonts w:ascii="Times New Roman" w:hAnsi="Times New Roman" w:cs="Times New Roman"/>
                <w:sz w:val="24"/>
                <w:lang w:val="en-GB"/>
              </w:rPr>
              <w:t xml:space="preserve"> in previous rows (e.g. accompanying sale of loans and advances, collateral liquidation, taking possession of collateral or significant risk transfer) </w:t>
            </w:r>
            <w:r w:rsidRPr="00D802E8">
              <w:rPr>
                <w:rFonts w:ascii="Times New Roman" w:hAnsi="Times New Roman" w:cs="Times New Roman"/>
                <w:sz w:val="24"/>
                <w:lang w:val="en-GB"/>
              </w:rPr>
              <w:t>shall</w:t>
            </w:r>
            <w:r w:rsidRPr="00F74438">
              <w:rPr>
                <w:rFonts w:ascii="Times New Roman" w:hAnsi="Times New Roman" w:cs="Times New Roman"/>
                <w:sz w:val="24"/>
                <w:lang w:val="en-GB"/>
              </w:rPr>
              <w:t xml:space="preserve"> not be included in this row. Furthermore, debt forgiveness in the context of forbearance measures, i.e. write-offs for which the amount of debt outstanding from the borrower was cancelled (the </w:t>
            </w:r>
            <w:r>
              <w:rPr>
                <w:rFonts w:ascii="Times New Roman" w:hAnsi="Times New Roman" w:cs="Times New Roman"/>
                <w:sz w:val="24"/>
                <w:lang w:val="en-GB"/>
              </w:rPr>
              <w:t>institution</w:t>
            </w:r>
            <w:r w:rsidRPr="00F74438">
              <w:rPr>
                <w:rFonts w:ascii="Times New Roman" w:hAnsi="Times New Roman" w:cs="Times New Roman"/>
                <w:sz w:val="24"/>
                <w:lang w:val="en-GB"/>
              </w:rPr>
              <w:t xml:space="preserve"> forfeits the right to legally recover it), is also to be included in this category.</w:t>
            </w:r>
          </w:p>
        </w:tc>
      </w:tr>
      <w:tr w:rsidR="00CD6F4C" w:rsidRPr="00581203" w14:paraId="68AB7614" w14:textId="77777777" w:rsidTr="00CD6F4C">
        <w:trPr>
          <w:trHeight w:val="316"/>
        </w:trPr>
        <w:tc>
          <w:tcPr>
            <w:tcW w:w="1384" w:type="dxa"/>
          </w:tcPr>
          <w:p w14:paraId="7BE25EAF" w14:textId="77777777" w:rsidR="00CD6F4C" w:rsidRDefault="00CD6F4C" w:rsidP="00CD6F4C">
            <w:pPr>
              <w:autoSpaceDE w:val="0"/>
              <w:autoSpaceDN w:val="0"/>
              <w:adjustRightInd w:val="0"/>
              <w:rPr>
                <w:rFonts w:ascii="Times New Roman" w:hAnsi="Times New Roman" w:cs="Times New Roman"/>
                <w:color w:val="000000"/>
                <w:sz w:val="24"/>
                <w:lang w:val="en-GB"/>
              </w:rPr>
            </w:pPr>
            <w:r>
              <w:rPr>
                <w:rFonts w:ascii="Times New Roman" w:hAnsi="Times New Roman" w:cs="Times New Roman"/>
                <w:color w:val="000000"/>
                <w:sz w:val="24"/>
                <w:lang w:val="en-GB"/>
              </w:rPr>
              <w:t>110</w:t>
            </w:r>
          </w:p>
        </w:tc>
        <w:tc>
          <w:tcPr>
            <w:tcW w:w="7655" w:type="dxa"/>
          </w:tcPr>
          <w:p w14:paraId="36575570" w14:textId="77777777" w:rsidR="00CD6F4C" w:rsidRPr="00F74438" w:rsidRDefault="00CD6F4C" w:rsidP="00CD6F4C">
            <w:pPr>
              <w:autoSpaceDE w:val="0"/>
              <w:autoSpaceDN w:val="0"/>
              <w:adjustRightInd w:val="0"/>
              <w:rPr>
                <w:rFonts w:ascii="Times New Roman" w:hAnsi="Times New Roman" w:cs="Times New Roman"/>
                <w:b/>
                <w:sz w:val="24"/>
                <w:lang w:val="en-GB"/>
              </w:rPr>
            </w:pPr>
            <w:r w:rsidRPr="00F74438">
              <w:rPr>
                <w:rFonts w:ascii="Times New Roman" w:hAnsi="Times New Roman" w:cs="Times New Roman"/>
                <w:b/>
                <w:sz w:val="24"/>
                <w:lang w:val="en-GB"/>
              </w:rPr>
              <w:t xml:space="preserve">Outflow due to other situations </w:t>
            </w:r>
          </w:p>
          <w:p w14:paraId="4F7578E3" w14:textId="77777777" w:rsidR="00CD6F4C" w:rsidRDefault="00CD6F4C" w:rsidP="00CD6F4C">
            <w:pPr>
              <w:autoSpaceDE w:val="0"/>
              <w:autoSpaceDN w:val="0"/>
              <w:adjustRightInd w:val="0"/>
              <w:spacing w:before="120" w:after="120"/>
              <w:rPr>
                <w:rFonts w:ascii="Times New Roman" w:hAnsi="Times New Roman" w:cs="Times New Roman"/>
                <w:b/>
                <w:sz w:val="24"/>
                <w:lang w:val="en-GB"/>
              </w:rPr>
            </w:pPr>
            <w:r>
              <w:rPr>
                <w:rFonts w:ascii="Times New Roman" w:hAnsi="Times New Roman" w:cs="Times New Roman"/>
                <w:sz w:val="24"/>
                <w:lang w:val="en-GB"/>
              </w:rPr>
              <w:t>A</w:t>
            </w:r>
            <w:r w:rsidRPr="00F74438">
              <w:rPr>
                <w:rFonts w:ascii="Times New Roman" w:hAnsi="Times New Roman" w:cs="Times New Roman"/>
                <w:sz w:val="24"/>
                <w:lang w:val="en-GB"/>
              </w:rPr>
              <w:t xml:space="preserve">ny other decreases to the carrying amount of loans and advances that </w:t>
            </w:r>
            <w:proofErr w:type="gramStart"/>
            <w:r w:rsidRPr="00F74438">
              <w:rPr>
                <w:rFonts w:ascii="Times New Roman" w:hAnsi="Times New Roman" w:cs="Times New Roman"/>
                <w:sz w:val="24"/>
                <w:lang w:val="en-GB"/>
              </w:rPr>
              <w:t>are not covered</w:t>
            </w:r>
            <w:proofErr w:type="gramEnd"/>
            <w:r w:rsidRPr="00F74438">
              <w:rPr>
                <w:rFonts w:ascii="Times New Roman" w:hAnsi="Times New Roman" w:cs="Times New Roman"/>
                <w:sz w:val="24"/>
                <w:lang w:val="en-GB"/>
              </w:rPr>
              <w:t xml:space="preserve"> by the events mentioned above </w:t>
            </w:r>
            <w:r w:rsidRPr="00D802E8">
              <w:rPr>
                <w:rFonts w:ascii="Times New Roman" w:hAnsi="Times New Roman" w:cs="Times New Roman"/>
                <w:sz w:val="24"/>
                <w:lang w:val="en-GB"/>
              </w:rPr>
              <w:t>shall</w:t>
            </w:r>
            <w:r w:rsidRPr="00F74438">
              <w:rPr>
                <w:rFonts w:ascii="Times New Roman" w:hAnsi="Times New Roman" w:cs="Times New Roman"/>
                <w:sz w:val="24"/>
                <w:lang w:val="en-GB"/>
              </w:rPr>
              <w:t xml:space="preserve"> be included in this row. Those adjustments might include, for instance, FX changes, other closure </w:t>
            </w:r>
            <w:r w:rsidRPr="00F74438">
              <w:rPr>
                <w:rFonts w:ascii="Times New Roman" w:hAnsi="Times New Roman" w:cs="Times New Roman"/>
                <w:sz w:val="24"/>
                <w:lang w:val="en-GB"/>
              </w:rPr>
              <w:lastRenderedPageBreak/>
              <w:t xml:space="preserve">actions, reclassifications between asset classes, etc. Where the amount for this category is significant, </w:t>
            </w:r>
            <w:r w:rsidRPr="00746515">
              <w:rPr>
                <w:rFonts w:ascii="Times New Roman" w:hAnsi="Times New Roman" w:cs="Times New Roman"/>
                <w:sz w:val="24"/>
                <w:lang w:val="en-GB"/>
              </w:rPr>
              <w:t xml:space="preserve">institutions </w:t>
            </w:r>
            <w:proofErr w:type="gramStart"/>
            <w:r w:rsidRPr="00746515">
              <w:rPr>
                <w:rFonts w:ascii="Times New Roman" w:hAnsi="Times New Roman" w:cs="Times New Roman"/>
                <w:sz w:val="24"/>
                <w:lang w:val="en-GB"/>
              </w:rPr>
              <w:t>are asked</w:t>
            </w:r>
            <w:proofErr w:type="gramEnd"/>
            <w:r w:rsidRPr="00746515">
              <w:rPr>
                <w:rFonts w:ascii="Times New Roman" w:hAnsi="Times New Roman" w:cs="Times New Roman"/>
                <w:sz w:val="24"/>
                <w:lang w:val="en-GB"/>
              </w:rPr>
              <w:t xml:space="preserve"> to provide additional information in the narrative accompanying this template.</w:t>
            </w:r>
          </w:p>
        </w:tc>
      </w:tr>
      <w:tr w:rsidR="00CD6F4C" w:rsidRPr="00581203" w14:paraId="3DC6C045" w14:textId="77777777" w:rsidTr="00CD6F4C">
        <w:trPr>
          <w:trHeight w:val="316"/>
        </w:trPr>
        <w:tc>
          <w:tcPr>
            <w:tcW w:w="1384" w:type="dxa"/>
          </w:tcPr>
          <w:p w14:paraId="14DDC066" w14:textId="77777777" w:rsidR="00CD6F4C" w:rsidRPr="0043712F" w:rsidRDefault="00CD6F4C" w:rsidP="00CD6F4C">
            <w:pPr>
              <w:autoSpaceDE w:val="0"/>
              <w:autoSpaceDN w:val="0"/>
              <w:adjustRightInd w:val="0"/>
              <w:rPr>
                <w:rFonts w:ascii="Times New Roman" w:hAnsi="Times New Roman" w:cs="Times New Roman"/>
                <w:color w:val="000000"/>
                <w:sz w:val="24"/>
                <w:lang w:val="en-GB"/>
              </w:rPr>
            </w:pPr>
            <w:r>
              <w:rPr>
                <w:rFonts w:ascii="Times New Roman" w:hAnsi="Times New Roman" w:cs="Times New Roman"/>
                <w:color w:val="000000"/>
                <w:sz w:val="24"/>
                <w:lang w:val="en-GB"/>
              </w:rPr>
              <w:lastRenderedPageBreak/>
              <w:t>120</w:t>
            </w:r>
          </w:p>
        </w:tc>
        <w:tc>
          <w:tcPr>
            <w:tcW w:w="7655" w:type="dxa"/>
          </w:tcPr>
          <w:p w14:paraId="1A2AC872" w14:textId="77777777" w:rsidR="00CD6F4C" w:rsidRDefault="00CD6F4C" w:rsidP="00CD6F4C">
            <w:pPr>
              <w:autoSpaceDE w:val="0"/>
              <w:autoSpaceDN w:val="0"/>
              <w:adjustRightInd w:val="0"/>
              <w:rPr>
                <w:rFonts w:ascii="Times New Roman" w:hAnsi="Times New Roman" w:cs="Times New Roman"/>
                <w:b/>
                <w:sz w:val="24"/>
                <w:lang w:val="en-GB"/>
              </w:rPr>
            </w:pPr>
            <w:r w:rsidRPr="00F74438">
              <w:rPr>
                <w:rFonts w:ascii="Times New Roman" w:hAnsi="Times New Roman" w:cs="Times New Roman"/>
                <w:b/>
                <w:sz w:val="24"/>
                <w:lang w:val="en-GB"/>
              </w:rPr>
              <w:t>Outflow due to re</w:t>
            </w:r>
            <w:r>
              <w:rPr>
                <w:rFonts w:ascii="Times New Roman" w:hAnsi="Times New Roman" w:cs="Times New Roman"/>
                <w:b/>
                <w:sz w:val="24"/>
                <w:lang w:val="en-GB"/>
              </w:rPr>
              <w:t>classification as held for sale</w:t>
            </w:r>
            <w:r w:rsidRPr="00F74438">
              <w:rPr>
                <w:rFonts w:ascii="Times New Roman" w:hAnsi="Times New Roman" w:cs="Times New Roman"/>
                <w:b/>
                <w:sz w:val="24"/>
                <w:lang w:val="en-GB"/>
              </w:rPr>
              <w:t xml:space="preserve"> </w:t>
            </w:r>
          </w:p>
          <w:p w14:paraId="76588A83" w14:textId="77777777" w:rsidR="00CD6F4C" w:rsidRPr="00F74438" w:rsidRDefault="00CD6F4C" w:rsidP="00CD6F4C">
            <w:pPr>
              <w:autoSpaceDE w:val="0"/>
              <w:autoSpaceDN w:val="0"/>
              <w:adjustRightInd w:val="0"/>
              <w:spacing w:before="120" w:after="120"/>
              <w:rPr>
                <w:rFonts w:ascii="Times New Roman" w:hAnsi="Times New Roman" w:cs="Times New Roman"/>
                <w:b/>
                <w:sz w:val="24"/>
                <w:lang w:val="en-GB"/>
              </w:rPr>
            </w:pPr>
            <w:r>
              <w:rPr>
                <w:rFonts w:ascii="Times New Roman" w:hAnsi="Times New Roman" w:cs="Times New Roman"/>
                <w:sz w:val="24"/>
                <w:lang w:val="en-GB"/>
              </w:rPr>
              <w:t>D</w:t>
            </w:r>
            <w:r w:rsidRPr="00F74438">
              <w:rPr>
                <w:rFonts w:ascii="Times New Roman" w:hAnsi="Times New Roman" w:cs="Times New Roman"/>
                <w:sz w:val="24"/>
                <w:lang w:val="en-GB"/>
              </w:rPr>
              <w:t>ecreases to the carrying amount of non-performing loans and advances due to their reclassification as instruments held for sale.</w:t>
            </w:r>
          </w:p>
        </w:tc>
      </w:tr>
      <w:tr w:rsidR="00CD6F4C" w:rsidRPr="00581203" w14:paraId="37B94A16" w14:textId="77777777" w:rsidTr="00CD6F4C">
        <w:trPr>
          <w:trHeight w:val="316"/>
        </w:trPr>
        <w:tc>
          <w:tcPr>
            <w:tcW w:w="1384" w:type="dxa"/>
          </w:tcPr>
          <w:p w14:paraId="0CCAFA80" w14:textId="77777777" w:rsidR="00CD6F4C" w:rsidRDefault="00CD6F4C" w:rsidP="00CD6F4C">
            <w:pPr>
              <w:autoSpaceDE w:val="0"/>
              <w:autoSpaceDN w:val="0"/>
              <w:adjustRightInd w:val="0"/>
              <w:rPr>
                <w:rFonts w:ascii="Times New Roman" w:hAnsi="Times New Roman" w:cs="Times New Roman"/>
                <w:color w:val="000000"/>
                <w:sz w:val="24"/>
                <w:lang w:val="en-GB"/>
              </w:rPr>
            </w:pPr>
            <w:r>
              <w:rPr>
                <w:rFonts w:ascii="Times New Roman" w:hAnsi="Times New Roman" w:cs="Times New Roman"/>
                <w:color w:val="000000"/>
                <w:sz w:val="24"/>
                <w:lang w:val="en-GB"/>
              </w:rPr>
              <w:t>130</w:t>
            </w:r>
          </w:p>
        </w:tc>
        <w:tc>
          <w:tcPr>
            <w:tcW w:w="7655" w:type="dxa"/>
          </w:tcPr>
          <w:p w14:paraId="61F8B566" w14:textId="77777777" w:rsidR="00CD6F4C" w:rsidRDefault="00CD6F4C" w:rsidP="00CD6F4C">
            <w:pPr>
              <w:autoSpaceDE w:val="0"/>
              <w:autoSpaceDN w:val="0"/>
              <w:adjustRightInd w:val="0"/>
              <w:rPr>
                <w:rFonts w:ascii="Times New Roman" w:hAnsi="Times New Roman" w:cs="Times New Roman"/>
                <w:b/>
                <w:sz w:val="24"/>
                <w:lang w:val="en-GB"/>
              </w:rPr>
            </w:pPr>
            <w:r>
              <w:rPr>
                <w:rFonts w:ascii="Times New Roman" w:hAnsi="Times New Roman" w:cs="Times New Roman"/>
                <w:b/>
                <w:sz w:val="24"/>
                <w:lang w:val="en-GB"/>
              </w:rPr>
              <w:t>Final stock of non-performing loans and advances</w:t>
            </w:r>
          </w:p>
          <w:p w14:paraId="1D53ED0A" w14:textId="09F037BA" w:rsidR="00CD6F4C" w:rsidRPr="00F74438" w:rsidRDefault="009626F1" w:rsidP="009626F1">
            <w:pPr>
              <w:autoSpaceDE w:val="0"/>
              <w:autoSpaceDN w:val="0"/>
              <w:adjustRightInd w:val="0"/>
              <w:rPr>
                <w:rFonts w:ascii="Times New Roman" w:hAnsi="Times New Roman" w:cs="Times New Roman"/>
                <w:b/>
                <w:sz w:val="24"/>
                <w:lang w:val="en-GB"/>
              </w:rPr>
            </w:pPr>
            <w:r>
              <w:rPr>
                <w:rFonts w:ascii="Times New Roman" w:hAnsi="Times New Roman" w:cs="Times New Roman"/>
                <w:sz w:val="24"/>
                <w:lang w:val="en-GB"/>
              </w:rPr>
              <w:t>T</w:t>
            </w:r>
            <w:r w:rsidRPr="001625E5">
              <w:rPr>
                <w:rFonts w:ascii="Times New Roman" w:hAnsi="Times New Roman" w:cs="Times New Roman"/>
                <w:sz w:val="24"/>
                <w:lang w:val="en-GB"/>
              </w:rPr>
              <w:t xml:space="preserve">he gross carrying amount of the stock of non-performing loans and advances at the </w:t>
            </w:r>
            <w:r>
              <w:rPr>
                <w:rFonts w:ascii="Times New Roman" w:hAnsi="Times New Roman" w:cs="Times New Roman"/>
                <w:sz w:val="24"/>
                <w:lang w:val="en-GB"/>
              </w:rPr>
              <w:t>disclosure reference date</w:t>
            </w:r>
            <w:r w:rsidRPr="001625E5">
              <w:rPr>
                <w:rFonts w:ascii="Times New Roman" w:hAnsi="Times New Roman" w:cs="Times New Roman"/>
                <w:sz w:val="24"/>
                <w:lang w:val="en-GB"/>
              </w:rPr>
              <w:t>.</w:t>
            </w:r>
          </w:p>
        </w:tc>
      </w:tr>
    </w:tbl>
    <w:p w14:paraId="5A5C0356" w14:textId="77777777" w:rsidR="00CD6F4C" w:rsidRPr="0043712F" w:rsidRDefault="00CD6F4C" w:rsidP="00CD6F4C">
      <w:pPr>
        <w:rPr>
          <w:rFonts w:ascii="Times New Roman" w:hAnsi="Times New Roman" w:cs="Times New Roman"/>
          <w:sz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CD6F4C" w:rsidRPr="00581203" w14:paraId="624922AC" w14:textId="77777777" w:rsidTr="00CD6F4C">
        <w:trPr>
          <w:trHeight w:val="238"/>
        </w:trPr>
        <w:tc>
          <w:tcPr>
            <w:tcW w:w="9039" w:type="dxa"/>
            <w:gridSpan w:val="2"/>
            <w:shd w:val="clear" w:color="auto" w:fill="D9D9D9" w:themeFill="background1" w:themeFillShade="D9"/>
          </w:tcPr>
          <w:p w14:paraId="16F8CFD0" w14:textId="77777777" w:rsidR="00CD6F4C" w:rsidRPr="00581203" w:rsidRDefault="00CD6F4C" w:rsidP="00CD6F4C">
            <w:pPr>
              <w:autoSpaceDE w:val="0"/>
              <w:autoSpaceDN w:val="0"/>
              <w:adjustRightInd w:val="0"/>
              <w:rPr>
                <w:rFonts w:ascii="Times New Roman" w:hAnsi="Times New Roman" w:cs="Times New Roman"/>
                <w:b/>
                <w:sz w:val="24"/>
                <w:lang w:val="en-GB"/>
              </w:rPr>
            </w:pPr>
            <w:r w:rsidRPr="00581203">
              <w:rPr>
                <w:rFonts w:ascii="Times New Roman" w:hAnsi="Times New Roman" w:cs="Times New Roman"/>
                <w:b/>
                <w:sz w:val="24"/>
                <w:lang w:val="en-GB"/>
              </w:rPr>
              <w:t>Legal references and instructions</w:t>
            </w:r>
          </w:p>
        </w:tc>
      </w:tr>
      <w:tr w:rsidR="00CD6F4C" w:rsidRPr="00581203" w14:paraId="0A1DF2D0" w14:textId="77777777" w:rsidTr="00CD6F4C">
        <w:trPr>
          <w:trHeight w:val="238"/>
        </w:trPr>
        <w:tc>
          <w:tcPr>
            <w:tcW w:w="1384" w:type="dxa"/>
            <w:shd w:val="clear" w:color="auto" w:fill="D9D9D9" w:themeFill="background1" w:themeFillShade="D9"/>
          </w:tcPr>
          <w:p w14:paraId="2AC3FE99" w14:textId="77777777" w:rsidR="00CD6F4C" w:rsidRPr="00581203" w:rsidRDefault="00CD6F4C" w:rsidP="00CD6F4C">
            <w:pPr>
              <w:autoSpaceDE w:val="0"/>
              <w:autoSpaceDN w:val="0"/>
              <w:adjustRightInd w:val="0"/>
              <w:rPr>
                <w:rFonts w:ascii="Times New Roman" w:hAnsi="Times New Roman" w:cs="Times New Roman"/>
                <w:b/>
                <w:sz w:val="24"/>
                <w:lang w:val="en-GB"/>
              </w:rPr>
            </w:pPr>
            <w:r w:rsidRPr="00F74438">
              <w:rPr>
                <w:rFonts w:ascii="Times New Roman" w:hAnsi="Times New Roman" w:cs="Times New Roman"/>
                <w:b/>
                <w:sz w:val="24"/>
                <w:lang w:val="en-GB"/>
              </w:rPr>
              <w:t>Column number</w:t>
            </w:r>
          </w:p>
        </w:tc>
        <w:tc>
          <w:tcPr>
            <w:tcW w:w="7655" w:type="dxa"/>
            <w:shd w:val="clear" w:color="auto" w:fill="D9D9D9" w:themeFill="background1" w:themeFillShade="D9"/>
          </w:tcPr>
          <w:p w14:paraId="3C0AEC74" w14:textId="77777777" w:rsidR="00CD6F4C" w:rsidRPr="004D3597" w:rsidRDefault="00CD6F4C" w:rsidP="00CD6F4C">
            <w:pPr>
              <w:autoSpaceDE w:val="0"/>
              <w:autoSpaceDN w:val="0"/>
              <w:adjustRightInd w:val="0"/>
              <w:rPr>
                <w:rFonts w:ascii="Times New Roman" w:hAnsi="Times New Roman" w:cs="Times New Roman"/>
                <w:b/>
                <w:sz w:val="24"/>
                <w:lang w:val="en-GB"/>
              </w:rPr>
            </w:pPr>
            <w:r w:rsidRPr="00581203">
              <w:rPr>
                <w:rFonts w:ascii="Times New Roman" w:hAnsi="Times New Roman" w:cs="Times New Roman"/>
                <w:b/>
                <w:sz w:val="24"/>
                <w:lang w:val="en-GB"/>
              </w:rPr>
              <w:t>Explanation</w:t>
            </w:r>
          </w:p>
        </w:tc>
      </w:tr>
      <w:tr w:rsidR="00CD6F4C" w:rsidRPr="00581203" w14:paraId="2D17B328" w14:textId="77777777" w:rsidTr="00CD6F4C">
        <w:trPr>
          <w:trHeight w:val="841"/>
        </w:trPr>
        <w:tc>
          <w:tcPr>
            <w:tcW w:w="1384" w:type="dxa"/>
          </w:tcPr>
          <w:p w14:paraId="39F8D2C8" w14:textId="77777777" w:rsidR="00CD6F4C" w:rsidRPr="00581203" w:rsidRDefault="00CD6F4C" w:rsidP="00CD6F4C">
            <w:pPr>
              <w:pStyle w:val="Applicationdirecte"/>
              <w:spacing w:before="120"/>
            </w:pPr>
            <w:r>
              <w:t>a</w:t>
            </w:r>
          </w:p>
        </w:tc>
        <w:tc>
          <w:tcPr>
            <w:tcW w:w="7655" w:type="dxa"/>
          </w:tcPr>
          <w:p w14:paraId="19BB057F" w14:textId="77777777" w:rsidR="00CD6F4C" w:rsidRDefault="00CD6F4C" w:rsidP="00CD6F4C">
            <w:pPr>
              <w:pStyle w:val="Fait"/>
              <w:spacing w:after="120"/>
              <w:rPr>
                <w:rFonts w:eastAsiaTheme="minorEastAsia"/>
                <w:b/>
              </w:rPr>
            </w:pPr>
            <w:r w:rsidRPr="00224E28">
              <w:rPr>
                <w:rFonts w:eastAsiaTheme="minorEastAsia"/>
                <w:b/>
              </w:rPr>
              <w:t xml:space="preserve">Gross carrying amount </w:t>
            </w:r>
          </w:p>
          <w:p w14:paraId="36CE8D83" w14:textId="0B80807F" w:rsidR="00CD6F4C" w:rsidRPr="00224E28" w:rsidRDefault="00CD6F4C" w:rsidP="00CD6F4C">
            <w:pPr>
              <w:autoSpaceDE w:val="0"/>
              <w:autoSpaceDN w:val="0"/>
              <w:adjustRightInd w:val="0"/>
              <w:spacing w:before="120" w:after="120"/>
            </w:pPr>
            <w:r w:rsidRPr="00506580">
              <w:rPr>
                <w:rFonts w:ascii="Times New Roman" w:hAnsi="Times New Roman" w:cs="Times New Roman"/>
                <w:sz w:val="24"/>
                <w:lang w:val="en-GB"/>
              </w:rPr>
              <w:t>Gross carrying amount as defined in paragraph 34 of Part 1 of Annex V to Commission Implementing Regulation (EU</w:t>
            </w:r>
            <w:proofErr w:type="gramStart"/>
            <w:r w:rsidRPr="00506580">
              <w:rPr>
                <w:rFonts w:ascii="Times New Roman" w:hAnsi="Times New Roman" w:cs="Times New Roman"/>
                <w:sz w:val="24"/>
                <w:lang w:val="en-GB"/>
              </w:rPr>
              <w:t>)  680</w:t>
            </w:r>
            <w:proofErr w:type="gramEnd"/>
            <w:r w:rsidRPr="00506580">
              <w:rPr>
                <w:rFonts w:ascii="Times New Roman" w:hAnsi="Times New Roman" w:cs="Times New Roman"/>
                <w:sz w:val="24"/>
                <w:lang w:val="en-GB"/>
              </w:rPr>
              <w:t>/2014.</w:t>
            </w:r>
          </w:p>
        </w:tc>
      </w:tr>
      <w:tr w:rsidR="00CD6F4C" w:rsidRPr="00581203" w14:paraId="1E589CBC" w14:textId="77777777" w:rsidTr="00CD6F4C">
        <w:trPr>
          <w:trHeight w:val="841"/>
        </w:trPr>
        <w:tc>
          <w:tcPr>
            <w:tcW w:w="1384" w:type="dxa"/>
          </w:tcPr>
          <w:p w14:paraId="0140D3D6" w14:textId="77777777" w:rsidR="00CD6F4C" w:rsidRDefault="00CD6F4C" w:rsidP="00CD6F4C">
            <w:pPr>
              <w:pStyle w:val="Applicationdirecte"/>
              <w:spacing w:before="120"/>
            </w:pPr>
            <w:r>
              <w:t>b</w:t>
            </w:r>
          </w:p>
        </w:tc>
        <w:tc>
          <w:tcPr>
            <w:tcW w:w="7655" w:type="dxa"/>
          </w:tcPr>
          <w:p w14:paraId="2F0B651A" w14:textId="77777777" w:rsidR="00CD6F4C" w:rsidRDefault="00CD6F4C" w:rsidP="00CD6F4C">
            <w:pPr>
              <w:pStyle w:val="Fait"/>
              <w:spacing w:after="120"/>
              <w:rPr>
                <w:rFonts w:eastAsiaTheme="minorEastAsia"/>
                <w:b/>
              </w:rPr>
            </w:pPr>
            <w:r w:rsidRPr="00BE4BE2">
              <w:rPr>
                <w:rFonts w:eastAsiaTheme="minorEastAsia"/>
                <w:b/>
              </w:rPr>
              <w:t>Related net accumulated recoveries</w:t>
            </w:r>
          </w:p>
          <w:p w14:paraId="63325E4D" w14:textId="77777777" w:rsidR="00CD6F4C" w:rsidRPr="00451ED7" w:rsidRDefault="00CD6F4C" w:rsidP="00CD6F4C">
            <w:pPr>
              <w:autoSpaceDE w:val="0"/>
              <w:autoSpaceDN w:val="0"/>
              <w:adjustRightInd w:val="0"/>
              <w:spacing w:before="120" w:after="120"/>
            </w:pPr>
            <w:r>
              <w:rPr>
                <w:rFonts w:ascii="Times New Roman" w:hAnsi="Times New Roman" w:cs="Times New Roman"/>
                <w:sz w:val="24"/>
                <w:lang w:val="en-GB"/>
              </w:rPr>
              <w:t>Pl</w:t>
            </w:r>
            <w:r w:rsidRPr="00451ED7">
              <w:rPr>
                <w:rFonts w:ascii="Times New Roman" w:hAnsi="Times New Roman" w:cs="Times New Roman"/>
                <w:sz w:val="24"/>
                <w:lang w:val="en-GB"/>
              </w:rPr>
              <w:t xml:space="preserve">ease refer to the definitions </w:t>
            </w:r>
            <w:r>
              <w:rPr>
                <w:rFonts w:ascii="Times New Roman" w:hAnsi="Times New Roman" w:cs="Times New Roman"/>
                <w:sz w:val="24"/>
                <w:lang w:val="en-GB"/>
              </w:rPr>
              <w:t>for</w:t>
            </w:r>
            <w:r w:rsidRPr="00451ED7">
              <w:rPr>
                <w:rFonts w:ascii="Times New Roman" w:hAnsi="Times New Roman" w:cs="Times New Roman"/>
                <w:sz w:val="24"/>
                <w:lang w:val="en-GB"/>
              </w:rPr>
              <w:t xml:space="preserve"> the rows</w:t>
            </w:r>
            <w:r>
              <w:rPr>
                <w:rFonts w:ascii="Times New Roman" w:hAnsi="Times New Roman" w:cs="Times New Roman"/>
                <w:sz w:val="24"/>
                <w:lang w:val="en-GB"/>
              </w:rPr>
              <w:t xml:space="preserve"> in this template.</w:t>
            </w:r>
          </w:p>
        </w:tc>
      </w:tr>
      <w:bookmarkEnd w:id="0"/>
      <w:bookmarkEnd w:id="1"/>
      <w:bookmarkEnd w:id="2"/>
      <w:bookmarkEnd w:id="3"/>
      <w:bookmarkEnd w:id="4"/>
      <w:bookmarkEnd w:id="5"/>
      <w:bookmarkEnd w:id="6"/>
      <w:bookmarkEnd w:id="7"/>
      <w:bookmarkEnd w:id="8"/>
      <w:bookmarkEnd w:id="9"/>
    </w:tbl>
    <w:p w14:paraId="7685B4C3" w14:textId="77777777" w:rsidR="003F2051" w:rsidRDefault="003F2051" w:rsidP="00AB3A69">
      <w:pPr>
        <w:autoSpaceDE w:val="0"/>
        <w:autoSpaceDN w:val="0"/>
        <w:adjustRightInd w:val="0"/>
        <w:rPr>
          <w:rFonts w:ascii="Times New Roman" w:hAnsi="Times New Roman" w:cs="Times New Roman"/>
          <w:b/>
          <w:sz w:val="24"/>
          <w:lang w:val="en-GB"/>
        </w:rPr>
      </w:pPr>
    </w:p>
    <w:p w14:paraId="3D305871" w14:textId="77777777" w:rsidR="002331E4" w:rsidRPr="00B256E9" w:rsidRDefault="002331E4" w:rsidP="00FD04D2">
      <w:pPr>
        <w:autoSpaceDE w:val="0"/>
        <w:autoSpaceDN w:val="0"/>
        <w:adjustRightInd w:val="0"/>
        <w:spacing w:after="120"/>
        <w:rPr>
          <w:rFonts w:ascii="Times New Roman" w:hAnsi="Times New Roman" w:cs="Times New Roman"/>
          <w:b/>
          <w:sz w:val="24"/>
          <w:lang w:val="en-GB"/>
        </w:rPr>
      </w:pPr>
    </w:p>
    <w:p w14:paraId="445C2ED1" w14:textId="77777777" w:rsidR="00105CC4" w:rsidRDefault="00105CC4" w:rsidP="00FD04D2">
      <w:pPr>
        <w:autoSpaceDE w:val="0"/>
        <w:autoSpaceDN w:val="0"/>
        <w:adjustRightInd w:val="0"/>
        <w:spacing w:after="120"/>
        <w:rPr>
          <w:rFonts w:ascii="Times New Roman" w:hAnsi="Times New Roman" w:cs="Times New Roman"/>
          <w:b/>
          <w:sz w:val="24"/>
          <w:lang w:val="en-GB"/>
        </w:rPr>
      </w:pPr>
    </w:p>
    <w:p w14:paraId="2CF05896" w14:textId="1301BA7E" w:rsidR="00AB3A69" w:rsidRDefault="00AB3A69" w:rsidP="00FD04D2">
      <w:pPr>
        <w:autoSpaceDE w:val="0"/>
        <w:autoSpaceDN w:val="0"/>
        <w:adjustRightInd w:val="0"/>
        <w:spacing w:after="120"/>
        <w:rPr>
          <w:rFonts w:ascii="Times New Roman" w:hAnsi="Times New Roman" w:cs="Times New Roman"/>
          <w:b/>
          <w:sz w:val="24"/>
          <w:lang w:val="en-GB"/>
        </w:rPr>
      </w:pPr>
      <w:r>
        <w:rPr>
          <w:rFonts w:ascii="Times New Roman" w:hAnsi="Times New Roman" w:cs="Times New Roman"/>
          <w:b/>
          <w:sz w:val="24"/>
          <w:lang w:val="en-GB"/>
        </w:rPr>
        <w:t>Template EU CQ</w:t>
      </w:r>
      <w:r w:rsidRPr="00581203">
        <w:rPr>
          <w:rFonts w:ascii="Times New Roman" w:hAnsi="Times New Roman" w:cs="Times New Roman"/>
          <w:b/>
          <w:sz w:val="24"/>
          <w:lang w:val="en-GB"/>
        </w:rPr>
        <w:t xml:space="preserve">1: </w:t>
      </w:r>
      <w:r w:rsidRPr="0043712F">
        <w:rPr>
          <w:rFonts w:ascii="Times New Roman" w:hAnsi="Times New Roman" w:cs="Times New Roman"/>
          <w:b/>
          <w:sz w:val="24"/>
          <w:lang w:val="en-GB"/>
        </w:rPr>
        <w:t>Credit quality of forborne exposures</w:t>
      </w:r>
    </w:p>
    <w:p w14:paraId="1B83388D" w14:textId="77777777" w:rsidR="00AB3A69" w:rsidRDefault="00AB3A69" w:rsidP="00AB3A69">
      <w:pPr>
        <w:autoSpaceDE w:val="0"/>
        <w:autoSpaceDN w:val="0"/>
        <w:adjustRightInd w:val="0"/>
        <w:rPr>
          <w:rFonts w:ascii="Times New Roman" w:hAnsi="Times New Roman" w:cs="Times New Roman"/>
          <w:b/>
          <w:sz w:val="24"/>
          <w:lang w:val="en-GB"/>
        </w:rPr>
      </w:pPr>
    </w:p>
    <w:p w14:paraId="141D4CB2" w14:textId="091E33DC" w:rsidR="00AB3A69" w:rsidRPr="00B05C6E" w:rsidRDefault="00AB3A69" w:rsidP="00B37E88">
      <w:pPr>
        <w:pStyle w:val="ListParagraph"/>
        <w:numPr>
          <w:ilvl w:val="0"/>
          <w:numId w:val="45"/>
        </w:numPr>
        <w:rPr>
          <w:rFonts w:ascii="Times New Roman" w:hAnsi="Times New Roman"/>
          <w:bCs/>
          <w:sz w:val="24"/>
        </w:rPr>
      </w:pPr>
      <w:r w:rsidRPr="00B05C6E">
        <w:rPr>
          <w:rFonts w:ascii="Times New Roman" w:hAnsi="Times New Roman"/>
          <w:bCs/>
          <w:sz w:val="24"/>
        </w:rPr>
        <w:t>Institutions shall apply the instructions provided below in order to complete template EU CQ1</w:t>
      </w:r>
      <w:r w:rsidR="008B36A8" w:rsidRPr="00B05C6E">
        <w:rPr>
          <w:rFonts w:ascii="Times New Roman" w:hAnsi="Times New Roman"/>
          <w:bCs/>
          <w:sz w:val="24"/>
        </w:rPr>
        <w:t xml:space="preserve"> </w:t>
      </w:r>
      <w:r w:rsidRPr="00B05C6E">
        <w:rPr>
          <w:rFonts w:ascii="Times New Roman" w:hAnsi="Times New Roman"/>
          <w:bCs/>
          <w:sz w:val="24"/>
        </w:rPr>
        <w:t xml:space="preserve">as presented in Annex </w:t>
      </w:r>
      <w:r w:rsidR="00A82A03">
        <w:rPr>
          <w:rFonts w:ascii="Times New Roman" w:hAnsi="Times New Roman"/>
          <w:bCs/>
          <w:sz w:val="24"/>
        </w:rPr>
        <w:t>XV</w:t>
      </w:r>
      <w:r w:rsidR="009C2E8E">
        <w:rPr>
          <w:rFonts w:ascii="Times New Roman" w:hAnsi="Times New Roman"/>
          <w:bCs/>
          <w:sz w:val="24"/>
        </w:rPr>
        <w:t xml:space="preserve"> to this Implementing Regulation</w:t>
      </w:r>
      <w:r w:rsidRPr="00B05C6E">
        <w:rPr>
          <w:rFonts w:ascii="Times New Roman" w:hAnsi="Times New Roman"/>
          <w:bCs/>
          <w:sz w:val="24"/>
        </w:rPr>
        <w:t xml:space="preserve">, in application of </w:t>
      </w:r>
      <w:r w:rsidR="00D6319A">
        <w:rPr>
          <w:rFonts w:ascii="Times New Roman" w:hAnsi="Times New Roman"/>
          <w:bCs/>
          <w:sz w:val="24"/>
        </w:rPr>
        <w:t xml:space="preserve">point (c) of </w:t>
      </w:r>
      <w:r w:rsidRPr="00B05C6E">
        <w:rPr>
          <w:rFonts w:ascii="Times New Roman" w:hAnsi="Times New Roman"/>
          <w:bCs/>
          <w:sz w:val="24"/>
        </w:rPr>
        <w:t>Article 442 CRR</w:t>
      </w:r>
      <w:r w:rsidR="00AE5145" w:rsidRPr="00B05C6E">
        <w:rPr>
          <w:rFonts w:ascii="Times New Roman" w:hAnsi="Times New Roman"/>
          <w:bCs/>
          <w:sz w:val="24"/>
        </w:rPr>
        <w:t>.</w:t>
      </w:r>
    </w:p>
    <w:p w14:paraId="589B9A61" w14:textId="77777777" w:rsidR="00AB3A69" w:rsidRPr="0043712F" w:rsidRDefault="00AB3A69" w:rsidP="00AB3A69">
      <w:pPr>
        <w:contextualSpacing/>
        <w:jc w:val="both"/>
        <w:rPr>
          <w:rFonts w:ascii="Times New Roman" w:hAnsi="Times New Roman"/>
          <w:sz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AB3A69" w:rsidRPr="00581203" w14:paraId="72BC6BBA" w14:textId="77777777" w:rsidTr="004B32A0">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14097A" w14:textId="77777777" w:rsidR="00AB3A69" w:rsidRPr="00581203" w:rsidRDefault="00AB3A69" w:rsidP="004B32A0">
            <w:pPr>
              <w:rPr>
                <w:rFonts w:ascii="Times New Roman" w:hAnsi="Times New Roman" w:cs="Times New Roman"/>
                <w:b/>
                <w:sz w:val="24"/>
                <w:lang w:val="en-GB"/>
              </w:rPr>
            </w:pPr>
            <w:r w:rsidRPr="00581203">
              <w:rPr>
                <w:rFonts w:ascii="Times New Roman" w:hAnsi="Times New Roman" w:cs="Times New Roman"/>
                <w:b/>
                <w:sz w:val="24"/>
                <w:lang w:val="en-GB"/>
              </w:rPr>
              <w:t>Legal references and instructions</w:t>
            </w:r>
          </w:p>
        </w:tc>
      </w:tr>
      <w:tr w:rsidR="00AB3A69" w:rsidRPr="00581203" w14:paraId="007043A5" w14:textId="77777777" w:rsidTr="004B32A0">
        <w:trPr>
          <w:trHeight w:val="238"/>
        </w:trPr>
        <w:tc>
          <w:tcPr>
            <w:tcW w:w="1384" w:type="dxa"/>
            <w:shd w:val="clear" w:color="auto" w:fill="D9D9D9" w:themeFill="background1" w:themeFillShade="D9"/>
          </w:tcPr>
          <w:p w14:paraId="417DB9AE" w14:textId="77777777" w:rsidR="00AB3A69" w:rsidRPr="00581203" w:rsidRDefault="00AB3A69" w:rsidP="004B32A0">
            <w:pPr>
              <w:autoSpaceDE w:val="0"/>
              <w:autoSpaceDN w:val="0"/>
              <w:adjustRightInd w:val="0"/>
              <w:rPr>
                <w:rFonts w:ascii="Times New Roman" w:hAnsi="Times New Roman" w:cs="Times New Roman"/>
                <w:b/>
                <w:sz w:val="24"/>
                <w:lang w:val="en-GB"/>
              </w:rPr>
            </w:pPr>
            <w:r w:rsidRPr="00581203">
              <w:rPr>
                <w:rFonts w:ascii="Times New Roman" w:hAnsi="Times New Roman" w:cs="Times New Roman"/>
                <w:b/>
                <w:sz w:val="24"/>
                <w:lang w:val="en-GB"/>
              </w:rPr>
              <w:t>Row number</w:t>
            </w:r>
          </w:p>
        </w:tc>
        <w:tc>
          <w:tcPr>
            <w:tcW w:w="7655" w:type="dxa"/>
            <w:shd w:val="clear" w:color="auto" w:fill="D9D9D9" w:themeFill="background1" w:themeFillShade="D9"/>
          </w:tcPr>
          <w:p w14:paraId="0F490C79" w14:textId="77777777" w:rsidR="00AB3A69" w:rsidRPr="0043712F" w:rsidRDefault="00AB3A69" w:rsidP="004B32A0">
            <w:pPr>
              <w:autoSpaceDE w:val="0"/>
              <w:autoSpaceDN w:val="0"/>
              <w:adjustRightInd w:val="0"/>
              <w:rPr>
                <w:rFonts w:ascii="Times New Roman" w:hAnsi="Times New Roman" w:cs="Times New Roman"/>
                <w:color w:val="000000"/>
                <w:sz w:val="24"/>
                <w:lang w:val="en-GB"/>
              </w:rPr>
            </w:pPr>
            <w:r w:rsidRPr="00581203">
              <w:rPr>
                <w:rFonts w:ascii="Times New Roman" w:hAnsi="Times New Roman" w:cs="Times New Roman"/>
                <w:b/>
                <w:sz w:val="24"/>
                <w:lang w:val="en-GB"/>
              </w:rPr>
              <w:t>Explanation</w:t>
            </w:r>
          </w:p>
        </w:tc>
      </w:tr>
      <w:tr w:rsidR="00DF67AC" w:rsidRPr="00581203" w14:paraId="1CC885B0" w14:textId="77777777" w:rsidTr="008736F9">
        <w:trPr>
          <w:trHeight w:val="935"/>
        </w:trPr>
        <w:tc>
          <w:tcPr>
            <w:tcW w:w="1384" w:type="dxa"/>
          </w:tcPr>
          <w:p w14:paraId="7D2FF53B" w14:textId="07C1E113" w:rsidR="00DF67AC" w:rsidRDefault="00DF67AC" w:rsidP="00DF67AC">
            <w:pPr>
              <w:pStyle w:val="Applicationdirecte"/>
              <w:spacing w:before="120"/>
            </w:pPr>
            <w:r>
              <w:t>005</w:t>
            </w:r>
          </w:p>
        </w:tc>
        <w:tc>
          <w:tcPr>
            <w:tcW w:w="7655" w:type="dxa"/>
          </w:tcPr>
          <w:p w14:paraId="69F8078D" w14:textId="77777777" w:rsidR="00DF67AC" w:rsidRDefault="00DF67AC" w:rsidP="00DF67AC">
            <w:pPr>
              <w:pStyle w:val="Applicationdirecte"/>
              <w:spacing w:before="120"/>
              <w:rPr>
                <w:b/>
              </w:rPr>
            </w:pPr>
            <w:r w:rsidRPr="00DF67AC">
              <w:rPr>
                <w:b/>
              </w:rPr>
              <w:t>Cash balances at central banks and other demand deposits</w:t>
            </w:r>
          </w:p>
          <w:p w14:paraId="2A731A66" w14:textId="4F4119A1" w:rsidR="00DF67AC" w:rsidRPr="007A6CBD" w:rsidRDefault="00DF67AC" w:rsidP="00DF67AC">
            <w:pPr>
              <w:pStyle w:val="Applicationdirecte"/>
              <w:spacing w:before="120"/>
            </w:pPr>
            <w:r>
              <w:t xml:space="preserve">Institutions shall disclose this information in line with the information reported in Annexes III and IV </w:t>
            </w:r>
            <w:r w:rsidRPr="0017224C">
              <w:t>Commission Implementing Regulation (EU</w:t>
            </w:r>
            <w:proofErr w:type="gramStart"/>
            <w:r w:rsidRPr="0017224C">
              <w:t>)</w:t>
            </w:r>
            <w:r>
              <w:t xml:space="preserve"> </w:t>
            </w:r>
            <w:r w:rsidRPr="0017224C">
              <w:t xml:space="preserve"> 680</w:t>
            </w:r>
            <w:proofErr w:type="gramEnd"/>
            <w:r w:rsidRPr="0017224C">
              <w:t>/2014</w:t>
            </w:r>
            <w:r>
              <w:t>.</w:t>
            </w:r>
          </w:p>
        </w:tc>
      </w:tr>
      <w:tr w:rsidR="00AB3A69" w:rsidRPr="00581203" w14:paraId="39976E12" w14:textId="77777777" w:rsidTr="004B32A0">
        <w:trPr>
          <w:trHeight w:val="935"/>
        </w:trPr>
        <w:tc>
          <w:tcPr>
            <w:tcW w:w="1384" w:type="dxa"/>
          </w:tcPr>
          <w:p w14:paraId="6DDFC191" w14:textId="77777777" w:rsidR="00AB3A69" w:rsidRDefault="00AB3A69" w:rsidP="004B32A0">
            <w:pPr>
              <w:pStyle w:val="Applicationdirecte"/>
              <w:spacing w:before="120"/>
            </w:pPr>
            <w:r>
              <w:t>010</w:t>
            </w:r>
          </w:p>
        </w:tc>
        <w:tc>
          <w:tcPr>
            <w:tcW w:w="7655" w:type="dxa"/>
          </w:tcPr>
          <w:p w14:paraId="3C11D376" w14:textId="77777777" w:rsidR="00AB3A69" w:rsidRDefault="00AB3A69" w:rsidP="004B32A0">
            <w:pPr>
              <w:pStyle w:val="Applicationdirecte"/>
              <w:spacing w:before="120"/>
              <w:rPr>
                <w:b/>
              </w:rPr>
            </w:pPr>
            <w:r>
              <w:rPr>
                <w:b/>
              </w:rPr>
              <w:t>Loans and advances</w:t>
            </w:r>
          </w:p>
          <w:p w14:paraId="12EA1795" w14:textId="5AF0D99F" w:rsidR="00AB3A69" w:rsidRPr="007A6CBD" w:rsidRDefault="00541BD8" w:rsidP="004B32A0">
            <w:pPr>
              <w:pStyle w:val="Applicationdirecte"/>
              <w:spacing w:before="120"/>
            </w:pPr>
            <w:r>
              <w:t>S</w:t>
            </w:r>
            <w:r w:rsidRPr="00E24BBD">
              <w:t xml:space="preserve">ee the definition in </w:t>
            </w:r>
            <w:r w:rsidRPr="00CD3AD5">
              <w:t>EU CR1: Performing and non-performing exposures and related provisions</w:t>
            </w:r>
            <w:r w:rsidRPr="00E24BBD">
              <w:t>.</w:t>
            </w:r>
          </w:p>
        </w:tc>
      </w:tr>
      <w:tr w:rsidR="00AB3A69" w:rsidRPr="00581203" w14:paraId="021BDB67" w14:textId="77777777" w:rsidTr="004B32A0">
        <w:trPr>
          <w:trHeight w:val="3815"/>
        </w:trPr>
        <w:tc>
          <w:tcPr>
            <w:tcW w:w="1384" w:type="dxa"/>
          </w:tcPr>
          <w:p w14:paraId="01667233" w14:textId="77777777" w:rsidR="00AB3A69" w:rsidRPr="00581203" w:rsidRDefault="00AB3A69" w:rsidP="004B32A0">
            <w:pPr>
              <w:pStyle w:val="Applicationdirecte"/>
              <w:spacing w:before="120"/>
            </w:pPr>
            <w:r>
              <w:lastRenderedPageBreak/>
              <w:t>020 - 070</w:t>
            </w:r>
          </w:p>
        </w:tc>
        <w:tc>
          <w:tcPr>
            <w:tcW w:w="7655" w:type="dxa"/>
          </w:tcPr>
          <w:p w14:paraId="5237B0D8" w14:textId="77777777" w:rsidR="00AB3A69" w:rsidRPr="00581203" w:rsidRDefault="00AB3A69" w:rsidP="004B32A0">
            <w:pPr>
              <w:pStyle w:val="Applicationdirecte"/>
              <w:spacing w:before="120"/>
              <w:rPr>
                <w:b/>
              </w:rPr>
            </w:pPr>
            <w:r w:rsidRPr="0043712F">
              <w:rPr>
                <w:b/>
              </w:rPr>
              <w:t>Counterparty breakdown</w:t>
            </w:r>
          </w:p>
          <w:p w14:paraId="3D882FA7" w14:textId="64B15C1A" w:rsidR="00AB3A69" w:rsidRPr="0017224C" w:rsidRDefault="00AB3A69" w:rsidP="004B32A0">
            <w:pPr>
              <w:pStyle w:val="Applicationdirecte"/>
              <w:spacing w:before="120"/>
            </w:pPr>
            <w:r w:rsidRPr="0017224C">
              <w:t>Institutions shall apply the breakdown by counterparty as defined in paragraph 42 of Part 1 of Annex V to Commission Implementing Regulation (EU) 680/2014.</w:t>
            </w:r>
          </w:p>
          <w:p w14:paraId="2C98EF2A" w14:textId="77777777" w:rsidR="00AB3A69" w:rsidRPr="004D3597" w:rsidRDefault="00AB3A69" w:rsidP="004B32A0">
            <w:pPr>
              <w:pStyle w:val="Fait"/>
            </w:pPr>
            <w:r w:rsidRPr="0017224C">
              <w:t xml:space="preserve">Counterparty sector allocation </w:t>
            </w:r>
            <w:proofErr w:type="gramStart"/>
            <w:r w:rsidRPr="0017224C">
              <w:t>shall be based</w:t>
            </w:r>
            <w:proofErr w:type="gramEnd"/>
            <w:r w:rsidRPr="0017224C">
              <w:t xml:space="preserve"> exclusively on the nature of the immediate counterparty. The classification of exposures incurred jointly by more than one obligor </w:t>
            </w:r>
            <w:proofErr w:type="gramStart"/>
            <w:r w:rsidRPr="0017224C">
              <w:t>shall be done</w:t>
            </w:r>
            <w:proofErr w:type="gramEnd"/>
            <w:r w:rsidRPr="0017224C">
              <w:t xml:space="preserve"> based on the characteristics of the obligor that was the more relevant, or determinant, for the institution’s decision to grant the exposure. Among other classifications, the distribution of jointly incurred exposures by counterparty sector, country of residence and NACE code shall be driven by the characteristics of the more relevant or determinant obligor.</w:t>
            </w:r>
          </w:p>
        </w:tc>
      </w:tr>
      <w:tr w:rsidR="00AB3A69" w:rsidRPr="00581203" w14:paraId="1A6BFE14" w14:textId="77777777" w:rsidTr="004B32A0">
        <w:trPr>
          <w:trHeight w:val="755"/>
        </w:trPr>
        <w:tc>
          <w:tcPr>
            <w:tcW w:w="1384" w:type="dxa"/>
          </w:tcPr>
          <w:p w14:paraId="01BCBA4A" w14:textId="77777777" w:rsidR="00AB3A69" w:rsidRDefault="00AB3A69" w:rsidP="004B32A0">
            <w:pPr>
              <w:pStyle w:val="Applicationdirecte"/>
              <w:spacing w:before="120"/>
            </w:pPr>
            <w:r>
              <w:t>080</w:t>
            </w:r>
          </w:p>
        </w:tc>
        <w:tc>
          <w:tcPr>
            <w:tcW w:w="7655" w:type="dxa"/>
          </w:tcPr>
          <w:p w14:paraId="40436162" w14:textId="77777777" w:rsidR="00AB3A69" w:rsidRDefault="00AB3A69" w:rsidP="004B32A0">
            <w:pPr>
              <w:pStyle w:val="Applicationdirecte"/>
              <w:spacing w:before="120"/>
              <w:rPr>
                <w:b/>
              </w:rPr>
            </w:pPr>
            <w:r>
              <w:rPr>
                <w:b/>
              </w:rPr>
              <w:t>Debt securities</w:t>
            </w:r>
          </w:p>
          <w:p w14:paraId="73FBB56D" w14:textId="733B4C19" w:rsidR="00AB3A69" w:rsidRPr="007A6CBD" w:rsidRDefault="00541BD8" w:rsidP="004B32A0">
            <w:pPr>
              <w:pStyle w:val="Applicationdirecte"/>
              <w:spacing w:before="120"/>
            </w:pPr>
            <w:r>
              <w:t>S</w:t>
            </w:r>
            <w:r w:rsidRPr="00E24BBD">
              <w:t xml:space="preserve">ee the definition in </w:t>
            </w:r>
            <w:r w:rsidRPr="00CD3AD5">
              <w:t>EU CR1: Performing and non-performing exposures and related provisions</w:t>
            </w:r>
            <w:r w:rsidRPr="00E24BBD">
              <w:t>.</w:t>
            </w:r>
          </w:p>
        </w:tc>
      </w:tr>
      <w:tr w:rsidR="00AB3A69" w:rsidRPr="00581203" w14:paraId="1FD6177F" w14:textId="77777777" w:rsidTr="004B32A0">
        <w:trPr>
          <w:trHeight w:val="890"/>
        </w:trPr>
        <w:tc>
          <w:tcPr>
            <w:tcW w:w="1384" w:type="dxa"/>
          </w:tcPr>
          <w:p w14:paraId="3BFEF2E6" w14:textId="77777777" w:rsidR="00AB3A69" w:rsidRDefault="00AB3A69" w:rsidP="004B32A0">
            <w:pPr>
              <w:pStyle w:val="Applicationdirecte"/>
              <w:spacing w:before="120"/>
            </w:pPr>
            <w:r>
              <w:t>090</w:t>
            </w:r>
          </w:p>
        </w:tc>
        <w:tc>
          <w:tcPr>
            <w:tcW w:w="7655" w:type="dxa"/>
          </w:tcPr>
          <w:p w14:paraId="3EB92CC8" w14:textId="77777777" w:rsidR="00AB3A69" w:rsidRDefault="00AB3A69" w:rsidP="004B32A0">
            <w:pPr>
              <w:pStyle w:val="Applicationdirecte"/>
              <w:spacing w:before="120"/>
              <w:rPr>
                <w:b/>
              </w:rPr>
            </w:pPr>
            <w:r>
              <w:rPr>
                <w:b/>
              </w:rPr>
              <w:t>Loan commitments given</w:t>
            </w:r>
          </w:p>
          <w:p w14:paraId="60F7DC95" w14:textId="03274B6F" w:rsidR="00AB3A69" w:rsidRPr="00300D5D" w:rsidRDefault="00AB3A69" w:rsidP="004B32A0">
            <w:pPr>
              <w:pStyle w:val="Fait"/>
            </w:pPr>
            <w:r w:rsidRPr="00300D5D">
              <w:t xml:space="preserve">For loan commitments given, the nominal amount as defined in paragraph 118 of Part 2 of Annex V to Commission Implementing Regulation (EU) 680/2014 </w:t>
            </w:r>
            <w:proofErr w:type="gramStart"/>
            <w:r w:rsidRPr="0017224C">
              <w:t>shall</w:t>
            </w:r>
            <w:r w:rsidRPr="00300D5D">
              <w:t xml:space="preserve"> be </w:t>
            </w:r>
            <w:r>
              <w:t>disclosed</w:t>
            </w:r>
            <w:proofErr w:type="gramEnd"/>
            <w:r w:rsidRPr="00300D5D">
              <w:t>.</w:t>
            </w:r>
          </w:p>
        </w:tc>
      </w:tr>
      <w:tr w:rsidR="00AB3A69" w:rsidRPr="00581203" w14:paraId="62D686FD" w14:textId="77777777" w:rsidTr="004B32A0">
        <w:trPr>
          <w:trHeight w:val="316"/>
        </w:trPr>
        <w:tc>
          <w:tcPr>
            <w:tcW w:w="1384" w:type="dxa"/>
          </w:tcPr>
          <w:p w14:paraId="73503508" w14:textId="77777777" w:rsidR="00AB3A69" w:rsidRPr="0043712F" w:rsidRDefault="00AB3A69" w:rsidP="004B32A0">
            <w:pPr>
              <w:autoSpaceDE w:val="0"/>
              <w:autoSpaceDN w:val="0"/>
              <w:adjustRightInd w:val="0"/>
              <w:rPr>
                <w:rFonts w:ascii="Times New Roman" w:hAnsi="Times New Roman" w:cs="Times New Roman"/>
                <w:color w:val="000000"/>
                <w:sz w:val="24"/>
                <w:lang w:val="en-GB"/>
              </w:rPr>
            </w:pPr>
            <w:r>
              <w:rPr>
                <w:rFonts w:ascii="Times New Roman" w:eastAsia="Times New Roman" w:hAnsi="Times New Roman" w:cs="Times New Roman"/>
                <w:sz w:val="24"/>
                <w:lang w:val="en-GB"/>
              </w:rPr>
              <w:t>10</w:t>
            </w:r>
            <w:r w:rsidRPr="00581203">
              <w:rPr>
                <w:rFonts w:ascii="Times New Roman" w:eastAsia="Times New Roman" w:hAnsi="Times New Roman" w:cs="Times New Roman"/>
                <w:sz w:val="24"/>
                <w:lang w:val="en-GB"/>
              </w:rPr>
              <w:t>0</w:t>
            </w:r>
          </w:p>
        </w:tc>
        <w:tc>
          <w:tcPr>
            <w:tcW w:w="7655" w:type="dxa"/>
          </w:tcPr>
          <w:p w14:paraId="670F6233" w14:textId="77777777" w:rsidR="00AB3A69" w:rsidRDefault="00AB3A69" w:rsidP="004B32A0">
            <w:pPr>
              <w:autoSpaceDE w:val="0"/>
              <w:autoSpaceDN w:val="0"/>
              <w:adjustRightInd w:val="0"/>
              <w:rPr>
                <w:rFonts w:ascii="Times New Roman" w:hAnsi="Times New Roman" w:cs="Times New Roman"/>
                <w:b/>
                <w:sz w:val="24"/>
                <w:lang w:val="en-GB"/>
              </w:rPr>
            </w:pPr>
            <w:r>
              <w:rPr>
                <w:rFonts w:ascii="Times New Roman" w:hAnsi="Times New Roman" w:cs="Times New Roman"/>
                <w:b/>
                <w:sz w:val="24"/>
                <w:lang w:val="en-GB"/>
              </w:rPr>
              <w:t xml:space="preserve">Total </w:t>
            </w:r>
          </w:p>
          <w:p w14:paraId="543726C0" w14:textId="77777777" w:rsidR="00AB3A69" w:rsidRPr="003F5E9A" w:rsidRDefault="00AB3A69" w:rsidP="004B32A0">
            <w:pPr>
              <w:autoSpaceDE w:val="0"/>
              <w:autoSpaceDN w:val="0"/>
              <w:adjustRightInd w:val="0"/>
              <w:rPr>
                <w:rFonts w:ascii="Times New Roman" w:hAnsi="Times New Roman" w:cs="Times New Roman"/>
                <w:b/>
                <w:sz w:val="24"/>
                <w:lang w:val="en-GB"/>
              </w:rPr>
            </w:pPr>
          </w:p>
        </w:tc>
      </w:tr>
    </w:tbl>
    <w:p w14:paraId="5B057FAF" w14:textId="77777777" w:rsidR="00AB3A69" w:rsidRPr="0043712F" w:rsidRDefault="00AB3A69" w:rsidP="00AB3A69">
      <w:pPr>
        <w:rPr>
          <w:rFonts w:ascii="Times New Roman" w:hAnsi="Times New Roman" w:cs="Times New Roman"/>
          <w:sz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AB3A69" w:rsidRPr="00581203" w14:paraId="0F7E8C4A" w14:textId="77777777" w:rsidTr="004B32A0">
        <w:trPr>
          <w:trHeight w:val="238"/>
        </w:trPr>
        <w:tc>
          <w:tcPr>
            <w:tcW w:w="9039" w:type="dxa"/>
            <w:gridSpan w:val="2"/>
            <w:shd w:val="clear" w:color="auto" w:fill="D9D9D9" w:themeFill="background1" w:themeFillShade="D9"/>
          </w:tcPr>
          <w:p w14:paraId="7D004C5D" w14:textId="77777777" w:rsidR="00AB3A69" w:rsidRPr="00581203" w:rsidRDefault="00AB3A69" w:rsidP="004B32A0">
            <w:pPr>
              <w:autoSpaceDE w:val="0"/>
              <w:autoSpaceDN w:val="0"/>
              <w:adjustRightInd w:val="0"/>
              <w:rPr>
                <w:rFonts w:ascii="Times New Roman" w:hAnsi="Times New Roman" w:cs="Times New Roman"/>
                <w:b/>
                <w:sz w:val="24"/>
                <w:lang w:val="en-GB"/>
              </w:rPr>
            </w:pPr>
            <w:r w:rsidRPr="00581203">
              <w:rPr>
                <w:rFonts w:ascii="Times New Roman" w:hAnsi="Times New Roman" w:cs="Times New Roman"/>
                <w:b/>
                <w:sz w:val="24"/>
                <w:lang w:val="en-GB"/>
              </w:rPr>
              <w:t>Legal references and instructions</w:t>
            </w:r>
          </w:p>
        </w:tc>
      </w:tr>
      <w:tr w:rsidR="00AB3A69" w:rsidRPr="00581203" w14:paraId="3A024A3E" w14:textId="77777777" w:rsidTr="004B32A0">
        <w:trPr>
          <w:trHeight w:val="238"/>
        </w:trPr>
        <w:tc>
          <w:tcPr>
            <w:tcW w:w="1384" w:type="dxa"/>
            <w:shd w:val="clear" w:color="auto" w:fill="D9D9D9" w:themeFill="background1" w:themeFillShade="D9"/>
          </w:tcPr>
          <w:p w14:paraId="04D8BA25" w14:textId="77777777" w:rsidR="00AB3A69" w:rsidRPr="00581203" w:rsidRDefault="00AB3A69" w:rsidP="004B32A0">
            <w:pPr>
              <w:autoSpaceDE w:val="0"/>
              <w:autoSpaceDN w:val="0"/>
              <w:adjustRightInd w:val="0"/>
              <w:rPr>
                <w:rFonts w:ascii="Times New Roman" w:hAnsi="Times New Roman" w:cs="Times New Roman"/>
                <w:b/>
                <w:sz w:val="24"/>
                <w:lang w:val="en-GB"/>
              </w:rPr>
            </w:pPr>
            <w:r w:rsidRPr="00584246">
              <w:rPr>
                <w:rFonts w:ascii="Times New Roman" w:hAnsi="Times New Roman" w:cs="Times New Roman"/>
                <w:b/>
                <w:sz w:val="24"/>
                <w:lang w:val="en-GB"/>
              </w:rPr>
              <w:t>Column number</w:t>
            </w:r>
          </w:p>
        </w:tc>
        <w:tc>
          <w:tcPr>
            <w:tcW w:w="7655" w:type="dxa"/>
            <w:shd w:val="clear" w:color="auto" w:fill="D9D9D9" w:themeFill="background1" w:themeFillShade="D9"/>
          </w:tcPr>
          <w:p w14:paraId="0969C6F5" w14:textId="77777777" w:rsidR="00AB3A69" w:rsidRPr="004D3597" w:rsidRDefault="00AB3A69" w:rsidP="004B32A0">
            <w:pPr>
              <w:autoSpaceDE w:val="0"/>
              <w:autoSpaceDN w:val="0"/>
              <w:adjustRightInd w:val="0"/>
              <w:rPr>
                <w:rFonts w:ascii="Times New Roman" w:hAnsi="Times New Roman" w:cs="Times New Roman"/>
                <w:b/>
                <w:sz w:val="24"/>
                <w:lang w:val="en-GB"/>
              </w:rPr>
            </w:pPr>
            <w:r w:rsidRPr="00581203">
              <w:rPr>
                <w:rFonts w:ascii="Times New Roman" w:hAnsi="Times New Roman" w:cs="Times New Roman"/>
                <w:b/>
                <w:sz w:val="24"/>
                <w:lang w:val="en-GB"/>
              </w:rPr>
              <w:t>Explanation</w:t>
            </w:r>
          </w:p>
        </w:tc>
      </w:tr>
      <w:tr w:rsidR="00AB3A69" w:rsidRPr="00581203" w14:paraId="6071FEE9" w14:textId="77777777" w:rsidTr="004B32A0">
        <w:trPr>
          <w:trHeight w:val="841"/>
        </w:trPr>
        <w:tc>
          <w:tcPr>
            <w:tcW w:w="1384" w:type="dxa"/>
          </w:tcPr>
          <w:p w14:paraId="04E710EE" w14:textId="77777777" w:rsidR="00AB3A69" w:rsidRDefault="00AB3A69" w:rsidP="004B32A0">
            <w:pPr>
              <w:pStyle w:val="Applicationdirecte"/>
              <w:spacing w:before="120"/>
            </w:pPr>
            <w:r>
              <w:t>a</w:t>
            </w:r>
          </w:p>
        </w:tc>
        <w:tc>
          <w:tcPr>
            <w:tcW w:w="7655" w:type="dxa"/>
          </w:tcPr>
          <w:p w14:paraId="2F813D39" w14:textId="77777777" w:rsidR="00AB3A69" w:rsidRDefault="00AB3A69" w:rsidP="004B32A0">
            <w:pPr>
              <w:pStyle w:val="Fait"/>
              <w:spacing w:after="120"/>
              <w:rPr>
                <w:rFonts w:eastAsiaTheme="minorEastAsia"/>
                <w:b/>
              </w:rPr>
            </w:pPr>
            <w:r w:rsidRPr="00584246">
              <w:rPr>
                <w:rFonts w:eastAsiaTheme="minorEastAsia"/>
                <w:b/>
              </w:rPr>
              <w:t>Gross carrying amount/nominal amount of exposures with forbearance measures</w:t>
            </w:r>
            <w:r w:rsidRPr="00527061">
              <w:rPr>
                <w:b/>
              </w:rPr>
              <w:t xml:space="preserve"> – </w:t>
            </w:r>
            <w:r>
              <w:rPr>
                <w:rFonts w:eastAsiaTheme="minorEastAsia"/>
                <w:b/>
              </w:rPr>
              <w:t>of which performing forborne</w:t>
            </w:r>
          </w:p>
          <w:p w14:paraId="0C16877B" w14:textId="158589B7" w:rsidR="00AB3A69" w:rsidRDefault="00AB3A69" w:rsidP="004B32A0">
            <w:pPr>
              <w:pStyle w:val="Fait"/>
            </w:pPr>
            <w:r>
              <w:t>G</w:t>
            </w:r>
            <w:r w:rsidRPr="006172E4">
              <w:t>ross carrying amount as defined in paragraph 34 of Part 1 of Annex V to Commission Implementing Regulation (EU)</w:t>
            </w:r>
            <w:r w:rsidR="00BF4090">
              <w:t xml:space="preserve"> </w:t>
            </w:r>
            <w:r w:rsidRPr="006172E4">
              <w:t>680/2014</w:t>
            </w:r>
            <w:r>
              <w:t xml:space="preserve">. </w:t>
            </w:r>
            <w:r w:rsidRPr="006172E4">
              <w:t>The gross carrying amount related to the exposures subject to impairment is the net of accumulated partial and total write-off.</w:t>
            </w:r>
          </w:p>
          <w:p w14:paraId="57583001" w14:textId="3F00E14A" w:rsidR="00AB3A69" w:rsidRDefault="00AB3A69" w:rsidP="004B32A0">
            <w:pPr>
              <w:pStyle w:val="Institutionquisigne"/>
              <w:spacing w:before="120"/>
            </w:pPr>
            <w:r>
              <w:rPr>
                <w:i w:val="0"/>
              </w:rPr>
              <w:t>N</w:t>
            </w:r>
            <w:r w:rsidRPr="006172E4">
              <w:rPr>
                <w:i w:val="0"/>
              </w:rPr>
              <w:t>ominal amount as defined in paragraph 118 of Part 2 of Annex V to Commission Implementing Regulation (EU) 680/2014</w:t>
            </w:r>
            <w:r w:rsidRPr="00300D5D">
              <w:t>.</w:t>
            </w:r>
          </w:p>
          <w:p w14:paraId="6D368AA6" w14:textId="22E222DE" w:rsidR="00AB3A69" w:rsidRPr="00C83329" w:rsidRDefault="000172EF" w:rsidP="000172EF">
            <w:pPr>
              <w:pStyle w:val="Institutionquisigne"/>
              <w:spacing w:before="120"/>
              <w:rPr>
                <w:rFonts w:eastAsiaTheme="minorEastAsia"/>
                <w:i w:val="0"/>
              </w:rPr>
            </w:pPr>
            <w:r>
              <w:rPr>
                <w:i w:val="0"/>
              </w:rPr>
              <w:t>E</w:t>
            </w:r>
            <w:r w:rsidRPr="000172EF">
              <w:rPr>
                <w:i w:val="0"/>
              </w:rPr>
              <w:t>xposures with forbearance measures as defined in Article 47b CRR</w:t>
            </w:r>
            <w:r w:rsidR="00AB3A69" w:rsidRPr="00C83329">
              <w:rPr>
                <w:i w:val="0"/>
              </w:rPr>
              <w:t xml:space="preserve">. Depending on whether forborne exposures satisfy the required conditions set out in </w:t>
            </w:r>
            <w:r>
              <w:rPr>
                <w:i w:val="0"/>
              </w:rPr>
              <w:t>Articles 47a CRR</w:t>
            </w:r>
            <w:r w:rsidR="00AB3A69" w:rsidRPr="00C83329">
              <w:rPr>
                <w:i w:val="0"/>
              </w:rPr>
              <w:t xml:space="preserve">, they </w:t>
            </w:r>
            <w:proofErr w:type="gramStart"/>
            <w:r w:rsidR="00AB3A69" w:rsidRPr="00C83329">
              <w:rPr>
                <w:i w:val="0"/>
              </w:rPr>
              <w:t>can be identified</w:t>
            </w:r>
            <w:proofErr w:type="gramEnd"/>
            <w:r w:rsidR="00AB3A69" w:rsidRPr="00C83329">
              <w:rPr>
                <w:i w:val="0"/>
              </w:rPr>
              <w:t xml:space="preserve"> as performing or non-performing.</w:t>
            </w:r>
          </w:p>
        </w:tc>
      </w:tr>
      <w:tr w:rsidR="00AB3A69" w:rsidRPr="00581203" w14:paraId="41518C53" w14:textId="77777777" w:rsidTr="004B32A0">
        <w:trPr>
          <w:trHeight w:val="841"/>
        </w:trPr>
        <w:tc>
          <w:tcPr>
            <w:tcW w:w="1384" w:type="dxa"/>
          </w:tcPr>
          <w:p w14:paraId="104D0D2F" w14:textId="77777777" w:rsidR="00AB3A69" w:rsidRDefault="00AB3A69" w:rsidP="004B32A0">
            <w:pPr>
              <w:pStyle w:val="Applicationdirecte"/>
              <w:spacing w:before="120"/>
            </w:pPr>
            <w:r>
              <w:t>b</w:t>
            </w:r>
          </w:p>
        </w:tc>
        <w:tc>
          <w:tcPr>
            <w:tcW w:w="7655" w:type="dxa"/>
          </w:tcPr>
          <w:p w14:paraId="76FF840F" w14:textId="77777777" w:rsidR="00AB3A69" w:rsidRDefault="00AB3A69" w:rsidP="004B32A0">
            <w:pPr>
              <w:pStyle w:val="Fait"/>
              <w:spacing w:after="120"/>
              <w:rPr>
                <w:rFonts w:eastAsiaTheme="minorEastAsia"/>
                <w:b/>
              </w:rPr>
            </w:pPr>
            <w:r w:rsidRPr="00584246">
              <w:rPr>
                <w:rFonts w:eastAsiaTheme="minorEastAsia"/>
                <w:b/>
              </w:rPr>
              <w:t>Gross carrying amount/nominal amount of exposures with forbearance measures</w:t>
            </w:r>
            <w:r w:rsidRPr="00527061">
              <w:rPr>
                <w:b/>
              </w:rPr>
              <w:t xml:space="preserve"> – </w:t>
            </w:r>
            <w:r>
              <w:rPr>
                <w:rFonts w:eastAsiaTheme="minorEastAsia"/>
                <w:b/>
              </w:rPr>
              <w:t>of which non-performing forborne</w:t>
            </w:r>
          </w:p>
          <w:p w14:paraId="437A384C" w14:textId="58605352" w:rsidR="00AB3A69" w:rsidRDefault="00AB3A69" w:rsidP="004B32A0">
            <w:pPr>
              <w:pStyle w:val="Fait"/>
            </w:pPr>
            <w:r>
              <w:t>G</w:t>
            </w:r>
            <w:r w:rsidRPr="006172E4">
              <w:t>ross carrying amount as defined in paragraph 34 of Part 1 of Annex V to Commission Implementing Regulation (EU) 680/2014</w:t>
            </w:r>
            <w:r>
              <w:t xml:space="preserve">. </w:t>
            </w:r>
            <w:r w:rsidRPr="006172E4">
              <w:t xml:space="preserve">The gross carrying </w:t>
            </w:r>
            <w:r w:rsidRPr="006172E4">
              <w:lastRenderedPageBreak/>
              <w:t>amount related to the exposures subject to impairment is the net of accumulated partial and total write-off.</w:t>
            </w:r>
          </w:p>
          <w:p w14:paraId="42CE9766" w14:textId="0269653B" w:rsidR="00AB3A69" w:rsidRDefault="00AB3A69" w:rsidP="004B32A0">
            <w:pPr>
              <w:pStyle w:val="Institutionquisigne"/>
              <w:spacing w:before="120"/>
            </w:pPr>
            <w:r>
              <w:rPr>
                <w:i w:val="0"/>
              </w:rPr>
              <w:t>N</w:t>
            </w:r>
            <w:r w:rsidRPr="006172E4">
              <w:rPr>
                <w:i w:val="0"/>
              </w:rPr>
              <w:t>ominal amount as defined in paragraph 118 of Part 2 of Annex V to Commission Implementing Regulation (EU) 680/2014</w:t>
            </w:r>
            <w:r w:rsidRPr="00300D5D">
              <w:t>.</w:t>
            </w:r>
          </w:p>
          <w:p w14:paraId="0A92EB17" w14:textId="1FCF9A05" w:rsidR="00AB3A69" w:rsidRPr="00C83329" w:rsidRDefault="00AB3A69" w:rsidP="00B60D46">
            <w:pPr>
              <w:pStyle w:val="Fait"/>
            </w:pPr>
            <w:r w:rsidRPr="00C83329">
              <w:t xml:space="preserve">Non-performing exposures with forbearance measures (non-performing forborne exposures) </w:t>
            </w:r>
            <w:r w:rsidRPr="0017224C">
              <w:t>shall</w:t>
            </w:r>
            <w:r w:rsidRPr="00C83329">
              <w:t xml:space="preserve"> comprise forborne exposures that meet the criteria to </w:t>
            </w:r>
            <w:proofErr w:type="gramStart"/>
            <w:r w:rsidRPr="00C83329">
              <w:t>be</w:t>
            </w:r>
            <w:r w:rsidR="0016712E">
              <w:t xml:space="preserve"> </w:t>
            </w:r>
            <w:r w:rsidRPr="00C83329">
              <w:t>considered</w:t>
            </w:r>
            <w:proofErr w:type="gramEnd"/>
            <w:r w:rsidRPr="00C83329">
              <w:t xml:space="preserve"> non-performing and are included in the non-performing exposures category. Those non-performing forborne exposures are to include the following: (a) exposures that have become non-performing due to the application of forbearance measures; (b) exposures that were non-performing prior to the extension of forbearance measures; (c) forborne exposures that </w:t>
            </w:r>
            <w:proofErr w:type="gramStart"/>
            <w:r w:rsidRPr="00C83329">
              <w:t>have been reclassified</w:t>
            </w:r>
            <w:proofErr w:type="gramEnd"/>
            <w:r w:rsidRPr="00C83329">
              <w:t xml:space="preserve"> from the performing category, including exposures reclassified pursuant to </w:t>
            </w:r>
            <w:r w:rsidR="00B60D46">
              <w:t>Article 47a CRR</w:t>
            </w:r>
            <w:r w:rsidRPr="00C83329">
              <w:t>.</w:t>
            </w:r>
          </w:p>
        </w:tc>
      </w:tr>
      <w:tr w:rsidR="00AB3A69" w:rsidRPr="00581203" w14:paraId="544A745D" w14:textId="77777777" w:rsidTr="004B32A0">
        <w:trPr>
          <w:trHeight w:val="841"/>
        </w:trPr>
        <w:tc>
          <w:tcPr>
            <w:tcW w:w="1384" w:type="dxa"/>
          </w:tcPr>
          <w:p w14:paraId="7081241E" w14:textId="77777777" w:rsidR="00AB3A69" w:rsidRDefault="00AB3A69" w:rsidP="004B32A0">
            <w:pPr>
              <w:pStyle w:val="Applicationdirecte"/>
              <w:spacing w:before="120"/>
            </w:pPr>
            <w:r>
              <w:lastRenderedPageBreak/>
              <w:t>c</w:t>
            </w:r>
          </w:p>
        </w:tc>
        <w:tc>
          <w:tcPr>
            <w:tcW w:w="7655" w:type="dxa"/>
          </w:tcPr>
          <w:p w14:paraId="2553762E" w14:textId="77777777" w:rsidR="00AB3A69" w:rsidRDefault="00AB3A69" w:rsidP="004B32A0">
            <w:pPr>
              <w:pStyle w:val="Fait"/>
              <w:spacing w:after="120"/>
              <w:ind w:left="720"/>
              <w:rPr>
                <w:rFonts w:eastAsiaTheme="minorEastAsia"/>
                <w:b/>
              </w:rPr>
            </w:pPr>
            <w:r>
              <w:rPr>
                <w:rFonts w:eastAsiaTheme="minorEastAsia"/>
                <w:b/>
              </w:rPr>
              <w:t>Of which defaulted</w:t>
            </w:r>
          </w:p>
          <w:p w14:paraId="0DE9901E" w14:textId="355CD979" w:rsidR="00AB3A69" w:rsidRPr="00616A9A" w:rsidRDefault="00AB3A69" w:rsidP="004B32A0">
            <w:pPr>
              <w:pStyle w:val="Fait"/>
              <w:rPr>
                <w:rFonts w:eastAsiaTheme="minorEastAsia"/>
              </w:rPr>
            </w:pPr>
            <w:r>
              <w:t>F</w:t>
            </w:r>
            <w:r w:rsidRPr="00616A9A">
              <w:t xml:space="preserve">orborne exposures that </w:t>
            </w:r>
            <w:proofErr w:type="gramStart"/>
            <w:r w:rsidRPr="00616A9A">
              <w:t>are also classified</w:t>
            </w:r>
            <w:proofErr w:type="gramEnd"/>
            <w:r w:rsidRPr="00616A9A">
              <w:t xml:space="preserve"> as defaulted in accordance with Article 178 CRR.</w:t>
            </w:r>
          </w:p>
        </w:tc>
      </w:tr>
      <w:tr w:rsidR="00AB3A69" w:rsidRPr="00581203" w14:paraId="10200D13" w14:textId="77777777" w:rsidTr="004B32A0">
        <w:trPr>
          <w:trHeight w:val="841"/>
        </w:trPr>
        <w:tc>
          <w:tcPr>
            <w:tcW w:w="1384" w:type="dxa"/>
          </w:tcPr>
          <w:p w14:paraId="475EE6BB" w14:textId="77777777" w:rsidR="00AB3A69" w:rsidRDefault="00AB3A69" w:rsidP="004B32A0">
            <w:pPr>
              <w:pStyle w:val="Applicationdirecte"/>
              <w:spacing w:before="120"/>
            </w:pPr>
            <w:r>
              <w:t>d</w:t>
            </w:r>
          </w:p>
        </w:tc>
        <w:tc>
          <w:tcPr>
            <w:tcW w:w="7655" w:type="dxa"/>
          </w:tcPr>
          <w:p w14:paraId="1EC670B2" w14:textId="77777777" w:rsidR="00AB3A69" w:rsidRDefault="00AB3A69" w:rsidP="004B32A0">
            <w:pPr>
              <w:pStyle w:val="Fait"/>
              <w:spacing w:after="120"/>
              <w:ind w:left="720"/>
              <w:rPr>
                <w:rFonts w:eastAsiaTheme="minorEastAsia"/>
                <w:b/>
              </w:rPr>
            </w:pPr>
            <w:r>
              <w:rPr>
                <w:rFonts w:eastAsiaTheme="minorEastAsia"/>
                <w:b/>
              </w:rPr>
              <w:t>Of which impaired</w:t>
            </w:r>
          </w:p>
          <w:p w14:paraId="3DDE318F" w14:textId="460FC7BB" w:rsidR="00AB3A69" w:rsidRPr="006172E4" w:rsidRDefault="00AB3A69" w:rsidP="004B32A0">
            <w:pPr>
              <w:pStyle w:val="Fait"/>
              <w:rPr>
                <w:rFonts w:eastAsiaTheme="minorEastAsia"/>
              </w:rPr>
            </w:pPr>
            <w:r>
              <w:rPr>
                <w:rFonts w:eastAsiaTheme="minorEastAsia"/>
              </w:rPr>
              <w:t>F</w:t>
            </w:r>
            <w:r w:rsidRPr="00C83329">
              <w:rPr>
                <w:rFonts w:eastAsiaTheme="minorEastAsia"/>
              </w:rPr>
              <w:t>orborne exposures that are also impaired in accordance with the applicable accounting framework under paragraph 215 of Part 2 of Annex V to Commission Implementing Regulation (EU) 680/2014.</w:t>
            </w:r>
          </w:p>
        </w:tc>
      </w:tr>
      <w:tr w:rsidR="00AB3A69" w:rsidRPr="00581203" w14:paraId="247AA0A7" w14:textId="77777777" w:rsidTr="004B32A0">
        <w:trPr>
          <w:trHeight w:val="841"/>
        </w:trPr>
        <w:tc>
          <w:tcPr>
            <w:tcW w:w="1384" w:type="dxa"/>
          </w:tcPr>
          <w:p w14:paraId="38A24860" w14:textId="77777777" w:rsidR="00AB3A69" w:rsidRDefault="00AB3A69" w:rsidP="004B32A0">
            <w:pPr>
              <w:pStyle w:val="Applicationdirecte"/>
              <w:spacing w:before="120"/>
            </w:pPr>
            <w:r>
              <w:t>e</w:t>
            </w:r>
          </w:p>
        </w:tc>
        <w:tc>
          <w:tcPr>
            <w:tcW w:w="7655" w:type="dxa"/>
          </w:tcPr>
          <w:p w14:paraId="44BF66BD" w14:textId="77777777" w:rsidR="00AB3A69" w:rsidRDefault="00AB3A69" w:rsidP="004B32A0">
            <w:pPr>
              <w:autoSpaceDE w:val="0"/>
              <w:autoSpaceDN w:val="0"/>
              <w:adjustRightInd w:val="0"/>
              <w:spacing w:before="120" w:after="120"/>
              <w:rPr>
                <w:rFonts w:ascii="Times New Roman" w:hAnsi="Times New Roman" w:cs="Times New Roman"/>
                <w:b/>
                <w:sz w:val="24"/>
                <w:lang w:val="en-GB"/>
              </w:rPr>
            </w:pPr>
            <w:r w:rsidRPr="005B2795">
              <w:rPr>
                <w:rFonts w:ascii="Times New Roman" w:hAnsi="Times New Roman" w:cs="Times New Roman"/>
                <w:b/>
                <w:sz w:val="24"/>
                <w:lang w:val="en-GB"/>
              </w:rPr>
              <w:t xml:space="preserve">Accumulated impairments, accumulated negative changes in fair value due to credit risk and provisions </w:t>
            </w:r>
            <w:r>
              <w:rPr>
                <w:rFonts w:ascii="Times New Roman" w:hAnsi="Times New Roman" w:cs="Times New Roman"/>
                <w:b/>
                <w:sz w:val="24"/>
                <w:lang w:val="en-GB"/>
              </w:rPr>
              <w:t>on performing forborne exposures</w:t>
            </w:r>
          </w:p>
          <w:p w14:paraId="7DD52EA8" w14:textId="666E236D" w:rsidR="00AB3A69" w:rsidRDefault="00AB3A69" w:rsidP="004B32A0">
            <w:pPr>
              <w:pStyle w:val="Fait"/>
            </w:pPr>
            <w:r>
              <w:t>T</w:t>
            </w:r>
            <w:r w:rsidRPr="003D52A3">
              <w:t xml:space="preserve">his </w:t>
            </w:r>
            <w:r w:rsidRPr="0017224C">
              <w:t>shall</w:t>
            </w:r>
            <w:r w:rsidRPr="003D52A3">
              <w:t xml:space="preserve"> include the amounts determined in accordance with paragraphs 11, 69 to 71, 106 and 110 of Part 2 of Annex V to Commission Implementing Regulation (EU) 680/2014.</w:t>
            </w:r>
          </w:p>
          <w:p w14:paraId="766BE69A" w14:textId="2A520C47" w:rsidR="00AB3A69" w:rsidRPr="00677F30" w:rsidRDefault="00B60D46" w:rsidP="00B60D46">
            <w:pPr>
              <w:pStyle w:val="Fait"/>
              <w:rPr>
                <w:rFonts w:eastAsiaTheme="minorEastAsia"/>
              </w:rPr>
            </w:pPr>
            <w:r>
              <w:t>Exposures with forbearance measures as defined in Article 47b CRR</w:t>
            </w:r>
            <w:r w:rsidR="00AB3A69" w:rsidRPr="00677F30">
              <w:t xml:space="preserve">. Depending on whether forborne exposures satisfy the required conditions set out in </w:t>
            </w:r>
            <w:r>
              <w:t>Article 47a and 47b</w:t>
            </w:r>
            <w:r w:rsidR="00BF4090">
              <w:t xml:space="preserve"> CRR</w:t>
            </w:r>
            <w:r w:rsidR="00AB3A69" w:rsidRPr="00677F30">
              <w:t xml:space="preserve">, they </w:t>
            </w:r>
            <w:proofErr w:type="gramStart"/>
            <w:r w:rsidR="00AB3A69" w:rsidRPr="00677F30">
              <w:t>can be identified</w:t>
            </w:r>
            <w:proofErr w:type="gramEnd"/>
            <w:r w:rsidR="00AB3A69" w:rsidRPr="00677F30">
              <w:t xml:space="preserve"> as performing or non-performing.</w:t>
            </w:r>
          </w:p>
        </w:tc>
      </w:tr>
      <w:tr w:rsidR="00AB3A69" w:rsidRPr="00581203" w14:paraId="6C6F976C" w14:textId="77777777" w:rsidTr="004B32A0">
        <w:trPr>
          <w:trHeight w:val="841"/>
        </w:trPr>
        <w:tc>
          <w:tcPr>
            <w:tcW w:w="1384" w:type="dxa"/>
          </w:tcPr>
          <w:p w14:paraId="0F71E024" w14:textId="77777777" w:rsidR="00AB3A69" w:rsidRDefault="00AB3A69" w:rsidP="004B32A0">
            <w:pPr>
              <w:pStyle w:val="Applicationdirecte"/>
              <w:spacing w:before="120"/>
            </w:pPr>
            <w:r>
              <w:t>f</w:t>
            </w:r>
          </w:p>
        </w:tc>
        <w:tc>
          <w:tcPr>
            <w:tcW w:w="7655" w:type="dxa"/>
          </w:tcPr>
          <w:p w14:paraId="1EB084C5" w14:textId="77777777" w:rsidR="00AB3A69" w:rsidRDefault="00AB3A69" w:rsidP="004B32A0">
            <w:pPr>
              <w:autoSpaceDE w:val="0"/>
              <w:autoSpaceDN w:val="0"/>
              <w:adjustRightInd w:val="0"/>
              <w:spacing w:before="120" w:after="120"/>
              <w:rPr>
                <w:rFonts w:ascii="Times New Roman" w:hAnsi="Times New Roman" w:cs="Times New Roman"/>
                <w:b/>
                <w:sz w:val="24"/>
                <w:lang w:val="en-GB"/>
              </w:rPr>
            </w:pPr>
            <w:r w:rsidRPr="005B2795">
              <w:rPr>
                <w:rFonts w:ascii="Times New Roman" w:hAnsi="Times New Roman" w:cs="Times New Roman"/>
                <w:b/>
                <w:sz w:val="24"/>
                <w:lang w:val="en-GB"/>
              </w:rPr>
              <w:t xml:space="preserve">Accumulated impairments, accumulated negative changes in fair value due to credit risk and provisions </w:t>
            </w:r>
            <w:r>
              <w:rPr>
                <w:rFonts w:ascii="Times New Roman" w:hAnsi="Times New Roman" w:cs="Times New Roman"/>
                <w:b/>
                <w:sz w:val="24"/>
                <w:lang w:val="en-GB"/>
              </w:rPr>
              <w:t>on non-performing forborne exposures</w:t>
            </w:r>
          </w:p>
          <w:p w14:paraId="74E23C2D" w14:textId="28ADC70D" w:rsidR="00AB3A69" w:rsidRDefault="00AB3A69" w:rsidP="004B32A0">
            <w:pPr>
              <w:pStyle w:val="Fait"/>
              <w:spacing w:after="120"/>
            </w:pPr>
            <w:r>
              <w:t>T</w:t>
            </w:r>
            <w:r w:rsidRPr="003D52A3">
              <w:t xml:space="preserve">his </w:t>
            </w:r>
            <w:r w:rsidRPr="0017224C">
              <w:t>shall</w:t>
            </w:r>
            <w:r w:rsidRPr="003D52A3">
              <w:t xml:space="preserve"> include the amounts determined in accordance with paragraphs 11, 69 to 71, 106 and 110 of Part 2 of Annex V to Commission Implementing Regulation (EU) 680/2014.</w:t>
            </w:r>
          </w:p>
          <w:p w14:paraId="262B768C" w14:textId="2DBA0D99" w:rsidR="00AB3A69" w:rsidRPr="00677F30" w:rsidRDefault="00AB3A69" w:rsidP="004B32A0">
            <w:pPr>
              <w:pStyle w:val="Fait"/>
              <w:spacing w:after="120"/>
              <w:rPr>
                <w:rFonts w:eastAsiaTheme="minorEastAsia"/>
              </w:rPr>
            </w:pPr>
            <w:r w:rsidRPr="00C83329">
              <w:t xml:space="preserve">Non-performing exposures with forbearance measures (non-performing forborne exposures) </w:t>
            </w:r>
            <w:r w:rsidRPr="0017224C">
              <w:t>shall</w:t>
            </w:r>
            <w:r w:rsidRPr="00C83329">
              <w:t xml:space="preserve"> comprise forborne exposures that meet the criteria to </w:t>
            </w:r>
            <w:proofErr w:type="gramStart"/>
            <w:r w:rsidRPr="00C83329">
              <w:t>be considered</w:t>
            </w:r>
            <w:proofErr w:type="gramEnd"/>
            <w:r w:rsidRPr="00C83329">
              <w:t xml:space="preserve"> non-performing and are included in the non-performing exposures category. Those non-performing forborne exposures are to include the following: (a) exposures that have become non-performing due to the application of forbearance measures; (b) exposures that were non-performing prior to the extension of forbearance measures; (c) forborne exposures that </w:t>
            </w:r>
            <w:proofErr w:type="gramStart"/>
            <w:r w:rsidRPr="00C83329">
              <w:lastRenderedPageBreak/>
              <w:t>have been reclassified</w:t>
            </w:r>
            <w:proofErr w:type="gramEnd"/>
            <w:r w:rsidRPr="00C83329">
              <w:t xml:space="preserve"> from the performing category, including exposures reclassified pursuant to </w:t>
            </w:r>
            <w:r w:rsidR="00B60D46">
              <w:t>Article 47a CRR</w:t>
            </w:r>
            <w:r w:rsidRPr="00C83329">
              <w:t>.</w:t>
            </w:r>
          </w:p>
        </w:tc>
      </w:tr>
      <w:tr w:rsidR="00AB3A69" w:rsidRPr="00581203" w14:paraId="0025D175" w14:textId="77777777" w:rsidTr="004B32A0">
        <w:trPr>
          <w:trHeight w:val="841"/>
        </w:trPr>
        <w:tc>
          <w:tcPr>
            <w:tcW w:w="1384" w:type="dxa"/>
          </w:tcPr>
          <w:p w14:paraId="1010FDC7" w14:textId="77777777" w:rsidR="00AB3A69" w:rsidRDefault="00AB3A69" w:rsidP="004B32A0">
            <w:pPr>
              <w:pStyle w:val="Applicationdirecte"/>
              <w:spacing w:before="120"/>
            </w:pPr>
            <w:r>
              <w:lastRenderedPageBreak/>
              <w:t>g</w:t>
            </w:r>
          </w:p>
        </w:tc>
        <w:tc>
          <w:tcPr>
            <w:tcW w:w="7655" w:type="dxa"/>
          </w:tcPr>
          <w:p w14:paraId="76E4725D" w14:textId="77777777" w:rsidR="00AB3A69" w:rsidRDefault="00AB3A69" w:rsidP="004B32A0">
            <w:pPr>
              <w:pStyle w:val="Fait"/>
              <w:spacing w:after="120"/>
              <w:rPr>
                <w:rFonts w:eastAsiaTheme="minorEastAsia"/>
                <w:b/>
              </w:rPr>
            </w:pPr>
            <w:r w:rsidRPr="00584246">
              <w:rPr>
                <w:rFonts w:eastAsiaTheme="minorEastAsia"/>
                <w:b/>
              </w:rPr>
              <w:t>Collateral received and financial guarantees received on forborne exposures</w:t>
            </w:r>
          </w:p>
          <w:p w14:paraId="35044708" w14:textId="55A8722F" w:rsidR="00AB3A69" w:rsidRPr="003D52A3" w:rsidRDefault="00AB3A69" w:rsidP="004B32A0">
            <w:pPr>
              <w:pStyle w:val="Fait"/>
              <w:spacing w:after="120"/>
              <w:rPr>
                <w:rFonts w:eastAsiaTheme="minorEastAsia"/>
              </w:rPr>
            </w:pPr>
            <w:r>
              <w:t>T</w:t>
            </w:r>
            <w:r w:rsidRPr="003D52A3">
              <w:t xml:space="preserve">hese </w:t>
            </w:r>
            <w:proofErr w:type="gramStart"/>
            <w:r w:rsidRPr="0017224C">
              <w:t>shall</w:t>
            </w:r>
            <w:r w:rsidRPr="003D52A3">
              <w:t xml:space="preserve"> be </w:t>
            </w:r>
            <w:r>
              <w:t>disclosed</w:t>
            </w:r>
            <w:proofErr w:type="gramEnd"/>
            <w:r w:rsidRPr="003D52A3">
              <w:t xml:space="preserve"> for all exposures with forbearance measures, regardless of their performing or non-performing status. Amounts </w:t>
            </w:r>
            <w:r>
              <w:t>disclosed</w:t>
            </w:r>
            <w:r w:rsidRPr="003D52A3">
              <w:t xml:space="preserve"> for collateral received and guarantees received </w:t>
            </w:r>
            <w:proofErr w:type="gramStart"/>
            <w:r w:rsidRPr="0017224C">
              <w:t>shall</w:t>
            </w:r>
            <w:r w:rsidRPr="003D52A3">
              <w:t xml:space="preserve"> be calculated</w:t>
            </w:r>
            <w:proofErr w:type="gramEnd"/>
            <w:r w:rsidRPr="003D52A3">
              <w:t xml:space="preserve"> in accordance with paragraph 239 of Part 2 of Annex V to Commission Implementing Regulation (EU) 680/2014. The sum of the amounts </w:t>
            </w:r>
            <w:r>
              <w:t>disclosed</w:t>
            </w:r>
            <w:r w:rsidRPr="003D52A3">
              <w:t xml:space="preserve"> for both collateral and guarantees is to </w:t>
            </w:r>
            <w:proofErr w:type="gramStart"/>
            <w:r w:rsidRPr="003D52A3">
              <w:t>be capped</w:t>
            </w:r>
            <w:proofErr w:type="gramEnd"/>
            <w:r w:rsidRPr="003D52A3">
              <w:t xml:space="preserve"> at the carrying amount of the related exposure.</w:t>
            </w:r>
          </w:p>
        </w:tc>
      </w:tr>
      <w:tr w:rsidR="00AB3A69" w:rsidRPr="00581203" w14:paraId="60E86BB2" w14:textId="77777777" w:rsidTr="004B32A0">
        <w:trPr>
          <w:trHeight w:val="841"/>
        </w:trPr>
        <w:tc>
          <w:tcPr>
            <w:tcW w:w="1384" w:type="dxa"/>
          </w:tcPr>
          <w:p w14:paraId="45E116EC" w14:textId="77777777" w:rsidR="00AB3A69" w:rsidRDefault="00AB3A69" w:rsidP="004B32A0">
            <w:pPr>
              <w:pStyle w:val="Applicationdirecte"/>
              <w:spacing w:before="120"/>
            </w:pPr>
            <w:r>
              <w:t>h</w:t>
            </w:r>
          </w:p>
        </w:tc>
        <w:tc>
          <w:tcPr>
            <w:tcW w:w="7655" w:type="dxa"/>
          </w:tcPr>
          <w:p w14:paraId="67393606" w14:textId="77777777" w:rsidR="00AB3A69" w:rsidRDefault="00AB3A69" w:rsidP="004B32A0">
            <w:pPr>
              <w:pStyle w:val="Fait"/>
              <w:spacing w:after="120"/>
              <w:ind w:left="720"/>
              <w:rPr>
                <w:rFonts w:eastAsiaTheme="minorEastAsia"/>
                <w:b/>
              </w:rPr>
            </w:pPr>
            <w:r w:rsidRPr="00584246">
              <w:rPr>
                <w:rFonts w:eastAsiaTheme="minorEastAsia"/>
                <w:b/>
              </w:rPr>
              <w:t>Of which collateral and financial guarantees received on non-performing exposures with forbearance measures</w:t>
            </w:r>
          </w:p>
          <w:p w14:paraId="18DA67B0" w14:textId="3A31597B" w:rsidR="00AB3A69" w:rsidRDefault="00AB3A69" w:rsidP="004B32A0">
            <w:pPr>
              <w:pStyle w:val="Fait"/>
              <w:spacing w:after="120"/>
            </w:pPr>
            <w:r w:rsidRPr="003D52A3">
              <w:t xml:space="preserve">Amounts </w:t>
            </w:r>
            <w:r>
              <w:t>disclosed</w:t>
            </w:r>
            <w:r w:rsidRPr="003D52A3">
              <w:t xml:space="preserve"> for collateral received and guarantees received </w:t>
            </w:r>
            <w:proofErr w:type="gramStart"/>
            <w:r w:rsidRPr="0017224C">
              <w:t>shall</w:t>
            </w:r>
            <w:r w:rsidRPr="003D52A3">
              <w:t xml:space="preserve"> be calculated</w:t>
            </w:r>
            <w:proofErr w:type="gramEnd"/>
            <w:r w:rsidRPr="003D52A3">
              <w:t xml:space="preserve"> in accordance with paragraph 239 of Part 2 of Annex V to Commission Implementing Regulation (EU) 680/2014. The sum of the amounts </w:t>
            </w:r>
            <w:r>
              <w:t>disclosed</w:t>
            </w:r>
            <w:r w:rsidRPr="003D52A3">
              <w:t xml:space="preserve"> for both collateral and guarantees is to </w:t>
            </w:r>
            <w:proofErr w:type="gramStart"/>
            <w:r w:rsidRPr="003D52A3">
              <w:t>be capped</w:t>
            </w:r>
            <w:proofErr w:type="gramEnd"/>
            <w:r w:rsidRPr="003D52A3">
              <w:t xml:space="preserve"> at the carrying amount of the related exposure.</w:t>
            </w:r>
          </w:p>
          <w:p w14:paraId="0DC886CF" w14:textId="12428673" w:rsidR="00AB3A69" w:rsidRPr="003D52A3" w:rsidRDefault="00AB3A69" w:rsidP="00B60D46">
            <w:pPr>
              <w:pStyle w:val="Fait"/>
              <w:spacing w:after="120"/>
              <w:rPr>
                <w:rFonts w:eastAsiaTheme="minorEastAsia"/>
              </w:rPr>
            </w:pPr>
            <w:r w:rsidRPr="00C83329">
              <w:t xml:space="preserve">Non-performing exposures with forbearance measures </w:t>
            </w:r>
            <w:r w:rsidRPr="003D52A3">
              <w:t xml:space="preserve">(non-performing forborne exposures) </w:t>
            </w:r>
            <w:r w:rsidRPr="0017224C">
              <w:t>shall</w:t>
            </w:r>
            <w:r w:rsidRPr="003D52A3">
              <w:t xml:space="preserve"> comprise forborne exposures that meet the criteria to </w:t>
            </w:r>
            <w:proofErr w:type="gramStart"/>
            <w:r w:rsidRPr="003D52A3">
              <w:t>be considered</w:t>
            </w:r>
            <w:proofErr w:type="gramEnd"/>
            <w:r w:rsidRPr="003D52A3">
              <w:t xml:space="preserve"> non-performing and are included in the non-performing exposures category. Those non-performing forborne exposures are to include the following: (a) exposures that have become non-performing due to the application of forbearance measures; (b) exposures that were non-performing prior to the extension of forbearance measures; (c) forborne exposures that </w:t>
            </w:r>
            <w:proofErr w:type="gramStart"/>
            <w:r w:rsidRPr="003D52A3">
              <w:t>have been reclassified</w:t>
            </w:r>
            <w:proofErr w:type="gramEnd"/>
            <w:r w:rsidRPr="003D52A3">
              <w:t xml:space="preserve"> from the performing category, including exposures reclassified pursuant to </w:t>
            </w:r>
            <w:r w:rsidR="00B60D46">
              <w:t>Article 47a CRR</w:t>
            </w:r>
            <w:r w:rsidRPr="003D52A3">
              <w:t>.</w:t>
            </w:r>
          </w:p>
        </w:tc>
      </w:tr>
    </w:tbl>
    <w:p w14:paraId="0B9D4F1A" w14:textId="77777777" w:rsidR="00AB3A69" w:rsidRDefault="00AB3A69" w:rsidP="005919E0">
      <w:pPr>
        <w:autoSpaceDE w:val="0"/>
        <w:autoSpaceDN w:val="0"/>
        <w:adjustRightInd w:val="0"/>
        <w:jc w:val="both"/>
        <w:rPr>
          <w:rFonts w:ascii="Times New Roman" w:hAnsi="Times New Roman" w:cs="Times New Roman"/>
          <w:b/>
          <w:sz w:val="24"/>
          <w:lang w:val="en-GB"/>
        </w:rPr>
      </w:pPr>
    </w:p>
    <w:p w14:paraId="15B16515" w14:textId="77777777" w:rsidR="00105CC4" w:rsidRDefault="00105CC4" w:rsidP="00FD04D2">
      <w:pPr>
        <w:autoSpaceDE w:val="0"/>
        <w:autoSpaceDN w:val="0"/>
        <w:adjustRightInd w:val="0"/>
        <w:spacing w:after="120"/>
        <w:rPr>
          <w:rFonts w:ascii="Times New Roman" w:hAnsi="Times New Roman" w:cs="Times New Roman"/>
          <w:b/>
          <w:sz w:val="24"/>
          <w:lang w:val="en-GB"/>
        </w:rPr>
      </w:pPr>
    </w:p>
    <w:p w14:paraId="28D01238" w14:textId="77777777" w:rsidR="00105CC4" w:rsidRDefault="00105CC4" w:rsidP="00FD04D2">
      <w:pPr>
        <w:autoSpaceDE w:val="0"/>
        <w:autoSpaceDN w:val="0"/>
        <w:adjustRightInd w:val="0"/>
        <w:spacing w:after="120"/>
        <w:rPr>
          <w:rFonts w:ascii="Times New Roman" w:hAnsi="Times New Roman" w:cs="Times New Roman"/>
          <w:b/>
          <w:sz w:val="24"/>
          <w:lang w:val="en-GB"/>
        </w:rPr>
      </w:pPr>
    </w:p>
    <w:p w14:paraId="4E4F531E" w14:textId="517FA454" w:rsidR="005919E0" w:rsidRDefault="005919E0" w:rsidP="00FD04D2">
      <w:pPr>
        <w:autoSpaceDE w:val="0"/>
        <w:autoSpaceDN w:val="0"/>
        <w:adjustRightInd w:val="0"/>
        <w:spacing w:after="120"/>
        <w:rPr>
          <w:rFonts w:ascii="Times New Roman" w:hAnsi="Times New Roman" w:cs="Times New Roman"/>
          <w:b/>
          <w:sz w:val="24"/>
          <w:lang w:val="en-GB"/>
        </w:rPr>
      </w:pPr>
      <w:r>
        <w:rPr>
          <w:rFonts w:ascii="Times New Roman" w:hAnsi="Times New Roman" w:cs="Times New Roman"/>
          <w:b/>
          <w:sz w:val="24"/>
          <w:lang w:val="en-GB"/>
        </w:rPr>
        <w:t xml:space="preserve">Template </w:t>
      </w:r>
      <w:r w:rsidR="007F2E62">
        <w:rPr>
          <w:rFonts w:ascii="Times New Roman" w:hAnsi="Times New Roman" w:cs="Times New Roman"/>
          <w:b/>
          <w:sz w:val="24"/>
          <w:lang w:val="en-GB"/>
        </w:rPr>
        <w:t xml:space="preserve">EU </w:t>
      </w:r>
      <w:r w:rsidR="009D2918">
        <w:rPr>
          <w:rFonts w:ascii="Times New Roman" w:hAnsi="Times New Roman" w:cs="Times New Roman"/>
          <w:b/>
          <w:sz w:val="24"/>
          <w:lang w:val="en-GB"/>
        </w:rPr>
        <w:t>CQ</w:t>
      </w:r>
      <w:r w:rsidR="007F2E62">
        <w:rPr>
          <w:rFonts w:ascii="Times New Roman" w:hAnsi="Times New Roman" w:cs="Times New Roman"/>
          <w:b/>
          <w:sz w:val="24"/>
          <w:lang w:val="en-GB"/>
        </w:rPr>
        <w:t>2</w:t>
      </w:r>
      <w:r w:rsidRPr="00581203">
        <w:rPr>
          <w:rFonts w:ascii="Times New Roman" w:hAnsi="Times New Roman" w:cs="Times New Roman"/>
          <w:b/>
          <w:sz w:val="24"/>
          <w:lang w:val="en-GB"/>
        </w:rPr>
        <w:t xml:space="preserve">: </w:t>
      </w:r>
      <w:r w:rsidRPr="005919E0">
        <w:rPr>
          <w:rFonts w:ascii="Times New Roman" w:hAnsi="Times New Roman" w:cs="Times New Roman"/>
          <w:b/>
          <w:sz w:val="24"/>
          <w:lang w:val="en-GB"/>
        </w:rPr>
        <w:t>Quality of forbearance</w:t>
      </w:r>
    </w:p>
    <w:p w14:paraId="6B26E196" w14:textId="66B846ED" w:rsidR="007F2E62" w:rsidRPr="00FE38E5" w:rsidRDefault="007F2E62" w:rsidP="00B256E9">
      <w:pPr>
        <w:pStyle w:val="ListParagraph"/>
        <w:numPr>
          <w:ilvl w:val="0"/>
          <w:numId w:val="44"/>
        </w:numPr>
        <w:spacing w:before="120" w:after="120"/>
        <w:jc w:val="both"/>
        <w:rPr>
          <w:rFonts w:ascii="Times New Roman" w:hAnsi="Times New Roman"/>
          <w:bCs/>
          <w:sz w:val="24"/>
        </w:rPr>
      </w:pPr>
      <w:r w:rsidRPr="00FE38E5">
        <w:rPr>
          <w:rFonts w:ascii="Times New Roman" w:hAnsi="Times New Roman"/>
          <w:bCs/>
          <w:sz w:val="24"/>
        </w:rPr>
        <w:t xml:space="preserve">Institutions shall apply the instructions provided below in this Annex in order to complete template EU CQ2 as presented in Annex </w:t>
      </w:r>
      <w:r w:rsidR="00A82A03">
        <w:rPr>
          <w:rFonts w:ascii="Times New Roman" w:hAnsi="Times New Roman"/>
          <w:bCs/>
          <w:sz w:val="24"/>
        </w:rPr>
        <w:t>XV</w:t>
      </w:r>
      <w:r w:rsidR="00BF4090">
        <w:rPr>
          <w:rFonts w:ascii="Times New Roman" w:hAnsi="Times New Roman"/>
          <w:bCs/>
          <w:sz w:val="24"/>
        </w:rPr>
        <w:t xml:space="preserve"> to this Implementing Regulation</w:t>
      </w:r>
      <w:r w:rsidRPr="00FE38E5">
        <w:rPr>
          <w:rFonts w:ascii="Times New Roman" w:hAnsi="Times New Roman"/>
          <w:bCs/>
          <w:sz w:val="24"/>
        </w:rPr>
        <w:t xml:space="preserve">, in application of </w:t>
      </w:r>
      <w:r w:rsidR="00D6319A">
        <w:rPr>
          <w:rFonts w:ascii="Times New Roman" w:hAnsi="Times New Roman"/>
          <w:bCs/>
          <w:sz w:val="24"/>
        </w:rPr>
        <w:t xml:space="preserve">point (c) of </w:t>
      </w:r>
      <w:r w:rsidRPr="00FE38E5">
        <w:rPr>
          <w:rFonts w:ascii="Times New Roman" w:hAnsi="Times New Roman"/>
          <w:bCs/>
          <w:sz w:val="24"/>
        </w:rPr>
        <w:t xml:space="preserve">Article 442 </w:t>
      </w:r>
      <w:r w:rsidRPr="00FE38E5">
        <w:rPr>
          <w:rFonts w:ascii="Times New Roman" w:hAnsi="Times New Roman"/>
          <w:noProof/>
          <w:color w:val="000000"/>
          <w:sz w:val="24"/>
        </w:rPr>
        <w:t>CRR</w:t>
      </w:r>
      <w:r w:rsidR="00AE5145" w:rsidRPr="00FE38E5">
        <w:rPr>
          <w:rFonts w:ascii="Times New Roman" w:hAnsi="Times New Roman"/>
          <w:bCs/>
          <w:sz w:val="24"/>
        </w:rPr>
        <w:t>.</w:t>
      </w:r>
    </w:p>
    <w:p w14:paraId="40D98C1B" w14:textId="77777777" w:rsidR="007F2E62" w:rsidRDefault="007F2E62" w:rsidP="005919E0">
      <w:pPr>
        <w:autoSpaceDE w:val="0"/>
        <w:autoSpaceDN w:val="0"/>
        <w:adjustRightInd w:val="0"/>
        <w:jc w:val="both"/>
        <w:rPr>
          <w:rFonts w:ascii="Times New Roman" w:hAnsi="Times New Roman" w:cs="Times New Roman"/>
          <w:b/>
          <w:sz w:val="24"/>
          <w:lang w:val="en-GB"/>
        </w:rPr>
      </w:pPr>
    </w:p>
    <w:p w14:paraId="54347925" w14:textId="77777777" w:rsidR="005919E0" w:rsidRPr="0043712F" w:rsidRDefault="005919E0" w:rsidP="005919E0">
      <w:pPr>
        <w:contextualSpacing/>
        <w:jc w:val="both"/>
        <w:rPr>
          <w:rFonts w:ascii="Times New Roman" w:hAnsi="Times New Roman"/>
          <w:sz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5919E0" w:rsidRPr="00581203" w14:paraId="4C29FAE4" w14:textId="77777777" w:rsidTr="005919E0">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1852B6" w14:textId="77777777" w:rsidR="005919E0" w:rsidRPr="00581203" w:rsidRDefault="005919E0" w:rsidP="005919E0">
            <w:pPr>
              <w:rPr>
                <w:rFonts w:ascii="Times New Roman" w:hAnsi="Times New Roman" w:cs="Times New Roman"/>
                <w:b/>
                <w:sz w:val="24"/>
                <w:lang w:val="en-GB"/>
              </w:rPr>
            </w:pPr>
            <w:r w:rsidRPr="00581203">
              <w:rPr>
                <w:rFonts w:ascii="Times New Roman" w:hAnsi="Times New Roman" w:cs="Times New Roman"/>
                <w:b/>
                <w:sz w:val="24"/>
                <w:lang w:val="en-GB"/>
              </w:rPr>
              <w:t>Legal references and instructions</w:t>
            </w:r>
          </w:p>
        </w:tc>
      </w:tr>
      <w:tr w:rsidR="005919E0" w:rsidRPr="00581203" w14:paraId="3A5A6D1A" w14:textId="77777777" w:rsidTr="005919E0">
        <w:trPr>
          <w:trHeight w:val="238"/>
        </w:trPr>
        <w:tc>
          <w:tcPr>
            <w:tcW w:w="1384" w:type="dxa"/>
            <w:shd w:val="clear" w:color="auto" w:fill="D9D9D9" w:themeFill="background1" w:themeFillShade="D9"/>
          </w:tcPr>
          <w:p w14:paraId="018AD087" w14:textId="77777777" w:rsidR="005919E0" w:rsidRPr="00581203" w:rsidRDefault="005919E0" w:rsidP="005919E0">
            <w:pPr>
              <w:autoSpaceDE w:val="0"/>
              <w:autoSpaceDN w:val="0"/>
              <w:adjustRightInd w:val="0"/>
              <w:rPr>
                <w:rFonts w:ascii="Times New Roman" w:hAnsi="Times New Roman" w:cs="Times New Roman"/>
                <w:b/>
                <w:sz w:val="24"/>
                <w:lang w:val="en-GB"/>
              </w:rPr>
            </w:pPr>
            <w:r w:rsidRPr="00581203">
              <w:rPr>
                <w:rFonts w:ascii="Times New Roman" w:hAnsi="Times New Roman" w:cs="Times New Roman"/>
                <w:b/>
                <w:sz w:val="24"/>
                <w:lang w:val="en-GB"/>
              </w:rPr>
              <w:t>Row number</w:t>
            </w:r>
          </w:p>
        </w:tc>
        <w:tc>
          <w:tcPr>
            <w:tcW w:w="7655" w:type="dxa"/>
            <w:shd w:val="clear" w:color="auto" w:fill="D9D9D9" w:themeFill="background1" w:themeFillShade="D9"/>
          </w:tcPr>
          <w:p w14:paraId="456E7A66" w14:textId="77777777" w:rsidR="005919E0" w:rsidRPr="0043712F" w:rsidRDefault="005919E0" w:rsidP="005919E0">
            <w:pPr>
              <w:autoSpaceDE w:val="0"/>
              <w:autoSpaceDN w:val="0"/>
              <w:adjustRightInd w:val="0"/>
              <w:rPr>
                <w:rFonts w:ascii="Times New Roman" w:hAnsi="Times New Roman" w:cs="Times New Roman"/>
                <w:color w:val="000000"/>
                <w:sz w:val="24"/>
                <w:lang w:val="en-GB"/>
              </w:rPr>
            </w:pPr>
            <w:r w:rsidRPr="00581203">
              <w:rPr>
                <w:rFonts w:ascii="Times New Roman" w:hAnsi="Times New Roman" w:cs="Times New Roman"/>
                <w:b/>
                <w:sz w:val="24"/>
                <w:lang w:val="en-GB"/>
              </w:rPr>
              <w:t>Explanation</w:t>
            </w:r>
          </w:p>
        </w:tc>
      </w:tr>
      <w:tr w:rsidR="005919E0" w:rsidRPr="00581203" w14:paraId="762DE231" w14:textId="77777777" w:rsidTr="005919E0">
        <w:trPr>
          <w:trHeight w:val="2033"/>
        </w:trPr>
        <w:tc>
          <w:tcPr>
            <w:tcW w:w="1384" w:type="dxa"/>
          </w:tcPr>
          <w:p w14:paraId="3A185FC7" w14:textId="759C0B60" w:rsidR="005919E0" w:rsidRPr="00581203" w:rsidRDefault="005919E0" w:rsidP="005919E0">
            <w:pPr>
              <w:pStyle w:val="Applicationdirecte"/>
              <w:spacing w:before="120"/>
            </w:pPr>
            <w:r>
              <w:lastRenderedPageBreak/>
              <w:t>010</w:t>
            </w:r>
          </w:p>
        </w:tc>
        <w:tc>
          <w:tcPr>
            <w:tcW w:w="7655" w:type="dxa"/>
          </w:tcPr>
          <w:p w14:paraId="2FA3D26F" w14:textId="159E78CD" w:rsidR="005919E0" w:rsidRDefault="00532DDA" w:rsidP="005919E0">
            <w:pPr>
              <w:pStyle w:val="Applicationdirecte"/>
              <w:spacing w:before="120"/>
              <w:rPr>
                <w:b/>
              </w:rPr>
            </w:pPr>
            <w:r>
              <w:rPr>
                <w:b/>
              </w:rPr>
              <w:t>Loans and advances that have</w:t>
            </w:r>
            <w:r w:rsidR="005919E0" w:rsidRPr="005919E0">
              <w:rPr>
                <w:b/>
              </w:rPr>
              <w:t xml:space="preserve"> been forborne more than twice</w:t>
            </w:r>
          </w:p>
          <w:p w14:paraId="779A514D" w14:textId="0F9F992A" w:rsidR="005919E0" w:rsidRPr="004D3597" w:rsidRDefault="005919E0" w:rsidP="005919E0">
            <w:pPr>
              <w:pStyle w:val="Fait"/>
            </w:pPr>
            <w:r>
              <w:t>G</w:t>
            </w:r>
            <w:r w:rsidRPr="005919E0">
              <w:t xml:space="preserve">ross carrying amount of loans and advances that </w:t>
            </w:r>
            <w:proofErr w:type="gramStart"/>
            <w:r w:rsidRPr="005919E0">
              <w:t>had been granted</w:t>
            </w:r>
            <w:proofErr w:type="gramEnd"/>
            <w:r w:rsidRPr="005919E0">
              <w:t xml:space="preserve"> forbearance measures in the past and more than twice. Loans and advances for which forbearance </w:t>
            </w:r>
            <w:proofErr w:type="gramStart"/>
            <w:r w:rsidRPr="005919E0">
              <w:t>was granted</w:t>
            </w:r>
            <w:proofErr w:type="gramEnd"/>
            <w:r w:rsidRPr="005919E0">
              <w:t xml:space="preserve"> that exited the forborne category (i.e. cured forborne loans and advances) are also included here when a new forborne measure has been granted.</w:t>
            </w:r>
          </w:p>
        </w:tc>
      </w:tr>
      <w:tr w:rsidR="005919E0" w:rsidRPr="00581203" w14:paraId="00156037" w14:textId="77777777" w:rsidTr="005919E0">
        <w:trPr>
          <w:trHeight w:val="316"/>
        </w:trPr>
        <w:tc>
          <w:tcPr>
            <w:tcW w:w="1384" w:type="dxa"/>
          </w:tcPr>
          <w:p w14:paraId="594B6F4E" w14:textId="6E1F49A1" w:rsidR="005919E0" w:rsidRPr="0043712F" w:rsidRDefault="005919E0" w:rsidP="005919E0">
            <w:pPr>
              <w:autoSpaceDE w:val="0"/>
              <w:autoSpaceDN w:val="0"/>
              <w:adjustRightInd w:val="0"/>
              <w:rPr>
                <w:rFonts w:ascii="Times New Roman" w:hAnsi="Times New Roman" w:cs="Times New Roman"/>
                <w:color w:val="000000"/>
                <w:sz w:val="24"/>
                <w:lang w:val="en-GB"/>
              </w:rPr>
            </w:pPr>
            <w:r>
              <w:rPr>
                <w:rFonts w:ascii="Times New Roman" w:eastAsia="Times New Roman" w:hAnsi="Times New Roman" w:cs="Times New Roman"/>
                <w:sz w:val="24"/>
                <w:lang w:val="en-GB"/>
              </w:rPr>
              <w:t>020</w:t>
            </w:r>
          </w:p>
        </w:tc>
        <w:tc>
          <w:tcPr>
            <w:tcW w:w="7655" w:type="dxa"/>
          </w:tcPr>
          <w:p w14:paraId="05E022D2" w14:textId="77777777" w:rsidR="005919E0" w:rsidRDefault="005919E0" w:rsidP="005919E0">
            <w:pPr>
              <w:autoSpaceDE w:val="0"/>
              <w:autoSpaceDN w:val="0"/>
              <w:adjustRightInd w:val="0"/>
              <w:rPr>
                <w:rFonts w:ascii="Times New Roman" w:hAnsi="Times New Roman" w:cs="Times New Roman"/>
                <w:b/>
                <w:sz w:val="24"/>
                <w:lang w:val="en-GB"/>
              </w:rPr>
            </w:pPr>
            <w:r w:rsidRPr="005919E0">
              <w:rPr>
                <w:rFonts w:ascii="Times New Roman" w:hAnsi="Times New Roman" w:cs="Times New Roman"/>
                <w:b/>
                <w:sz w:val="24"/>
                <w:lang w:val="en-GB"/>
              </w:rPr>
              <w:t>Non-performing forborne loans and advances that failed to meet the non-performing exit criteria</w:t>
            </w:r>
          </w:p>
          <w:p w14:paraId="3DF9E6C4" w14:textId="2B27320A" w:rsidR="005919E0" w:rsidRPr="005919E0" w:rsidRDefault="005919E0" w:rsidP="005919E0">
            <w:pPr>
              <w:pStyle w:val="Fait"/>
            </w:pPr>
            <w:proofErr w:type="gramStart"/>
            <w:r>
              <w:t>G</w:t>
            </w:r>
            <w:r w:rsidRPr="005919E0">
              <w:t>ross carrying amount of non-performing forborne loans and advances that are in the category of non-performing forborne loans and advances under the cure period of 1 year and that failed to comply with the forbearance measures after the 12-month cure period and therefore did not succeed in moving towards performing forborne status but retained non-performing forborne within cure period status.</w:t>
            </w:r>
            <w:proofErr w:type="gramEnd"/>
            <w:r w:rsidRPr="005919E0">
              <w:t xml:space="preserve"> </w:t>
            </w:r>
          </w:p>
          <w:p w14:paraId="3716C877" w14:textId="77777777" w:rsidR="005919E0" w:rsidRPr="003F5E9A" w:rsidRDefault="005919E0" w:rsidP="005919E0">
            <w:pPr>
              <w:autoSpaceDE w:val="0"/>
              <w:autoSpaceDN w:val="0"/>
              <w:adjustRightInd w:val="0"/>
              <w:rPr>
                <w:rFonts w:ascii="Times New Roman" w:hAnsi="Times New Roman" w:cs="Times New Roman"/>
                <w:b/>
                <w:sz w:val="24"/>
                <w:lang w:val="en-GB"/>
              </w:rPr>
            </w:pPr>
          </w:p>
        </w:tc>
      </w:tr>
    </w:tbl>
    <w:p w14:paraId="4F18CF6F" w14:textId="77777777" w:rsidR="005919E0" w:rsidRPr="0043712F" w:rsidRDefault="005919E0" w:rsidP="005919E0">
      <w:pPr>
        <w:rPr>
          <w:rFonts w:ascii="Times New Roman" w:hAnsi="Times New Roman" w:cs="Times New Roman"/>
          <w:sz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5919E0" w:rsidRPr="00581203" w14:paraId="30D24554" w14:textId="77777777" w:rsidTr="005919E0">
        <w:trPr>
          <w:trHeight w:val="238"/>
        </w:trPr>
        <w:tc>
          <w:tcPr>
            <w:tcW w:w="9039" w:type="dxa"/>
            <w:gridSpan w:val="2"/>
            <w:shd w:val="clear" w:color="auto" w:fill="D9D9D9" w:themeFill="background1" w:themeFillShade="D9"/>
          </w:tcPr>
          <w:p w14:paraId="05DAAAAC" w14:textId="77777777" w:rsidR="005919E0" w:rsidRPr="00581203" w:rsidRDefault="005919E0" w:rsidP="005919E0">
            <w:pPr>
              <w:autoSpaceDE w:val="0"/>
              <w:autoSpaceDN w:val="0"/>
              <w:adjustRightInd w:val="0"/>
              <w:rPr>
                <w:rFonts w:ascii="Times New Roman" w:hAnsi="Times New Roman" w:cs="Times New Roman"/>
                <w:b/>
                <w:sz w:val="24"/>
                <w:lang w:val="en-GB"/>
              </w:rPr>
            </w:pPr>
            <w:r w:rsidRPr="00581203">
              <w:rPr>
                <w:rFonts w:ascii="Times New Roman" w:hAnsi="Times New Roman" w:cs="Times New Roman"/>
                <w:b/>
                <w:sz w:val="24"/>
                <w:lang w:val="en-GB"/>
              </w:rPr>
              <w:t>Legal references and instructions</w:t>
            </w:r>
          </w:p>
        </w:tc>
      </w:tr>
      <w:tr w:rsidR="005919E0" w:rsidRPr="00581203" w14:paraId="1925C0C1" w14:textId="77777777" w:rsidTr="005919E0">
        <w:trPr>
          <w:trHeight w:val="238"/>
        </w:trPr>
        <w:tc>
          <w:tcPr>
            <w:tcW w:w="1384" w:type="dxa"/>
            <w:shd w:val="clear" w:color="auto" w:fill="D9D9D9" w:themeFill="background1" w:themeFillShade="D9"/>
          </w:tcPr>
          <w:p w14:paraId="0DBA6DE0" w14:textId="77777777" w:rsidR="005919E0" w:rsidRPr="00581203" w:rsidRDefault="005919E0" w:rsidP="005919E0">
            <w:pPr>
              <w:autoSpaceDE w:val="0"/>
              <w:autoSpaceDN w:val="0"/>
              <w:adjustRightInd w:val="0"/>
              <w:rPr>
                <w:rFonts w:ascii="Times New Roman" w:hAnsi="Times New Roman" w:cs="Times New Roman"/>
                <w:b/>
                <w:sz w:val="24"/>
                <w:lang w:val="en-GB"/>
              </w:rPr>
            </w:pPr>
            <w:r w:rsidRPr="00532DDA">
              <w:rPr>
                <w:rFonts w:ascii="Times New Roman" w:hAnsi="Times New Roman" w:cs="Times New Roman"/>
                <w:b/>
                <w:sz w:val="24"/>
                <w:lang w:val="en-GB"/>
              </w:rPr>
              <w:t>Column number</w:t>
            </w:r>
          </w:p>
        </w:tc>
        <w:tc>
          <w:tcPr>
            <w:tcW w:w="7655" w:type="dxa"/>
            <w:shd w:val="clear" w:color="auto" w:fill="D9D9D9" w:themeFill="background1" w:themeFillShade="D9"/>
          </w:tcPr>
          <w:p w14:paraId="4415F35B" w14:textId="77777777" w:rsidR="005919E0" w:rsidRPr="004D3597" w:rsidRDefault="005919E0" w:rsidP="005919E0">
            <w:pPr>
              <w:autoSpaceDE w:val="0"/>
              <w:autoSpaceDN w:val="0"/>
              <w:adjustRightInd w:val="0"/>
              <w:rPr>
                <w:rFonts w:ascii="Times New Roman" w:hAnsi="Times New Roman" w:cs="Times New Roman"/>
                <w:b/>
                <w:sz w:val="24"/>
                <w:lang w:val="en-GB"/>
              </w:rPr>
            </w:pPr>
            <w:r w:rsidRPr="00581203">
              <w:rPr>
                <w:rFonts w:ascii="Times New Roman" w:hAnsi="Times New Roman" w:cs="Times New Roman"/>
                <w:b/>
                <w:sz w:val="24"/>
                <w:lang w:val="en-GB"/>
              </w:rPr>
              <w:t>Explanation</w:t>
            </w:r>
          </w:p>
        </w:tc>
      </w:tr>
      <w:tr w:rsidR="005919E0" w:rsidRPr="00581203" w14:paraId="0CBC3EDE" w14:textId="77777777" w:rsidTr="005919E0">
        <w:trPr>
          <w:trHeight w:val="841"/>
        </w:trPr>
        <w:tc>
          <w:tcPr>
            <w:tcW w:w="1384" w:type="dxa"/>
          </w:tcPr>
          <w:p w14:paraId="586065A8" w14:textId="4AF60A3C" w:rsidR="005919E0" w:rsidRPr="00581203" w:rsidRDefault="005919E0" w:rsidP="005919E0">
            <w:pPr>
              <w:pStyle w:val="Applicationdirecte"/>
              <w:spacing w:before="120"/>
            </w:pPr>
            <w:r>
              <w:t>a</w:t>
            </w:r>
          </w:p>
        </w:tc>
        <w:tc>
          <w:tcPr>
            <w:tcW w:w="7655" w:type="dxa"/>
          </w:tcPr>
          <w:p w14:paraId="0528CB0E" w14:textId="4FE5C733" w:rsidR="005919E0" w:rsidRDefault="005919E0" w:rsidP="005919E0">
            <w:pPr>
              <w:pStyle w:val="Fait"/>
              <w:spacing w:after="120"/>
              <w:rPr>
                <w:rFonts w:eastAsiaTheme="minorEastAsia"/>
                <w:b/>
              </w:rPr>
            </w:pPr>
            <w:r w:rsidRPr="00224E28">
              <w:rPr>
                <w:rFonts w:eastAsiaTheme="minorEastAsia"/>
                <w:b/>
              </w:rPr>
              <w:t xml:space="preserve">Gross carrying amount </w:t>
            </w:r>
            <w:r w:rsidR="00532DDA">
              <w:rPr>
                <w:rFonts w:eastAsiaTheme="minorEastAsia"/>
                <w:b/>
              </w:rPr>
              <w:t>of forborne exposures</w:t>
            </w:r>
          </w:p>
          <w:p w14:paraId="6B6AB68D" w14:textId="1B8D5400" w:rsidR="005919E0" w:rsidRPr="00D63DB7" w:rsidRDefault="00D63DB7" w:rsidP="005919E0">
            <w:pPr>
              <w:pStyle w:val="Institutionquisigne"/>
              <w:spacing w:before="120"/>
              <w:rPr>
                <w:i w:val="0"/>
              </w:rPr>
            </w:pPr>
            <w:r w:rsidRPr="00D63DB7">
              <w:rPr>
                <w:i w:val="0"/>
              </w:rPr>
              <w:t>Gross carrying amount as defined in paragraph 34 of Part 1 of Annex V to Commission Implementing Regulation (EU) 680/2014.</w:t>
            </w:r>
          </w:p>
          <w:p w14:paraId="435771F9" w14:textId="17DC560D" w:rsidR="00D63DB7" w:rsidRPr="00D63DB7" w:rsidRDefault="00B60D46" w:rsidP="00B60D46">
            <w:pPr>
              <w:pStyle w:val="Personnequisigne"/>
              <w:spacing w:before="120"/>
            </w:pPr>
            <w:r>
              <w:rPr>
                <w:i w:val="0"/>
              </w:rPr>
              <w:t>E</w:t>
            </w:r>
            <w:r w:rsidRPr="00B60D46">
              <w:rPr>
                <w:i w:val="0"/>
              </w:rPr>
              <w:t>xposures with forbearance measures as defined in Article 47b CRR</w:t>
            </w:r>
            <w:r w:rsidR="00D63DB7" w:rsidRPr="00C83329">
              <w:rPr>
                <w:i w:val="0"/>
              </w:rPr>
              <w:t xml:space="preserve">. Depending on whether forborne exposures satisfy the required conditions set out in </w:t>
            </w:r>
            <w:r>
              <w:rPr>
                <w:i w:val="0"/>
              </w:rPr>
              <w:t>Article 47a or 47b</w:t>
            </w:r>
            <w:r w:rsidR="00BF4090">
              <w:rPr>
                <w:i w:val="0"/>
              </w:rPr>
              <w:t xml:space="preserve"> CRR</w:t>
            </w:r>
            <w:r w:rsidR="00D63DB7" w:rsidRPr="00C83329">
              <w:rPr>
                <w:i w:val="0"/>
              </w:rPr>
              <w:t xml:space="preserve">, they </w:t>
            </w:r>
            <w:proofErr w:type="gramStart"/>
            <w:r w:rsidR="00D63DB7" w:rsidRPr="00C83329">
              <w:rPr>
                <w:i w:val="0"/>
              </w:rPr>
              <w:t>can be identified</w:t>
            </w:r>
            <w:proofErr w:type="gramEnd"/>
            <w:r w:rsidR="00D63DB7" w:rsidRPr="00C83329">
              <w:rPr>
                <w:i w:val="0"/>
              </w:rPr>
              <w:t xml:space="preserve"> as performing or non-performing.</w:t>
            </w:r>
          </w:p>
        </w:tc>
      </w:tr>
    </w:tbl>
    <w:p w14:paraId="4AF09C65" w14:textId="011C5B59" w:rsidR="005919E0" w:rsidRDefault="005919E0" w:rsidP="005919E0">
      <w:pPr>
        <w:autoSpaceDE w:val="0"/>
        <w:autoSpaceDN w:val="0"/>
        <w:adjustRightInd w:val="0"/>
        <w:jc w:val="both"/>
        <w:rPr>
          <w:rFonts w:ascii="Times New Roman" w:hAnsi="Times New Roman" w:cs="Times New Roman"/>
          <w:b/>
          <w:sz w:val="24"/>
          <w:lang w:val="en-GB"/>
        </w:rPr>
      </w:pPr>
    </w:p>
    <w:p w14:paraId="37E92360" w14:textId="77777777" w:rsidR="005919E0" w:rsidRDefault="005919E0" w:rsidP="005919E0">
      <w:pPr>
        <w:autoSpaceDE w:val="0"/>
        <w:autoSpaceDN w:val="0"/>
        <w:adjustRightInd w:val="0"/>
        <w:jc w:val="both"/>
        <w:rPr>
          <w:rFonts w:ascii="Times New Roman" w:hAnsi="Times New Roman" w:cs="Times New Roman"/>
          <w:b/>
          <w:sz w:val="24"/>
          <w:lang w:val="en-GB"/>
        </w:rPr>
      </w:pPr>
    </w:p>
    <w:p w14:paraId="3344E7A4" w14:textId="164B1FF7" w:rsidR="005919E0" w:rsidRDefault="005919E0" w:rsidP="005919E0">
      <w:pPr>
        <w:autoSpaceDE w:val="0"/>
        <w:autoSpaceDN w:val="0"/>
        <w:adjustRightInd w:val="0"/>
        <w:jc w:val="both"/>
        <w:rPr>
          <w:rFonts w:ascii="Times New Roman" w:hAnsi="Times New Roman" w:cs="Times New Roman"/>
          <w:b/>
          <w:sz w:val="24"/>
          <w:lang w:val="en-GB"/>
        </w:rPr>
      </w:pPr>
      <w:r>
        <w:rPr>
          <w:rFonts w:ascii="Times New Roman" w:hAnsi="Times New Roman" w:cs="Times New Roman"/>
          <w:b/>
          <w:sz w:val="24"/>
          <w:lang w:val="en-GB"/>
        </w:rPr>
        <w:t xml:space="preserve">Template </w:t>
      </w:r>
      <w:r w:rsidR="007F2E62">
        <w:rPr>
          <w:rFonts w:ascii="Times New Roman" w:hAnsi="Times New Roman" w:cs="Times New Roman"/>
          <w:b/>
          <w:sz w:val="24"/>
          <w:lang w:val="en-GB"/>
        </w:rPr>
        <w:t xml:space="preserve">EU </w:t>
      </w:r>
      <w:r w:rsidR="009D2918">
        <w:rPr>
          <w:rFonts w:ascii="Times New Roman" w:hAnsi="Times New Roman" w:cs="Times New Roman"/>
          <w:b/>
          <w:sz w:val="24"/>
          <w:lang w:val="en-GB"/>
        </w:rPr>
        <w:t>CQ</w:t>
      </w:r>
      <w:r w:rsidR="007F2E62">
        <w:rPr>
          <w:rFonts w:ascii="Times New Roman" w:hAnsi="Times New Roman" w:cs="Times New Roman"/>
          <w:b/>
          <w:sz w:val="24"/>
          <w:lang w:val="en-GB"/>
        </w:rPr>
        <w:t>3</w:t>
      </w:r>
      <w:r w:rsidRPr="00581203">
        <w:rPr>
          <w:rFonts w:ascii="Times New Roman" w:hAnsi="Times New Roman" w:cs="Times New Roman"/>
          <w:b/>
          <w:sz w:val="24"/>
          <w:lang w:val="en-GB"/>
        </w:rPr>
        <w:t xml:space="preserve">: </w:t>
      </w:r>
      <w:r w:rsidRPr="005919E0">
        <w:rPr>
          <w:rFonts w:ascii="Times New Roman" w:hAnsi="Times New Roman" w:cs="Times New Roman"/>
          <w:b/>
          <w:sz w:val="24"/>
          <w:lang w:val="en-GB"/>
        </w:rPr>
        <w:t>Credit quality of performing and non-performing exposures by past due days</w:t>
      </w:r>
    </w:p>
    <w:p w14:paraId="2B047D03" w14:textId="663CAA17" w:rsidR="007F2E62" w:rsidRDefault="007F2E62" w:rsidP="005919E0">
      <w:pPr>
        <w:autoSpaceDE w:val="0"/>
        <w:autoSpaceDN w:val="0"/>
        <w:adjustRightInd w:val="0"/>
        <w:jc w:val="both"/>
        <w:rPr>
          <w:rFonts w:ascii="Times New Roman" w:hAnsi="Times New Roman" w:cs="Times New Roman"/>
          <w:b/>
          <w:sz w:val="24"/>
          <w:lang w:val="en-GB"/>
        </w:rPr>
      </w:pPr>
    </w:p>
    <w:p w14:paraId="445F3850" w14:textId="4685E14B" w:rsidR="007F2E62" w:rsidRPr="00FE38E5" w:rsidRDefault="007F2E62" w:rsidP="00B256E9">
      <w:pPr>
        <w:pStyle w:val="ListParagraph"/>
        <w:numPr>
          <w:ilvl w:val="0"/>
          <w:numId w:val="45"/>
        </w:numPr>
        <w:spacing w:before="120" w:after="120"/>
        <w:jc w:val="both"/>
        <w:rPr>
          <w:rFonts w:ascii="Times New Roman" w:hAnsi="Times New Roman"/>
          <w:bCs/>
          <w:sz w:val="24"/>
        </w:rPr>
      </w:pPr>
      <w:r w:rsidRPr="00FE38E5">
        <w:rPr>
          <w:rFonts w:ascii="Times New Roman" w:hAnsi="Times New Roman"/>
          <w:bCs/>
          <w:sz w:val="24"/>
        </w:rPr>
        <w:t xml:space="preserve">Institutions shall apply the instructions provided below in this Annex in order to complete template EU CQ3 as presented in Annex </w:t>
      </w:r>
      <w:r w:rsidR="00A82A03">
        <w:rPr>
          <w:rFonts w:ascii="Times New Roman" w:hAnsi="Times New Roman"/>
          <w:bCs/>
          <w:sz w:val="24"/>
        </w:rPr>
        <w:t>XV</w:t>
      </w:r>
      <w:r w:rsidR="00BF4090">
        <w:rPr>
          <w:rFonts w:ascii="Times New Roman" w:hAnsi="Times New Roman"/>
          <w:bCs/>
          <w:sz w:val="24"/>
        </w:rPr>
        <w:t xml:space="preserve"> to this Implementing Regulation</w:t>
      </w:r>
      <w:r w:rsidRPr="00FE38E5">
        <w:rPr>
          <w:rFonts w:ascii="Times New Roman" w:hAnsi="Times New Roman"/>
          <w:bCs/>
          <w:sz w:val="24"/>
        </w:rPr>
        <w:t xml:space="preserve">, in application of </w:t>
      </w:r>
      <w:r w:rsidR="00D6319A">
        <w:rPr>
          <w:rFonts w:ascii="Times New Roman" w:hAnsi="Times New Roman"/>
          <w:bCs/>
          <w:sz w:val="24"/>
        </w:rPr>
        <w:t xml:space="preserve">point (d) of </w:t>
      </w:r>
      <w:r w:rsidRPr="00FE38E5">
        <w:rPr>
          <w:rFonts w:ascii="Times New Roman" w:hAnsi="Times New Roman"/>
          <w:bCs/>
          <w:sz w:val="24"/>
        </w:rPr>
        <w:t xml:space="preserve">Article 442 </w:t>
      </w:r>
      <w:r w:rsidRPr="00FE38E5">
        <w:rPr>
          <w:rFonts w:ascii="Times New Roman" w:hAnsi="Times New Roman"/>
          <w:noProof/>
          <w:color w:val="000000"/>
          <w:sz w:val="24"/>
        </w:rPr>
        <w:t>CRR</w:t>
      </w:r>
      <w:r w:rsidRPr="00FE38E5">
        <w:rPr>
          <w:rFonts w:ascii="Times New Roman" w:hAnsi="Times New Roman"/>
          <w:bCs/>
          <w:sz w:val="24"/>
        </w:rPr>
        <w:t>.</w:t>
      </w:r>
    </w:p>
    <w:p w14:paraId="40562892" w14:textId="77777777" w:rsidR="007F2E62" w:rsidRDefault="007F2E62" w:rsidP="005919E0">
      <w:pPr>
        <w:autoSpaceDE w:val="0"/>
        <w:autoSpaceDN w:val="0"/>
        <w:adjustRightInd w:val="0"/>
        <w:jc w:val="both"/>
        <w:rPr>
          <w:rFonts w:ascii="Times New Roman" w:hAnsi="Times New Roman" w:cs="Times New Roman"/>
          <w:b/>
          <w:sz w:val="24"/>
          <w:lang w:val="en-GB"/>
        </w:rPr>
      </w:pPr>
    </w:p>
    <w:p w14:paraId="75774322" w14:textId="77777777" w:rsidR="005919E0" w:rsidRPr="0043712F" w:rsidRDefault="005919E0" w:rsidP="005919E0">
      <w:pPr>
        <w:contextualSpacing/>
        <w:jc w:val="both"/>
        <w:rPr>
          <w:rFonts w:ascii="Times New Roman" w:hAnsi="Times New Roman"/>
          <w:sz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5919E0" w:rsidRPr="00581203" w14:paraId="65877F16" w14:textId="77777777" w:rsidTr="005919E0">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577745" w14:textId="77777777" w:rsidR="005919E0" w:rsidRPr="00581203" w:rsidRDefault="005919E0" w:rsidP="005919E0">
            <w:pPr>
              <w:rPr>
                <w:rFonts w:ascii="Times New Roman" w:hAnsi="Times New Roman" w:cs="Times New Roman"/>
                <w:b/>
                <w:sz w:val="24"/>
                <w:lang w:val="en-GB"/>
              </w:rPr>
            </w:pPr>
            <w:r w:rsidRPr="00581203">
              <w:rPr>
                <w:rFonts w:ascii="Times New Roman" w:hAnsi="Times New Roman" w:cs="Times New Roman"/>
                <w:b/>
                <w:sz w:val="24"/>
                <w:lang w:val="en-GB"/>
              </w:rPr>
              <w:t>Legal references and instructions</w:t>
            </w:r>
          </w:p>
        </w:tc>
      </w:tr>
      <w:tr w:rsidR="005919E0" w:rsidRPr="00581203" w14:paraId="28EE34EF" w14:textId="77777777" w:rsidTr="005919E0">
        <w:trPr>
          <w:trHeight w:val="238"/>
        </w:trPr>
        <w:tc>
          <w:tcPr>
            <w:tcW w:w="1384" w:type="dxa"/>
            <w:shd w:val="clear" w:color="auto" w:fill="D9D9D9" w:themeFill="background1" w:themeFillShade="D9"/>
          </w:tcPr>
          <w:p w14:paraId="1A2353EC" w14:textId="77777777" w:rsidR="005919E0" w:rsidRPr="00581203" w:rsidRDefault="005919E0" w:rsidP="005919E0">
            <w:pPr>
              <w:autoSpaceDE w:val="0"/>
              <w:autoSpaceDN w:val="0"/>
              <w:adjustRightInd w:val="0"/>
              <w:rPr>
                <w:rFonts w:ascii="Times New Roman" w:hAnsi="Times New Roman" w:cs="Times New Roman"/>
                <w:b/>
                <w:sz w:val="24"/>
                <w:lang w:val="en-GB"/>
              </w:rPr>
            </w:pPr>
            <w:r w:rsidRPr="00357816">
              <w:rPr>
                <w:rFonts w:ascii="Times New Roman" w:hAnsi="Times New Roman" w:cs="Times New Roman"/>
                <w:b/>
                <w:sz w:val="24"/>
                <w:lang w:val="en-GB"/>
              </w:rPr>
              <w:t>Row number</w:t>
            </w:r>
          </w:p>
        </w:tc>
        <w:tc>
          <w:tcPr>
            <w:tcW w:w="7655" w:type="dxa"/>
            <w:shd w:val="clear" w:color="auto" w:fill="D9D9D9" w:themeFill="background1" w:themeFillShade="D9"/>
          </w:tcPr>
          <w:p w14:paraId="585751E9" w14:textId="77777777" w:rsidR="005919E0" w:rsidRPr="0043712F" w:rsidRDefault="005919E0" w:rsidP="005919E0">
            <w:pPr>
              <w:autoSpaceDE w:val="0"/>
              <w:autoSpaceDN w:val="0"/>
              <w:adjustRightInd w:val="0"/>
              <w:rPr>
                <w:rFonts w:ascii="Times New Roman" w:hAnsi="Times New Roman" w:cs="Times New Roman"/>
                <w:color w:val="000000"/>
                <w:sz w:val="24"/>
                <w:lang w:val="en-GB"/>
              </w:rPr>
            </w:pPr>
            <w:r w:rsidRPr="00581203">
              <w:rPr>
                <w:rFonts w:ascii="Times New Roman" w:hAnsi="Times New Roman" w:cs="Times New Roman"/>
                <w:b/>
                <w:sz w:val="24"/>
                <w:lang w:val="en-GB"/>
              </w:rPr>
              <w:t>Explanation</w:t>
            </w:r>
          </w:p>
        </w:tc>
      </w:tr>
      <w:tr w:rsidR="00DF67AC" w:rsidRPr="00581203" w14:paraId="7BD405C2" w14:textId="77777777" w:rsidTr="008736F9">
        <w:trPr>
          <w:trHeight w:val="845"/>
        </w:trPr>
        <w:tc>
          <w:tcPr>
            <w:tcW w:w="1384" w:type="dxa"/>
          </w:tcPr>
          <w:p w14:paraId="0F1B9F05" w14:textId="09BC3539" w:rsidR="00DF67AC" w:rsidRDefault="00DF67AC" w:rsidP="00DF67AC">
            <w:pPr>
              <w:pStyle w:val="Applicationdirecte"/>
              <w:spacing w:before="120"/>
            </w:pPr>
            <w:r>
              <w:t>005</w:t>
            </w:r>
          </w:p>
        </w:tc>
        <w:tc>
          <w:tcPr>
            <w:tcW w:w="7655" w:type="dxa"/>
          </w:tcPr>
          <w:p w14:paraId="7CFF3DE9" w14:textId="77777777" w:rsidR="00DF67AC" w:rsidRDefault="00DF67AC" w:rsidP="00DF67AC">
            <w:pPr>
              <w:pStyle w:val="Applicationdirecte"/>
              <w:spacing w:before="120"/>
              <w:rPr>
                <w:b/>
              </w:rPr>
            </w:pPr>
            <w:r w:rsidRPr="00DF67AC">
              <w:rPr>
                <w:b/>
              </w:rPr>
              <w:t>Cash balances at central banks and other demand deposits</w:t>
            </w:r>
          </w:p>
          <w:p w14:paraId="50D7A4A4" w14:textId="66F70229" w:rsidR="00DF67AC" w:rsidRPr="00E24BBD" w:rsidRDefault="00DF67AC" w:rsidP="00DF67AC">
            <w:pPr>
              <w:pStyle w:val="Applicationdirecte"/>
              <w:spacing w:before="120"/>
            </w:pPr>
            <w:r>
              <w:t xml:space="preserve">Institutions shall disclose this information in line with the information reported in Annexes III and IV </w:t>
            </w:r>
            <w:r w:rsidRPr="0017224C">
              <w:t>Commission Implementing Regulation (EU</w:t>
            </w:r>
            <w:proofErr w:type="gramStart"/>
            <w:r w:rsidRPr="0017224C">
              <w:t>)</w:t>
            </w:r>
            <w:r>
              <w:t xml:space="preserve"> </w:t>
            </w:r>
            <w:r w:rsidRPr="0017224C">
              <w:t xml:space="preserve"> 680</w:t>
            </w:r>
            <w:proofErr w:type="gramEnd"/>
            <w:r w:rsidRPr="0017224C">
              <w:t>/2014</w:t>
            </w:r>
            <w:r>
              <w:t>.</w:t>
            </w:r>
          </w:p>
        </w:tc>
      </w:tr>
      <w:tr w:rsidR="00357816" w:rsidRPr="00581203" w14:paraId="1811DBDC" w14:textId="77777777" w:rsidTr="00357816">
        <w:trPr>
          <w:trHeight w:val="845"/>
        </w:trPr>
        <w:tc>
          <w:tcPr>
            <w:tcW w:w="1384" w:type="dxa"/>
          </w:tcPr>
          <w:p w14:paraId="37A99DD1" w14:textId="53B48FBB" w:rsidR="00357816" w:rsidRDefault="00357816" w:rsidP="00357816">
            <w:pPr>
              <w:pStyle w:val="Applicationdirecte"/>
              <w:spacing w:before="120"/>
            </w:pPr>
            <w:r>
              <w:lastRenderedPageBreak/>
              <w:t>010</w:t>
            </w:r>
          </w:p>
        </w:tc>
        <w:tc>
          <w:tcPr>
            <w:tcW w:w="7655" w:type="dxa"/>
          </w:tcPr>
          <w:p w14:paraId="54A9A4D3" w14:textId="77777777" w:rsidR="00357816" w:rsidRDefault="00357816" w:rsidP="005919E0">
            <w:pPr>
              <w:pStyle w:val="Applicationdirecte"/>
              <w:spacing w:before="120"/>
              <w:rPr>
                <w:b/>
              </w:rPr>
            </w:pPr>
            <w:r>
              <w:rPr>
                <w:b/>
              </w:rPr>
              <w:t>Loans and advances</w:t>
            </w:r>
          </w:p>
          <w:p w14:paraId="011830B9" w14:textId="6902067B" w:rsidR="00E24BBD" w:rsidRPr="00E24BBD" w:rsidRDefault="00E24BBD" w:rsidP="00312A27">
            <w:pPr>
              <w:pStyle w:val="Applicationdirecte"/>
              <w:spacing w:before="120"/>
            </w:pPr>
            <w:r>
              <w:t>S</w:t>
            </w:r>
            <w:r w:rsidRPr="00E24BBD">
              <w:t xml:space="preserve">ee the definition in </w:t>
            </w:r>
            <w:r w:rsidR="00CD3AD5" w:rsidRPr="00CD3AD5">
              <w:t>EU CR1: Performing and non-performing exposures and related provisions</w:t>
            </w:r>
            <w:r w:rsidRPr="00E24BBD">
              <w:t>.</w:t>
            </w:r>
          </w:p>
        </w:tc>
      </w:tr>
      <w:tr w:rsidR="005919E0" w:rsidRPr="00581203" w14:paraId="4EE49A3D" w14:textId="77777777" w:rsidTr="005919E0">
        <w:trPr>
          <w:trHeight w:val="3815"/>
        </w:trPr>
        <w:tc>
          <w:tcPr>
            <w:tcW w:w="1384" w:type="dxa"/>
          </w:tcPr>
          <w:p w14:paraId="55716DC5" w14:textId="6A68F88C" w:rsidR="005919E0" w:rsidRPr="00581203" w:rsidRDefault="00A81300" w:rsidP="00357816">
            <w:pPr>
              <w:pStyle w:val="Applicationdirecte"/>
              <w:spacing w:before="120"/>
            </w:pPr>
            <w:r>
              <w:t>0</w:t>
            </w:r>
            <w:r w:rsidR="00357816">
              <w:t>20 – 06</w:t>
            </w:r>
            <w:r>
              <w:t>0</w:t>
            </w:r>
            <w:r w:rsidR="00357816">
              <w:t>, 080, 100 – 140, 160 –210</w:t>
            </w:r>
          </w:p>
        </w:tc>
        <w:tc>
          <w:tcPr>
            <w:tcW w:w="7655" w:type="dxa"/>
          </w:tcPr>
          <w:p w14:paraId="7B8CFA33" w14:textId="77777777" w:rsidR="005919E0" w:rsidRPr="00581203" w:rsidRDefault="005919E0" w:rsidP="005919E0">
            <w:pPr>
              <w:pStyle w:val="Applicationdirecte"/>
              <w:spacing w:before="120"/>
              <w:rPr>
                <w:b/>
              </w:rPr>
            </w:pPr>
            <w:r w:rsidRPr="0043712F">
              <w:rPr>
                <w:b/>
              </w:rPr>
              <w:t>Counterparty breakdown</w:t>
            </w:r>
          </w:p>
          <w:p w14:paraId="6A677C59" w14:textId="6016670C" w:rsidR="005919E0" w:rsidRPr="0017224C" w:rsidRDefault="005919E0" w:rsidP="005919E0">
            <w:pPr>
              <w:pStyle w:val="Applicationdirecte"/>
              <w:spacing w:before="120"/>
            </w:pPr>
            <w:r w:rsidRPr="0017224C">
              <w:t xml:space="preserve">Institutions </w:t>
            </w:r>
            <w:r w:rsidR="0017224C" w:rsidRPr="0017224C">
              <w:t>shall</w:t>
            </w:r>
            <w:r w:rsidRPr="0017224C">
              <w:t xml:space="preserve"> apply the breakdown by counterparty as defined in paragraph 42 of Part 1 of Annex V to Commission Implementing Regulation (EU) 680/2014.</w:t>
            </w:r>
          </w:p>
          <w:p w14:paraId="1F1A4C0F" w14:textId="44B52B98" w:rsidR="005919E0" w:rsidRPr="004D3597" w:rsidRDefault="005919E0" w:rsidP="005919E0">
            <w:pPr>
              <w:pStyle w:val="Fait"/>
            </w:pPr>
            <w:r w:rsidRPr="0017224C">
              <w:t xml:space="preserve">Counterparty sector allocation </w:t>
            </w:r>
            <w:proofErr w:type="gramStart"/>
            <w:r w:rsidR="0017224C" w:rsidRPr="0017224C">
              <w:t>shall</w:t>
            </w:r>
            <w:r w:rsidRPr="0017224C">
              <w:t xml:space="preserve"> be based</w:t>
            </w:r>
            <w:proofErr w:type="gramEnd"/>
            <w:r w:rsidRPr="0017224C">
              <w:t xml:space="preserve"> exclusively on the nature of the immediate counterparty. The classification of exposures incurred jointly by more than one obligor </w:t>
            </w:r>
            <w:proofErr w:type="gramStart"/>
            <w:r w:rsidR="0017224C" w:rsidRPr="0017224C">
              <w:t>shall</w:t>
            </w:r>
            <w:r w:rsidRPr="0017224C">
              <w:t xml:space="preserve"> be done</w:t>
            </w:r>
            <w:proofErr w:type="gramEnd"/>
            <w:r w:rsidRPr="0017224C">
              <w:t xml:space="preserve"> based on the characteristics of the obligor that was the more relevant, or determinant, for the institution’s decision to grant the exposure. Among other classifications, the distribution of jointly incurred exposures by counterparty sector, country of residence and NACE code </w:t>
            </w:r>
            <w:r w:rsidR="0017224C" w:rsidRPr="0017224C">
              <w:t>shall</w:t>
            </w:r>
            <w:r w:rsidRPr="0017224C">
              <w:t xml:space="preserve"> be driven by the characteristics of the more relevant or determinant obligor.</w:t>
            </w:r>
          </w:p>
        </w:tc>
      </w:tr>
      <w:tr w:rsidR="005919E0" w:rsidRPr="00581203" w14:paraId="736D61E7" w14:textId="77777777" w:rsidTr="005919E0">
        <w:trPr>
          <w:trHeight w:val="316"/>
        </w:trPr>
        <w:tc>
          <w:tcPr>
            <w:tcW w:w="1384" w:type="dxa"/>
          </w:tcPr>
          <w:p w14:paraId="32FDF83E" w14:textId="1AB11902" w:rsidR="005919E0" w:rsidRPr="0043712F" w:rsidRDefault="00A81300" w:rsidP="005919E0">
            <w:pPr>
              <w:autoSpaceDE w:val="0"/>
              <w:autoSpaceDN w:val="0"/>
              <w:adjustRightInd w:val="0"/>
              <w:rPr>
                <w:rFonts w:ascii="Times New Roman" w:hAnsi="Times New Roman" w:cs="Times New Roman"/>
                <w:color w:val="000000"/>
                <w:sz w:val="24"/>
                <w:lang w:val="en-GB"/>
              </w:rPr>
            </w:pPr>
            <w:r>
              <w:rPr>
                <w:rFonts w:ascii="Times New Roman" w:eastAsia="Times New Roman" w:hAnsi="Times New Roman" w:cs="Times New Roman"/>
                <w:sz w:val="24"/>
                <w:lang w:val="en-GB"/>
              </w:rPr>
              <w:t>070</w:t>
            </w:r>
          </w:p>
        </w:tc>
        <w:tc>
          <w:tcPr>
            <w:tcW w:w="7655" w:type="dxa"/>
          </w:tcPr>
          <w:p w14:paraId="04B304F0" w14:textId="77777777" w:rsidR="005919E0" w:rsidRDefault="00A81300" w:rsidP="005919E0">
            <w:pPr>
              <w:autoSpaceDE w:val="0"/>
              <w:autoSpaceDN w:val="0"/>
              <w:adjustRightInd w:val="0"/>
              <w:rPr>
                <w:rFonts w:ascii="Times New Roman" w:hAnsi="Times New Roman" w:cs="Times New Roman"/>
                <w:b/>
                <w:sz w:val="24"/>
                <w:lang w:val="en-GB"/>
              </w:rPr>
            </w:pPr>
            <w:r w:rsidRPr="00A81300">
              <w:rPr>
                <w:rFonts w:ascii="Times New Roman" w:hAnsi="Times New Roman" w:cs="Times New Roman"/>
                <w:b/>
                <w:sz w:val="24"/>
                <w:lang w:val="en-GB"/>
              </w:rPr>
              <w:t>SMEs</w:t>
            </w:r>
          </w:p>
          <w:p w14:paraId="4BA77CD9" w14:textId="7A5465E3" w:rsidR="00A81300" w:rsidRPr="003F5E9A" w:rsidRDefault="00A81300" w:rsidP="00931A3F">
            <w:pPr>
              <w:autoSpaceDE w:val="0"/>
              <w:autoSpaceDN w:val="0"/>
              <w:adjustRightInd w:val="0"/>
              <w:spacing w:before="120"/>
              <w:rPr>
                <w:rFonts w:ascii="Times New Roman" w:hAnsi="Times New Roman" w:cs="Times New Roman"/>
                <w:b/>
                <w:sz w:val="24"/>
                <w:lang w:val="en-GB"/>
              </w:rPr>
            </w:pPr>
            <w:r>
              <w:rPr>
                <w:rFonts w:ascii="Times New Roman" w:eastAsia="Times New Roman" w:hAnsi="Times New Roman" w:cs="Times New Roman"/>
                <w:sz w:val="24"/>
                <w:lang w:val="en-GB"/>
              </w:rPr>
              <w:t>A</w:t>
            </w:r>
            <w:r w:rsidRPr="00A81300">
              <w:rPr>
                <w:rFonts w:ascii="Times New Roman" w:eastAsia="Times New Roman" w:hAnsi="Times New Roman" w:cs="Times New Roman"/>
                <w:sz w:val="24"/>
                <w:lang w:val="en-GB"/>
              </w:rPr>
              <w:t>s defined in paragraph 5(</w:t>
            </w:r>
            <w:proofErr w:type="spellStart"/>
            <w:r w:rsidRPr="00A81300">
              <w:rPr>
                <w:rFonts w:ascii="Times New Roman" w:eastAsia="Times New Roman" w:hAnsi="Times New Roman" w:cs="Times New Roman"/>
                <w:sz w:val="24"/>
                <w:lang w:val="en-GB"/>
              </w:rPr>
              <w:t>i</w:t>
            </w:r>
            <w:proofErr w:type="spellEnd"/>
            <w:r w:rsidRPr="00A81300">
              <w:rPr>
                <w:rFonts w:ascii="Times New Roman" w:eastAsia="Times New Roman" w:hAnsi="Times New Roman" w:cs="Times New Roman"/>
                <w:sz w:val="24"/>
                <w:lang w:val="en-GB"/>
              </w:rPr>
              <w:t>) of Part 1 of Annex V to Commission Implementing Regulation (EU) 680/2014.</w:t>
            </w:r>
          </w:p>
        </w:tc>
      </w:tr>
      <w:tr w:rsidR="00357816" w:rsidRPr="00581203" w14:paraId="654C5773" w14:textId="77777777" w:rsidTr="00357816">
        <w:trPr>
          <w:trHeight w:val="530"/>
        </w:trPr>
        <w:tc>
          <w:tcPr>
            <w:tcW w:w="1384" w:type="dxa"/>
          </w:tcPr>
          <w:p w14:paraId="33835737" w14:textId="72C5DA95" w:rsidR="00357816" w:rsidRDefault="00357816" w:rsidP="005919E0">
            <w:pPr>
              <w:autoSpaceDE w:val="0"/>
              <w:autoSpaceDN w:val="0"/>
              <w:adjustRightInd w:val="0"/>
              <w:rPr>
                <w:rFonts w:ascii="Times New Roman" w:eastAsia="Times New Roman" w:hAnsi="Times New Roman" w:cs="Times New Roman"/>
                <w:sz w:val="24"/>
                <w:lang w:val="en-GB"/>
              </w:rPr>
            </w:pPr>
            <w:r>
              <w:rPr>
                <w:rFonts w:ascii="Times New Roman" w:eastAsia="Times New Roman" w:hAnsi="Times New Roman" w:cs="Times New Roman"/>
                <w:sz w:val="24"/>
                <w:lang w:val="en-GB"/>
              </w:rPr>
              <w:t>090</w:t>
            </w:r>
          </w:p>
        </w:tc>
        <w:tc>
          <w:tcPr>
            <w:tcW w:w="7655" w:type="dxa"/>
          </w:tcPr>
          <w:p w14:paraId="259D49A3" w14:textId="77777777" w:rsidR="00357816" w:rsidRDefault="00357816" w:rsidP="005919E0">
            <w:pPr>
              <w:autoSpaceDE w:val="0"/>
              <w:autoSpaceDN w:val="0"/>
              <w:adjustRightInd w:val="0"/>
              <w:rPr>
                <w:rFonts w:ascii="Times New Roman" w:hAnsi="Times New Roman" w:cs="Times New Roman"/>
                <w:b/>
                <w:sz w:val="24"/>
                <w:lang w:val="en-GB"/>
              </w:rPr>
            </w:pPr>
            <w:r>
              <w:rPr>
                <w:rFonts w:ascii="Times New Roman" w:hAnsi="Times New Roman" w:cs="Times New Roman"/>
                <w:b/>
                <w:sz w:val="24"/>
                <w:lang w:val="en-GB"/>
              </w:rPr>
              <w:t>Debt securities</w:t>
            </w:r>
          </w:p>
          <w:p w14:paraId="50B5B0CC" w14:textId="283386E1" w:rsidR="00CD2379" w:rsidRPr="00CD2379" w:rsidRDefault="00E24BBD" w:rsidP="00312A27">
            <w:pPr>
              <w:pStyle w:val="Applicationdirecte"/>
              <w:spacing w:before="120"/>
            </w:pPr>
            <w:r>
              <w:t>S</w:t>
            </w:r>
            <w:r w:rsidRPr="00E24BBD">
              <w:t xml:space="preserve">ee the definition in </w:t>
            </w:r>
            <w:r w:rsidR="00CD3AD5" w:rsidRPr="00CD3AD5">
              <w:t>EU CR1: Performing and non-performing exposures and related provisions</w:t>
            </w:r>
            <w:r w:rsidRPr="00E24BBD">
              <w:t>.</w:t>
            </w:r>
          </w:p>
        </w:tc>
      </w:tr>
      <w:tr w:rsidR="00357816" w:rsidRPr="00581203" w14:paraId="6884DD33" w14:textId="77777777" w:rsidTr="00357816">
        <w:trPr>
          <w:trHeight w:val="620"/>
        </w:trPr>
        <w:tc>
          <w:tcPr>
            <w:tcW w:w="1384" w:type="dxa"/>
          </w:tcPr>
          <w:p w14:paraId="14DDF850" w14:textId="6A1B2BDD" w:rsidR="00357816" w:rsidRDefault="00357816" w:rsidP="005919E0">
            <w:pPr>
              <w:autoSpaceDE w:val="0"/>
              <w:autoSpaceDN w:val="0"/>
              <w:adjustRightInd w:val="0"/>
              <w:rPr>
                <w:rFonts w:ascii="Times New Roman" w:eastAsia="Times New Roman" w:hAnsi="Times New Roman" w:cs="Times New Roman"/>
                <w:sz w:val="24"/>
                <w:lang w:val="en-GB"/>
              </w:rPr>
            </w:pPr>
            <w:r>
              <w:rPr>
                <w:rFonts w:ascii="Times New Roman" w:eastAsia="Times New Roman" w:hAnsi="Times New Roman" w:cs="Times New Roman"/>
                <w:sz w:val="24"/>
                <w:lang w:val="en-GB"/>
              </w:rPr>
              <w:t>150</w:t>
            </w:r>
          </w:p>
        </w:tc>
        <w:tc>
          <w:tcPr>
            <w:tcW w:w="7655" w:type="dxa"/>
          </w:tcPr>
          <w:p w14:paraId="6CD019F4" w14:textId="77777777" w:rsidR="00357816" w:rsidRDefault="00357816" w:rsidP="005919E0">
            <w:pPr>
              <w:autoSpaceDE w:val="0"/>
              <w:autoSpaceDN w:val="0"/>
              <w:adjustRightInd w:val="0"/>
              <w:rPr>
                <w:rFonts w:ascii="Times New Roman" w:hAnsi="Times New Roman" w:cs="Times New Roman"/>
                <w:b/>
                <w:sz w:val="24"/>
                <w:lang w:val="en-GB"/>
              </w:rPr>
            </w:pPr>
            <w:r>
              <w:rPr>
                <w:rFonts w:ascii="Times New Roman" w:hAnsi="Times New Roman" w:cs="Times New Roman"/>
                <w:b/>
                <w:sz w:val="24"/>
                <w:lang w:val="en-GB"/>
              </w:rPr>
              <w:t>Off-balance-sheet exposures</w:t>
            </w:r>
          </w:p>
          <w:p w14:paraId="228BCEAF" w14:textId="0A148CB7" w:rsidR="00CD2379" w:rsidRPr="00CD2379" w:rsidRDefault="00541BD8" w:rsidP="00541BD8">
            <w:pPr>
              <w:pStyle w:val="Applicationdirecte"/>
              <w:spacing w:before="120"/>
            </w:pPr>
            <w:r>
              <w:t>S</w:t>
            </w:r>
            <w:r w:rsidRPr="00E24BBD">
              <w:t xml:space="preserve">ee the definition in </w:t>
            </w:r>
            <w:r w:rsidRPr="00CD3AD5">
              <w:t>EU CR1: Performing and non-performing exposures and related provisions</w:t>
            </w:r>
            <w:r w:rsidRPr="00E24BBD">
              <w:t>.</w:t>
            </w:r>
          </w:p>
        </w:tc>
      </w:tr>
      <w:tr w:rsidR="00357816" w:rsidRPr="00581203" w14:paraId="1EAFA0DE" w14:textId="77777777" w:rsidTr="00357816">
        <w:trPr>
          <w:trHeight w:val="620"/>
        </w:trPr>
        <w:tc>
          <w:tcPr>
            <w:tcW w:w="1384" w:type="dxa"/>
          </w:tcPr>
          <w:p w14:paraId="40D500CE" w14:textId="6961616A" w:rsidR="00357816" w:rsidRDefault="00357816" w:rsidP="005919E0">
            <w:pPr>
              <w:autoSpaceDE w:val="0"/>
              <w:autoSpaceDN w:val="0"/>
              <w:adjustRightInd w:val="0"/>
              <w:rPr>
                <w:rFonts w:ascii="Times New Roman" w:eastAsia="Times New Roman" w:hAnsi="Times New Roman" w:cs="Times New Roman"/>
                <w:sz w:val="24"/>
                <w:lang w:val="en-GB"/>
              </w:rPr>
            </w:pPr>
            <w:r>
              <w:rPr>
                <w:rFonts w:ascii="Times New Roman" w:eastAsia="Times New Roman" w:hAnsi="Times New Roman" w:cs="Times New Roman"/>
                <w:sz w:val="24"/>
                <w:lang w:val="en-GB"/>
              </w:rPr>
              <w:t>210</w:t>
            </w:r>
          </w:p>
        </w:tc>
        <w:tc>
          <w:tcPr>
            <w:tcW w:w="7655" w:type="dxa"/>
          </w:tcPr>
          <w:p w14:paraId="468CB2AE" w14:textId="769B2A7B" w:rsidR="00357816" w:rsidRDefault="00357816" w:rsidP="005919E0">
            <w:pPr>
              <w:autoSpaceDE w:val="0"/>
              <w:autoSpaceDN w:val="0"/>
              <w:adjustRightInd w:val="0"/>
              <w:rPr>
                <w:rFonts w:ascii="Times New Roman" w:hAnsi="Times New Roman" w:cs="Times New Roman"/>
                <w:b/>
                <w:sz w:val="24"/>
                <w:lang w:val="en-GB"/>
              </w:rPr>
            </w:pPr>
            <w:r>
              <w:rPr>
                <w:rFonts w:ascii="Times New Roman" w:hAnsi="Times New Roman" w:cs="Times New Roman"/>
                <w:b/>
                <w:sz w:val="24"/>
                <w:lang w:val="en-GB"/>
              </w:rPr>
              <w:t>Total</w:t>
            </w:r>
          </w:p>
        </w:tc>
      </w:tr>
    </w:tbl>
    <w:p w14:paraId="4651C94A" w14:textId="77777777" w:rsidR="005919E0" w:rsidRPr="0043712F" w:rsidRDefault="005919E0" w:rsidP="005919E0">
      <w:pPr>
        <w:rPr>
          <w:rFonts w:ascii="Times New Roman" w:hAnsi="Times New Roman" w:cs="Times New Roman"/>
          <w:sz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5919E0" w:rsidRPr="00581203" w14:paraId="0C8CE91C" w14:textId="77777777" w:rsidTr="005919E0">
        <w:trPr>
          <w:trHeight w:val="238"/>
        </w:trPr>
        <w:tc>
          <w:tcPr>
            <w:tcW w:w="9039" w:type="dxa"/>
            <w:gridSpan w:val="2"/>
            <w:shd w:val="clear" w:color="auto" w:fill="D9D9D9" w:themeFill="background1" w:themeFillShade="D9"/>
          </w:tcPr>
          <w:p w14:paraId="4AA3E4CA" w14:textId="77777777" w:rsidR="005919E0" w:rsidRPr="00581203" w:rsidRDefault="005919E0" w:rsidP="005919E0">
            <w:pPr>
              <w:autoSpaceDE w:val="0"/>
              <w:autoSpaceDN w:val="0"/>
              <w:adjustRightInd w:val="0"/>
              <w:rPr>
                <w:rFonts w:ascii="Times New Roman" w:hAnsi="Times New Roman" w:cs="Times New Roman"/>
                <w:b/>
                <w:sz w:val="24"/>
                <w:lang w:val="en-GB"/>
              </w:rPr>
            </w:pPr>
            <w:r w:rsidRPr="00581203">
              <w:rPr>
                <w:rFonts w:ascii="Times New Roman" w:hAnsi="Times New Roman" w:cs="Times New Roman"/>
                <w:b/>
                <w:sz w:val="24"/>
                <w:lang w:val="en-GB"/>
              </w:rPr>
              <w:t>Legal references and instructions</w:t>
            </w:r>
          </w:p>
        </w:tc>
      </w:tr>
      <w:tr w:rsidR="005919E0" w:rsidRPr="00581203" w14:paraId="19AF3858" w14:textId="77777777" w:rsidTr="005919E0">
        <w:trPr>
          <w:trHeight w:val="238"/>
        </w:trPr>
        <w:tc>
          <w:tcPr>
            <w:tcW w:w="1384" w:type="dxa"/>
            <w:shd w:val="clear" w:color="auto" w:fill="D9D9D9" w:themeFill="background1" w:themeFillShade="D9"/>
          </w:tcPr>
          <w:p w14:paraId="14D794D7" w14:textId="77777777" w:rsidR="005919E0" w:rsidRPr="00581203" w:rsidRDefault="005919E0" w:rsidP="005919E0">
            <w:pPr>
              <w:autoSpaceDE w:val="0"/>
              <w:autoSpaceDN w:val="0"/>
              <w:adjustRightInd w:val="0"/>
              <w:rPr>
                <w:rFonts w:ascii="Times New Roman" w:hAnsi="Times New Roman" w:cs="Times New Roman"/>
                <w:b/>
                <w:sz w:val="24"/>
                <w:lang w:val="en-GB"/>
              </w:rPr>
            </w:pPr>
            <w:r w:rsidRPr="00AA7A7B">
              <w:rPr>
                <w:rFonts w:ascii="Times New Roman" w:hAnsi="Times New Roman" w:cs="Times New Roman"/>
                <w:b/>
                <w:sz w:val="24"/>
                <w:lang w:val="en-GB"/>
              </w:rPr>
              <w:t>Column number</w:t>
            </w:r>
          </w:p>
        </w:tc>
        <w:tc>
          <w:tcPr>
            <w:tcW w:w="7655" w:type="dxa"/>
            <w:shd w:val="clear" w:color="auto" w:fill="D9D9D9" w:themeFill="background1" w:themeFillShade="D9"/>
          </w:tcPr>
          <w:p w14:paraId="2D75C264" w14:textId="77777777" w:rsidR="005919E0" w:rsidRPr="004D3597" w:rsidRDefault="005919E0" w:rsidP="005919E0">
            <w:pPr>
              <w:autoSpaceDE w:val="0"/>
              <w:autoSpaceDN w:val="0"/>
              <w:adjustRightInd w:val="0"/>
              <w:rPr>
                <w:rFonts w:ascii="Times New Roman" w:hAnsi="Times New Roman" w:cs="Times New Roman"/>
                <w:b/>
                <w:sz w:val="24"/>
                <w:lang w:val="en-GB"/>
              </w:rPr>
            </w:pPr>
            <w:r w:rsidRPr="00581203">
              <w:rPr>
                <w:rFonts w:ascii="Times New Roman" w:hAnsi="Times New Roman" w:cs="Times New Roman"/>
                <w:b/>
                <w:sz w:val="24"/>
                <w:lang w:val="en-GB"/>
              </w:rPr>
              <w:t>Explanation</w:t>
            </w:r>
          </w:p>
        </w:tc>
      </w:tr>
      <w:tr w:rsidR="005919E0" w:rsidRPr="00581203" w14:paraId="4B020E75" w14:textId="77777777" w:rsidTr="005919E0">
        <w:trPr>
          <w:trHeight w:val="841"/>
        </w:trPr>
        <w:tc>
          <w:tcPr>
            <w:tcW w:w="1384" w:type="dxa"/>
          </w:tcPr>
          <w:p w14:paraId="72113C6A" w14:textId="1949DCC6" w:rsidR="005919E0" w:rsidRPr="00581203" w:rsidRDefault="00357816" w:rsidP="005919E0">
            <w:pPr>
              <w:pStyle w:val="Applicationdirecte"/>
              <w:spacing w:before="120"/>
            </w:pPr>
            <w:r>
              <w:t>a</w:t>
            </w:r>
          </w:p>
        </w:tc>
        <w:tc>
          <w:tcPr>
            <w:tcW w:w="7655" w:type="dxa"/>
          </w:tcPr>
          <w:p w14:paraId="1A47B468" w14:textId="6A115C3F" w:rsidR="005919E0" w:rsidRDefault="00357816" w:rsidP="005919E0">
            <w:pPr>
              <w:pStyle w:val="Fait"/>
              <w:spacing w:after="120"/>
              <w:rPr>
                <w:rFonts w:eastAsiaTheme="minorEastAsia"/>
                <w:b/>
              </w:rPr>
            </w:pPr>
            <w:r>
              <w:rPr>
                <w:rFonts w:eastAsiaTheme="minorEastAsia"/>
                <w:b/>
              </w:rPr>
              <w:t>Gross car</w:t>
            </w:r>
            <w:r w:rsidR="000E279B">
              <w:rPr>
                <w:rFonts w:eastAsiaTheme="minorEastAsia"/>
                <w:b/>
              </w:rPr>
              <w:t>rying amount/nominal amount on p</w:t>
            </w:r>
            <w:r>
              <w:rPr>
                <w:rFonts w:eastAsiaTheme="minorEastAsia"/>
                <w:b/>
              </w:rPr>
              <w:t xml:space="preserve">erforming exposures </w:t>
            </w:r>
          </w:p>
          <w:p w14:paraId="0331542A" w14:textId="733925D7" w:rsidR="00CD2379" w:rsidRDefault="00CD2379" w:rsidP="00CD2379">
            <w:pPr>
              <w:pStyle w:val="Fait"/>
            </w:pPr>
            <w:r>
              <w:t>G</w:t>
            </w:r>
            <w:r w:rsidRPr="006172E4">
              <w:t>ross carrying amount as defined in paragraph 34 of Part 1 of Annex V to Commission Implementing Regulation (EU) 680/2014</w:t>
            </w:r>
            <w:r>
              <w:t xml:space="preserve">. </w:t>
            </w:r>
          </w:p>
          <w:p w14:paraId="08CD6756" w14:textId="726D9A18" w:rsidR="005919E0" w:rsidRPr="00224E28" w:rsidRDefault="00CD2379" w:rsidP="009626F1">
            <w:pPr>
              <w:pStyle w:val="Institutionquisigne"/>
              <w:spacing w:before="120"/>
            </w:pPr>
            <w:r>
              <w:rPr>
                <w:i w:val="0"/>
              </w:rPr>
              <w:t>N</w:t>
            </w:r>
            <w:r w:rsidRPr="006172E4">
              <w:rPr>
                <w:i w:val="0"/>
              </w:rPr>
              <w:t>ominal amount as defined in paragraph 118 of Part 2 of Annex V to Commission Implementing Regulation (EU</w:t>
            </w:r>
            <w:proofErr w:type="gramStart"/>
            <w:r w:rsidRPr="006172E4">
              <w:rPr>
                <w:i w:val="0"/>
              </w:rPr>
              <w:t>)  680</w:t>
            </w:r>
            <w:proofErr w:type="gramEnd"/>
            <w:r w:rsidRPr="006172E4">
              <w:rPr>
                <w:i w:val="0"/>
              </w:rPr>
              <w:t>/2014</w:t>
            </w:r>
            <w:r w:rsidRPr="00300D5D">
              <w:t>.</w:t>
            </w:r>
          </w:p>
        </w:tc>
      </w:tr>
      <w:tr w:rsidR="00357816" w:rsidRPr="00581203" w14:paraId="444773A8" w14:textId="77777777" w:rsidTr="005919E0">
        <w:trPr>
          <w:trHeight w:val="841"/>
        </w:trPr>
        <w:tc>
          <w:tcPr>
            <w:tcW w:w="1384" w:type="dxa"/>
          </w:tcPr>
          <w:p w14:paraId="025197A6" w14:textId="41A76615" w:rsidR="00357816" w:rsidRPr="00581203" w:rsidRDefault="00357816" w:rsidP="005919E0">
            <w:pPr>
              <w:pStyle w:val="Applicationdirecte"/>
              <w:spacing w:before="120"/>
            </w:pPr>
            <w:r>
              <w:t>b</w:t>
            </w:r>
          </w:p>
        </w:tc>
        <w:tc>
          <w:tcPr>
            <w:tcW w:w="7655" w:type="dxa"/>
          </w:tcPr>
          <w:p w14:paraId="23A48EF5" w14:textId="77777777" w:rsidR="00357816" w:rsidRDefault="00357816" w:rsidP="00412DB9">
            <w:pPr>
              <w:pStyle w:val="Fait"/>
              <w:spacing w:after="120"/>
              <w:ind w:left="720"/>
              <w:rPr>
                <w:rFonts w:eastAsiaTheme="minorEastAsia"/>
                <w:b/>
              </w:rPr>
            </w:pPr>
            <w:r>
              <w:rPr>
                <w:rFonts w:eastAsiaTheme="minorEastAsia"/>
                <w:b/>
              </w:rPr>
              <w:t xml:space="preserve">Of which: Not past due or past due </w:t>
            </w:r>
            <w:r w:rsidRPr="00357816">
              <w:rPr>
                <w:rFonts w:eastAsiaTheme="minorEastAsia"/>
                <w:b/>
              </w:rPr>
              <w:t>≤ 30 days</w:t>
            </w:r>
          </w:p>
          <w:p w14:paraId="0F337620" w14:textId="0EA79404" w:rsidR="00CD2379" w:rsidRPr="00CD2379" w:rsidRDefault="00CD2379" w:rsidP="00CD2379">
            <w:pPr>
              <w:pStyle w:val="Fait"/>
              <w:rPr>
                <w:rFonts w:eastAsiaTheme="minorEastAsia"/>
              </w:rPr>
            </w:pPr>
            <w:r>
              <w:t>S</w:t>
            </w:r>
            <w:r w:rsidRPr="00CD2379">
              <w:t>ubcategory of performing exposures that are not past due or are 1–30 days past due.</w:t>
            </w:r>
          </w:p>
        </w:tc>
      </w:tr>
      <w:tr w:rsidR="00357816" w:rsidRPr="00581203" w14:paraId="70972F44" w14:textId="77777777" w:rsidTr="005919E0">
        <w:trPr>
          <w:trHeight w:val="841"/>
        </w:trPr>
        <w:tc>
          <w:tcPr>
            <w:tcW w:w="1384" w:type="dxa"/>
          </w:tcPr>
          <w:p w14:paraId="7FE7A692" w14:textId="4E03F86A" w:rsidR="00357816" w:rsidRPr="00581203" w:rsidRDefault="00357816" w:rsidP="005919E0">
            <w:pPr>
              <w:pStyle w:val="Applicationdirecte"/>
              <w:spacing w:before="120"/>
            </w:pPr>
            <w:r>
              <w:lastRenderedPageBreak/>
              <w:t>c</w:t>
            </w:r>
          </w:p>
        </w:tc>
        <w:tc>
          <w:tcPr>
            <w:tcW w:w="7655" w:type="dxa"/>
          </w:tcPr>
          <w:p w14:paraId="0E666929" w14:textId="77777777" w:rsidR="00357816" w:rsidRDefault="00357816" w:rsidP="00412DB9">
            <w:pPr>
              <w:pStyle w:val="Fait"/>
              <w:spacing w:after="120"/>
              <w:ind w:left="720"/>
              <w:rPr>
                <w:rFonts w:eastAsiaTheme="minorEastAsia"/>
                <w:b/>
              </w:rPr>
            </w:pPr>
            <w:r>
              <w:rPr>
                <w:rFonts w:eastAsiaTheme="minorEastAsia"/>
                <w:b/>
              </w:rPr>
              <w:t xml:space="preserve">Of which: </w:t>
            </w:r>
            <w:r w:rsidRPr="00357816">
              <w:rPr>
                <w:rFonts w:eastAsiaTheme="minorEastAsia"/>
                <w:b/>
              </w:rPr>
              <w:t>Past due &gt; 30 days ≤ 90 days</w:t>
            </w:r>
          </w:p>
          <w:p w14:paraId="74EE2F3D" w14:textId="6D9736D8" w:rsidR="00CD2379" w:rsidRPr="00CD2379" w:rsidRDefault="00CD2379" w:rsidP="00CD2379">
            <w:pPr>
              <w:pStyle w:val="Fait"/>
              <w:rPr>
                <w:rFonts w:eastAsiaTheme="minorEastAsia"/>
              </w:rPr>
            </w:pPr>
            <w:r>
              <w:t>S</w:t>
            </w:r>
            <w:r w:rsidRPr="00CD2379">
              <w:t>ubcategory of performing exposures that are 31–90 days past due. In addition, exposures that are more than 90 days past due that are not material are included in this subcategory.</w:t>
            </w:r>
          </w:p>
        </w:tc>
      </w:tr>
      <w:tr w:rsidR="005919E0" w:rsidRPr="00581203" w14:paraId="6577C2A5" w14:textId="77777777" w:rsidTr="005919E0">
        <w:trPr>
          <w:trHeight w:val="841"/>
        </w:trPr>
        <w:tc>
          <w:tcPr>
            <w:tcW w:w="1384" w:type="dxa"/>
          </w:tcPr>
          <w:p w14:paraId="28F16B88" w14:textId="095DCA9C" w:rsidR="005919E0" w:rsidRPr="00581203" w:rsidRDefault="00357816" w:rsidP="005919E0">
            <w:pPr>
              <w:pStyle w:val="Applicationdirecte"/>
              <w:spacing w:before="120"/>
            </w:pPr>
            <w:r>
              <w:t>d</w:t>
            </w:r>
          </w:p>
        </w:tc>
        <w:tc>
          <w:tcPr>
            <w:tcW w:w="7655" w:type="dxa"/>
          </w:tcPr>
          <w:p w14:paraId="1F2C01E9" w14:textId="3A50934E" w:rsidR="00A81300" w:rsidRDefault="00357816" w:rsidP="005919E0">
            <w:pPr>
              <w:pStyle w:val="Fait"/>
              <w:spacing w:after="120"/>
              <w:rPr>
                <w:rFonts w:eastAsiaTheme="minorEastAsia"/>
                <w:b/>
              </w:rPr>
            </w:pPr>
            <w:r>
              <w:rPr>
                <w:rFonts w:eastAsiaTheme="minorEastAsia"/>
                <w:b/>
              </w:rPr>
              <w:t>Gross car</w:t>
            </w:r>
            <w:r w:rsidR="000E279B">
              <w:rPr>
                <w:rFonts w:eastAsiaTheme="minorEastAsia"/>
                <w:b/>
              </w:rPr>
              <w:t>rying amount/nominal amount on n</w:t>
            </w:r>
            <w:r>
              <w:rPr>
                <w:rFonts w:eastAsiaTheme="minorEastAsia"/>
                <w:b/>
              </w:rPr>
              <w:t>on-performing exposures</w:t>
            </w:r>
          </w:p>
          <w:p w14:paraId="7AD1B682" w14:textId="12D5BEE3" w:rsidR="001F2A6F" w:rsidRDefault="001F2A6F" w:rsidP="001F2A6F">
            <w:pPr>
              <w:pStyle w:val="Fait"/>
            </w:pPr>
            <w:r>
              <w:t>G</w:t>
            </w:r>
            <w:r w:rsidRPr="006172E4">
              <w:t>ross carrying amount as defined in paragraph 34 of Part 1 of Annex V to Commission Implementing Regulation (EU) 680/2014</w:t>
            </w:r>
            <w:r>
              <w:t xml:space="preserve">. </w:t>
            </w:r>
          </w:p>
          <w:p w14:paraId="5A5381E6" w14:textId="0F08D72D" w:rsidR="001F2A6F" w:rsidRDefault="001F2A6F" w:rsidP="001F2A6F">
            <w:pPr>
              <w:pStyle w:val="Institutionquisigne"/>
              <w:spacing w:before="120"/>
            </w:pPr>
            <w:r>
              <w:rPr>
                <w:i w:val="0"/>
              </w:rPr>
              <w:t>N</w:t>
            </w:r>
            <w:r w:rsidRPr="006172E4">
              <w:rPr>
                <w:i w:val="0"/>
              </w:rPr>
              <w:t>ominal amount as defined in paragraph 118 of Part 2 of Annex V to Commission Implementing Regulation (EU) 680/2014</w:t>
            </w:r>
            <w:r w:rsidRPr="00300D5D">
              <w:t>.</w:t>
            </w:r>
          </w:p>
          <w:p w14:paraId="19E446AB" w14:textId="1118D30D" w:rsidR="005919E0" w:rsidRPr="003D2EA6" w:rsidRDefault="001F2A6F" w:rsidP="000C6485">
            <w:pPr>
              <w:pStyle w:val="Fait"/>
              <w:spacing w:after="120"/>
              <w:rPr>
                <w:b/>
              </w:rPr>
            </w:pPr>
            <w:r>
              <w:t>Non-performing exposures</w:t>
            </w:r>
            <w:r w:rsidRPr="001F2A6F">
              <w:t xml:space="preserve"> as defined </w:t>
            </w:r>
            <w:r w:rsidR="009626F1">
              <w:t>in Article 47a CRR</w:t>
            </w:r>
            <w:r w:rsidR="000C6485">
              <w:t>.</w:t>
            </w:r>
          </w:p>
        </w:tc>
      </w:tr>
      <w:tr w:rsidR="005919E0" w:rsidRPr="00581203" w14:paraId="5A69B2C6" w14:textId="77777777" w:rsidTr="005919E0">
        <w:trPr>
          <w:trHeight w:val="316"/>
        </w:trPr>
        <w:tc>
          <w:tcPr>
            <w:tcW w:w="1384" w:type="dxa"/>
          </w:tcPr>
          <w:p w14:paraId="722D2793" w14:textId="6A38265A" w:rsidR="005919E0" w:rsidRPr="00AA7A7B" w:rsidRDefault="00AA7A7B" w:rsidP="00AA7A7B">
            <w:pPr>
              <w:pStyle w:val="Applicationdirecte"/>
              <w:spacing w:before="120"/>
            </w:pPr>
            <w:r>
              <w:t>e</w:t>
            </w:r>
          </w:p>
        </w:tc>
        <w:tc>
          <w:tcPr>
            <w:tcW w:w="7655" w:type="dxa"/>
          </w:tcPr>
          <w:p w14:paraId="57822F0D" w14:textId="2DA6533B" w:rsidR="00357816" w:rsidRDefault="00357816" w:rsidP="00412DB9">
            <w:pPr>
              <w:autoSpaceDE w:val="0"/>
              <w:autoSpaceDN w:val="0"/>
              <w:adjustRightInd w:val="0"/>
              <w:spacing w:before="120" w:after="120"/>
              <w:ind w:left="720"/>
              <w:rPr>
                <w:rFonts w:ascii="Times New Roman" w:hAnsi="Times New Roman" w:cs="Times New Roman"/>
                <w:b/>
                <w:sz w:val="24"/>
                <w:lang w:val="en-GB"/>
              </w:rPr>
            </w:pPr>
            <w:r>
              <w:rPr>
                <w:rFonts w:ascii="Times New Roman" w:hAnsi="Times New Roman" w:cs="Times New Roman"/>
                <w:b/>
                <w:sz w:val="24"/>
                <w:lang w:val="en-GB"/>
              </w:rPr>
              <w:t xml:space="preserve">Of which: </w:t>
            </w:r>
            <w:r w:rsidRPr="00A81300">
              <w:rPr>
                <w:rFonts w:ascii="Times New Roman" w:hAnsi="Times New Roman" w:cs="Times New Roman"/>
                <w:b/>
                <w:sz w:val="24"/>
                <w:lang w:val="en-GB"/>
              </w:rPr>
              <w:t>Unlikely to pay that are not past due or are past due ≤ 90 days</w:t>
            </w:r>
          </w:p>
          <w:p w14:paraId="4C0AEE6D" w14:textId="4C9C892D" w:rsidR="005919E0" w:rsidRPr="003D2EA6" w:rsidRDefault="001F2A6F" w:rsidP="005919E0">
            <w:pPr>
              <w:autoSpaceDE w:val="0"/>
              <w:autoSpaceDN w:val="0"/>
              <w:adjustRightInd w:val="0"/>
              <w:spacing w:before="120" w:after="120"/>
              <w:rPr>
                <w:rFonts w:ascii="Times New Roman" w:hAnsi="Times New Roman" w:cs="Times New Roman"/>
                <w:sz w:val="24"/>
                <w:lang w:val="en-GB"/>
              </w:rPr>
            </w:pPr>
            <w:r>
              <w:rPr>
                <w:rFonts w:ascii="Times New Roman" w:hAnsi="Times New Roman" w:cs="Times New Roman"/>
                <w:sz w:val="24"/>
                <w:lang w:val="en-GB"/>
              </w:rPr>
              <w:t>S</w:t>
            </w:r>
            <w:r w:rsidRPr="001F2A6F">
              <w:rPr>
                <w:rFonts w:ascii="Times New Roman" w:hAnsi="Times New Roman" w:cs="Times New Roman"/>
                <w:sz w:val="24"/>
                <w:lang w:val="en-GB"/>
              </w:rPr>
              <w:t xml:space="preserve">ubcategory of exposures that are either not past due or are up to 90 days past due but </w:t>
            </w:r>
            <w:proofErr w:type="gramStart"/>
            <w:r w:rsidRPr="001F2A6F">
              <w:rPr>
                <w:rFonts w:ascii="Times New Roman" w:hAnsi="Times New Roman" w:cs="Times New Roman"/>
                <w:sz w:val="24"/>
                <w:lang w:val="en-GB"/>
              </w:rPr>
              <w:t>are nevertheless</w:t>
            </w:r>
            <w:proofErr w:type="gramEnd"/>
            <w:r w:rsidRPr="001F2A6F">
              <w:rPr>
                <w:rFonts w:ascii="Times New Roman" w:hAnsi="Times New Roman" w:cs="Times New Roman"/>
                <w:sz w:val="24"/>
                <w:lang w:val="en-GB"/>
              </w:rPr>
              <w:t xml:space="preserve"> identified as non-performing, pursuant to </w:t>
            </w:r>
            <w:r w:rsidR="00B60D46" w:rsidRPr="00B60D46">
              <w:rPr>
                <w:rFonts w:ascii="Times New Roman" w:hAnsi="Times New Roman" w:cs="Times New Roman"/>
                <w:sz w:val="24"/>
                <w:lang w:val="en-GB"/>
              </w:rPr>
              <w:t>Article 47a CRR</w:t>
            </w:r>
            <w:r w:rsidR="00BF4090">
              <w:rPr>
                <w:rFonts w:ascii="Times New Roman" w:hAnsi="Times New Roman" w:cs="Times New Roman"/>
                <w:sz w:val="24"/>
                <w:lang w:val="en-GB"/>
              </w:rPr>
              <w:t>.</w:t>
            </w:r>
          </w:p>
        </w:tc>
      </w:tr>
      <w:tr w:rsidR="005919E0" w:rsidRPr="00581203" w14:paraId="73FA2ED0" w14:textId="77777777" w:rsidTr="005919E0">
        <w:trPr>
          <w:trHeight w:val="316"/>
        </w:trPr>
        <w:tc>
          <w:tcPr>
            <w:tcW w:w="1384" w:type="dxa"/>
          </w:tcPr>
          <w:p w14:paraId="23FC3457" w14:textId="3B6E955A" w:rsidR="005919E0" w:rsidRPr="00581203" w:rsidRDefault="00AA7A7B" w:rsidP="005919E0">
            <w:pPr>
              <w:autoSpaceDE w:val="0"/>
              <w:autoSpaceDN w:val="0"/>
              <w:adjustRightInd w:val="0"/>
              <w:rPr>
                <w:rFonts w:ascii="Times New Roman" w:eastAsia="Times New Roman" w:hAnsi="Times New Roman" w:cs="Times New Roman"/>
                <w:sz w:val="24"/>
                <w:lang w:val="en-GB"/>
              </w:rPr>
            </w:pPr>
            <w:r>
              <w:rPr>
                <w:rFonts w:ascii="Times New Roman" w:eastAsia="Times New Roman" w:hAnsi="Times New Roman" w:cs="Times New Roman"/>
                <w:sz w:val="24"/>
                <w:lang w:val="en-GB"/>
              </w:rPr>
              <w:t>f</w:t>
            </w:r>
          </w:p>
        </w:tc>
        <w:tc>
          <w:tcPr>
            <w:tcW w:w="7655" w:type="dxa"/>
          </w:tcPr>
          <w:p w14:paraId="312310B1" w14:textId="77777777" w:rsidR="005919E0" w:rsidRDefault="00357816" w:rsidP="00412DB9">
            <w:pPr>
              <w:autoSpaceDE w:val="0"/>
              <w:autoSpaceDN w:val="0"/>
              <w:adjustRightInd w:val="0"/>
              <w:spacing w:before="120" w:after="120"/>
              <w:ind w:left="720"/>
              <w:rPr>
                <w:rFonts w:ascii="Times New Roman" w:hAnsi="Times New Roman" w:cs="Times New Roman"/>
                <w:b/>
                <w:sz w:val="24"/>
                <w:lang w:val="en-GB"/>
              </w:rPr>
            </w:pPr>
            <w:r>
              <w:rPr>
                <w:rFonts w:ascii="Times New Roman" w:hAnsi="Times New Roman" w:cs="Times New Roman"/>
                <w:b/>
                <w:sz w:val="24"/>
                <w:lang w:val="en-GB"/>
              </w:rPr>
              <w:t xml:space="preserve">Of which: Past due &gt; 90 days </w:t>
            </w:r>
            <w:r w:rsidRPr="00357816">
              <w:rPr>
                <w:rFonts w:ascii="Times New Roman" w:hAnsi="Times New Roman" w:cs="Times New Roman"/>
                <w:b/>
                <w:sz w:val="24"/>
                <w:lang w:val="en-GB"/>
              </w:rPr>
              <w:t>≤ 180 days</w:t>
            </w:r>
          </w:p>
          <w:p w14:paraId="09DCBAE2" w14:textId="1C3DEA16" w:rsidR="001F2A6F" w:rsidRPr="00357816" w:rsidRDefault="001F2A6F" w:rsidP="00AF3CE9">
            <w:pPr>
              <w:autoSpaceDE w:val="0"/>
              <w:autoSpaceDN w:val="0"/>
              <w:adjustRightInd w:val="0"/>
              <w:spacing w:before="120" w:after="120"/>
              <w:rPr>
                <w:rFonts w:ascii="Times New Roman" w:hAnsi="Times New Roman" w:cs="Times New Roman"/>
                <w:b/>
                <w:sz w:val="24"/>
                <w:lang w:val="en-GB"/>
              </w:rPr>
            </w:pPr>
            <w:r w:rsidRPr="001F2A6F">
              <w:rPr>
                <w:rFonts w:ascii="Times New Roman" w:hAnsi="Times New Roman" w:cs="Times New Roman"/>
                <w:sz w:val="24"/>
                <w:lang w:val="en-GB"/>
              </w:rPr>
              <w:t xml:space="preserve">Subcategory of </w:t>
            </w:r>
            <w:r w:rsidR="00AF3CE9">
              <w:rPr>
                <w:rFonts w:ascii="Times New Roman" w:hAnsi="Times New Roman" w:cs="Times New Roman"/>
                <w:sz w:val="24"/>
                <w:lang w:val="en-GB"/>
              </w:rPr>
              <w:t>non-</w:t>
            </w:r>
            <w:r w:rsidRPr="001F2A6F">
              <w:rPr>
                <w:rFonts w:ascii="Times New Roman" w:hAnsi="Times New Roman" w:cs="Times New Roman"/>
                <w:sz w:val="24"/>
                <w:lang w:val="en-GB"/>
              </w:rPr>
              <w:t xml:space="preserve">performing exposures that are past due </w:t>
            </w:r>
            <w:r w:rsidR="00AF3CE9">
              <w:rPr>
                <w:rFonts w:ascii="Times New Roman" w:hAnsi="Times New Roman" w:cs="Times New Roman"/>
                <w:sz w:val="24"/>
                <w:lang w:val="en-GB"/>
              </w:rPr>
              <w:t>for more than 90 days, but not more than 180 days</w:t>
            </w:r>
            <w:r w:rsidRPr="001F2A6F">
              <w:rPr>
                <w:rFonts w:ascii="Times New Roman" w:hAnsi="Times New Roman" w:cs="Times New Roman"/>
                <w:sz w:val="24"/>
                <w:lang w:val="en-GB"/>
              </w:rPr>
              <w:t>.</w:t>
            </w:r>
          </w:p>
        </w:tc>
      </w:tr>
      <w:tr w:rsidR="005919E0" w:rsidRPr="00581203" w14:paraId="729A17DF" w14:textId="77777777" w:rsidTr="005919E0">
        <w:trPr>
          <w:trHeight w:val="316"/>
        </w:trPr>
        <w:tc>
          <w:tcPr>
            <w:tcW w:w="1384" w:type="dxa"/>
          </w:tcPr>
          <w:p w14:paraId="5FE2E309" w14:textId="1C647DE8" w:rsidR="005919E0" w:rsidRPr="00581203" w:rsidRDefault="00AA7A7B" w:rsidP="005919E0">
            <w:pPr>
              <w:autoSpaceDE w:val="0"/>
              <w:autoSpaceDN w:val="0"/>
              <w:adjustRightInd w:val="0"/>
              <w:rPr>
                <w:rFonts w:ascii="Times New Roman" w:eastAsia="Times New Roman" w:hAnsi="Times New Roman" w:cs="Times New Roman"/>
                <w:sz w:val="24"/>
                <w:lang w:val="en-GB"/>
              </w:rPr>
            </w:pPr>
            <w:r>
              <w:rPr>
                <w:rFonts w:ascii="Times New Roman" w:eastAsia="Times New Roman" w:hAnsi="Times New Roman" w:cs="Times New Roman"/>
                <w:sz w:val="24"/>
                <w:lang w:val="en-GB"/>
              </w:rPr>
              <w:t>g</w:t>
            </w:r>
          </w:p>
        </w:tc>
        <w:tc>
          <w:tcPr>
            <w:tcW w:w="7655" w:type="dxa"/>
          </w:tcPr>
          <w:p w14:paraId="29F40FFF" w14:textId="77777777" w:rsidR="005919E0" w:rsidRDefault="00357816" w:rsidP="00412DB9">
            <w:pPr>
              <w:autoSpaceDE w:val="0"/>
              <w:autoSpaceDN w:val="0"/>
              <w:adjustRightInd w:val="0"/>
              <w:spacing w:before="120" w:after="120"/>
              <w:ind w:left="720"/>
              <w:rPr>
                <w:rFonts w:ascii="Times New Roman" w:hAnsi="Times New Roman" w:cs="Times New Roman"/>
                <w:b/>
                <w:sz w:val="24"/>
                <w:lang w:val="en-GB"/>
              </w:rPr>
            </w:pPr>
            <w:r>
              <w:rPr>
                <w:rFonts w:ascii="Times New Roman" w:hAnsi="Times New Roman" w:cs="Times New Roman"/>
                <w:b/>
                <w:sz w:val="24"/>
                <w:lang w:val="en-GB"/>
              </w:rPr>
              <w:t xml:space="preserve">Of which: Past due &gt; 180 days </w:t>
            </w:r>
            <w:r w:rsidRPr="00357816">
              <w:rPr>
                <w:rFonts w:ascii="Times New Roman" w:hAnsi="Times New Roman" w:cs="Times New Roman"/>
                <w:b/>
                <w:sz w:val="24"/>
                <w:lang w:val="en-GB"/>
              </w:rPr>
              <w:t>≤ 1 year</w:t>
            </w:r>
          </w:p>
          <w:p w14:paraId="378E8BE8" w14:textId="0F40BEAF" w:rsidR="00AF3CE9" w:rsidRPr="00357816" w:rsidRDefault="00AF3CE9" w:rsidP="00AF3CE9">
            <w:pPr>
              <w:autoSpaceDE w:val="0"/>
              <w:autoSpaceDN w:val="0"/>
              <w:adjustRightInd w:val="0"/>
              <w:spacing w:before="120" w:after="120"/>
              <w:rPr>
                <w:rFonts w:ascii="Times New Roman" w:hAnsi="Times New Roman" w:cs="Times New Roman"/>
                <w:b/>
                <w:sz w:val="24"/>
                <w:lang w:val="en-GB"/>
              </w:rPr>
            </w:pPr>
            <w:r w:rsidRPr="001F2A6F">
              <w:rPr>
                <w:rFonts w:ascii="Times New Roman" w:hAnsi="Times New Roman" w:cs="Times New Roman"/>
                <w:sz w:val="24"/>
                <w:lang w:val="en-GB"/>
              </w:rPr>
              <w:t xml:space="preserve">Subcategory of </w:t>
            </w:r>
            <w:r>
              <w:rPr>
                <w:rFonts w:ascii="Times New Roman" w:hAnsi="Times New Roman" w:cs="Times New Roman"/>
                <w:sz w:val="24"/>
                <w:lang w:val="en-GB"/>
              </w:rPr>
              <w:t>non-</w:t>
            </w:r>
            <w:r w:rsidRPr="001F2A6F">
              <w:rPr>
                <w:rFonts w:ascii="Times New Roman" w:hAnsi="Times New Roman" w:cs="Times New Roman"/>
                <w:sz w:val="24"/>
                <w:lang w:val="en-GB"/>
              </w:rPr>
              <w:t xml:space="preserve">performing exposures that are past due </w:t>
            </w:r>
            <w:r>
              <w:rPr>
                <w:rFonts w:ascii="Times New Roman" w:hAnsi="Times New Roman" w:cs="Times New Roman"/>
                <w:sz w:val="24"/>
                <w:lang w:val="en-GB"/>
              </w:rPr>
              <w:t>for more than 180 days, but not more than 1 year</w:t>
            </w:r>
            <w:r w:rsidRPr="001F2A6F">
              <w:rPr>
                <w:rFonts w:ascii="Times New Roman" w:hAnsi="Times New Roman" w:cs="Times New Roman"/>
                <w:sz w:val="24"/>
                <w:lang w:val="en-GB"/>
              </w:rPr>
              <w:t>.</w:t>
            </w:r>
          </w:p>
        </w:tc>
      </w:tr>
      <w:tr w:rsidR="005919E0" w:rsidRPr="00581203" w14:paraId="7D42AA2C" w14:textId="77777777" w:rsidTr="005919E0">
        <w:trPr>
          <w:trHeight w:val="695"/>
        </w:trPr>
        <w:tc>
          <w:tcPr>
            <w:tcW w:w="1384" w:type="dxa"/>
          </w:tcPr>
          <w:p w14:paraId="1C92C8FD" w14:textId="563EE973" w:rsidR="005919E0" w:rsidRPr="00581203" w:rsidRDefault="00AA7A7B" w:rsidP="005919E0">
            <w:pPr>
              <w:autoSpaceDE w:val="0"/>
              <w:autoSpaceDN w:val="0"/>
              <w:adjustRightInd w:val="0"/>
              <w:rPr>
                <w:rFonts w:ascii="Times New Roman" w:eastAsia="Times New Roman" w:hAnsi="Times New Roman" w:cs="Times New Roman"/>
                <w:sz w:val="24"/>
              </w:rPr>
            </w:pPr>
            <w:r>
              <w:rPr>
                <w:rFonts w:ascii="Times New Roman" w:eastAsia="Times New Roman" w:hAnsi="Times New Roman" w:cs="Times New Roman"/>
                <w:sz w:val="24"/>
              </w:rPr>
              <w:t>h</w:t>
            </w:r>
          </w:p>
        </w:tc>
        <w:tc>
          <w:tcPr>
            <w:tcW w:w="7655" w:type="dxa"/>
          </w:tcPr>
          <w:p w14:paraId="1A55AC62" w14:textId="77777777" w:rsidR="00AF3CE9" w:rsidRDefault="00357816" w:rsidP="00412DB9">
            <w:pPr>
              <w:autoSpaceDE w:val="0"/>
              <w:autoSpaceDN w:val="0"/>
              <w:adjustRightInd w:val="0"/>
              <w:spacing w:before="120" w:after="120"/>
              <w:ind w:left="720"/>
              <w:rPr>
                <w:rFonts w:ascii="Times New Roman" w:hAnsi="Times New Roman" w:cs="Times New Roman"/>
                <w:sz w:val="24"/>
                <w:lang w:val="en-GB"/>
              </w:rPr>
            </w:pPr>
            <w:r>
              <w:rPr>
                <w:rFonts w:ascii="Times New Roman" w:hAnsi="Times New Roman" w:cs="Times New Roman"/>
                <w:b/>
                <w:sz w:val="24"/>
                <w:lang w:val="en-GB"/>
              </w:rPr>
              <w:t xml:space="preserve">Of which: Past due </w:t>
            </w:r>
            <w:r w:rsidRPr="00357816">
              <w:rPr>
                <w:rFonts w:ascii="Times New Roman" w:hAnsi="Times New Roman" w:cs="Times New Roman"/>
                <w:b/>
                <w:sz w:val="24"/>
                <w:lang w:val="en-GB"/>
              </w:rPr>
              <w:t>&gt; 1 year ≤ 2 years</w:t>
            </w:r>
            <w:r w:rsidR="00AF3CE9" w:rsidRPr="001F2A6F">
              <w:rPr>
                <w:rFonts w:ascii="Times New Roman" w:hAnsi="Times New Roman" w:cs="Times New Roman"/>
                <w:sz w:val="24"/>
                <w:lang w:val="en-GB"/>
              </w:rPr>
              <w:t xml:space="preserve"> </w:t>
            </w:r>
          </w:p>
          <w:p w14:paraId="079F1704" w14:textId="358F12D5" w:rsidR="005919E0" w:rsidRPr="00357816" w:rsidRDefault="00AF3CE9" w:rsidP="00AF3CE9">
            <w:pPr>
              <w:autoSpaceDE w:val="0"/>
              <w:autoSpaceDN w:val="0"/>
              <w:adjustRightInd w:val="0"/>
              <w:spacing w:before="120" w:after="120"/>
              <w:rPr>
                <w:rFonts w:ascii="Times New Roman" w:hAnsi="Times New Roman" w:cs="Times New Roman"/>
                <w:b/>
                <w:sz w:val="24"/>
                <w:lang w:val="en-GB"/>
              </w:rPr>
            </w:pPr>
            <w:r w:rsidRPr="001F2A6F">
              <w:rPr>
                <w:rFonts w:ascii="Times New Roman" w:hAnsi="Times New Roman" w:cs="Times New Roman"/>
                <w:sz w:val="24"/>
                <w:lang w:val="en-GB"/>
              </w:rPr>
              <w:t xml:space="preserve">Subcategory of </w:t>
            </w:r>
            <w:r>
              <w:rPr>
                <w:rFonts w:ascii="Times New Roman" w:hAnsi="Times New Roman" w:cs="Times New Roman"/>
                <w:sz w:val="24"/>
                <w:lang w:val="en-GB"/>
              </w:rPr>
              <w:t>non-</w:t>
            </w:r>
            <w:r w:rsidRPr="001F2A6F">
              <w:rPr>
                <w:rFonts w:ascii="Times New Roman" w:hAnsi="Times New Roman" w:cs="Times New Roman"/>
                <w:sz w:val="24"/>
                <w:lang w:val="en-GB"/>
              </w:rPr>
              <w:t xml:space="preserve">performing exposures that are past due </w:t>
            </w:r>
            <w:r>
              <w:rPr>
                <w:rFonts w:ascii="Times New Roman" w:hAnsi="Times New Roman" w:cs="Times New Roman"/>
                <w:sz w:val="24"/>
                <w:lang w:val="en-GB"/>
              </w:rPr>
              <w:t>for more than 1 year, but not more than 2 years</w:t>
            </w:r>
            <w:r w:rsidRPr="001F2A6F">
              <w:rPr>
                <w:rFonts w:ascii="Times New Roman" w:hAnsi="Times New Roman" w:cs="Times New Roman"/>
                <w:sz w:val="24"/>
                <w:lang w:val="en-GB"/>
              </w:rPr>
              <w:t>.</w:t>
            </w:r>
          </w:p>
        </w:tc>
      </w:tr>
      <w:tr w:rsidR="00357816" w:rsidRPr="00581203" w14:paraId="0C78B88A" w14:textId="77777777" w:rsidTr="005919E0">
        <w:trPr>
          <w:trHeight w:val="695"/>
        </w:trPr>
        <w:tc>
          <w:tcPr>
            <w:tcW w:w="1384" w:type="dxa"/>
          </w:tcPr>
          <w:p w14:paraId="5C3B0F85" w14:textId="468EB526" w:rsidR="00357816" w:rsidRPr="00581203" w:rsidRDefault="00AA7A7B" w:rsidP="005919E0">
            <w:pPr>
              <w:autoSpaceDE w:val="0"/>
              <w:autoSpaceDN w:val="0"/>
              <w:adjustRightInd w:val="0"/>
              <w:rPr>
                <w:rFonts w:ascii="Times New Roman" w:eastAsia="Times New Roman" w:hAnsi="Times New Roman" w:cs="Times New Roman"/>
                <w:sz w:val="24"/>
              </w:rPr>
            </w:pPr>
            <w:proofErr w:type="spellStart"/>
            <w:r>
              <w:rPr>
                <w:rFonts w:ascii="Times New Roman" w:eastAsia="Times New Roman" w:hAnsi="Times New Roman" w:cs="Times New Roman"/>
                <w:sz w:val="24"/>
              </w:rPr>
              <w:t>i</w:t>
            </w:r>
            <w:proofErr w:type="spellEnd"/>
          </w:p>
        </w:tc>
        <w:tc>
          <w:tcPr>
            <w:tcW w:w="7655" w:type="dxa"/>
          </w:tcPr>
          <w:p w14:paraId="594F14A2" w14:textId="77777777" w:rsidR="00357816" w:rsidRDefault="00357816" w:rsidP="00412DB9">
            <w:pPr>
              <w:autoSpaceDE w:val="0"/>
              <w:autoSpaceDN w:val="0"/>
              <w:adjustRightInd w:val="0"/>
              <w:spacing w:before="120" w:after="120"/>
              <w:ind w:left="720"/>
              <w:rPr>
                <w:rFonts w:ascii="Times New Roman" w:hAnsi="Times New Roman" w:cs="Times New Roman"/>
                <w:b/>
                <w:sz w:val="24"/>
                <w:lang w:val="en-GB"/>
              </w:rPr>
            </w:pPr>
            <w:r>
              <w:rPr>
                <w:rFonts w:ascii="Times New Roman" w:hAnsi="Times New Roman" w:cs="Times New Roman"/>
                <w:b/>
                <w:sz w:val="24"/>
                <w:lang w:val="en-GB"/>
              </w:rPr>
              <w:t xml:space="preserve">Of which: Past due </w:t>
            </w:r>
            <w:r w:rsidRPr="00357816">
              <w:rPr>
                <w:rFonts w:ascii="Times New Roman" w:hAnsi="Times New Roman" w:cs="Times New Roman"/>
                <w:b/>
                <w:sz w:val="24"/>
                <w:lang w:val="en-GB"/>
              </w:rPr>
              <w:t>&gt; 2 years ≤ 5 years</w:t>
            </w:r>
          </w:p>
          <w:p w14:paraId="60CF518F" w14:textId="267B9ECF" w:rsidR="00AF3CE9" w:rsidRDefault="00AF3CE9" w:rsidP="00AF3CE9">
            <w:pPr>
              <w:autoSpaceDE w:val="0"/>
              <w:autoSpaceDN w:val="0"/>
              <w:adjustRightInd w:val="0"/>
              <w:spacing w:before="120" w:after="120"/>
              <w:rPr>
                <w:rFonts w:ascii="Times New Roman" w:hAnsi="Times New Roman" w:cs="Times New Roman"/>
                <w:b/>
                <w:sz w:val="24"/>
                <w:lang w:val="en-GB"/>
              </w:rPr>
            </w:pPr>
            <w:r w:rsidRPr="001F2A6F">
              <w:rPr>
                <w:rFonts w:ascii="Times New Roman" w:hAnsi="Times New Roman" w:cs="Times New Roman"/>
                <w:sz w:val="24"/>
                <w:lang w:val="en-GB"/>
              </w:rPr>
              <w:t xml:space="preserve">Subcategory of </w:t>
            </w:r>
            <w:r>
              <w:rPr>
                <w:rFonts w:ascii="Times New Roman" w:hAnsi="Times New Roman" w:cs="Times New Roman"/>
                <w:sz w:val="24"/>
                <w:lang w:val="en-GB"/>
              </w:rPr>
              <w:t>non-</w:t>
            </w:r>
            <w:r w:rsidRPr="001F2A6F">
              <w:rPr>
                <w:rFonts w:ascii="Times New Roman" w:hAnsi="Times New Roman" w:cs="Times New Roman"/>
                <w:sz w:val="24"/>
                <w:lang w:val="en-GB"/>
              </w:rPr>
              <w:t xml:space="preserve">performing exposures that are past due </w:t>
            </w:r>
            <w:r>
              <w:rPr>
                <w:rFonts w:ascii="Times New Roman" w:hAnsi="Times New Roman" w:cs="Times New Roman"/>
                <w:sz w:val="24"/>
                <w:lang w:val="en-GB"/>
              </w:rPr>
              <w:t>for more than 2 years, but not more than 5 years</w:t>
            </w:r>
            <w:r w:rsidRPr="001F2A6F">
              <w:rPr>
                <w:rFonts w:ascii="Times New Roman" w:hAnsi="Times New Roman" w:cs="Times New Roman"/>
                <w:sz w:val="24"/>
                <w:lang w:val="en-GB"/>
              </w:rPr>
              <w:t>.</w:t>
            </w:r>
          </w:p>
        </w:tc>
      </w:tr>
      <w:tr w:rsidR="00357816" w:rsidRPr="00581203" w14:paraId="5D24BD56" w14:textId="77777777" w:rsidTr="005919E0">
        <w:trPr>
          <w:trHeight w:val="695"/>
        </w:trPr>
        <w:tc>
          <w:tcPr>
            <w:tcW w:w="1384" w:type="dxa"/>
          </w:tcPr>
          <w:p w14:paraId="012C3DB0" w14:textId="6BC83A82" w:rsidR="00357816" w:rsidRPr="00581203" w:rsidRDefault="00AA7A7B" w:rsidP="005919E0">
            <w:pPr>
              <w:autoSpaceDE w:val="0"/>
              <w:autoSpaceDN w:val="0"/>
              <w:adjustRightInd w:val="0"/>
              <w:rPr>
                <w:rFonts w:ascii="Times New Roman" w:eastAsia="Times New Roman" w:hAnsi="Times New Roman" w:cs="Times New Roman"/>
                <w:sz w:val="24"/>
              </w:rPr>
            </w:pPr>
            <w:r>
              <w:rPr>
                <w:rFonts w:ascii="Times New Roman" w:eastAsia="Times New Roman" w:hAnsi="Times New Roman" w:cs="Times New Roman"/>
                <w:sz w:val="24"/>
              </w:rPr>
              <w:t>j</w:t>
            </w:r>
          </w:p>
        </w:tc>
        <w:tc>
          <w:tcPr>
            <w:tcW w:w="7655" w:type="dxa"/>
          </w:tcPr>
          <w:p w14:paraId="56D68472" w14:textId="77777777" w:rsidR="00357816" w:rsidRDefault="00357816" w:rsidP="00412DB9">
            <w:pPr>
              <w:autoSpaceDE w:val="0"/>
              <w:autoSpaceDN w:val="0"/>
              <w:adjustRightInd w:val="0"/>
              <w:spacing w:before="120" w:after="120"/>
              <w:ind w:left="720"/>
              <w:rPr>
                <w:rFonts w:ascii="Times New Roman" w:hAnsi="Times New Roman" w:cs="Times New Roman"/>
                <w:b/>
                <w:sz w:val="24"/>
                <w:lang w:val="en-GB"/>
              </w:rPr>
            </w:pPr>
            <w:r>
              <w:rPr>
                <w:rFonts w:ascii="Times New Roman" w:hAnsi="Times New Roman" w:cs="Times New Roman"/>
                <w:b/>
                <w:sz w:val="24"/>
                <w:lang w:val="en-GB"/>
              </w:rPr>
              <w:t xml:space="preserve">Of which: Past due </w:t>
            </w:r>
            <w:r w:rsidRPr="00357816">
              <w:rPr>
                <w:rFonts w:ascii="Times New Roman" w:hAnsi="Times New Roman" w:cs="Times New Roman"/>
                <w:b/>
                <w:sz w:val="24"/>
                <w:lang w:val="en-GB"/>
              </w:rPr>
              <w:t>&gt; 5 years ≤ 7 years</w:t>
            </w:r>
          </w:p>
          <w:p w14:paraId="19473E10" w14:textId="500E411F" w:rsidR="00AF3CE9" w:rsidRDefault="00AF3CE9" w:rsidP="00AF3CE9">
            <w:pPr>
              <w:autoSpaceDE w:val="0"/>
              <w:autoSpaceDN w:val="0"/>
              <w:adjustRightInd w:val="0"/>
              <w:spacing w:before="120" w:after="120"/>
              <w:rPr>
                <w:rFonts w:ascii="Times New Roman" w:hAnsi="Times New Roman" w:cs="Times New Roman"/>
                <w:b/>
                <w:sz w:val="24"/>
                <w:lang w:val="en-GB"/>
              </w:rPr>
            </w:pPr>
            <w:r w:rsidRPr="001F2A6F">
              <w:rPr>
                <w:rFonts w:ascii="Times New Roman" w:hAnsi="Times New Roman" w:cs="Times New Roman"/>
                <w:sz w:val="24"/>
                <w:lang w:val="en-GB"/>
              </w:rPr>
              <w:t xml:space="preserve">Subcategory of </w:t>
            </w:r>
            <w:r>
              <w:rPr>
                <w:rFonts w:ascii="Times New Roman" w:hAnsi="Times New Roman" w:cs="Times New Roman"/>
                <w:sz w:val="24"/>
                <w:lang w:val="en-GB"/>
              </w:rPr>
              <w:t>non-</w:t>
            </w:r>
            <w:r w:rsidRPr="001F2A6F">
              <w:rPr>
                <w:rFonts w:ascii="Times New Roman" w:hAnsi="Times New Roman" w:cs="Times New Roman"/>
                <w:sz w:val="24"/>
                <w:lang w:val="en-GB"/>
              </w:rPr>
              <w:t xml:space="preserve">performing exposures that are past due </w:t>
            </w:r>
            <w:r>
              <w:rPr>
                <w:rFonts w:ascii="Times New Roman" w:hAnsi="Times New Roman" w:cs="Times New Roman"/>
                <w:sz w:val="24"/>
                <w:lang w:val="en-GB"/>
              </w:rPr>
              <w:t>for more than 5 years, but not more than 7 years</w:t>
            </w:r>
            <w:r w:rsidRPr="001F2A6F">
              <w:rPr>
                <w:rFonts w:ascii="Times New Roman" w:hAnsi="Times New Roman" w:cs="Times New Roman"/>
                <w:sz w:val="24"/>
                <w:lang w:val="en-GB"/>
              </w:rPr>
              <w:t>.</w:t>
            </w:r>
          </w:p>
        </w:tc>
      </w:tr>
      <w:tr w:rsidR="00357816" w:rsidRPr="00581203" w14:paraId="2ECFDD3D" w14:textId="77777777" w:rsidTr="005919E0">
        <w:trPr>
          <w:trHeight w:val="695"/>
        </w:trPr>
        <w:tc>
          <w:tcPr>
            <w:tcW w:w="1384" w:type="dxa"/>
          </w:tcPr>
          <w:p w14:paraId="5017B782" w14:textId="7B7986E8" w:rsidR="00357816" w:rsidRPr="00581203" w:rsidRDefault="00AA7A7B" w:rsidP="005919E0">
            <w:pPr>
              <w:autoSpaceDE w:val="0"/>
              <w:autoSpaceDN w:val="0"/>
              <w:adjustRightInd w:val="0"/>
              <w:rPr>
                <w:rFonts w:ascii="Times New Roman" w:eastAsia="Times New Roman" w:hAnsi="Times New Roman" w:cs="Times New Roman"/>
                <w:sz w:val="24"/>
              </w:rPr>
            </w:pPr>
            <w:r>
              <w:rPr>
                <w:rFonts w:ascii="Times New Roman" w:eastAsia="Times New Roman" w:hAnsi="Times New Roman" w:cs="Times New Roman"/>
                <w:sz w:val="24"/>
              </w:rPr>
              <w:t>k</w:t>
            </w:r>
          </w:p>
        </w:tc>
        <w:tc>
          <w:tcPr>
            <w:tcW w:w="7655" w:type="dxa"/>
          </w:tcPr>
          <w:p w14:paraId="693A65B4" w14:textId="77777777" w:rsidR="00357816" w:rsidRDefault="00357816" w:rsidP="00412DB9">
            <w:pPr>
              <w:autoSpaceDE w:val="0"/>
              <w:autoSpaceDN w:val="0"/>
              <w:adjustRightInd w:val="0"/>
              <w:spacing w:before="120" w:after="120"/>
              <w:ind w:left="720"/>
              <w:rPr>
                <w:rFonts w:ascii="Times New Roman" w:hAnsi="Times New Roman" w:cs="Times New Roman"/>
                <w:b/>
                <w:sz w:val="24"/>
                <w:lang w:val="en-GB"/>
              </w:rPr>
            </w:pPr>
            <w:r>
              <w:rPr>
                <w:rFonts w:ascii="Times New Roman" w:hAnsi="Times New Roman" w:cs="Times New Roman"/>
                <w:b/>
                <w:sz w:val="24"/>
                <w:lang w:val="en-GB"/>
              </w:rPr>
              <w:t xml:space="preserve">Of which: </w:t>
            </w:r>
            <w:r w:rsidRPr="00357816">
              <w:rPr>
                <w:rFonts w:ascii="Times New Roman" w:hAnsi="Times New Roman" w:cs="Times New Roman"/>
                <w:b/>
                <w:sz w:val="24"/>
                <w:lang w:val="en-GB"/>
              </w:rPr>
              <w:t>Past due &gt; 7 years</w:t>
            </w:r>
          </w:p>
          <w:p w14:paraId="38E7C726" w14:textId="58253CF7" w:rsidR="00AF3CE9" w:rsidRDefault="00AF3CE9" w:rsidP="00AF3CE9">
            <w:pPr>
              <w:autoSpaceDE w:val="0"/>
              <w:autoSpaceDN w:val="0"/>
              <w:adjustRightInd w:val="0"/>
              <w:spacing w:before="120" w:after="120"/>
              <w:rPr>
                <w:rFonts w:ascii="Times New Roman" w:hAnsi="Times New Roman" w:cs="Times New Roman"/>
                <w:b/>
                <w:sz w:val="24"/>
                <w:lang w:val="en-GB"/>
              </w:rPr>
            </w:pPr>
            <w:r w:rsidRPr="001F2A6F">
              <w:rPr>
                <w:rFonts w:ascii="Times New Roman" w:hAnsi="Times New Roman" w:cs="Times New Roman"/>
                <w:sz w:val="24"/>
                <w:lang w:val="en-GB"/>
              </w:rPr>
              <w:t xml:space="preserve">Subcategory of </w:t>
            </w:r>
            <w:r>
              <w:rPr>
                <w:rFonts w:ascii="Times New Roman" w:hAnsi="Times New Roman" w:cs="Times New Roman"/>
                <w:sz w:val="24"/>
                <w:lang w:val="en-GB"/>
              </w:rPr>
              <w:t>non-</w:t>
            </w:r>
            <w:r w:rsidRPr="001F2A6F">
              <w:rPr>
                <w:rFonts w:ascii="Times New Roman" w:hAnsi="Times New Roman" w:cs="Times New Roman"/>
                <w:sz w:val="24"/>
                <w:lang w:val="en-GB"/>
              </w:rPr>
              <w:t xml:space="preserve">performing exposures that are past due </w:t>
            </w:r>
            <w:r>
              <w:rPr>
                <w:rFonts w:ascii="Times New Roman" w:hAnsi="Times New Roman" w:cs="Times New Roman"/>
                <w:sz w:val="24"/>
                <w:lang w:val="en-GB"/>
              </w:rPr>
              <w:t>for more than 7 years</w:t>
            </w:r>
            <w:r w:rsidRPr="001F2A6F">
              <w:rPr>
                <w:rFonts w:ascii="Times New Roman" w:hAnsi="Times New Roman" w:cs="Times New Roman"/>
                <w:sz w:val="24"/>
                <w:lang w:val="en-GB"/>
              </w:rPr>
              <w:t>.</w:t>
            </w:r>
          </w:p>
        </w:tc>
      </w:tr>
      <w:tr w:rsidR="00357816" w:rsidRPr="00581203" w14:paraId="4A8AA4F7" w14:textId="77777777" w:rsidTr="005919E0">
        <w:trPr>
          <w:trHeight w:val="695"/>
        </w:trPr>
        <w:tc>
          <w:tcPr>
            <w:tcW w:w="1384" w:type="dxa"/>
          </w:tcPr>
          <w:p w14:paraId="0CB8E732" w14:textId="003971E3" w:rsidR="00357816" w:rsidRPr="00581203" w:rsidRDefault="00AA7A7B" w:rsidP="005919E0">
            <w:pPr>
              <w:autoSpaceDE w:val="0"/>
              <w:autoSpaceDN w:val="0"/>
              <w:adjustRightInd w:val="0"/>
              <w:rPr>
                <w:rFonts w:ascii="Times New Roman" w:eastAsia="Times New Roman" w:hAnsi="Times New Roman" w:cs="Times New Roman"/>
                <w:sz w:val="24"/>
              </w:rPr>
            </w:pPr>
            <w:r>
              <w:rPr>
                <w:rFonts w:ascii="Times New Roman" w:eastAsia="Times New Roman" w:hAnsi="Times New Roman" w:cs="Times New Roman"/>
                <w:sz w:val="24"/>
              </w:rPr>
              <w:t>l</w:t>
            </w:r>
          </w:p>
        </w:tc>
        <w:tc>
          <w:tcPr>
            <w:tcW w:w="7655" w:type="dxa"/>
          </w:tcPr>
          <w:p w14:paraId="39748328" w14:textId="77777777" w:rsidR="00357816" w:rsidRDefault="00357816" w:rsidP="00412DB9">
            <w:pPr>
              <w:autoSpaceDE w:val="0"/>
              <w:autoSpaceDN w:val="0"/>
              <w:adjustRightInd w:val="0"/>
              <w:spacing w:before="120" w:after="120"/>
              <w:ind w:left="720"/>
              <w:rPr>
                <w:rFonts w:ascii="Times New Roman" w:hAnsi="Times New Roman" w:cs="Times New Roman"/>
                <w:b/>
                <w:sz w:val="24"/>
                <w:lang w:val="en-GB"/>
              </w:rPr>
            </w:pPr>
            <w:r w:rsidRPr="00357816">
              <w:rPr>
                <w:rFonts w:ascii="Times New Roman" w:hAnsi="Times New Roman" w:cs="Times New Roman"/>
                <w:b/>
                <w:sz w:val="24"/>
                <w:lang w:val="en-GB"/>
              </w:rPr>
              <w:t>Of which defaulted</w:t>
            </w:r>
          </w:p>
          <w:p w14:paraId="2C8A23C2" w14:textId="2C476CC6" w:rsidR="00AF3CE9" w:rsidRPr="00AF3CE9" w:rsidRDefault="00AF3CE9" w:rsidP="00AF3CE9">
            <w:pPr>
              <w:autoSpaceDE w:val="0"/>
              <w:autoSpaceDN w:val="0"/>
              <w:adjustRightInd w:val="0"/>
              <w:spacing w:before="120" w:after="120"/>
              <w:rPr>
                <w:rFonts w:ascii="Times New Roman" w:hAnsi="Times New Roman" w:cs="Times New Roman"/>
                <w:sz w:val="24"/>
                <w:lang w:val="en-GB"/>
              </w:rPr>
            </w:pPr>
            <w:r>
              <w:rPr>
                <w:rFonts w:ascii="Times New Roman" w:hAnsi="Times New Roman" w:cs="Times New Roman"/>
                <w:sz w:val="24"/>
                <w:lang w:val="en-GB"/>
              </w:rPr>
              <w:lastRenderedPageBreak/>
              <w:t>D</w:t>
            </w:r>
            <w:r w:rsidRPr="00AF3CE9">
              <w:rPr>
                <w:rFonts w:ascii="Times New Roman" w:hAnsi="Times New Roman" w:cs="Times New Roman"/>
                <w:sz w:val="24"/>
                <w:lang w:val="en-GB"/>
              </w:rPr>
              <w:t xml:space="preserve">efaulted </w:t>
            </w:r>
            <w:r>
              <w:rPr>
                <w:rFonts w:ascii="Times New Roman" w:hAnsi="Times New Roman" w:cs="Times New Roman"/>
                <w:sz w:val="24"/>
                <w:lang w:val="en-GB"/>
              </w:rPr>
              <w:t xml:space="preserve">exposures </w:t>
            </w:r>
            <w:r w:rsidRPr="00AF3CE9">
              <w:rPr>
                <w:rFonts w:ascii="Times New Roman" w:hAnsi="Times New Roman" w:cs="Times New Roman"/>
                <w:sz w:val="24"/>
                <w:lang w:val="en-GB"/>
              </w:rPr>
              <w:t>in accordance with Article 178 CRR.</w:t>
            </w:r>
          </w:p>
        </w:tc>
      </w:tr>
    </w:tbl>
    <w:p w14:paraId="7E22A3DA" w14:textId="623D8545" w:rsidR="00856FC4" w:rsidRDefault="00856FC4" w:rsidP="0043712F">
      <w:pPr>
        <w:autoSpaceDE w:val="0"/>
        <w:autoSpaceDN w:val="0"/>
        <w:adjustRightInd w:val="0"/>
        <w:rPr>
          <w:rFonts w:ascii="Times New Roman" w:hAnsi="Times New Roman" w:cs="Times New Roman"/>
          <w:sz w:val="24"/>
        </w:rPr>
      </w:pPr>
    </w:p>
    <w:p w14:paraId="6D2E825A" w14:textId="2C4BB22E" w:rsidR="00962B68" w:rsidRDefault="00962B68" w:rsidP="0043712F">
      <w:pPr>
        <w:autoSpaceDE w:val="0"/>
        <w:autoSpaceDN w:val="0"/>
        <w:adjustRightInd w:val="0"/>
        <w:rPr>
          <w:rFonts w:ascii="Times New Roman" w:hAnsi="Times New Roman" w:cs="Times New Roman"/>
          <w:sz w:val="24"/>
        </w:rPr>
      </w:pPr>
    </w:p>
    <w:p w14:paraId="6EFF4F5F" w14:textId="47C594BA" w:rsidR="00962B68" w:rsidRDefault="00962B68" w:rsidP="0043712F">
      <w:pPr>
        <w:autoSpaceDE w:val="0"/>
        <w:autoSpaceDN w:val="0"/>
        <w:adjustRightInd w:val="0"/>
        <w:rPr>
          <w:rFonts w:ascii="Times New Roman" w:hAnsi="Times New Roman" w:cs="Times New Roman"/>
          <w:sz w:val="24"/>
        </w:rPr>
      </w:pPr>
    </w:p>
    <w:p w14:paraId="01E77300" w14:textId="27337FCC" w:rsidR="00FB79AA" w:rsidRDefault="00FB79AA" w:rsidP="0043712F">
      <w:pPr>
        <w:autoSpaceDE w:val="0"/>
        <w:autoSpaceDN w:val="0"/>
        <w:adjustRightInd w:val="0"/>
        <w:rPr>
          <w:rFonts w:ascii="Times New Roman" w:hAnsi="Times New Roman" w:cs="Times New Roman"/>
          <w:sz w:val="24"/>
        </w:rPr>
      </w:pPr>
    </w:p>
    <w:p w14:paraId="77393DE6" w14:textId="3CF0356B" w:rsidR="00FB79AA" w:rsidRDefault="003641C0" w:rsidP="00FD04D2">
      <w:pPr>
        <w:autoSpaceDE w:val="0"/>
        <w:autoSpaceDN w:val="0"/>
        <w:adjustRightInd w:val="0"/>
        <w:spacing w:after="120"/>
        <w:jc w:val="both"/>
        <w:rPr>
          <w:rFonts w:ascii="Times New Roman" w:hAnsi="Times New Roman" w:cs="Times New Roman"/>
          <w:b/>
          <w:sz w:val="24"/>
          <w:lang w:val="en-GB"/>
        </w:rPr>
      </w:pPr>
      <w:r>
        <w:rPr>
          <w:rFonts w:ascii="Times New Roman" w:hAnsi="Times New Roman" w:cs="Times New Roman"/>
          <w:b/>
          <w:sz w:val="24"/>
          <w:lang w:val="en-GB"/>
        </w:rPr>
        <w:t>Template EU CQ4: Quality of non-performing exposures by geography </w:t>
      </w:r>
    </w:p>
    <w:p w14:paraId="0B4AA80F" w14:textId="1920C301" w:rsidR="00312A27" w:rsidRPr="00FE38E5" w:rsidRDefault="00312A27" w:rsidP="00B256E9">
      <w:pPr>
        <w:pStyle w:val="ListParagraph"/>
        <w:numPr>
          <w:ilvl w:val="0"/>
          <w:numId w:val="45"/>
        </w:numPr>
        <w:spacing w:before="120" w:after="120"/>
        <w:jc w:val="both"/>
        <w:rPr>
          <w:rFonts w:ascii="Times New Roman" w:hAnsi="Times New Roman"/>
          <w:bCs/>
          <w:sz w:val="24"/>
        </w:rPr>
      </w:pPr>
      <w:proofErr w:type="gramStart"/>
      <w:r w:rsidRPr="00FE38E5">
        <w:rPr>
          <w:rFonts w:ascii="Times New Roman" w:hAnsi="Times New Roman"/>
          <w:bCs/>
          <w:sz w:val="24"/>
        </w:rPr>
        <w:t xml:space="preserve">Institutions </w:t>
      </w:r>
      <w:r w:rsidR="00B60D46" w:rsidRPr="00FE38E5">
        <w:rPr>
          <w:rFonts w:ascii="Times New Roman" w:hAnsi="Times New Roman"/>
          <w:bCs/>
          <w:sz w:val="24"/>
        </w:rPr>
        <w:t xml:space="preserve">where non-domestic original exposures in all non-domestic countries in all exposure classes are equal to or higher than 10% of the total (domestic and non-domestic) original exposures </w:t>
      </w:r>
      <w:r w:rsidRPr="00FE38E5">
        <w:rPr>
          <w:rFonts w:ascii="Times New Roman" w:hAnsi="Times New Roman"/>
          <w:bCs/>
          <w:sz w:val="24"/>
        </w:rPr>
        <w:t>shall apply the instructions provided below in this Annex in order to complete template EU CQ</w:t>
      </w:r>
      <w:r w:rsidR="008B36A8" w:rsidRPr="00FE38E5">
        <w:rPr>
          <w:rFonts w:ascii="Times New Roman" w:hAnsi="Times New Roman"/>
          <w:bCs/>
          <w:sz w:val="24"/>
        </w:rPr>
        <w:t>4</w:t>
      </w:r>
      <w:r w:rsidRPr="00FE38E5">
        <w:rPr>
          <w:rFonts w:ascii="Times New Roman" w:hAnsi="Times New Roman"/>
          <w:bCs/>
          <w:sz w:val="24"/>
        </w:rPr>
        <w:t xml:space="preserve"> as presented in Annex </w:t>
      </w:r>
      <w:r w:rsidR="00A82A03">
        <w:rPr>
          <w:rFonts w:ascii="Times New Roman" w:hAnsi="Times New Roman"/>
          <w:bCs/>
          <w:sz w:val="24"/>
        </w:rPr>
        <w:t>XV</w:t>
      </w:r>
      <w:r w:rsidR="00BF4090">
        <w:rPr>
          <w:rFonts w:ascii="Times New Roman" w:hAnsi="Times New Roman"/>
          <w:bCs/>
          <w:sz w:val="24"/>
        </w:rPr>
        <w:t xml:space="preserve"> to this Implementing Regulation</w:t>
      </w:r>
      <w:r w:rsidRPr="00FE38E5">
        <w:rPr>
          <w:rFonts w:ascii="Times New Roman" w:hAnsi="Times New Roman"/>
          <w:bCs/>
          <w:sz w:val="24"/>
        </w:rPr>
        <w:t xml:space="preserve">, in application of </w:t>
      </w:r>
      <w:r w:rsidR="00D6319A">
        <w:rPr>
          <w:rFonts w:ascii="Times New Roman" w:hAnsi="Times New Roman"/>
          <w:bCs/>
          <w:sz w:val="24"/>
        </w:rPr>
        <w:t xml:space="preserve">points (c) and (e) of </w:t>
      </w:r>
      <w:r w:rsidRPr="00FE38E5">
        <w:rPr>
          <w:rFonts w:ascii="Times New Roman" w:hAnsi="Times New Roman"/>
          <w:bCs/>
          <w:sz w:val="24"/>
        </w:rPr>
        <w:t>Article 442</w:t>
      </w:r>
      <w:r w:rsidR="00D6319A">
        <w:rPr>
          <w:rFonts w:ascii="Times New Roman" w:hAnsi="Times New Roman"/>
          <w:bCs/>
          <w:sz w:val="24"/>
        </w:rPr>
        <w:t xml:space="preserve"> </w:t>
      </w:r>
      <w:r w:rsidRPr="00FE38E5">
        <w:rPr>
          <w:rFonts w:ascii="Times New Roman" w:hAnsi="Times New Roman"/>
          <w:bCs/>
          <w:sz w:val="24"/>
        </w:rPr>
        <w:t xml:space="preserve"> </w:t>
      </w:r>
      <w:r w:rsidRPr="00FE38E5">
        <w:rPr>
          <w:rFonts w:ascii="Times New Roman" w:hAnsi="Times New Roman"/>
          <w:noProof/>
          <w:color w:val="000000"/>
          <w:sz w:val="24"/>
        </w:rPr>
        <w:t>CRR</w:t>
      </w:r>
      <w:r w:rsidR="00AE5145" w:rsidRPr="00FE38E5">
        <w:rPr>
          <w:rFonts w:ascii="Times New Roman" w:hAnsi="Times New Roman"/>
          <w:bCs/>
          <w:sz w:val="24"/>
        </w:rPr>
        <w:t>.</w:t>
      </w:r>
      <w:proofErr w:type="gramEnd"/>
    </w:p>
    <w:p w14:paraId="117687F6" w14:textId="77777777" w:rsidR="00312A27" w:rsidRPr="00962B68" w:rsidRDefault="00312A27" w:rsidP="00FB79AA">
      <w:pPr>
        <w:autoSpaceDE w:val="0"/>
        <w:autoSpaceDN w:val="0"/>
        <w:adjustRightInd w:val="0"/>
        <w:jc w:val="both"/>
        <w:rPr>
          <w:rFonts w:ascii="Times New Roman" w:hAnsi="Times New Roman" w:cs="Times New Roman"/>
          <w:b/>
          <w:sz w:val="24"/>
          <w:lang w:val="en-GB"/>
        </w:rPr>
      </w:pPr>
    </w:p>
    <w:p w14:paraId="6A08A6C0" w14:textId="77777777" w:rsidR="00FB79AA" w:rsidRPr="0043712F" w:rsidRDefault="00FB79AA" w:rsidP="00FB79AA">
      <w:pPr>
        <w:contextualSpacing/>
        <w:jc w:val="both"/>
        <w:rPr>
          <w:rFonts w:ascii="Times New Roman" w:hAnsi="Times New Roman"/>
          <w:sz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FB79AA" w:rsidRPr="00581203" w14:paraId="260BF652" w14:textId="77777777" w:rsidTr="00FB79AA">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F1F9E0" w14:textId="77777777" w:rsidR="00FB79AA" w:rsidRPr="00581203" w:rsidRDefault="00FB79AA" w:rsidP="00FB79AA">
            <w:pPr>
              <w:rPr>
                <w:rFonts w:ascii="Times New Roman" w:hAnsi="Times New Roman" w:cs="Times New Roman"/>
                <w:b/>
                <w:sz w:val="24"/>
                <w:lang w:val="en-GB"/>
              </w:rPr>
            </w:pPr>
            <w:r w:rsidRPr="00581203">
              <w:rPr>
                <w:rFonts w:ascii="Times New Roman" w:hAnsi="Times New Roman" w:cs="Times New Roman"/>
                <w:b/>
                <w:sz w:val="24"/>
                <w:lang w:val="en-GB"/>
              </w:rPr>
              <w:t>Legal references and instructions</w:t>
            </w:r>
          </w:p>
        </w:tc>
      </w:tr>
      <w:tr w:rsidR="00FB79AA" w:rsidRPr="00581203" w14:paraId="09D9007E" w14:textId="77777777" w:rsidTr="00FB79AA">
        <w:trPr>
          <w:trHeight w:val="238"/>
        </w:trPr>
        <w:tc>
          <w:tcPr>
            <w:tcW w:w="1384" w:type="dxa"/>
            <w:shd w:val="clear" w:color="auto" w:fill="D9D9D9" w:themeFill="background1" w:themeFillShade="D9"/>
          </w:tcPr>
          <w:p w14:paraId="33F56981" w14:textId="77777777" w:rsidR="00FB79AA" w:rsidRPr="00581203" w:rsidRDefault="00FB79AA" w:rsidP="00FB79AA">
            <w:pPr>
              <w:autoSpaceDE w:val="0"/>
              <w:autoSpaceDN w:val="0"/>
              <w:adjustRightInd w:val="0"/>
              <w:rPr>
                <w:rFonts w:ascii="Times New Roman" w:hAnsi="Times New Roman" w:cs="Times New Roman"/>
                <w:b/>
                <w:sz w:val="24"/>
                <w:lang w:val="en-GB"/>
              </w:rPr>
            </w:pPr>
            <w:r w:rsidRPr="00313EC9">
              <w:rPr>
                <w:rFonts w:ascii="Times New Roman" w:hAnsi="Times New Roman" w:cs="Times New Roman"/>
                <w:b/>
                <w:sz w:val="24"/>
                <w:lang w:val="en-GB"/>
              </w:rPr>
              <w:t>Row number</w:t>
            </w:r>
          </w:p>
        </w:tc>
        <w:tc>
          <w:tcPr>
            <w:tcW w:w="7655" w:type="dxa"/>
            <w:shd w:val="clear" w:color="auto" w:fill="D9D9D9" w:themeFill="background1" w:themeFillShade="D9"/>
          </w:tcPr>
          <w:p w14:paraId="68DD38CD" w14:textId="77777777" w:rsidR="00FB79AA" w:rsidRPr="0043712F" w:rsidRDefault="00FB79AA" w:rsidP="00FB79AA">
            <w:pPr>
              <w:autoSpaceDE w:val="0"/>
              <w:autoSpaceDN w:val="0"/>
              <w:adjustRightInd w:val="0"/>
              <w:rPr>
                <w:rFonts w:ascii="Times New Roman" w:hAnsi="Times New Roman" w:cs="Times New Roman"/>
                <w:color w:val="000000"/>
                <w:sz w:val="24"/>
                <w:lang w:val="en-GB"/>
              </w:rPr>
            </w:pPr>
            <w:r w:rsidRPr="00581203">
              <w:rPr>
                <w:rFonts w:ascii="Times New Roman" w:hAnsi="Times New Roman" w:cs="Times New Roman"/>
                <w:b/>
                <w:sz w:val="24"/>
                <w:lang w:val="en-GB"/>
              </w:rPr>
              <w:t>Explanation</w:t>
            </w:r>
          </w:p>
        </w:tc>
      </w:tr>
      <w:tr w:rsidR="00313EC9" w:rsidRPr="00581203" w14:paraId="2843D7E1" w14:textId="77777777" w:rsidTr="00313EC9">
        <w:trPr>
          <w:trHeight w:val="971"/>
        </w:trPr>
        <w:tc>
          <w:tcPr>
            <w:tcW w:w="1384" w:type="dxa"/>
          </w:tcPr>
          <w:p w14:paraId="4AA05156" w14:textId="72DD75BC" w:rsidR="00313EC9" w:rsidRDefault="00313EC9" w:rsidP="00FB79AA">
            <w:pPr>
              <w:pStyle w:val="Applicationdirecte"/>
              <w:spacing w:before="120"/>
            </w:pPr>
            <w:r>
              <w:t>010</w:t>
            </w:r>
          </w:p>
        </w:tc>
        <w:tc>
          <w:tcPr>
            <w:tcW w:w="7655" w:type="dxa"/>
          </w:tcPr>
          <w:p w14:paraId="652AA052" w14:textId="77777777" w:rsidR="00313EC9" w:rsidRDefault="00313EC9" w:rsidP="00FB79AA">
            <w:pPr>
              <w:pStyle w:val="Applicationdirecte"/>
              <w:spacing w:before="120"/>
              <w:rPr>
                <w:b/>
              </w:rPr>
            </w:pPr>
            <w:r w:rsidRPr="00313EC9">
              <w:rPr>
                <w:b/>
              </w:rPr>
              <w:t>On-balance-sheet exposures</w:t>
            </w:r>
          </w:p>
          <w:p w14:paraId="035D2AE9" w14:textId="3165AC59" w:rsidR="000F3892" w:rsidRPr="000F3892" w:rsidRDefault="009626F1" w:rsidP="000F3892">
            <w:pPr>
              <w:pStyle w:val="Fait"/>
            </w:pPr>
            <w:r>
              <w:t>Total on-balance-sheet exposures.</w:t>
            </w:r>
          </w:p>
        </w:tc>
      </w:tr>
      <w:tr w:rsidR="00FB79AA" w:rsidRPr="00581203" w14:paraId="0FDCFD60" w14:textId="77777777" w:rsidTr="00313EC9">
        <w:trPr>
          <w:trHeight w:val="3491"/>
        </w:trPr>
        <w:tc>
          <w:tcPr>
            <w:tcW w:w="1384" w:type="dxa"/>
          </w:tcPr>
          <w:p w14:paraId="64F4AA74" w14:textId="5FEB2A1D" w:rsidR="00FB79AA" w:rsidRPr="00581203" w:rsidRDefault="003065D5" w:rsidP="00FB79AA">
            <w:pPr>
              <w:pStyle w:val="Applicationdirecte"/>
              <w:spacing w:before="120"/>
            </w:pPr>
            <w:r>
              <w:t>020 – 07</w:t>
            </w:r>
            <w:r w:rsidR="00313EC9">
              <w:t>0 and 090 - 140</w:t>
            </w:r>
          </w:p>
        </w:tc>
        <w:tc>
          <w:tcPr>
            <w:tcW w:w="7655" w:type="dxa"/>
          </w:tcPr>
          <w:p w14:paraId="239DACAE" w14:textId="77777777" w:rsidR="00313EC9" w:rsidRDefault="00313EC9" w:rsidP="00FB79AA">
            <w:pPr>
              <w:pStyle w:val="Applicationdirecte"/>
              <w:spacing w:before="120"/>
              <w:rPr>
                <w:b/>
              </w:rPr>
            </w:pPr>
            <w:r>
              <w:rPr>
                <w:b/>
              </w:rPr>
              <w:t>Country</w:t>
            </w:r>
          </w:p>
          <w:p w14:paraId="7183A6F0" w14:textId="01CBAE77" w:rsidR="00313EC9" w:rsidRDefault="00313EC9" w:rsidP="00313EC9">
            <w:pPr>
              <w:pStyle w:val="Fait"/>
            </w:pPr>
            <w:r>
              <w:t>A</w:t>
            </w:r>
            <w:r w:rsidRPr="00313EC9">
              <w:t xml:space="preserve"> country in which the institution’s exposures are material in accordance with </w:t>
            </w:r>
            <w:r w:rsidR="000300DD">
              <w:t>Article 432 CRR</w:t>
            </w:r>
            <w:r w:rsidRPr="00313EC9">
              <w:t>.</w:t>
            </w:r>
          </w:p>
          <w:p w14:paraId="5D516E66" w14:textId="4AC6BB31" w:rsidR="00313EC9" w:rsidRPr="00D802E8" w:rsidRDefault="00313EC9" w:rsidP="00313EC9">
            <w:pPr>
              <w:autoSpaceDE w:val="0"/>
              <w:autoSpaceDN w:val="0"/>
              <w:adjustRightInd w:val="0"/>
              <w:spacing w:before="120" w:after="120"/>
              <w:rPr>
                <w:rFonts w:ascii="Times New Roman" w:hAnsi="Times New Roman" w:cs="Times New Roman"/>
                <w:sz w:val="24"/>
                <w:lang w:val="en-GB"/>
              </w:rPr>
            </w:pPr>
            <w:r w:rsidRPr="00313EC9">
              <w:rPr>
                <w:rFonts w:ascii="Times New Roman" w:hAnsi="Times New Roman" w:cs="Times New Roman"/>
                <w:sz w:val="24"/>
                <w:lang w:val="en-GB"/>
              </w:rPr>
              <w:t xml:space="preserve">When the materiality of countries is determined using a materiality threshold, </w:t>
            </w:r>
            <w:r w:rsidRPr="00D802E8">
              <w:rPr>
                <w:rFonts w:ascii="Times New Roman" w:hAnsi="Times New Roman" w:cs="Times New Roman"/>
                <w:sz w:val="24"/>
                <w:lang w:val="en-GB"/>
              </w:rPr>
              <w:t xml:space="preserve">that threshold </w:t>
            </w:r>
            <w:r w:rsidR="0017224C" w:rsidRPr="00D802E8">
              <w:rPr>
                <w:rFonts w:ascii="Times New Roman" w:hAnsi="Times New Roman" w:cs="Times New Roman"/>
                <w:sz w:val="24"/>
                <w:lang w:val="en-GB"/>
              </w:rPr>
              <w:t>shall</w:t>
            </w:r>
            <w:r w:rsidRPr="00D802E8">
              <w:rPr>
                <w:rFonts w:ascii="Times New Roman" w:hAnsi="Times New Roman" w:cs="Times New Roman"/>
                <w:sz w:val="24"/>
                <w:lang w:val="en-GB"/>
              </w:rPr>
              <w:t xml:space="preserve"> be disclosed, as </w:t>
            </w:r>
            <w:r w:rsidR="0017224C" w:rsidRPr="00D802E8">
              <w:rPr>
                <w:rFonts w:ascii="Times New Roman" w:hAnsi="Times New Roman" w:cs="Times New Roman"/>
                <w:sz w:val="24"/>
                <w:lang w:val="en-GB"/>
              </w:rPr>
              <w:t>shall</w:t>
            </w:r>
            <w:r w:rsidRPr="00D802E8">
              <w:rPr>
                <w:rFonts w:ascii="Times New Roman" w:hAnsi="Times New Roman" w:cs="Times New Roman"/>
                <w:sz w:val="24"/>
                <w:lang w:val="en-GB"/>
              </w:rPr>
              <w:t xml:space="preserve"> the list of immaterial countries included in the ‘Other countries’ rows.</w:t>
            </w:r>
          </w:p>
          <w:p w14:paraId="0CAACF3D" w14:textId="55F9B31B" w:rsidR="00313EC9" w:rsidRPr="00313EC9" w:rsidRDefault="00313EC9" w:rsidP="00313EC9">
            <w:pPr>
              <w:autoSpaceDE w:val="0"/>
              <w:autoSpaceDN w:val="0"/>
              <w:adjustRightInd w:val="0"/>
              <w:spacing w:before="120" w:after="120"/>
            </w:pPr>
            <w:r w:rsidRPr="00D802E8">
              <w:rPr>
                <w:rFonts w:ascii="Times New Roman" w:hAnsi="Times New Roman" w:cs="Times New Roman"/>
                <w:sz w:val="24"/>
                <w:lang w:val="en-GB"/>
              </w:rPr>
              <w:t xml:space="preserve">Institutions </w:t>
            </w:r>
            <w:r w:rsidR="0017224C" w:rsidRPr="00D802E8">
              <w:rPr>
                <w:rFonts w:ascii="Times New Roman" w:hAnsi="Times New Roman" w:cs="Times New Roman"/>
                <w:sz w:val="24"/>
                <w:lang w:val="en-GB"/>
              </w:rPr>
              <w:t>shall</w:t>
            </w:r>
            <w:r w:rsidRPr="00D802E8">
              <w:rPr>
                <w:rFonts w:ascii="Times New Roman" w:hAnsi="Times New Roman" w:cs="Times New Roman"/>
                <w:sz w:val="24"/>
                <w:lang w:val="en-GB"/>
              </w:rPr>
              <w:t xml:space="preserve"> allocate exposures to a significant country based on the residence of the immediate counterparty. Exposures to supranational organisations </w:t>
            </w:r>
            <w:proofErr w:type="gramStart"/>
            <w:r w:rsidR="0017224C" w:rsidRPr="00D802E8">
              <w:rPr>
                <w:rFonts w:ascii="Times New Roman" w:hAnsi="Times New Roman" w:cs="Times New Roman"/>
                <w:sz w:val="24"/>
                <w:lang w:val="en-GB"/>
              </w:rPr>
              <w:t>shall</w:t>
            </w:r>
            <w:r w:rsidRPr="00D802E8">
              <w:rPr>
                <w:rFonts w:ascii="Times New Roman" w:hAnsi="Times New Roman" w:cs="Times New Roman"/>
                <w:sz w:val="24"/>
                <w:lang w:val="en-GB"/>
              </w:rPr>
              <w:t xml:space="preserve"> be</w:t>
            </w:r>
            <w:r w:rsidRPr="00313EC9">
              <w:rPr>
                <w:rFonts w:ascii="Times New Roman" w:hAnsi="Times New Roman" w:cs="Times New Roman"/>
                <w:sz w:val="24"/>
                <w:lang w:val="en-GB"/>
              </w:rPr>
              <w:t xml:space="preserve"> assigned</w:t>
            </w:r>
            <w:proofErr w:type="gramEnd"/>
            <w:r w:rsidRPr="00313EC9">
              <w:rPr>
                <w:rFonts w:ascii="Times New Roman" w:hAnsi="Times New Roman" w:cs="Times New Roman"/>
                <w:sz w:val="24"/>
                <w:lang w:val="en-GB"/>
              </w:rPr>
              <w:t xml:space="preserve"> not to the country of residence of the institution but to ‘Other countries’.</w:t>
            </w:r>
          </w:p>
        </w:tc>
      </w:tr>
      <w:tr w:rsidR="00313EC9" w:rsidRPr="00581203" w14:paraId="031ECD30" w14:textId="77777777" w:rsidTr="00313EC9">
        <w:trPr>
          <w:trHeight w:val="728"/>
        </w:trPr>
        <w:tc>
          <w:tcPr>
            <w:tcW w:w="1384" w:type="dxa"/>
          </w:tcPr>
          <w:p w14:paraId="1C9FBE9D" w14:textId="61454FFE" w:rsidR="00313EC9" w:rsidRDefault="00313EC9" w:rsidP="00FB79AA">
            <w:pPr>
              <w:pStyle w:val="Applicationdirecte"/>
              <w:spacing w:before="120"/>
            </w:pPr>
            <w:r>
              <w:t>080</w:t>
            </w:r>
          </w:p>
        </w:tc>
        <w:tc>
          <w:tcPr>
            <w:tcW w:w="7655" w:type="dxa"/>
          </w:tcPr>
          <w:p w14:paraId="24CFE70A" w14:textId="77777777" w:rsidR="00313EC9" w:rsidRDefault="00313EC9" w:rsidP="00FB79AA">
            <w:pPr>
              <w:pStyle w:val="Applicationdirecte"/>
              <w:spacing w:before="120"/>
              <w:rPr>
                <w:b/>
              </w:rPr>
            </w:pPr>
            <w:r>
              <w:rPr>
                <w:b/>
              </w:rPr>
              <w:t>Off</w:t>
            </w:r>
            <w:r w:rsidRPr="00313EC9">
              <w:rPr>
                <w:b/>
              </w:rPr>
              <w:t>-balance-sheet exposures</w:t>
            </w:r>
          </w:p>
          <w:p w14:paraId="37604409" w14:textId="4DCCC427" w:rsidR="000F3892" w:rsidRPr="000F3892" w:rsidRDefault="005C74C7" w:rsidP="005C74C7">
            <w:pPr>
              <w:autoSpaceDE w:val="0"/>
              <w:autoSpaceDN w:val="0"/>
              <w:adjustRightInd w:val="0"/>
              <w:spacing w:before="120" w:after="120"/>
            </w:pPr>
            <w:r w:rsidRPr="005C74C7">
              <w:rPr>
                <w:rFonts w:ascii="Times New Roman" w:hAnsi="Times New Roman" w:cs="Times New Roman"/>
                <w:sz w:val="24"/>
                <w:lang w:val="en-GB"/>
              </w:rPr>
              <w:t xml:space="preserve">See the definition in </w:t>
            </w:r>
            <w:r w:rsidR="00CD3AD5" w:rsidRPr="00CD3AD5">
              <w:rPr>
                <w:rFonts w:ascii="Times New Roman" w:hAnsi="Times New Roman" w:cs="Times New Roman"/>
                <w:sz w:val="24"/>
                <w:lang w:val="en-GB"/>
              </w:rPr>
              <w:t>EU CR1: Performing and non-performing exposures and related provisions</w:t>
            </w:r>
            <w:r w:rsidRPr="005C74C7">
              <w:rPr>
                <w:rFonts w:ascii="Times New Roman" w:hAnsi="Times New Roman" w:cs="Times New Roman"/>
                <w:sz w:val="24"/>
                <w:lang w:val="en-GB"/>
              </w:rPr>
              <w:t>.</w:t>
            </w:r>
          </w:p>
        </w:tc>
      </w:tr>
      <w:tr w:rsidR="00FB79AA" w:rsidRPr="00581203" w14:paraId="5BBCAA75" w14:textId="77777777" w:rsidTr="00FB79AA">
        <w:trPr>
          <w:trHeight w:val="316"/>
        </w:trPr>
        <w:tc>
          <w:tcPr>
            <w:tcW w:w="1384" w:type="dxa"/>
          </w:tcPr>
          <w:p w14:paraId="2BF117C7" w14:textId="04AF6126" w:rsidR="00FB79AA" w:rsidRPr="0043712F" w:rsidRDefault="00313EC9" w:rsidP="00FB79AA">
            <w:pPr>
              <w:autoSpaceDE w:val="0"/>
              <w:autoSpaceDN w:val="0"/>
              <w:adjustRightInd w:val="0"/>
              <w:rPr>
                <w:rFonts w:ascii="Times New Roman" w:hAnsi="Times New Roman" w:cs="Times New Roman"/>
                <w:color w:val="000000"/>
                <w:sz w:val="24"/>
                <w:lang w:val="en-GB"/>
              </w:rPr>
            </w:pPr>
            <w:r>
              <w:rPr>
                <w:rFonts w:ascii="Times New Roman" w:eastAsia="Times New Roman" w:hAnsi="Times New Roman" w:cs="Times New Roman"/>
                <w:sz w:val="24"/>
                <w:lang w:val="en-GB"/>
              </w:rPr>
              <w:t>150</w:t>
            </w:r>
          </w:p>
        </w:tc>
        <w:tc>
          <w:tcPr>
            <w:tcW w:w="7655" w:type="dxa"/>
          </w:tcPr>
          <w:p w14:paraId="5B2A0735" w14:textId="62AE5947" w:rsidR="00FB79AA" w:rsidRDefault="00313EC9" w:rsidP="00FB79AA">
            <w:pPr>
              <w:autoSpaceDE w:val="0"/>
              <w:autoSpaceDN w:val="0"/>
              <w:adjustRightInd w:val="0"/>
              <w:rPr>
                <w:rFonts w:ascii="Times New Roman" w:hAnsi="Times New Roman" w:cs="Times New Roman"/>
                <w:b/>
                <w:sz w:val="24"/>
                <w:lang w:val="en-GB"/>
              </w:rPr>
            </w:pPr>
            <w:r>
              <w:rPr>
                <w:rFonts w:ascii="Times New Roman" w:hAnsi="Times New Roman" w:cs="Times New Roman"/>
                <w:b/>
                <w:sz w:val="24"/>
                <w:lang w:val="en-GB"/>
              </w:rPr>
              <w:t xml:space="preserve">Total </w:t>
            </w:r>
          </w:p>
          <w:p w14:paraId="766354E4" w14:textId="55A3E789" w:rsidR="00FB79AA" w:rsidRPr="003F5E9A" w:rsidRDefault="00FB79AA" w:rsidP="00FB79AA">
            <w:pPr>
              <w:autoSpaceDE w:val="0"/>
              <w:autoSpaceDN w:val="0"/>
              <w:adjustRightInd w:val="0"/>
              <w:rPr>
                <w:rFonts w:ascii="Times New Roman" w:hAnsi="Times New Roman" w:cs="Times New Roman"/>
                <w:b/>
                <w:sz w:val="24"/>
                <w:lang w:val="en-GB"/>
              </w:rPr>
            </w:pPr>
          </w:p>
        </w:tc>
      </w:tr>
    </w:tbl>
    <w:p w14:paraId="6FE43F9D" w14:textId="77777777" w:rsidR="00FB79AA" w:rsidRPr="0043712F" w:rsidRDefault="00FB79AA" w:rsidP="00FB79AA">
      <w:pPr>
        <w:rPr>
          <w:rFonts w:ascii="Times New Roman" w:hAnsi="Times New Roman" w:cs="Times New Roman"/>
          <w:sz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FB79AA" w:rsidRPr="00581203" w14:paraId="40909E52" w14:textId="77777777" w:rsidTr="00FB79AA">
        <w:trPr>
          <w:trHeight w:val="238"/>
        </w:trPr>
        <w:tc>
          <w:tcPr>
            <w:tcW w:w="9039" w:type="dxa"/>
            <w:gridSpan w:val="2"/>
            <w:shd w:val="clear" w:color="auto" w:fill="D9D9D9" w:themeFill="background1" w:themeFillShade="D9"/>
          </w:tcPr>
          <w:p w14:paraId="22696691" w14:textId="77777777" w:rsidR="00FB79AA" w:rsidRPr="00581203" w:rsidRDefault="00FB79AA" w:rsidP="00FB79AA">
            <w:pPr>
              <w:autoSpaceDE w:val="0"/>
              <w:autoSpaceDN w:val="0"/>
              <w:adjustRightInd w:val="0"/>
              <w:rPr>
                <w:rFonts w:ascii="Times New Roman" w:hAnsi="Times New Roman" w:cs="Times New Roman"/>
                <w:b/>
                <w:sz w:val="24"/>
                <w:lang w:val="en-GB"/>
              </w:rPr>
            </w:pPr>
            <w:r w:rsidRPr="00581203">
              <w:rPr>
                <w:rFonts w:ascii="Times New Roman" w:hAnsi="Times New Roman" w:cs="Times New Roman"/>
                <w:b/>
                <w:sz w:val="24"/>
                <w:lang w:val="en-GB"/>
              </w:rPr>
              <w:t>Legal references and instructions</w:t>
            </w:r>
          </w:p>
        </w:tc>
      </w:tr>
      <w:tr w:rsidR="00FB79AA" w:rsidRPr="00581203" w14:paraId="0211FCD4" w14:textId="77777777" w:rsidTr="00FB79AA">
        <w:trPr>
          <w:trHeight w:val="238"/>
        </w:trPr>
        <w:tc>
          <w:tcPr>
            <w:tcW w:w="1384" w:type="dxa"/>
            <w:shd w:val="clear" w:color="auto" w:fill="D9D9D9" w:themeFill="background1" w:themeFillShade="D9"/>
          </w:tcPr>
          <w:p w14:paraId="07167ADF" w14:textId="77777777" w:rsidR="00FB79AA" w:rsidRPr="00581203" w:rsidRDefault="00FB79AA" w:rsidP="00FB79AA">
            <w:pPr>
              <w:autoSpaceDE w:val="0"/>
              <w:autoSpaceDN w:val="0"/>
              <w:adjustRightInd w:val="0"/>
              <w:rPr>
                <w:rFonts w:ascii="Times New Roman" w:hAnsi="Times New Roman" w:cs="Times New Roman"/>
                <w:b/>
                <w:sz w:val="24"/>
                <w:lang w:val="en-GB"/>
              </w:rPr>
            </w:pPr>
            <w:r w:rsidRPr="00B8101C">
              <w:rPr>
                <w:rFonts w:ascii="Times New Roman" w:hAnsi="Times New Roman" w:cs="Times New Roman"/>
                <w:b/>
                <w:sz w:val="24"/>
                <w:lang w:val="en-GB"/>
              </w:rPr>
              <w:t>Column number</w:t>
            </w:r>
          </w:p>
        </w:tc>
        <w:tc>
          <w:tcPr>
            <w:tcW w:w="7655" w:type="dxa"/>
            <w:shd w:val="clear" w:color="auto" w:fill="D9D9D9" w:themeFill="background1" w:themeFillShade="D9"/>
          </w:tcPr>
          <w:p w14:paraId="047470A4" w14:textId="77777777" w:rsidR="00FB79AA" w:rsidRPr="004D3597" w:rsidRDefault="00FB79AA" w:rsidP="00FB79AA">
            <w:pPr>
              <w:autoSpaceDE w:val="0"/>
              <w:autoSpaceDN w:val="0"/>
              <w:adjustRightInd w:val="0"/>
              <w:rPr>
                <w:rFonts w:ascii="Times New Roman" w:hAnsi="Times New Roman" w:cs="Times New Roman"/>
                <w:b/>
                <w:sz w:val="24"/>
                <w:lang w:val="en-GB"/>
              </w:rPr>
            </w:pPr>
            <w:r w:rsidRPr="00581203">
              <w:rPr>
                <w:rFonts w:ascii="Times New Roman" w:hAnsi="Times New Roman" w:cs="Times New Roman"/>
                <w:b/>
                <w:sz w:val="24"/>
                <w:lang w:val="en-GB"/>
              </w:rPr>
              <w:t>Explanation</w:t>
            </w:r>
          </w:p>
        </w:tc>
      </w:tr>
      <w:tr w:rsidR="00FB79AA" w:rsidRPr="00581203" w14:paraId="45F886FA" w14:textId="77777777" w:rsidTr="00FB79AA">
        <w:trPr>
          <w:trHeight w:val="841"/>
        </w:trPr>
        <w:tc>
          <w:tcPr>
            <w:tcW w:w="1384" w:type="dxa"/>
          </w:tcPr>
          <w:p w14:paraId="071CFBCE" w14:textId="28B738AB" w:rsidR="00FB79AA" w:rsidRPr="00581203" w:rsidRDefault="00B8101C" w:rsidP="00FB79AA">
            <w:pPr>
              <w:pStyle w:val="Applicationdirecte"/>
              <w:spacing w:before="120"/>
            </w:pPr>
            <w:r>
              <w:lastRenderedPageBreak/>
              <w:t>a</w:t>
            </w:r>
          </w:p>
        </w:tc>
        <w:tc>
          <w:tcPr>
            <w:tcW w:w="7655" w:type="dxa"/>
          </w:tcPr>
          <w:p w14:paraId="7DF4B672" w14:textId="72D146B6" w:rsidR="00FB79AA" w:rsidRDefault="00B8101C" w:rsidP="00FB79AA">
            <w:pPr>
              <w:pStyle w:val="Fait"/>
              <w:spacing w:after="120"/>
              <w:rPr>
                <w:rFonts w:eastAsiaTheme="minorEastAsia"/>
                <w:b/>
              </w:rPr>
            </w:pPr>
            <w:r>
              <w:rPr>
                <w:rFonts w:eastAsiaTheme="minorEastAsia"/>
                <w:b/>
              </w:rPr>
              <w:t xml:space="preserve">Gross carrying amount/nominal amount </w:t>
            </w:r>
          </w:p>
          <w:p w14:paraId="50ACE71C" w14:textId="7DF0AD9E" w:rsidR="000F3892" w:rsidRDefault="000F3892" w:rsidP="000F3892">
            <w:pPr>
              <w:pStyle w:val="Fait"/>
            </w:pPr>
            <w:r>
              <w:t>G</w:t>
            </w:r>
            <w:r w:rsidRPr="006172E4">
              <w:t>ross carrying amount as defined in paragraph 34 of Part 1 of Annex V to Commission Implementing Regulation (EU) 680/2014</w:t>
            </w:r>
            <w:r>
              <w:t xml:space="preserve">. </w:t>
            </w:r>
            <w:r w:rsidRPr="006172E4">
              <w:t>The gross carrying amount related to the exposures subject to impairment is the net of accumulated partial and total write-off.</w:t>
            </w:r>
          </w:p>
          <w:p w14:paraId="3008357B" w14:textId="154194EB" w:rsidR="00FB79AA" w:rsidRPr="00224E28" w:rsidRDefault="000F3892" w:rsidP="005C74C7">
            <w:pPr>
              <w:pStyle w:val="Fait"/>
              <w:spacing w:after="120"/>
            </w:pPr>
            <w:r w:rsidRPr="005C74C7">
              <w:t>Nominal amount as defined in paragraph 118 of Part 2 of Annex V to Commission Implementing Regulation (EU) 680/2014</w:t>
            </w:r>
            <w:r w:rsidRPr="00300D5D">
              <w:t>.</w:t>
            </w:r>
          </w:p>
        </w:tc>
      </w:tr>
      <w:tr w:rsidR="00FB79AA" w:rsidRPr="00581203" w14:paraId="61F4E48C" w14:textId="77777777" w:rsidTr="00FB79AA">
        <w:trPr>
          <w:trHeight w:val="841"/>
        </w:trPr>
        <w:tc>
          <w:tcPr>
            <w:tcW w:w="1384" w:type="dxa"/>
          </w:tcPr>
          <w:p w14:paraId="6A5EEFBF" w14:textId="1805B138" w:rsidR="00FB79AA" w:rsidRPr="00581203" w:rsidRDefault="00B8101C" w:rsidP="00FB79AA">
            <w:pPr>
              <w:pStyle w:val="Applicationdirecte"/>
              <w:spacing w:before="120"/>
            </w:pPr>
            <w:r>
              <w:t>b</w:t>
            </w:r>
          </w:p>
        </w:tc>
        <w:tc>
          <w:tcPr>
            <w:tcW w:w="7655" w:type="dxa"/>
          </w:tcPr>
          <w:p w14:paraId="1319389F" w14:textId="68798D09" w:rsidR="00B8101C" w:rsidRDefault="00B8101C" w:rsidP="00B8101C">
            <w:pPr>
              <w:pStyle w:val="Fait"/>
              <w:spacing w:after="120"/>
              <w:rPr>
                <w:rFonts w:eastAsiaTheme="minorEastAsia"/>
                <w:b/>
              </w:rPr>
            </w:pPr>
            <w:r>
              <w:rPr>
                <w:rFonts w:eastAsiaTheme="minorEastAsia"/>
                <w:b/>
              </w:rPr>
              <w:t>Gross carrying amount/nominal amount</w:t>
            </w:r>
            <w:r w:rsidR="000E279B" w:rsidRPr="00527061">
              <w:rPr>
                <w:b/>
              </w:rPr>
              <w:t xml:space="preserve"> – </w:t>
            </w:r>
            <w:r>
              <w:rPr>
                <w:rFonts w:eastAsiaTheme="minorEastAsia"/>
                <w:b/>
              </w:rPr>
              <w:t>of which non-performing</w:t>
            </w:r>
          </w:p>
          <w:p w14:paraId="052B7F21" w14:textId="0FFAB1FF" w:rsidR="000F3892" w:rsidRDefault="000F3892" w:rsidP="000F3892">
            <w:pPr>
              <w:pStyle w:val="Fait"/>
            </w:pPr>
            <w:r>
              <w:t>G</w:t>
            </w:r>
            <w:r w:rsidRPr="006172E4">
              <w:t>ross carrying amount as defined in paragraph 34 of Part 1 of Annex V to Commission Implementing Regulation (EU) 680/2014</w:t>
            </w:r>
            <w:r>
              <w:t>.</w:t>
            </w:r>
          </w:p>
          <w:p w14:paraId="1A247F11" w14:textId="1F8B4713" w:rsidR="000F3892" w:rsidRPr="000F3892" w:rsidRDefault="000F3892" w:rsidP="000F3892">
            <w:pPr>
              <w:pStyle w:val="Fait"/>
            </w:pPr>
            <w:r w:rsidRPr="000F3892">
              <w:t>Nominal amount as defined in paragraph 118 of Part 2 of Annex V to Commission Implementing Regulation (EU) 680/2014</w:t>
            </w:r>
            <w:r w:rsidRPr="00300D5D">
              <w:t>.</w:t>
            </w:r>
          </w:p>
          <w:p w14:paraId="10C7F454" w14:textId="3D3269A9" w:rsidR="00FB79AA" w:rsidRPr="003D2EA6" w:rsidRDefault="000F3892" w:rsidP="004A2F10">
            <w:pPr>
              <w:pStyle w:val="Fait"/>
              <w:spacing w:after="120"/>
              <w:rPr>
                <w:b/>
              </w:rPr>
            </w:pPr>
            <w:r w:rsidRPr="00210D39">
              <w:t xml:space="preserve">Non-performing exposures as defined in </w:t>
            </w:r>
            <w:r w:rsidR="004A2F10">
              <w:t>Article 47a</w:t>
            </w:r>
            <w:r w:rsidR="00646E21">
              <w:t xml:space="preserve"> </w:t>
            </w:r>
            <w:r w:rsidR="004A2F10">
              <w:t>CRR</w:t>
            </w:r>
            <w:r w:rsidRPr="00210D39">
              <w:t>.</w:t>
            </w:r>
          </w:p>
        </w:tc>
      </w:tr>
      <w:tr w:rsidR="00FB79AA" w:rsidRPr="00581203" w14:paraId="70A1CC92" w14:textId="77777777" w:rsidTr="00FB79AA">
        <w:trPr>
          <w:trHeight w:val="316"/>
        </w:trPr>
        <w:tc>
          <w:tcPr>
            <w:tcW w:w="1384" w:type="dxa"/>
          </w:tcPr>
          <w:p w14:paraId="0AF0CB3E" w14:textId="2D6C748E" w:rsidR="00FB79AA" w:rsidRPr="0043712F" w:rsidRDefault="00B8101C" w:rsidP="00FB79AA">
            <w:pPr>
              <w:autoSpaceDE w:val="0"/>
              <w:autoSpaceDN w:val="0"/>
              <w:adjustRightInd w:val="0"/>
              <w:rPr>
                <w:rFonts w:ascii="Times New Roman" w:hAnsi="Times New Roman" w:cs="Times New Roman"/>
                <w:color w:val="000000"/>
                <w:sz w:val="24"/>
                <w:lang w:val="en-GB"/>
              </w:rPr>
            </w:pPr>
            <w:r>
              <w:rPr>
                <w:rFonts w:ascii="Times New Roman" w:hAnsi="Times New Roman" w:cs="Times New Roman"/>
                <w:color w:val="000000"/>
                <w:sz w:val="24"/>
                <w:lang w:val="en-GB"/>
              </w:rPr>
              <w:t>c</w:t>
            </w:r>
          </w:p>
        </w:tc>
        <w:tc>
          <w:tcPr>
            <w:tcW w:w="7655" w:type="dxa"/>
          </w:tcPr>
          <w:p w14:paraId="1497D1BF" w14:textId="77777777" w:rsidR="00FB79AA" w:rsidRDefault="00B8101C" w:rsidP="007B69E3">
            <w:pPr>
              <w:autoSpaceDE w:val="0"/>
              <w:autoSpaceDN w:val="0"/>
              <w:adjustRightInd w:val="0"/>
              <w:spacing w:before="120" w:after="120"/>
              <w:ind w:left="720"/>
              <w:rPr>
                <w:rFonts w:ascii="Times New Roman" w:hAnsi="Times New Roman" w:cs="Times New Roman"/>
                <w:b/>
                <w:sz w:val="24"/>
                <w:lang w:val="en-GB"/>
              </w:rPr>
            </w:pPr>
            <w:r>
              <w:rPr>
                <w:rFonts w:ascii="Times New Roman" w:hAnsi="Times New Roman" w:cs="Times New Roman"/>
                <w:b/>
                <w:sz w:val="24"/>
                <w:lang w:val="en-GB"/>
              </w:rPr>
              <w:t>Of which defaulted</w:t>
            </w:r>
          </w:p>
          <w:p w14:paraId="0AAED804" w14:textId="520C565B" w:rsidR="000F3892" w:rsidRPr="003D2EA6" w:rsidRDefault="000F3892" w:rsidP="000F3892">
            <w:pPr>
              <w:pStyle w:val="Fait"/>
              <w:spacing w:after="120"/>
            </w:pPr>
            <w:r w:rsidRPr="000F3892">
              <w:t>Defaulted exposures in accordance with Article 178 CRR.</w:t>
            </w:r>
          </w:p>
        </w:tc>
      </w:tr>
      <w:tr w:rsidR="00FB79AA" w:rsidRPr="00581203" w14:paraId="1040B5CD" w14:textId="77777777" w:rsidTr="00FB79AA">
        <w:trPr>
          <w:trHeight w:val="316"/>
        </w:trPr>
        <w:tc>
          <w:tcPr>
            <w:tcW w:w="1384" w:type="dxa"/>
          </w:tcPr>
          <w:p w14:paraId="0A31E2F2" w14:textId="34C042CE" w:rsidR="00FB79AA" w:rsidRPr="00581203" w:rsidRDefault="00B8101C" w:rsidP="00FB79AA">
            <w:pPr>
              <w:autoSpaceDE w:val="0"/>
              <w:autoSpaceDN w:val="0"/>
              <w:adjustRightInd w:val="0"/>
              <w:rPr>
                <w:rFonts w:ascii="Times New Roman" w:eastAsia="Times New Roman" w:hAnsi="Times New Roman" w:cs="Times New Roman"/>
                <w:sz w:val="24"/>
                <w:lang w:val="en-GB"/>
              </w:rPr>
            </w:pPr>
            <w:r>
              <w:rPr>
                <w:rFonts w:ascii="Times New Roman" w:eastAsia="Times New Roman" w:hAnsi="Times New Roman" w:cs="Times New Roman"/>
                <w:sz w:val="24"/>
                <w:lang w:val="en-GB"/>
              </w:rPr>
              <w:t>d</w:t>
            </w:r>
          </w:p>
        </w:tc>
        <w:tc>
          <w:tcPr>
            <w:tcW w:w="7655" w:type="dxa"/>
          </w:tcPr>
          <w:p w14:paraId="6494BBF8" w14:textId="39E3BCDD" w:rsidR="00FB79AA" w:rsidRDefault="00B8101C" w:rsidP="00B8101C">
            <w:pPr>
              <w:autoSpaceDE w:val="0"/>
              <w:autoSpaceDN w:val="0"/>
              <w:adjustRightInd w:val="0"/>
              <w:spacing w:before="120" w:after="120"/>
              <w:rPr>
                <w:rFonts w:ascii="Times New Roman" w:hAnsi="Times New Roman" w:cs="Times New Roman"/>
                <w:b/>
                <w:sz w:val="24"/>
                <w:lang w:val="en-GB"/>
              </w:rPr>
            </w:pPr>
            <w:r>
              <w:rPr>
                <w:rFonts w:ascii="Times New Roman" w:hAnsi="Times New Roman" w:cs="Times New Roman"/>
                <w:b/>
                <w:sz w:val="24"/>
                <w:lang w:val="en-GB"/>
              </w:rPr>
              <w:t>Gross carrying amount/nominal amount</w:t>
            </w:r>
            <w:r w:rsidR="000E279B" w:rsidRPr="00527061">
              <w:rPr>
                <w:b/>
              </w:rPr>
              <w:t xml:space="preserve"> – </w:t>
            </w:r>
            <w:r>
              <w:rPr>
                <w:rFonts w:ascii="Times New Roman" w:hAnsi="Times New Roman" w:cs="Times New Roman"/>
                <w:b/>
                <w:sz w:val="24"/>
                <w:lang w:val="en-GB"/>
              </w:rPr>
              <w:t>of which subject to impairment</w:t>
            </w:r>
          </w:p>
          <w:p w14:paraId="3377A6A4" w14:textId="6C05117C" w:rsidR="000F3892" w:rsidRPr="003D2EA6" w:rsidRDefault="005D4993" w:rsidP="005D4993">
            <w:pPr>
              <w:pStyle w:val="Fait"/>
              <w:spacing w:after="120"/>
            </w:pPr>
            <w:r>
              <w:t xml:space="preserve">The gross carrying or </w:t>
            </w:r>
            <w:r w:rsidR="000F3892" w:rsidRPr="000F3892">
              <w:t>nominal amount related to exposures that are subject to the impairment requirements of the applicable accounting framework.</w:t>
            </w:r>
          </w:p>
        </w:tc>
      </w:tr>
      <w:tr w:rsidR="00FB79AA" w:rsidRPr="00581203" w14:paraId="4AB07F77" w14:textId="77777777" w:rsidTr="00FB79AA">
        <w:trPr>
          <w:trHeight w:val="316"/>
        </w:trPr>
        <w:tc>
          <w:tcPr>
            <w:tcW w:w="1384" w:type="dxa"/>
          </w:tcPr>
          <w:p w14:paraId="1D8B333F" w14:textId="4ECF9CCC" w:rsidR="00FB79AA" w:rsidRPr="00581203" w:rsidRDefault="00B8101C" w:rsidP="00FB79AA">
            <w:pPr>
              <w:autoSpaceDE w:val="0"/>
              <w:autoSpaceDN w:val="0"/>
              <w:adjustRightInd w:val="0"/>
              <w:rPr>
                <w:rFonts w:ascii="Times New Roman" w:eastAsia="Times New Roman" w:hAnsi="Times New Roman" w:cs="Times New Roman"/>
                <w:sz w:val="24"/>
                <w:lang w:val="en-GB"/>
              </w:rPr>
            </w:pPr>
            <w:r>
              <w:rPr>
                <w:rFonts w:ascii="Times New Roman" w:eastAsia="Times New Roman" w:hAnsi="Times New Roman" w:cs="Times New Roman"/>
                <w:sz w:val="24"/>
                <w:lang w:val="en-GB"/>
              </w:rPr>
              <w:t>e</w:t>
            </w:r>
          </w:p>
        </w:tc>
        <w:tc>
          <w:tcPr>
            <w:tcW w:w="7655" w:type="dxa"/>
          </w:tcPr>
          <w:p w14:paraId="617817AB" w14:textId="77777777" w:rsidR="00B8101C" w:rsidRDefault="00B8101C" w:rsidP="00FB79AA">
            <w:pPr>
              <w:autoSpaceDE w:val="0"/>
              <w:autoSpaceDN w:val="0"/>
              <w:adjustRightInd w:val="0"/>
              <w:spacing w:before="120" w:after="120"/>
              <w:rPr>
                <w:rFonts w:ascii="Times New Roman" w:hAnsi="Times New Roman" w:cs="Times New Roman"/>
                <w:b/>
                <w:sz w:val="24"/>
                <w:lang w:val="en-GB"/>
              </w:rPr>
            </w:pPr>
            <w:r>
              <w:rPr>
                <w:rFonts w:ascii="Times New Roman" w:hAnsi="Times New Roman" w:cs="Times New Roman"/>
                <w:b/>
                <w:sz w:val="24"/>
                <w:lang w:val="en-GB"/>
              </w:rPr>
              <w:t>Accumulated impairment</w:t>
            </w:r>
          </w:p>
          <w:p w14:paraId="2A564562" w14:textId="3E59B25B" w:rsidR="005D4993" w:rsidRPr="003D2EA6" w:rsidRDefault="005D4993" w:rsidP="005D4993">
            <w:pPr>
              <w:pStyle w:val="Fait"/>
              <w:spacing w:after="120"/>
            </w:pPr>
            <w:r>
              <w:t>T</w:t>
            </w:r>
            <w:r w:rsidRPr="003D52A3">
              <w:t xml:space="preserve">his </w:t>
            </w:r>
            <w:r w:rsidR="0017224C" w:rsidRPr="00451ED7">
              <w:t>shall</w:t>
            </w:r>
            <w:r w:rsidRPr="003D52A3">
              <w:t xml:space="preserve"> include the amounts determined in accordance with paragraphs 11, 69 to 71, 106 and 110 of Part 2 of Annex V to Commission Implementing Regulation (EU)</w:t>
            </w:r>
            <w:r w:rsidR="00646E21">
              <w:t xml:space="preserve"> </w:t>
            </w:r>
            <w:r w:rsidRPr="003D52A3">
              <w:t>680/2014.</w:t>
            </w:r>
          </w:p>
        </w:tc>
      </w:tr>
      <w:tr w:rsidR="00BD40F6" w:rsidRPr="00581203" w14:paraId="7519DEFB" w14:textId="77777777" w:rsidTr="00FB79AA">
        <w:trPr>
          <w:trHeight w:val="695"/>
        </w:trPr>
        <w:tc>
          <w:tcPr>
            <w:tcW w:w="1384" w:type="dxa"/>
          </w:tcPr>
          <w:p w14:paraId="7016E147" w14:textId="116B57D3" w:rsidR="00BD40F6" w:rsidRPr="00581203" w:rsidRDefault="00BD40F6" w:rsidP="00BD40F6">
            <w:pPr>
              <w:autoSpaceDE w:val="0"/>
              <w:autoSpaceDN w:val="0"/>
              <w:adjustRightInd w:val="0"/>
              <w:rPr>
                <w:rFonts w:ascii="Times New Roman" w:eastAsia="Times New Roman" w:hAnsi="Times New Roman" w:cs="Times New Roman"/>
                <w:sz w:val="24"/>
              </w:rPr>
            </w:pPr>
            <w:r>
              <w:rPr>
                <w:rFonts w:ascii="Times New Roman" w:eastAsia="Times New Roman" w:hAnsi="Times New Roman" w:cs="Times New Roman"/>
                <w:sz w:val="24"/>
              </w:rPr>
              <w:t>f</w:t>
            </w:r>
          </w:p>
        </w:tc>
        <w:tc>
          <w:tcPr>
            <w:tcW w:w="7655" w:type="dxa"/>
          </w:tcPr>
          <w:p w14:paraId="62950B46" w14:textId="5FFA3FD9" w:rsidR="00BD40F6" w:rsidRDefault="00BD40F6" w:rsidP="00BD40F6">
            <w:pPr>
              <w:autoSpaceDE w:val="0"/>
              <w:autoSpaceDN w:val="0"/>
              <w:adjustRightInd w:val="0"/>
              <w:spacing w:before="120" w:after="120"/>
              <w:rPr>
                <w:rFonts w:ascii="Times New Roman" w:hAnsi="Times New Roman" w:cs="Times New Roman"/>
                <w:b/>
                <w:sz w:val="24"/>
                <w:lang w:val="en-GB"/>
              </w:rPr>
            </w:pPr>
            <w:r w:rsidRPr="00B8101C">
              <w:rPr>
                <w:rFonts w:ascii="Times New Roman" w:hAnsi="Times New Roman" w:cs="Times New Roman"/>
                <w:b/>
                <w:sz w:val="24"/>
                <w:lang w:val="en-GB"/>
              </w:rPr>
              <w:t>Provisions on off-balance-sheet commitments and financial guarantees given</w:t>
            </w:r>
          </w:p>
          <w:p w14:paraId="381ABEE3" w14:textId="4D481A7F" w:rsidR="00BD40F6" w:rsidRPr="00B60D46" w:rsidRDefault="00B60D46" w:rsidP="00B60D46">
            <w:pPr>
              <w:autoSpaceDE w:val="0"/>
              <w:autoSpaceDN w:val="0"/>
              <w:adjustRightInd w:val="0"/>
              <w:spacing w:before="120" w:after="120"/>
              <w:rPr>
                <w:rFonts w:ascii="Times New Roman" w:hAnsi="Times New Roman" w:cs="Times New Roman"/>
                <w:sz w:val="24"/>
                <w:lang w:val="en-GB"/>
              </w:rPr>
            </w:pPr>
            <w:r w:rsidRPr="00B60D46">
              <w:rPr>
                <w:rFonts w:ascii="Times New Roman" w:hAnsi="Times New Roman" w:cs="Times New Roman"/>
                <w:sz w:val="24"/>
                <w:lang w:val="en-GB"/>
              </w:rPr>
              <w:t>This row shall include the provisions off-balance-sheet commitments and financial guarantees given</w:t>
            </w:r>
            <w:r>
              <w:rPr>
                <w:rFonts w:ascii="Times New Roman" w:hAnsi="Times New Roman" w:cs="Times New Roman"/>
                <w:sz w:val="24"/>
                <w:lang w:val="en-GB"/>
              </w:rPr>
              <w:t>.</w:t>
            </w:r>
          </w:p>
        </w:tc>
      </w:tr>
      <w:tr w:rsidR="00B8101C" w:rsidRPr="00581203" w14:paraId="747E4A86" w14:textId="77777777" w:rsidTr="00FB79AA">
        <w:trPr>
          <w:trHeight w:val="695"/>
        </w:trPr>
        <w:tc>
          <w:tcPr>
            <w:tcW w:w="1384" w:type="dxa"/>
          </w:tcPr>
          <w:p w14:paraId="0CB1628A" w14:textId="7593C7A1" w:rsidR="00B8101C" w:rsidRPr="00581203" w:rsidRDefault="00B8101C" w:rsidP="00FB79AA">
            <w:pPr>
              <w:autoSpaceDE w:val="0"/>
              <w:autoSpaceDN w:val="0"/>
              <w:adjustRightInd w:val="0"/>
              <w:rPr>
                <w:rFonts w:ascii="Times New Roman" w:eastAsia="Times New Roman" w:hAnsi="Times New Roman" w:cs="Times New Roman"/>
                <w:sz w:val="24"/>
              </w:rPr>
            </w:pPr>
            <w:r>
              <w:rPr>
                <w:rFonts w:ascii="Times New Roman" w:eastAsia="Times New Roman" w:hAnsi="Times New Roman" w:cs="Times New Roman"/>
                <w:sz w:val="24"/>
              </w:rPr>
              <w:t>g</w:t>
            </w:r>
          </w:p>
        </w:tc>
        <w:tc>
          <w:tcPr>
            <w:tcW w:w="7655" w:type="dxa"/>
          </w:tcPr>
          <w:p w14:paraId="5E946CB1" w14:textId="77777777" w:rsidR="00B8101C" w:rsidRDefault="00B8101C" w:rsidP="00FB79AA">
            <w:pPr>
              <w:autoSpaceDE w:val="0"/>
              <w:autoSpaceDN w:val="0"/>
              <w:adjustRightInd w:val="0"/>
              <w:spacing w:before="120" w:after="120"/>
              <w:rPr>
                <w:rFonts w:ascii="Times New Roman" w:hAnsi="Times New Roman" w:cs="Times New Roman"/>
                <w:b/>
                <w:sz w:val="24"/>
                <w:lang w:val="en-GB"/>
              </w:rPr>
            </w:pPr>
            <w:r w:rsidRPr="00B8101C">
              <w:rPr>
                <w:rFonts w:ascii="Times New Roman" w:hAnsi="Times New Roman" w:cs="Times New Roman"/>
                <w:b/>
                <w:sz w:val="24"/>
                <w:lang w:val="en-GB"/>
              </w:rPr>
              <w:t>Accumulated negative changes in fair value due to credit risk on non-performing exposures</w:t>
            </w:r>
          </w:p>
          <w:p w14:paraId="0C1DF64B" w14:textId="121C29F9" w:rsidR="005D4993" w:rsidRPr="005D4993" w:rsidRDefault="005D4993" w:rsidP="005D4993">
            <w:pPr>
              <w:pStyle w:val="Fait"/>
            </w:pPr>
            <w:r>
              <w:t>T</w:t>
            </w:r>
            <w:r w:rsidRPr="003D52A3">
              <w:t xml:space="preserve">his </w:t>
            </w:r>
            <w:r w:rsidR="0017224C" w:rsidRPr="003918BD">
              <w:t>shall</w:t>
            </w:r>
            <w:r w:rsidRPr="003D52A3">
              <w:t xml:space="preserve"> include the amounts determined in accordance with paragraphs 11, 69 to 71, 106 and 110 of Part 2 of Annex V to Commission Implement</w:t>
            </w:r>
            <w:r>
              <w:t>ing Regulation (EU</w:t>
            </w:r>
            <w:proofErr w:type="gramStart"/>
            <w:r>
              <w:t xml:space="preserve">) </w:t>
            </w:r>
            <w:r w:rsidR="00E71944">
              <w:t xml:space="preserve"> </w:t>
            </w:r>
            <w:r>
              <w:t>680</w:t>
            </w:r>
            <w:proofErr w:type="gramEnd"/>
            <w:r>
              <w:t>/2014.</w:t>
            </w:r>
          </w:p>
        </w:tc>
      </w:tr>
    </w:tbl>
    <w:p w14:paraId="7DBA82CF" w14:textId="4C7CFAD6" w:rsidR="00FB79AA" w:rsidRDefault="00FB79AA" w:rsidP="0043712F">
      <w:pPr>
        <w:autoSpaceDE w:val="0"/>
        <w:autoSpaceDN w:val="0"/>
        <w:adjustRightInd w:val="0"/>
        <w:rPr>
          <w:rFonts w:ascii="Times New Roman" w:hAnsi="Times New Roman" w:cs="Times New Roman"/>
          <w:sz w:val="24"/>
        </w:rPr>
      </w:pPr>
    </w:p>
    <w:p w14:paraId="2954308B" w14:textId="77777777" w:rsidR="00931A3F" w:rsidRDefault="00931A3F" w:rsidP="00931A3F">
      <w:pPr>
        <w:autoSpaceDE w:val="0"/>
        <w:autoSpaceDN w:val="0"/>
        <w:adjustRightInd w:val="0"/>
        <w:jc w:val="both"/>
        <w:rPr>
          <w:rFonts w:ascii="Times New Roman" w:hAnsi="Times New Roman" w:cs="Times New Roman"/>
          <w:b/>
          <w:sz w:val="24"/>
          <w:lang w:val="en-GB"/>
        </w:rPr>
      </w:pPr>
    </w:p>
    <w:p w14:paraId="71AFCE23" w14:textId="1297C57B" w:rsidR="00931A3F" w:rsidRDefault="00931A3F" w:rsidP="00FD04D2">
      <w:pPr>
        <w:autoSpaceDE w:val="0"/>
        <w:autoSpaceDN w:val="0"/>
        <w:adjustRightInd w:val="0"/>
        <w:spacing w:after="120"/>
        <w:jc w:val="both"/>
        <w:rPr>
          <w:rFonts w:ascii="Times New Roman" w:hAnsi="Times New Roman" w:cs="Times New Roman"/>
          <w:b/>
          <w:sz w:val="24"/>
          <w:lang w:val="en-GB"/>
        </w:rPr>
      </w:pPr>
      <w:r w:rsidRPr="00931A3F">
        <w:rPr>
          <w:rFonts w:ascii="Times New Roman" w:hAnsi="Times New Roman" w:cs="Times New Roman"/>
          <w:b/>
          <w:sz w:val="24"/>
          <w:lang w:val="en-GB"/>
        </w:rPr>
        <w:t>Template</w:t>
      </w:r>
      <w:r w:rsidR="00312A27">
        <w:rPr>
          <w:rFonts w:ascii="Times New Roman" w:hAnsi="Times New Roman" w:cs="Times New Roman"/>
          <w:b/>
          <w:sz w:val="24"/>
          <w:lang w:val="en-GB"/>
        </w:rPr>
        <w:t xml:space="preserve"> EU</w:t>
      </w:r>
      <w:r w:rsidRPr="00931A3F">
        <w:rPr>
          <w:rFonts w:ascii="Times New Roman" w:hAnsi="Times New Roman" w:cs="Times New Roman"/>
          <w:b/>
          <w:sz w:val="24"/>
          <w:lang w:val="en-GB"/>
        </w:rPr>
        <w:t xml:space="preserve"> </w:t>
      </w:r>
      <w:r w:rsidR="009D2918">
        <w:rPr>
          <w:rFonts w:ascii="Times New Roman" w:hAnsi="Times New Roman" w:cs="Times New Roman"/>
          <w:b/>
          <w:sz w:val="24"/>
          <w:lang w:val="en-GB"/>
        </w:rPr>
        <w:t>CQ</w:t>
      </w:r>
      <w:r w:rsidR="00B902AA">
        <w:rPr>
          <w:rFonts w:ascii="Times New Roman" w:hAnsi="Times New Roman" w:cs="Times New Roman"/>
          <w:b/>
          <w:sz w:val="24"/>
          <w:lang w:val="en-GB"/>
        </w:rPr>
        <w:t>5</w:t>
      </w:r>
      <w:r w:rsidRPr="00931A3F">
        <w:rPr>
          <w:rFonts w:ascii="Times New Roman" w:hAnsi="Times New Roman" w:cs="Times New Roman"/>
          <w:b/>
          <w:sz w:val="24"/>
          <w:lang w:val="en-GB"/>
        </w:rPr>
        <w:t xml:space="preserve">: Credit quality of loans and advances </w:t>
      </w:r>
      <w:r w:rsidR="00985502">
        <w:rPr>
          <w:rFonts w:ascii="Times New Roman" w:hAnsi="Times New Roman" w:cs="Times New Roman"/>
          <w:b/>
          <w:sz w:val="24"/>
          <w:lang w:val="en-GB"/>
        </w:rPr>
        <w:t xml:space="preserve">to non-financial corporations </w:t>
      </w:r>
      <w:r w:rsidRPr="00931A3F">
        <w:rPr>
          <w:rFonts w:ascii="Times New Roman" w:hAnsi="Times New Roman" w:cs="Times New Roman"/>
          <w:b/>
          <w:sz w:val="24"/>
          <w:lang w:val="en-GB"/>
        </w:rPr>
        <w:t>by industry</w:t>
      </w:r>
    </w:p>
    <w:p w14:paraId="266566BC" w14:textId="18E5BF27" w:rsidR="00312A27" w:rsidRPr="00FE38E5" w:rsidRDefault="00312A27" w:rsidP="00B256E9">
      <w:pPr>
        <w:pStyle w:val="ListParagraph"/>
        <w:numPr>
          <w:ilvl w:val="0"/>
          <w:numId w:val="45"/>
        </w:numPr>
        <w:spacing w:before="120" w:after="120"/>
        <w:jc w:val="both"/>
        <w:rPr>
          <w:rFonts w:ascii="Times New Roman" w:hAnsi="Times New Roman"/>
          <w:bCs/>
          <w:sz w:val="24"/>
        </w:rPr>
      </w:pPr>
      <w:r w:rsidRPr="00FE38E5">
        <w:rPr>
          <w:rFonts w:ascii="Times New Roman" w:hAnsi="Times New Roman"/>
          <w:bCs/>
          <w:sz w:val="24"/>
        </w:rPr>
        <w:lastRenderedPageBreak/>
        <w:t>Institutions shall apply the instructions provided below in this Annex in order to complete template EU CQ</w:t>
      </w:r>
      <w:r w:rsidR="008B36A8" w:rsidRPr="00FE38E5">
        <w:rPr>
          <w:rFonts w:ascii="Times New Roman" w:hAnsi="Times New Roman"/>
          <w:bCs/>
          <w:sz w:val="24"/>
        </w:rPr>
        <w:t>5</w:t>
      </w:r>
      <w:r w:rsidRPr="00FE38E5">
        <w:rPr>
          <w:rFonts w:ascii="Times New Roman" w:hAnsi="Times New Roman"/>
          <w:bCs/>
          <w:sz w:val="24"/>
        </w:rPr>
        <w:t xml:space="preserve"> as presented in Annex </w:t>
      </w:r>
      <w:r w:rsidR="00A82A03">
        <w:rPr>
          <w:rFonts w:ascii="Times New Roman" w:hAnsi="Times New Roman"/>
          <w:bCs/>
          <w:sz w:val="24"/>
        </w:rPr>
        <w:t>XV</w:t>
      </w:r>
      <w:r w:rsidR="004643EE">
        <w:rPr>
          <w:rFonts w:ascii="Times New Roman" w:hAnsi="Times New Roman"/>
          <w:bCs/>
          <w:sz w:val="24"/>
        </w:rPr>
        <w:t xml:space="preserve"> to this Implementing Regulation</w:t>
      </w:r>
      <w:r w:rsidRPr="00FE38E5">
        <w:rPr>
          <w:rFonts w:ascii="Times New Roman" w:hAnsi="Times New Roman"/>
          <w:bCs/>
          <w:sz w:val="24"/>
        </w:rPr>
        <w:t xml:space="preserve">, in application of </w:t>
      </w:r>
      <w:r w:rsidR="00D6319A">
        <w:rPr>
          <w:rFonts w:ascii="Times New Roman" w:hAnsi="Times New Roman"/>
          <w:bCs/>
          <w:sz w:val="24"/>
        </w:rPr>
        <w:t xml:space="preserve">points (c) and (e) of </w:t>
      </w:r>
      <w:r w:rsidRPr="00FE38E5">
        <w:rPr>
          <w:rFonts w:ascii="Times New Roman" w:hAnsi="Times New Roman"/>
          <w:bCs/>
          <w:sz w:val="24"/>
        </w:rPr>
        <w:t xml:space="preserve">Article 442 </w:t>
      </w:r>
      <w:r w:rsidRPr="00FE38E5">
        <w:rPr>
          <w:rFonts w:ascii="Times New Roman" w:hAnsi="Times New Roman"/>
          <w:noProof/>
          <w:color w:val="000000"/>
          <w:sz w:val="24"/>
        </w:rPr>
        <w:t>CRR</w:t>
      </w:r>
      <w:r w:rsidRPr="00FE38E5">
        <w:rPr>
          <w:rFonts w:ascii="Times New Roman" w:hAnsi="Times New Roman"/>
          <w:bCs/>
          <w:sz w:val="24"/>
        </w:rPr>
        <w:t>.</w:t>
      </w:r>
    </w:p>
    <w:p w14:paraId="37572CFB" w14:textId="77777777" w:rsidR="00312A27" w:rsidRDefault="00312A27" w:rsidP="00931A3F">
      <w:pPr>
        <w:autoSpaceDE w:val="0"/>
        <w:autoSpaceDN w:val="0"/>
        <w:adjustRightInd w:val="0"/>
        <w:jc w:val="both"/>
        <w:rPr>
          <w:rFonts w:ascii="Times New Roman" w:hAnsi="Times New Roman" w:cs="Times New Roman"/>
          <w:b/>
          <w:sz w:val="24"/>
          <w:lang w:val="en-GB"/>
        </w:rPr>
      </w:pPr>
    </w:p>
    <w:p w14:paraId="08733096" w14:textId="77777777" w:rsidR="00931A3F" w:rsidRDefault="00931A3F" w:rsidP="00931A3F">
      <w:pPr>
        <w:autoSpaceDE w:val="0"/>
        <w:autoSpaceDN w:val="0"/>
        <w:adjustRightInd w:val="0"/>
        <w:jc w:val="both"/>
        <w:rPr>
          <w:rFonts w:ascii="Times New Roman" w:hAnsi="Times New Roman" w:cs="Times New Roman"/>
          <w:b/>
          <w:sz w:val="24"/>
          <w:lang w:val="en-G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931A3F" w:rsidRPr="00581203" w14:paraId="5331C927" w14:textId="77777777" w:rsidTr="00931A3F">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C016A7" w14:textId="77777777" w:rsidR="00931A3F" w:rsidRPr="00581203" w:rsidRDefault="00931A3F" w:rsidP="00931A3F">
            <w:pPr>
              <w:rPr>
                <w:rFonts w:ascii="Times New Roman" w:hAnsi="Times New Roman" w:cs="Times New Roman"/>
                <w:b/>
                <w:sz w:val="24"/>
                <w:lang w:val="en-GB"/>
              </w:rPr>
            </w:pPr>
            <w:r w:rsidRPr="00581203">
              <w:rPr>
                <w:rFonts w:ascii="Times New Roman" w:hAnsi="Times New Roman" w:cs="Times New Roman"/>
                <w:b/>
                <w:sz w:val="24"/>
                <w:lang w:val="en-GB"/>
              </w:rPr>
              <w:t>Legal references and instructions</w:t>
            </w:r>
          </w:p>
        </w:tc>
      </w:tr>
      <w:tr w:rsidR="00931A3F" w:rsidRPr="00581203" w14:paraId="3D2CDA5A" w14:textId="77777777" w:rsidTr="00931A3F">
        <w:trPr>
          <w:trHeight w:val="238"/>
        </w:trPr>
        <w:tc>
          <w:tcPr>
            <w:tcW w:w="1384" w:type="dxa"/>
            <w:shd w:val="clear" w:color="auto" w:fill="D9D9D9" w:themeFill="background1" w:themeFillShade="D9"/>
          </w:tcPr>
          <w:p w14:paraId="37FEB7C2" w14:textId="77777777" w:rsidR="00931A3F" w:rsidRPr="00581203" w:rsidRDefault="00931A3F" w:rsidP="00931A3F">
            <w:pPr>
              <w:autoSpaceDE w:val="0"/>
              <w:autoSpaceDN w:val="0"/>
              <w:adjustRightInd w:val="0"/>
              <w:rPr>
                <w:rFonts w:ascii="Times New Roman" w:hAnsi="Times New Roman" w:cs="Times New Roman"/>
                <w:b/>
                <w:sz w:val="24"/>
                <w:lang w:val="en-GB"/>
              </w:rPr>
            </w:pPr>
            <w:r w:rsidRPr="00313EC9">
              <w:rPr>
                <w:rFonts w:ascii="Times New Roman" w:hAnsi="Times New Roman" w:cs="Times New Roman"/>
                <w:b/>
                <w:sz w:val="24"/>
                <w:lang w:val="en-GB"/>
              </w:rPr>
              <w:t>Row number</w:t>
            </w:r>
          </w:p>
        </w:tc>
        <w:tc>
          <w:tcPr>
            <w:tcW w:w="7655" w:type="dxa"/>
            <w:shd w:val="clear" w:color="auto" w:fill="D9D9D9" w:themeFill="background1" w:themeFillShade="D9"/>
          </w:tcPr>
          <w:p w14:paraId="41DC581B" w14:textId="77777777" w:rsidR="00931A3F" w:rsidRPr="0043712F" w:rsidRDefault="00931A3F" w:rsidP="00931A3F">
            <w:pPr>
              <w:autoSpaceDE w:val="0"/>
              <w:autoSpaceDN w:val="0"/>
              <w:adjustRightInd w:val="0"/>
              <w:rPr>
                <w:rFonts w:ascii="Times New Roman" w:hAnsi="Times New Roman" w:cs="Times New Roman"/>
                <w:color w:val="000000"/>
                <w:sz w:val="24"/>
                <w:lang w:val="en-GB"/>
              </w:rPr>
            </w:pPr>
            <w:r w:rsidRPr="00581203">
              <w:rPr>
                <w:rFonts w:ascii="Times New Roman" w:hAnsi="Times New Roman" w:cs="Times New Roman"/>
                <w:b/>
                <w:sz w:val="24"/>
                <w:lang w:val="en-GB"/>
              </w:rPr>
              <w:t>Explanation</w:t>
            </w:r>
          </w:p>
        </w:tc>
      </w:tr>
      <w:tr w:rsidR="00931A3F" w:rsidRPr="00581203" w14:paraId="7BEB76FE" w14:textId="77777777" w:rsidTr="00931A3F">
        <w:trPr>
          <w:trHeight w:val="971"/>
        </w:trPr>
        <w:tc>
          <w:tcPr>
            <w:tcW w:w="1384" w:type="dxa"/>
          </w:tcPr>
          <w:p w14:paraId="7CC180AA" w14:textId="191FCB2A" w:rsidR="00931A3F" w:rsidRDefault="00931A3F" w:rsidP="00931A3F">
            <w:pPr>
              <w:pStyle w:val="Applicationdirecte"/>
              <w:spacing w:before="120"/>
            </w:pPr>
            <w:r>
              <w:t>010</w:t>
            </w:r>
            <w:r w:rsidR="00970FD7">
              <w:t xml:space="preserve"> - 190</w:t>
            </w:r>
          </w:p>
        </w:tc>
        <w:tc>
          <w:tcPr>
            <w:tcW w:w="7655" w:type="dxa"/>
          </w:tcPr>
          <w:p w14:paraId="6298875F" w14:textId="6587EFC1" w:rsidR="00527061" w:rsidRPr="00527061" w:rsidRDefault="0073684C" w:rsidP="00970FD7">
            <w:pPr>
              <w:pStyle w:val="Fait"/>
              <w:rPr>
                <w:b/>
              </w:rPr>
            </w:pPr>
            <w:r>
              <w:rPr>
                <w:b/>
              </w:rPr>
              <w:t>Counterparty breakdown by industry</w:t>
            </w:r>
          </w:p>
          <w:p w14:paraId="2759EB80" w14:textId="12E87961" w:rsidR="00047C96" w:rsidRDefault="00047C96" w:rsidP="00047C96">
            <w:pPr>
              <w:pStyle w:val="Fait"/>
            </w:pPr>
            <w:r w:rsidRPr="00970FD7">
              <w:t xml:space="preserve">Counterparty sector allocation </w:t>
            </w:r>
            <w:r>
              <w:t>includes only the sectors related to non-financial corporation counterparty.</w:t>
            </w:r>
          </w:p>
          <w:p w14:paraId="132ACA0F" w14:textId="090584E7" w:rsidR="00931A3F" w:rsidRPr="00D802E8" w:rsidRDefault="00970FD7" w:rsidP="00970FD7">
            <w:pPr>
              <w:pStyle w:val="Fait"/>
            </w:pPr>
            <w:r w:rsidRPr="00970FD7">
              <w:t xml:space="preserve">Counterparty sector allocation </w:t>
            </w:r>
            <w:proofErr w:type="gramStart"/>
            <w:r w:rsidR="0017224C" w:rsidRPr="00D802E8">
              <w:t>shall</w:t>
            </w:r>
            <w:r w:rsidRPr="00970FD7">
              <w:t xml:space="preserve"> be based</w:t>
            </w:r>
            <w:proofErr w:type="gramEnd"/>
            <w:r w:rsidRPr="00970FD7">
              <w:t xml:space="preserve"> exclusively on the nature of the immediate counterparty. The classification of exposures incurred jointly by more than one obl</w:t>
            </w:r>
            <w:r w:rsidRPr="00D802E8">
              <w:t xml:space="preserve">igor </w:t>
            </w:r>
            <w:proofErr w:type="gramStart"/>
            <w:r w:rsidR="0017224C" w:rsidRPr="00D802E8">
              <w:t>shall</w:t>
            </w:r>
            <w:r w:rsidRPr="00D802E8">
              <w:t xml:space="preserve"> be done</w:t>
            </w:r>
            <w:proofErr w:type="gramEnd"/>
            <w:r w:rsidRPr="00D802E8">
              <w:t xml:space="preserve"> based on the characteristics of the obligor that was the more relevant, or determinant, for the institution’s decision to grant the exposure.</w:t>
            </w:r>
          </w:p>
          <w:p w14:paraId="2671EF06" w14:textId="01696A9B" w:rsidR="00970FD7" w:rsidRPr="00970FD7" w:rsidRDefault="00970FD7" w:rsidP="006D1445">
            <w:pPr>
              <w:pStyle w:val="Fait"/>
            </w:pPr>
            <w:r w:rsidRPr="00D802E8">
              <w:t xml:space="preserve">The rows </w:t>
            </w:r>
            <w:proofErr w:type="gramStart"/>
            <w:r w:rsidR="0017224C" w:rsidRPr="00D802E8">
              <w:t>shall</w:t>
            </w:r>
            <w:r w:rsidRPr="00D802E8">
              <w:t xml:space="preserve"> be used</w:t>
            </w:r>
            <w:proofErr w:type="gramEnd"/>
            <w:r w:rsidRPr="00D802E8">
              <w:t xml:space="preserve"> to disclose the material industry sectors or counterparty types to which institutions have exposures. Materiality </w:t>
            </w:r>
            <w:proofErr w:type="gramStart"/>
            <w:r w:rsidR="0017224C" w:rsidRPr="00D802E8">
              <w:t>shall</w:t>
            </w:r>
            <w:r w:rsidR="006D1445">
              <w:t xml:space="preserve"> be assessed</w:t>
            </w:r>
            <w:proofErr w:type="gramEnd"/>
            <w:r w:rsidR="006D1445">
              <w:t xml:space="preserve"> </w:t>
            </w:r>
            <w:r w:rsidR="006D1445" w:rsidRPr="00313EC9">
              <w:t xml:space="preserve">in accordance with </w:t>
            </w:r>
            <w:r w:rsidR="006D1445">
              <w:t>Article 432 CRR</w:t>
            </w:r>
            <w:r w:rsidRPr="00D802E8">
              <w:t xml:space="preserve">, and immaterial industry sectors or counterparty types </w:t>
            </w:r>
            <w:r w:rsidR="0017224C" w:rsidRPr="00D802E8">
              <w:t>shall</w:t>
            </w:r>
            <w:r w:rsidRPr="00D802E8">
              <w:t xml:space="preserve"> be aggregated</w:t>
            </w:r>
            <w:r w:rsidRPr="00970FD7">
              <w:t xml:space="preserve"> in the row ‘Other services’.</w:t>
            </w:r>
          </w:p>
        </w:tc>
      </w:tr>
      <w:tr w:rsidR="00931A3F" w:rsidRPr="00581203" w14:paraId="222CE1BF" w14:textId="77777777" w:rsidTr="00931A3F">
        <w:trPr>
          <w:trHeight w:val="316"/>
        </w:trPr>
        <w:tc>
          <w:tcPr>
            <w:tcW w:w="1384" w:type="dxa"/>
          </w:tcPr>
          <w:p w14:paraId="65C44E97" w14:textId="0CE41F6D" w:rsidR="00931A3F" w:rsidRPr="0043712F" w:rsidRDefault="00970FD7" w:rsidP="00931A3F">
            <w:pPr>
              <w:autoSpaceDE w:val="0"/>
              <w:autoSpaceDN w:val="0"/>
              <w:adjustRightInd w:val="0"/>
              <w:rPr>
                <w:rFonts w:ascii="Times New Roman" w:hAnsi="Times New Roman" w:cs="Times New Roman"/>
                <w:color w:val="000000"/>
                <w:sz w:val="24"/>
                <w:lang w:val="en-GB"/>
              </w:rPr>
            </w:pPr>
            <w:r>
              <w:rPr>
                <w:rFonts w:ascii="Times New Roman" w:hAnsi="Times New Roman" w:cs="Times New Roman"/>
                <w:color w:val="000000"/>
                <w:sz w:val="24"/>
                <w:lang w:val="en-GB"/>
              </w:rPr>
              <w:t>200</w:t>
            </w:r>
          </w:p>
        </w:tc>
        <w:tc>
          <w:tcPr>
            <w:tcW w:w="7655" w:type="dxa"/>
          </w:tcPr>
          <w:p w14:paraId="3707D56A" w14:textId="77777777" w:rsidR="00931A3F" w:rsidRDefault="00931A3F" w:rsidP="00931A3F">
            <w:pPr>
              <w:autoSpaceDE w:val="0"/>
              <w:autoSpaceDN w:val="0"/>
              <w:adjustRightInd w:val="0"/>
              <w:rPr>
                <w:rFonts w:ascii="Times New Roman" w:hAnsi="Times New Roman" w:cs="Times New Roman"/>
                <w:b/>
                <w:sz w:val="24"/>
                <w:lang w:val="en-GB"/>
              </w:rPr>
            </w:pPr>
            <w:r>
              <w:rPr>
                <w:rFonts w:ascii="Times New Roman" w:hAnsi="Times New Roman" w:cs="Times New Roman"/>
                <w:b/>
                <w:sz w:val="24"/>
                <w:lang w:val="en-GB"/>
              </w:rPr>
              <w:t xml:space="preserve">Total </w:t>
            </w:r>
          </w:p>
          <w:p w14:paraId="42932630" w14:textId="77777777" w:rsidR="00931A3F" w:rsidRPr="003F5E9A" w:rsidRDefault="00931A3F" w:rsidP="00931A3F">
            <w:pPr>
              <w:autoSpaceDE w:val="0"/>
              <w:autoSpaceDN w:val="0"/>
              <w:adjustRightInd w:val="0"/>
              <w:rPr>
                <w:rFonts w:ascii="Times New Roman" w:hAnsi="Times New Roman" w:cs="Times New Roman"/>
                <w:b/>
                <w:sz w:val="24"/>
                <w:lang w:val="en-GB"/>
              </w:rPr>
            </w:pPr>
          </w:p>
        </w:tc>
      </w:tr>
    </w:tbl>
    <w:p w14:paraId="2EDD1BDA" w14:textId="77777777" w:rsidR="00931A3F" w:rsidRPr="0043712F" w:rsidRDefault="00931A3F" w:rsidP="00931A3F">
      <w:pPr>
        <w:rPr>
          <w:rFonts w:ascii="Times New Roman" w:hAnsi="Times New Roman" w:cs="Times New Roman"/>
          <w:sz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931A3F" w:rsidRPr="00581203" w14:paraId="690158E6" w14:textId="77777777" w:rsidTr="00931A3F">
        <w:trPr>
          <w:trHeight w:val="238"/>
        </w:trPr>
        <w:tc>
          <w:tcPr>
            <w:tcW w:w="9039" w:type="dxa"/>
            <w:gridSpan w:val="2"/>
            <w:shd w:val="clear" w:color="auto" w:fill="D9D9D9" w:themeFill="background1" w:themeFillShade="D9"/>
          </w:tcPr>
          <w:p w14:paraId="73824E43" w14:textId="77777777" w:rsidR="00931A3F" w:rsidRPr="00581203" w:rsidRDefault="00931A3F" w:rsidP="00931A3F">
            <w:pPr>
              <w:autoSpaceDE w:val="0"/>
              <w:autoSpaceDN w:val="0"/>
              <w:adjustRightInd w:val="0"/>
              <w:rPr>
                <w:rFonts w:ascii="Times New Roman" w:hAnsi="Times New Roman" w:cs="Times New Roman"/>
                <w:b/>
                <w:sz w:val="24"/>
                <w:lang w:val="en-GB"/>
              </w:rPr>
            </w:pPr>
            <w:r w:rsidRPr="00581203">
              <w:rPr>
                <w:rFonts w:ascii="Times New Roman" w:hAnsi="Times New Roman" w:cs="Times New Roman"/>
                <w:b/>
                <w:sz w:val="24"/>
                <w:lang w:val="en-GB"/>
              </w:rPr>
              <w:t>Legal references and instructions</w:t>
            </w:r>
          </w:p>
        </w:tc>
      </w:tr>
      <w:tr w:rsidR="00931A3F" w:rsidRPr="00581203" w14:paraId="2B102B86" w14:textId="77777777" w:rsidTr="00931A3F">
        <w:trPr>
          <w:trHeight w:val="238"/>
        </w:trPr>
        <w:tc>
          <w:tcPr>
            <w:tcW w:w="1384" w:type="dxa"/>
            <w:shd w:val="clear" w:color="auto" w:fill="D9D9D9" w:themeFill="background1" w:themeFillShade="D9"/>
          </w:tcPr>
          <w:p w14:paraId="73BC536E" w14:textId="77777777" w:rsidR="00931A3F" w:rsidRPr="00581203" w:rsidRDefault="00931A3F" w:rsidP="00931A3F">
            <w:pPr>
              <w:autoSpaceDE w:val="0"/>
              <w:autoSpaceDN w:val="0"/>
              <w:adjustRightInd w:val="0"/>
              <w:rPr>
                <w:rFonts w:ascii="Times New Roman" w:hAnsi="Times New Roman" w:cs="Times New Roman"/>
                <w:b/>
                <w:sz w:val="24"/>
                <w:lang w:val="en-GB"/>
              </w:rPr>
            </w:pPr>
            <w:r w:rsidRPr="000E279B">
              <w:rPr>
                <w:rFonts w:ascii="Times New Roman" w:hAnsi="Times New Roman" w:cs="Times New Roman"/>
                <w:b/>
                <w:sz w:val="24"/>
                <w:lang w:val="en-GB"/>
              </w:rPr>
              <w:t>Column number</w:t>
            </w:r>
          </w:p>
        </w:tc>
        <w:tc>
          <w:tcPr>
            <w:tcW w:w="7655" w:type="dxa"/>
            <w:shd w:val="clear" w:color="auto" w:fill="D9D9D9" w:themeFill="background1" w:themeFillShade="D9"/>
          </w:tcPr>
          <w:p w14:paraId="1AD9A809" w14:textId="77777777" w:rsidR="00931A3F" w:rsidRPr="004D3597" w:rsidRDefault="00931A3F" w:rsidP="00931A3F">
            <w:pPr>
              <w:autoSpaceDE w:val="0"/>
              <w:autoSpaceDN w:val="0"/>
              <w:adjustRightInd w:val="0"/>
              <w:rPr>
                <w:rFonts w:ascii="Times New Roman" w:hAnsi="Times New Roman" w:cs="Times New Roman"/>
                <w:b/>
                <w:sz w:val="24"/>
                <w:lang w:val="en-GB"/>
              </w:rPr>
            </w:pPr>
            <w:r w:rsidRPr="00581203">
              <w:rPr>
                <w:rFonts w:ascii="Times New Roman" w:hAnsi="Times New Roman" w:cs="Times New Roman"/>
                <w:b/>
                <w:sz w:val="24"/>
                <w:lang w:val="en-GB"/>
              </w:rPr>
              <w:t>Explanation</w:t>
            </w:r>
          </w:p>
        </w:tc>
      </w:tr>
      <w:tr w:rsidR="00931A3F" w:rsidRPr="00581203" w14:paraId="7F2DD7CD" w14:textId="77777777" w:rsidTr="00931A3F">
        <w:trPr>
          <w:trHeight w:val="841"/>
        </w:trPr>
        <w:tc>
          <w:tcPr>
            <w:tcW w:w="1384" w:type="dxa"/>
          </w:tcPr>
          <w:p w14:paraId="26628DBF" w14:textId="4F83ACD8" w:rsidR="00931A3F" w:rsidRPr="00581203" w:rsidRDefault="00E17BD3" w:rsidP="00931A3F">
            <w:pPr>
              <w:pStyle w:val="Applicationdirecte"/>
              <w:spacing w:before="120"/>
            </w:pPr>
            <w:r>
              <w:t>a</w:t>
            </w:r>
          </w:p>
        </w:tc>
        <w:tc>
          <w:tcPr>
            <w:tcW w:w="7655" w:type="dxa"/>
          </w:tcPr>
          <w:p w14:paraId="2DE4989A" w14:textId="77777777" w:rsidR="00931A3F" w:rsidRDefault="00931A3F" w:rsidP="00931A3F">
            <w:pPr>
              <w:pStyle w:val="Fait"/>
              <w:spacing w:after="120"/>
              <w:rPr>
                <w:rFonts w:eastAsiaTheme="minorEastAsia"/>
                <w:b/>
              </w:rPr>
            </w:pPr>
            <w:r w:rsidRPr="00224E28">
              <w:rPr>
                <w:rFonts w:eastAsiaTheme="minorEastAsia"/>
                <w:b/>
              </w:rPr>
              <w:t xml:space="preserve">Gross carrying amount </w:t>
            </w:r>
          </w:p>
          <w:p w14:paraId="35BF18F9" w14:textId="2D08C30A" w:rsidR="00E17BD3" w:rsidRPr="00E17BD3" w:rsidRDefault="00E17BD3" w:rsidP="00E17BD3">
            <w:pPr>
              <w:pStyle w:val="Fait"/>
            </w:pPr>
            <w:r>
              <w:t>G</w:t>
            </w:r>
            <w:r w:rsidRPr="006172E4">
              <w:t>ross carrying amount as defined in paragraph 34 of Part 1 of Annex V to Commission Implementing Regulation (EU) 680/2014</w:t>
            </w:r>
            <w:r>
              <w:t xml:space="preserve">. </w:t>
            </w:r>
            <w:r w:rsidRPr="006172E4">
              <w:t>The gross carrying amount related to the exposures subject to impairment is the net of accumulated partial and total write-off.</w:t>
            </w:r>
          </w:p>
        </w:tc>
      </w:tr>
      <w:tr w:rsidR="00B87191" w:rsidRPr="00581203" w14:paraId="6FF98F36" w14:textId="77777777" w:rsidTr="00931A3F">
        <w:trPr>
          <w:trHeight w:val="841"/>
        </w:trPr>
        <w:tc>
          <w:tcPr>
            <w:tcW w:w="1384" w:type="dxa"/>
          </w:tcPr>
          <w:p w14:paraId="0EA6DC23" w14:textId="098ABD3A" w:rsidR="00B87191" w:rsidRPr="00581203" w:rsidRDefault="00E17BD3" w:rsidP="00931A3F">
            <w:pPr>
              <w:pStyle w:val="Applicationdirecte"/>
              <w:spacing w:before="120"/>
            </w:pPr>
            <w:r>
              <w:t>b</w:t>
            </w:r>
          </w:p>
        </w:tc>
        <w:tc>
          <w:tcPr>
            <w:tcW w:w="7655" w:type="dxa"/>
          </w:tcPr>
          <w:p w14:paraId="356BA619" w14:textId="32D06C54" w:rsidR="00B87191" w:rsidRDefault="00B87191" w:rsidP="00B87191">
            <w:pPr>
              <w:pStyle w:val="Fait"/>
              <w:spacing w:after="120"/>
              <w:rPr>
                <w:b/>
              </w:rPr>
            </w:pPr>
            <w:r w:rsidRPr="00527061">
              <w:rPr>
                <w:b/>
              </w:rPr>
              <w:t>Gross carrying amount</w:t>
            </w:r>
            <w:r w:rsidR="000E279B" w:rsidRPr="00527061">
              <w:rPr>
                <w:b/>
              </w:rPr>
              <w:t xml:space="preserve"> – </w:t>
            </w:r>
            <w:r w:rsidRPr="00527061">
              <w:rPr>
                <w:b/>
              </w:rPr>
              <w:t xml:space="preserve">of which </w:t>
            </w:r>
            <w:r>
              <w:rPr>
                <w:b/>
              </w:rPr>
              <w:t xml:space="preserve">non-performing </w:t>
            </w:r>
          </w:p>
          <w:p w14:paraId="2DE96E69" w14:textId="442F0F6E" w:rsidR="00B87191" w:rsidRDefault="00E17BD3" w:rsidP="00931A3F">
            <w:pPr>
              <w:pStyle w:val="Fait"/>
              <w:spacing w:after="120"/>
            </w:pPr>
            <w:r>
              <w:t>G</w:t>
            </w:r>
            <w:r w:rsidRPr="006172E4">
              <w:t>ross carrying amount as defined in paragraph 34 of Part 1 of Annex V to Commission Implementing Regulation (EU) 680/2014</w:t>
            </w:r>
            <w:r>
              <w:t>.</w:t>
            </w:r>
          </w:p>
          <w:p w14:paraId="3257DE57" w14:textId="5C6FBCA9" w:rsidR="00E17BD3" w:rsidRPr="00E17BD3" w:rsidRDefault="00E17BD3" w:rsidP="004A2F10">
            <w:pPr>
              <w:pStyle w:val="Fait"/>
              <w:spacing w:after="120"/>
              <w:rPr>
                <w:rFonts w:eastAsiaTheme="minorEastAsia"/>
              </w:rPr>
            </w:pPr>
            <w:r w:rsidRPr="00210D39">
              <w:t xml:space="preserve">Non-performing exposures as defined in </w:t>
            </w:r>
            <w:r w:rsidR="004A2F10">
              <w:t>Article 47a CRR</w:t>
            </w:r>
            <w:r w:rsidRPr="00210D39">
              <w:t>.</w:t>
            </w:r>
          </w:p>
        </w:tc>
      </w:tr>
      <w:tr w:rsidR="00B87191" w:rsidRPr="00581203" w14:paraId="6FE01B48" w14:textId="77777777" w:rsidTr="00931A3F">
        <w:trPr>
          <w:trHeight w:val="841"/>
        </w:trPr>
        <w:tc>
          <w:tcPr>
            <w:tcW w:w="1384" w:type="dxa"/>
          </w:tcPr>
          <w:p w14:paraId="185AFA50" w14:textId="2A8A1CFC" w:rsidR="00B87191" w:rsidRPr="00581203" w:rsidRDefault="00E17BD3" w:rsidP="00931A3F">
            <w:pPr>
              <w:pStyle w:val="Applicationdirecte"/>
              <w:spacing w:before="120"/>
            </w:pPr>
            <w:r>
              <w:t>c</w:t>
            </w:r>
          </w:p>
        </w:tc>
        <w:tc>
          <w:tcPr>
            <w:tcW w:w="7655" w:type="dxa"/>
          </w:tcPr>
          <w:p w14:paraId="0AFAB75B" w14:textId="77777777" w:rsidR="00B87191" w:rsidRDefault="00B87191" w:rsidP="00B87191">
            <w:pPr>
              <w:pStyle w:val="Fait"/>
              <w:spacing w:after="120"/>
              <w:ind w:left="720"/>
              <w:rPr>
                <w:rFonts w:eastAsiaTheme="minorEastAsia"/>
                <w:b/>
              </w:rPr>
            </w:pPr>
            <w:r>
              <w:rPr>
                <w:rFonts w:eastAsiaTheme="minorEastAsia"/>
                <w:b/>
              </w:rPr>
              <w:t>Of which defaulted</w:t>
            </w:r>
          </w:p>
          <w:p w14:paraId="75419438" w14:textId="7E9DBC49" w:rsidR="00E17BD3" w:rsidRPr="00E17BD3" w:rsidRDefault="00E17BD3" w:rsidP="00E17BD3">
            <w:pPr>
              <w:pStyle w:val="Fait"/>
              <w:spacing w:after="120"/>
              <w:rPr>
                <w:rFonts w:eastAsiaTheme="minorEastAsia"/>
              </w:rPr>
            </w:pPr>
            <w:r w:rsidRPr="000F3892">
              <w:t>Defaulted exposures in accordance with Article 178 CRR.</w:t>
            </w:r>
          </w:p>
        </w:tc>
      </w:tr>
      <w:tr w:rsidR="00931A3F" w:rsidRPr="00581203" w14:paraId="36EDAEDE" w14:textId="77777777" w:rsidTr="00931A3F">
        <w:trPr>
          <w:trHeight w:val="841"/>
        </w:trPr>
        <w:tc>
          <w:tcPr>
            <w:tcW w:w="1384" w:type="dxa"/>
          </w:tcPr>
          <w:p w14:paraId="1CBCE164" w14:textId="0F86AAE5" w:rsidR="00931A3F" w:rsidRPr="00581203" w:rsidRDefault="00E17BD3" w:rsidP="00931A3F">
            <w:pPr>
              <w:pStyle w:val="Applicationdirecte"/>
              <w:spacing w:before="120"/>
            </w:pPr>
            <w:r>
              <w:t>d</w:t>
            </w:r>
          </w:p>
        </w:tc>
        <w:tc>
          <w:tcPr>
            <w:tcW w:w="7655" w:type="dxa"/>
          </w:tcPr>
          <w:p w14:paraId="58EEC2DF" w14:textId="77777777" w:rsidR="00931A3F" w:rsidRDefault="00527061" w:rsidP="00931A3F">
            <w:pPr>
              <w:pStyle w:val="Fait"/>
              <w:spacing w:after="120"/>
              <w:rPr>
                <w:b/>
              </w:rPr>
            </w:pPr>
            <w:r w:rsidRPr="00527061">
              <w:rPr>
                <w:b/>
              </w:rPr>
              <w:t>Gross carrying amount – of which loans and advances subject to impairment</w:t>
            </w:r>
          </w:p>
          <w:p w14:paraId="71CBEA70" w14:textId="158E4B6C" w:rsidR="00527061" w:rsidRPr="00527061" w:rsidRDefault="00527061" w:rsidP="000300DD">
            <w:pPr>
              <w:pStyle w:val="Fait"/>
            </w:pPr>
            <w:r>
              <w:t>T</w:t>
            </w:r>
            <w:r w:rsidRPr="00527061">
              <w:t xml:space="preserve">he gross carrying amount related to </w:t>
            </w:r>
            <w:r w:rsidR="000300DD">
              <w:t>loans and advances</w:t>
            </w:r>
            <w:r w:rsidR="000300DD" w:rsidRPr="00527061">
              <w:t xml:space="preserve"> </w:t>
            </w:r>
            <w:r w:rsidRPr="00527061">
              <w:t>that are subject to the impairment requirements of the applicable accounting framework.</w:t>
            </w:r>
          </w:p>
        </w:tc>
      </w:tr>
      <w:tr w:rsidR="00931A3F" w:rsidRPr="00581203" w14:paraId="27EA5B0A" w14:textId="77777777" w:rsidTr="00931A3F">
        <w:trPr>
          <w:trHeight w:val="316"/>
        </w:trPr>
        <w:tc>
          <w:tcPr>
            <w:tcW w:w="1384" w:type="dxa"/>
          </w:tcPr>
          <w:p w14:paraId="575A4EF1" w14:textId="3C56C146" w:rsidR="00931A3F" w:rsidRPr="0043712F" w:rsidRDefault="00E17BD3" w:rsidP="00931A3F">
            <w:pPr>
              <w:autoSpaceDE w:val="0"/>
              <w:autoSpaceDN w:val="0"/>
              <w:adjustRightInd w:val="0"/>
              <w:rPr>
                <w:rFonts w:ascii="Times New Roman" w:hAnsi="Times New Roman" w:cs="Times New Roman"/>
                <w:color w:val="000000"/>
                <w:sz w:val="24"/>
                <w:lang w:val="en-GB"/>
              </w:rPr>
            </w:pPr>
            <w:r>
              <w:rPr>
                <w:rFonts w:ascii="Times New Roman" w:hAnsi="Times New Roman" w:cs="Times New Roman"/>
                <w:color w:val="000000"/>
                <w:sz w:val="24"/>
                <w:lang w:val="en-GB"/>
              </w:rPr>
              <w:lastRenderedPageBreak/>
              <w:t>e</w:t>
            </w:r>
          </w:p>
        </w:tc>
        <w:tc>
          <w:tcPr>
            <w:tcW w:w="7655" w:type="dxa"/>
          </w:tcPr>
          <w:p w14:paraId="4439B44B" w14:textId="77777777" w:rsidR="00931A3F" w:rsidRDefault="000E279B" w:rsidP="00527061">
            <w:pPr>
              <w:pStyle w:val="Fait"/>
              <w:rPr>
                <w:b/>
              </w:rPr>
            </w:pPr>
            <w:r w:rsidRPr="000E279B">
              <w:rPr>
                <w:b/>
              </w:rPr>
              <w:t>Accumulated impairment</w:t>
            </w:r>
          </w:p>
          <w:p w14:paraId="3609901C" w14:textId="45A58718" w:rsidR="00E17BD3" w:rsidRPr="00E17BD3" w:rsidRDefault="00E17BD3" w:rsidP="00E17BD3">
            <w:pPr>
              <w:pStyle w:val="Fait"/>
              <w:spacing w:after="120"/>
            </w:pPr>
            <w:r>
              <w:t>T</w:t>
            </w:r>
            <w:r w:rsidRPr="00E17BD3">
              <w:t xml:space="preserve">his </w:t>
            </w:r>
            <w:r w:rsidR="0017224C" w:rsidRPr="003918BD">
              <w:t>shall</w:t>
            </w:r>
            <w:r w:rsidRPr="00E17BD3">
              <w:t xml:space="preserve"> include the amounts determined in accordance with paragraphs 11, 69 to 71, 106 and 110 of Part 2 of Annex V to Commission Implementing Regulation (EU) 680/2014.</w:t>
            </w:r>
          </w:p>
        </w:tc>
      </w:tr>
      <w:tr w:rsidR="00931A3F" w:rsidRPr="00581203" w14:paraId="7563B259" w14:textId="77777777" w:rsidTr="00931A3F">
        <w:trPr>
          <w:trHeight w:val="316"/>
        </w:trPr>
        <w:tc>
          <w:tcPr>
            <w:tcW w:w="1384" w:type="dxa"/>
          </w:tcPr>
          <w:p w14:paraId="64B35271" w14:textId="6741691A" w:rsidR="00931A3F" w:rsidRPr="00581203" w:rsidRDefault="00E17BD3" w:rsidP="00931A3F">
            <w:pPr>
              <w:autoSpaceDE w:val="0"/>
              <w:autoSpaceDN w:val="0"/>
              <w:adjustRightInd w:val="0"/>
              <w:rPr>
                <w:rFonts w:ascii="Times New Roman" w:eastAsia="Times New Roman" w:hAnsi="Times New Roman" w:cs="Times New Roman"/>
                <w:sz w:val="24"/>
                <w:lang w:val="en-GB"/>
              </w:rPr>
            </w:pPr>
            <w:r>
              <w:rPr>
                <w:rFonts w:ascii="Times New Roman" w:eastAsia="Times New Roman" w:hAnsi="Times New Roman" w:cs="Times New Roman"/>
                <w:sz w:val="24"/>
                <w:lang w:val="en-GB"/>
              </w:rPr>
              <w:t>f</w:t>
            </w:r>
          </w:p>
        </w:tc>
        <w:tc>
          <w:tcPr>
            <w:tcW w:w="7655" w:type="dxa"/>
          </w:tcPr>
          <w:p w14:paraId="6D52367F" w14:textId="77777777" w:rsidR="00931A3F" w:rsidRDefault="000E279B" w:rsidP="000E279B">
            <w:pPr>
              <w:pStyle w:val="Fait"/>
              <w:rPr>
                <w:b/>
              </w:rPr>
            </w:pPr>
            <w:r w:rsidRPr="000E279B">
              <w:rPr>
                <w:b/>
              </w:rPr>
              <w:t>Accumulated negative changes in fair value due to credit risk on non-performing exposures</w:t>
            </w:r>
          </w:p>
          <w:p w14:paraId="1CE3B24B" w14:textId="1F8A34B3" w:rsidR="00E17BD3" w:rsidRDefault="00E17BD3" w:rsidP="00E17BD3">
            <w:pPr>
              <w:pStyle w:val="Fait"/>
              <w:spacing w:after="120"/>
            </w:pPr>
            <w:r>
              <w:t>T</w:t>
            </w:r>
            <w:r w:rsidRPr="003D52A3">
              <w:t xml:space="preserve">his </w:t>
            </w:r>
            <w:r w:rsidR="0017224C" w:rsidRPr="003918BD">
              <w:t>shall</w:t>
            </w:r>
            <w:r w:rsidRPr="003D52A3">
              <w:t xml:space="preserve"> include the amounts determined in accordance with paragraphs 11, 69 to 71, 106 and 110 of Part 2 of Annex V to Commission Implement</w:t>
            </w:r>
            <w:r>
              <w:t>ing Regulation (EU) 680/2014.</w:t>
            </w:r>
          </w:p>
          <w:p w14:paraId="053C4D07" w14:textId="16E57B8B" w:rsidR="00E17BD3" w:rsidRPr="00E17BD3" w:rsidRDefault="00E17BD3" w:rsidP="004A2F10">
            <w:pPr>
              <w:pStyle w:val="Fait"/>
              <w:spacing w:after="120"/>
            </w:pPr>
            <w:r w:rsidRPr="00210D39">
              <w:t xml:space="preserve">Non-performing exposures as defined in </w:t>
            </w:r>
            <w:r w:rsidR="004A2F10">
              <w:t>Article 47a</w:t>
            </w:r>
            <w:r w:rsidR="004643EE">
              <w:t xml:space="preserve"> CRR</w:t>
            </w:r>
            <w:r w:rsidRPr="00210D39">
              <w:t>.</w:t>
            </w:r>
          </w:p>
        </w:tc>
      </w:tr>
    </w:tbl>
    <w:p w14:paraId="3D031EC4" w14:textId="38ADAF4D" w:rsidR="00931A3F" w:rsidRDefault="00931A3F" w:rsidP="00931A3F">
      <w:pPr>
        <w:autoSpaceDE w:val="0"/>
        <w:autoSpaceDN w:val="0"/>
        <w:adjustRightInd w:val="0"/>
        <w:jc w:val="both"/>
        <w:rPr>
          <w:rFonts w:ascii="Times New Roman" w:hAnsi="Times New Roman" w:cs="Times New Roman"/>
          <w:b/>
          <w:sz w:val="24"/>
          <w:lang w:val="en-GB"/>
        </w:rPr>
      </w:pPr>
    </w:p>
    <w:p w14:paraId="5EF1E839" w14:textId="41060DFD" w:rsidR="003309CF" w:rsidRPr="003309CF" w:rsidRDefault="003309CF" w:rsidP="00FD04D2">
      <w:pPr>
        <w:autoSpaceDE w:val="0"/>
        <w:autoSpaceDN w:val="0"/>
        <w:adjustRightInd w:val="0"/>
        <w:spacing w:after="120"/>
        <w:jc w:val="both"/>
        <w:rPr>
          <w:rFonts w:ascii="Times New Roman" w:hAnsi="Times New Roman" w:cs="Times New Roman"/>
          <w:b/>
          <w:sz w:val="24"/>
          <w:lang w:val="en-GB"/>
        </w:rPr>
      </w:pPr>
      <w:r>
        <w:rPr>
          <w:rFonts w:ascii="Times New Roman" w:hAnsi="Times New Roman" w:cs="Times New Roman"/>
          <w:b/>
          <w:sz w:val="24"/>
          <w:lang w:val="en-GB"/>
        </w:rPr>
        <w:t xml:space="preserve">Template </w:t>
      </w:r>
      <w:r w:rsidR="009D2918">
        <w:rPr>
          <w:rFonts w:ascii="Times New Roman" w:hAnsi="Times New Roman" w:cs="Times New Roman"/>
          <w:b/>
          <w:sz w:val="24"/>
          <w:lang w:val="en-GB"/>
        </w:rPr>
        <w:t>CQ</w:t>
      </w:r>
      <w:r w:rsidR="00B902AA">
        <w:rPr>
          <w:rFonts w:ascii="Times New Roman" w:hAnsi="Times New Roman" w:cs="Times New Roman"/>
          <w:b/>
          <w:sz w:val="24"/>
          <w:lang w:val="en-GB"/>
        </w:rPr>
        <w:t>6</w:t>
      </w:r>
      <w:r w:rsidRPr="00931A3F">
        <w:rPr>
          <w:rFonts w:ascii="Times New Roman" w:hAnsi="Times New Roman" w:cs="Times New Roman"/>
          <w:b/>
          <w:sz w:val="24"/>
          <w:lang w:val="en-GB"/>
        </w:rPr>
        <w:t xml:space="preserve">: </w:t>
      </w:r>
      <w:r w:rsidRPr="003309CF">
        <w:rPr>
          <w:rFonts w:ascii="Times New Roman" w:hAnsi="Times New Roman" w:cs="Times New Roman"/>
          <w:b/>
          <w:sz w:val="24"/>
          <w:lang w:val="en-GB"/>
        </w:rPr>
        <w:t>Collateral valuation - loans and advances</w:t>
      </w:r>
    </w:p>
    <w:p w14:paraId="42809778" w14:textId="40E30114" w:rsidR="00312A27" w:rsidRPr="00FE38E5" w:rsidRDefault="00312A27" w:rsidP="00B256E9">
      <w:pPr>
        <w:pStyle w:val="ListParagraph"/>
        <w:numPr>
          <w:ilvl w:val="0"/>
          <w:numId w:val="45"/>
        </w:numPr>
        <w:spacing w:before="120" w:after="120"/>
        <w:jc w:val="both"/>
        <w:rPr>
          <w:rFonts w:ascii="Times New Roman" w:hAnsi="Times New Roman"/>
          <w:bCs/>
          <w:sz w:val="24"/>
        </w:rPr>
      </w:pPr>
      <w:r w:rsidRPr="00FE38E5">
        <w:rPr>
          <w:rFonts w:ascii="Times New Roman" w:hAnsi="Times New Roman"/>
          <w:bCs/>
          <w:sz w:val="24"/>
        </w:rPr>
        <w:t>Institutions shall apply the instructions provided below in this Annex in order to complete template EU CQ</w:t>
      </w:r>
      <w:r w:rsidR="008B36A8" w:rsidRPr="00FE38E5">
        <w:rPr>
          <w:rFonts w:ascii="Times New Roman" w:hAnsi="Times New Roman"/>
          <w:bCs/>
          <w:sz w:val="24"/>
        </w:rPr>
        <w:t>6</w:t>
      </w:r>
      <w:r w:rsidRPr="00FE38E5">
        <w:rPr>
          <w:rFonts w:ascii="Times New Roman" w:hAnsi="Times New Roman"/>
          <w:bCs/>
          <w:sz w:val="24"/>
        </w:rPr>
        <w:t xml:space="preserve"> as presented in Annex </w:t>
      </w:r>
      <w:r w:rsidR="00A82A03">
        <w:rPr>
          <w:rFonts w:ascii="Times New Roman" w:hAnsi="Times New Roman"/>
          <w:bCs/>
          <w:sz w:val="24"/>
        </w:rPr>
        <w:t>XV</w:t>
      </w:r>
      <w:r w:rsidR="004643EE">
        <w:rPr>
          <w:rFonts w:ascii="Times New Roman" w:hAnsi="Times New Roman"/>
          <w:bCs/>
          <w:sz w:val="24"/>
        </w:rPr>
        <w:t xml:space="preserve"> to this Implementing Regulation</w:t>
      </w:r>
      <w:r w:rsidRPr="00FE38E5">
        <w:rPr>
          <w:rFonts w:ascii="Times New Roman" w:hAnsi="Times New Roman"/>
          <w:bCs/>
          <w:sz w:val="24"/>
        </w:rPr>
        <w:t xml:space="preserve">, in application of </w:t>
      </w:r>
      <w:r w:rsidR="00D6319A">
        <w:rPr>
          <w:rFonts w:ascii="Times New Roman" w:hAnsi="Times New Roman"/>
          <w:bCs/>
          <w:sz w:val="24"/>
        </w:rPr>
        <w:t xml:space="preserve">point (c) of </w:t>
      </w:r>
      <w:r w:rsidRPr="00FE38E5">
        <w:rPr>
          <w:rFonts w:ascii="Times New Roman" w:hAnsi="Times New Roman"/>
          <w:bCs/>
          <w:sz w:val="24"/>
        </w:rPr>
        <w:t xml:space="preserve">Article 442 </w:t>
      </w:r>
      <w:r w:rsidRPr="00FE38E5">
        <w:rPr>
          <w:rFonts w:ascii="Times New Roman" w:hAnsi="Times New Roman"/>
          <w:noProof/>
          <w:color w:val="000000"/>
          <w:sz w:val="24"/>
        </w:rPr>
        <w:t>CRR</w:t>
      </w:r>
      <w:r w:rsidR="002F5279">
        <w:rPr>
          <w:rFonts w:ascii="Times New Roman" w:hAnsi="Times New Roman"/>
          <w:noProof/>
          <w:color w:val="000000"/>
          <w:sz w:val="24"/>
        </w:rPr>
        <w:t>.</w:t>
      </w:r>
    </w:p>
    <w:p w14:paraId="0166B431" w14:textId="77777777" w:rsidR="003309CF" w:rsidRDefault="003309CF" w:rsidP="003309CF">
      <w:pPr>
        <w:autoSpaceDE w:val="0"/>
        <w:autoSpaceDN w:val="0"/>
        <w:adjustRightInd w:val="0"/>
        <w:jc w:val="both"/>
        <w:rPr>
          <w:rFonts w:ascii="Times New Roman" w:hAnsi="Times New Roman" w:cs="Times New Roman"/>
          <w:b/>
          <w:sz w:val="24"/>
          <w:lang w:val="en-G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3309CF" w:rsidRPr="00581203" w14:paraId="255793A5" w14:textId="77777777" w:rsidTr="003309CF">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1B7B57" w14:textId="77777777" w:rsidR="003309CF" w:rsidRPr="00581203" w:rsidRDefault="003309CF" w:rsidP="003309CF">
            <w:pPr>
              <w:rPr>
                <w:rFonts w:ascii="Times New Roman" w:hAnsi="Times New Roman" w:cs="Times New Roman"/>
                <w:b/>
                <w:sz w:val="24"/>
                <w:lang w:val="en-GB"/>
              </w:rPr>
            </w:pPr>
            <w:r w:rsidRPr="00581203">
              <w:rPr>
                <w:rFonts w:ascii="Times New Roman" w:hAnsi="Times New Roman" w:cs="Times New Roman"/>
                <w:b/>
                <w:sz w:val="24"/>
                <w:lang w:val="en-GB"/>
              </w:rPr>
              <w:t>Legal references and instructions</w:t>
            </w:r>
          </w:p>
        </w:tc>
      </w:tr>
      <w:tr w:rsidR="003309CF" w:rsidRPr="00581203" w14:paraId="241C7458" w14:textId="77777777" w:rsidTr="003309CF">
        <w:trPr>
          <w:trHeight w:val="238"/>
        </w:trPr>
        <w:tc>
          <w:tcPr>
            <w:tcW w:w="1384" w:type="dxa"/>
            <w:shd w:val="clear" w:color="auto" w:fill="D9D9D9" w:themeFill="background1" w:themeFillShade="D9"/>
          </w:tcPr>
          <w:p w14:paraId="2BC7FA7B" w14:textId="77777777" w:rsidR="003309CF" w:rsidRPr="00581203" w:rsidRDefault="003309CF" w:rsidP="003309CF">
            <w:pPr>
              <w:autoSpaceDE w:val="0"/>
              <w:autoSpaceDN w:val="0"/>
              <w:adjustRightInd w:val="0"/>
              <w:rPr>
                <w:rFonts w:ascii="Times New Roman" w:hAnsi="Times New Roman" w:cs="Times New Roman"/>
                <w:b/>
                <w:sz w:val="24"/>
                <w:lang w:val="en-GB"/>
              </w:rPr>
            </w:pPr>
            <w:r w:rsidRPr="00150AEF">
              <w:rPr>
                <w:rFonts w:ascii="Times New Roman" w:hAnsi="Times New Roman" w:cs="Times New Roman"/>
                <w:b/>
                <w:sz w:val="24"/>
                <w:lang w:val="en-GB"/>
              </w:rPr>
              <w:t>Row number</w:t>
            </w:r>
          </w:p>
        </w:tc>
        <w:tc>
          <w:tcPr>
            <w:tcW w:w="7655" w:type="dxa"/>
            <w:shd w:val="clear" w:color="auto" w:fill="D9D9D9" w:themeFill="background1" w:themeFillShade="D9"/>
          </w:tcPr>
          <w:p w14:paraId="31E11CD9" w14:textId="77777777" w:rsidR="003309CF" w:rsidRPr="0043712F" w:rsidRDefault="003309CF" w:rsidP="003309CF">
            <w:pPr>
              <w:autoSpaceDE w:val="0"/>
              <w:autoSpaceDN w:val="0"/>
              <w:adjustRightInd w:val="0"/>
              <w:rPr>
                <w:rFonts w:ascii="Times New Roman" w:hAnsi="Times New Roman" w:cs="Times New Roman"/>
                <w:color w:val="000000"/>
                <w:sz w:val="24"/>
                <w:lang w:val="en-GB"/>
              </w:rPr>
            </w:pPr>
            <w:r w:rsidRPr="00581203">
              <w:rPr>
                <w:rFonts w:ascii="Times New Roman" w:hAnsi="Times New Roman" w:cs="Times New Roman"/>
                <w:b/>
                <w:sz w:val="24"/>
                <w:lang w:val="en-GB"/>
              </w:rPr>
              <w:t>Explanation</w:t>
            </w:r>
          </w:p>
        </w:tc>
      </w:tr>
      <w:tr w:rsidR="003309CF" w:rsidRPr="00581203" w14:paraId="55C32E02" w14:textId="77777777" w:rsidTr="003309CF">
        <w:trPr>
          <w:trHeight w:val="971"/>
        </w:trPr>
        <w:tc>
          <w:tcPr>
            <w:tcW w:w="1384" w:type="dxa"/>
          </w:tcPr>
          <w:p w14:paraId="72A820B1" w14:textId="17082A8B" w:rsidR="003309CF" w:rsidRDefault="00150AEF" w:rsidP="003309CF">
            <w:pPr>
              <w:pStyle w:val="Applicationdirecte"/>
              <w:spacing w:before="120"/>
            </w:pPr>
            <w:r>
              <w:t>010</w:t>
            </w:r>
          </w:p>
        </w:tc>
        <w:tc>
          <w:tcPr>
            <w:tcW w:w="7655" w:type="dxa"/>
          </w:tcPr>
          <w:p w14:paraId="35E4F922" w14:textId="77777777" w:rsidR="003309CF" w:rsidRDefault="003309CF" w:rsidP="003309CF">
            <w:pPr>
              <w:pStyle w:val="Fait"/>
              <w:spacing w:after="120"/>
              <w:rPr>
                <w:rFonts w:eastAsiaTheme="minorEastAsia"/>
                <w:b/>
              </w:rPr>
            </w:pPr>
            <w:r w:rsidRPr="00224E28">
              <w:rPr>
                <w:rFonts w:eastAsiaTheme="minorEastAsia"/>
                <w:b/>
              </w:rPr>
              <w:t xml:space="preserve">Gross carrying amount </w:t>
            </w:r>
          </w:p>
          <w:p w14:paraId="2BB4E508" w14:textId="69BAB232" w:rsidR="003309CF" w:rsidRPr="00970FD7" w:rsidRDefault="00BE0A0E" w:rsidP="003309CF">
            <w:pPr>
              <w:pStyle w:val="Fait"/>
            </w:pPr>
            <w:r>
              <w:t>G</w:t>
            </w:r>
            <w:r w:rsidRPr="006172E4">
              <w:t>ross carrying amount as defined in paragraph 34 of Part 1 of Annex V to Commission Implementing Regulation (EU) 680/2014</w:t>
            </w:r>
            <w:r>
              <w:t>.</w:t>
            </w:r>
          </w:p>
        </w:tc>
      </w:tr>
      <w:tr w:rsidR="00386C3D" w:rsidRPr="00581203" w14:paraId="196682E7" w14:textId="77777777" w:rsidTr="003309CF">
        <w:trPr>
          <w:trHeight w:val="971"/>
        </w:trPr>
        <w:tc>
          <w:tcPr>
            <w:tcW w:w="1384" w:type="dxa"/>
          </w:tcPr>
          <w:p w14:paraId="5EBB38EF" w14:textId="394FDF04" w:rsidR="00386C3D" w:rsidRDefault="00150AEF" w:rsidP="003309CF">
            <w:pPr>
              <w:pStyle w:val="Applicationdirecte"/>
              <w:spacing w:before="120"/>
            </w:pPr>
            <w:r>
              <w:t>020</w:t>
            </w:r>
          </w:p>
        </w:tc>
        <w:tc>
          <w:tcPr>
            <w:tcW w:w="7655" w:type="dxa"/>
          </w:tcPr>
          <w:p w14:paraId="26E60F88" w14:textId="77777777" w:rsidR="00386C3D" w:rsidRDefault="005272A0" w:rsidP="005272A0">
            <w:pPr>
              <w:pStyle w:val="Fait"/>
              <w:spacing w:after="120"/>
              <w:ind w:left="720"/>
              <w:rPr>
                <w:rFonts w:eastAsiaTheme="minorEastAsia"/>
                <w:b/>
              </w:rPr>
            </w:pPr>
            <w:r>
              <w:rPr>
                <w:rFonts w:eastAsiaTheme="minorEastAsia"/>
                <w:b/>
              </w:rPr>
              <w:t xml:space="preserve">Of which secured </w:t>
            </w:r>
          </w:p>
          <w:p w14:paraId="403C68BF" w14:textId="7A3C8C8A" w:rsidR="00886393" w:rsidRDefault="00886393" w:rsidP="007240FA">
            <w:pPr>
              <w:pStyle w:val="Fait"/>
              <w:spacing w:after="120"/>
            </w:pPr>
            <w:r>
              <w:t xml:space="preserve">Gross carrying </w:t>
            </w:r>
            <w:r w:rsidRPr="006172E4">
              <w:t>amount</w:t>
            </w:r>
            <w:r>
              <w:t>,</w:t>
            </w:r>
            <w:r w:rsidRPr="006172E4">
              <w:t xml:space="preserve"> as defined in paragraph 34 of Part 1 of Annex V to Commission Implementing Regulation (EU)</w:t>
            </w:r>
            <w:r w:rsidR="0016712E">
              <w:t xml:space="preserve"> </w:t>
            </w:r>
            <w:r w:rsidRPr="006172E4">
              <w:t>680/2014</w:t>
            </w:r>
            <w:r>
              <w:t xml:space="preserve">, of secured and partially secured loans </w:t>
            </w:r>
            <w:proofErr w:type="gramStart"/>
            <w:r>
              <w:t xml:space="preserve">shall be </w:t>
            </w:r>
            <w:r w:rsidR="00226067">
              <w:t>disclosed</w:t>
            </w:r>
            <w:proofErr w:type="gramEnd"/>
            <w:r>
              <w:t xml:space="preserve"> in this row.</w:t>
            </w:r>
          </w:p>
          <w:p w14:paraId="381C55E6" w14:textId="7FE88EC1" w:rsidR="00BE0A0E" w:rsidRDefault="007240FA" w:rsidP="007240FA">
            <w:pPr>
              <w:pStyle w:val="Fait"/>
              <w:spacing w:after="120"/>
            </w:pPr>
            <w:r w:rsidRPr="007240FA">
              <w:t xml:space="preserve">Unsecured loans and advances should include exposures for which neither collateral </w:t>
            </w:r>
            <w:proofErr w:type="gramStart"/>
            <w:r w:rsidRPr="007240FA">
              <w:t>was pledged</w:t>
            </w:r>
            <w:proofErr w:type="gramEnd"/>
            <w:r w:rsidRPr="007240FA">
              <w:t xml:space="preserve"> nor financial guarantees were received; the unsecured part of a partially secured or partially guaranteed exposure </w:t>
            </w:r>
            <w:r w:rsidR="00A8221A">
              <w:t xml:space="preserve">shall be included in </w:t>
            </w:r>
            <w:r w:rsidR="0029471B">
              <w:t>this</w:t>
            </w:r>
            <w:r w:rsidR="00A8221A">
              <w:t xml:space="preserve"> row</w:t>
            </w:r>
            <w:r w:rsidRPr="007240FA">
              <w:t xml:space="preserve">, </w:t>
            </w:r>
            <w:r w:rsidR="008B2ED1">
              <w:t>in accordance with</w:t>
            </w:r>
            <w:r w:rsidRPr="007240FA">
              <w:t xml:space="preserve"> paragraph </w:t>
            </w:r>
            <w:r w:rsidR="0029471B">
              <w:t>323</w:t>
            </w:r>
            <w:r w:rsidRPr="007240FA">
              <w:t xml:space="preserve"> of Part 2 of Annex V to Commission Implementing Regulation (EU) 680/2014.</w:t>
            </w:r>
          </w:p>
          <w:p w14:paraId="449E2CB4" w14:textId="7A2B28EF" w:rsidR="00886393" w:rsidRDefault="007240FA" w:rsidP="00886393">
            <w:pPr>
              <w:pStyle w:val="Fait"/>
              <w:spacing w:after="120"/>
            </w:pPr>
            <w:r w:rsidRPr="007240FA">
              <w:t xml:space="preserve">Therefore, secured loans and advances </w:t>
            </w:r>
            <w:proofErr w:type="gramStart"/>
            <w:r w:rsidRPr="007240FA">
              <w:t>must be calculated</w:t>
            </w:r>
            <w:proofErr w:type="gramEnd"/>
            <w:r w:rsidRPr="007240FA">
              <w:t xml:space="preserve"> as the difference between the gross carrying amount of all loans and advances and the gross carrying amount of unsecured loans and advances</w:t>
            </w:r>
            <w:r w:rsidR="00A8221A">
              <w:t>, and will include both the secured and the unsecured part of the loan.</w:t>
            </w:r>
          </w:p>
          <w:p w14:paraId="4F8416AB" w14:textId="64CE4000" w:rsidR="00886393" w:rsidRPr="00886393" w:rsidRDefault="00886393" w:rsidP="00226067">
            <w:pPr>
              <w:pStyle w:val="Institutionquisigne"/>
              <w:spacing w:before="120" w:after="120"/>
            </w:pPr>
            <w:r>
              <w:rPr>
                <w:i w:val="0"/>
              </w:rPr>
              <w:t>I</w:t>
            </w:r>
            <w:r w:rsidRPr="00886393">
              <w:rPr>
                <w:i w:val="0"/>
              </w:rPr>
              <w:t>n case of</w:t>
            </w:r>
            <w:r>
              <w:rPr>
                <w:i w:val="0"/>
              </w:rPr>
              <w:t xml:space="preserve"> overcollateralization shall be </w:t>
            </w:r>
            <w:r w:rsidR="00226067">
              <w:rPr>
                <w:i w:val="0"/>
              </w:rPr>
              <w:t>disclosed</w:t>
            </w:r>
            <w:r>
              <w:rPr>
                <w:i w:val="0"/>
              </w:rPr>
              <w:t xml:space="preserve"> the gross carrying amount o</w:t>
            </w:r>
            <w:r w:rsidR="004907E9">
              <w:rPr>
                <w:i w:val="0"/>
              </w:rPr>
              <w:t>f the loan.</w:t>
            </w:r>
          </w:p>
        </w:tc>
      </w:tr>
      <w:tr w:rsidR="005272A0" w:rsidRPr="00581203" w14:paraId="2AEAAC9F" w14:textId="77777777" w:rsidTr="003309CF">
        <w:trPr>
          <w:trHeight w:val="971"/>
        </w:trPr>
        <w:tc>
          <w:tcPr>
            <w:tcW w:w="1384" w:type="dxa"/>
          </w:tcPr>
          <w:p w14:paraId="1D9A4F4D" w14:textId="4339E2D8" w:rsidR="005272A0" w:rsidRDefault="00150AEF" w:rsidP="003309CF">
            <w:pPr>
              <w:pStyle w:val="Applicationdirecte"/>
              <w:spacing w:before="120"/>
            </w:pPr>
            <w:r>
              <w:t>030</w:t>
            </w:r>
          </w:p>
        </w:tc>
        <w:tc>
          <w:tcPr>
            <w:tcW w:w="7655" w:type="dxa"/>
          </w:tcPr>
          <w:p w14:paraId="02D80C2C" w14:textId="77777777" w:rsidR="005272A0" w:rsidRDefault="005272A0" w:rsidP="005272A0">
            <w:pPr>
              <w:pStyle w:val="Fait"/>
              <w:spacing w:after="120"/>
              <w:ind w:left="1440"/>
              <w:rPr>
                <w:rFonts w:eastAsiaTheme="minorEastAsia"/>
                <w:b/>
              </w:rPr>
            </w:pPr>
            <w:r>
              <w:rPr>
                <w:rFonts w:eastAsiaTheme="minorEastAsia"/>
                <w:b/>
              </w:rPr>
              <w:t>Of which secured with immovable property</w:t>
            </w:r>
          </w:p>
          <w:p w14:paraId="43E10787" w14:textId="577A1E7C" w:rsidR="007240FA" w:rsidRPr="007240FA" w:rsidRDefault="007240FA" w:rsidP="007240FA">
            <w:pPr>
              <w:pStyle w:val="Fait"/>
              <w:spacing w:after="120"/>
            </w:pPr>
            <w:r w:rsidRPr="00EC4FA2">
              <w:t>Loans colla</w:t>
            </w:r>
            <w:r>
              <w:t>teralized by immovable property</w:t>
            </w:r>
            <w:r w:rsidRPr="00EC4FA2">
              <w:t xml:space="preserve"> shall include loans and advances formally secured by residential or commercial immovable property collateral, </w:t>
            </w:r>
            <w:r w:rsidRPr="00EC4FA2">
              <w:lastRenderedPageBreak/>
              <w:t>independently of their loan/collateral ratio (commonly referred as ‘loan-to-value’) and t</w:t>
            </w:r>
            <w:r>
              <w:t xml:space="preserve">he legal form of the collateral, as defined in </w:t>
            </w:r>
            <w:r w:rsidRPr="007240FA">
              <w:t xml:space="preserve">paragraph </w:t>
            </w:r>
            <w:r>
              <w:t>86(a</w:t>
            </w:r>
            <w:r w:rsidRPr="007240FA">
              <w:t>) of Part 2 of Annex V to Commission Implementing Regulation (EU)</w:t>
            </w:r>
            <w:r w:rsidR="004643EE">
              <w:t xml:space="preserve"> </w:t>
            </w:r>
            <w:r w:rsidRPr="007240FA">
              <w:t xml:space="preserve"> 680/2014.</w:t>
            </w:r>
          </w:p>
        </w:tc>
      </w:tr>
      <w:tr w:rsidR="005272A0" w:rsidRPr="00581203" w14:paraId="47BB954A" w14:textId="77777777" w:rsidTr="003309CF">
        <w:trPr>
          <w:trHeight w:val="971"/>
        </w:trPr>
        <w:tc>
          <w:tcPr>
            <w:tcW w:w="1384" w:type="dxa"/>
          </w:tcPr>
          <w:p w14:paraId="7138CC28" w14:textId="5DFC093D" w:rsidR="005272A0" w:rsidRDefault="00150AEF" w:rsidP="003309CF">
            <w:pPr>
              <w:pStyle w:val="Applicationdirecte"/>
              <w:spacing w:before="120"/>
            </w:pPr>
            <w:r>
              <w:lastRenderedPageBreak/>
              <w:t>040</w:t>
            </w:r>
          </w:p>
        </w:tc>
        <w:tc>
          <w:tcPr>
            <w:tcW w:w="7655" w:type="dxa"/>
          </w:tcPr>
          <w:p w14:paraId="6419337B" w14:textId="77777777" w:rsidR="005272A0" w:rsidRDefault="005272A0" w:rsidP="005272A0">
            <w:pPr>
              <w:pStyle w:val="Fait"/>
              <w:spacing w:after="120"/>
              <w:ind w:left="2160"/>
              <w:rPr>
                <w:rFonts w:eastAsiaTheme="minorEastAsia"/>
                <w:b/>
              </w:rPr>
            </w:pPr>
            <w:r w:rsidRPr="005272A0">
              <w:rPr>
                <w:rFonts w:eastAsiaTheme="minorEastAsia"/>
                <w:b/>
              </w:rPr>
              <w:t>Of which instruments with LTV higher than 60% and lower or equal to 80%</w:t>
            </w:r>
          </w:p>
          <w:p w14:paraId="2AFD0528" w14:textId="02F056C3" w:rsidR="005272A0" w:rsidRPr="005272A0" w:rsidRDefault="005272A0" w:rsidP="005272A0">
            <w:pPr>
              <w:pStyle w:val="Institutionquisigne"/>
              <w:spacing w:before="120"/>
              <w:rPr>
                <w:rFonts w:eastAsiaTheme="minorEastAsia"/>
              </w:rPr>
            </w:pPr>
            <w:r w:rsidRPr="005272A0">
              <w:rPr>
                <w:i w:val="0"/>
              </w:rPr>
              <w:t xml:space="preserve">The loan-to-value (LTV) </w:t>
            </w:r>
            <w:r w:rsidRPr="00D802E8">
              <w:rPr>
                <w:i w:val="0"/>
              </w:rPr>
              <w:t xml:space="preserve">ratio </w:t>
            </w:r>
            <w:proofErr w:type="gramStart"/>
            <w:r w:rsidR="0017224C" w:rsidRPr="00D802E8">
              <w:rPr>
                <w:i w:val="0"/>
              </w:rPr>
              <w:t>shall</w:t>
            </w:r>
            <w:r w:rsidRPr="00D802E8">
              <w:rPr>
                <w:i w:val="0"/>
              </w:rPr>
              <w:t xml:space="preserve"> be calculated</w:t>
            </w:r>
            <w:proofErr w:type="gramEnd"/>
            <w:r w:rsidRPr="00D802E8">
              <w:rPr>
                <w:i w:val="0"/>
              </w:rPr>
              <w:t xml:space="preserve"> using the calculation method specified for ‘LTV Current’ in the Recommendation of the European Systemic Risk Boa</w:t>
            </w:r>
            <w:r w:rsidR="004643EE">
              <w:rPr>
                <w:i w:val="0"/>
              </w:rPr>
              <w:t>rd</w:t>
            </w:r>
            <w:r w:rsidRPr="00D802E8">
              <w:rPr>
                <w:i w:val="0"/>
              </w:rPr>
              <w:t xml:space="preserve"> on closing real estate data gaps (ESRB/2016/14)</w:t>
            </w:r>
            <w:r w:rsidR="004643EE">
              <w:rPr>
                <w:rStyle w:val="FootnoteReference"/>
                <w:i w:val="0"/>
              </w:rPr>
              <w:footnoteReference w:id="6"/>
            </w:r>
            <w:r w:rsidRPr="00D802E8">
              <w:rPr>
                <w:i w:val="0"/>
              </w:rPr>
              <w:t xml:space="preserve">. Institutions </w:t>
            </w:r>
            <w:r w:rsidR="0017224C" w:rsidRPr="00D802E8">
              <w:rPr>
                <w:i w:val="0"/>
              </w:rPr>
              <w:t>shall</w:t>
            </w:r>
            <w:r w:rsidRPr="00D802E8">
              <w:rPr>
                <w:i w:val="0"/>
              </w:rPr>
              <w:t xml:space="preserve"> disclose the gross carrying amount of loans and advances having an LTV ratio higher</w:t>
            </w:r>
            <w:r w:rsidRPr="005272A0">
              <w:rPr>
                <w:i w:val="0"/>
              </w:rPr>
              <w:t xml:space="preserve"> than 60% and lower or equal to 80%.</w:t>
            </w:r>
          </w:p>
        </w:tc>
      </w:tr>
      <w:tr w:rsidR="005272A0" w:rsidRPr="00581203" w14:paraId="0C72D346" w14:textId="77777777" w:rsidTr="003309CF">
        <w:trPr>
          <w:trHeight w:val="971"/>
        </w:trPr>
        <w:tc>
          <w:tcPr>
            <w:tcW w:w="1384" w:type="dxa"/>
          </w:tcPr>
          <w:p w14:paraId="7292CC1D" w14:textId="11D0498F" w:rsidR="005272A0" w:rsidRDefault="00150AEF" w:rsidP="003309CF">
            <w:pPr>
              <w:pStyle w:val="Applicationdirecte"/>
              <w:spacing w:before="120"/>
            </w:pPr>
            <w:r>
              <w:t>050</w:t>
            </w:r>
          </w:p>
        </w:tc>
        <w:tc>
          <w:tcPr>
            <w:tcW w:w="7655" w:type="dxa"/>
          </w:tcPr>
          <w:p w14:paraId="72A34376" w14:textId="77777777" w:rsidR="005272A0" w:rsidRDefault="005272A0" w:rsidP="005272A0">
            <w:pPr>
              <w:pStyle w:val="Fait"/>
              <w:spacing w:after="120"/>
              <w:ind w:left="2160"/>
              <w:rPr>
                <w:rFonts w:eastAsiaTheme="minorEastAsia"/>
                <w:b/>
              </w:rPr>
            </w:pPr>
            <w:r w:rsidRPr="005272A0">
              <w:rPr>
                <w:rFonts w:eastAsiaTheme="minorEastAsia"/>
                <w:b/>
              </w:rPr>
              <w:t>Of which instruments with LTV higher than 80% and lower or equal to 100%</w:t>
            </w:r>
          </w:p>
          <w:p w14:paraId="04AD6E73" w14:textId="11A3C08D" w:rsidR="005272A0" w:rsidRPr="005272A0" w:rsidRDefault="005272A0" w:rsidP="005272A0">
            <w:pPr>
              <w:pStyle w:val="Institutionquisigne"/>
              <w:spacing w:before="120"/>
              <w:rPr>
                <w:rFonts w:eastAsiaTheme="minorEastAsia"/>
              </w:rPr>
            </w:pPr>
            <w:r w:rsidRPr="00D802E8">
              <w:rPr>
                <w:i w:val="0"/>
              </w:rPr>
              <w:t xml:space="preserve">Institutions </w:t>
            </w:r>
            <w:r w:rsidR="0017224C" w:rsidRPr="00D802E8">
              <w:rPr>
                <w:i w:val="0"/>
              </w:rPr>
              <w:t>shall</w:t>
            </w:r>
            <w:r w:rsidRPr="00D802E8">
              <w:rPr>
                <w:i w:val="0"/>
              </w:rPr>
              <w:t xml:space="preserve"> disclo</w:t>
            </w:r>
            <w:r w:rsidRPr="005272A0">
              <w:rPr>
                <w:i w:val="0"/>
              </w:rPr>
              <w:t>se the gross carrying amount of loans and advances having an LTV ratio higher than 80% and lower than or equal to 100%.</w:t>
            </w:r>
          </w:p>
        </w:tc>
      </w:tr>
      <w:tr w:rsidR="005272A0" w:rsidRPr="00581203" w14:paraId="376534A3" w14:textId="77777777" w:rsidTr="003309CF">
        <w:trPr>
          <w:trHeight w:val="971"/>
        </w:trPr>
        <w:tc>
          <w:tcPr>
            <w:tcW w:w="1384" w:type="dxa"/>
          </w:tcPr>
          <w:p w14:paraId="408E4D35" w14:textId="1CA2ACED" w:rsidR="005272A0" w:rsidRDefault="00150AEF" w:rsidP="003309CF">
            <w:pPr>
              <w:pStyle w:val="Applicationdirecte"/>
              <w:spacing w:before="120"/>
            </w:pPr>
            <w:r>
              <w:t>060</w:t>
            </w:r>
          </w:p>
        </w:tc>
        <w:tc>
          <w:tcPr>
            <w:tcW w:w="7655" w:type="dxa"/>
          </w:tcPr>
          <w:p w14:paraId="10684AD6" w14:textId="77777777" w:rsidR="005272A0" w:rsidRDefault="005272A0" w:rsidP="005272A0">
            <w:pPr>
              <w:pStyle w:val="Fait"/>
              <w:spacing w:after="120"/>
              <w:ind w:left="2160"/>
              <w:rPr>
                <w:rFonts w:eastAsiaTheme="minorEastAsia"/>
                <w:b/>
              </w:rPr>
            </w:pPr>
            <w:r w:rsidRPr="005272A0">
              <w:rPr>
                <w:rFonts w:eastAsiaTheme="minorEastAsia"/>
                <w:b/>
              </w:rPr>
              <w:t>Of which instruments with LTV  higher than 100%</w:t>
            </w:r>
          </w:p>
          <w:p w14:paraId="2E34B735" w14:textId="0C0BB1B6" w:rsidR="005272A0" w:rsidRPr="005272A0" w:rsidRDefault="005272A0" w:rsidP="005272A0">
            <w:pPr>
              <w:pStyle w:val="Institutionquisigne"/>
              <w:spacing w:before="120"/>
              <w:rPr>
                <w:rFonts w:eastAsiaTheme="minorEastAsia"/>
              </w:rPr>
            </w:pPr>
            <w:r w:rsidRPr="005272A0">
              <w:rPr>
                <w:i w:val="0"/>
              </w:rPr>
              <w:t>Gross carrying amount of loans and advances having a LTV ratio higher than 100%.</w:t>
            </w:r>
          </w:p>
        </w:tc>
      </w:tr>
      <w:tr w:rsidR="00DC5B0B" w:rsidRPr="00581203" w14:paraId="1ACE9A36" w14:textId="77777777" w:rsidTr="003309CF">
        <w:trPr>
          <w:trHeight w:val="316"/>
        </w:trPr>
        <w:tc>
          <w:tcPr>
            <w:tcW w:w="1384" w:type="dxa"/>
          </w:tcPr>
          <w:p w14:paraId="76640736" w14:textId="2C2D0578" w:rsidR="00DC5B0B" w:rsidRPr="0043712F" w:rsidRDefault="00150AEF" w:rsidP="003309CF">
            <w:pPr>
              <w:autoSpaceDE w:val="0"/>
              <w:autoSpaceDN w:val="0"/>
              <w:adjustRightInd w:val="0"/>
              <w:rPr>
                <w:rFonts w:ascii="Times New Roman" w:hAnsi="Times New Roman" w:cs="Times New Roman"/>
                <w:color w:val="000000"/>
                <w:sz w:val="24"/>
                <w:lang w:val="en-GB"/>
              </w:rPr>
            </w:pPr>
            <w:r>
              <w:rPr>
                <w:rFonts w:ascii="Times New Roman" w:hAnsi="Times New Roman" w:cs="Times New Roman"/>
                <w:color w:val="000000"/>
                <w:sz w:val="24"/>
                <w:lang w:val="en-GB"/>
              </w:rPr>
              <w:t>070</w:t>
            </w:r>
          </w:p>
        </w:tc>
        <w:tc>
          <w:tcPr>
            <w:tcW w:w="7655" w:type="dxa"/>
          </w:tcPr>
          <w:p w14:paraId="2C5174B2" w14:textId="77777777" w:rsidR="00DC5B0B" w:rsidRDefault="00E65D21" w:rsidP="003309CF">
            <w:pPr>
              <w:autoSpaceDE w:val="0"/>
              <w:autoSpaceDN w:val="0"/>
              <w:adjustRightInd w:val="0"/>
              <w:rPr>
                <w:rFonts w:ascii="Times New Roman" w:hAnsi="Times New Roman" w:cs="Times New Roman"/>
                <w:b/>
                <w:sz w:val="24"/>
                <w:lang w:val="en-GB"/>
              </w:rPr>
            </w:pPr>
            <w:r w:rsidRPr="00E65D21">
              <w:rPr>
                <w:rFonts w:ascii="Times New Roman" w:hAnsi="Times New Roman" w:cs="Times New Roman"/>
                <w:b/>
                <w:sz w:val="24"/>
                <w:lang w:val="en-GB"/>
              </w:rPr>
              <w:t>Accumulated impairment for secured assets</w:t>
            </w:r>
          </w:p>
          <w:p w14:paraId="79EA4879" w14:textId="593D36E7" w:rsidR="002C69A0" w:rsidRDefault="002C69A0" w:rsidP="002C69A0">
            <w:pPr>
              <w:pStyle w:val="Fait"/>
            </w:pPr>
            <w:r>
              <w:t>F</w:t>
            </w:r>
            <w:r w:rsidRPr="002C69A0">
              <w:t xml:space="preserve">or secured debt instruments, accumulated impairment </w:t>
            </w:r>
            <w:proofErr w:type="gramStart"/>
            <w:r w:rsidR="0017224C" w:rsidRPr="00D802E8">
              <w:t>shall</w:t>
            </w:r>
            <w:r w:rsidRPr="002C69A0">
              <w:t xml:space="preserve"> be calculated</w:t>
            </w:r>
            <w:proofErr w:type="gramEnd"/>
            <w:r w:rsidRPr="002C69A0">
              <w:t xml:space="preserve"> as the cumulative amount of impairment losses, net of use and reversals that has been recognised, where appropriate for each of the impairment stages (paragraph 70 of Part 2 of Annex V to Commission Implementing Regulation (EU) 680/2014).</w:t>
            </w:r>
          </w:p>
          <w:p w14:paraId="7675A883" w14:textId="33F78504" w:rsidR="00FA6CE5" w:rsidRPr="00FA6CE5" w:rsidRDefault="00FA6CE5" w:rsidP="00FA6CE5">
            <w:pPr>
              <w:pStyle w:val="Fait"/>
              <w:rPr>
                <w:b/>
              </w:rPr>
            </w:pPr>
            <w:r>
              <w:t xml:space="preserve">The accumulated impairment related to </w:t>
            </w:r>
            <w:r w:rsidRPr="007240FA">
              <w:t xml:space="preserve">the unsecured part of a partially secured or partially guaranteed exposure </w:t>
            </w:r>
            <w:r>
              <w:t>shall be included in this row.</w:t>
            </w:r>
          </w:p>
        </w:tc>
      </w:tr>
      <w:tr w:rsidR="00DC5B0B" w:rsidRPr="00581203" w14:paraId="1D56FF14" w14:textId="77777777" w:rsidTr="003309CF">
        <w:trPr>
          <w:trHeight w:val="316"/>
        </w:trPr>
        <w:tc>
          <w:tcPr>
            <w:tcW w:w="1384" w:type="dxa"/>
          </w:tcPr>
          <w:p w14:paraId="07736449" w14:textId="5DE807D5" w:rsidR="00DC5B0B" w:rsidRPr="0043712F" w:rsidRDefault="00150AEF" w:rsidP="003309CF">
            <w:pPr>
              <w:autoSpaceDE w:val="0"/>
              <w:autoSpaceDN w:val="0"/>
              <w:adjustRightInd w:val="0"/>
              <w:rPr>
                <w:rFonts w:ascii="Times New Roman" w:hAnsi="Times New Roman" w:cs="Times New Roman"/>
                <w:color w:val="000000"/>
                <w:sz w:val="24"/>
                <w:lang w:val="en-GB"/>
              </w:rPr>
            </w:pPr>
            <w:r>
              <w:rPr>
                <w:rFonts w:ascii="Times New Roman" w:hAnsi="Times New Roman" w:cs="Times New Roman"/>
                <w:color w:val="000000"/>
                <w:sz w:val="24"/>
                <w:lang w:val="en-GB"/>
              </w:rPr>
              <w:t>090</w:t>
            </w:r>
          </w:p>
        </w:tc>
        <w:tc>
          <w:tcPr>
            <w:tcW w:w="7655" w:type="dxa"/>
          </w:tcPr>
          <w:p w14:paraId="0D76426B" w14:textId="77777777" w:rsidR="00DC5B0B" w:rsidRDefault="002C69A0" w:rsidP="003309CF">
            <w:pPr>
              <w:autoSpaceDE w:val="0"/>
              <w:autoSpaceDN w:val="0"/>
              <w:adjustRightInd w:val="0"/>
              <w:rPr>
                <w:rFonts w:ascii="Times New Roman" w:hAnsi="Times New Roman" w:cs="Times New Roman"/>
                <w:b/>
                <w:sz w:val="24"/>
                <w:lang w:val="en-GB"/>
              </w:rPr>
            </w:pPr>
            <w:r w:rsidRPr="002C69A0">
              <w:rPr>
                <w:rFonts w:ascii="Times New Roman" w:hAnsi="Times New Roman" w:cs="Times New Roman"/>
                <w:b/>
                <w:sz w:val="24"/>
                <w:lang w:val="en-GB"/>
              </w:rPr>
              <w:t>Collateral – of which value capped at the value of exposure</w:t>
            </w:r>
          </w:p>
          <w:p w14:paraId="70DB04E0" w14:textId="17B96F70" w:rsidR="002C69A0" w:rsidRPr="003309CF" w:rsidRDefault="002C69A0" w:rsidP="00D802E8">
            <w:pPr>
              <w:pStyle w:val="Fait"/>
              <w:rPr>
                <w:b/>
              </w:rPr>
            </w:pPr>
            <w:r>
              <w:t>A</w:t>
            </w:r>
            <w:r w:rsidRPr="002C69A0">
              <w:t xml:space="preserve">mounts </w:t>
            </w:r>
            <w:r w:rsidR="00D802E8">
              <w:t>disclosed</w:t>
            </w:r>
            <w:r w:rsidRPr="002C69A0">
              <w:t xml:space="preserve"> for collateral receive</w:t>
            </w:r>
            <w:r w:rsidRPr="00D802E8">
              <w:t xml:space="preserve">d </w:t>
            </w:r>
            <w:proofErr w:type="gramStart"/>
            <w:r w:rsidR="0017224C" w:rsidRPr="00D802E8">
              <w:t>shall</w:t>
            </w:r>
            <w:r w:rsidRPr="00D802E8">
              <w:t xml:space="preserve"> be calculated</w:t>
            </w:r>
            <w:proofErr w:type="gramEnd"/>
            <w:r w:rsidRPr="00D802E8">
              <w:t xml:space="preserve"> in accordance with paragraph 239 of Part 2 of Annex V to Commission Implementing Regulation (EU) 680/2014. The sum of the amounts </w:t>
            </w:r>
            <w:r w:rsidR="00D802E8" w:rsidRPr="00D802E8">
              <w:t>disclosed</w:t>
            </w:r>
            <w:r w:rsidRPr="00D802E8">
              <w:t xml:space="preserve"> for collateral in this row </w:t>
            </w:r>
            <w:proofErr w:type="gramStart"/>
            <w:r w:rsidR="0017224C" w:rsidRPr="00D802E8">
              <w:t>shall</w:t>
            </w:r>
            <w:r w:rsidRPr="00D802E8">
              <w:t xml:space="preserve"> be capped</w:t>
            </w:r>
            <w:proofErr w:type="gramEnd"/>
            <w:r w:rsidRPr="00D802E8">
              <w:t xml:space="preserve"> at the carrying amount</w:t>
            </w:r>
            <w:r w:rsidRPr="002C69A0">
              <w:t xml:space="preserve"> of the related exposure.</w:t>
            </w:r>
          </w:p>
        </w:tc>
      </w:tr>
      <w:tr w:rsidR="002C69A0" w:rsidRPr="00581203" w14:paraId="600EA7CE" w14:textId="77777777" w:rsidTr="003309CF">
        <w:trPr>
          <w:trHeight w:val="316"/>
        </w:trPr>
        <w:tc>
          <w:tcPr>
            <w:tcW w:w="1384" w:type="dxa"/>
          </w:tcPr>
          <w:p w14:paraId="721F1BC0" w14:textId="4181A6D6" w:rsidR="002C69A0" w:rsidRPr="0043712F" w:rsidRDefault="00150AEF" w:rsidP="003309CF">
            <w:pPr>
              <w:autoSpaceDE w:val="0"/>
              <w:autoSpaceDN w:val="0"/>
              <w:adjustRightInd w:val="0"/>
              <w:rPr>
                <w:rFonts w:ascii="Times New Roman" w:hAnsi="Times New Roman" w:cs="Times New Roman"/>
                <w:color w:val="000000"/>
                <w:sz w:val="24"/>
                <w:lang w:val="en-GB"/>
              </w:rPr>
            </w:pPr>
            <w:r>
              <w:rPr>
                <w:rFonts w:ascii="Times New Roman" w:hAnsi="Times New Roman" w:cs="Times New Roman"/>
                <w:color w:val="000000"/>
                <w:sz w:val="24"/>
                <w:lang w:val="en-GB"/>
              </w:rPr>
              <w:t>100</w:t>
            </w:r>
          </w:p>
        </w:tc>
        <w:tc>
          <w:tcPr>
            <w:tcW w:w="7655" w:type="dxa"/>
          </w:tcPr>
          <w:p w14:paraId="7E4175AE" w14:textId="77777777" w:rsidR="002C69A0" w:rsidRPr="00D802E8" w:rsidRDefault="002C69A0" w:rsidP="00150AEF">
            <w:pPr>
              <w:autoSpaceDE w:val="0"/>
              <w:autoSpaceDN w:val="0"/>
              <w:adjustRightInd w:val="0"/>
              <w:ind w:left="720"/>
              <w:rPr>
                <w:rFonts w:ascii="Times New Roman" w:hAnsi="Times New Roman" w:cs="Times New Roman"/>
                <w:b/>
                <w:sz w:val="24"/>
                <w:lang w:val="en-GB"/>
              </w:rPr>
            </w:pPr>
            <w:r w:rsidRPr="00D802E8">
              <w:rPr>
                <w:rFonts w:ascii="Times New Roman" w:hAnsi="Times New Roman" w:cs="Times New Roman"/>
                <w:b/>
                <w:sz w:val="24"/>
                <w:lang w:val="en-GB"/>
              </w:rPr>
              <w:t>Of which immovable property</w:t>
            </w:r>
          </w:p>
          <w:p w14:paraId="2E78818C" w14:textId="14BD281C" w:rsidR="002C69A0" w:rsidRPr="00D802E8" w:rsidRDefault="002C69A0" w:rsidP="00D802E8">
            <w:pPr>
              <w:pStyle w:val="Fait"/>
              <w:rPr>
                <w:b/>
              </w:rPr>
            </w:pPr>
            <w:r w:rsidRPr="00D802E8">
              <w:t xml:space="preserve">The part of the collateral consisting of residential or commercial immovable property (point (a) of paragraph 173 of Part 2 of Annex V to Commission Implementing Regulation (EU) 680/2014). The sum of the amounts </w:t>
            </w:r>
            <w:r w:rsidR="00D802E8" w:rsidRPr="00D802E8">
              <w:t>disclosed</w:t>
            </w:r>
            <w:r w:rsidRPr="00D802E8">
              <w:t xml:space="preserve"> for collateral in this row </w:t>
            </w:r>
            <w:proofErr w:type="gramStart"/>
            <w:r w:rsidR="0017224C" w:rsidRPr="00D802E8">
              <w:t>shall</w:t>
            </w:r>
            <w:r w:rsidRPr="00D802E8">
              <w:t xml:space="preserve"> be capped</w:t>
            </w:r>
            <w:proofErr w:type="gramEnd"/>
            <w:r w:rsidRPr="00D802E8">
              <w:t xml:space="preserve"> at the carrying amount of the related exposure.</w:t>
            </w:r>
          </w:p>
        </w:tc>
      </w:tr>
      <w:tr w:rsidR="002C69A0" w:rsidRPr="00581203" w14:paraId="7B656C11" w14:textId="77777777" w:rsidTr="003309CF">
        <w:trPr>
          <w:trHeight w:val="316"/>
        </w:trPr>
        <w:tc>
          <w:tcPr>
            <w:tcW w:w="1384" w:type="dxa"/>
          </w:tcPr>
          <w:p w14:paraId="587A3154" w14:textId="3529E6C5" w:rsidR="002C69A0" w:rsidRPr="0043712F" w:rsidRDefault="00150AEF" w:rsidP="003309CF">
            <w:pPr>
              <w:autoSpaceDE w:val="0"/>
              <w:autoSpaceDN w:val="0"/>
              <w:adjustRightInd w:val="0"/>
              <w:rPr>
                <w:rFonts w:ascii="Times New Roman" w:hAnsi="Times New Roman" w:cs="Times New Roman"/>
                <w:color w:val="000000"/>
                <w:sz w:val="24"/>
                <w:lang w:val="en-GB"/>
              </w:rPr>
            </w:pPr>
            <w:r>
              <w:rPr>
                <w:rFonts w:ascii="Times New Roman" w:hAnsi="Times New Roman" w:cs="Times New Roman"/>
                <w:color w:val="000000"/>
                <w:sz w:val="24"/>
                <w:lang w:val="en-GB"/>
              </w:rPr>
              <w:t>110</w:t>
            </w:r>
          </w:p>
        </w:tc>
        <w:tc>
          <w:tcPr>
            <w:tcW w:w="7655" w:type="dxa"/>
          </w:tcPr>
          <w:p w14:paraId="0C6386B0" w14:textId="77777777" w:rsidR="002C69A0" w:rsidRPr="00D802E8" w:rsidRDefault="002C69A0" w:rsidP="003309CF">
            <w:pPr>
              <w:autoSpaceDE w:val="0"/>
              <w:autoSpaceDN w:val="0"/>
              <w:adjustRightInd w:val="0"/>
              <w:rPr>
                <w:rFonts w:ascii="Times New Roman" w:hAnsi="Times New Roman" w:cs="Times New Roman"/>
                <w:b/>
                <w:sz w:val="24"/>
                <w:lang w:val="en-GB"/>
              </w:rPr>
            </w:pPr>
            <w:r w:rsidRPr="00D802E8">
              <w:rPr>
                <w:rFonts w:ascii="Times New Roman" w:hAnsi="Times New Roman" w:cs="Times New Roman"/>
                <w:b/>
                <w:sz w:val="24"/>
                <w:lang w:val="en-GB"/>
              </w:rPr>
              <w:t>Collateral – of which value above the cap</w:t>
            </w:r>
          </w:p>
          <w:p w14:paraId="62C35A20" w14:textId="37B8718B" w:rsidR="002C69A0" w:rsidRPr="00D802E8" w:rsidRDefault="002C69A0" w:rsidP="002C69A0">
            <w:pPr>
              <w:pStyle w:val="Fait"/>
              <w:rPr>
                <w:b/>
              </w:rPr>
            </w:pPr>
            <w:r w:rsidRPr="00D802E8">
              <w:t xml:space="preserve">In this row, the difference between the actual value of the collateral and the capped value of the collateral </w:t>
            </w:r>
            <w:r w:rsidR="00FD19E0">
              <w:t xml:space="preserve">(carrying amount of the related exposure) </w:t>
            </w:r>
            <w:r w:rsidR="0017224C" w:rsidRPr="00D802E8">
              <w:t>shall</w:t>
            </w:r>
            <w:r w:rsidRPr="00D802E8">
              <w:t xml:space="preserve"> be disclosed (institutions </w:t>
            </w:r>
            <w:r w:rsidR="0017224C" w:rsidRPr="00D802E8">
              <w:t>shall</w:t>
            </w:r>
            <w:r w:rsidRPr="00D802E8">
              <w:t xml:space="preserve"> not apply for the calculation of the actual value </w:t>
            </w:r>
            <w:r w:rsidRPr="00D802E8">
              <w:lastRenderedPageBreak/>
              <w:t>of the collateral paragraph 239 of Part 2 of Annex V to Commission Implementing Regulation (EU)  680/2014).</w:t>
            </w:r>
          </w:p>
        </w:tc>
      </w:tr>
      <w:tr w:rsidR="002C69A0" w:rsidRPr="00581203" w14:paraId="67B7EB89" w14:textId="77777777" w:rsidTr="003309CF">
        <w:trPr>
          <w:trHeight w:val="316"/>
        </w:trPr>
        <w:tc>
          <w:tcPr>
            <w:tcW w:w="1384" w:type="dxa"/>
          </w:tcPr>
          <w:p w14:paraId="218EF0A2" w14:textId="45C14D03" w:rsidR="002C69A0" w:rsidRPr="0043712F" w:rsidRDefault="00150AEF" w:rsidP="003309CF">
            <w:pPr>
              <w:autoSpaceDE w:val="0"/>
              <w:autoSpaceDN w:val="0"/>
              <w:adjustRightInd w:val="0"/>
              <w:rPr>
                <w:rFonts w:ascii="Times New Roman" w:hAnsi="Times New Roman" w:cs="Times New Roman"/>
                <w:color w:val="000000"/>
                <w:sz w:val="24"/>
                <w:lang w:val="en-GB"/>
              </w:rPr>
            </w:pPr>
            <w:r>
              <w:rPr>
                <w:rFonts w:ascii="Times New Roman" w:hAnsi="Times New Roman" w:cs="Times New Roman"/>
                <w:color w:val="000000"/>
                <w:sz w:val="24"/>
                <w:lang w:val="en-GB"/>
              </w:rPr>
              <w:lastRenderedPageBreak/>
              <w:t>120</w:t>
            </w:r>
          </w:p>
        </w:tc>
        <w:tc>
          <w:tcPr>
            <w:tcW w:w="7655" w:type="dxa"/>
          </w:tcPr>
          <w:p w14:paraId="0EB5106C" w14:textId="77777777" w:rsidR="002C69A0" w:rsidRDefault="002C69A0" w:rsidP="00150AEF">
            <w:pPr>
              <w:autoSpaceDE w:val="0"/>
              <w:autoSpaceDN w:val="0"/>
              <w:adjustRightInd w:val="0"/>
              <w:ind w:left="720"/>
              <w:rPr>
                <w:rFonts w:ascii="Times New Roman" w:hAnsi="Times New Roman" w:cs="Times New Roman"/>
                <w:b/>
                <w:sz w:val="24"/>
                <w:lang w:val="en-GB"/>
              </w:rPr>
            </w:pPr>
            <w:r w:rsidRPr="002C69A0">
              <w:rPr>
                <w:rFonts w:ascii="Times New Roman" w:hAnsi="Times New Roman" w:cs="Times New Roman"/>
                <w:b/>
                <w:sz w:val="24"/>
                <w:lang w:val="en-GB"/>
              </w:rPr>
              <w:t>Of which immovable property</w:t>
            </w:r>
          </w:p>
          <w:p w14:paraId="03B23C17" w14:textId="39E8C441" w:rsidR="002C69A0" w:rsidRPr="002C69A0" w:rsidRDefault="002C69A0" w:rsidP="002C69A0">
            <w:pPr>
              <w:pStyle w:val="Fait"/>
              <w:rPr>
                <w:b/>
              </w:rPr>
            </w:pPr>
            <w:r w:rsidRPr="002C69A0">
              <w:t>The difference between the actual value and the capped value of the part of the collateral consisting of residential or commercial immovable property (point (a) of paragraph 173 of Part 2 of Annex V to Commission Implementing Regulation (EU) 680/2014).</w:t>
            </w:r>
          </w:p>
        </w:tc>
      </w:tr>
      <w:tr w:rsidR="002C69A0" w:rsidRPr="00581203" w14:paraId="2A774F0F" w14:textId="77777777" w:rsidTr="003309CF">
        <w:trPr>
          <w:trHeight w:val="316"/>
        </w:trPr>
        <w:tc>
          <w:tcPr>
            <w:tcW w:w="1384" w:type="dxa"/>
          </w:tcPr>
          <w:p w14:paraId="4B380BBA" w14:textId="6A5CAD1B" w:rsidR="002C69A0" w:rsidRPr="0043712F" w:rsidRDefault="00150AEF" w:rsidP="003309CF">
            <w:pPr>
              <w:autoSpaceDE w:val="0"/>
              <w:autoSpaceDN w:val="0"/>
              <w:adjustRightInd w:val="0"/>
              <w:rPr>
                <w:rFonts w:ascii="Times New Roman" w:hAnsi="Times New Roman" w:cs="Times New Roman"/>
                <w:color w:val="000000"/>
                <w:sz w:val="24"/>
                <w:lang w:val="en-GB"/>
              </w:rPr>
            </w:pPr>
            <w:r>
              <w:rPr>
                <w:rFonts w:ascii="Times New Roman" w:hAnsi="Times New Roman" w:cs="Times New Roman"/>
                <w:color w:val="000000"/>
                <w:sz w:val="24"/>
                <w:lang w:val="en-GB"/>
              </w:rPr>
              <w:t>130</w:t>
            </w:r>
          </w:p>
        </w:tc>
        <w:tc>
          <w:tcPr>
            <w:tcW w:w="7655" w:type="dxa"/>
          </w:tcPr>
          <w:p w14:paraId="599E9293" w14:textId="77777777" w:rsidR="002C69A0" w:rsidRDefault="002C69A0" w:rsidP="003309CF">
            <w:pPr>
              <w:autoSpaceDE w:val="0"/>
              <w:autoSpaceDN w:val="0"/>
              <w:adjustRightInd w:val="0"/>
              <w:rPr>
                <w:rFonts w:ascii="Times New Roman" w:hAnsi="Times New Roman" w:cs="Times New Roman"/>
                <w:b/>
                <w:sz w:val="24"/>
                <w:lang w:val="en-GB"/>
              </w:rPr>
            </w:pPr>
            <w:r w:rsidRPr="002C69A0">
              <w:rPr>
                <w:rFonts w:ascii="Times New Roman" w:hAnsi="Times New Roman" w:cs="Times New Roman"/>
                <w:b/>
                <w:sz w:val="24"/>
                <w:lang w:val="en-GB"/>
              </w:rPr>
              <w:t>Financial guarantees received</w:t>
            </w:r>
          </w:p>
          <w:p w14:paraId="4026C599" w14:textId="55C35A63" w:rsidR="002C69A0" w:rsidRPr="002C69A0" w:rsidRDefault="002C69A0" w:rsidP="002C69A0">
            <w:pPr>
              <w:pStyle w:val="Fait"/>
              <w:rPr>
                <w:b/>
              </w:rPr>
            </w:pPr>
            <w:r>
              <w:t>A</w:t>
            </w:r>
            <w:r w:rsidRPr="002C69A0">
              <w:t>s defined in paragraph 114 of Part 2 of Annex V to Commission Implementing Regulation (EU) 680/2014.</w:t>
            </w:r>
          </w:p>
        </w:tc>
      </w:tr>
      <w:tr w:rsidR="00DC5B0B" w:rsidRPr="00581203" w14:paraId="49EE446A" w14:textId="77777777" w:rsidTr="003309CF">
        <w:trPr>
          <w:trHeight w:val="316"/>
        </w:trPr>
        <w:tc>
          <w:tcPr>
            <w:tcW w:w="1384" w:type="dxa"/>
          </w:tcPr>
          <w:p w14:paraId="42D09952" w14:textId="4143920F" w:rsidR="00DC5B0B" w:rsidRPr="0043712F" w:rsidRDefault="00150AEF" w:rsidP="003309CF">
            <w:pPr>
              <w:autoSpaceDE w:val="0"/>
              <w:autoSpaceDN w:val="0"/>
              <w:adjustRightInd w:val="0"/>
              <w:rPr>
                <w:rFonts w:ascii="Times New Roman" w:hAnsi="Times New Roman" w:cs="Times New Roman"/>
                <w:color w:val="000000"/>
                <w:sz w:val="24"/>
                <w:lang w:val="en-GB"/>
              </w:rPr>
            </w:pPr>
            <w:r>
              <w:rPr>
                <w:rFonts w:ascii="Times New Roman" w:hAnsi="Times New Roman" w:cs="Times New Roman"/>
                <w:color w:val="000000"/>
                <w:sz w:val="24"/>
                <w:lang w:val="en-GB"/>
              </w:rPr>
              <w:t>140</w:t>
            </w:r>
          </w:p>
        </w:tc>
        <w:tc>
          <w:tcPr>
            <w:tcW w:w="7655" w:type="dxa"/>
          </w:tcPr>
          <w:p w14:paraId="50F97DDD" w14:textId="77777777" w:rsidR="00DC5B0B" w:rsidRDefault="002C69A0" w:rsidP="003309CF">
            <w:pPr>
              <w:autoSpaceDE w:val="0"/>
              <w:autoSpaceDN w:val="0"/>
              <w:adjustRightInd w:val="0"/>
              <w:rPr>
                <w:rFonts w:ascii="Times New Roman" w:hAnsi="Times New Roman" w:cs="Times New Roman"/>
                <w:b/>
                <w:sz w:val="24"/>
                <w:lang w:val="en-GB"/>
              </w:rPr>
            </w:pPr>
            <w:r w:rsidRPr="002C69A0">
              <w:rPr>
                <w:rFonts w:ascii="Times New Roman" w:hAnsi="Times New Roman" w:cs="Times New Roman"/>
                <w:b/>
                <w:sz w:val="24"/>
                <w:lang w:val="en-GB"/>
              </w:rPr>
              <w:t>Accumulated partial write-off</w:t>
            </w:r>
          </w:p>
          <w:p w14:paraId="4C323FBC" w14:textId="426F5C69" w:rsidR="00E37B7A" w:rsidRDefault="00E37B7A" w:rsidP="00C51B2A">
            <w:pPr>
              <w:pStyle w:val="Fait"/>
            </w:pPr>
            <w:proofErr w:type="gramStart"/>
            <w:r w:rsidRPr="00962B68">
              <w:t xml:space="preserve">This is to include the accumulated partial amount at the reference date of principal and accrued past-due interest and fees for any debt instrument that has been de-recognised to date using either of the methods described in paragraph 74 of Part 2 of Annex V to Commission Implementing Regulation (EU) 680/2014, to be </w:t>
            </w:r>
            <w:r w:rsidR="00D802E8">
              <w:t>disclosed</w:t>
            </w:r>
            <w:r w:rsidRPr="00962B68">
              <w:t xml:space="preserve"> because the institution has no reasonable expectation of recovering the contractual cash flows.</w:t>
            </w:r>
            <w:proofErr w:type="gramEnd"/>
            <w:r w:rsidRPr="00962B68">
              <w:t xml:space="preserve"> These amounts are to </w:t>
            </w:r>
            <w:proofErr w:type="gramStart"/>
            <w:r w:rsidRPr="00962B68">
              <w:t xml:space="preserve">be </w:t>
            </w:r>
            <w:r w:rsidR="00D802E8">
              <w:t>disclosed</w:t>
            </w:r>
            <w:proofErr w:type="gramEnd"/>
            <w:r w:rsidRPr="00962B68">
              <w:t xml:space="preserve"> until the total extinguishment of all the institution’s rights by expiry of the statute-of-limitations period, forgiveness or another cause, or until recovery. Therefore, where the written-off amounts </w:t>
            </w:r>
            <w:proofErr w:type="gramStart"/>
            <w:r w:rsidRPr="00962B68">
              <w:t>are not recovered</w:t>
            </w:r>
            <w:proofErr w:type="gramEnd"/>
            <w:r w:rsidRPr="00962B68">
              <w:t xml:space="preserve">, they are to be </w:t>
            </w:r>
            <w:r w:rsidR="00D802E8">
              <w:t>disclosed</w:t>
            </w:r>
            <w:r w:rsidRPr="00962B68">
              <w:t xml:space="preserve"> while they are subject to enforcement activities.</w:t>
            </w:r>
          </w:p>
          <w:p w14:paraId="5796A96B" w14:textId="3EC3FA12" w:rsidR="002C69A0" w:rsidRPr="002C69A0" w:rsidRDefault="00E37B7A" w:rsidP="00E37B7A">
            <w:pPr>
              <w:pStyle w:val="Fait"/>
            </w:pPr>
            <w:r w:rsidRPr="00FB79AA">
              <w:t>Write-offs constitute a de-recognition event and relate to a financial asset in its entirety or (in the case of a partial write-off) to a portion of it, including where the modification of an asset leads the institution to give up its right to collect cash flows either on a portion or on the entirety of that asset.</w:t>
            </w:r>
          </w:p>
        </w:tc>
      </w:tr>
    </w:tbl>
    <w:p w14:paraId="3763807A" w14:textId="77777777" w:rsidR="003309CF" w:rsidRPr="0043712F" w:rsidRDefault="003309CF" w:rsidP="003309CF">
      <w:pPr>
        <w:rPr>
          <w:rFonts w:ascii="Times New Roman" w:hAnsi="Times New Roman" w:cs="Times New Roman"/>
          <w:sz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3309CF" w:rsidRPr="00581203" w14:paraId="06A6553A" w14:textId="77777777" w:rsidTr="003309CF">
        <w:trPr>
          <w:trHeight w:val="238"/>
        </w:trPr>
        <w:tc>
          <w:tcPr>
            <w:tcW w:w="9039" w:type="dxa"/>
            <w:gridSpan w:val="2"/>
            <w:shd w:val="clear" w:color="auto" w:fill="D9D9D9" w:themeFill="background1" w:themeFillShade="D9"/>
          </w:tcPr>
          <w:p w14:paraId="7F449F75" w14:textId="77777777" w:rsidR="003309CF" w:rsidRPr="00581203" w:rsidRDefault="003309CF" w:rsidP="003309CF">
            <w:pPr>
              <w:autoSpaceDE w:val="0"/>
              <w:autoSpaceDN w:val="0"/>
              <w:adjustRightInd w:val="0"/>
              <w:rPr>
                <w:rFonts w:ascii="Times New Roman" w:hAnsi="Times New Roman" w:cs="Times New Roman"/>
                <w:b/>
                <w:sz w:val="24"/>
                <w:lang w:val="en-GB"/>
              </w:rPr>
            </w:pPr>
            <w:r w:rsidRPr="00581203">
              <w:rPr>
                <w:rFonts w:ascii="Times New Roman" w:hAnsi="Times New Roman" w:cs="Times New Roman"/>
                <w:b/>
                <w:sz w:val="24"/>
                <w:lang w:val="en-GB"/>
              </w:rPr>
              <w:t>Legal references and instructions</w:t>
            </w:r>
          </w:p>
        </w:tc>
      </w:tr>
      <w:tr w:rsidR="003309CF" w:rsidRPr="00581203" w14:paraId="4429BBAB" w14:textId="77777777" w:rsidTr="003309CF">
        <w:trPr>
          <w:trHeight w:val="238"/>
        </w:trPr>
        <w:tc>
          <w:tcPr>
            <w:tcW w:w="1384" w:type="dxa"/>
            <w:shd w:val="clear" w:color="auto" w:fill="D9D9D9" w:themeFill="background1" w:themeFillShade="D9"/>
          </w:tcPr>
          <w:p w14:paraId="36204027" w14:textId="77777777" w:rsidR="003309CF" w:rsidRPr="00581203" w:rsidRDefault="003309CF" w:rsidP="003309CF">
            <w:pPr>
              <w:autoSpaceDE w:val="0"/>
              <w:autoSpaceDN w:val="0"/>
              <w:adjustRightInd w:val="0"/>
              <w:rPr>
                <w:rFonts w:ascii="Times New Roman" w:hAnsi="Times New Roman" w:cs="Times New Roman"/>
                <w:b/>
                <w:sz w:val="24"/>
                <w:lang w:val="en-GB"/>
              </w:rPr>
            </w:pPr>
            <w:r w:rsidRPr="00150AEF">
              <w:rPr>
                <w:rFonts w:ascii="Times New Roman" w:hAnsi="Times New Roman" w:cs="Times New Roman"/>
                <w:b/>
                <w:sz w:val="24"/>
                <w:lang w:val="en-GB"/>
              </w:rPr>
              <w:t>Column number</w:t>
            </w:r>
          </w:p>
        </w:tc>
        <w:tc>
          <w:tcPr>
            <w:tcW w:w="7655" w:type="dxa"/>
            <w:shd w:val="clear" w:color="auto" w:fill="D9D9D9" w:themeFill="background1" w:themeFillShade="D9"/>
          </w:tcPr>
          <w:p w14:paraId="0E49E6D9" w14:textId="77777777" w:rsidR="003309CF" w:rsidRPr="004D3597" w:rsidRDefault="003309CF" w:rsidP="003309CF">
            <w:pPr>
              <w:autoSpaceDE w:val="0"/>
              <w:autoSpaceDN w:val="0"/>
              <w:adjustRightInd w:val="0"/>
              <w:rPr>
                <w:rFonts w:ascii="Times New Roman" w:hAnsi="Times New Roman" w:cs="Times New Roman"/>
                <w:b/>
                <w:sz w:val="24"/>
                <w:lang w:val="en-GB"/>
              </w:rPr>
            </w:pPr>
            <w:r w:rsidRPr="00581203">
              <w:rPr>
                <w:rFonts w:ascii="Times New Roman" w:hAnsi="Times New Roman" w:cs="Times New Roman"/>
                <w:b/>
                <w:sz w:val="24"/>
                <w:lang w:val="en-GB"/>
              </w:rPr>
              <w:t>Explanation</w:t>
            </w:r>
          </w:p>
        </w:tc>
      </w:tr>
      <w:tr w:rsidR="00150AEF" w:rsidRPr="00581203" w14:paraId="25663727" w14:textId="77777777" w:rsidTr="003309CF">
        <w:trPr>
          <w:trHeight w:val="841"/>
        </w:trPr>
        <w:tc>
          <w:tcPr>
            <w:tcW w:w="1384" w:type="dxa"/>
          </w:tcPr>
          <w:p w14:paraId="22261ADE" w14:textId="35EC8952" w:rsidR="00150AEF" w:rsidRDefault="003E3374" w:rsidP="003309CF">
            <w:pPr>
              <w:pStyle w:val="Applicationdirecte"/>
              <w:spacing w:before="120"/>
            </w:pPr>
            <w:r>
              <w:t>a</w:t>
            </w:r>
          </w:p>
        </w:tc>
        <w:tc>
          <w:tcPr>
            <w:tcW w:w="7655" w:type="dxa"/>
          </w:tcPr>
          <w:p w14:paraId="08F3BA8A" w14:textId="77777777" w:rsidR="00150AEF" w:rsidRDefault="00150AEF" w:rsidP="003309CF">
            <w:pPr>
              <w:pStyle w:val="Institutionquisigne"/>
              <w:spacing w:before="120"/>
              <w:rPr>
                <w:rFonts w:eastAsiaTheme="minorEastAsia"/>
                <w:b/>
                <w:i w:val="0"/>
              </w:rPr>
            </w:pPr>
            <w:r>
              <w:rPr>
                <w:rFonts w:eastAsiaTheme="minorEastAsia"/>
                <w:b/>
                <w:i w:val="0"/>
              </w:rPr>
              <w:t>Loans and advances</w:t>
            </w:r>
          </w:p>
          <w:p w14:paraId="2AE16ED9" w14:textId="406C7545" w:rsidR="00E37B7A" w:rsidRPr="00E37B7A" w:rsidRDefault="007240FA" w:rsidP="00E37B7A">
            <w:pPr>
              <w:pStyle w:val="Fait"/>
              <w:rPr>
                <w:rFonts w:eastAsiaTheme="minorEastAsia"/>
              </w:rPr>
            </w:pPr>
            <w:r>
              <w:t>S</w:t>
            </w:r>
            <w:r w:rsidRPr="00E24BBD">
              <w:t xml:space="preserve">ee the definition in Template </w:t>
            </w:r>
            <w:r w:rsidR="00CD3AD5" w:rsidRPr="00CD3AD5">
              <w:t>EU CR1: Performing and non-performing exposures and related provisions</w:t>
            </w:r>
            <w:r w:rsidRPr="00E24BBD">
              <w:t>.</w:t>
            </w:r>
          </w:p>
        </w:tc>
      </w:tr>
      <w:tr w:rsidR="00150AEF" w:rsidRPr="00581203" w14:paraId="0553C52C" w14:textId="77777777" w:rsidTr="003309CF">
        <w:trPr>
          <w:trHeight w:val="841"/>
        </w:trPr>
        <w:tc>
          <w:tcPr>
            <w:tcW w:w="1384" w:type="dxa"/>
          </w:tcPr>
          <w:p w14:paraId="65A43695" w14:textId="4E5CEA6D" w:rsidR="00150AEF" w:rsidRDefault="003E3374" w:rsidP="003309CF">
            <w:pPr>
              <w:pStyle w:val="Applicationdirecte"/>
              <w:spacing w:before="120"/>
            </w:pPr>
            <w:r>
              <w:t>b</w:t>
            </w:r>
          </w:p>
        </w:tc>
        <w:tc>
          <w:tcPr>
            <w:tcW w:w="7655" w:type="dxa"/>
          </w:tcPr>
          <w:p w14:paraId="61179B13" w14:textId="77777777" w:rsidR="00150AEF" w:rsidRDefault="00150AEF" w:rsidP="003309CF">
            <w:pPr>
              <w:pStyle w:val="Institutionquisigne"/>
              <w:spacing w:before="120"/>
              <w:rPr>
                <w:rFonts w:eastAsiaTheme="minorEastAsia"/>
                <w:b/>
                <w:i w:val="0"/>
              </w:rPr>
            </w:pPr>
            <w:r>
              <w:rPr>
                <w:rFonts w:eastAsiaTheme="minorEastAsia"/>
                <w:b/>
                <w:i w:val="0"/>
              </w:rPr>
              <w:t xml:space="preserve">Loans and advances – of which performing </w:t>
            </w:r>
          </w:p>
          <w:p w14:paraId="69EE7420" w14:textId="60E3DFDF" w:rsidR="00E37B7A" w:rsidRDefault="007240FA" w:rsidP="00E37B7A">
            <w:pPr>
              <w:pStyle w:val="Fait"/>
            </w:pPr>
            <w:r>
              <w:t>S</w:t>
            </w:r>
            <w:r w:rsidRPr="00E24BBD">
              <w:t xml:space="preserve">ee the definition in Template </w:t>
            </w:r>
            <w:r w:rsidR="00CD3AD5" w:rsidRPr="00CD3AD5">
              <w:t>EU CR1: Performing and non-performing exposures and related provisions</w:t>
            </w:r>
            <w:r w:rsidRPr="00E24BBD">
              <w:t>.</w:t>
            </w:r>
          </w:p>
          <w:p w14:paraId="67CED87B" w14:textId="20CE59E3" w:rsidR="007240FA" w:rsidRPr="007240FA" w:rsidRDefault="007240FA" w:rsidP="004A2F10">
            <w:pPr>
              <w:pStyle w:val="Fait"/>
              <w:rPr>
                <w:rFonts w:eastAsiaTheme="minorEastAsia"/>
              </w:rPr>
            </w:pPr>
          </w:p>
        </w:tc>
      </w:tr>
      <w:tr w:rsidR="00150AEF" w:rsidRPr="00581203" w14:paraId="6DC7A0CF" w14:textId="77777777" w:rsidTr="003309CF">
        <w:trPr>
          <w:trHeight w:val="841"/>
        </w:trPr>
        <w:tc>
          <w:tcPr>
            <w:tcW w:w="1384" w:type="dxa"/>
          </w:tcPr>
          <w:p w14:paraId="34D09941" w14:textId="0B96139D" w:rsidR="00150AEF" w:rsidRDefault="003E3374" w:rsidP="003309CF">
            <w:pPr>
              <w:pStyle w:val="Applicationdirecte"/>
              <w:spacing w:before="120"/>
            </w:pPr>
            <w:r>
              <w:t>c</w:t>
            </w:r>
          </w:p>
        </w:tc>
        <w:tc>
          <w:tcPr>
            <w:tcW w:w="7655" w:type="dxa"/>
          </w:tcPr>
          <w:p w14:paraId="290C4518" w14:textId="77777777" w:rsidR="00150AEF" w:rsidRDefault="00150AEF" w:rsidP="00150AEF">
            <w:pPr>
              <w:pStyle w:val="Institutionquisigne"/>
              <w:spacing w:before="120"/>
              <w:ind w:left="720"/>
              <w:rPr>
                <w:rFonts w:eastAsiaTheme="minorEastAsia"/>
                <w:b/>
                <w:i w:val="0"/>
              </w:rPr>
            </w:pPr>
            <w:r w:rsidRPr="00150AEF">
              <w:rPr>
                <w:rFonts w:eastAsiaTheme="minorEastAsia"/>
                <w:b/>
                <w:i w:val="0"/>
              </w:rPr>
              <w:t>Of which past due &gt; 30 days ≤ 90 days</w:t>
            </w:r>
          </w:p>
          <w:p w14:paraId="41943525" w14:textId="2D5240B9" w:rsidR="00E37B7A" w:rsidRPr="00E37B7A" w:rsidRDefault="00E37B7A" w:rsidP="00E37B7A">
            <w:pPr>
              <w:pStyle w:val="Fait"/>
              <w:rPr>
                <w:rFonts w:eastAsiaTheme="minorEastAsia"/>
              </w:rPr>
            </w:pPr>
            <w:r>
              <w:t>S</w:t>
            </w:r>
            <w:r w:rsidRPr="00E37B7A">
              <w:t>ubcategory of performing loans and advances that are 31–90 days past due.</w:t>
            </w:r>
          </w:p>
        </w:tc>
      </w:tr>
      <w:tr w:rsidR="003309CF" w:rsidRPr="00581203" w14:paraId="0A92ACF8" w14:textId="77777777" w:rsidTr="003309CF">
        <w:trPr>
          <w:trHeight w:val="841"/>
        </w:trPr>
        <w:tc>
          <w:tcPr>
            <w:tcW w:w="1384" w:type="dxa"/>
          </w:tcPr>
          <w:p w14:paraId="55A3736D" w14:textId="3D58218F" w:rsidR="003309CF" w:rsidRPr="00581203" w:rsidRDefault="003E3374" w:rsidP="003309CF">
            <w:pPr>
              <w:pStyle w:val="Applicationdirecte"/>
              <w:spacing w:before="120"/>
            </w:pPr>
            <w:r>
              <w:lastRenderedPageBreak/>
              <w:t>d</w:t>
            </w:r>
          </w:p>
        </w:tc>
        <w:tc>
          <w:tcPr>
            <w:tcW w:w="7655" w:type="dxa"/>
          </w:tcPr>
          <w:p w14:paraId="2CF143AB" w14:textId="566DFC8B" w:rsidR="002C69A0" w:rsidRDefault="00150AEF" w:rsidP="003309CF">
            <w:pPr>
              <w:pStyle w:val="Fait"/>
              <w:rPr>
                <w:b/>
              </w:rPr>
            </w:pPr>
            <w:r>
              <w:rPr>
                <w:b/>
              </w:rPr>
              <w:t>Loans and advances – of which n</w:t>
            </w:r>
            <w:r w:rsidR="002C69A0" w:rsidRPr="002C69A0">
              <w:rPr>
                <w:b/>
              </w:rPr>
              <w:t>on-performing exposures</w:t>
            </w:r>
          </w:p>
          <w:p w14:paraId="151E0E42" w14:textId="46F2CF9B" w:rsidR="007240FA" w:rsidRDefault="007240FA" w:rsidP="008909F1">
            <w:pPr>
              <w:pStyle w:val="Fait"/>
            </w:pPr>
            <w:r>
              <w:t>S</w:t>
            </w:r>
            <w:r w:rsidRPr="00E24BBD">
              <w:t xml:space="preserve">ee the definition in Template </w:t>
            </w:r>
            <w:r w:rsidR="00CD3AD5" w:rsidRPr="00CD3AD5">
              <w:t>EU CR1: Performing and non-performing exposures and related provisions</w:t>
            </w:r>
            <w:r w:rsidRPr="00E24BBD">
              <w:t>.</w:t>
            </w:r>
          </w:p>
          <w:p w14:paraId="015DE7CF" w14:textId="3FF4CFC3" w:rsidR="008909F1" w:rsidRPr="008909F1" w:rsidRDefault="008909F1" w:rsidP="004A2F10">
            <w:pPr>
              <w:pStyle w:val="Fait"/>
            </w:pPr>
            <w:r>
              <w:t>Non-performing exposures</w:t>
            </w:r>
            <w:r w:rsidRPr="001F2A6F">
              <w:t xml:space="preserve"> as defined </w:t>
            </w:r>
            <w:r w:rsidR="004A2F10">
              <w:t>in Article 47a CRR</w:t>
            </w:r>
            <w:r w:rsidRPr="001F2A6F">
              <w:t>.</w:t>
            </w:r>
          </w:p>
        </w:tc>
      </w:tr>
      <w:tr w:rsidR="003309CF" w:rsidRPr="00581203" w14:paraId="1B28C9D9" w14:textId="77777777" w:rsidTr="003309CF">
        <w:trPr>
          <w:trHeight w:val="316"/>
        </w:trPr>
        <w:tc>
          <w:tcPr>
            <w:tcW w:w="1384" w:type="dxa"/>
          </w:tcPr>
          <w:p w14:paraId="3802657C" w14:textId="20942586" w:rsidR="003309CF" w:rsidRPr="0043712F" w:rsidRDefault="001625E5" w:rsidP="003309CF">
            <w:pPr>
              <w:autoSpaceDE w:val="0"/>
              <w:autoSpaceDN w:val="0"/>
              <w:adjustRightInd w:val="0"/>
              <w:rPr>
                <w:rFonts w:ascii="Times New Roman" w:hAnsi="Times New Roman" w:cs="Times New Roman"/>
                <w:color w:val="000000"/>
                <w:sz w:val="24"/>
                <w:lang w:val="en-GB"/>
              </w:rPr>
            </w:pPr>
            <w:r>
              <w:rPr>
                <w:rFonts w:ascii="Times New Roman" w:hAnsi="Times New Roman" w:cs="Times New Roman"/>
                <w:color w:val="000000"/>
                <w:sz w:val="24"/>
                <w:lang w:val="en-GB"/>
              </w:rPr>
              <w:t>e</w:t>
            </w:r>
          </w:p>
        </w:tc>
        <w:tc>
          <w:tcPr>
            <w:tcW w:w="7655" w:type="dxa"/>
          </w:tcPr>
          <w:p w14:paraId="21493BD0" w14:textId="489D57D5" w:rsidR="003309CF" w:rsidRPr="002C69A0" w:rsidRDefault="00150AEF" w:rsidP="00150AEF">
            <w:pPr>
              <w:pStyle w:val="Fait"/>
              <w:ind w:left="720"/>
              <w:rPr>
                <w:b/>
              </w:rPr>
            </w:pPr>
            <w:r>
              <w:rPr>
                <w:b/>
              </w:rPr>
              <w:t>Of which u</w:t>
            </w:r>
            <w:r w:rsidR="002C69A0" w:rsidRPr="002C69A0">
              <w:rPr>
                <w:b/>
              </w:rPr>
              <w:t>nlikely to pay that are not past due or are past due ≤ 90 days</w:t>
            </w:r>
          </w:p>
          <w:p w14:paraId="3930AB4F" w14:textId="3561A57D" w:rsidR="002C69A0" w:rsidRPr="002C69A0" w:rsidRDefault="002C69A0" w:rsidP="002C69A0">
            <w:pPr>
              <w:pStyle w:val="Fait"/>
            </w:pPr>
            <w:r>
              <w:t>S</w:t>
            </w:r>
            <w:r w:rsidRPr="002C69A0">
              <w:t xml:space="preserve">ubcategory of loans and advances that are either not past due or are up to 90 days past due but </w:t>
            </w:r>
            <w:proofErr w:type="gramStart"/>
            <w:r w:rsidRPr="002C69A0">
              <w:t>are nevertheless</w:t>
            </w:r>
            <w:proofErr w:type="gramEnd"/>
            <w:r w:rsidRPr="002C69A0">
              <w:t xml:space="preserve"> identified as non-performing, because of the likelihood of non-full repayment pursuant to </w:t>
            </w:r>
            <w:r w:rsidR="000172EF">
              <w:t>Article 47a CRR</w:t>
            </w:r>
            <w:r w:rsidRPr="002C69A0">
              <w:t>.</w:t>
            </w:r>
          </w:p>
        </w:tc>
      </w:tr>
      <w:tr w:rsidR="003E3374" w:rsidRPr="00581203" w14:paraId="3E5DBA51" w14:textId="77777777" w:rsidTr="003309CF">
        <w:trPr>
          <w:trHeight w:val="316"/>
        </w:trPr>
        <w:tc>
          <w:tcPr>
            <w:tcW w:w="1384" w:type="dxa"/>
          </w:tcPr>
          <w:p w14:paraId="5B1788CA" w14:textId="2CC19496" w:rsidR="003E3374" w:rsidRDefault="003E3374" w:rsidP="003309CF">
            <w:pPr>
              <w:autoSpaceDE w:val="0"/>
              <w:autoSpaceDN w:val="0"/>
              <w:adjustRightInd w:val="0"/>
              <w:rPr>
                <w:rFonts w:ascii="Times New Roman" w:eastAsia="Times New Roman" w:hAnsi="Times New Roman" w:cs="Times New Roman"/>
                <w:sz w:val="24"/>
                <w:lang w:val="en-GB"/>
              </w:rPr>
            </w:pPr>
            <w:r>
              <w:rPr>
                <w:rFonts w:ascii="Times New Roman" w:eastAsia="Times New Roman" w:hAnsi="Times New Roman" w:cs="Times New Roman"/>
                <w:sz w:val="24"/>
                <w:lang w:val="en-GB"/>
              </w:rPr>
              <w:t>f</w:t>
            </w:r>
          </w:p>
        </w:tc>
        <w:tc>
          <w:tcPr>
            <w:tcW w:w="7655" w:type="dxa"/>
          </w:tcPr>
          <w:p w14:paraId="1B4F1333" w14:textId="77777777" w:rsidR="003E3374" w:rsidRDefault="003E3374" w:rsidP="003E3374">
            <w:pPr>
              <w:autoSpaceDE w:val="0"/>
              <w:autoSpaceDN w:val="0"/>
              <w:adjustRightInd w:val="0"/>
              <w:spacing w:before="120" w:after="120"/>
              <w:ind w:left="720"/>
              <w:rPr>
                <w:rFonts w:ascii="Times New Roman" w:hAnsi="Times New Roman" w:cs="Times New Roman"/>
                <w:b/>
                <w:sz w:val="24"/>
                <w:lang w:val="en-GB"/>
              </w:rPr>
            </w:pPr>
            <w:r w:rsidRPr="003E3374">
              <w:rPr>
                <w:rFonts w:ascii="Times New Roman" w:hAnsi="Times New Roman" w:cs="Times New Roman"/>
                <w:b/>
                <w:sz w:val="24"/>
                <w:lang w:val="en-GB"/>
              </w:rPr>
              <w:t>Past due &gt; 90 days</w:t>
            </w:r>
          </w:p>
          <w:p w14:paraId="30E78ECA" w14:textId="04076789" w:rsidR="00B1612B" w:rsidRPr="00B1612B" w:rsidRDefault="00B1612B" w:rsidP="007240FA">
            <w:pPr>
              <w:pStyle w:val="Fait"/>
            </w:pPr>
            <w:r>
              <w:t>S</w:t>
            </w:r>
            <w:r w:rsidRPr="002C69A0">
              <w:t xml:space="preserve">ubcategory of loans and advances that are </w:t>
            </w:r>
            <w:r>
              <w:t>more than 90 days</w:t>
            </w:r>
            <w:r w:rsidRPr="002C69A0">
              <w:t xml:space="preserve"> past due.</w:t>
            </w:r>
            <w:r w:rsidR="000300DD">
              <w:t xml:space="preserve"> </w:t>
            </w:r>
          </w:p>
        </w:tc>
      </w:tr>
      <w:tr w:rsidR="003309CF" w:rsidRPr="00581203" w14:paraId="66A65451" w14:textId="77777777" w:rsidTr="003309CF">
        <w:trPr>
          <w:trHeight w:val="316"/>
        </w:trPr>
        <w:tc>
          <w:tcPr>
            <w:tcW w:w="1384" w:type="dxa"/>
          </w:tcPr>
          <w:p w14:paraId="06D43CA3" w14:textId="16B3A455" w:rsidR="003309CF" w:rsidRPr="00581203" w:rsidRDefault="001625E5" w:rsidP="003309CF">
            <w:pPr>
              <w:autoSpaceDE w:val="0"/>
              <w:autoSpaceDN w:val="0"/>
              <w:adjustRightInd w:val="0"/>
              <w:rPr>
                <w:rFonts w:ascii="Times New Roman" w:eastAsia="Times New Roman" w:hAnsi="Times New Roman" w:cs="Times New Roman"/>
                <w:sz w:val="24"/>
                <w:lang w:val="en-GB"/>
              </w:rPr>
            </w:pPr>
            <w:r>
              <w:rPr>
                <w:rFonts w:ascii="Times New Roman" w:eastAsia="Times New Roman" w:hAnsi="Times New Roman" w:cs="Times New Roman"/>
                <w:sz w:val="24"/>
                <w:lang w:val="en-GB"/>
              </w:rPr>
              <w:t>g</w:t>
            </w:r>
          </w:p>
        </w:tc>
        <w:tc>
          <w:tcPr>
            <w:tcW w:w="7655" w:type="dxa"/>
          </w:tcPr>
          <w:p w14:paraId="3AB6D987" w14:textId="77777777" w:rsidR="002C69A0" w:rsidRDefault="002C69A0" w:rsidP="003E3374">
            <w:pPr>
              <w:autoSpaceDE w:val="0"/>
              <w:autoSpaceDN w:val="0"/>
              <w:adjustRightInd w:val="0"/>
              <w:spacing w:before="120" w:after="120"/>
              <w:ind w:left="720"/>
              <w:rPr>
                <w:rFonts w:ascii="Times New Roman" w:hAnsi="Times New Roman" w:cs="Times New Roman"/>
                <w:b/>
                <w:sz w:val="24"/>
                <w:lang w:val="en-GB"/>
              </w:rPr>
            </w:pPr>
            <w:r w:rsidRPr="002C69A0">
              <w:rPr>
                <w:rFonts w:ascii="Times New Roman" w:hAnsi="Times New Roman" w:cs="Times New Roman"/>
                <w:b/>
                <w:sz w:val="24"/>
                <w:lang w:val="en-GB"/>
              </w:rPr>
              <w:t>Of which past due &gt; 90 days ≤ 180 days</w:t>
            </w:r>
          </w:p>
          <w:p w14:paraId="4C3349E3" w14:textId="7FB6B592" w:rsidR="003309CF" w:rsidRPr="00B1612B" w:rsidRDefault="003309CF" w:rsidP="003309CF">
            <w:pPr>
              <w:autoSpaceDE w:val="0"/>
              <w:autoSpaceDN w:val="0"/>
              <w:adjustRightInd w:val="0"/>
              <w:spacing w:before="120" w:after="120"/>
              <w:rPr>
                <w:rFonts w:ascii="Times New Roman" w:hAnsi="Times New Roman" w:cs="Times New Roman"/>
                <w:sz w:val="24"/>
                <w:lang w:val="en-GB"/>
              </w:rPr>
            </w:pPr>
            <w:r w:rsidRPr="00B1612B">
              <w:rPr>
                <w:rFonts w:ascii="Times New Roman" w:eastAsia="Times New Roman" w:hAnsi="Times New Roman" w:cs="Times New Roman"/>
                <w:sz w:val="24"/>
                <w:lang w:val="en-GB"/>
              </w:rPr>
              <w:t>S</w:t>
            </w:r>
            <w:r w:rsidR="002C69A0" w:rsidRPr="00B1612B">
              <w:rPr>
                <w:rFonts w:ascii="Times New Roman" w:eastAsia="Times New Roman" w:hAnsi="Times New Roman" w:cs="Times New Roman"/>
                <w:sz w:val="24"/>
                <w:lang w:val="en-GB"/>
              </w:rPr>
              <w:t>ubcategory of loans and advances that are 91–180 days past due.</w:t>
            </w:r>
          </w:p>
        </w:tc>
      </w:tr>
      <w:tr w:rsidR="003309CF" w:rsidRPr="00581203" w14:paraId="13378195" w14:textId="77777777" w:rsidTr="003309CF">
        <w:trPr>
          <w:trHeight w:val="316"/>
        </w:trPr>
        <w:tc>
          <w:tcPr>
            <w:tcW w:w="1384" w:type="dxa"/>
          </w:tcPr>
          <w:p w14:paraId="15FD92E0" w14:textId="4B4164ED" w:rsidR="003309CF" w:rsidRPr="00581203" w:rsidRDefault="001625E5" w:rsidP="003309CF">
            <w:pPr>
              <w:autoSpaceDE w:val="0"/>
              <w:autoSpaceDN w:val="0"/>
              <w:adjustRightInd w:val="0"/>
              <w:rPr>
                <w:rFonts w:ascii="Times New Roman" w:eastAsia="Times New Roman" w:hAnsi="Times New Roman" w:cs="Times New Roman"/>
                <w:sz w:val="24"/>
                <w:lang w:val="en-GB"/>
              </w:rPr>
            </w:pPr>
            <w:r>
              <w:rPr>
                <w:rFonts w:ascii="Times New Roman" w:eastAsia="Times New Roman" w:hAnsi="Times New Roman" w:cs="Times New Roman"/>
                <w:sz w:val="24"/>
                <w:lang w:val="en-GB"/>
              </w:rPr>
              <w:t>h</w:t>
            </w:r>
          </w:p>
        </w:tc>
        <w:tc>
          <w:tcPr>
            <w:tcW w:w="7655" w:type="dxa"/>
          </w:tcPr>
          <w:p w14:paraId="503667FF" w14:textId="77777777" w:rsidR="002C69A0" w:rsidRDefault="002C69A0" w:rsidP="003E3374">
            <w:pPr>
              <w:autoSpaceDE w:val="0"/>
              <w:autoSpaceDN w:val="0"/>
              <w:adjustRightInd w:val="0"/>
              <w:spacing w:before="120" w:after="120"/>
              <w:ind w:left="720"/>
              <w:rPr>
                <w:rFonts w:ascii="Times New Roman" w:hAnsi="Times New Roman" w:cs="Times New Roman"/>
                <w:b/>
                <w:sz w:val="24"/>
                <w:lang w:val="en-GB"/>
              </w:rPr>
            </w:pPr>
            <w:r w:rsidRPr="002C69A0">
              <w:rPr>
                <w:rFonts w:ascii="Times New Roman" w:hAnsi="Times New Roman" w:cs="Times New Roman"/>
                <w:b/>
                <w:sz w:val="24"/>
                <w:lang w:val="en-GB"/>
              </w:rPr>
              <w:t>Of whi</w:t>
            </w:r>
            <w:r>
              <w:rPr>
                <w:rFonts w:ascii="Times New Roman" w:hAnsi="Times New Roman" w:cs="Times New Roman"/>
                <w:b/>
                <w:sz w:val="24"/>
                <w:lang w:val="en-GB"/>
              </w:rPr>
              <w:t>ch past due &gt; 180 days ≤ 1 year</w:t>
            </w:r>
          </w:p>
          <w:p w14:paraId="42AD7392" w14:textId="5E23090B" w:rsidR="003309CF" w:rsidRPr="003D2EA6" w:rsidRDefault="001625E5" w:rsidP="003309CF">
            <w:pPr>
              <w:autoSpaceDE w:val="0"/>
              <w:autoSpaceDN w:val="0"/>
              <w:adjustRightInd w:val="0"/>
              <w:spacing w:before="120" w:after="120"/>
              <w:rPr>
                <w:rFonts w:ascii="Times New Roman" w:hAnsi="Times New Roman" w:cs="Times New Roman"/>
                <w:sz w:val="24"/>
                <w:lang w:val="en-GB"/>
              </w:rPr>
            </w:pPr>
            <w:r>
              <w:rPr>
                <w:rFonts w:ascii="Times New Roman" w:hAnsi="Times New Roman" w:cs="Times New Roman"/>
                <w:sz w:val="24"/>
                <w:lang w:val="en-GB"/>
              </w:rPr>
              <w:t>S</w:t>
            </w:r>
            <w:r w:rsidR="002C69A0" w:rsidRPr="002C69A0">
              <w:rPr>
                <w:rFonts w:ascii="Times New Roman" w:hAnsi="Times New Roman" w:cs="Times New Roman"/>
                <w:sz w:val="24"/>
                <w:lang w:val="en-GB"/>
              </w:rPr>
              <w:t>ubcategory of loans and advances that are 181 days to 1 year past due.</w:t>
            </w:r>
          </w:p>
        </w:tc>
      </w:tr>
      <w:tr w:rsidR="001625E5" w:rsidRPr="00581203" w14:paraId="29442B39" w14:textId="77777777" w:rsidTr="003309CF">
        <w:trPr>
          <w:trHeight w:val="316"/>
        </w:trPr>
        <w:tc>
          <w:tcPr>
            <w:tcW w:w="1384" w:type="dxa"/>
          </w:tcPr>
          <w:p w14:paraId="38CD6BD3" w14:textId="5E8263F4" w:rsidR="001625E5" w:rsidRPr="00581203" w:rsidRDefault="001625E5" w:rsidP="003309CF">
            <w:pPr>
              <w:autoSpaceDE w:val="0"/>
              <w:autoSpaceDN w:val="0"/>
              <w:adjustRightInd w:val="0"/>
              <w:rPr>
                <w:rFonts w:ascii="Times New Roman" w:eastAsia="Times New Roman" w:hAnsi="Times New Roman" w:cs="Times New Roman"/>
                <w:sz w:val="24"/>
                <w:lang w:val="en-GB"/>
              </w:rPr>
            </w:pPr>
            <w:proofErr w:type="spellStart"/>
            <w:r>
              <w:rPr>
                <w:rFonts w:ascii="Times New Roman" w:eastAsia="Times New Roman" w:hAnsi="Times New Roman" w:cs="Times New Roman"/>
                <w:sz w:val="24"/>
                <w:lang w:val="en-GB"/>
              </w:rPr>
              <w:t>i</w:t>
            </w:r>
            <w:proofErr w:type="spellEnd"/>
          </w:p>
        </w:tc>
        <w:tc>
          <w:tcPr>
            <w:tcW w:w="7655" w:type="dxa"/>
          </w:tcPr>
          <w:p w14:paraId="2A1AFEEC" w14:textId="77777777" w:rsidR="001625E5" w:rsidRDefault="001625E5" w:rsidP="003E3374">
            <w:pPr>
              <w:autoSpaceDE w:val="0"/>
              <w:autoSpaceDN w:val="0"/>
              <w:adjustRightInd w:val="0"/>
              <w:spacing w:before="120" w:after="120"/>
              <w:ind w:left="720"/>
              <w:rPr>
                <w:rFonts w:ascii="Times New Roman" w:hAnsi="Times New Roman" w:cs="Times New Roman"/>
                <w:b/>
                <w:sz w:val="24"/>
                <w:lang w:val="en-GB"/>
              </w:rPr>
            </w:pPr>
            <w:r w:rsidRPr="001625E5">
              <w:rPr>
                <w:rFonts w:ascii="Times New Roman" w:hAnsi="Times New Roman" w:cs="Times New Roman"/>
                <w:b/>
                <w:sz w:val="24"/>
                <w:lang w:val="en-GB"/>
              </w:rPr>
              <w:t>Of which past due &gt; 1 years ≤ 2 years</w:t>
            </w:r>
          </w:p>
          <w:p w14:paraId="3BAE501D" w14:textId="351FA188" w:rsidR="001625E5" w:rsidRPr="002C69A0" w:rsidRDefault="001625E5" w:rsidP="003309CF">
            <w:pPr>
              <w:autoSpaceDE w:val="0"/>
              <w:autoSpaceDN w:val="0"/>
              <w:adjustRightInd w:val="0"/>
              <w:spacing w:before="120" w:after="120"/>
              <w:rPr>
                <w:rFonts w:ascii="Times New Roman" w:hAnsi="Times New Roman" w:cs="Times New Roman"/>
                <w:b/>
                <w:sz w:val="24"/>
                <w:lang w:val="en-GB"/>
              </w:rPr>
            </w:pPr>
            <w:r>
              <w:rPr>
                <w:rFonts w:ascii="Times New Roman" w:hAnsi="Times New Roman" w:cs="Times New Roman"/>
                <w:sz w:val="24"/>
                <w:lang w:val="en-GB"/>
              </w:rPr>
              <w:t>S</w:t>
            </w:r>
            <w:r w:rsidRPr="001625E5">
              <w:rPr>
                <w:rFonts w:ascii="Times New Roman" w:hAnsi="Times New Roman" w:cs="Times New Roman"/>
                <w:sz w:val="24"/>
                <w:lang w:val="en-GB"/>
              </w:rPr>
              <w:t>ubcategory of loans and advances that are 1–2 years past due.</w:t>
            </w:r>
          </w:p>
        </w:tc>
      </w:tr>
      <w:tr w:rsidR="001625E5" w:rsidRPr="00581203" w14:paraId="4C2005A9" w14:textId="77777777" w:rsidTr="003309CF">
        <w:trPr>
          <w:trHeight w:val="316"/>
        </w:trPr>
        <w:tc>
          <w:tcPr>
            <w:tcW w:w="1384" w:type="dxa"/>
          </w:tcPr>
          <w:p w14:paraId="3260B8D2" w14:textId="1C9A1773" w:rsidR="001625E5" w:rsidRPr="00581203" w:rsidRDefault="001625E5" w:rsidP="003309CF">
            <w:pPr>
              <w:autoSpaceDE w:val="0"/>
              <w:autoSpaceDN w:val="0"/>
              <w:adjustRightInd w:val="0"/>
              <w:rPr>
                <w:rFonts w:ascii="Times New Roman" w:eastAsia="Times New Roman" w:hAnsi="Times New Roman" w:cs="Times New Roman"/>
                <w:sz w:val="24"/>
                <w:lang w:val="en-GB"/>
              </w:rPr>
            </w:pPr>
            <w:r>
              <w:rPr>
                <w:rFonts w:ascii="Times New Roman" w:eastAsia="Times New Roman" w:hAnsi="Times New Roman" w:cs="Times New Roman"/>
                <w:sz w:val="24"/>
                <w:lang w:val="en-GB"/>
              </w:rPr>
              <w:t>j</w:t>
            </w:r>
          </w:p>
        </w:tc>
        <w:tc>
          <w:tcPr>
            <w:tcW w:w="7655" w:type="dxa"/>
          </w:tcPr>
          <w:p w14:paraId="445E381C" w14:textId="77777777" w:rsidR="001625E5" w:rsidRDefault="001625E5" w:rsidP="003E3374">
            <w:pPr>
              <w:autoSpaceDE w:val="0"/>
              <w:autoSpaceDN w:val="0"/>
              <w:adjustRightInd w:val="0"/>
              <w:spacing w:before="120" w:after="120"/>
              <w:ind w:left="720"/>
              <w:rPr>
                <w:rFonts w:ascii="Times New Roman" w:hAnsi="Times New Roman" w:cs="Times New Roman"/>
                <w:b/>
                <w:sz w:val="24"/>
                <w:lang w:val="en-GB"/>
              </w:rPr>
            </w:pPr>
            <w:r w:rsidRPr="001625E5">
              <w:rPr>
                <w:rFonts w:ascii="Times New Roman" w:hAnsi="Times New Roman" w:cs="Times New Roman"/>
                <w:b/>
                <w:sz w:val="24"/>
                <w:lang w:val="en-GB"/>
              </w:rPr>
              <w:t>Of which past due &gt; 2 years ≤ 5 years</w:t>
            </w:r>
          </w:p>
          <w:p w14:paraId="439F2A21" w14:textId="53F711C6" w:rsidR="001625E5" w:rsidRPr="002C69A0" w:rsidRDefault="001625E5" w:rsidP="003309CF">
            <w:pPr>
              <w:autoSpaceDE w:val="0"/>
              <w:autoSpaceDN w:val="0"/>
              <w:adjustRightInd w:val="0"/>
              <w:spacing w:before="120" w:after="120"/>
              <w:rPr>
                <w:rFonts w:ascii="Times New Roman" w:hAnsi="Times New Roman" w:cs="Times New Roman"/>
                <w:b/>
                <w:sz w:val="24"/>
                <w:lang w:val="en-GB"/>
              </w:rPr>
            </w:pPr>
            <w:r>
              <w:rPr>
                <w:rFonts w:ascii="Times New Roman" w:hAnsi="Times New Roman" w:cs="Times New Roman"/>
                <w:sz w:val="24"/>
                <w:lang w:val="en-GB"/>
              </w:rPr>
              <w:t>S</w:t>
            </w:r>
            <w:r w:rsidRPr="001625E5">
              <w:rPr>
                <w:rFonts w:ascii="Times New Roman" w:hAnsi="Times New Roman" w:cs="Times New Roman"/>
                <w:sz w:val="24"/>
                <w:lang w:val="en-GB"/>
              </w:rPr>
              <w:t>ubcategory of loans and advances that are 2–5 years past due.</w:t>
            </w:r>
          </w:p>
        </w:tc>
      </w:tr>
      <w:tr w:rsidR="001625E5" w:rsidRPr="00581203" w14:paraId="47BDF578" w14:textId="77777777" w:rsidTr="003309CF">
        <w:trPr>
          <w:trHeight w:val="316"/>
        </w:trPr>
        <w:tc>
          <w:tcPr>
            <w:tcW w:w="1384" w:type="dxa"/>
          </w:tcPr>
          <w:p w14:paraId="4BD8FAA4" w14:textId="66A32A49" w:rsidR="001625E5" w:rsidRPr="00581203" w:rsidRDefault="001625E5" w:rsidP="003309CF">
            <w:pPr>
              <w:autoSpaceDE w:val="0"/>
              <w:autoSpaceDN w:val="0"/>
              <w:adjustRightInd w:val="0"/>
              <w:rPr>
                <w:rFonts w:ascii="Times New Roman" w:eastAsia="Times New Roman" w:hAnsi="Times New Roman" w:cs="Times New Roman"/>
                <w:sz w:val="24"/>
                <w:lang w:val="en-GB"/>
              </w:rPr>
            </w:pPr>
            <w:r>
              <w:rPr>
                <w:rFonts w:ascii="Times New Roman" w:eastAsia="Times New Roman" w:hAnsi="Times New Roman" w:cs="Times New Roman"/>
                <w:sz w:val="24"/>
                <w:lang w:val="en-GB"/>
              </w:rPr>
              <w:t>k</w:t>
            </w:r>
          </w:p>
        </w:tc>
        <w:tc>
          <w:tcPr>
            <w:tcW w:w="7655" w:type="dxa"/>
          </w:tcPr>
          <w:p w14:paraId="6A9C7231" w14:textId="77777777" w:rsidR="001625E5" w:rsidRDefault="001625E5" w:rsidP="003E3374">
            <w:pPr>
              <w:autoSpaceDE w:val="0"/>
              <w:autoSpaceDN w:val="0"/>
              <w:adjustRightInd w:val="0"/>
              <w:spacing w:before="120" w:after="120"/>
              <w:ind w:left="720"/>
              <w:rPr>
                <w:rFonts w:ascii="Times New Roman" w:hAnsi="Times New Roman" w:cs="Times New Roman"/>
                <w:b/>
                <w:sz w:val="24"/>
                <w:lang w:val="en-GB"/>
              </w:rPr>
            </w:pPr>
            <w:r w:rsidRPr="001625E5">
              <w:rPr>
                <w:rFonts w:ascii="Times New Roman" w:hAnsi="Times New Roman" w:cs="Times New Roman"/>
                <w:b/>
                <w:sz w:val="24"/>
                <w:lang w:val="en-GB"/>
              </w:rPr>
              <w:t>Of which past due &gt; 5 years ≤ 7 years</w:t>
            </w:r>
          </w:p>
          <w:p w14:paraId="5E14318E" w14:textId="0CC1BFB5" w:rsidR="001625E5" w:rsidRPr="002C69A0" w:rsidRDefault="001625E5" w:rsidP="003309CF">
            <w:pPr>
              <w:autoSpaceDE w:val="0"/>
              <w:autoSpaceDN w:val="0"/>
              <w:adjustRightInd w:val="0"/>
              <w:spacing w:before="120" w:after="120"/>
              <w:rPr>
                <w:rFonts w:ascii="Times New Roman" w:hAnsi="Times New Roman" w:cs="Times New Roman"/>
                <w:b/>
                <w:sz w:val="24"/>
                <w:lang w:val="en-GB"/>
              </w:rPr>
            </w:pPr>
            <w:r>
              <w:rPr>
                <w:rFonts w:ascii="Times New Roman" w:hAnsi="Times New Roman" w:cs="Times New Roman"/>
                <w:sz w:val="24"/>
                <w:lang w:val="en-GB"/>
              </w:rPr>
              <w:t>S</w:t>
            </w:r>
            <w:r w:rsidRPr="001625E5">
              <w:rPr>
                <w:rFonts w:ascii="Times New Roman" w:hAnsi="Times New Roman" w:cs="Times New Roman"/>
                <w:sz w:val="24"/>
                <w:lang w:val="en-GB"/>
              </w:rPr>
              <w:t>ubcategory of loans and advances that are 5–7 years past due.</w:t>
            </w:r>
          </w:p>
        </w:tc>
      </w:tr>
      <w:tr w:rsidR="001625E5" w:rsidRPr="00581203" w14:paraId="13EC4D33" w14:textId="77777777" w:rsidTr="003309CF">
        <w:trPr>
          <w:trHeight w:val="316"/>
        </w:trPr>
        <w:tc>
          <w:tcPr>
            <w:tcW w:w="1384" w:type="dxa"/>
          </w:tcPr>
          <w:p w14:paraId="75047EC9" w14:textId="6E705614" w:rsidR="001625E5" w:rsidRPr="00581203" w:rsidRDefault="001625E5" w:rsidP="003309CF">
            <w:pPr>
              <w:autoSpaceDE w:val="0"/>
              <w:autoSpaceDN w:val="0"/>
              <w:adjustRightInd w:val="0"/>
              <w:rPr>
                <w:rFonts w:ascii="Times New Roman" w:eastAsia="Times New Roman" w:hAnsi="Times New Roman" w:cs="Times New Roman"/>
                <w:sz w:val="24"/>
                <w:lang w:val="en-GB"/>
              </w:rPr>
            </w:pPr>
            <w:r>
              <w:rPr>
                <w:rFonts w:ascii="Times New Roman" w:eastAsia="Times New Roman" w:hAnsi="Times New Roman" w:cs="Times New Roman"/>
                <w:sz w:val="24"/>
                <w:lang w:val="en-GB"/>
              </w:rPr>
              <w:t>l</w:t>
            </w:r>
          </w:p>
        </w:tc>
        <w:tc>
          <w:tcPr>
            <w:tcW w:w="7655" w:type="dxa"/>
          </w:tcPr>
          <w:p w14:paraId="7BDEB7C1" w14:textId="77777777" w:rsidR="001625E5" w:rsidRDefault="001625E5" w:rsidP="003E3374">
            <w:pPr>
              <w:autoSpaceDE w:val="0"/>
              <w:autoSpaceDN w:val="0"/>
              <w:adjustRightInd w:val="0"/>
              <w:spacing w:before="120" w:after="120"/>
              <w:ind w:left="720"/>
              <w:rPr>
                <w:rFonts w:ascii="Times New Roman" w:hAnsi="Times New Roman" w:cs="Times New Roman"/>
                <w:b/>
                <w:sz w:val="24"/>
                <w:lang w:val="en-GB"/>
              </w:rPr>
            </w:pPr>
            <w:r w:rsidRPr="001625E5">
              <w:rPr>
                <w:rFonts w:ascii="Times New Roman" w:hAnsi="Times New Roman" w:cs="Times New Roman"/>
                <w:b/>
                <w:sz w:val="24"/>
                <w:lang w:val="en-GB"/>
              </w:rPr>
              <w:t>Of which past due &gt; 7 years</w:t>
            </w:r>
          </w:p>
          <w:p w14:paraId="4880E55F" w14:textId="436B34DB" w:rsidR="001625E5" w:rsidRPr="002C69A0" w:rsidRDefault="001625E5" w:rsidP="003309CF">
            <w:pPr>
              <w:autoSpaceDE w:val="0"/>
              <w:autoSpaceDN w:val="0"/>
              <w:adjustRightInd w:val="0"/>
              <w:spacing w:before="120" w:after="120"/>
              <w:rPr>
                <w:rFonts w:ascii="Times New Roman" w:hAnsi="Times New Roman" w:cs="Times New Roman"/>
                <w:b/>
                <w:sz w:val="24"/>
                <w:lang w:val="en-GB"/>
              </w:rPr>
            </w:pPr>
            <w:r>
              <w:rPr>
                <w:rFonts w:ascii="Times New Roman" w:hAnsi="Times New Roman" w:cs="Times New Roman"/>
                <w:sz w:val="24"/>
                <w:lang w:val="en-GB"/>
              </w:rPr>
              <w:t>S</w:t>
            </w:r>
            <w:r w:rsidRPr="001625E5">
              <w:rPr>
                <w:rFonts w:ascii="Times New Roman" w:hAnsi="Times New Roman" w:cs="Times New Roman"/>
                <w:sz w:val="24"/>
                <w:lang w:val="en-GB"/>
              </w:rPr>
              <w:t>ubcategory of loans and advances that are more than 7 years past due.</w:t>
            </w:r>
          </w:p>
        </w:tc>
      </w:tr>
    </w:tbl>
    <w:p w14:paraId="73C4496A" w14:textId="6381D421" w:rsidR="001625E5" w:rsidRDefault="001625E5" w:rsidP="00931A3F">
      <w:pPr>
        <w:autoSpaceDE w:val="0"/>
        <w:autoSpaceDN w:val="0"/>
        <w:adjustRightInd w:val="0"/>
        <w:jc w:val="both"/>
        <w:rPr>
          <w:rFonts w:ascii="Times New Roman" w:hAnsi="Times New Roman" w:cs="Times New Roman"/>
          <w:b/>
          <w:sz w:val="24"/>
          <w:lang w:val="en-GB"/>
        </w:rPr>
      </w:pPr>
    </w:p>
    <w:p w14:paraId="0D6C76BA" w14:textId="15137F5C" w:rsidR="00A66C31" w:rsidRDefault="00A66C31" w:rsidP="00931A3F">
      <w:pPr>
        <w:autoSpaceDE w:val="0"/>
        <w:autoSpaceDN w:val="0"/>
        <w:adjustRightInd w:val="0"/>
        <w:jc w:val="both"/>
        <w:rPr>
          <w:rFonts w:ascii="Times New Roman" w:hAnsi="Times New Roman" w:cs="Times New Roman"/>
          <w:b/>
          <w:sz w:val="24"/>
          <w:lang w:val="en-GB"/>
        </w:rPr>
      </w:pPr>
    </w:p>
    <w:p w14:paraId="170B2C6A" w14:textId="6EA18415" w:rsidR="00A66C31" w:rsidRPr="00A66C31" w:rsidRDefault="00A66C31" w:rsidP="00FD04D2">
      <w:pPr>
        <w:autoSpaceDE w:val="0"/>
        <w:autoSpaceDN w:val="0"/>
        <w:adjustRightInd w:val="0"/>
        <w:spacing w:after="120"/>
        <w:jc w:val="both"/>
        <w:rPr>
          <w:rFonts w:ascii="Times New Roman" w:hAnsi="Times New Roman" w:cs="Times New Roman"/>
          <w:b/>
          <w:sz w:val="24"/>
          <w:lang w:val="en-GB"/>
        </w:rPr>
      </w:pPr>
      <w:r>
        <w:rPr>
          <w:rFonts w:ascii="Times New Roman" w:hAnsi="Times New Roman" w:cs="Times New Roman"/>
          <w:b/>
          <w:sz w:val="24"/>
          <w:lang w:val="en-GB"/>
        </w:rPr>
        <w:t xml:space="preserve">Template </w:t>
      </w:r>
      <w:r w:rsidR="009D2918">
        <w:rPr>
          <w:rFonts w:ascii="Times New Roman" w:hAnsi="Times New Roman" w:cs="Times New Roman"/>
          <w:b/>
          <w:sz w:val="24"/>
          <w:lang w:val="en-GB"/>
        </w:rPr>
        <w:t>CQ</w:t>
      </w:r>
      <w:r w:rsidR="00533E07">
        <w:rPr>
          <w:rFonts w:ascii="Times New Roman" w:hAnsi="Times New Roman" w:cs="Times New Roman"/>
          <w:b/>
          <w:sz w:val="24"/>
          <w:lang w:val="en-GB"/>
        </w:rPr>
        <w:t>7</w:t>
      </w:r>
      <w:r w:rsidRPr="00931A3F">
        <w:rPr>
          <w:rFonts w:ascii="Times New Roman" w:hAnsi="Times New Roman" w:cs="Times New Roman"/>
          <w:b/>
          <w:sz w:val="24"/>
          <w:lang w:val="en-GB"/>
        </w:rPr>
        <w:t xml:space="preserve">: </w:t>
      </w:r>
      <w:r w:rsidRPr="00A66C31">
        <w:rPr>
          <w:rFonts w:ascii="Times New Roman" w:hAnsi="Times New Roman" w:cs="Times New Roman"/>
          <w:b/>
          <w:sz w:val="24"/>
          <w:lang w:val="en-GB"/>
        </w:rPr>
        <w:t>Collateral obtained by taking possession and execution processes</w:t>
      </w:r>
    </w:p>
    <w:p w14:paraId="661DB7A6" w14:textId="5FAD21CC" w:rsidR="00312A27" w:rsidRPr="00FE38E5" w:rsidRDefault="00312A27" w:rsidP="00B256E9">
      <w:pPr>
        <w:pStyle w:val="ListParagraph"/>
        <w:numPr>
          <w:ilvl w:val="0"/>
          <w:numId w:val="45"/>
        </w:numPr>
        <w:spacing w:before="120" w:after="120"/>
        <w:jc w:val="both"/>
        <w:rPr>
          <w:rFonts w:ascii="Times New Roman" w:hAnsi="Times New Roman"/>
          <w:bCs/>
          <w:sz w:val="24"/>
        </w:rPr>
      </w:pPr>
      <w:r w:rsidRPr="00FE38E5">
        <w:rPr>
          <w:rFonts w:ascii="Times New Roman" w:hAnsi="Times New Roman"/>
          <w:bCs/>
          <w:sz w:val="24"/>
        </w:rPr>
        <w:t>Institutions shall apply the instructions provided below in this Annex in order to complete template EU CQ</w:t>
      </w:r>
      <w:r w:rsidR="008B36A8" w:rsidRPr="00FE38E5">
        <w:rPr>
          <w:rFonts w:ascii="Times New Roman" w:hAnsi="Times New Roman"/>
          <w:bCs/>
          <w:sz w:val="24"/>
        </w:rPr>
        <w:t>7</w:t>
      </w:r>
      <w:r w:rsidRPr="00FE38E5">
        <w:rPr>
          <w:rFonts w:ascii="Times New Roman" w:hAnsi="Times New Roman"/>
          <w:bCs/>
          <w:sz w:val="24"/>
        </w:rPr>
        <w:t xml:space="preserve"> as presented in Annex </w:t>
      </w:r>
      <w:r w:rsidR="00A82A03">
        <w:rPr>
          <w:rFonts w:ascii="Times New Roman" w:hAnsi="Times New Roman"/>
          <w:bCs/>
          <w:sz w:val="24"/>
        </w:rPr>
        <w:t>XV</w:t>
      </w:r>
      <w:r w:rsidR="004643EE">
        <w:rPr>
          <w:rFonts w:ascii="Times New Roman" w:hAnsi="Times New Roman"/>
          <w:bCs/>
          <w:sz w:val="24"/>
        </w:rPr>
        <w:t xml:space="preserve"> to this Implementing Regulation</w:t>
      </w:r>
      <w:r w:rsidRPr="00FE38E5">
        <w:rPr>
          <w:rFonts w:ascii="Times New Roman" w:hAnsi="Times New Roman"/>
          <w:bCs/>
          <w:sz w:val="24"/>
        </w:rPr>
        <w:t xml:space="preserve">, in application of </w:t>
      </w:r>
      <w:r w:rsidR="00D6319A">
        <w:rPr>
          <w:rFonts w:ascii="Times New Roman" w:hAnsi="Times New Roman"/>
          <w:bCs/>
          <w:sz w:val="24"/>
        </w:rPr>
        <w:t xml:space="preserve">point (c) of </w:t>
      </w:r>
      <w:r w:rsidRPr="00FE38E5">
        <w:rPr>
          <w:rFonts w:ascii="Times New Roman" w:hAnsi="Times New Roman"/>
          <w:bCs/>
          <w:sz w:val="24"/>
        </w:rPr>
        <w:t xml:space="preserve">Article 442 </w:t>
      </w:r>
      <w:r w:rsidRPr="00FE38E5">
        <w:rPr>
          <w:rFonts w:ascii="Times New Roman" w:hAnsi="Times New Roman"/>
          <w:noProof/>
          <w:color w:val="000000"/>
          <w:sz w:val="24"/>
        </w:rPr>
        <w:t>CRR</w:t>
      </w:r>
      <w:r w:rsidRPr="00FE38E5">
        <w:rPr>
          <w:rFonts w:ascii="Times New Roman" w:hAnsi="Times New Roman"/>
          <w:bCs/>
          <w:sz w:val="24"/>
        </w:rPr>
        <w:t>.</w:t>
      </w:r>
    </w:p>
    <w:p w14:paraId="22B3A791" w14:textId="77777777" w:rsidR="00A66C31" w:rsidRDefault="00A66C31" w:rsidP="00A66C31">
      <w:pPr>
        <w:autoSpaceDE w:val="0"/>
        <w:autoSpaceDN w:val="0"/>
        <w:adjustRightInd w:val="0"/>
        <w:jc w:val="both"/>
        <w:rPr>
          <w:rFonts w:ascii="Times New Roman" w:hAnsi="Times New Roman" w:cs="Times New Roman"/>
          <w:b/>
          <w:sz w:val="24"/>
          <w:lang w:val="en-G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A66C31" w:rsidRPr="00581203" w14:paraId="0DD4583F" w14:textId="77777777" w:rsidTr="00B302D5">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301CF9" w14:textId="77777777" w:rsidR="00A66C31" w:rsidRPr="00581203" w:rsidRDefault="00A66C31" w:rsidP="00B302D5">
            <w:pPr>
              <w:rPr>
                <w:rFonts w:ascii="Times New Roman" w:hAnsi="Times New Roman" w:cs="Times New Roman"/>
                <w:b/>
                <w:sz w:val="24"/>
                <w:lang w:val="en-GB"/>
              </w:rPr>
            </w:pPr>
            <w:r w:rsidRPr="00581203">
              <w:rPr>
                <w:rFonts w:ascii="Times New Roman" w:hAnsi="Times New Roman" w:cs="Times New Roman"/>
                <w:b/>
                <w:sz w:val="24"/>
                <w:lang w:val="en-GB"/>
              </w:rPr>
              <w:t>Legal references and instructions</w:t>
            </w:r>
          </w:p>
        </w:tc>
      </w:tr>
      <w:tr w:rsidR="00A66C31" w:rsidRPr="00581203" w14:paraId="0522705C" w14:textId="77777777" w:rsidTr="00B302D5">
        <w:trPr>
          <w:trHeight w:val="238"/>
        </w:trPr>
        <w:tc>
          <w:tcPr>
            <w:tcW w:w="1384" w:type="dxa"/>
            <w:shd w:val="clear" w:color="auto" w:fill="D9D9D9" w:themeFill="background1" w:themeFillShade="D9"/>
          </w:tcPr>
          <w:p w14:paraId="264A2FEC" w14:textId="77777777" w:rsidR="00A66C31" w:rsidRPr="00581203" w:rsidRDefault="00A66C31" w:rsidP="00B302D5">
            <w:pPr>
              <w:autoSpaceDE w:val="0"/>
              <w:autoSpaceDN w:val="0"/>
              <w:adjustRightInd w:val="0"/>
              <w:rPr>
                <w:rFonts w:ascii="Times New Roman" w:hAnsi="Times New Roman" w:cs="Times New Roman"/>
                <w:b/>
                <w:sz w:val="24"/>
                <w:lang w:val="en-GB"/>
              </w:rPr>
            </w:pPr>
            <w:r w:rsidRPr="00313EC9">
              <w:rPr>
                <w:rFonts w:ascii="Times New Roman" w:hAnsi="Times New Roman" w:cs="Times New Roman"/>
                <w:b/>
                <w:sz w:val="24"/>
                <w:lang w:val="en-GB"/>
              </w:rPr>
              <w:t>Row number</w:t>
            </w:r>
          </w:p>
        </w:tc>
        <w:tc>
          <w:tcPr>
            <w:tcW w:w="7655" w:type="dxa"/>
            <w:shd w:val="clear" w:color="auto" w:fill="D9D9D9" w:themeFill="background1" w:themeFillShade="D9"/>
          </w:tcPr>
          <w:p w14:paraId="071D2BB5" w14:textId="77777777" w:rsidR="00A66C31" w:rsidRPr="0043712F" w:rsidRDefault="00A66C31" w:rsidP="00B302D5">
            <w:pPr>
              <w:autoSpaceDE w:val="0"/>
              <w:autoSpaceDN w:val="0"/>
              <w:adjustRightInd w:val="0"/>
              <w:rPr>
                <w:rFonts w:ascii="Times New Roman" w:hAnsi="Times New Roman" w:cs="Times New Roman"/>
                <w:color w:val="000000"/>
                <w:sz w:val="24"/>
                <w:lang w:val="en-GB"/>
              </w:rPr>
            </w:pPr>
            <w:r w:rsidRPr="00581203">
              <w:rPr>
                <w:rFonts w:ascii="Times New Roman" w:hAnsi="Times New Roman" w:cs="Times New Roman"/>
                <w:b/>
                <w:sz w:val="24"/>
                <w:lang w:val="en-GB"/>
              </w:rPr>
              <w:t>Explanation</w:t>
            </w:r>
          </w:p>
        </w:tc>
      </w:tr>
      <w:tr w:rsidR="00A66C31" w:rsidRPr="00581203" w14:paraId="7740811D" w14:textId="77777777" w:rsidTr="00A66C31">
        <w:trPr>
          <w:trHeight w:val="1286"/>
        </w:trPr>
        <w:tc>
          <w:tcPr>
            <w:tcW w:w="1384" w:type="dxa"/>
          </w:tcPr>
          <w:p w14:paraId="4328DDB4" w14:textId="26A3233E" w:rsidR="00A66C31" w:rsidRPr="00A66C31" w:rsidRDefault="00A66C31" w:rsidP="00A66C31">
            <w:pPr>
              <w:rPr>
                <w:lang w:val="en-GB"/>
              </w:rPr>
            </w:pPr>
            <w:r>
              <w:rPr>
                <w:lang w:val="en-GB"/>
              </w:rPr>
              <w:lastRenderedPageBreak/>
              <w:t>010</w:t>
            </w:r>
          </w:p>
        </w:tc>
        <w:tc>
          <w:tcPr>
            <w:tcW w:w="7655" w:type="dxa"/>
          </w:tcPr>
          <w:p w14:paraId="5A8D7AE2" w14:textId="0E546D9E" w:rsidR="008B1A04" w:rsidRPr="00C51B2A" w:rsidRDefault="008B1A04" w:rsidP="00A66C31">
            <w:pPr>
              <w:autoSpaceDE w:val="0"/>
              <w:autoSpaceDN w:val="0"/>
              <w:adjustRightInd w:val="0"/>
              <w:rPr>
                <w:rFonts w:ascii="Times New Roman" w:hAnsi="Times New Roman" w:cs="Times New Roman"/>
                <w:b/>
                <w:sz w:val="24"/>
                <w:lang w:val="en-GB"/>
              </w:rPr>
            </w:pPr>
            <w:r w:rsidRPr="00C51B2A">
              <w:rPr>
                <w:rFonts w:ascii="Times New Roman" w:hAnsi="Times New Roman" w:cs="Times New Roman"/>
                <w:b/>
                <w:sz w:val="24"/>
                <w:lang w:val="en-GB"/>
              </w:rPr>
              <w:t>Property, plant and equipment (PP&amp;E)</w:t>
            </w:r>
          </w:p>
          <w:p w14:paraId="749445A3" w14:textId="1B6D9BB2" w:rsidR="00A66C31" w:rsidRPr="00C51B2A" w:rsidRDefault="00A66C31" w:rsidP="00D802E8">
            <w:pPr>
              <w:pStyle w:val="Institutionquisigne"/>
              <w:spacing w:before="120"/>
              <w:rPr>
                <w:i w:val="0"/>
              </w:rPr>
            </w:pPr>
            <w:r w:rsidRPr="00C51B2A">
              <w:rPr>
                <w:i w:val="0"/>
              </w:rPr>
              <w:t xml:space="preserve">The stock of collateral obtained by taking possession that remains recognised in the balance sheet at the reporting reference date and that is </w:t>
            </w:r>
            <w:proofErr w:type="gramStart"/>
            <w:r w:rsidRPr="00C51B2A">
              <w:rPr>
                <w:i w:val="0"/>
              </w:rPr>
              <w:t>classified</w:t>
            </w:r>
            <w:proofErr w:type="gramEnd"/>
            <w:r w:rsidRPr="00C51B2A">
              <w:rPr>
                <w:i w:val="0"/>
              </w:rPr>
              <w:t xml:space="preserve"> as PP&amp;E </w:t>
            </w:r>
            <w:r w:rsidR="0017224C" w:rsidRPr="00C51B2A">
              <w:rPr>
                <w:i w:val="0"/>
              </w:rPr>
              <w:t>shall</w:t>
            </w:r>
            <w:r w:rsidRPr="00C51B2A">
              <w:rPr>
                <w:i w:val="0"/>
              </w:rPr>
              <w:t xml:space="preserve"> be </w:t>
            </w:r>
            <w:r w:rsidR="00D802E8" w:rsidRPr="00C51B2A">
              <w:rPr>
                <w:i w:val="0"/>
              </w:rPr>
              <w:t>disclosed</w:t>
            </w:r>
            <w:r w:rsidRPr="00C51B2A">
              <w:rPr>
                <w:i w:val="0"/>
              </w:rPr>
              <w:t xml:space="preserve"> in this row.</w:t>
            </w:r>
          </w:p>
        </w:tc>
      </w:tr>
      <w:tr w:rsidR="00A66C31" w:rsidRPr="00581203" w14:paraId="42099D28" w14:textId="77777777" w:rsidTr="00231C96">
        <w:trPr>
          <w:trHeight w:val="620"/>
        </w:trPr>
        <w:tc>
          <w:tcPr>
            <w:tcW w:w="1384" w:type="dxa"/>
          </w:tcPr>
          <w:p w14:paraId="07AD1462" w14:textId="47AF364B" w:rsidR="00A66C31" w:rsidRPr="00A66C31" w:rsidRDefault="00A66C31" w:rsidP="00A66C31">
            <w:pPr>
              <w:rPr>
                <w:lang w:val="en-GB"/>
              </w:rPr>
            </w:pPr>
            <w:r>
              <w:rPr>
                <w:lang w:val="en-GB"/>
              </w:rPr>
              <w:t>020</w:t>
            </w:r>
          </w:p>
        </w:tc>
        <w:tc>
          <w:tcPr>
            <w:tcW w:w="7655" w:type="dxa"/>
          </w:tcPr>
          <w:p w14:paraId="3A370E77" w14:textId="67779BEB" w:rsidR="00A66C31" w:rsidRPr="00C51B2A" w:rsidRDefault="008B1A04" w:rsidP="00A66C31">
            <w:pPr>
              <w:autoSpaceDE w:val="0"/>
              <w:autoSpaceDN w:val="0"/>
              <w:adjustRightInd w:val="0"/>
              <w:rPr>
                <w:rFonts w:ascii="Times New Roman" w:hAnsi="Times New Roman" w:cs="Times New Roman"/>
                <w:b/>
                <w:sz w:val="24"/>
                <w:lang w:val="en-GB"/>
              </w:rPr>
            </w:pPr>
            <w:r w:rsidRPr="00C51B2A">
              <w:rPr>
                <w:rFonts w:ascii="Times New Roman" w:hAnsi="Times New Roman" w:cs="Times New Roman"/>
                <w:b/>
                <w:sz w:val="24"/>
                <w:lang w:val="en-GB"/>
              </w:rPr>
              <w:t>Other than PP&amp;E</w:t>
            </w:r>
          </w:p>
          <w:p w14:paraId="15F3B8EA" w14:textId="56FAC2B2" w:rsidR="00A66C31" w:rsidRPr="00C51B2A" w:rsidRDefault="00A66C31" w:rsidP="00D802E8">
            <w:pPr>
              <w:pStyle w:val="Institutionquisigne"/>
              <w:spacing w:before="120"/>
              <w:rPr>
                <w:b/>
              </w:rPr>
            </w:pPr>
            <w:r w:rsidRPr="00C51B2A">
              <w:rPr>
                <w:i w:val="0"/>
              </w:rPr>
              <w:t xml:space="preserve">The stock of collateral obtained by taking possession that remains recognised in the balance sheet at the reporting reference date and is not </w:t>
            </w:r>
            <w:proofErr w:type="gramStart"/>
            <w:r w:rsidRPr="00C51B2A">
              <w:rPr>
                <w:i w:val="0"/>
              </w:rPr>
              <w:t>classified</w:t>
            </w:r>
            <w:proofErr w:type="gramEnd"/>
            <w:r w:rsidRPr="00C51B2A">
              <w:rPr>
                <w:i w:val="0"/>
              </w:rPr>
              <w:t xml:space="preserve"> as PP&amp;E will automatically be </w:t>
            </w:r>
            <w:r w:rsidR="00D802E8" w:rsidRPr="00C51B2A">
              <w:rPr>
                <w:i w:val="0"/>
              </w:rPr>
              <w:t>disclosed</w:t>
            </w:r>
            <w:r w:rsidRPr="00C51B2A">
              <w:rPr>
                <w:i w:val="0"/>
              </w:rPr>
              <w:t xml:space="preserve"> in this row. The total stock will be calculated taking into account the initial stock (since the end of the last financial year), and the inflows and the outflows that occurred during the disclosure period (since the end of the last financial year). Collateral obtained by taking possession (other than PP&amp;E) </w:t>
            </w:r>
            <w:proofErr w:type="gramStart"/>
            <w:r w:rsidRPr="00C51B2A">
              <w:rPr>
                <w:i w:val="0"/>
              </w:rPr>
              <w:t xml:space="preserve">is </w:t>
            </w:r>
            <w:r w:rsidR="00D802E8" w:rsidRPr="00C51B2A">
              <w:rPr>
                <w:i w:val="0"/>
              </w:rPr>
              <w:t>disclosed</w:t>
            </w:r>
            <w:proofErr w:type="gramEnd"/>
            <w:r w:rsidRPr="00C51B2A">
              <w:rPr>
                <w:i w:val="0"/>
              </w:rPr>
              <w:t xml:space="preserve"> in rows by type of collateral.</w:t>
            </w:r>
          </w:p>
        </w:tc>
      </w:tr>
      <w:tr w:rsidR="00A66C31" w:rsidRPr="00581203" w14:paraId="730D3DF5" w14:textId="77777777" w:rsidTr="00A66C31">
        <w:trPr>
          <w:trHeight w:val="1286"/>
        </w:trPr>
        <w:tc>
          <w:tcPr>
            <w:tcW w:w="1384" w:type="dxa"/>
          </w:tcPr>
          <w:p w14:paraId="0A80FBDA" w14:textId="00D27178" w:rsidR="00A66C31" w:rsidRPr="00A66C31" w:rsidRDefault="00A66C31" w:rsidP="00A66C31">
            <w:pPr>
              <w:rPr>
                <w:lang w:val="en-GB"/>
              </w:rPr>
            </w:pPr>
            <w:r>
              <w:rPr>
                <w:lang w:val="en-GB"/>
              </w:rPr>
              <w:t>030</w:t>
            </w:r>
          </w:p>
        </w:tc>
        <w:tc>
          <w:tcPr>
            <w:tcW w:w="7655" w:type="dxa"/>
          </w:tcPr>
          <w:p w14:paraId="6D700479" w14:textId="77777777" w:rsidR="00A66C31" w:rsidRDefault="00A66C31" w:rsidP="00A66C31">
            <w:pPr>
              <w:autoSpaceDE w:val="0"/>
              <w:autoSpaceDN w:val="0"/>
              <w:adjustRightInd w:val="0"/>
              <w:rPr>
                <w:rFonts w:ascii="Times New Roman" w:hAnsi="Times New Roman" w:cs="Times New Roman"/>
                <w:b/>
                <w:sz w:val="24"/>
                <w:lang w:val="en-GB"/>
              </w:rPr>
            </w:pPr>
            <w:r>
              <w:rPr>
                <w:rFonts w:ascii="Times New Roman" w:hAnsi="Times New Roman" w:cs="Times New Roman"/>
                <w:b/>
                <w:sz w:val="24"/>
                <w:lang w:val="en-GB"/>
              </w:rPr>
              <w:t>Residential immovable property</w:t>
            </w:r>
          </w:p>
          <w:p w14:paraId="114A8642" w14:textId="302D9822" w:rsidR="00A66C31" w:rsidRPr="00A66C31" w:rsidRDefault="00A66C31" w:rsidP="00A66C31">
            <w:pPr>
              <w:pStyle w:val="Institutionquisigne"/>
              <w:spacing w:before="120"/>
              <w:rPr>
                <w:b/>
              </w:rPr>
            </w:pPr>
            <w:r>
              <w:rPr>
                <w:i w:val="0"/>
              </w:rPr>
              <w:t>C</w:t>
            </w:r>
            <w:r w:rsidRPr="00A66C31">
              <w:rPr>
                <w:i w:val="0"/>
              </w:rPr>
              <w:t>ollateral obtained by taking possession of residential property (e.g. houses, apartments, etc.) or property with potential use in the future as such (e.g. unfinished residential property etc.).</w:t>
            </w:r>
          </w:p>
        </w:tc>
      </w:tr>
      <w:tr w:rsidR="00A66C31" w:rsidRPr="00581203" w14:paraId="072AAEE7" w14:textId="77777777" w:rsidTr="00D802E8">
        <w:trPr>
          <w:trHeight w:val="1286"/>
        </w:trPr>
        <w:tc>
          <w:tcPr>
            <w:tcW w:w="1384" w:type="dxa"/>
          </w:tcPr>
          <w:p w14:paraId="5884A254" w14:textId="28FBD261" w:rsidR="00A66C31" w:rsidRPr="00A66C31" w:rsidRDefault="00A66C31" w:rsidP="00A66C31">
            <w:pPr>
              <w:rPr>
                <w:lang w:val="en-GB"/>
              </w:rPr>
            </w:pPr>
            <w:r>
              <w:rPr>
                <w:lang w:val="en-GB"/>
              </w:rPr>
              <w:t>040</w:t>
            </w:r>
          </w:p>
        </w:tc>
        <w:tc>
          <w:tcPr>
            <w:tcW w:w="7655" w:type="dxa"/>
            <w:shd w:val="clear" w:color="auto" w:fill="auto"/>
          </w:tcPr>
          <w:p w14:paraId="2DD4B0AF" w14:textId="77777777" w:rsidR="00A66C31" w:rsidRPr="00D802E8" w:rsidRDefault="00A66C31" w:rsidP="00A66C31">
            <w:pPr>
              <w:autoSpaceDE w:val="0"/>
              <w:autoSpaceDN w:val="0"/>
              <w:adjustRightInd w:val="0"/>
              <w:rPr>
                <w:rFonts w:ascii="Times New Roman" w:hAnsi="Times New Roman" w:cs="Times New Roman"/>
                <w:b/>
                <w:sz w:val="24"/>
                <w:lang w:val="en-GB"/>
              </w:rPr>
            </w:pPr>
            <w:r w:rsidRPr="00D802E8">
              <w:rPr>
                <w:rFonts w:ascii="Times New Roman" w:hAnsi="Times New Roman" w:cs="Times New Roman"/>
                <w:b/>
                <w:sz w:val="24"/>
                <w:lang w:val="en-GB"/>
              </w:rPr>
              <w:t>Commercial immovable property</w:t>
            </w:r>
          </w:p>
          <w:p w14:paraId="7354616E" w14:textId="7D8C557D" w:rsidR="00A66C31" w:rsidRPr="00D802E8" w:rsidRDefault="00A66C31" w:rsidP="00A66C31">
            <w:pPr>
              <w:pStyle w:val="Institutionquisigne"/>
              <w:spacing w:before="120"/>
              <w:rPr>
                <w:b/>
              </w:rPr>
            </w:pPr>
            <w:r w:rsidRPr="00D802E8">
              <w:rPr>
                <w:i w:val="0"/>
              </w:rPr>
              <w:t xml:space="preserve">Collateral obtained by taking possession of commercial or industrial property that </w:t>
            </w:r>
            <w:proofErr w:type="gramStart"/>
            <w:r w:rsidRPr="00D802E8">
              <w:rPr>
                <w:i w:val="0"/>
              </w:rPr>
              <w:t>can be used</w:t>
            </w:r>
            <w:proofErr w:type="gramEnd"/>
            <w:r w:rsidRPr="00D802E8">
              <w:rPr>
                <w:i w:val="0"/>
              </w:rPr>
              <w:t xml:space="preserve"> for business and/or investment purposes, or of any immovable property that is not residential property, as described above. Land (both non-agricultural and agricultural) </w:t>
            </w:r>
            <w:r w:rsidR="0017224C" w:rsidRPr="00D802E8">
              <w:rPr>
                <w:i w:val="0"/>
              </w:rPr>
              <w:t>shall</w:t>
            </w:r>
            <w:r w:rsidRPr="00D802E8">
              <w:rPr>
                <w:i w:val="0"/>
              </w:rPr>
              <w:t xml:space="preserve"> also be included in this category.</w:t>
            </w:r>
          </w:p>
        </w:tc>
      </w:tr>
      <w:tr w:rsidR="00A66C31" w:rsidRPr="00581203" w14:paraId="32FAF951" w14:textId="77777777" w:rsidTr="00D802E8">
        <w:trPr>
          <w:trHeight w:val="1286"/>
        </w:trPr>
        <w:tc>
          <w:tcPr>
            <w:tcW w:w="1384" w:type="dxa"/>
          </w:tcPr>
          <w:p w14:paraId="08FF916D" w14:textId="386F5074" w:rsidR="00A66C31" w:rsidRPr="00A66C31" w:rsidRDefault="00A66C31" w:rsidP="00A66C31">
            <w:pPr>
              <w:rPr>
                <w:lang w:val="en-GB"/>
              </w:rPr>
            </w:pPr>
            <w:r>
              <w:rPr>
                <w:lang w:val="en-GB"/>
              </w:rPr>
              <w:t>050</w:t>
            </w:r>
          </w:p>
        </w:tc>
        <w:tc>
          <w:tcPr>
            <w:tcW w:w="7655" w:type="dxa"/>
            <w:shd w:val="clear" w:color="auto" w:fill="auto"/>
          </w:tcPr>
          <w:p w14:paraId="5331DF04" w14:textId="2D64C8EB" w:rsidR="00A66C31" w:rsidRPr="00D802E8" w:rsidRDefault="00A66C31" w:rsidP="00A66C31">
            <w:pPr>
              <w:autoSpaceDE w:val="0"/>
              <w:autoSpaceDN w:val="0"/>
              <w:adjustRightInd w:val="0"/>
              <w:rPr>
                <w:rFonts w:ascii="Times New Roman" w:hAnsi="Times New Roman" w:cs="Times New Roman"/>
                <w:b/>
                <w:sz w:val="24"/>
                <w:lang w:val="en-GB"/>
              </w:rPr>
            </w:pPr>
            <w:r w:rsidRPr="00D802E8">
              <w:rPr>
                <w:rFonts w:ascii="Times New Roman" w:hAnsi="Times New Roman" w:cs="Times New Roman"/>
                <w:b/>
                <w:sz w:val="24"/>
                <w:lang w:val="en-GB"/>
              </w:rPr>
              <w:t>Movable property</w:t>
            </w:r>
            <w:r w:rsidR="008B1A04" w:rsidRPr="00D802E8">
              <w:rPr>
                <w:rFonts w:ascii="Times New Roman" w:hAnsi="Times New Roman" w:cs="Times New Roman"/>
                <w:b/>
                <w:sz w:val="24"/>
                <w:lang w:val="en-GB"/>
              </w:rPr>
              <w:t xml:space="preserve"> (auto, shipping, etc.)</w:t>
            </w:r>
          </w:p>
          <w:p w14:paraId="4F7ABEEA" w14:textId="3AB3284A" w:rsidR="00A66C31" w:rsidRPr="00D802E8" w:rsidRDefault="00A66C31" w:rsidP="00D802E8">
            <w:pPr>
              <w:pStyle w:val="Institutionquisigne"/>
              <w:spacing w:before="120"/>
              <w:rPr>
                <w:b/>
              </w:rPr>
            </w:pPr>
            <w:r w:rsidRPr="00D802E8">
              <w:rPr>
                <w:i w:val="0"/>
              </w:rPr>
              <w:t xml:space="preserve">Collateral obtained by taking possession of property other than immovable property </w:t>
            </w:r>
            <w:proofErr w:type="gramStart"/>
            <w:r w:rsidR="0017224C" w:rsidRPr="00D802E8">
              <w:rPr>
                <w:i w:val="0"/>
              </w:rPr>
              <w:t>shall</w:t>
            </w:r>
            <w:r w:rsidRPr="00D802E8">
              <w:rPr>
                <w:i w:val="0"/>
              </w:rPr>
              <w:t xml:space="preserve"> be </w:t>
            </w:r>
            <w:r w:rsidR="00D802E8" w:rsidRPr="00D802E8">
              <w:rPr>
                <w:i w:val="0"/>
              </w:rPr>
              <w:t>disclosed</w:t>
            </w:r>
            <w:proofErr w:type="gramEnd"/>
            <w:r w:rsidRPr="00D802E8">
              <w:rPr>
                <w:i w:val="0"/>
              </w:rPr>
              <w:t xml:space="preserve"> in this row.</w:t>
            </w:r>
          </w:p>
        </w:tc>
      </w:tr>
      <w:tr w:rsidR="00A66C31" w:rsidRPr="00581203" w14:paraId="1A2DD254" w14:textId="77777777" w:rsidTr="00D802E8">
        <w:trPr>
          <w:trHeight w:val="1286"/>
        </w:trPr>
        <w:tc>
          <w:tcPr>
            <w:tcW w:w="1384" w:type="dxa"/>
          </w:tcPr>
          <w:p w14:paraId="04C7DEC1" w14:textId="48BA0D57" w:rsidR="00A66C31" w:rsidRPr="00A66C31" w:rsidRDefault="00A66C31" w:rsidP="00A66C31">
            <w:pPr>
              <w:rPr>
                <w:lang w:val="en-GB"/>
              </w:rPr>
            </w:pPr>
            <w:r>
              <w:rPr>
                <w:lang w:val="en-GB"/>
              </w:rPr>
              <w:t>060</w:t>
            </w:r>
          </w:p>
        </w:tc>
        <w:tc>
          <w:tcPr>
            <w:tcW w:w="7655" w:type="dxa"/>
            <w:shd w:val="clear" w:color="auto" w:fill="auto"/>
          </w:tcPr>
          <w:p w14:paraId="4F820FA8" w14:textId="77777777" w:rsidR="00A66C31" w:rsidRPr="00D802E8" w:rsidRDefault="00A66C31" w:rsidP="00A66C31">
            <w:pPr>
              <w:autoSpaceDE w:val="0"/>
              <w:autoSpaceDN w:val="0"/>
              <w:adjustRightInd w:val="0"/>
              <w:rPr>
                <w:rFonts w:ascii="Times New Roman" w:hAnsi="Times New Roman" w:cs="Times New Roman"/>
                <w:b/>
                <w:sz w:val="24"/>
                <w:lang w:val="en-GB"/>
              </w:rPr>
            </w:pPr>
            <w:r w:rsidRPr="00D802E8">
              <w:rPr>
                <w:rFonts w:ascii="Times New Roman" w:hAnsi="Times New Roman" w:cs="Times New Roman"/>
                <w:b/>
                <w:sz w:val="24"/>
                <w:lang w:val="en-GB"/>
              </w:rPr>
              <w:t>Equity and debt instruments</w:t>
            </w:r>
          </w:p>
          <w:p w14:paraId="02B94F8F" w14:textId="30D382F7" w:rsidR="00A66C31" w:rsidRPr="00D802E8" w:rsidRDefault="00A66C31" w:rsidP="00D802E8">
            <w:pPr>
              <w:pStyle w:val="Institutionquisigne"/>
              <w:spacing w:before="120"/>
              <w:rPr>
                <w:b/>
              </w:rPr>
            </w:pPr>
            <w:r w:rsidRPr="00D802E8">
              <w:rPr>
                <w:i w:val="0"/>
              </w:rPr>
              <w:t xml:space="preserve">Collateral obtained by taking possession of equity or debt instruments </w:t>
            </w:r>
            <w:proofErr w:type="gramStart"/>
            <w:r w:rsidR="0017224C" w:rsidRPr="00D802E8">
              <w:rPr>
                <w:i w:val="0"/>
              </w:rPr>
              <w:t>shall</w:t>
            </w:r>
            <w:r w:rsidRPr="00D802E8">
              <w:rPr>
                <w:i w:val="0"/>
              </w:rPr>
              <w:t xml:space="preserve"> be </w:t>
            </w:r>
            <w:r w:rsidR="00D802E8" w:rsidRPr="00D802E8">
              <w:rPr>
                <w:i w:val="0"/>
              </w:rPr>
              <w:t>disclosed</w:t>
            </w:r>
            <w:proofErr w:type="gramEnd"/>
            <w:r w:rsidRPr="00D802E8">
              <w:rPr>
                <w:i w:val="0"/>
              </w:rPr>
              <w:t xml:space="preserve"> in this row.</w:t>
            </w:r>
          </w:p>
        </w:tc>
      </w:tr>
      <w:tr w:rsidR="00A66C31" w:rsidRPr="00581203" w14:paraId="5A3486EF" w14:textId="77777777" w:rsidTr="00A66C31">
        <w:trPr>
          <w:trHeight w:val="1286"/>
        </w:trPr>
        <w:tc>
          <w:tcPr>
            <w:tcW w:w="1384" w:type="dxa"/>
          </w:tcPr>
          <w:p w14:paraId="7FF83C58" w14:textId="77413E5F" w:rsidR="00A66C31" w:rsidRPr="00A66C31" w:rsidRDefault="00A66C31" w:rsidP="00A66C31">
            <w:pPr>
              <w:rPr>
                <w:lang w:val="en-GB"/>
              </w:rPr>
            </w:pPr>
            <w:r>
              <w:rPr>
                <w:lang w:val="en-GB"/>
              </w:rPr>
              <w:t>070</w:t>
            </w:r>
          </w:p>
        </w:tc>
        <w:tc>
          <w:tcPr>
            <w:tcW w:w="7655" w:type="dxa"/>
          </w:tcPr>
          <w:p w14:paraId="046F9DB8" w14:textId="77777777" w:rsidR="00A66C31" w:rsidRDefault="00A66C31" w:rsidP="00A66C31">
            <w:pPr>
              <w:autoSpaceDE w:val="0"/>
              <w:autoSpaceDN w:val="0"/>
              <w:adjustRightInd w:val="0"/>
              <w:rPr>
                <w:rFonts w:ascii="Times New Roman" w:hAnsi="Times New Roman" w:cs="Times New Roman"/>
                <w:b/>
                <w:sz w:val="24"/>
                <w:lang w:val="en-GB"/>
              </w:rPr>
            </w:pPr>
            <w:r>
              <w:rPr>
                <w:rFonts w:ascii="Times New Roman" w:hAnsi="Times New Roman" w:cs="Times New Roman"/>
                <w:b/>
                <w:sz w:val="24"/>
                <w:lang w:val="en-GB"/>
              </w:rPr>
              <w:t xml:space="preserve">Other </w:t>
            </w:r>
            <w:r w:rsidRPr="00451ED7">
              <w:rPr>
                <w:rFonts w:ascii="Times New Roman" w:hAnsi="Times New Roman" w:cs="Times New Roman"/>
                <w:b/>
                <w:sz w:val="24"/>
                <w:lang w:val="en-GB"/>
              </w:rPr>
              <w:t>collateral</w:t>
            </w:r>
          </w:p>
          <w:p w14:paraId="713004C9" w14:textId="5FB0A16B" w:rsidR="00A66C31" w:rsidRPr="00A66C31" w:rsidRDefault="00451ED7" w:rsidP="000300DD">
            <w:pPr>
              <w:pStyle w:val="Institutionquisigne"/>
              <w:spacing w:before="120"/>
              <w:rPr>
                <w:b/>
              </w:rPr>
            </w:pPr>
            <w:r>
              <w:rPr>
                <w:i w:val="0"/>
              </w:rPr>
              <w:t>C</w:t>
            </w:r>
            <w:r w:rsidRPr="00A66C31">
              <w:rPr>
                <w:i w:val="0"/>
              </w:rPr>
              <w:t xml:space="preserve">ollateral obtained by taking possession not falling into the categories of the other rows. If the amount </w:t>
            </w:r>
            <w:r>
              <w:rPr>
                <w:i w:val="0"/>
              </w:rPr>
              <w:t>disclosed</w:t>
            </w:r>
            <w:r w:rsidRPr="00A66C31">
              <w:rPr>
                <w:i w:val="0"/>
              </w:rPr>
              <w:t xml:space="preserve"> in this row is relatively material, institutions </w:t>
            </w:r>
            <w:proofErr w:type="gramStart"/>
            <w:r w:rsidRPr="00A66C31">
              <w:rPr>
                <w:i w:val="0"/>
              </w:rPr>
              <w:t>are asked</w:t>
            </w:r>
            <w:proofErr w:type="gramEnd"/>
            <w:r w:rsidRPr="00A66C31">
              <w:rPr>
                <w:i w:val="0"/>
              </w:rPr>
              <w:t xml:space="preserve"> to provide additional information in </w:t>
            </w:r>
            <w:r>
              <w:rPr>
                <w:i w:val="0"/>
              </w:rPr>
              <w:t>the narrative accompanying this template</w:t>
            </w:r>
            <w:r w:rsidRPr="00A66C31">
              <w:rPr>
                <w:i w:val="0"/>
              </w:rPr>
              <w:t>.</w:t>
            </w:r>
          </w:p>
        </w:tc>
      </w:tr>
      <w:tr w:rsidR="00A66C31" w:rsidRPr="00581203" w14:paraId="59E99FF8" w14:textId="77777777" w:rsidTr="00B302D5">
        <w:trPr>
          <w:trHeight w:val="316"/>
        </w:trPr>
        <w:tc>
          <w:tcPr>
            <w:tcW w:w="1384" w:type="dxa"/>
          </w:tcPr>
          <w:p w14:paraId="00A61BF7" w14:textId="546B3A7A" w:rsidR="00A66C31" w:rsidRPr="0043712F" w:rsidRDefault="00A66C31" w:rsidP="00B302D5">
            <w:pPr>
              <w:autoSpaceDE w:val="0"/>
              <w:autoSpaceDN w:val="0"/>
              <w:adjustRightInd w:val="0"/>
              <w:rPr>
                <w:rFonts w:ascii="Times New Roman" w:hAnsi="Times New Roman" w:cs="Times New Roman"/>
                <w:color w:val="000000"/>
                <w:sz w:val="24"/>
                <w:lang w:val="en-GB"/>
              </w:rPr>
            </w:pPr>
            <w:r>
              <w:rPr>
                <w:rFonts w:ascii="Times New Roman" w:hAnsi="Times New Roman" w:cs="Times New Roman"/>
                <w:color w:val="000000"/>
                <w:sz w:val="24"/>
                <w:lang w:val="en-GB"/>
              </w:rPr>
              <w:t>080</w:t>
            </w:r>
          </w:p>
        </w:tc>
        <w:tc>
          <w:tcPr>
            <w:tcW w:w="7655" w:type="dxa"/>
          </w:tcPr>
          <w:p w14:paraId="7F8B91E4" w14:textId="77777777" w:rsidR="00A66C31" w:rsidRDefault="00A66C31" w:rsidP="00B302D5">
            <w:pPr>
              <w:autoSpaceDE w:val="0"/>
              <w:autoSpaceDN w:val="0"/>
              <w:adjustRightInd w:val="0"/>
              <w:rPr>
                <w:rFonts w:ascii="Times New Roman" w:hAnsi="Times New Roman" w:cs="Times New Roman"/>
                <w:b/>
                <w:sz w:val="24"/>
                <w:lang w:val="en-GB"/>
              </w:rPr>
            </w:pPr>
            <w:r>
              <w:rPr>
                <w:rFonts w:ascii="Times New Roman" w:hAnsi="Times New Roman" w:cs="Times New Roman"/>
                <w:b/>
                <w:sz w:val="24"/>
                <w:lang w:val="en-GB"/>
              </w:rPr>
              <w:t xml:space="preserve">Total </w:t>
            </w:r>
          </w:p>
          <w:p w14:paraId="2868DCC1" w14:textId="77777777" w:rsidR="00A66C31" w:rsidRPr="003F5E9A" w:rsidRDefault="00A66C31" w:rsidP="00B302D5">
            <w:pPr>
              <w:autoSpaceDE w:val="0"/>
              <w:autoSpaceDN w:val="0"/>
              <w:adjustRightInd w:val="0"/>
              <w:rPr>
                <w:rFonts w:ascii="Times New Roman" w:hAnsi="Times New Roman" w:cs="Times New Roman"/>
                <w:b/>
                <w:sz w:val="24"/>
                <w:lang w:val="en-GB"/>
              </w:rPr>
            </w:pPr>
          </w:p>
        </w:tc>
      </w:tr>
    </w:tbl>
    <w:p w14:paraId="72AACE59" w14:textId="77777777" w:rsidR="00A66C31" w:rsidRPr="0043712F" w:rsidRDefault="00A66C31" w:rsidP="00A66C31">
      <w:pPr>
        <w:rPr>
          <w:rFonts w:ascii="Times New Roman" w:hAnsi="Times New Roman" w:cs="Times New Roman"/>
          <w:sz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A66C31" w:rsidRPr="00581203" w14:paraId="2F5524C7" w14:textId="77777777" w:rsidTr="00B302D5">
        <w:trPr>
          <w:trHeight w:val="238"/>
        </w:trPr>
        <w:tc>
          <w:tcPr>
            <w:tcW w:w="9039" w:type="dxa"/>
            <w:gridSpan w:val="2"/>
            <w:shd w:val="clear" w:color="auto" w:fill="D9D9D9" w:themeFill="background1" w:themeFillShade="D9"/>
          </w:tcPr>
          <w:p w14:paraId="1DBB23B2" w14:textId="77777777" w:rsidR="00A66C31" w:rsidRPr="00581203" w:rsidRDefault="00A66C31" w:rsidP="00B302D5">
            <w:pPr>
              <w:autoSpaceDE w:val="0"/>
              <w:autoSpaceDN w:val="0"/>
              <w:adjustRightInd w:val="0"/>
              <w:rPr>
                <w:rFonts w:ascii="Times New Roman" w:hAnsi="Times New Roman" w:cs="Times New Roman"/>
                <w:b/>
                <w:sz w:val="24"/>
                <w:lang w:val="en-GB"/>
              </w:rPr>
            </w:pPr>
            <w:r w:rsidRPr="00581203">
              <w:rPr>
                <w:rFonts w:ascii="Times New Roman" w:hAnsi="Times New Roman" w:cs="Times New Roman"/>
                <w:b/>
                <w:sz w:val="24"/>
                <w:lang w:val="en-GB"/>
              </w:rPr>
              <w:t>Legal references and instructions</w:t>
            </w:r>
          </w:p>
        </w:tc>
      </w:tr>
      <w:tr w:rsidR="00A66C31" w:rsidRPr="00581203" w14:paraId="57D7D448" w14:textId="77777777" w:rsidTr="00B302D5">
        <w:trPr>
          <w:trHeight w:val="238"/>
        </w:trPr>
        <w:tc>
          <w:tcPr>
            <w:tcW w:w="1384" w:type="dxa"/>
            <w:shd w:val="clear" w:color="auto" w:fill="D9D9D9" w:themeFill="background1" w:themeFillShade="D9"/>
          </w:tcPr>
          <w:p w14:paraId="7070BA36" w14:textId="77777777" w:rsidR="00A66C31" w:rsidRPr="00581203" w:rsidRDefault="00A66C31" w:rsidP="00B302D5">
            <w:pPr>
              <w:autoSpaceDE w:val="0"/>
              <w:autoSpaceDN w:val="0"/>
              <w:adjustRightInd w:val="0"/>
              <w:rPr>
                <w:rFonts w:ascii="Times New Roman" w:hAnsi="Times New Roman" w:cs="Times New Roman"/>
                <w:b/>
                <w:sz w:val="24"/>
                <w:lang w:val="en-GB"/>
              </w:rPr>
            </w:pPr>
            <w:r w:rsidRPr="00A66C31">
              <w:rPr>
                <w:rFonts w:ascii="Times New Roman" w:hAnsi="Times New Roman" w:cs="Times New Roman"/>
                <w:b/>
                <w:sz w:val="24"/>
                <w:lang w:val="en-GB"/>
              </w:rPr>
              <w:t>Column number</w:t>
            </w:r>
          </w:p>
        </w:tc>
        <w:tc>
          <w:tcPr>
            <w:tcW w:w="7655" w:type="dxa"/>
            <w:shd w:val="clear" w:color="auto" w:fill="D9D9D9" w:themeFill="background1" w:themeFillShade="D9"/>
          </w:tcPr>
          <w:p w14:paraId="2FA4943E" w14:textId="77777777" w:rsidR="00A66C31" w:rsidRPr="004D3597" w:rsidRDefault="00A66C31" w:rsidP="00B302D5">
            <w:pPr>
              <w:autoSpaceDE w:val="0"/>
              <w:autoSpaceDN w:val="0"/>
              <w:adjustRightInd w:val="0"/>
              <w:rPr>
                <w:rFonts w:ascii="Times New Roman" w:hAnsi="Times New Roman" w:cs="Times New Roman"/>
                <w:b/>
                <w:sz w:val="24"/>
                <w:lang w:val="en-GB"/>
              </w:rPr>
            </w:pPr>
            <w:r w:rsidRPr="00581203">
              <w:rPr>
                <w:rFonts w:ascii="Times New Roman" w:hAnsi="Times New Roman" w:cs="Times New Roman"/>
                <w:b/>
                <w:sz w:val="24"/>
                <w:lang w:val="en-GB"/>
              </w:rPr>
              <w:t>Explanation</w:t>
            </w:r>
          </w:p>
        </w:tc>
      </w:tr>
      <w:tr w:rsidR="00A66C31" w:rsidRPr="00581203" w14:paraId="37D4F6BC" w14:textId="77777777" w:rsidTr="00B302D5">
        <w:trPr>
          <w:trHeight w:val="841"/>
        </w:trPr>
        <w:tc>
          <w:tcPr>
            <w:tcW w:w="1384" w:type="dxa"/>
          </w:tcPr>
          <w:p w14:paraId="0DF7AC1F" w14:textId="6D7421DB" w:rsidR="00A66C31" w:rsidRPr="00581203" w:rsidRDefault="00A66C31" w:rsidP="00B302D5">
            <w:pPr>
              <w:pStyle w:val="Applicationdirecte"/>
              <w:spacing w:before="120"/>
            </w:pPr>
            <w:r>
              <w:lastRenderedPageBreak/>
              <w:t>a</w:t>
            </w:r>
          </w:p>
        </w:tc>
        <w:tc>
          <w:tcPr>
            <w:tcW w:w="7655" w:type="dxa"/>
          </w:tcPr>
          <w:p w14:paraId="7591BBC4" w14:textId="6677262C" w:rsidR="00A66C31" w:rsidRDefault="008B1A04" w:rsidP="00B302D5">
            <w:pPr>
              <w:pStyle w:val="Institutionquisigne"/>
              <w:spacing w:before="120"/>
              <w:rPr>
                <w:rFonts w:eastAsiaTheme="minorEastAsia"/>
                <w:b/>
                <w:i w:val="0"/>
              </w:rPr>
            </w:pPr>
            <w:r>
              <w:rPr>
                <w:rFonts w:eastAsiaTheme="minorEastAsia"/>
                <w:b/>
                <w:i w:val="0"/>
              </w:rPr>
              <w:t xml:space="preserve">Collateral obtained by taking possession - </w:t>
            </w:r>
            <w:r w:rsidR="00A66C31">
              <w:rPr>
                <w:rFonts w:eastAsiaTheme="minorEastAsia"/>
                <w:b/>
                <w:i w:val="0"/>
              </w:rPr>
              <w:t>Value at initial recognition</w:t>
            </w:r>
          </w:p>
          <w:p w14:paraId="27B07714" w14:textId="6AD698E2" w:rsidR="00A66C31" w:rsidRPr="00224E28" w:rsidRDefault="00A66C31" w:rsidP="00451ED7">
            <w:pPr>
              <w:pStyle w:val="Institutionquisigne"/>
              <w:spacing w:before="120"/>
            </w:pPr>
            <w:r w:rsidRPr="00A66C31">
              <w:rPr>
                <w:i w:val="0"/>
              </w:rPr>
              <w:t xml:space="preserve">The gross carrying amount of the collateral obtained by taking possession at initial recognition in the institution’s balance sheet </w:t>
            </w:r>
            <w:proofErr w:type="gramStart"/>
            <w:r w:rsidR="0017224C" w:rsidRPr="00425647">
              <w:rPr>
                <w:i w:val="0"/>
              </w:rPr>
              <w:t>shall</w:t>
            </w:r>
            <w:r w:rsidRPr="00A66C31">
              <w:rPr>
                <w:i w:val="0"/>
              </w:rPr>
              <w:t xml:space="preserve"> be </w:t>
            </w:r>
            <w:r w:rsidR="00425647">
              <w:rPr>
                <w:i w:val="0"/>
              </w:rPr>
              <w:t>disclosed</w:t>
            </w:r>
            <w:proofErr w:type="gramEnd"/>
            <w:r w:rsidRPr="00A66C31">
              <w:rPr>
                <w:i w:val="0"/>
              </w:rPr>
              <w:t xml:space="preserve"> in this column.</w:t>
            </w:r>
          </w:p>
        </w:tc>
      </w:tr>
      <w:tr w:rsidR="00A66C31" w:rsidRPr="00581203" w14:paraId="62F6DABB" w14:textId="77777777" w:rsidTr="00B302D5">
        <w:trPr>
          <w:trHeight w:val="841"/>
        </w:trPr>
        <w:tc>
          <w:tcPr>
            <w:tcW w:w="1384" w:type="dxa"/>
          </w:tcPr>
          <w:p w14:paraId="000A542E" w14:textId="1B43C420" w:rsidR="00A66C31" w:rsidRPr="00581203" w:rsidRDefault="00A66C31" w:rsidP="00B302D5">
            <w:pPr>
              <w:pStyle w:val="Applicationdirecte"/>
              <w:spacing w:before="120"/>
            </w:pPr>
            <w:r>
              <w:t>b</w:t>
            </w:r>
          </w:p>
        </w:tc>
        <w:tc>
          <w:tcPr>
            <w:tcW w:w="7655" w:type="dxa"/>
          </w:tcPr>
          <w:p w14:paraId="769592F0" w14:textId="1794136D" w:rsidR="00A66C31" w:rsidRDefault="008B1A04" w:rsidP="00B302D5">
            <w:pPr>
              <w:pStyle w:val="Fait"/>
              <w:rPr>
                <w:b/>
              </w:rPr>
            </w:pPr>
            <w:r w:rsidRPr="008B1A04">
              <w:rPr>
                <w:rFonts w:eastAsiaTheme="minorEastAsia"/>
                <w:b/>
              </w:rPr>
              <w:t xml:space="preserve">Collateral obtained by taking possession - </w:t>
            </w:r>
            <w:r w:rsidR="00A66C31" w:rsidRPr="008B1A04">
              <w:rPr>
                <w:b/>
              </w:rPr>
              <w:t>Accumulated</w:t>
            </w:r>
            <w:r w:rsidR="00A66C31">
              <w:rPr>
                <w:b/>
              </w:rPr>
              <w:t xml:space="preserve"> negative changes</w:t>
            </w:r>
          </w:p>
          <w:p w14:paraId="2E71E8A5" w14:textId="07A80A8B" w:rsidR="00A66C31" w:rsidRPr="00527061" w:rsidRDefault="00A66C31" w:rsidP="00A66C31">
            <w:pPr>
              <w:pStyle w:val="Institutionquisigne"/>
              <w:spacing w:before="120"/>
            </w:pPr>
            <w:r w:rsidRPr="00A66C31">
              <w:rPr>
                <w:i w:val="0"/>
              </w:rPr>
              <w:t xml:space="preserve">Accumulated impairment or accumulated negative changes to the initial recognition value of the collateral obtained by taking possession, as described above. Please note that accumulated negative changes due to amortisation in the case of PP&amp;E and investment properties, if applicable, </w:t>
            </w:r>
            <w:r w:rsidR="0017224C" w:rsidRPr="00425647">
              <w:rPr>
                <w:i w:val="0"/>
              </w:rPr>
              <w:t>shall</w:t>
            </w:r>
            <w:r w:rsidRPr="00A66C31">
              <w:rPr>
                <w:i w:val="0"/>
              </w:rPr>
              <w:t xml:space="preserve"> also be included.</w:t>
            </w:r>
          </w:p>
        </w:tc>
      </w:tr>
    </w:tbl>
    <w:p w14:paraId="2809B255" w14:textId="2652BBA7" w:rsidR="00A66C31" w:rsidRDefault="00A66C31" w:rsidP="00931A3F">
      <w:pPr>
        <w:autoSpaceDE w:val="0"/>
        <w:autoSpaceDN w:val="0"/>
        <w:adjustRightInd w:val="0"/>
        <w:jc w:val="both"/>
        <w:rPr>
          <w:rFonts w:ascii="Times New Roman" w:hAnsi="Times New Roman" w:cs="Times New Roman"/>
          <w:b/>
          <w:sz w:val="24"/>
          <w:lang w:val="en-GB"/>
        </w:rPr>
      </w:pPr>
    </w:p>
    <w:p w14:paraId="4EF5CDA2" w14:textId="46DEA322" w:rsidR="00B302D5" w:rsidRDefault="00B302D5" w:rsidP="00931A3F">
      <w:pPr>
        <w:autoSpaceDE w:val="0"/>
        <w:autoSpaceDN w:val="0"/>
        <w:adjustRightInd w:val="0"/>
        <w:jc w:val="both"/>
        <w:rPr>
          <w:rFonts w:ascii="Times New Roman" w:hAnsi="Times New Roman" w:cs="Times New Roman"/>
          <w:b/>
          <w:sz w:val="24"/>
          <w:lang w:val="en-GB"/>
        </w:rPr>
      </w:pPr>
    </w:p>
    <w:p w14:paraId="390AFD9B" w14:textId="2D738BA7" w:rsidR="00B302D5" w:rsidRDefault="00B302D5" w:rsidP="00B302D5">
      <w:pPr>
        <w:autoSpaceDE w:val="0"/>
        <w:autoSpaceDN w:val="0"/>
        <w:adjustRightInd w:val="0"/>
        <w:jc w:val="both"/>
        <w:rPr>
          <w:rFonts w:ascii="Times New Roman" w:hAnsi="Times New Roman" w:cs="Times New Roman"/>
          <w:b/>
          <w:sz w:val="24"/>
          <w:lang w:val="en-GB"/>
        </w:rPr>
      </w:pPr>
      <w:r>
        <w:rPr>
          <w:rFonts w:ascii="Times New Roman" w:hAnsi="Times New Roman" w:cs="Times New Roman"/>
          <w:b/>
          <w:sz w:val="24"/>
          <w:lang w:val="en-GB"/>
        </w:rPr>
        <w:t xml:space="preserve">Template </w:t>
      </w:r>
      <w:r w:rsidR="00312A27">
        <w:rPr>
          <w:rFonts w:ascii="Times New Roman" w:hAnsi="Times New Roman" w:cs="Times New Roman"/>
          <w:b/>
          <w:sz w:val="24"/>
          <w:lang w:val="en-GB"/>
        </w:rPr>
        <w:t xml:space="preserve">EU </w:t>
      </w:r>
      <w:r w:rsidR="009D2918">
        <w:rPr>
          <w:rFonts w:ascii="Times New Roman" w:hAnsi="Times New Roman" w:cs="Times New Roman"/>
          <w:b/>
          <w:sz w:val="24"/>
          <w:lang w:val="en-GB"/>
        </w:rPr>
        <w:t>CQ</w:t>
      </w:r>
      <w:r w:rsidR="00533E07">
        <w:rPr>
          <w:rFonts w:ascii="Times New Roman" w:hAnsi="Times New Roman" w:cs="Times New Roman"/>
          <w:b/>
          <w:sz w:val="24"/>
          <w:lang w:val="en-GB"/>
        </w:rPr>
        <w:t>8</w:t>
      </w:r>
      <w:r w:rsidRPr="00931A3F">
        <w:rPr>
          <w:rFonts w:ascii="Times New Roman" w:hAnsi="Times New Roman" w:cs="Times New Roman"/>
          <w:b/>
          <w:sz w:val="24"/>
          <w:lang w:val="en-GB"/>
        </w:rPr>
        <w:t xml:space="preserve">: </w:t>
      </w:r>
      <w:r w:rsidRPr="00B302D5">
        <w:rPr>
          <w:rFonts w:ascii="Times New Roman" w:hAnsi="Times New Roman" w:cs="Times New Roman"/>
          <w:b/>
          <w:sz w:val="24"/>
          <w:lang w:val="en-GB"/>
        </w:rPr>
        <w:t>Collateral obtained by taking possession and execution processes – vintage breakdown</w:t>
      </w:r>
    </w:p>
    <w:p w14:paraId="472C8A69" w14:textId="0FF67E88" w:rsidR="00312A27" w:rsidRPr="00FE38E5" w:rsidRDefault="00312A27" w:rsidP="00B256E9">
      <w:pPr>
        <w:pStyle w:val="ListParagraph"/>
        <w:numPr>
          <w:ilvl w:val="0"/>
          <w:numId w:val="45"/>
        </w:numPr>
        <w:spacing w:before="120" w:after="120"/>
        <w:jc w:val="both"/>
        <w:rPr>
          <w:rFonts w:ascii="Times New Roman" w:hAnsi="Times New Roman"/>
          <w:bCs/>
          <w:sz w:val="24"/>
        </w:rPr>
      </w:pPr>
      <w:r w:rsidRPr="00FE38E5">
        <w:rPr>
          <w:rFonts w:ascii="Times New Roman" w:hAnsi="Times New Roman"/>
          <w:bCs/>
          <w:sz w:val="24"/>
        </w:rPr>
        <w:t>Institutions shall apply the instructions provided below in this Annex in order to complete template EU CQ</w:t>
      </w:r>
      <w:r w:rsidR="008B36A8" w:rsidRPr="00FE38E5">
        <w:rPr>
          <w:rFonts w:ascii="Times New Roman" w:hAnsi="Times New Roman"/>
          <w:bCs/>
          <w:sz w:val="24"/>
        </w:rPr>
        <w:t>8</w:t>
      </w:r>
      <w:r w:rsidRPr="00FE38E5">
        <w:rPr>
          <w:rFonts w:ascii="Times New Roman" w:hAnsi="Times New Roman"/>
          <w:bCs/>
          <w:sz w:val="24"/>
        </w:rPr>
        <w:t xml:space="preserve"> as presented in Annex </w:t>
      </w:r>
      <w:r w:rsidR="00A82A03">
        <w:rPr>
          <w:rFonts w:ascii="Times New Roman" w:hAnsi="Times New Roman"/>
          <w:bCs/>
          <w:sz w:val="24"/>
        </w:rPr>
        <w:t>XV</w:t>
      </w:r>
      <w:r w:rsidR="004643EE">
        <w:rPr>
          <w:rFonts w:ascii="Times New Roman" w:hAnsi="Times New Roman"/>
          <w:bCs/>
          <w:sz w:val="24"/>
        </w:rPr>
        <w:t xml:space="preserve"> to this Implementing Regulation</w:t>
      </w:r>
      <w:r w:rsidRPr="00FE38E5">
        <w:rPr>
          <w:rFonts w:ascii="Times New Roman" w:hAnsi="Times New Roman"/>
          <w:bCs/>
          <w:sz w:val="24"/>
        </w:rPr>
        <w:t xml:space="preserve">, in application of </w:t>
      </w:r>
      <w:r w:rsidR="00D6319A">
        <w:rPr>
          <w:rFonts w:ascii="Times New Roman" w:hAnsi="Times New Roman"/>
          <w:bCs/>
          <w:sz w:val="24"/>
        </w:rPr>
        <w:t xml:space="preserve">point (c) of </w:t>
      </w:r>
      <w:r w:rsidRPr="00FE38E5">
        <w:rPr>
          <w:rFonts w:ascii="Times New Roman" w:hAnsi="Times New Roman"/>
          <w:bCs/>
          <w:sz w:val="24"/>
        </w:rPr>
        <w:t xml:space="preserve">Article 442 </w:t>
      </w:r>
      <w:r w:rsidRPr="00FE38E5">
        <w:rPr>
          <w:rFonts w:ascii="Times New Roman" w:hAnsi="Times New Roman"/>
          <w:noProof/>
          <w:color w:val="000000"/>
          <w:sz w:val="24"/>
        </w:rPr>
        <w:t>CRR</w:t>
      </w:r>
      <w:r w:rsidRPr="00FE38E5">
        <w:rPr>
          <w:rFonts w:ascii="Times New Roman" w:hAnsi="Times New Roman"/>
          <w:bCs/>
          <w:sz w:val="24"/>
        </w:rPr>
        <w:t>.</w:t>
      </w:r>
    </w:p>
    <w:p w14:paraId="44C15026" w14:textId="77777777" w:rsidR="00312A27" w:rsidRDefault="00312A27" w:rsidP="00B302D5">
      <w:pPr>
        <w:autoSpaceDE w:val="0"/>
        <w:autoSpaceDN w:val="0"/>
        <w:adjustRightInd w:val="0"/>
        <w:jc w:val="both"/>
        <w:rPr>
          <w:rFonts w:ascii="Times New Roman" w:hAnsi="Times New Roman" w:cs="Times New Roman"/>
          <w:b/>
          <w:sz w:val="24"/>
          <w:lang w:val="en-GB"/>
        </w:rPr>
      </w:pPr>
    </w:p>
    <w:p w14:paraId="795907AC" w14:textId="77777777" w:rsidR="00B302D5" w:rsidRDefault="00B302D5" w:rsidP="00B302D5">
      <w:pPr>
        <w:autoSpaceDE w:val="0"/>
        <w:autoSpaceDN w:val="0"/>
        <w:adjustRightInd w:val="0"/>
        <w:jc w:val="both"/>
        <w:rPr>
          <w:rFonts w:ascii="Times New Roman" w:hAnsi="Times New Roman" w:cs="Times New Roman"/>
          <w:b/>
          <w:sz w:val="24"/>
          <w:lang w:val="en-G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231C96" w:rsidRPr="00581203" w14:paraId="65E239F2" w14:textId="77777777" w:rsidTr="00231C96">
        <w:trPr>
          <w:trHeight w:val="238"/>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88B05A" w14:textId="77777777" w:rsidR="00231C96" w:rsidRPr="00581203" w:rsidRDefault="00231C96" w:rsidP="00231C96">
            <w:pPr>
              <w:autoSpaceDE w:val="0"/>
              <w:autoSpaceDN w:val="0"/>
              <w:adjustRightInd w:val="0"/>
              <w:rPr>
                <w:rFonts w:ascii="Times New Roman" w:hAnsi="Times New Roman" w:cs="Times New Roman"/>
                <w:b/>
                <w:sz w:val="24"/>
                <w:lang w:val="en-GB"/>
              </w:rPr>
            </w:pPr>
            <w:r w:rsidRPr="00581203">
              <w:rPr>
                <w:rFonts w:ascii="Times New Roman" w:hAnsi="Times New Roman" w:cs="Times New Roman"/>
                <w:b/>
                <w:sz w:val="24"/>
                <w:lang w:val="en-GB"/>
              </w:rPr>
              <w:t>Legal references and instructions</w:t>
            </w:r>
          </w:p>
        </w:tc>
      </w:tr>
      <w:tr w:rsidR="00231C96" w:rsidRPr="0043712F" w14:paraId="7F8A0235" w14:textId="77777777" w:rsidTr="00231C96">
        <w:trPr>
          <w:trHeight w:val="238"/>
        </w:trPr>
        <w:tc>
          <w:tcPr>
            <w:tcW w:w="1384" w:type="dxa"/>
            <w:shd w:val="clear" w:color="auto" w:fill="D9D9D9" w:themeFill="background1" w:themeFillShade="D9"/>
          </w:tcPr>
          <w:p w14:paraId="32D5DD2B" w14:textId="77777777" w:rsidR="00231C96" w:rsidRPr="00581203" w:rsidRDefault="00231C96" w:rsidP="00231C96">
            <w:pPr>
              <w:autoSpaceDE w:val="0"/>
              <w:autoSpaceDN w:val="0"/>
              <w:adjustRightInd w:val="0"/>
              <w:rPr>
                <w:rFonts w:ascii="Times New Roman" w:hAnsi="Times New Roman" w:cs="Times New Roman"/>
                <w:b/>
                <w:sz w:val="24"/>
                <w:lang w:val="en-GB"/>
              </w:rPr>
            </w:pPr>
            <w:r w:rsidRPr="00313EC9">
              <w:rPr>
                <w:rFonts w:ascii="Times New Roman" w:hAnsi="Times New Roman" w:cs="Times New Roman"/>
                <w:b/>
                <w:sz w:val="24"/>
                <w:lang w:val="en-GB"/>
              </w:rPr>
              <w:t>Row number</w:t>
            </w:r>
          </w:p>
        </w:tc>
        <w:tc>
          <w:tcPr>
            <w:tcW w:w="7655" w:type="dxa"/>
            <w:shd w:val="clear" w:color="auto" w:fill="D9D9D9" w:themeFill="background1" w:themeFillShade="D9"/>
          </w:tcPr>
          <w:p w14:paraId="519295CF" w14:textId="77777777" w:rsidR="00231C96" w:rsidRPr="0043712F" w:rsidRDefault="00231C96" w:rsidP="00231C96">
            <w:pPr>
              <w:autoSpaceDE w:val="0"/>
              <w:autoSpaceDN w:val="0"/>
              <w:adjustRightInd w:val="0"/>
              <w:rPr>
                <w:rFonts w:ascii="Times New Roman" w:hAnsi="Times New Roman" w:cs="Times New Roman"/>
                <w:color w:val="000000"/>
                <w:sz w:val="24"/>
                <w:lang w:val="en-GB"/>
              </w:rPr>
            </w:pPr>
            <w:r w:rsidRPr="00581203">
              <w:rPr>
                <w:rFonts w:ascii="Times New Roman" w:hAnsi="Times New Roman" w:cs="Times New Roman"/>
                <w:b/>
                <w:sz w:val="24"/>
                <w:lang w:val="en-GB"/>
              </w:rPr>
              <w:t>Explanation</w:t>
            </w:r>
          </w:p>
        </w:tc>
      </w:tr>
      <w:tr w:rsidR="00231C96" w:rsidRPr="00A66C31" w14:paraId="6AC40C52" w14:textId="77777777" w:rsidTr="00231C96">
        <w:trPr>
          <w:trHeight w:val="1286"/>
        </w:trPr>
        <w:tc>
          <w:tcPr>
            <w:tcW w:w="1384" w:type="dxa"/>
          </w:tcPr>
          <w:p w14:paraId="6C83AD8D" w14:textId="77777777" w:rsidR="00231C96" w:rsidRPr="00A66C31" w:rsidRDefault="00231C96" w:rsidP="00231C96">
            <w:pPr>
              <w:rPr>
                <w:lang w:val="en-GB"/>
              </w:rPr>
            </w:pPr>
            <w:r>
              <w:rPr>
                <w:lang w:val="en-GB"/>
              </w:rPr>
              <w:t>010</w:t>
            </w:r>
          </w:p>
        </w:tc>
        <w:tc>
          <w:tcPr>
            <w:tcW w:w="7655" w:type="dxa"/>
          </w:tcPr>
          <w:p w14:paraId="12A5F5A2" w14:textId="77777777" w:rsidR="00231C96" w:rsidRPr="00C51B2A" w:rsidRDefault="00231C96" w:rsidP="00231C96">
            <w:pPr>
              <w:autoSpaceDE w:val="0"/>
              <w:autoSpaceDN w:val="0"/>
              <w:adjustRightInd w:val="0"/>
              <w:rPr>
                <w:rFonts w:ascii="Times New Roman" w:hAnsi="Times New Roman" w:cs="Times New Roman"/>
                <w:b/>
                <w:sz w:val="24"/>
                <w:lang w:val="en-GB"/>
              </w:rPr>
            </w:pPr>
            <w:r w:rsidRPr="00C51B2A">
              <w:rPr>
                <w:rFonts w:ascii="Times New Roman" w:hAnsi="Times New Roman" w:cs="Times New Roman"/>
                <w:b/>
                <w:sz w:val="24"/>
                <w:lang w:val="en-GB"/>
              </w:rPr>
              <w:t>Property, plant and equipment (PP&amp;E)</w:t>
            </w:r>
          </w:p>
          <w:p w14:paraId="03CD01A0" w14:textId="6D0C07FE" w:rsidR="00231C96" w:rsidRPr="00C51B2A" w:rsidRDefault="00231C96" w:rsidP="00425647">
            <w:pPr>
              <w:pStyle w:val="Institutionquisigne"/>
              <w:spacing w:before="120"/>
              <w:rPr>
                <w:i w:val="0"/>
              </w:rPr>
            </w:pPr>
            <w:r w:rsidRPr="00C51B2A">
              <w:rPr>
                <w:i w:val="0"/>
              </w:rPr>
              <w:t xml:space="preserve">The stock of collateral obtained by taking possession that remains recognised in the balance sheet at the reporting reference date and that is </w:t>
            </w:r>
            <w:proofErr w:type="gramStart"/>
            <w:r w:rsidRPr="00C51B2A">
              <w:rPr>
                <w:i w:val="0"/>
              </w:rPr>
              <w:t>classified</w:t>
            </w:r>
            <w:proofErr w:type="gramEnd"/>
            <w:r w:rsidRPr="00C51B2A">
              <w:rPr>
                <w:i w:val="0"/>
              </w:rPr>
              <w:t xml:space="preserve"> as PP&amp;E </w:t>
            </w:r>
            <w:r w:rsidR="0017224C" w:rsidRPr="00C51B2A">
              <w:rPr>
                <w:i w:val="0"/>
              </w:rPr>
              <w:t>shall</w:t>
            </w:r>
            <w:r w:rsidRPr="00C51B2A">
              <w:rPr>
                <w:i w:val="0"/>
              </w:rPr>
              <w:t xml:space="preserve"> be </w:t>
            </w:r>
            <w:r w:rsidR="00425647" w:rsidRPr="00C51B2A">
              <w:rPr>
                <w:i w:val="0"/>
              </w:rPr>
              <w:t>disclosed</w:t>
            </w:r>
            <w:r w:rsidRPr="00C51B2A">
              <w:rPr>
                <w:i w:val="0"/>
              </w:rPr>
              <w:t xml:space="preserve"> in this row.</w:t>
            </w:r>
          </w:p>
        </w:tc>
      </w:tr>
      <w:tr w:rsidR="00231C96" w:rsidRPr="00A66C31" w14:paraId="535845E9" w14:textId="77777777" w:rsidTr="00231C96">
        <w:trPr>
          <w:trHeight w:val="620"/>
        </w:trPr>
        <w:tc>
          <w:tcPr>
            <w:tcW w:w="1384" w:type="dxa"/>
          </w:tcPr>
          <w:p w14:paraId="7E19A4A4" w14:textId="77777777" w:rsidR="00231C96" w:rsidRPr="00A66C31" w:rsidRDefault="00231C96" w:rsidP="00231C96">
            <w:pPr>
              <w:rPr>
                <w:lang w:val="en-GB"/>
              </w:rPr>
            </w:pPr>
            <w:r>
              <w:rPr>
                <w:lang w:val="en-GB"/>
              </w:rPr>
              <w:t>020</w:t>
            </w:r>
          </w:p>
        </w:tc>
        <w:tc>
          <w:tcPr>
            <w:tcW w:w="7655" w:type="dxa"/>
          </w:tcPr>
          <w:p w14:paraId="38CE1546" w14:textId="77777777" w:rsidR="00231C96" w:rsidRPr="00C51B2A" w:rsidRDefault="00231C96" w:rsidP="00231C96">
            <w:pPr>
              <w:autoSpaceDE w:val="0"/>
              <w:autoSpaceDN w:val="0"/>
              <w:adjustRightInd w:val="0"/>
              <w:rPr>
                <w:rFonts w:ascii="Times New Roman" w:hAnsi="Times New Roman" w:cs="Times New Roman"/>
                <w:b/>
                <w:sz w:val="24"/>
                <w:lang w:val="en-GB"/>
              </w:rPr>
            </w:pPr>
            <w:r w:rsidRPr="00C51B2A">
              <w:rPr>
                <w:rFonts w:ascii="Times New Roman" w:hAnsi="Times New Roman" w:cs="Times New Roman"/>
                <w:b/>
                <w:sz w:val="24"/>
                <w:lang w:val="en-GB"/>
              </w:rPr>
              <w:t>Other than PP&amp;E</w:t>
            </w:r>
          </w:p>
          <w:p w14:paraId="5512F545" w14:textId="17F61A24" w:rsidR="00231C96" w:rsidRPr="00C51B2A" w:rsidRDefault="00231C96" w:rsidP="00425647">
            <w:pPr>
              <w:pStyle w:val="Institutionquisigne"/>
              <w:spacing w:before="120"/>
              <w:rPr>
                <w:b/>
              </w:rPr>
            </w:pPr>
            <w:r w:rsidRPr="00C51B2A">
              <w:rPr>
                <w:i w:val="0"/>
              </w:rPr>
              <w:t xml:space="preserve">The stock of collateral obtained by taking possession that remains recognised in the balance sheet at the reporting reference date and is not </w:t>
            </w:r>
            <w:proofErr w:type="gramStart"/>
            <w:r w:rsidRPr="00C51B2A">
              <w:rPr>
                <w:i w:val="0"/>
              </w:rPr>
              <w:t>classified</w:t>
            </w:r>
            <w:proofErr w:type="gramEnd"/>
            <w:r w:rsidRPr="00C51B2A">
              <w:rPr>
                <w:i w:val="0"/>
              </w:rPr>
              <w:t xml:space="preserve"> as PP&amp;E will automatically be </w:t>
            </w:r>
            <w:r w:rsidR="00425647" w:rsidRPr="00C51B2A">
              <w:rPr>
                <w:i w:val="0"/>
              </w:rPr>
              <w:t>disclosed</w:t>
            </w:r>
            <w:r w:rsidRPr="00C51B2A">
              <w:rPr>
                <w:i w:val="0"/>
              </w:rPr>
              <w:t xml:space="preserve"> in this row. The total stock will be calculated taking into account the initial stock (since the end of the last financial year), and the inflows and the outflows that occurred during the disclosure period (since the end of the last financial year). Collateral obtained by taking possession (other than PP&amp;E) </w:t>
            </w:r>
            <w:proofErr w:type="gramStart"/>
            <w:r w:rsidRPr="00C51B2A">
              <w:rPr>
                <w:i w:val="0"/>
              </w:rPr>
              <w:t xml:space="preserve">is </w:t>
            </w:r>
            <w:r w:rsidR="00425647" w:rsidRPr="00C51B2A">
              <w:rPr>
                <w:i w:val="0"/>
              </w:rPr>
              <w:t>disclosed</w:t>
            </w:r>
            <w:proofErr w:type="gramEnd"/>
            <w:r w:rsidRPr="00C51B2A">
              <w:rPr>
                <w:i w:val="0"/>
              </w:rPr>
              <w:t xml:space="preserve"> in rows by type of collateral.</w:t>
            </w:r>
          </w:p>
        </w:tc>
      </w:tr>
      <w:tr w:rsidR="00231C96" w:rsidRPr="00A66C31" w14:paraId="022A04A1" w14:textId="77777777" w:rsidTr="00231C96">
        <w:trPr>
          <w:trHeight w:val="1286"/>
        </w:trPr>
        <w:tc>
          <w:tcPr>
            <w:tcW w:w="1384" w:type="dxa"/>
          </w:tcPr>
          <w:p w14:paraId="7C7EE06B" w14:textId="77777777" w:rsidR="00231C96" w:rsidRPr="00A66C31" w:rsidRDefault="00231C96" w:rsidP="00231C96">
            <w:pPr>
              <w:rPr>
                <w:lang w:val="en-GB"/>
              </w:rPr>
            </w:pPr>
            <w:r>
              <w:rPr>
                <w:lang w:val="en-GB"/>
              </w:rPr>
              <w:t>030</w:t>
            </w:r>
          </w:p>
        </w:tc>
        <w:tc>
          <w:tcPr>
            <w:tcW w:w="7655" w:type="dxa"/>
          </w:tcPr>
          <w:p w14:paraId="2A7474D7" w14:textId="77777777" w:rsidR="00231C96" w:rsidRDefault="00231C96" w:rsidP="00231C96">
            <w:pPr>
              <w:autoSpaceDE w:val="0"/>
              <w:autoSpaceDN w:val="0"/>
              <w:adjustRightInd w:val="0"/>
              <w:rPr>
                <w:rFonts w:ascii="Times New Roman" w:hAnsi="Times New Roman" w:cs="Times New Roman"/>
                <w:b/>
                <w:sz w:val="24"/>
                <w:lang w:val="en-GB"/>
              </w:rPr>
            </w:pPr>
            <w:r>
              <w:rPr>
                <w:rFonts w:ascii="Times New Roman" w:hAnsi="Times New Roman" w:cs="Times New Roman"/>
                <w:b/>
                <w:sz w:val="24"/>
                <w:lang w:val="en-GB"/>
              </w:rPr>
              <w:t>Residential immovable property</w:t>
            </w:r>
          </w:p>
          <w:p w14:paraId="50B31B45" w14:textId="77777777" w:rsidR="00231C96" w:rsidRPr="00A66C31" w:rsidRDefault="00231C96" w:rsidP="00231C96">
            <w:pPr>
              <w:pStyle w:val="Institutionquisigne"/>
              <w:spacing w:before="120"/>
              <w:rPr>
                <w:b/>
              </w:rPr>
            </w:pPr>
            <w:r>
              <w:rPr>
                <w:i w:val="0"/>
              </w:rPr>
              <w:t>C</w:t>
            </w:r>
            <w:r w:rsidRPr="00A66C31">
              <w:rPr>
                <w:i w:val="0"/>
              </w:rPr>
              <w:t>ollateral obtained by taking possession of residential property (e.g. houses, apartments, etc.) or property with potential use in the future as such (e.g. unfinished residential property etc.).</w:t>
            </w:r>
          </w:p>
        </w:tc>
      </w:tr>
      <w:tr w:rsidR="00231C96" w:rsidRPr="00A66C31" w14:paraId="209C0BA6" w14:textId="77777777" w:rsidTr="00231C96">
        <w:trPr>
          <w:trHeight w:val="1286"/>
        </w:trPr>
        <w:tc>
          <w:tcPr>
            <w:tcW w:w="1384" w:type="dxa"/>
          </w:tcPr>
          <w:p w14:paraId="210050CF" w14:textId="77777777" w:rsidR="00231C96" w:rsidRPr="00A66C31" w:rsidRDefault="00231C96" w:rsidP="00231C96">
            <w:pPr>
              <w:rPr>
                <w:lang w:val="en-GB"/>
              </w:rPr>
            </w:pPr>
            <w:r>
              <w:rPr>
                <w:lang w:val="en-GB"/>
              </w:rPr>
              <w:t>040</w:t>
            </w:r>
          </w:p>
        </w:tc>
        <w:tc>
          <w:tcPr>
            <w:tcW w:w="7655" w:type="dxa"/>
          </w:tcPr>
          <w:p w14:paraId="2428D125" w14:textId="77777777" w:rsidR="00231C96" w:rsidRDefault="00231C96" w:rsidP="00231C96">
            <w:pPr>
              <w:autoSpaceDE w:val="0"/>
              <w:autoSpaceDN w:val="0"/>
              <w:adjustRightInd w:val="0"/>
              <w:rPr>
                <w:rFonts w:ascii="Times New Roman" w:hAnsi="Times New Roman" w:cs="Times New Roman"/>
                <w:b/>
                <w:sz w:val="24"/>
                <w:lang w:val="en-GB"/>
              </w:rPr>
            </w:pPr>
            <w:r>
              <w:rPr>
                <w:rFonts w:ascii="Times New Roman" w:hAnsi="Times New Roman" w:cs="Times New Roman"/>
                <w:b/>
                <w:sz w:val="24"/>
                <w:lang w:val="en-GB"/>
              </w:rPr>
              <w:t>Commercial immovable property</w:t>
            </w:r>
          </w:p>
          <w:p w14:paraId="4CEC4EE8" w14:textId="35E6CAF5" w:rsidR="00231C96" w:rsidRPr="00A66C31" w:rsidRDefault="00231C96" w:rsidP="00231C96">
            <w:pPr>
              <w:pStyle w:val="Institutionquisigne"/>
              <w:spacing w:before="120"/>
              <w:rPr>
                <w:b/>
              </w:rPr>
            </w:pPr>
            <w:r>
              <w:rPr>
                <w:i w:val="0"/>
              </w:rPr>
              <w:t>C</w:t>
            </w:r>
            <w:r w:rsidRPr="00A66C31">
              <w:rPr>
                <w:i w:val="0"/>
              </w:rPr>
              <w:t xml:space="preserve">ollateral obtained by taking possession of commercial or industrial property that </w:t>
            </w:r>
            <w:proofErr w:type="gramStart"/>
            <w:r w:rsidRPr="00A66C31">
              <w:rPr>
                <w:i w:val="0"/>
              </w:rPr>
              <w:t>can be used</w:t>
            </w:r>
            <w:proofErr w:type="gramEnd"/>
            <w:r w:rsidRPr="00A66C31">
              <w:rPr>
                <w:i w:val="0"/>
              </w:rPr>
              <w:t xml:space="preserve"> for business and/or investment purposes, or of any immovable </w:t>
            </w:r>
            <w:r w:rsidRPr="00A66C31">
              <w:rPr>
                <w:i w:val="0"/>
              </w:rPr>
              <w:lastRenderedPageBreak/>
              <w:t xml:space="preserve">property that is not residential property, as described above. Land (both non-agricultural and agricultural) </w:t>
            </w:r>
            <w:r w:rsidR="0017224C" w:rsidRPr="00425647">
              <w:rPr>
                <w:i w:val="0"/>
              </w:rPr>
              <w:t>shall</w:t>
            </w:r>
            <w:r w:rsidRPr="00A66C31">
              <w:rPr>
                <w:i w:val="0"/>
              </w:rPr>
              <w:t xml:space="preserve"> also be included in this category.</w:t>
            </w:r>
          </w:p>
        </w:tc>
      </w:tr>
      <w:tr w:rsidR="00231C96" w:rsidRPr="00A66C31" w14:paraId="1B873EE0" w14:textId="77777777" w:rsidTr="00231C96">
        <w:trPr>
          <w:trHeight w:val="1286"/>
        </w:trPr>
        <w:tc>
          <w:tcPr>
            <w:tcW w:w="1384" w:type="dxa"/>
          </w:tcPr>
          <w:p w14:paraId="1D77B254" w14:textId="77777777" w:rsidR="00231C96" w:rsidRPr="00A66C31" w:rsidRDefault="00231C96" w:rsidP="00231C96">
            <w:pPr>
              <w:rPr>
                <w:lang w:val="en-GB"/>
              </w:rPr>
            </w:pPr>
            <w:r>
              <w:rPr>
                <w:lang w:val="en-GB"/>
              </w:rPr>
              <w:lastRenderedPageBreak/>
              <w:t>050</w:t>
            </w:r>
          </w:p>
        </w:tc>
        <w:tc>
          <w:tcPr>
            <w:tcW w:w="7655" w:type="dxa"/>
          </w:tcPr>
          <w:p w14:paraId="1400FDE3" w14:textId="77777777" w:rsidR="00231C96" w:rsidRDefault="00231C96" w:rsidP="00231C96">
            <w:pPr>
              <w:autoSpaceDE w:val="0"/>
              <w:autoSpaceDN w:val="0"/>
              <w:adjustRightInd w:val="0"/>
              <w:rPr>
                <w:rFonts w:ascii="Times New Roman" w:hAnsi="Times New Roman" w:cs="Times New Roman"/>
                <w:b/>
                <w:sz w:val="24"/>
                <w:lang w:val="en-GB"/>
              </w:rPr>
            </w:pPr>
            <w:r w:rsidRPr="00A66C31">
              <w:rPr>
                <w:rFonts w:ascii="Times New Roman" w:hAnsi="Times New Roman" w:cs="Times New Roman"/>
                <w:b/>
                <w:sz w:val="24"/>
                <w:lang w:val="en-GB"/>
              </w:rPr>
              <w:t>Movable property</w:t>
            </w:r>
            <w:r>
              <w:rPr>
                <w:rFonts w:ascii="Times New Roman" w:hAnsi="Times New Roman" w:cs="Times New Roman"/>
                <w:b/>
                <w:sz w:val="24"/>
                <w:lang w:val="en-GB"/>
              </w:rPr>
              <w:t xml:space="preserve"> (auto, shipping, etc.)</w:t>
            </w:r>
          </w:p>
          <w:p w14:paraId="051897E1" w14:textId="42BDDC76" w:rsidR="00231C96" w:rsidRPr="00A66C31" w:rsidRDefault="00231C96" w:rsidP="00425647">
            <w:pPr>
              <w:pStyle w:val="Institutionquisigne"/>
              <w:spacing w:before="120"/>
              <w:rPr>
                <w:b/>
              </w:rPr>
            </w:pPr>
            <w:r>
              <w:rPr>
                <w:i w:val="0"/>
              </w:rPr>
              <w:t>C</w:t>
            </w:r>
            <w:r w:rsidRPr="00A66C31">
              <w:rPr>
                <w:i w:val="0"/>
              </w:rPr>
              <w:t xml:space="preserve">ollateral obtained by taking possession of property other than immovable property </w:t>
            </w:r>
            <w:proofErr w:type="gramStart"/>
            <w:r w:rsidR="0017224C" w:rsidRPr="00425647">
              <w:rPr>
                <w:i w:val="0"/>
              </w:rPr>
              <w:t>shall</w:t>
            </w:r>
            <w:r w:rsidRPr="00A66C31">
              <w:rPr>
                <w:i w:val="0"/>
              </w:rPr>
              <w:t xml:space="preserve"> be </w:t>
            </w:r>
            <w:r w:rsidR="00425647">
              <w:rPr>
                <w:i w:val="0"/>
              </w:rPr>
              <w:t>disclosed</w:t>
            </w:r>
            <w:proofErr w:type="gramEnd"/>
            <w:r w:rsidRPr="00A66C31">
              <w:rPr>
                <w:i w:val="0"/>
              </w:rPr>
              <w:t xml:space="preserve"> in this row.</w:t>
            </w:r>
          </w:p>
        </w:tc>
      </w:tr>
      <w:tr w:rsidR="00231C96" w:rsidRPr="00A66C31" w14:paraId="07D25071" w14:textId="77777777" w:rsidTr="00231C96">
        <w:trPr>
          <w:trHeight w:val="1286"/>
        </w:trPr>
        <w:tc>
          <w:tcPr>
            <w:tcW w:w="1384" w:type="dxa"/>
          </w:tcPr>
          <w:p w14:paraId="2E83CA54" w14:textId="77777777" w:rsidR="00231C96" w:rsidRPr="00A66C31" w:rsidRDefault="00231C96" w:rsidP="00231C96">
            <w:pPr>
              <w:rPr>
                <w:lang w:val="en-GB"/>
              </w:rPr>
            </w:pPr>
            <w:r>
              <w:rPr>
                <w:lang w:val="en-GB"/>
              </w:rPr>
              <w:t>060</w:t>
            </w:r>
          </w:p>
        </w:tc>
        <w:tc>
          <w:tcPr>
            <w:tcW w:w="7655" w:type="dxa"/>
          </w:tcPr>
          <w:p w14:paraId="10F5BFC7" w14:textId="77777777" w:rsidR="00231C96" w:rsidRDefault="00231C96" w:rsidP="00231C96">
            <w:pPr>
              <w:autoSpaceDE w:val="0"/>
              <w:autoSpaceDN w:val="0"/>
              <w:adjustRightInd w:val="0"/>
              <w:rPr>
                <w:rFonts w:ascii="Times New Roman" w:hAnsi="Times New Roman" w:cs="Times New Roman"/>
                <w:b/>
                <w:sz w:val="24"/>
                <w:lang w:val="en-GB"/>
              </w:rPr>
            </w:pPr>
            <w:r>
              <w:rPr>
                <w:rFonts w:ascii="Times New Roman" w:hAnsi="Times New Roman" w:cs="Times New Roman"/>
                <w:b/>
                <w:sz w:val="24"/>
                <w:lang w:val="en-GB"/>
              </w:rPr>
              <w:t>Equity and debt instruments</w:t>
            </w:r>
          </w:p>
          <w:p w14:paraId="3ECADECE" w14:textId="6F6B380A" w:rsidR="00231C96" w:rsidRPr="00A66C31" w:rsidRDefault="00231C96" w:rsidP="00425647">
            <w:pPr>
              <w:pStyle w:val="Institutionquisigne"/>
              <w:spacing w:before="120"/>
              <w:rPr>
                <w:b/>
              </w:rPr>
            </w:pPr>
            <w:r>
              <w:rPr>
                <w:i w:val="0"/>
              </w:rPr>
              <w:t>C</w:t>
            </w:r>
            <w:r w:rsidRPr="00A66C31">
              <w:rPr>
                <w:i w:val="0"/>
              </w:rPr>
              <w:t xml:space="preserve">ollateral obtained by taking possession of equity or debt instruments </w:t>
            </w:r>
            <w:proofErr w:type="gramStart"/>
            <w:r w:rsidR="0017224C" w:rsidRPr="00425647">
              <w:rPr>
                <w:i w:val="0"/>
              </w:rPr>
              <w:t>shall</w:t>
            </w:r>
            <w:r w:rsidRPr="00A66C31">
              <w:rPr>
                <w:i w:val="0"/>
              </w:rPr>
              <w:t xml:space="preserve"> be </w:t>
            </w:r>
            <w:r w:rsidR="00425647">
              <w:rPr>
                <w:i w:val="0"/>
              </w:rPr>
              <w:t>disclosed</w:t>
            </w:r>
            <w:proofErr w:type="gramEnd"/>
            <w:r w:rsidRPr="00A66C31">
              <w:rPr>
                <w:i w:val="0"/>
              </w:rPr>
              <w:t xml:space="preserve"> in this row.</w:t>
            </w:r>
          </w:p>
        </w:tc>
      </w:tr>
      <w:tr w:rsidR="00231C96" w:rsidRPr="00A66C31" w14:paraId="1FEB5CFB" w14:textId="77777777" w:rsidTr="00231C96">
        <w:trPr>
          <w:trHeight w:val="1286"/>
        </w:trPr>
        <w:tc>
          <w:tcPr>
            <w:tcW w:w="1384" w:type="dxa"/>
          </w:tcPr>
          <w:p w14:paraId="2A64BD18" w14:textId="77777777" w:rsidR="00231C96" w:rsidRPr="00A66C31" w:rsidRDefault="00231C96" w:rsidP="00231C96">
            <w:pPr>
              <w:rPr>
                <w:lang w:val="en-GB"/>
              </w:rPr>
            </w:pPr>
            <w:r>
              <w:rPr>
                <w:lang w:val="en-GB"/>
              </w:rPr>
              <w:t>070</w:t>
            </w:r>
          </w:p>
        </w:tc>
        <w:tc>
          <w:tcPr>
            <w:tcW w:w="7655" w:type="dxa"/>
          </w:tcPr>
          <w:p w14:paraId="75B7047A" w14:textId="77777777" w:rsidR="00231C96" w:rsidRDefault="00231C96" w:rsidP="00231C96">
            <w:pPr>
              <w:autoSpaceDE w:val="0"/>
              <w:autoSpaceDN w:val="0"/>
              <w:adjustRightInd w:val="0"/>
              <w:rPr>
                <w:rFonts w:ascii="Times New Roman" w:hAnsi="Times New Roman" w:cs="Times New Roman"/>
                <w:b/>
                <w:sz w:val="24"/>
                <w:lang w:val="en-GB"/>
              </w:rPr>
            </w:pPr>
            <w:r>
              <w:rPr>
                <w:rFonts w:ascii="Times New Roman" w:hAnsi="Times New Roman" w:cs="Times New Roman"/>
                <w:b/>
                <w:sz w:val="24"/>
                <w:lang w:val="en-GB"/>
              </w:rPr>
              <w:t xml:space="preserve">Other </w:t>
            </w:r>
            <w:r w:rsidRPr="00451ED7">
              <w:rPr>
                <w:rFonts w:ascii="Times New Roman" w:hAnsi="Times New Roman" w:cs="Times New Roman"/>
                <w:b/>
                <w:sz w:val="24"/>
                <w:lang w:val="en-GB"/>
              </w:rPr>
              <w:t>collateral</w:t>
            </w:r>
          </w:p>
          <w:p w14:paraId="0933B675" w14:textId="439E12B2" w:rsidR="00231C96" w:rsidRPr="00A66C31" w:rsidRDefault="00231C96" w:rsidP="00451ED7">
            <w:pPr>
              <w:pStyle w:val="Institutionquisigne"/>
              <w:spacing w:before="120"/>
              <w:rPr>
                <w:b/>
              </w:rPr>
            </w:pPr>
            <w:r>
              <w:rPr>
                <w:i w:val="0"/>
              </w:rPr>
              <w:t>C</w:t>
            </w:r>
            <w:r w:rsidRPr="00A66C31">
              <w:rPr>
                <w:i w:val="0"/>
              </w:rPr>
              <w:t xml:space="preserve">ollateral obtained by taking possession not falling into the categories of the other rows. If the amount </w:t>
            </w:r>
            <w:r w:rsidR="00425647">
              <w:rPr>
                <w:i w:val="0"/>
              </w:rPr>
              <w:t>disclosed</w:t>
            </w:r>
            <w:r w:rsidRPr="00A66C31">
              <w:rPr>
                <w:i w:val="0"/>
              </w:rPr>
              <w:t xml:space="preserve"> in this row is relatively material, institutions </w:t>
            </w:r>
            <w:proofErr w:type="gramStart"/>
            <w:r w:rsidRPr="00A66C31">
              <w:rPr>
                <w:i w:val="0"/>
              </w:rPr>
              <w:t>are asked</w:t>
            </w:r>
            <w:proofErr w:type="gramEnd"/>
            <w:r w:rsidRPr="00A66C31">
              <w:rPr>
                <w:i w:val="0"/>
              </w:rPr>
              <w:t xml:space="preserve"> to provide additional information in </w:t>
            </w:r>
            <w:r w:rsidR="000300DD">
              <w:rPr>
                <w:i w:val="0"/>
              </w:rPr>
              <w:t>the narrative accompanying this template</w:t>
            </w:r>
            <w:r w:rsidRPr="00A66C31">
              <w:rPr>
                <w:i w:val="0"/>
              </w:rPr>
              <w:t>.</w:t>
            </w:r>
          </w:p>
        </w:tc>
      </w:tr>
      <w:tr w:rsidR="00231C96" w:rsidRPr="003F5E9A" w14:paraId="2EAE6861" w14:textId="77777777" w:rsidTr="00231C96">
        <w:trPr>
          <w:trHeight w:val="316"/>
        </w:trPr>
        <w:tc>
          <w:tcPr>
            <w:tcW w:w="1384" w:type="dxa"/>
          </w:tcPr>
          <w:p w14:paraId="235ABEAF" w14:textId="77777777" w:rsidR="00231C96" w:rsidRPr="0043712F" w:rsidRDefault="00231C96" w:rsidP="00231C96">
            <w:pPr>
              <w:autoSpaceDE w:val="0"/>
              <w:autoSpaceDN w:val="0"/>
              <w:adjustRightInd w:val="0"/>
              <w:rPr>
                <w:rFonts w:ascii="Times New Roman" w:hAnsi="Times New Roman" w:cs="Times New Roman"/>
                <w:color w:val="000000"/>
                <w:sz w:val="24"/>
                <w:lang w:val="en-GB"/>
              </w:rPr>
            </w:pPr>
            <w:r>
              <w:rPr>
                <w:rFonts w:ascii="Times New Roman" w:hAnsi="Times New Roman" w:cs="Times New Roman"/>
                <w:color w:val="000000"/>
                <w:sz w:val="24"/>
                <w:lang w:val="en-GB"/>
              </w:rPr>
              <w:t>080</w:t>
            </w:r>
          </w:p>
        </w:tc>
        <w:tc>
          <w:tcPr>
            <w:tcW w:w="7655" w:type="dxa"/>
          </w:tcPr>
          <w:p w14:paraId="6B520D92" w14:textId="77777777" w:rsidR="00231C96" w:rsidRDefault="00231C96" w:rsidP="00231C96">
            <w:pPr>
              <w:autoSpaceDE w:val="0"/>
              <w:autoSpaceDN w:val="0"/>
              <w:adjustRightInd w:val="0"/>
              <w:rPr>
                <w:rFonts w:ascii="Times New Roman" w:hAnsi="Times New Roman" w:cs="Times New Roman"/>
                <w:b/>
                <w:sz w:val="24"/>
                <w:lang w:val="en-GB"/>
              </w:rPr>
            </w:pPr>
            <w:r>
              <w:rPr>
                <w:rFonts w:ascii="Times New Roman" w:hAnsi="Times New Roman" w:cs="Times New Roman"/>
                <w:b/>
                <w:sz w:val="24"/>
                <w:lang w:val="en-GB"/>
              </w:rPr>
              <w:t xml:space="preserve">Total </w:t>
            </w:r>
          </w:p>
          <w:p w14:paraId="45DF9D9D" w14:textId="77777777" w:rsidR="00231C96" w:rsidRPr="003F5E9A" w:rsidRDefault="00231C96" w:rsidP="00231C96">
            <w:pPr>
              <w:autoSpaceDE w:val="0"/>
              <w:autoSpaceDN w:val="0"/>
              <w:adjustRightInd w:val="0"/>
              <w:rPr>
                <w:rFonts w:ascii="Times New Roman" w:hAnsi="Times New Roman" w:cs="Times New Roman"/>
                <w:b/>
                <w:sz w:val="24"/>
                <w:lang w:val="en-GB"/>
              </w:rPr>
            </w:pPr>
          </w:p>
        </w:tc>
      </w:tr>
      <w:tr w:rsidR="00B302D5" w:rsidRPr="00581203" w14:paraId="5E1370CB" w14:textId="77777777" w:rsidTr="00B302D5">
        <w:trPr>
          <w:trHeight w:val="238"/>
        </w:trPr>
        <w:tc>
          <w:tcPr>
            <w:tcW w:w="9039" w:type="dxa"/>
            <w:gridSpan w:val="2"/>
            <w:shd w:val="clear" w:color="auto" w:fill="D9D9D9" w:themeFill="background1" w:themeFillShade="D9"/>
          </w:tcPr>
          <w:p w14:paraId="0F9B90EC" w14:textId="471DB4A3" w:rsidR="00231C96" w:rsidRPr="00581203" w:rsidRDefault="00B302D5" w:rsidP="00B302D5">
            <w:pPr>
              <w:autoSpaceDE w:val="0"/>
              <w:autoSpaceDN w:val="0"/>
              <w:adjustRightInd w:val="0"/>
              <w:rPr>
                <w:rFonts w:ascii="Times New Roman" w:hAnsi="Times New Roman" w:cs="Times New Roman"/>
                <w:b/>
                <w:sz w:val="24"/>
                <w:lang w:val="en-GB"/>
              </w:rPr>
            </w:pPr>
            <w:r w:rsidRPr="00581203">
              <w:rPr>
                <w:rFonts w:ascii="Times New Roman" w:hAnsi="Times New Roman" w:cs="Times New Roman"/>
                <w:b/>
                <w:sz w:val="24"/>
                <w:lang w:val="en-GB"/>
              </w:rPr>
              <w:t>Legal references and instructions</w:t>
            </w:r>
          </w:p>
        </w:tc>
      </w:tr>
      <w:tr w:rsidR="00B302D5" w:rsidRPr="00581203" w14:paraId="26037BD5" w14:textId="77777777" w:rsidTr="00B302D5">
        <w:trPr>
          <w:trHeight w:val="238"/>
        </w:trPr>
        <w:tc>
          <w:tcPr>
            <w:tcW w:w="1384" w:type="dxa"/>
            <w:shd w:val="clear" w:color="auto" w:fill="D9D9D9" w:themeFill="background1" w:themeFillShade="D9"/>
          </w:tcPr>
          <w:p w14:paraId="2ADB0B64" w14:textId="77777777" w:rsidR="00B302D5" w:rsidRPr="00425647" w:rsidRDefault="00B302D5" w:rsidP="00B302D5">
            <w:pPr>
              <w:autoSpaceDE w:val="0"/>
              <w:autoSpaceDN w:val="0"/>
              <w:adjustRightInd w:val="0"/>
              <w:rPr>
                <w:rFonts w:ascii="Times New Roman" w:hAnsi="Times New Roman" w:cs="Times New Roman"/>
                <w:b/>
                <w:sz w:val="24"/>
                <w:lang w:val="en-GB"/>
              </w:rPr>
            </w:pPr>
            <w:r w:rsidRPr="00425647">
              <w:rPr>
                <w:rFonts w:ascii="Times New Roman" w:hAnsi="Times New Roman" w:cs="Times New Roman"/>
                <w:b/>
                <w:sz w:val="24"/>
                <w:lang w:val="en-GB"/>
              </w:rPr>
              <w:t>Column number</w:t>
            </w:r>
          </w:p>
        </w:tc>
        <w:tc>
          <w:tcPr>
            <w:tcW w:w="7655" w:type="dxa"/>
            <w:shd w:val="clear" w:color="auto" w:fill="D9D9D9" w:themeFill="background1" w:themeFillShade="D9"/>
          </w:tcPr>
          <w:p w14:paraId="3050C788" w14:textId="77777777" w:rsidR="00B302D5" w:rsidRPr="00425647" w:rsidRDefault="00B302D5" w:rsidP="00B302D5">
            <w:pPr>
              <w:autoSpaceDE w:val="0"/>
              <w:autoSpaceDN w:val="0"/>
              <w:adjustRightInd w:val="0"/>
              <w:rPr>
                <w:rFonts w:ascii="Times New Roman" w:hAnsi="Times New Roman" w:cs="Times New Roman"/>
                <w:b/>
                <w:sz w:val="24"/>
                <w:lang w:val="en-GB"/>
              </w:rPr>
            </w:pPr>
            <w:r w:rsidRPr="00425647">
              <w:rPr>
                <w:rFonts w:ascii="Times New Roman" w:hAnsi="Times New Roman" w:cs="Times New Roman"/>
                <w:b/>
                <w:sz w:val="24"/>
                <w:lang w:val="en-GB"/>
              </w:rPr>
              <w:t>Explanation</w:t>
            </w:r>
          </w:p>
        </w:tc>
      </w:tr>
      <w:tr w:rsidR="00B302D5" w:rsidRPr="00581203" w14:paraId="4A491095" w14:textId="77777777" w:rsidTr="00B302D5">
        <w:trPr>
          <w:trHeight w:val="841"/>
        </w:trPr>
        <w:tc>
          <w:tcPr>
            <w:tcW w:w="1384" w:type="dxa"/>
          </w:tcPr>
          <w:p w14:paraId="6EB26288" w14:textId="72FCB6D6" w:rsidR="00B302D5" w:rsidRPr="00425647" w:rsidRDefault="009F6890" w:rsidP="00B302D5">
            <w:pPr>
              <w:pStyle w:val="Applicationdirecte"/>
              <w:spacing w:before="120"/>
            </w:pPr>
            <w:r w:rsidRPr="00425647">
              <w:t>a</w:t>
            </w:r>
          </w:p>
        </w:tc>
        <w:tc>
          <w:tcPr>
            <w:tcW w:w="7655" w:type="dxa"/>
          </w:tcPr>
          <w:p w14:paraId="16E64D51" w14:textId="5CBA6E36" w:rsidR="009F6890" w:rsidRPr="00425647" w:rsidRDefault="00CF420D" w:rsidP="00B302D5">
            <w:pPr>
              <w:pStyle w:val="Institutionquisigne"/>
              <w:spacing w:before="120"/>
              <w:rPr>
                <w:rFonts w:eastAsiaTheme="minorEastAsia"/>
                <w:b/>
                <w:i w:val="0"/>
              </w:rPr>
            </w:pPr>
            <w:r w:rsidRPr="00425647">
              <w:rPr>
                <w:rFonts w:eastAsiaTheme="minorEastAsia"/>
                <w:b/>
                <w:i w:val="0"/>
              </w:rPr>
              <w:t xml:space="preserve">Debt balance reduction - </w:t>
            </w:r>
            <w:r w:rsidR="009F6890" w:rsidRPr="00425647">
              <w:rPr>
                <w:rFonts w:eastAsiaTheme="minorEastAsia"/>
                <w:b/>
                <w:i w:val="0"/>
              </w:rPr>
              <w:t>Gross carrying amount</w:t>
            </w:r>
          </w:p>
          <w:p w14:paraId="249D86CC" w14:textId="34D8E582" w:rsidR="00B302D5" w:rsidRPr="00425647" w:rsidRDefault="00FE4EA2" w:rsidP="00425647">
            <w:pPr>
              <w:pStyle w:val="Institutionquisigne"/>
              <w:spacing w:before="120"/>
            </w:pPr>
            <w:r w:rsidRPr="00425647">
              <w:rPr>
                <w:i w:val="0"/>
              </w:rPr>
              <w:t>T</w:t>
            </w:r>
            <w:r w:rsidR="009F6890" w:rsidRPr="00425647">
              <w:rPr>
                <w:i w:val="0"/>
              </w:rPr>
              <w:t xml:space="preserve">he gross amount of the debt that </w:t>
            </w:r>
            <w:proofErr w:type="gramStart"/>
            <w:r w:rsidR="009F6890" w:rsidRPr="00425647">
              <w:rPr>
                <w:i w:val="0"/>
              </w:rPr>
              <w:t>was cancelled</w:t>
            </w:r>
            <w:proofErr w:type="gramEnd"/>
            <w:r w:rsidR="009F6890" w:rsidRPr="00425647">
              <w:rPr>
                <w:i w:val="0"/>
              </w:rPr>
              <w:t xml:space="preserve"> in exchange for the collateral obtained by taking possession, at the exact moment of the exchange, through judicial procedures or bilateral agreement. The gross amount </w:t>
            </w:r>
            <w:proofErr w:type="gramStart"/>
            <w:r w:rsidR="0017224C" w:rsidRPr="00425647">
              <w:rPr>
                <w:i w:val="0"/>
              </w:rPr>
              <w:t>shall</w:t>
            </w:r>
            <w:r w:rsidR="009F6890" w:rsidRPr="00425647">
              <w:rPr>
                <w:i w:val="0"/>
              </w:rPr>
              <w:t xml:space="preserve"> be calculated</w:t>
            </w:r>
            <w:proofErr w:type="gramEnd"/>
            <w:r w:rsidR="009F6890" w:rsidRPr="00425647">
              <w:rPr>
                <w:i w:val="0"/>
              </w:rPr>
              <w:t xml:space="preserve"> as the gross reduction of the instrument balance, not taking into account any provisions. For the avoidance of doubt, balance reductions due to other reasons (e.g. cash collections) </w:t>
            </w:r>
            <w:proofErr w:type="gramStart"/>
            <w:r w:rsidR="0017224C" w:rsidRPr="00425647">
              <w:rPr>
                <w:i w:val="0"/>
              </w:rPr>
              <w:t>shall</w:t>
            </w:r>
            <w:r w:rsidR="009F6890" w:rsidRPr="00425647">
              <w:rPr>
                <w:i w:val="0"/>
              </w:rPr>
              <w:t xml:space="preserve"> not be </w:t>
            </w:r>
            <w:r w:rsidR="00425647" w:rsidRPr="00425647">
              <w:rPr>
                <w:i w:val="0"/>
              </w:rPr>
              <w:t>disclosed</w:t>
            </w:r>
            <w:proofErr w:type="gramEnd"/>
            <w:r w:rsidR="009F6890" w:rsidRPr="00425647">
              <w:rPr>
                <w:i w:val="0"/>
              </w:rPr>
              <w:t xml:space="preserve"> in this column.</w:t>
            </w:r>
          </w:p>
        </w:tc>
      </w:tr>
      <w:tr w:rsidR="00B302D5" w:rsidRPr="00581203" w14:paraId="72CA19F5" w14:textId="77777777" w:rsidTr="00B302D5">
        <w:trPr>
          <w:trHeight w:val="841"/>
        </w:trPr>
        <w:tc>
          <w:tcPr>
            <w:tcW w:w="1384" w:type="dxa"/>
          </w:tcPr>
          <w:p w14:paraId="700E011D" w14:textId="410909CB" w:rsidR="00B302D5" w:rsidRPr="00425647" w:rsidRDefault="00393D6B" w:rsidP="00B302D5">
            <w:pPr>
              <w:pStyle w:val="Applicationdirecte"/>
              <w:spacing w:before="120"/>
            </w:pPr>
            <w:r w:rsidRPr="00425647">
              <w:t>b</w:t>
            </w:r>
          </w:p>
        </w:tc>
        <w:tc>
          <w:tcPr>
            <w:tcW w:w="7655" w:type="dxa"/>
          </w:tcPr>
          <w:p w14:paraId="54E13517" w14:textId="731B6D7C" w:rsidR="009F6890" w:rsidRPr="00425647" w:rsidRDefault="00CF420D" w:rsidP="00B302D5">
            <w:pPr>
              <w:pStyle w:val="Institutionquisigne"/>
              <w:spacing w:before="120"/>
              <w:rPr>
                <w:b/>
                <w:i w:val="0"/>
              </w:rPr>
            </w:pPr>
            <w:r w:rsidRPr="00425647">
              <w:rPr>
                <w:b/>
                <w:i w:val="0"/>
              </w:rPr>
              <w:t xml:space="preserve">Debt balance reduction - </w:t>
            </w:r>
            <w:r w:rsidR="009F6890" w:rsidRPr="00425647">
              <w:rPr>
                <w:b/>
                <w:i w:val="0"/>
              </w:rPr>
              <w:t xml:space="preserve">Accumulated </w:t>
            </w:r>
            <w:r w:rsidRPr="00425647">
              <w:rPr>
                <w:b/>
                <w:i w:val="0"/>
              </w:rPr>
              <w:t>negative changes</w:t>
            </w:r>
          </w:p>
          <w:p w14:paraId="154E0AFC" w14:textId="5D1501B2" w:rsidR="000526A4" w:rsidRPr="00425647" w:rsidRDefault="000526A4" w:rsidP="00B302D5">
            <w:pPr>
              <w:pStyle w:val="Institutionquisigne"/>
              <w:spacing w:before="120"/>
              <w:rPr>
                <w:i w:val="0"/>
              </w:rPr>
            </w:pPr>
            <w:r w:rsidRPr="00425647">
              <w:rPr>
                <w:i w:val="0"/>
              </w:rPr>
              <w:t xml:space="preserve">See the definition in Template </w:t>
            </w:r>
            <w:r w:rsidR="009D2918">
              <w:rPr>
                <w:i w:val="0"/>
              </w:rPr>
              <w:t>CQ</w:t>
            </w:r>
            <w:r w:rsidR="00533E07">
              <w:rPr>
                <w:i w:val="0"/>
              </w:rPr>
              <w:t>7</w:t>
            </w:r>
            <w:r w:rsidRPr="00425647">
              <w:rPr>
                <w:i w:val="0"/>
              </w:rPr>
              <w:t>, ‘Collateral obtained by taking possession and execution processes’.</w:t>
            </w:r>
          </w:p>
          <w:p w14:paraId="10E66C01" w14:textId="546B5F69" w:rsidR="00B302D5" w:rsidRPr="00425647" w:rsidRDefault="000526A4" w:rsidP="00B302D5">
            <w:pPr>
              <w:pStyle w:val="Institutionquisigne"/>
              <w:spacing w:before="120"/>
            </w:pPr>
            <w:r w:rsidRPr="00425647">
              <w:rPr>
                <w:i w:val="0"/>
              </w:rPr>
              <w:t xml:space="preserve">Accumulated impairment or accumulated negative changes to the initial recognition value of the collateral obtained by taking possession, as described above. Please note that accumulated negative changes due to amortisation in the case of PP&amp;E and investment properties, if applicable, </w:t>
            </w:r>
            <w:r w:rsidR="0017224C" w:rsidRPr="00425647">
              <w:rPr>
                <w:i w:val="0"/>
              </w:rPr>
              <w:t>shall</w:t>
            </w:r>
            <w:r w:rsidRPr="00425647">
              <w:rPr>
                <w:i w:val="0"/>
              </w:rPr>
              <w:t xml:space="preserve"> also be included.</w:t>
            </w:r>
          </w:p>
        </w:tc>
      </w:tr>
      <w:tr w:rsidR="009F6890" w:rsidRPr="00581203" w14:paraId="41A37635" w14:textId="77777777" w:rsidTr="00B302D5">
        <w:trPr>
          <w:trHeight w:val="841"/>
        </w:trPr>
        <w:tc>
          <w:tcPr>
            <w:tcW w:w="1384" w:type="dxa"/>
          </w:tcPr>
          <w:p w14:paraId="42DDE843" w14:textId="12C98D10" w:rsidR="009F6890" w:rsidRPr="00581203" w:rsidRDefault="00393D6B" w:rsidP="00FE4EA2">
            <w:pPr>
              <w:pStyle w:val="Applicationdirecte"/>
              <w:spacing w:before="120"/>
            </w:pPr>
            <w:r>
              <w:t>c</w:t>
            </w:r>
          </w:p>
        </w:tc>
        <w:tc>
          <w:tcPr>
            <w:tcW w:w="7655" w:type="dxa"/>
          </w:tcPr>
          <w:p w14:paraId="420CE206" w14:textId="0145CB75" w:rsidR="009F6890" w:rsidRPr="00425647" w:rsidRDefault="00CF420D" w:rsidP="00B302D5">
            <w:pPr>
              <w:pStyle w:val="Institutionquisigne"/>
              <w:spacing w:before="120"/>
              <w:rPr>
                <w:b/>
                <w:i w:val="0"/>
              </w:rPr>
            </w:pPr>
            <w:r w:rsidRPr="00425647">
              <w:rPr>
                <w:b/>
                <w:i w:val="0"/>
              </w:rPr>
              <w:t xml:space="preserve">Total collateral obtained by taking possession - </w:t>
            </w:r>
            <w:r w:rsidR="009F6890" w:rsidRPr="00425647">
              <w:rPr>
                <w:b/>
                <w:i w:val="0"/>
              </w:rPr>
              <w:t>Value at initial recognition</w:t>
            </w:r>
          </w:p>
          <w:p w14:paraId="5624176C" w14:textId="0D1EAA30" w:rsidR="009F6890" w:rsidRPr="00425647" w:rsidRDefault="000526A4" w:rsidP="003918BD">
            <w:pPr>
              <w:pStyle w:val="Institutionquisigne"/>
              <w:spacing w:before="120"/>
              <w:rPr>
                <w:b/>
                <w:i w:val="0"/>
              </w:rPr>
            </w:pPr>
            <w:r w:rsidRPr="00425647">
              <w:rPr>
                <w:i w:val="0"/>
              </w:rPr>
              <w:t xml:space="preserve">The gross carrying amount of the collateral obtained by taking possession at initial recognition in the institution’s balance sheet </w:t>
            </w:r>
            <w:proofErr w:type="gramStart"/>
            <w:r w:rsidR="0017224C" w:rsidRPr="00425647">
              <w:rPr>
                <w:i w:val="0"/>
              </w:rPr>
              <w:t>shall</w:t>
            </w:r>
            <w:r w:rsidRPr="00425647">
              <w:rPr>
                <w:i w:val="0"/>
              </w:rPr>
              <w:t xml:space="preserve"> be </w:t>
            </w:r>
            <w:r w:rsidR="00451ED7">
              <w:rPr>
                <w:i w:val="0"/>
              </w:rPr>
              <w:t>disclosed</w:t>
            </w:r>
            <w:proofErr w:type="gramEnd"/>
            <w:r w:rsidRPr="00425647">
              <w:rPr>
                <w:i w:val="0"/>
              </w:rPr>
              <w:t xml:space="preserve"> in this column.</w:t>
            </w:r>
          </w:p>
        </w:tc>
      </w:tr>
      <w:tr w:rsidR="009F6890" w:rsidRPr="00581203" w14:paraId="67B2CDF3" w14:textId="77777777" w:rsidTr="00B302D5">
        <w:trPr>
          <w:trHeight w:val="841"/>
        </w:trPr>
        <w:tc>
          <w:tcPr>
            <w:tcW w:w="1384" w:type="dxa"/>
          </w:tcPr>
          <w:p w14:paraId="4259D90A" w14:textId="593549E5" w:rsidR="009F6890" w:rsidRPr="00581203" w:rsidRDefault="00393D6B" w:rsidP="00B302D5">
            <w:pPr>
              <w:pStyle w:val="Applicationdirecte"/>
              <w:spacing w:before="120"/>
            </w:pPr>
            <w:r>
              <w:lastRenderedPageBreak/>
              <w:t>d</w:t>
            </w:r>
          </w:p>
        </w:tc>
        <w:tc>
          <w:tcPr>
            <w:tcW w:w="7655" w:type="dxa"/>
          </w:tcPr>
          <w:p w14:paraId="12CA6077" w14:textId="5A36596D" w:rsidR="009F6890" w:rsidRPr="00425647" w:rsidRDefault="00CF420D" w:rsidP="00B302D5">
            <w:pPr>
              <w:pStyle w:val="Institutionquisigne"/>
              <w:spacing w:before="120"/>
              <w:rPr>
                <w:b/>
                <w:i w:val="0"/>
              </w:rPr>
            </w:pPr>
            <w:r w:rsidRPr="00425647">
              <w:rPr>
                <w:b/>
                <w:i w:val="0"/>
              </w:rPr>
              <w:t xml:space="preserve">Total collateral obtained by taking possession - </w:t>
            </w:r>
            <w:r w:rsidR="009F6890" w:rsidRPr="00425647">
              <w:rPr>
                <w:b/>
                <w:i w:val="0"/>
              </w:rPr>
              <w:t>Accumulated negative changes</w:t>
            </w:r>
          </w:p>
          <w:p w14:paraId="0BE83E83" w14:textId="243FE7F9" w:rsidR="00231C96" w:rsidRPr="00425647" w:rsidRDefault="00231C96" w:rsidP="00231C96">
            <w:pPr>
              <w:pStyle w:val="Institutionquisigne"/>
              <w:spacing w:before="120"/>
            </w:pPr>
            <w:r w:rsidRPr="00425647">
              <w:rPr>
                <w:i w:val="0"/>
              </w:rPr>
              <w:t xml:space="preserve">Accumulated impairment or accumulated negative changes to the initial recognition value of the collateral obtained by taking possession, as described above. Please note that accumulated negative changes due to amortisation in the case of PP&amp;E and investment properties, if applicable, </w:t>
            </w:r>
            <w:r w:rsidR="0017224C" w:rsidRPr="00425647">
              <w:rPr>
                <w:i w:val="0"/>
              </w:rPr>
              <w:t>shall</w:t>
            </w:r>
            <w:r w:rsidRPr="00425647">
              <w:rPr>
                <w:i w:val="0"/>
              </w:rPr>
              <w:t xml:space="preserve"> also be included.</w:t>
            </w:r>
          </w:p>
        </w:tc>
      </w:tr>
      <w:tr w:rsidR="009F6890" w:rsidRPr="00581203" w14:paraId="6F77831D" w14:textId="77777777" w:rsidTr="00B302D5">
        <w:trPr>
          <w:trHeight w:val="841"/>
        </w:trPr>
        <w:tc>
          <w:tcPr>
            <w:tcW w:w="1384" w:type="dxa"/>
          </w:tcPr>
          <w:p w14:paraId="31A8F773" w14:textId="6C60C109" w:rsidR="009F6890" w:rsidRPr="00581203" w:rsidRDefault="00393D6B" w:rsidP="00B302D5">
            <w:pPr>
              <w:pStyle w:val="Applicationdirecte"/>
              <w:spacing w:before="120"/>
            </w:pPr>
            <w:r>
              <w:t>e</w:t>
            </w:r>
          </w:p>
        </w:tc>
        <w:tc>
          <w:tcPr>
            <w:tcW w:w="7655" w:type="dxa"/>
          </w:tcPr>
          <w:p w14:paraId="365A5590" w14:textId="38ED16AB" w:rsidR="009F6890" w:rsidRPr="009F6890" w:rsidRDefault="00CF420D" w:rsidP="00B302D5">
            <w:pPr>
              <w:pStyle w:val="Institutionquisigne"/>
              <w:spacing w:before="120"/>
              <w:rPr>
                <w:b/>
                <w:i w:val="0"/>
              </w:rPr>
            </w:pPr>
            <w:r>
              <w:rPr>
                <w:b/>
                <w:i w:val="0"/>
              </w:rPr>
              <w:t xml:space="preserve">Total collateral obtained by taking possession - </w:t>
            </w:r>
            <w:r w:rsidR="009F6890" w:rsidRPr="009F6890">
              <w:rPr>
                <w:b/>
                <w:i w:val="0"/>
              </w:rPr>
              <w:t>Foreclosed ≤ 2 years</w:t>
            </w:r>
            <w:r>
              <w:rPr>
                <w:b/>
                <w:i w:val="0"/>
              </w:rPr>
              <w:t xml:space="preserve"> – of which value at initial recognition </w:t>
            </w:r>
          </w:p>
          <w:p w14:paraId="3A29C501" w14:textId="34E46F29" w:rsidR="009F6890" w:rsidRPr="009F6890" w:rsidRDefault="00393D6B" w:rsidP="00393D6B">
            <w:pPr>
              <w:pStyle w:val="Institutionquisigne"/>
              <w:spacing w:before="120"/>
              <w:rPr>
                <w:i w:val="0"/>
              </w:rPr>
            </w:pPr>
            <w:r>
              <w:rPr>
                <w:i w:val="0"/>
              </w:rPr>
              <w:t xml:space="preserve">Value at initial recognition </w:t>
            </w:r>
            <w:r w:rsidR="009F6890" w:rsidRPr="009F6890">
              <w:rPr>
                <w:i w:val="0"/>
              </w:rPr>
              <w:t xml:space="preserve">for collateral obtained by taking possession and recognised in the balance sheet for 2 years or less </w:t>
            </w:r>
            <w:r w:rsidR="009F6890" w:rsidRPr="00C51B2A">
              <w:rPr>
                <w:i w:val="0"/>
              </w:rPr>
              <w:t>at the reporting reference date.</w:t>
            </w:r>
          </w:p>
        </w:tc>
      </w:tr>
      <w:tr w:rsidR="00CF420D" w:rsidRPr="00581203" w14:paraId="73EAE7B5" w14:textId="77777777" w:rsidTr="00B302D5">
        <w:trPr>
          <w:trHeight w:val="841"/>
        </w:trPr>
        <w:tc>
          <w:tcPr>
            <w:tcW w:w="1384" w:type="dxa"/>
          </w:tcPr>
          <w:p w14:paraId="5634B679" w14:textId="56DA7738" w:rsidR="00CF420D" w:rsidRPr="00581203" w:rsidRDefault="00393D6B" w:rsidP="00B302D5">
            <w:pPr>
              <w:pStyle w:val="Applicationdirecte"/>
              <w:spacing w:before="120"/>
            </w:pPr>
            <w:r>
              <w:t>f</w:t>
            </w:r>
          </w:p>
        </w:tc>
        <w:tc>
          <w:tcPr>
            <w:tcW w:w="7655" w:type="dxa"/>
          </w:tcPr>
          <w:p w14:paraId="4E493CD5" w14:textId="77777777" w:rsidR="00CF420D" w:rsidRPr="00C51B2A" w:rsidRDefault="00CF420D" w:rsidP="00CF420D">
            <w:pPr>
              <w:pStyle w:val="Institutionquisigne"/>
              <w:spacing w:before="120"/>
              <w:rPr>
                <w:b/>
                <w:i w:val="0"/>
              </w:rPr>
            </w:pPr>
            <w:r w:rsidRPr="00C51B2A">
              <w:rPr>
                <w:b/>
                <w:i w:val="0"/>
              </w:rPr>
              <w:t>Total collateral obtained by taking possession - Foreclosed ≤ 2 years – of which accumulated negative changes</w:t>
            </w:r>
          </w:p>
          <w:p w14:paraId="353F776D" w14:textId="3A895375" w:rsidR="00393D6B" w:rsidRPr="00C51B2A" w:rsidRDefault="00393D6B" w:rsidP="00393D6B">
            <w:pPr>
              <w:pStyle w:val="Institutionquisigne"/>
              <w:spacing w:before="120"/>
            </w:pPr>
            <w:r w:rsidRPr="00C51B2A">
              <w:rPr>
                <w:i w:val="0"/>
              </w:rPr>
              <w:t>Accumulated negative changes for collateral obtained by taking possession and recognised in the balance sheet for 2 years or less at the reporting reference date.</w:t>
            </w:r>
          </w:p>
        </w:tc>
      </w:tr>
      <w:tr w:rsidR="009F6890" w:rsidRPr="00581203" w14:paraId="1E8CCFE2" w14:textId="77777777" w:rsidTr="00B302D5">
        <w:trPr>
          <w:trHeight w:val="841"/>
        </w:trPr>
        <w:tc>
          <w:tcPr>
            <w:tcW w:w="1384" w:type="dxa"/>
          </w:tcPr>
          <w:p w14:paraId="1ECA8B3D" w14:textId="161C906A" w:rsidR="009F6890" w:rsidRPr="00581203" w:rsidRDefault="00393D6B" w:rsidP="00B302D5">
            <w:pPr>
              <w:pStyle w:val="Applicationdirecte"/>
              <w:spacing w:before="120"/>
            </w:pPr>
            <w:r>
              <w:t>g</w:t>
            </w:r>
          </w:p>
        </w:tc>
        <w:tc>
          <w:tcPr>
            <w:tcW w:w="7655" w:type="dxa"/>
          </w:tcPr>
          <w:p w14:paraId="28ABB956" w14:textId="76080552" w:rsidR="00CF2686" w:rsidRPr="00C51B2A" w:rsidRDefault="00CF2686" w:rsidP="00CF2686">
            <w:pPr>
              <w:pStyle w:val="Institutionquisigne"/>
              <w:spacing w:before="120"/>
              <w:rPr>
                <w:b/>
                <w:i w:val="0"/>
              </w:rPr>
            </w:pPr>
            <w:r w:rsidRPr="00C51B2A">
              <w:rPr>
                <w:b/>
                <w:i w:val="0"/>
              </w:rPr>
              <w:t xml:space="preserve">Total collateral obtained by taking possession - Foreclosed &gt; 2 years ≤ 5 years – of which value at initial recognition </w:t>
            </w:r>
          </w:p>
          <w:p w14:paraId="5B4C70B6" w14:textId="415387FF" w:rsidR="009F6890" w:rsidRPr="00C51B2A" w:rsidRDefault="009F6890" w:rsidP="00393D6B">
            <w:pPr>
              <w:pStyle w:val="Institutionquisigne"/>
              <w:spacing w:before="120"/>
              <w:rPr>
                <w:b/>
                <w:i w:val="0"/>
              </w:rPr>
            </w:pPr>
            <w:r w:rsidRPr="00C51B2A">
              <w:rPr>
                <w:i w:val="0"/>
              </w:rPr>
              <w:t>Value at initial recognition</w:t>
            </w:r>
            <w:r w:rsidR="00393D6B" w:rsidRPr="00C51B2A">
              <w:rPr>
                <w:i w:val="0"/>
              </w:rPr>
              <w:t xml:space="preserve"> </w:t>
            </w:r>
            <w:r w:rsidRPr="00C51B2A">
              <w:rPr>
                <w:i w:val="0"/>
              </w:rPr>
              <w:t>for collateral obtained by taking possession and recognised in the balance sheet for more than 2 years and up to 5 years at the reporting reference date.</w:t>
            </w:r>
          </w:p>
        </w:tc>
      </w:tr>
      <w:tr w:rsidR="00C0058E" w:rsidRPr="00581203" w14:paraId="31A8B459" w14:textId="77777777" w:rsidTr="00B302D5">
        <w:trPr>
          <w:trHeight w:val="841"/>
        </w:trPr>
        <w:tc>
          <w:tcPr>
            <w:tcW w:w="1384" w:type="dxa"/>
          </w:tcPr>
          <w:p w14:paraId="3C3BDED3" w14:textId="60DCE9A7" w:rsidR="00C0058E" w:rsidRPr="00581203" w:rsidRDefault="00393D6B" w:rsidP="00B302D5">
            <w:pPr>
              <w:pStyle w:val="Applicationdirecte"/>
              <w:spacing w:before="120"/>
            </w:pPr>
            <w:r>
              <w:t>h</w:t>
            </w:r>
          </w:p>
        </w:tc>
        <w:tc>
          <w:tcPr>
            <w:tcW w:w="7655" w:type="dxa"/>
          </w:tcPr>
          <w:p w14:paraId="0F166C59" w14:textId="77777777" w:rsidR="00C0058E" w:rsidRPr="00C51B2A" w:rsidRDefault="00C0058E" w:rsidP="00CF2686">
            <w:pPr>
              <w:pStyle w:val="Institutionquisigne"/>
              <w:spacing w:before="120"/>
              <w:rPr>
                <w:b/>
                <w:i w:val="0"/>
              </w:rPr>
            </w:pPr>
            <w:r w:rsidRPr="00C51B2A">
              <w:rPr>
                <w:b/>
                <w:i w:val="0"/>
              </w:rPr>
              <w:t>Total collateral obtained by taking possession - Foreclosed &gt; 2 years ≤ 5 years – of which accumulated negative changes</w:t>
            </w:r>
          </w:p>
          <w:p w14:paraId="5FE00EE8" w14:textId="3C9508F8" w:rsidR="00393D6B" w:rsidRPr="00C51B2A" w:rsidRDefault="00393D6B" w:rsidP="00393D6B">
            <w:pPr>
              <w:pStyle w:val="Institutionquisigne"/>
              <w:spacing w:before="120"/>
            </w:pPr>
            <w:r w:rsidRPr="00C51B2A">
              <w:rPr>
                <w:i w:val="0"/>
              </w:rPr>
              <w:t>Accumulated negative changes for collateral obtained by taking possession and recognised in the balance sheet for more than 2 years and up to 5 years at the reporting reference date.</w:t>
            </w:r>
          </w:p>
        </w:tc>
      </w:tr>
      <w:tr w:rsidR="009F6890" w:rsidRPr="00581203" w14:paraId="539023EA" w14:textId="77777777" w:rsidTr="00B302D5">
        <w:trPr>
          <w:trHeight w:val="841"/>
        </w:trPr>
        <w:tc>
          <w:tcPr>
            <w:tcW w:w="1384" w:type="dxa"/>
          </w:tcPr>
          <w:p w14:paraId="5107632F" w14:textId="15FC9FE2" w:rsidR="009F6890" w:rsidRPr="00581203" w:rsidRDefault="00393D6B" w:rsidP="00B302D5">
            <w:pPr>
              <w:pStyle w:val="Applicationdirecte"/>
              <w:spacing w:before="120"/>
            </w:pPr>
            <w:proofErr w:type="spellStart"/>
            <w:r>
              <w:t>i</w:t>
            </w:r>
            <w:proofErr w:type="spellEnd"/>
          </w:p>
        </w:tc>
        <w:tc>
          <w:tcPr>
            <w:tcW w:w="7655" w:type="dxa"/>
          </w:tcPr>
          <w:p w14:paraId="0D5592F0" w14:textId="4CFE768D" w:rsidR="00393D6B" w:rsidRPr="00C51B2A" w:rsidRDefault="00C0058E" w:rsidP="00393D6B">
            <w:pPr>
              <w:pStyle w:val="Institutionquisigne"/>
              <w:spacing w:before="120"/>
              <w:rPr>
                <w:b/>
                <w:i w:val="0"/>
              </w:rPr>
            </w:pPr>
            <w:r w:rsidRPr="00C51B2A">
              <w:rPr>
                <w:b/>
                <w:i w:val="0"/>
              </w:rPr>
              <w:t>Total collateral obtained by taking po</w:t>
            </w:r>
            <w:r w:rsidR="00393D6B" w:rsidRPr="00C51B2A">
              <w:rPr>
                <w:b/>
                <w:i w:val="0"/>
              </w:rPr>
              <w:t>ssession - Foreclosed &gt; 5 years – of which value at initial recognition</w:t>
            </w:r>
          </w:p>
          <w:p w14:paraId="2374D15A" w14:textId="3C85E8F0" w:rsidR="009F6890" w:rsidRPr="00C51B2A" w:rsidRDefault="00393D6B" w:rsidP="00393D6B">
            <w:pPr>
              <w:pStyle w:val="Institutionquisigne"/>
              <w:spacing w:before="120"/>
              <w:rPr>
                <w:b/>
                <w:i w:val="0"/>
              </w:rPr>
            </w:pPr>
            <w:r w:rsidRPr="00C51B2A">
              <w:rPr>
                <w:i w:val="0"/>
              </w:rPr>
              <w:t>Value at initial recognition</w:t>
            </w:r>
            <w:r w:rsidR="009F6890" w:rsidRPr="00C51B2A">
              <w:rPr>
                <w:i w:val="0"/>
              </w:rPr>
              <w:t xml:space="preserve"> for collateral obtained by taking possession and recognised in the balance sheet for more than 5 years at the reporting reference date.</w:t>
            </w:r>
          </w:p>
        </w:tc>
      </w:tr>
      <w:tr w:rsidR="00C0058E" w:rsidRPr="00581203" w14:paraId="114D6281" w14:textId="77777777" w:rsidTr="00B302D5">
        <w:trPr>
          <w:trHeight w:val="841"/>
        </w:trPr>
        <w:tc>
          <w:tcPr>
            <w:tcW w:w="1384" w:type="dxa"/>
          </w:tcPr>
          <w:p w14:paraId="4059CCA5" w14:textId="178E7061" w:rsidR="00C0058E" w:rsidRPr="00581203" w:rsidRDefault="00393D6B" w:rsidP="00B302D5">
            <w:pPr>
              <w:pStyle w:val="Applicationdirecte"/>
              <w:spacing w:before="120"/>
            </w:pPr>
            <w:r>
              <w:t>j</w:t>
            </w:r>
          </w:p>
        </w:tc>
        <w:tc>
          <w:tcPr>
            <w:tcW w:w="7655" w:type="dxa"/>
          </w:tcPr>
          <w:p w14:paraId="248815D2" w14:textId="77777777" w:rsidR="00C0058E" w:rsidRPr="00C51B2A" w:rsidRDefault="00C0058E" w:rsidP="00C0058E">
            <w:pPr>
              <w:pStyle w:val="Institutionquisigne"/>
              <w:spacing w:before="120"/>
              <w:rPr>
                <w:b/>
                <w:i w:val="0"/>
              </w:rPr>
            </w:pPr>
            <w:r w:rsidRPr="00C51B2A">
              <w:rPr>
                <w:b/>
                <w:i w:val="0"/>
              </w:rPr>
              <w:t>Total collateral obtained by taking possession - Foreclosed &gt; 5 years – of which accumulated negative changes</w:t>
            </w:r>
          </w:p>
          <w:p w14:paraId="500CACC8" w14:textId="784606AA" w:rsidR="00393D6B" w:rsidRPr="00C51B2A" w:rsidRDefault="00393D6B" w:rsidP="00393D6B">
            <w:pPr>
              <w:pStyle w:val="Institutionquisigne"/>
              <w:spacing w:before="120"/>
            </w:pPr>
            <w:r w:rsidRPr="00C51B2A">
              <w:rPr>
                <w:i w:val="0"/>
              </w:rPr>
              <w:t>Accumulated negative changes for collateral obtained by taking possession and recognised in the balance sheet for more than 5 years at the reporting reference date.</w:t>
            </w:r>
          </w:p>
        </w:tc>
      </w:tr>
      <w:tr w:rsidR="009F6890" w:rsidRPr="00581203" w14:paraId="030ECC53" w14:textId="77777777" w:rsidTr="00B302D5">
        <w:trPr>
          <w:trHeight w:val="841"/>
        </w:trPr>
        <w:tc>
          <w:tcPr>
            <w:tcW w:w="1384" w:type="dxa"/>
          </w:tcPr>
          <w:p w14:paraId="52E05FB5" w14:textId="4E79F375" w:rsidR="009F6890" w:rsidRPr="00581203" w:rsidRDefault="00393D6B" w:rsidP="00B302D5">
            <w:pPr>
              <w:pStyle w:val="Applicationdirecte"/>
              <w:spacing w:before="120"/>
            </w:pPr>
            <w:r>
              <w:t>k</w:t>
            </w:r>
          </w:p>
        </w:tc>
        <w:tc>
          <w:tcPr>
            <w:tcW w:w="7655" w:type="dxa"/>
          </w:tcPr>
          <w:p w14:paraId="5224771E" w14:textId="3D3A3DCB" w:rsidR="009F6890" w:rsidRPr="00C51B2A" w:rsidRDefault="00C0058E" w:rsidP="009F6890">
            <w:pPr>
              <w:pStyle w:val="Institutionquisigne"/>
              <w:spacing w:before="120"/>
              <w:rPr>
                <w:b/>
                <w:i w:val="0"/>
              </w:rPr>
            </w:pPr>
            <w:r w:rsidRPr="00C51B2A">
              <w:rPr>
                <w:b/>
                <w:i w:val="0"/>
              </w:rPr>
              <w:t xml:space="preserve">Total collateral obtained by taking possession - </w:t>
            </w:r>
            <w:r w:rsidR="009F6890" w:rsidRPr="00C51B2A">
              <w:rPr>
                <w:b/>
                <w:i w:val="0"/>
              </w:rPr>
              <w:t>Of which non-current assets held for sale</w:t>
            </w:r>
            <w:r w:rsidRPr="00C51B2A">
              <w:rPr>
                <w:b/>
                <w:i w:val="0"/>
              </w:rPr>
              <w:t xml:space="preserve"> – of which value at initial recognition</w:t>
            </w:r>
          </w:p>
          <w:p w14:paraId="04C48AD5" w14:textId="52199FAB" w:rsidR="009F6890" w:rsidRPr="00C51B2A" w:rsidRDefault="00393D6B" w:rsidP="00411B21">
            <w:pPr>
              <w:pStyle w:val="Institutionquisigne"/>
              <w:spacing w:before="120"/>
              <w:rPr>
                <w:b/>
                <w:i w:val="0"/>
              </w:rPr>
            </w:pPr>
            <w:r w:rsidRPr="00C51B2A">
              <w:rPr>
                <w:i w:val="0"/>
              </w:rPr>
              <w:t>Initial value</w:t>
            </w:r>
            <w:r w:rsidR="009F6890" w:rsidRPr="00C51B2A">
              <w:rPr>
                <w:i w:val="0"/>
              </w:rPr>
              <w:t xml:space="preserve"> for collateral obtained by taking possession that is </w:t>
            </w:r>
            <w:proofErr w:type="gramStart"/>
            <w:r w:rsidR="009F6890" w:rsidRPr="00C51B2A">
              <w:rPr>
                <w:i w:val="0"/>
              </w:rPr>
              <w:t>classified</w:t>
            </w:r>
            <w:proofErr w:type="gramEnd"/>
            <w:r w:rsidR="009F6890" w:rsidRPr="00C51B2A">
              <w:rPr>
                <w:i w:val="0"/>
              </w:rPr>
              <w:t xml:space="preserve"> as non-current assets held for sale </w:t>
            </w:r>
            <w:r w:rsidR="0017224C" w:rsidRPr="00C51B2A">
              <w:rPr>
                <w:i w:val="0"/>
              </w:rPr>
              <w:t>shall</w:t>
            </w:r>
            <w:r w:rsidR="009F6890" w:rsidRPr="00C51B2A">
              <w:rPr>
                <w:i w:val="0"/>
              </w:rPr>
              <w:t xml:space="preserve"> be </w:t>
            </w:r>
            <w:r w:rsidR="00451ED7" w:rsidRPr="00C51B2A">
              <w:rPr>
                <w:i w:val="0"/>
              </w:rPr>
              <w:t>disclosed</w:t>
            </w:r>
            <w:r w:rsidR="009F6890" w:rsidRPr="00C51B2A">
              <w:rPr>
                <w:i w:val="0"/>
              </w:rPr>
              <w:t xml:space="preserve"> in these columns. If this </w:t>
            </w:r>
            <w:r w:rsidR="009F6890" w:rsidRPr="00C51B2A">
              <w:rPr>
                <w:i w:val="0"/>
              </w:rPr>
              <w:lastRenderedPageBreak/>
              <w:t xml:space="preserve">classification is not relevant </w:t>
            </w:r>
            <w:r w:rsidR="008B2ED1">
              <w:rPr>
                <w:i w:val="0"/>
              </w:rPr>
              <w:t>in accordance with</w:t>
            </w:r>
            <w:r w:rsidR="009F6890" w:rsidRPr="00C51B2A">
              <w:rPr>
                <w:i w:val="0"/>
              </w:rPr>
              <w:t xml:space="preserve"> the accounting framework applicable to the institution, this information </w:t>
            </w:r>
            <w:proofErr w:type="gramStart"/>
            <w:r w:rsidR="0017224C" w:rsidRPr="00C51B2A">
              <w:rPr>
                <w:i w:val="0"/>
              </w:rPr>
              <w:t>shall</w:t>
            </w:r>
            <w:r w:rsidR="009F6890" w:rsidRPr="00C51B2A">
              <w:rPr>
                <w:i w:val="0"/>
              </w:rPr>
              <w:t xml:space="preserve"> not be provided</w:t>
            </w:r>
            <w:proofErr w:type="gramEnd"/>
            <w:r w:rsidR="009F6890" w:rsidRPr="00C51B2A">
              <w:rPr>
                <w:i w:val="0"/>
              </w:rPr>
              <w:t>.</w:t>
            </w:r>
          </w:p>
        </w:tc>
      </w:tr>
      <w:tr w:rsidR="00C0058E" w:rsidRPr="00581203" w14:paraId="4D1F80B5" w14:textId="77777777" w:rsidTr="00B302D5">
        <w:trPr>
          <w:trHeight w:val="841"/>
        </w:trPr>
        <w:tc>
          <w:tcPr>
            <w:tcW w:w="1384" w:type="dxa"/>
          </w:tcPr>
          <w:p w14:paraId="66ABFCEE" w14:textId="377DAE84" w:rsidR="00C0058E" w:rsidRPr="00581203" w:rsidRDefault="00393D6B" w:rsidP="00B302D5">
            <w:pPr>
              <w:pStyle w:val="Applicationdirecte"/>
              <w:spacing w:before="120"/>
            </w:pPr>
            <w:r>
              <w:lastRenderedPageBreak/>
              <w:t>l</w:t>
            </w:r>
          </w:p>
        </w:tc>
        <w:tc>
          <w:tcPr>
            <w:tcW w:w="7655" w:type="dxa"/>
          </w:tcPr>
          <w:p w14:paraId="5DEAFCF7" w14:textId="77777777" w:rsidR="00C0058E" w:rsidRPr="00451ED7" w:rsidRDefault="00C0058E" w:rsidP="00C0058E">
            <w:pPr>
              <w:pStyle w:val="Institutionquisigne"/>
              <w:spacing w:before="120"/>
              <w:rPr>
                <w:b/>
                <w:i w:val="0"/>
              </w:rPr>
            </w:pPr>
            <w:r w:rsidRPr="00451ED7">
              <w:rPr>
                <w:b/>
                <w:i w:val="0"/>
              </w:rPr>
              <w:t>Total collateral obtained by taking possession - Of which non-current assets held for sale – of which accumulated negative changes</w:t>
            </w:r>
          </w:p>
          <w:p w14:paraId="6F13292C" w14:textId="3C0F3308" w:rsidR="00393D6B" w:rsidRPr="00451ED7" w:rsidRDefault="00393D6B" w:rsidP="00411B21">
            <w:pPr>
              <w:pStyle w:val="Personnequisigne"/>
              <w:spacing w:before="120"/>
            </w:pPr>
            <w:r w:rsidRPr="00451ED7">
              <w:rPr>
                <w:i w:val="0"/>
              </w:rPr>
              <w:t xml:space="preserve">Accumulated negative changes for collateral obtained by taking possession that is </w:t>
            </w:r>
            <w:proofErr w:type="gramStart"/>
            <w:r w:rsidRPr="00451ED7">
              <w:rPr>
                <w:i w:val="0"/>
              </w:rPr>
              <w:t>classified</w:t>
            </w:r>
            <w:proofErr w:type="gramEnd"/>
            <w:r w:rsidRPr="00451ED7">
              <w:rPr>
                <w:i w:val="0"/>
              </w:rPr>
              <w:t xml:space="preserve"> as non-current assets held for sale </w:t>
            </w:r>
            <w:r w:rsidR="0017224C" w:rsidRPr="00451ED7">
              <w:rPr>
                <w:i w:val="0"/>
              </w:rPr>
              <w:t>shall</w:t>
            </w:r>
            <w:r w:rsidRPr="00451ED7">
              <w:rPr>
                <w:i w:val="0"/>
              </w:rPr>
              <w:t xml:space="preserve"> be </w:t>
            </w:r>
            <w:r w:rsidR="00451ED7" w:rsidRPr="00451ED7">
              <w:rPr>
                <w:i w:val="0"/>
              </w:rPr>
              <w:t>disclosed</w:t>
            </w:r>
            <w:r w:rsidRPr="00451ED7">
              <w:rPr>
                <w:i w:val="0"/>
              </w:rPr>
              <w:t xml:space="preserve"> in these columns. If this classification is not relevant </w:t>
            </w:r>
            <w:r w:rsidR="008B2ED1">
              <w:rPr>
                <w:i w:val="0"/>
              </w:rPr>
              <w:t>in accordance with</w:t>
            </w:r>
            <w:r w:rsidRPr="00451ED7">
              <w:rPr>
                <w:i w:val="0"/>
              </w:rPr>
              <w:t xml:space="preserve"> the accounting framework applicable to the institution, this information </w:t>
            </w:r>
            <w:proofErr w:type="gramStart"/>
            <w:r w:rsidR="0017224C" w:rsidRPr="00451ED7">
              <w:rPr>
                <w:i w:val="0"/>
              </w:rPr>
              <w:t>shall</w:t>
            </w:r>
            <w:r w:rsidRPr="00451ED7">
              <w:rPr>
                <w:i w:val="0"/>
              </w:rPr>
              <w:t xml:space="preserve"> not be provided</w:t>
            </w:r>
            <w:proofErr w:type="gramEnd"/>
            <w:r w:rsidRPr="00451ED7">
              <w:rPr>
                <w:i w:val="0"/>
              </w:rPr>
              <w:t>.</w:t>
            </w:r>
          </w:p>
        </w:tc>
      </w:tr>
    </w:tbl>
    <w:p w14:paraId="66251CAD" w14:textId="77777777" w:rsidR="00B302D5" w:rsidRPr="00931A3F" w:rsidRDefault="00B302D5" w:rsidP="00931A3F">
      <w:pPr>
        <w:autoSpaceDE w:val="0"/>
        <w:autoSpaceDN w:val="0"/>
        <w:adjustRightInd w:val="0"/>
        <w:jc w:val="both"/>
        <w:rPr>
          <w:rFonts w:ascii="Times New Roman" w:hAnsi="Times New Roman" w:cs="Times New Roman"/>
          <w:b/>
          <w:sz w:val="24"/>
          <w:lang w:val="en-GB"/>
        </w:rPr>
      </w:pPr>
    </w:p>
    <w:sectPr w:rsidR="00B302D5" w:rsidRPr="00931A3F" w:rsidSect="004B32A0">
      <w:pgSz w:w="11900" w:h="16840"/>
      <w:pgMar w:top="2268" w:right="1418" w:bottom="1134" w:left="1701"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24C6D" w14:textId="77777777" w:rsidR="007A2F6C" w:rsidRDefault="007A2F6C" w:rsidP="00A00E34">
      <w:r>
        <w:separator/>
      </w:r>
    </w:p>
    <w:p w14:paraId="76BAD938" w14:textId="77777777" w:rsidR="007A2F6C" w:rsidRDefault="007A2F6C"/>
  </w:endnote>
  <w:endnote w:type="continuationSeparator" w:id="0">
    <w:p w14:paraId="31DC13D8" w14:textId="77777777" w:rsidR="007A2F6C" w:rsidRDefault="007A2F6C" w:rsidP="00A00E34">
      <w:r>
        <w:continuationSeparator/>
      </w:r>
    </w:p>
    <w:p w14:paraId="62F219E9" w14:textId="77777777" w:rsidR="007A2F6C" w:rsidRDefault="007A2F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897CF" w14:textId="77777777" w:rsidR="007A2F6C" w:rsidRPr="00DB5E8F" w:rsidRDefault="007A2F6C">
      <w:pPr>
        <w:rPr>
          <w:sz w:val="12"/>
          <w:szCs w:val="12"/>
        </w:rPr>
      </w:pPr>
      <w:r w:rsidRPr="00DB5E8F">
        <w:rPr>
          <w:sz w:val="12"/>
          <w:szCs w:val="12"/>
        </w:rPr>
        <w:separator/>
      </w:r>
    </w:p>
  </w:footnote>
  <w:footnote w:type="continuationSeparator" w:id="0">
    <w:p w14:paraId="4A1368FF" w14:textId="77777777" w:rsidR="007A2F6C" w:rsidRDefault="007A2F6C" w:rsidP="00A00E34">
      <w:r>
        <w:continuationSeparator/>
      </w:r>
    </w:p>
    <w:p w14:paraId="65AFCD89" w14:textId="77777777" w:rsidR="007A2F6C" w:rsidRDefault="007A2F6C"/>
  </w:footnote>
  <w:footnote w:type="continuationNotice" w:id="1">
    <w:p w14:paraId="009532A1" w14:textId="77777777" w:rsidR="007A2F6C" w:rsidRDefault="007A2F6C"/>
  </w:footnote>
  <w:footnote w:id="2">
    <w:p w14:paraId="5EC05C87" w14:textId="2C3282C8" w:rsidR="007A2F6C" w:rsidRDefault="007A2F6C">
      <w:pPr>
        <w:pStyle w:val="FootnoteText"/>
      </w:pPr>
      <w:r>
        <w:rPr>
          <w:rStyle w:val="FootnoteReference"/>
        </w:rPr>
        <w:footnoteRef/>
      </w:r>
      <w:r>
        <w:t xml:space="preserve"> </w:t>
      </w:r>
      <w:r w:rsidRPr="00E018B1">
        <w:t>REGULATION (EU) 2019/876 OF THE EUROPEAN PARLIAMENT AND OF THE COUNCIL of 20 May 2019 amending Regulation (EU) No 575/2013 as regards the leverage ratio, the net stable funding ratio, requirements for own funds and eligible liabilities, counterparty credit risk, market risk, exposures to central counterparties, exposures to collective investment undertakings, large exposures, reporting and disclosure requirements, and Regulation (EU) No 648/2012 (OJ L 150/1, 7.6.2019</w:t>
      </w:r>
      <w:r>
        <w:t>, p.193</w:t>
      </w:r>
      <w:r w:rsidRPr="00E018B1">
        <w:t>)</w:t>
      </w:r>
    </w:p>
  </w:footnote>
  <w:footnote w:id="3">
    <w:p w14:paraId="6BD35758" w14:textId="77777777" w:rsidR="00DF67AC" w:rsidRDefault="00DF67AC" w:rsidP="00DF67AC">
      <w:pPr>
        <w:pStyle w:val="FootnoteText"/>
      </w:pPr>
      <w:r>
        <w:rPr>
          <w:rStyle w:val="FootnoteReference"/>
        </w:rPr>
        <w:footnoteRef/>
      </w:r>
      <w:r>
        <w:t xml:space="preserve"> </w:t>
      </w:r>
      <w:r w:rsidRPr="007F169F">
        <w:t>COMMISSION IMPLEMENTING REGULATION (EU) No 680/2014 of 16 April 2014 laying down implementing technical standards with regard to supervisory reporting of institutions according to Regulation (EU) No 575/2013 of the European Parliament and of the Council</w:t>
      </w:r>
      <w:r>
        <w:t xml:space="preserve"> (OJ 191/1, 28.6.2014)</w:t>
      </w:r>
    </w:p>
  </w:footnote>
  <w:footnote w:id="4">
    <w:p w14:paraId="221B3523" w14:textId="533D4681" w:rsidR="007A2F6C" w:rsidRDefault="007A2F6C">
      <w:pPr>
        <w:pStyle w:val="FootnoteText"/>
      </w:pPr>
      <w:r>
        <w:rPr>
          <w:rStyle w:val="FootnoteReference"/>
        </w:rPr>
        <w:footnoteRef/>
      </w:r>
      <w:r>
        <w:t xml:space="preserve"> REGULATION (EU) No 1071/2013 OF THE EUROPEAN CENTRAL BANK of 24 September 2013 concerning the balance sheet of the monetary financial institutions sector (recast) (ECB/2013/33) ((OJ L 297, 7.11.2013, p. 1)</w:t>
      </w:r>
    </w:p>
  </w:footnote>
  <w:footnote w:id="5">
    <w:p w14:paraId="69D92B6A" w14:textId="028158CA" w:rsidR="007A2F6C" w:rsidRDefault="007A2F6C">
      <w:pPr>
        <w:pStyle w:val="FootnoteText"/>
      </w:pPr>
      <w:r w:rsidRPr="00B256E9">
        <w:rPr>
          <w:rStyle w:val="FootnoteReference"/>
          <w:rFonts w:ascii="Calibri" w:hAnsi="Calibri" w:cs="Calibri"/>
          <w:sz w:val="18"/>
        </w:rPr>
        <w:footnoteRef/>
      </w:r>
      <w:r w:rsidRPr="00B256E9">
        <w:rPr>
          <w:rFonts w:ascii="Calibri" w:hAnsi="Calibri" w:cs="Calibri"/>
        </w:rPr>
        <w:t xml:space="preserve"> COUNCIL DIRECTIVE of 8 December 1986 on the annual accounts and consolidated accounts of banks and other financial institutions (OJ L 372/1, 31.12.1986)</w:t>
      </w:r>
    </w:p>
  </w:footnote>
  <w:footnote w:id="6">
    <w:p w14:paraId="5AA818BB" w14:textId="3583DDFB" w:rsidR="007A2F6C" w:rsidRDefault="007A2F6C">
      <w:pPr>
        <w:pStyle w:val="FootnoteText"/>
      </w:pPr>
      <w:r>
        <w:rPr>
          <w:rStyle w:val="FootnoteReference"/>
        </w:rPr>
        <w:footnoteRef/>
      </w:r>
      <w:r>
        <w:t xml:space="preserve"> RECOMMENDATION OF THE EUROPEAN SYSTEMIC RISK BOARD of 31 October 2016 on closing real estate data gaps (ESRB/2016/14) (OJ C31/1, 31.1.2017)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B7860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5078C"/>
    <w:multiLevelType w:val="hybridMultilevel"/>
    <w:tmpl w:val="D53853DA"/>
    <w:lvl w:ilvl="0" w:tplc="AFE0D250">
      <w:start w:val="1"/>
      <w:numFmt w:val="bullet"/>
      <w:pStyle w:val="List"/>
      <w:lvlText w:val=""/>
      <w:lvlJc w:val="left"/>
      <w:pPr>
        <w:tabs>
          <w:tab w:val="num" w:pos="680"/>
        </w:tabs>
        <w:ind w:left="680" w:hanging="68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456E4"/>
    <w:multiLevelType w:val="hybridMultilevel"/>
    <w:tmpl w:val="43CEB604"/>
    <w:lvl w:ilvl="0" w:tplc="CF06A3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8313DF"/>
    <w:multiLevelType w:val="hybridMultilevel"/>
    <w:tmpl w:val="A8C659F6"/>
    <w:lvl w:ilvl="0" w:tplc="9174AD42">
      <w:start w:val="1"/>
      <w:numFmt w:val="bullet"/>
      <w:pStyle w:val="bullet1"/>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C1447F"/>
    <w:multiLevelType w:val="hybridMultilevel"/>
    <w:tmpl w:val="66F88FEE"/>
    <w:lvl w:ilvl="0" w:tplc="1F58E3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710F59"/>
    <w:multiLevelType w:val="hybridMultilevel"/>
    <w:tmpl w:val="7EE44EDA"/>
    <w:lvl w:ilvl="0" w:tplc="5B7E6066">
      <w:start w:val="1"/>
      <w:numFmt w:val="decimal"/>
      <w:pStyle w:val="Baseparagraphnumbered"/>
      <w:lvlText w:val="%1."/>
      <w:lvlJc w:val="left"/>
      <w:pPr>
        <w:ind w:left="786" w:hanging="360"/>
      </w:pPr>
      <w:rPr>
        <w:rFonts w:hint="default"/>
        <w:lang w:val="en-US"/>
      </w:rPr>
    </w:lvl>
    <w:lvl w:ilvl="1" w:tplc="E8245F5A">
      <w:start w:val="1"/>
      <w:numFmt w:val="lowerLetter"/>
      <w:lvlText w:val="(%2)"/>
      <w:lvlJc w:val="left"/>
      <w:pPr>
        <w:ind w:left="1494" w:hanging="360"/>
      </w:pPr>
      <w:rPr>
        <w:rFonts w:ascii="Times New Roman" w:eastAsia="Times New Roman" w:hAnsi="Times New Roman" w:cs="Times New Roman"/>
      </w:rPr>
    </w:lvl>
    <w:lvl w:ilvl="2" w:tplc="5BE4D2A0">
      <w:start w:val="1"/>
      <w:numFmt w:val="lowerRoman"/>
      <w:lvlText w:val="%3."/>
      <w:lvlJc w:val="right"/>
      <w:pPr>
        <w:ind w:left="2225" w:hanging="180"/>
      </w:pPr>
    </w:lvl>
    <w:lvl w:ilvl="3" w:tplc="E8A6BEAE" w:tentative="1">
      <w:start w:val="1"/>
      <w:numFmt w:val="decimal"/>
      <w:lvlText w:val="%4."/>
      <w:lvlJc w:val="left"/>
      <w:pPr>
        <w:ind w:left="2945" w:hanging="360"/>
      </w:pPr>
    </w:lvl>
    <w:lvl w:ilvl="4" w:tplc="9A703294" w:tentative="1">
      <w:start w:val="1"/>
      <w:numFmt w:val="lowerLetter"/>
      <w:lvlText w:val="%5."/>
      <w:lvlJc w:val="left"/>
      <w:pPr>
        <w:ind w:left="3665" w:hanging="360"/>
      </w:pPr>
    </w:lvl>
    <w:lvl w:ilvl="5" w:tplc="B14C4D10" w:tentative="1">
      <w:start w:val="1"/>
      <w:numFmt w:val="lowerRoman"/>
      <w:lvlText w:val="%6."/>
      <w:lvlJc w:val="right"/>
      <w:pPr>
        <w:ind w:left="4385" w:hanging="180"/>
      </w:pPr>
    </w:lvl>
    <w:lvl w:ilvl="6" w:tplc="EECA4DA6" w:tentative="1">
      <w:start w:val="1"/>
      <w:numFmt w:val="decimal"/>
      <w:lvlText w:val="%7."/>
      <w:lvlJc w:val="left"/>
      <w:pPr>
        <w:ind w:left="5105" w:hanging="360"/>
      </w:pPr>
    </w:lvl>
    <w:lvl w:ilvl="7" w:tplc="444C72AC" w:tentative="1">
      <w:start w:val="1"/>
      <w:numFmt w:val="lowerLetter"/>
      <w:lvlText w:val="%8."/>
      <w:lvlJc w:val="left"/>
      <w:pPr>
        <w:ind w:left="5825" w:hanging="360"/>
      </w:pPr>
    </w:lvl>
    <w:lvl w:ilvl="8" w:tplc="C9C872DC" w:tentative="1">
      <w:start w:val="1"/>
      <w:numFmt w:val="lowerRoman"/>
      <w:lvlText w:val="%9."/>
      <w:lvlJc w:val="right"/>
      <w:pPr>
        <w:ind w:left="6545" w:hanging="180"/>
      </w:pPr>
    </w:lvl>
  </w:abstractNum>
  <w:abstractNum w:abstractNumId="6" w15:restartNumberingAfterBreak="0">
    <w:nsid w:val="147203A1"/>
    <w:multiLevelType w:val="hybridMultilevel"/>
    <w:tmpl w:val="43CEB604"/>
    <w:lvl w:ilvl="0" w:tplc="CF06A3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AD48D3"/>
    <w:multiLevelType w:val="hybridMultilevel"/>
    <w:tmpl w:val="43CEB604"/>
    <w:lvl w:ilvl="0" w:tplc="CF06A3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E6367A"/>
    <w:multiLevelType w:val="hybridMultilevel"/>
    <w:tmpl w:val="2B98C612"/>
    <w:lvl w:ilvl="0" w:tplc="4C245000">
      <w:start w:val="1"/>
      <w:numFmt w:val="decimal"/>
      <w:lvlText w:val="%1."/>
      <w:lvlJc w:val="left"/>
      <w:pPr>
        <w:ind w:left="360" w:hanging="360"/>
      </w:pPr>
      <w:rPr>
        <w:rFonts w:hint="default"/>
      </w:rPr>
    </w:lvl>
    <w:lvl w:ilvl="1" w:tplc="4C04A11E">
      <w:start w:val="130"/>
      <w:numFmt w:val="bullet"/>
      <w:lvlText w:val="-"/>
      <w:lvlJc w:val="left"/>
      <w:pPr>
        <w:ind w:left="1080" w:hanging="360"/>
      </w:pPr>
      <w:rPr>
        <w:rFonts w:ascii="Calibri" w:eastAsiaTheme="minorEastAsia" w:hAnsi="Calibri" w:cstheme="minorBid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B180EB8"/>
    <w:multiLevelType w:val="singleLevel"/>
    <w:tmpl w:val="CB4A6434"/>
    <w:lvl w:ilvl="0">
      <w:start w:val="1"/>
      <w:numFmt w:val="decimal"/>
      <w:lvlRestart w:val="0"/>
      <w:lvlText w:val="(%1)"/>
      <w:lvlJc w:val="left"/>
      <w:pPr>
        <w:tabs>
          <w:tab w:val="num" w:pos="709"/>
        </w:tabs>
        <w:ind w:left="709" w:hanging="709"/>
      </w:pPr>
    </w:lvl>
  </w:abstractNum>
  <w:abstractNum w:abstractNumId="10" w15:restartNumberingAfterBreak="0">
    <w:nsid w:val="1CAA4BB3"/>
    <w:multiLevelType w:val="hybridMultilevel"/>
    <w:tmpl w:val="43CEB604"/>
    <w:lvl w:ilvl="0" w:tplc="CF06A3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F21377"/>
    <w:multiLevelType w:val="hybridMultilevel"/>
    <w:tmpl w:val="1BC4B39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1503BE3"/>
    <w:multiLevelType w:val="hybridMultilevel"/>
    <w:tmpl w:val="5DC83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3F2921"/>
    <w:multiLevelType w:val="hybridMultilevel"/>
    <w:tmpl w:val="43CEB604"/>
    <w:lvl w:ilvl="0" w:tplc="CF06A3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837D7E"/>
    <w:multiLevelType w:val="hybridMultilevel"/>
    <w:tmpl w:val="163A35E0"/>
    <w:lvl w:ilvl="0" w:tplc="4C245000">
      <w:start w:val="1"/>
      <w:numFmt w:val="decimal"/>
      <w:lvlText w:val="%1."/>
      <w:lvlJc w:val="left"/>
      <w:pPr>
        <w:ind w:left="360" w:hanging="360"/>
      </w:pPr>
      <w:rPr>
        <w:rFonts w:hint="default"/>
      </w:rPr>
    </w:lvl>
    <w:lvl w:ilvl="1" w:tplc="5DB4158E">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7C147B8"/>
    <w:multiLevelType w:val="hybridMultilevel"/>
    <w:tmpl w:val="E9BED43A"/>
    <w:lvl w:ilvl="0" w:tplc="040C0017">
      <w:start w:val="1"/>
      <w:numFmt w:val="lowerLetter"/>
      <w:lvlText w:val="%1)"/>
      <w:lvlJc w:val="left"/>
      <w:pPr>
        <w:ind w:left="720" w:hanging="360"/>
      </w:pPr>
      <w:rPr>
        <w:rFonts w:hint="default"/>
        <w:i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B2B3A92"/>
    <w:multiLevelType w:val="singleLevel"/>
    <w:tmpl w:val="73D64A0E"/>
    <w:name w:val="Considérant__1"/>
    <w:lvl w:ilvl="0">
      <w:start w:val="1"/>
      <w:numFmt w:val="decimal"/>
      <w:lvlRestart w:val="0"/>
      <w:pStyle w:val="Considrant"/>
      <w:lvlText w:val="(%1)"/>
      <w:lvlJc w:val="left"/>
      <w:pPr>
        <w:tabs>
          <w:tab w:val="num" w:pos="709"/>
        </w:tabs>
        <w:ind w:left="709" w:hanging="709"/>
      </w:pPr>
    </w:lvl>
  </w:abstractNum>
  <w:abstractNum w:abstractNumId="17" w15:restartNumberingAfterBreak="0">
    <w:nsid w:val="2CB606B9"/>
    <w:multiLevelType w:val="multilevel"/>
    <w:tmpl w:val="605043A2"/>
    <w:lvl w:ilvl="0">
      <w:start w:val="2"/>
      <w:numFmt w:val="lowerLetter"/>
      <w:lvlText w:val="%1)"/>
      <w:lvlJc w:val="left"/>
      <w:pPr>
        <w:ind w:left="720" w:hanging="360"/>
      </w:pPr>
      <w:rPr>
        <w:rFonts w:hint="default"/>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D0B464E"/>
    <w:multiLevelType w:val="multilevel"/>
    <w:tmpl w:val="D26C2EE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19" w15:restartNumberingAfterBreak="0">
    <w:nsid w:val="2E6337AD"/>
    <w:multiLevelType w:val="multilevel"/>
    <w:tmpl w:val="6A6082F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1413D51"/>
    <w:multiLevelType w:val="hybridMultilevel"/>
    <w:tmpl w:val="11C8A094"/>
    <w:lvl w:ilvl="0" w:tplc="1F58E3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1C22E63"/>
    <w:multiLevelType w:val="hybridMultilevel"/>
    <w:tmpl w:val="43CEB604"/>
    <w:lvl w:ilvl="0" w:tplc="CF06A3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1C63283"/>
    <w:multiLevelType w:val="hybridMultilevel"/>
    <w:tmpl w:val="F75E5726"/>
    <w:lvl w:ilvl="0" w:tplc="295C270C">
      <w:start w:val="3"/>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6D70D33"/>
    <w:multiLevelType w:val="hybridMultilevel"/>
    <w:tmpl w:val="43CEB604"/>
    <w:lvl w:ilvl="0" w:tplc="CF06A3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A0333F1"/>
    <w:multiLevelType w:val="hybridMultilevel"/>
    <w:tmpl w:val="8B967D4E"/>
    <w:lvl w:ilvl="0" w:tplc="963C153A">
      <w:start w:val="1"/>
      <w:numFmt w:val="lowerLetter"/>
      <w:pStyle w:val="Numberedtitlelevel4"/>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6B33FC"/>
    <w:multiLevelType w:val="hybridMultilevel"/>
    <w:tmpl w:val="43CEB604"/>
    <w:lvl w:ilvl="0" w:tplc="CF06A3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0595CB6"/>
    <w:multiLevelType w:val="hybridMultilevel"/>
    <w:tmpl w:val="43CEB604"/>
    <w:lvl w:ilvl="0" w:tplc="CF06A3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0CC24BB"/>
    <w:multiLevelType w:val="hybridMultilevel"/>
    <w:tmpl w:val="205491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27E2570"/>
    <w:multiLevelType w:val="hybridMultilevel"/>
    <w:tmpl w:val="EA7055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4694517"/>
    <w:multiLevelType w:val="hybridMultilevel"/>
    <w:tmpl w:val="205491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4C27D48"/>
    <w:multiLevelType w:val="hybridMultilevel"/>
    <w:tmpl w:val="B15CC8FC"/>
    <w:lvl w:ilvl="0" w:tplc="090C4D3E">
      <w:start w:val="1"/>
      <w:numFmt w:val="bullet"/>
      <w:pStyle w:val="bullet2"/>
      <w:lvlText w:val=""/>
      <w:lvlJc w:val="left"/>
      <w:pPr>
        <w:tabs>
          <w:tab w:val="num" w:pos="680"/>
        </w:tabs>
        <w:ind w:left="680" w:hanging="34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7595C83"/>
    <w:multiLevelType w:val="hybridMultilevel"/>
    <w:tmpl w:val="43CEB604"/>
    <w:lvl w:ilvl="0" w:tplc="CF06A3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F1B0208"/>
    <w:multiLevelType w:val="hybridMultilevel"/>
    <w:tmpl w:val="0502690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0227369"/>
    <w:multiLevelType w:val="hybridMultilevel"/>
    <w:tmpl w:val="C2D88122"/>
    <w:lvl w:ilvl="0" w:tplc="4A2A8390">
      <w:start w:val="1"/>
      <w:numFmt w:val="decimal"/>
      <w:pStyle w:val="numberedparagraph"/>
      <w:lvlText w:val="%1."/>
      <w:lvlJc w:val="left"/>
      <w:pPr>
        <w:tabs>
          <w:tab w:val="num" w:pos="284"/>
        </w:tabs>
        <w:ind w:left="284" w:hanging="28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D16E58"/>
    <w:multiLevelType w:val="hybridMultilevel"/>
    <w:tmpl w:val="A26EC02C"/>
    <w:lvl w:ilvl="0" w:tplc="16C85DB6">
      <w:start w:val="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5D7F1B"/>
    <w:multiLevelType w:val="multilevel"/>
    <w:tmpl w:val="0409001D"/>
    <w:styleLink w:val="Style3"/>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15:restartNumberingAfterBreak="0">
    <w:nsid w:val="596F4975"/>
    <w:multiLevelType w:val="hybridMultilevel"/>
    <w:tmpl w:val="11C8A094"/>
    <w:lvl w:ilvl="0" w:tplc="1F58E3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A6A6E4D"/>
    <w:multiLevelType w:val="hybridMultilevel"/>
    <w:tmpl w:val="9D9CE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AE5626"/>
    <w:multiLevelType w:val="hybridMultilevel"/>
    <w:tmpl w:val="EEE0C436"/>
    <w:lvl w:ilvl="0" w:tplc="2B409DC2">
      <w:start w:val="1"/>
      <w:numFmt w:val="lowerLetter"/>
      <w:lvlText w:val="(%1)"/>
      <w:lvlJc w:val="left"/>
      <w:pPr>
        <w:ind w:left="720" w:hanging="360"/>
      </w:pPr>
      <w:rPr>
        <w:rFonts w:cs="Times New Roman" w:hint="default"/>
      </w:rPr>
    </w:lvl>
    <w:lvl w:ilvl="1" w:tplc="9F805AA8">
      <w:start w:val="1"/>
      <w:numFmt w:val="lowerLetter"/>
      <w:lvlText w:val="%2."/>
      <w:lvlJc w:val="left"/>
      <w:pPr>
        <w:ind w:left="1440" w:hanging="360"/>
      </w:pPr>
    </w:lvl>
    <w:lvl w:ilvl="2" w:tplc="62C48E34" w:tentative="1">
      <w:start w:val="1"/>
      <w:numFmt w:val="lowerRoman"/>
      <w:lvlText w:val="%3."/>
      <w:lvlJc w:val="right"/>
      <w:pPr>
        <w:ind w:left="2160" w:hanging="180"/>
      </w:pPr>
    </w:lvl>
    <w:lvl w:ilvl="3" w:tplc="C7E66008" w:tentative="1">
      <w:start w:val="1"/>
      <w:numFmt w:val="decimal"/>
      <w:lvlText w:val="%4."/>
      <w:lvlJc w:val="left"/>
      <w:pPr>
        <w:ind w:left="2880" w:hanging="360"/>
      </w:pPr>
    </w:lvl>
    <w:lvl w:ilvl="4" w:tplc="7D4C67B4" w:tentative="1">
      <w:start w:val="1"/>
      <w:numFmt w:val="lowerLetter"/>
      <w:lvlText w:val="%5."/>
      <w:lvlJc w:val="left"/>
      <w:pPr>
        <w:ind w:left="3600" w:hanging="360"/>
      </w:pPr>
    </w:lvl>
    <w:lvl w:ilvl="5" w:tplc="F11EC626" w:tentative="1">
      <w:start w:val="1"/>
      <w:numFmt w:val="lowerRoman"/>
      <w:lvlText w:val="%6."/>
      <w:lvlJc w:val="right"/>
      <w:pPr>
        <w:ind w:left="4320" w:hanging="180"/>
      </w:pPr>
    </w:lvl>
    <w:lvl w:ilvl="6" w:tplc="43882328" w:tentative="1">
      <w:start w:val="1"/>
      <w:numFmt w:val="decimal"/>
      <w:lvlText w:val="%7."/>
      <w:lvlJc w:val="left"/>
      <w:pPr>
        <w:ind w:left="5040" w:hanging="360"/>
      </w:pPr>
    </w:lvl>
    <w:lvl w:ilvl="7" w:tplc="12EE73E0" w:tentative="1">
      <w:start w:val="1"/>
      <w:numFmt w:val="lowerLetter"/>
      <w:lvlText w:val="%8."/>
      <w:lvlJc w:val="left"/>
      <w:pPr>
        <w:ind w:left="5760" w:hanging="360"/>
      </w:pPr>
    </w:lvl>
    <w:lvl w:ilvl="8" w:tplc="C01813F0" w:tentative="1">
      <w:start w:val="1"/>
      <w:numFmt w:val="lowerRoman"/>
      <w:lvlText w:val="%9."/>
      <w:lvlJc w:val="right"/>
      <w:pPr>
        <w:ind w:left="6480" w:hanging="180"/>
      </w:pPr>
    </w:lvl>
  </w:abstractNum>
  <w:abstractNum w:abstractNumId="39" w15:restartNumberingAfterBreak="0">
    <w:nsid w:val="66EA650A"/>
    <w:multiLevelType w:val="hybridMultilevel"/>
    <w:tmpl w:val="43CEB604"/>
    <w:lvl w:ilvl="0" w:tplc="CF06A3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A4767C0"/>
    <w:multiLevelType w:val="hybridMultilevel"/>
    <w:tmpl w:val="06983DAE"/>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80"/>
        </w:tabs>
        <w:ind w:left="-180" w:hanging="360"/>
      </w:pPr>
    </w:lvl>
    <w:lvl w:ilvl="2" w:tplc="0809001B" w:tentative="1">
      <w:start w:val="1"/>
      <w:numFmt w:val="lowerRoman"/>
      <w:lvlText w:val="%3."/>
      <w:lvlJc w:val="right"/>
      <w:pPr>
        <w:tabs>
          <w:tab w:val="num" w:pos="540"/>
        </w:tabs>
        <w:ind w:left="540" w:hanging="180"/>
      </w:pPr>
    </w:lvl>
    <w:lvl w:ilvl="3" w:tplc="0809000F" w:tentative="1">
      <w:start w:val="1"/>
      <w:numFmt w:val="decimal"/>
      <w:lvlText w:val="%4."/>
      <w:lvlJc w:val="left"/>
      <w:pPr>
        <w:tabs>
          <w:tab w:val="num" w:pos="1260"/>
        </w:tabs>
        <w:ind w:left="1260" w:hanging="360"/>
      </w:pPr>
    </w:lvl>
    <w:lvl w:ilvl="4" w:tplc="08090019" w:tentative="1">
      <w:start w:val="1"/>
      <w:numFmt w:val="lowerLetter"/>
      <w:lvlText w:val="%5."/>
      <w:lvlJc w:val="left"/>
      <w:pPr>
        <w:tabs>
          <w:tab w:val="num" w:pos="1980"/>
        </w:tabs>
        <w:ind w:left="1980" w:hanging="360"/>
      </w:pPr>
    </w:lvl>
    <w:lvl w:ilvl="5" w:tplc="0809001B" w:tentative="1">
      <w:start w:val="1"/>
      <w:numFmt w:val="lowerRoman"/>
      <w:lvlText w:val="%6."/>
      <w:lvlJc w:val="right"/>
      <w:pPr>
        <w:tabs>
          <w:tab w:val="num" w:pos="2700"/>
        </w:tabs>
        <w:ind w:left="2700" w:hanging="180"/>
      </w:pPr>
    </w:lvl>
    <w:lvl w:ilvl="6" w:tplc="0809000F" w:tentative="1">
      <w:start w:val="1"/>
      <w:numFmt w:val="decimal"/>
      <w:lvlText w:val="%7."/>
      <w:lvlJc w:val="left"/>
      <w:pPr>
        <w:tabs>
          <w:tab w:val="num" w:pos="3420"/>
        </w:tabs>
        <w:ind w:left="3420" w:hanging="360"/>
      </w:pPr>
    </w:lvl>
    <w:lvl w:ilvl="7" w:tplc="08090019" w:tentative="1">
      <w:start w:val="1"/>
      <w:numFmt w:val="lowerLetter"/>
      <w:lvlText w:val="%8."/>
      <w:lvlJc w:val="left"/>
      <w:pPr>
        <w:tabs>
          <w:tab w:val="num" w:pos="4140"/>
        </w:tabs>
        <w:ind w:left="4140" w:hanging="360"/>
      </w:pPr>
    </w:lvl>
    <w:lvl w:ilvl="8" w:tplc="0809001B" w:tentative="1">
      <w:start w:val="1"/>
      <w:numFmt w:val="lowerRoman"/>
      <w:lvlText w:val="%9."/>
      <w:lvlJc w:val="right"/>
      <w:pPr>
        <w:tabs>
          <w:tab w:val="num" w:pos="4860"/>
        </w:tabs>
        <w:ind w:left="4860" w:hanging="180"/>
      </w:pPr>
    </w:lvl>
  </w:abstractNum>
  <w:abstractNum w:abstractNumId="41" w15:restartNumberingAfterBreak="0">
    <w:nsid w:val="6BCD57BB"/>
    <w:multiLevelType w:val="multilevel"/>
    <w:tmpl w:val="5AD2A3CC"/>
    <w:lvl w:ilvl="0">
      <w:start w:val="1"/>
      <w:numFmt w:val="decimal"/>
      <w:pStyle w:val="Numberedtilelevel1"/>
      <w:lvlText w:val="%1."/>
      <w:lvlJc w:val="left"/>
      <w:pPr>
        <w:ind w:left="0" w:firstLine="0"/>
      </w:pPr>
      <w:rPr>
        <w:rFonts w:hint="default"/>
      </w:rPr>
    </w:lvl>
    <w:lvl w:ilvl="1">
      <w:start w:val="1"/>
      <w:numFmt w:val="decimal"/>
      <w:pStyle w:val="Numberedtitlelevel2"/>
      <w:lvlText w:val="%1.%2"/>
      <w:lvlJc w:val="left"/>
      <w:pPr>
        <w:ind w:left="0" w:firstLine="0"/>
      </w:pPr>
      <w:rPr>
        <w:rFonts w:hint="default"/>
      </w:rPr>
    </w:lvl>
    <w:lvl w:ilvl="2">
      <w:start w:val="1"/>
      <w:numFmt w:val="decimal"/>
      <w:pStyle w:val="Numberedtitlelevel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2" w15:restartNumberingAfterBreak="0">
    <w:nsid w:val="71064D88"/>
    <w:multiLevelType w:val="hybridMultilevel"/>
    <w:tmpl w:val="DACEA436"/>
    <w:lvl w:ilvl="0" w:tplc="3502039C">
      <w:start w:val="1"/>
      <w:numFmt w:val="bullet"/>
      <w:pStyle w:val="List1"/>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2C4D55"/>
    <w:multiLevelType w:val="hybridMultilevel"/>
    <w:tmpl w:val="1254A5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EE915B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0"/>
  </w:num>
  <w:num w:numId="2">
    <w:abstractNumId w:val="3"/>
  </w:num>
  <w:num w:numId="3">
    <w:abstractNumId w:val="18"/>
  </w:num>
  <w:num w:numId="4">
    <w:abstractNumId w:val="24"/>
  </w:num>
  <w:num w:numId="5">
    <w:abstractNumId w:val="42"/>
  </w:num>
  <w:num w:numId="6">
    <w:abstractNumId w:val="1"/>
  </w:num>
  <w:num w:numId="7">
    <w:abstractNumId w:val="41"/>
  </w:num>
  <w:num w:numId="8">
    <w:abstractNumId w:val="33"/>
  </w:num>
  <w:num w:numId="9">
    <w:abstractNumId w:val="0"/>
  </w:num>
  <w:num w:numId="10">
    <w:abstractNumId w:val="16"/>
  </w:num>
  <w:num w:numId="11">
    <w:abstractNumId w:val="9"/>
  </w:num>
  <w:num w:numId="12">
    <w:abstractNumId w:val="12"/>
  </w:num>
  <w:num w:numId="13">
    <w:abstractNumId w:val="34"/>
  </w:num>
  <w:num w:numId="14">
    <w:abstractNumId w:val="20"/>
  </w:num>
  <w:num w:numId="15">
    <w:abstractNumId w:val="36"/>
  </w:num>
  <w:num w:numId="16">
    <w:abstractNumId w:val="4"/>
  </w:num>
  <w:num w:numId="17">
    <w:abstractNumId w:val="8"/>
  </w:num>
  <w:num w:numId="18">
    <w:abstractNumId w:val="13"/>
  </w:num>
  <w:num w:numId="19">
    <w:abstractNumId w:val="44"/>
  </w:num>
  <w:num w:numId="20">
    <w:abstractNumId w:val="19"/>
  </w:num>
  <w:num w:numId="21">
    <w:abstractNumId w:val="43"/>
  </w:num>
  <w:num w:numId="22">
    <w:abstractNumId w:val="15"/>
  </w:num>
  <w:num w:numId="23">
    <w:abstractNumId w:val="17"/>
  </w:num>
  <w:num w:numId="24">
    <w:abstractNumId w:val="37"/>
  </w:num>
  <w:num w:numId="25">
    <w:abstractNumId w:val="11"/>
  </w:num>
  <w:num w:numId="26">
    <w:abstractNumId w:val="22"/>
  </w:num>
  <w:num w:numId="27">
    <w:abstractNumId w:val="14"/>
  </w:num>
  <w:num w:numId="28">
    <w:abstractNumId w:val="21"/>
  </w:num>
  <w:num w:numId="29">
    <w:abstractNumId w:val="31"/>
  </w:num>
  <w:num w:numId="30">
    <w:abstractNumId w:val="39"/>
  </w:num>
  <w:num w:numId="31">
    <w:abstractNumId w:val="25"/>
  </w:num>
  <w:num w:numId="32">
    <w:abstractNumId w:val="26"/>
  </w:num>
  <w:num w:numId="33">
    <w:abstractNumId w:val="10"/>
  </w:num>
  <w:num w:numId="34">
    <w:abstractNumId w:val="7"/>
  </w:num>
  <w:num w:numId="35">
    <w:abstractNumId w:val="23"/>
  </w:num>
  <w:num w:numId="36">
    <w:abstractNumId w:val="6"/>
  </w:num>
  <w:num w:numId="37">
    <w:abstractNumId w:val="2"/>
  </w:num>
  <w:num w:numId="38">
    <w:abstractNumId w:val="32"/>
  </w:num>
  <w:num w:numId="39">
    <w:abstractNumId w:val="35"/>
  </w:num>
  <w:num w:numId="40">
    <w:abstractNumId w:val="5"/>
  </w:num>
  <w:num w:numId="41">
    <w:abstractNumId w:val="40"/>
  </w:num>
  <w:num w:numId="42">
    <w:abstractNumId w:val="38"/>
  </w:num>
  <w:num w:numId="43">
    <w:abstractNumId w:val="27"/>
  </w:num>
  <w:num w:numId="44">
    <w:abstractNumId w:val="28"/>
  </w:num>
  <w:num w:numId="45">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trackRevisions/>
  <w:defaultTabStop w:val="720"/>
  <w:hyphenationZone w:val="283"/>
  <w:drawingGridHorizontalSpacing w:val="360"/>
  <w:drawingGridVerticalSpacing w:val="360"/>
  <w:displayHorizontalDrawingGridEvery w:val="0"/>
  <w:displayVerticalDrawingGridEvery w:val="0"/>
  <w:characterSpacingControl w:val="doNotCompress"/>
  <w:hdrShapeDefaults>
    <o:shapedefaults v:ext="edit" spidmax="69633"/>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EBA GL-REC 20XX XX (FINAL GLS-REC ON"/>
  </w:docVars>
  <w:rsids>
    <w:rsidRoot w:val="006307A5"/>
    <w:rsid w:val="0000147D"/>
    <w:rsid w:val="00001873"/>
    <w:rsid w:val="00003F50"/>
    <w:rsid w:val="00013281"/>
    <w:rsid w:val="00015DE4"/>
    <w:rsid w:val="00015EF3"/>
    <w:rsid w:val="000172EF"/>
    <w:rsid w:val="00017CAD"/>
    <w:rsid w:val="000231B7"/>
    <w:rsid w:val="00027CA0"/>
    <w:rsid w:val="000300B9"/>
    <w:rsid w:val="000300DD"/>
    <w:rsid w:val="00030D65"/>
    <w:rsid w:val="00034192"/>
    <w:rsid w:val="00037863"/>
    <w:rsid w:val="00040129"/>
    <w:rsid w:val="00046C75"/>
    <w:rsid w:val="00047C96"/>
    <w:rsid w:val="000526A4"/>
    <w:rsid w:val="000565A9"/>
    <w:rsid w:val="00060F40"/>
    <w:rsid w:val="00062830"/>
    <w:rsid w:val="00062937"/>
    <w:rsid w:val="00066A9A"/>
    <w:rsid w:val="00066BFB"/>
    <w:rsid w:val="00075D6D"/>
    <w:rsid w:val="000774B3"/>
    <w:rsid w:val="00083C33"/>
    <w:rsid w:val="000843CD"/>
    <w:rsid w:val="00093238"/>
    <w:rsid w:val="000A1C81"/>
    <w:rsid w:val="000A2565"/>
    <w:rsid w:val="000A3851"/>
    <w:rsid w:val="000A6415"/>
    <w:rsid w:val="000B1645"/>
    <w:rsid w:val="000C5A8A"/>
    <w:rsid w:val="000C6485"/>
    <w:rsid w:val="000C7FD8"/>
    <w:rsid w:val="000D1FC3"/>
    <w:rsid w:val="000D206E"/>
    <w:rsid w:val="000D59D3"/>
    <w:rsid w:val="000D7A44"/>
    <w:rsid w:val="000E0291"/>
    <w:rsid w:val="000E0C27"/>
    <w:rsid w:val="000E279B"/>
    <w:rsid w:val="000E4CF4"/>
    <w:rsid w:val="000E5C13"/>
    <w:rsid w:val="000E6D15"/>
    <w:rsid w:val="000F33D3"/>
    <w:rsid w:val="000F3892"/>
    <w:rsid w:val="000F3B49"/>
    <w:rsid w:val="000F3E72"/>
    <w:rsid w:val="000F469C"/>
    <w:rsid w:val="000F5BF6"/>
    <w:rsid w:val="000F607B"/>
    <w:rsid w:val="000F6495"/>
    <w:rsid w:val="000F6FD8"/>
    <w:rsid w:val="00105CC4"/>
    <w:rsid w:val="001061FA"/>
    <w:rsid w:val="001124D0"/>
    <w:rsid w:val="0011517F"/>
    <w:rsid w:val="0012038C"/>
    <w:rsid w:val="00121BB0"/>
    <w:rsid w:val="00121E46"/>
    <w:rsid w:val="001256E5"/>
    <w:rsid w:val="001265AF"/>
    <w:rsid w:val="0012686C"/>
    <w:rsid w:val="0013090C"/>
    <w:rsid w:val="0013183F"/>
    <w:rsid w:val="00131C5D"/>
    <w:rsid w:val="00142DF6"/>
    <w:rsid w:val="00145D24"/>
    <w:rsid w:val="00150AEF"/>
    <w:rsid w:val="001516A2"/>
    <w:rsid w:val="00152832"/>
    <w:rsid w:val="001537E7"/>
    <w:rsid w:val="00154596"/>
    <w:rsid w:val="001600FC"/>
    <w:rsid w:val="001624D7"/>
    <w:rsid w:val="001625E5"/>
    <w:rsid w:val="0016436F"/>
    <w:rsid w:val="0016712E"/>
    <w:rsid w:val="0016737A"/>
    <w:rsid w:val="00171415"/>
    <w:rsid w:val="00172007"/>
    <w:rsid w:val="0017224C"/>
    <w:rsid w:val="0017446F"/>
    <w:rsid w:val="00177CB9"/>
    <w:rsid w:val="00183111"/>
    <w:rsid w:val="001834D4"/>
    <w:rsid w:val="001906FD"/>
    <w:rsid w:val="00192287"/>
    <w:rsid w:val="00192A57"/>
    <w:rsid w:val="001A016C"/>
    <w:rsid w:val="001A23A0"/>
    <w:rsid w:val="001A2A81"/>
    <w:rsid w:val="001A2C2E"/>
    <w:rsid w:val="001A5BD4"/>
    <w:rsid w:val="001A70A8"/>
    <w:rsid w:val="001B2C0D"/>
    <w:rsid w:val="001B6017"/>
    <w:rsid w:val="001B7A0B"/>
    <w:rsid w:val="001B7EB3"/>
    <w:rsid w:val="001C1FD9"/>
    <w:rsid w:val="001C5BC2"/>
    <w:rsid w:val="001D0179"/>
    <w:rsid w:val="001D1C02"/>
    <w:rsid w:val="001D3853"/>
    <w:rsid w:val="001E01E5"/>
    <w:rsid w:val="001E1188"/>
    <w:rsid w:val="001E1E2D"/>
    <w:rsid w:val="001E3599"/>
    <w:rsid w:val="001E3A3C"/>
    <w:rsid w:val="001E48C6"/>
    <w:rsid w:val="001F1CB9"/>
    <w:rsid w:val="001F2A6F"/>
    <w:rsid w:val="001F40B9"/>
    <w:rsid w:val="001F7501"/>
    <w:rsid w:val="00205878"/>
    <w:rsid w:val="00210D39"/>
    <w:rsid w:val="00213D7B"/>
    <w:rsid w:val="00214DEC"/>
    <w:rsid w:val="00224761"/>
    <w:rsid w:val="00224A3F"/>
    <w:rsid w:val="00224D96"/>
    <w:rsid w:val="00224E28"/>
    <w:rsid w:val="00226067"/>
    <w:rsid w:val="002306C7"/>
    <w:rsid w:val="00231C96"/>
    <w:rsid w:val="002331E4"/>
    <w:rsid w:val="00241BD8"/>
    <w:rsid w:val="002434B0"/>
    <w:rsid w:val="00254CA9"/>
    <w:rsid w:val="002573A5"/>
    <w:rsid w:val="0026050D"/>
    <w:rsid w:val="00263A80"/>
    <w:rsid w:val="00266715"/>
    <w:rsid w:val="00266F94"/>
    <w:rsid w:val="0027418E"/>
    <w:rsid w:val="00276377"/>
    <w:rsid w:val="002767AA"/>
    <w:rsid w:val="00290DA3"/>
    <w:rsid w:val="0029471B"/>
    <w:rsid w:val="00295C4D"/>
    <w:rsid w:val="00296A52"/>
    <w:rsid w:val="002A0FF0"/>
    <w:rsid w:val="002A1719"/>
    <w:rsid w:val="002A3A19"/>
    <w:rsid w:val="002B04EA"/>
    <w:rsid w:val="002C0DCF"/>
    <w:rsid w:val="002C619A"/>
    <w:rsid w:val="002C69A0"/>
    <w:rsid w:val="002C77AE"/>
    <w:rsid w:val="002D1867"/>
    <w:rsid w:val="002D3077"/>
    <w:rsid w:val="002D43C3"/>
    <w:rsid w:val="002D4851"/>
    <w:rsid w:val="002E58DB"/>
    <w:rsid w:val="002F0EB1"/>
    <w:rsid w:val="002F2009"/>
    <w:rsid w:val="002F5279"/>
    <w:rsid w:val="002F7ACE"/>
    <w:rsid w:val="00300924"/>
    <w:rsid w:val="00300D5D"/>
    <w:rsid w:val="003025A8"/>
    <w:rsid w:val="003065D5"/>
    <w:rsid w:val="0030772A"/>
    <w:rsid w:val="003129B6"/>
    <w:rsid w:val="00312A27"/>
    <w:rsid w:val="00313E81"/>
    <w:rsid w:val="00313EC9"/>
    <w:rsid w:val="00314D6E"/>
    <w:rsid w:val="00315C41"/>
    <w:rsid w:val="00317F6F"/>
    <w:rsid w:val="00320E57"/>
    <w:rsid w:val="003221EF"/>
    <w:rsid w:val="00322C23"/>
    <w:rsid w:val="0032466C"/>
    <w:rsid w:val="003248A2"/>
    <w:rsid w:val="00327629"/>
    <w:rsid w:val="003309CF"/>
    <w:rsid w:val="00335BBD"/>
    <w:rsid w:val="00341A84"/>
    <w:rsid w:val="00341DE1"/>
    <w:rsid w:val="00342E0B"/>
    <w:rsid w:val="00347EC3"/>
    <w:rsid w:val="00350D0D"/>
    <w:rsid w:val="0035477B"/>
    <w:rsid w:val="00357816"/>
    <w:rsid w:val="003604AA"/>
    <w:rsid w:val="003623E3"/>
    <w:rsid w:val="003641C0"/>
    <w:rsid w:val="00372BEC"/>
    <w:rsid w:val="00386638"/>
    <w:rsid w:val="00386C3D"/>
    <w:rsid w:val="003918BD"/>
    <w:rsid w:val="00392385"/>
    <w:rsid w:val="00393D6B"/>
    <w:rsid w:val="003A4578"/>
    <w:rsid w:val="003B0284"/>
    <w:rsid w:val="003B5A0A"/>
    <w:rsid w:val="003B6A5A"/>
    <w:rsid w:val="003D01F8"/>
    <w:rsid w:val="003D2EA6"/>
    <w:rsid w:val="003D52A3"/>
    <w:rsid w:val="003D6D40"/>
    <w:rsid w:val="003D7A72"/>
    <w:rsid w:val="003E318D"/>
    <w:rsid w:val="003E3374"/>
    <w:rsid w:val="003F0433"/>
    <w:rsid w:val="003F064D"/>
    <w:rsid w:val="003F2051"/>
    <w:rsid w:val="003F5E9A"/>
    <w:rsid w:val="00401A65"/>
    <w:rsid w:val="0041071E"/>
    <w:rsid w:val="00411B21"/>
    <w:rsid w:val="00412567"/>
    <w:rsid w:val="00412DB9"/>
    <w:rsid w:val="004172D1"/>
    <w:rsid w:val="00417410"/>
    <w:rsid w:val="00424530"/>
    <w:rsid w:val="00425647"/>
    <w:rsid w:val="00434733"/>
    <w:rsid w:val="0043577F"/>
    <w:rsid w:val="0043675A"/>
    <w:rsid w:val="0043712F"/>
    <w:rsid w:val="00437AF4"/>
    <w:rsid w:val="00441F85"/>
    <w:rsid w:val="00451ED7"/>
    <w:rsid w:val="00452468"/>
    <w:rsid w:val="0045301B"/>
    <w:rsid w:val="004541F3"/>
    <w:rsid w:val="00455E0E"/>
    <w:rsid w:val="004643EE"/>
    <w:rsid w:val="004719B4"/>
    <w:rsid w:val="00471CA1"/>
    <w:rsid w:val="00471CCE"/>
    <w:rsid w:val="0047368B"/>
    <w:rsid w:val="00480A65"/>
    <w:rsid w:val="00480E42"/>
    <w:rsid w:val="00481AC4"/>
    <w:rsid w:val="004820E6"/>
    <w:rsid w:val="00482FB6"/>
    <w:rsid w:val="004907E9"/>
    <w:rsid w:val="00493177"/>
    <w:rsid w:val="004955E7"/>
    <w:rsid w:val="0049781D"/>
    <w:rsid w:val="004A2F10"/>
    <w:rsid w:val="004A5D8B"/>
    <w:rsid w:val="004B2FC0"/>
    <w:rsid w:val="004B32A0"/>
    <w:rsid w:val="004B4935"/>
    <w:rsid w:val="004B7784"/>
    <w:rsid w:val="004C1B19"/>
    <w:rsid w:val="004C320A"/>
    <w:rsid w:val="004C6392"/>
    <w:rsid w:val="004C7C68"/>
    <w:rsid w:val="004D3523"/>
    <w:rsid w:val="004D3597"/>
    <w:rsid w:val="004D7668"/>
    <w:rsid w:val="004E405B"/>
    <w:rsid w:val="004E70AB"/>
    <w:rsid w:val="004F0AB6"/>
    <w:rsid w:val="004F63DB"/>
    <w:rsid w:val="004F7817"/>
    <w:rsid w:val="00504426"/>
    <w:rsid w:val="00505C64"/>
    <w:rsid w:val="00506580"/>
    <w:rsid w:val="005105EF"/>
    <w:rsid w:val="0051165C"/>
    <w:rsid w:val="00523895"/>
    <w:rsid w:val="00527061"/>
    <w:rsid w:val="005272A0"/>
    <w:rsid w:val="00532DDA"/>
    <w:rsid w:val="005335A4"/>
    <w:rsid w:val="00533E07"/>
    <w:rsid w:val="005410AB"/>
    <w:rsid w:val="00541BD8"/>
    <w:rsid w:val="00543A44"/>
    <w:rsid w:val="00563250"/>
    <w:rsid w:val="00565691"/>
    <w:rsid w:val="005673AC"/>
    <w:rsid w:val="00571BB6"/>
    <w:rsid w:val="00575BA7"/>
    <w:rsid w:val="00581203"/>
    <w:rsid w:val="00582AA7"/>
    <w:rsid w:val="00582C5F"/>
    <w:rsid w:val="00584246"/>
    <w:rsid w:val="0058477C"/>
    <w:rsid w:val="0058561D"/>
    <w:rsid w:val="0058568F"/>
    <w:rsid w:val="00587037"/>
    <w:rsid w:val="005919E0"/>
    <w:rsid w:val="00593D83"/>
    <w:rsid w:val="00594183"/>
    <w:rsid w:val="0059737F"/>
    <w:rsid w:val="005A312B"/>
    <w:rsid w:val="005A6911"/>
    <w:rsid w:val="005A733D"/>
    <w:rsid w:val="005B2795"/>
    <w:rsid w:val="005B5C09"/>
    <w:rsid w:val="005B7D63"/>
    <w:rsid w:val="005C1AF0"/>
    <w:rsid w:val="005C3DFF"/>
    <w:rsid w:val="005C498B"/>
    <w:rsid w:val="005C58AD"/>
    <w:rsid w:val="005C590A"/>
    <w:rsid w:val="005C74C7"/>
    <w:rsid w:val="005D05CA"/>
    <w:rsid w:val="005D298F"/>
    <w:rsid w:val="005D4005"/>
    <w:rsid w:val="005D40D1"/>
    <w:rsid w:val="005D4993"/>
    <w:rsid w:val="005D7532"/>
    <w:rsid w:val="005E6D02"/>
    <w:rsid w:val="005E77FF"/>
    <w:rsid w:val="005F1E09"/>
    <w:rsid w:val="006017FA"/>
    <w:rsid w:val="006025B2"/>
    <w:rsid w:val="00603437"/>
    <w:rsid w:val="006059B2"/>
    <w:rsid w:val="00605E90"/>
    <w:rsid w:val="00610305"/>
    <w:rsid w:val="00610419"/>
    <w:rsid w:val="00611B31"/>
    <w:rsid w:val="00611DDB"/>
    <w:rsid w:val="00612C7B"/>
    <w:rsid w:val="006152DB"/>
    <w:rsid w:val="00615CA4"/>
    <w:rsid w:val="00616A9A"/>
    <w:rsid w:val="006172E4"/>
    <w:rsid w:val="006209BD"/>
    <w:rsid w:val="006224C1"/>
    <w:rsid w:val="00622726"/>
    <w:rsid w:val="00625392"/>
    <w:rsid w:val="0062584F"/>
    <w:rsid w:val="006269B7"/>
    <w:rsid w:val="006307A5"/>
    <w:rsid w:val="00633DC7"/>
    <w:rsid w:val="00636E1D"/>
    <w:rsid w:val="0064208D"/>
    <w:rsid w:val="006429A8"/>
    <w:rsid w:val="00646E21"/>
    <w:rsid w:val="00651E9C"/>
    <w:rsid w:val="00655112"/>
    <w:rsid w:val="00657A76"/>
    <w:rsid w:val="00663B0A"/>
    <w:rsid w:val="006641F8"/>
    <w:rsid w:val="006671A5"/>
    <w:rsid w:val="00670254"/>
    <w:rsid w:val="00677F30"/>
    <w:rsid w:val="00680E3F"/>
    <w:rsid w:val="00687E5A"/>
    <w:rsid w:val="00696C0F"/>
    <w:rsid w:val="006973AC"/>
    <w:rsid w:val="00697ACE"/>
    <w:rsid w:val="00697E26"/>
    <w:rsid w:val="006A0D6A"/>
    <w:rsid w:val="006A5D66"/>
    <w:rsid w:val="006A763B"/>
    <w:rsid w:val="006B05E0"/>
    <w:rsid w:val="006C186D"/>
    <w:rsid w:val="006D1445"/>
    <w:rsid w:val="006D3A6A"/>
    <w:rsid w:val="006D7393"/>
    <w:rsid w:val="006D7826"/>
    <w:rsid w:val="006E55E1"/>
    <w:rsid w:val="006F2E13"/>
    <w:rsid w:val="006F445D"/>
    <w:rsid w:val="006F59DC"/>
    <w:rsid w:val="006F7296"/>
    <w:rsid w:val="006F72C6"/>
    <w:rsid w:val="00703E4E"/>
    <w:rsid w:val="007071C6"/>
    <w:rsid w:val="00711E1C"/>
    <w:rsid w:val="00712D2C"/>
    <w:rsid w:val="007202D7"/>
    <w:rsid w:val="00721FBA"/>
    <w:rsid w:val="007240FA"/>
    <w:rsid w:val="00726DBC"/>
    <w:rsid w:val="00730352"/>
    <w:rsid w:val="007362D9"/>
    <w:rsid w:val="0073643E"/>
    <w:rsid w:val="0073684C"/>
    <w:rsid w:val="00742839"/>
    <w:rsid w:val="00746515"/>
    <w:rsid w:val="00747FEB"/>
    <w:rsid w:val="00752710"/>
    <w:rsid w:val="00755505"/>
    <w:rsid w:val="0076316D"/>
    <w:rsid w:val="00772993"/>
    <w:rsid w:val="0077493C"/>
    <w:rsid w:val="007815FB"/>
    <w:rsid w:val="00781D80"/>
    <w:rsid w:val="00782A2E"/>
    <w:rsid w:val="00783682"/>
    <w:rsid w:val="0078583A"/>
    <w:rsid w:val="00791DE5"/>
    <w:rsid w:val="00792CE4"/>
    <w:rsid w:val="0079325C"/>
    <w:rsid w:val="007A0054"/>
    <w:rsid w:val="007A2A87"/>
    <w:rsid w:val="007A2F6C"/>
    <w:rsid w:val="007A38F2"/>
    <w:rsid w:val="007A44A6"/>
    <w:rsid w:val="007A491E"/>
    <w:rsid w:val="007A4D79"/>
    <w:rsid w:val="007A5353"/>
    <w:rsid w:val="007A6CBD"/>
    <w:rsid w:val="007B3D63"/>
    <w:rsid w:val="007B69D6"/>
    <w:rsid w:val="007B69E3"/>
    <w:rsid w:val="007C55D0"/>
    <w:rsid w:val="007E17FF"/>
    <w:rsid w:val="007E57CE"/>
    <w:rsid w:val="007F2E62"/>
    <w:rsid w:val="008009AD"/>
    <w:rsid w:val="008025F4"/>
    <w:rsid w:val="008073D4"/>
    <w:rsid w:val="008123E1"/>
    <w:rsid w:val="00813BAC"/>
    <w:rsid w:val="00813CD4"/>
    <w:rsid w:val="00821B9D"/>
    <w:rsid w:val="00823FF9"/>
    <w:rsid w:val="00826607"/>
    <w:rsid w:val="00830082"/>
    <w:rsid w:val="00834F29"/>
    <w:rsid w:val="0084468C"/>
    <w:rsid w:val="00844EE2"/>
    <w:rsid w:val="0085041F"/>
    <w:rsid w:val="00851DC4"/>
    <w:rsid w:val="0085412E"/>
    <w:rsid w:val="008552A0"/>
    <w:rsid w:val="00856FC4"/>
    <w:rsid w:val="00857B2C"/>
    <w:rsid w:val="00862D23"/>
    <w:rsid w:val="00862F18"/>
    <w:rsid w:val="00865492"/>
    <w:rsid w:val="0086561B"/>
    <w:rsid w:val="00867CB4"/>
    <w:rsid w:val="008708AB"/>
    <w:rsid w:val="00874ED5"/>
    <w:rsid w:val="008810BC"/>
    <w:rsid w:val="008825AF"/>
    <w:rsid w:val="00886393"/>
    <w:rsid w:val="008909F1"/>
    <w:rsid w:val="00895E44"/>
    <w:rsid w:val="008B0845"/>
    <w:rsid w:val="008B1A04"/>
    <w:rsid w:val="008B2ED1"/>
    <w:rsid w:val="008B36A8"/>
    <w:rsid w:val="008B591F"/>
    <w:rsid w:val="008C17D4"/>
    <w:rsid w:val="008C1A94"/>
    <w:rsid w:val="008C2717"/>
    <w:rsid w:val="008C5B82"/>
    <w:rsid w:val="008D22DA"/>
    <w:rsid w:val="008E74C8"/>
    <w:rsid w:val="008F3908"/>
    <w:rsid w:val="009014B6"/>
    <w:rsid w:val="0090405B"/>
    <w:rsid w:val="0090496E"/>
    <w:rsid w:val="00912882"/>
    <w:rsid w:val="00912895"/>
    <w:rsid w:val="009210DE"/>
    <w:rsid w:val="009219EE"/>
    <w:rsid w:val="0092311E"/>
    <w:rsid w:val="00927A1D"/>
    <w:rsid w:val="00931A3F"/>
    <w:rsid w:val="0093692E"/>
    <w:rsid w:val="009411C7"/>
    <w:rsid w:val="00943B87"/>
    <w:rsid w:val="00943C57"/>
    <w:rsid w:val="00950374"/>
    <w:rsid w:val="009531CB"/>
    <w:rsid w:val="0095698E"/>
    <w:rsid w:val="00960E01"/>
    <w:rsid w:val="0096160F"/>
    <w:rsid w:val="009626F1"/>
    <w:rsid w:val="00962B68"/>
    <w:rsid w:val="00965B80"/>
    <w:rsid w:val="009676C1"/>
    <w:rsid w:val="00970FD7"/>
    <w:rsid w:val="00985502"/>
    <w:rsid w:val="00993B1E"/>
    <w:rsid w:val="009B1124"/>
    <w:rsid w:val="009B6FDF"/>
    <w:rsid w:val="009B7115"/>
    <w:rsid w:val="009B766C"/>
    <w:rsid w:val="009B7766"/>
    <w:rsid w:val="009C12C9"/>
    <w:rsid w:val="009C1CE7"/>
    <w:rsid w:val="009C2E8E"/>
    <w:rsid w:val="009C46A1"/>
    <w:rsid w:val="009C651A"/>
    <w:rsid w:val="009D2918"/>
    <w:rsid w:val="009D55F7"/>
    <w:rsid w:val="009E1CAD"/>
    <w:rsid w:val="009E38A2"/>
    <w:rsid w:val="009E4107"/>
    <w:rsid w:val="009E4D56"/>
    <w:rsid w:val="009E6A3B"/>
    <w:rsid w:val="009E76BE"/>
    <w:rsid w:val="009E79BF"/>
    <w:rsid w:val="009F12DA"/>
    <w:rsid w:val="009F3FE6"/>
    <w:rsid w:val="009F53AF"/>
    <w:rsid w:val="009F6890"/>
    <w:rsid w:val="009F6DC7"/>
    <w:rsid w:val="00A00793"/>
    <w:rsid w:val="00A00E34"/>
    <w:rsid w:val="00A062C7"/>
    <w:rsid w:val="00A10257"/>
    <w:rsid w:val="00A14332"/>
    <w:rsid w:val="00A234BD"/>
    <w:rsid w:val="00A23608"/>
    <w:rsid w:val="00A27B9D"/>
    <w:rsid w:val="00A27D88"/>
    <w:rsid w:val="00A304D0"/>
    <w:rsid w:val="00A37FED"/>
    <w:rsid w:val="00A40614"/>
    <w:rsid w:val="00A41AC9"/>
    <w:rsid w:val="00A44923"/>
    <w:rsid w:val="00A4607D"/>
    <w:rsid w:val="00A53EC9"/>
    <w:rsid w:val="00A56A46"/>
    <w:rsid w:val="00A66C31"/>
    <w:rsid w:val="00A702DC"/>
    <w:rsid w:val="00A725D6"/>
    <w:rsid w:val="00A72C7D"/>
    <w:rsid w:val="00A81300"/>
    <w:rsid w:val="00A81586"/>
    <w:rsid w:val="00A8221A"/>
    <w:rsid w:val="00A82A03"/>
    <w:rsid w:val="00A84A32"/>
    <w:rsid w:val="00A92440"/>
    <w:rsid w:val="00AA7A7B"/>
    <w:rsid w:val="00AB104D"/>
    <w:rsid w:val="00AB2476"/>
    <w:rsid w:val="00AB3A69"/>
    <w:rsid w:val="00AB47CC"/>
    <w:rsid w:val="00AC2C6E"/>
    <w:rsid w:val="00AC4D4A"/>
    <w:rsid w:val="00AC4ED0"/>
    <w:rsid w:val="00AC5DB4"/>
    <w:rsid w:val="00AC6932"/>
    <w:rsid w:val="00AD0C73"/>
    <w:rsid w:val="00AD2223"/>
    <w:rsid w:val="00AD5AE8"/>
    <w:rsid w:val="00AD6403"/>
    <w:rsid w:val="00AE1555"/>
    <w:rsid w:val="00AE1A2D"/>
    <w:rsid w:val="00AE5145"/>
    <w:rsid w:val="00AE5347"/>
    <w:rsid w:val="00AE55F6"/>
    <w:rsid w:val="00AE56DB"/>
    <w:rsid w:val="00AE5F3C"/>
    <w:rsid w:val="00AE7851"/>
    <w:rsid w:val="00AF3CE9"/>
    <w:rsid w:val="00AF637C"/>
    <w:rsid w:val="00AF7442"/>
    <w:rsid w:val="00B02AA1"/>
    <w:rsid w:val="00B04601"/>
    <w:rsid w:val="00B05C6E"/>
    <w:rsid w:val="00B12C70"/>
    <w:rsid w:val="00B13C87"/>
    <w:rsid w:val="00B15505"/>
    <w:rsid w:val="00B1612B"/>
    <w:rsid w:val="00B1710D"/>
    <w:rsid w:val="00B256E9"/>
    <w:rsid w:val="00B302D5"/>
    <w:rsid w:val="00B30386"/>
    <w:rsid w:val="00B32510"/>
    <w:rsid w:val="00B3595C"/>
    <w:rsid w:val="00B36D5E"/>
    <w:rsid w:val="00B37E88"/>
    <w:rsid w:val="00B439F8"/>
    <w:rsid w:val="00B43E07"/>
    <w:rsid w:val="00B4580F"/>
    <w:rsid w:val="00B526A8"/>
    <w:rsid w:val="00B55FAB"/>
    <w:rsid w:val="00B60D46"/>
    <w:rsid w:val="00B65615"/>
    <w:rsid w:val="00B6734E"/>
    <w:rsid w:val="00B76198"/>
    <w:rsid w:val="00B8101C"/>
    <w:rsid w:val="00B83D9D"/>
    <w:rsid w:val="00B84529"/>
    <w:rsid w:val="00B87191"/>
    <w:rsid w:val="00B87DE2"/>
    <w:rsid w:val="00B902AA"/>
    <w:rsid w:val="00B94FF0"/>
    <w:rsid w:val="00B95A76"/>
    <w:rsid w:val="00B96F7F"/>
    <w:rsid w:val="00BA1B59"/>
    <w:rsid w:val="00BA414B"/>
    <w:rsid w:val="00BB0552"/>
    <w:rsid w:val="00BB2111"/>
    <w:rsid w:val="00BC6920"/>
    <w:rsid w:val="00BC7FD2"/>
    <w:rsid w:val="00BD40F6"/>
    <w:rsid w:val="00BE0A0E"/>
    <w:rsid w:val="00BE4BE2"/>
    <w:rsid w:val="00BF3168"/>
    <w:rsid w:val="00BF4090"/>
    <w:rsid w:val="00C001BC"/>
    <w:rsid w:val="00C0058E"/>
    <w:rsid w:val="00C022FC"/>
    <w:rsid w:val="00C02D74"/>
    <w:rsid w:val="00C03AE7"/>
    <w:rsid w:val="00C05A29"/>
    <w:rsid w:val="00C05D9D"/>
    <w:rsid w:val="00C12FA8"/>
    <w:rsid w:val="00C15C79"/>
    <w:rsid w:val="00C231AA"/>
    <w:rsid w:val="00C261D1"/>
    <w:rsid w:val="00C30572"/>
    <w:rsid w:val="00C35592"/>
    <w:rsid w:val="00C356AF"/>
    <w:rsid w:val="00C41927"/>
    <w:rsid w:val="00C439D6"/>
    <w:rsid w:val="00C43FD9"/>
    <w:rsid w:val="00C44EB2"/>
    <w:rsid w:val="00C47E8F"/>
    <w:rsid w:val="00C51B2A"/>
    <w:rsid w:val="00C54805"/>
    <w:rsid w:val="00C54CC8"/>
    <w:rsid w:val="00C565C2"/>
    <w:rsid w:val="00C57BC4"/>
    <w:rsid w:val="00C60915"/>
    <w:rsid w:val="00C60C14"/>
    <w:rsid w:val="00C67F49"/>
    <w:rsid w:val="00C83329"/>
    <w:rsid w:val="00C85877"/>
    <w:rsid w:val="00C964B8"/>
    <w:rsid w:val="00CB56D3"/>
    <w:rsid w:val="00CC016B"/>
    <w:rsid w:val="00CD2379"/>
    <w:rsid w:val="00CD3AD5"/>
    <w:rsid w:val="00CD4AF7"/>
    <w:rsid w:val="00CD4C1C"/>
    <w:rsid w:val="00CD6F4C"/>
    <w:rsid w:val="00CE341E"/>
    <w:rsid w:val="00CE3517"/>
    <w:rsid w:val="00CE635E"/>
    <w:rsid w:val="00CF0C97"/>
    <w:rsid w:val="00CF2686"/>
    <w:rsid w:val="00CF420D"/>
    <w:rsid w:val="00D01670"/>
    <w:rsid w:val="00D026A2"/>
    <w:rsid w:val="00D05C26"/>
    <w:rsid w:val="00D062AC"/>
    <w:rsid w:val="00D120EF"/>
    <w:rsid w:val="00D125F0"/>
    <w:rsid w:val="00D152E7"/>
    <w:rsid w:val="00D21F91"/>
    <w:rsid w:val="00D2455F"/>
    <w:rsid w:val="00D30F99"/>
    <w:rsid w:val="00D33027"/>
    <w:rsid w:val="00D36EF7"/>
    <w:rsid w:val="00D3796C"/>
    <w:rsid w:val="00D44360"/>
    <w:rsid w:val="00D53948"/>
    <w:rsid w:val="00D549B9"/>
    <w:rsid w:val="00D557EE"/>
    <w:rsid w:val="00D56058"/>
    <w:rsid w:val="00D567E8"/>
    <w:rsid w:val="00D57F4B"/>
    <w:rsid w:val="00D6319A"/>
    <w:rsid w:val="00D63DB7"/>
    <w:rsid w:val="00D656AD"/>
    <w:rsid w:val="00D75823"/>
    <w:rsid w:val="00D76E91"/>
    <w:rsid w:val="00D802E8"/>
    <w:rsid w:val="00D843D6"/>
    <w:rsid w:val="00D849AA"/>
    <w:rsid w:val="00D872D1"/>
    <w:rsid w:val="00DA3269"/>
    <w:rsid w:val="00DA6122"/>
    <w:rsid w:val="00DA7AEF"/>
    <w:rsid w:val="00DB0767"/>
    <w:rsid w:val="00DB1C1E"/>
    <w:rsid w:val="00DB4809"/>
    <w:rsid w:val="00DB49D3"/>
    <w:rsid w:val="00DB5E8F"/>
    <w:rsid w:val="00DB7AE1"/>
    <w:rsid w:val="00DC3E99"/>
    <w:rsid w:val="00DC52C8"/>
    <w:rsid w:val="00DC5B0B"/>
    <w:rsid w:val="00DC678F"/>
    <w:rsid w:val="00DC6E7D"/>
    <w:rsid w:val="00DC7C3E"/>
    <w:rsid w:val="00DD0AC7"/>
    <w:rsid w:val="00DD3F62"/>
    <w:rsid w:val="00DE30E0"/>
    <w:rsid w:val="00DF0F8F"/>
    <w:rsid w:val="00DF1F16"/>
    <w:rsid w:val="00DF67AC"/>
    <w:rsid w:val="00E018B1"/>
    <w:rsid w:val="00E14AA0"/>
    <w:rsid w:val="00E17BD3"/>
    <w:rsid w:val="00E213B0"/>
    <w:rsid w:val="00E2158C"/>
    <w:rsid w:val="00E22BCE"/>
    <w:rsid w:val="00E24BBD"/>
    <w:rsid w:val="00E258D8"/>
    <w:rsid w:val="00E326FF"/>
    <w:rsid w:val="00E34B8E"/>
    <w:rsid w:val="00E361B0"/>
    <w:rsid w:val="00E37B7A"/>
    <w:rsid w:val="00E41563"/>
    <w:rsid w:val="00E41CFF"/>
    <w:rsid w:val="00E43CC4"/>
    <w:rsid w:val="00E54B47"/>
    <w:rsid w:val="00E574A1"/>
    <w:rsid w:val="00E57C3B"/>
    <w:rsid w:val="00E615F7"/>
    <w:rsid w:val="00E62DB8"/>
    <w:rsid w:val="00E63010"/>
    <w:rsid w:val="00E65D21"/>
    <w:rsid w:val="00E666C4"/>
    <w:rsid w:val="00E677EF"/>
    <w:rsid w:val="00E7159B"/>
    <w:rsid w:val="00E71944"/>
    <w:rsid w:val="00E80FD7"/>
    <w:rsid w:val="00E859DF"/>
    <w:rsid w:val="00E85CB4"/>
    <w:rsid w:val="00E87041"/>
    <w:rsid w:val="00E95201"/>
    <w:rsid w:val="00EA1807"/>
    <w:rsid w:val="00EA21E6"/>
    <w:rsid w:val="00EA4947"/>
    <w:rsid w:val="00EC0C41"/>
    <w:rsid w:val="00EC11F0"/>
    <w:rsid w:val="00EC1594"/>
    <w:rsid w:val="00EC1C8C"/>
    <w:rsid w:val="00ED0F16"/>
    <w:rsid w:val="00ED2521"/>
    <w:rsid w:val="00ED2DDA"/>
    <w:rsid w:val="00ED2FB9"/>
    <w:rsid w:val="00EE0C7D"/>
    <w:rsid w:val="00EE456B"/>
    <w:rsid w:val="00EF1F79"/>
    <w:rsid w:val="00EF35BF"/>
    <w:rsid w:val="00EF381C"/>
    <w:rsid w:val="00EF4437"/>
    <w:rsid w:val="00F00C37"/>
    <w:rsid w:val="00F016D1"/>
    <w:rsid w:val="00F01BBF"/>
    <w:rsid w:val="00F034AC"/>
    <w:rsid w:val="00F05080"/>
    <w:rsid w:val="00F160D2"/>
    <w:rsid w:val="00F22973"/>
    <w:rsid w:val="00F27D08"/>
    <w:rsid w:val="00F33077"/>
    <w:rsid w:val="00F34AD2"/>
    <w:rsid w:val="00F37BC7"/>
    <w:rsid w:val="00F4748D"/>
    <w:rsid w:val="00F5279A"/>
    <w:rsid w:val="00F53841"/>
    <w:rsid w:val="00F53B21"/>
    <w:rsid w:val="00F612B3"/>
    <w:rsid w:val="00F615AA"/>
    <w:rsid w:val="00F653FF"/>
    <w:rsid w:val="00F7064A"/>
    <w:rsid w:val="00F7227D"/>
    <w:rsid w:val="00F74438"/>
    <w:rsid w:val="00F747AD"/>
    <w:rsid w:val="00F87F11"/>
    <w:rsid w:val="00F942CA"/>
    <w:rsid w:val="00F9452C"/>
    <w:rsid w:val="00FA4A32"/>
    <w:rsid w:val="00FA6CE5"/>
    <w:rsid w:val="00FB7206"/>
    <w:rsid w:val="00FB79AA"/>
    <w:rsid w:val="00FC1D72"/>
    <w:rsid w:val="00FC4F28"/>
    <w:rsid w:val="00FD04D2"/>
    <w:rsid w:val="00FD19E0"/>
    <w:rsid w:val="00FD6CDE"/>
    <w:rsid w:val="00FE0C92"/>
    <w:rsid w:val="00FE38E5"/>
    <w:rsid w:val="00FE4EA2"/>
    <w:rsid w:val="00FE5577"/>
    <w:rsid w:val="00FF2B2C"/>
    <w:rsid w:val="00FF34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9633"/>
    <o:shapelayout v:ext="edit">
      <o:idmap v:ext="edit" data="1"/>
    </o:shapelayout>
  </w:shapeDefaults>
  <w:decimalSymbol w:val="."/>
  <w:listSeparator w:val=","/>
  <w14:docId w14:val="533EF943"/>
  <w15:docId w15:val="{405E7F56-07BD-4140-AA5E-B0BD5CE75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DA3"/>
    <w:rPr>
      <w:sz w:val="22"/>
    </w:rPr>
  </w:style>
  <w:style w:type="paragraph" w:styleId="Heading1">
    <w:name w:val="heading 1"/>
    <w:aliases w:val="Cover title white"/>
    <w:next w:val="Normal"/>
    <w:link w:val="Heading1Char"/>
    <w:semiHidden/>
    <w:qFormat/>
    <w:rsid w:val="00B32510"/>
    <w:pPr>
      <w:keepNext/>
      <w:keepLines/>
      <w:outlineLvl w:val="0"/>
    </w:pPr>
    <w:rPr>
      <w:rFonts w:asciiTheme="majorHAnsi" w:eastAsiaTheme="majorEastAsia" w:hAnsiTheme="majorHAnsi" w:cstheme="majorBidi"/>
      <w:b/>
      <w:bCs/>
      <w:caps/>
      <w:color w:val="FFFFFF" w:themeColor="background1"/>
      <w:sz w:val="40"/>
      <w:szCs w:val="40"/>
    </w:rPr>
  </w:style>
  <w:style w:type="paragraph" w:styleId="Heading2">
    <w:name w:val="heading 2"/>
    <w:basedOn w:val="Numberedtilelevel1"/>
    <w:next w:val="Normal"/>
    <w:link w:val="Heading2Char"/>
    <w:uiPriority w:val="9"/>
    <w:semiHidden/>
    <w:qFormat/>
    <w:rsid w:val="002F2009"/>
    <w:pPr>
      <w:outlineLvl w:val="1"/>
    </w:pPr>
  </w:style>
  <w:style w:type="paragraph" w:styleId="Heading3">
    <w:name w:val="heading 3"/>
    <w:aliases w:val="Title 2"/>
    <w:basedOn w:val="Numberedtitlelevel2"/>
    <w:next w:val="Normal"/>
    <w:link w:val="Heading3Char"/>
    <w:uiPriority w:val="9"/>
    <w:semiHidden/>
    <w:rsid w:val="002F2009"/>
    <w:pPr>
      <w:outlineLvl w:val="2"/>
    </w:pPr>
  </w:style>
  <w:style w:type="paragraph" w:styleId="Heading4">
    <w:name w:val="heading 4"/>
    <w:basedOn w:val="Normal"/>
    <w:next w:val="Normal"/>
    <w:link w:val="Heading4Char"/>
    <w:uiPriority w:val="9"/>
    <w:semiHidden/>
    <w:qFormat/>
    <w:rsid w:val="001C5BC2"/>
    <w:pPr>
      <w:keepNext/>
      <w:keepLines/>
      <w:numPr>
        <w:ilvl w:val="3"/>
        <w:numId w:val="3"/>
      </w:numPr>
      <w:spacing w:before="200"/>
      <w:outlineLvl w:val="3"/>
    </w:pPr>
    <w:rPr>
      <w:rFonts w:asciiTheme="majorHAnsi" w:eastAsiaTheme="majorEastAsia" w:hAnsiTheme="majorHAnsi" w:cstheme="majorBidi"/>
      <w:b/>
      <w:bCs/>
      <w:i/>
      <w:iCs/>
      <w:color w:val="2F5773" w:themeColor="accent1"/>
    </w:rPr>
  </w:style>
  <w:style w:type="paragraph" w:styleId="Heading5">
    <w:name w:val="heading 5"/>
    <w:aliases w:val="Cover subtitle white"/>
    <w:next w:val="Normal"/>
    <w:link w:val="Heading5Char"/>
    <w:semiHidden/>
    <w:qFormat/>
    <w:rsid w:val="00B32510"/>
    <w:pPr>
      <w:keepNext/>
      <w:keepLines/>
      <w:spacing w:before="200"/>
      <w:outlineLvl w:val="4"/>
    </w:pPr>
    <w:rPr>
      <w:rFonts w:asciiTheme="majorHAnsi" w:eastAsiaTheme="majorEastAsia" w:hAnsiTheme="majorHAnsi" w:cstheme="majorBidi"/>
      <w:caps/>
      <w:color w:val="FFFFFF" w:themeColor="background1"/>
      <w:sz w:val="28"/>
      <w:szCs w:val="28"/>
    </w:rPr>
  </w:style>
  <w:style w:type="paragraph" w:styleId="Heading6">
    <w:name w:val="heading 6"/>
    <w:basedOn w:val="Normal"/>
    <w:next w:val="Normal"/>
    <w:link w:val="Heading6Char"/>
    <w:uiPriority w:val="9"/>
    <w:semiHidden/>
    <w:qFormat/>
    <w:rsid w:val="001C5BC2"/>
    <w:pPr>
      <w:keepNext/>
      <w:keepLines/>
      <w:numPr>
        <w:ilvl w:val="5"/>
        <w:numId w:val="3"/>
      </w:numPr>
      <w:spacing w:before="200"/>
      <w:outlineLvl w:val="5"/>
    </w:pPr>
    <w:rPr>
      <w:rFonts w:asciiTheme="majorHAnsi" w:eastAsiaTheme="majorEastAsia" w:hAnsiTheme="majorHAnsi" w:cstheme="majorBidi"/>
      <w:i/>
      <w:iCs/>
      <w:color w:val="172B39" w:themeColor="accent1" w:themeShade="7F"/>
    </w:rPr>
  </w:style>
  <w:style w:type="paragraph" w:styleId="Heading7">
    <w:name w:val="heading 7"/>
    <w:basedOn w:val="Normal"/>
    <w:next w:val="Normal"/>
    <w:link w:val="Heading7Char"/>
    <w:uiPriority w:val="9"/>
    <w:semiHidden/>
    <w:qFormat/>
    <w:rsid w:val="001C5BC2"/>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1C5BC2"/>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1C5BC2"/>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white Char"/>
    <w:basedOn w:val="DefaultParagraphFont"/>
    <w:link w:val="Heading1"/>
    <w:semiHidden/>
    <w:rsid w:val="00290DA3"/>
    <w:rPr>
      <w:rFonts w:asciiTheme="majorHAnsi" w:eastAsiaTheme="majorEastAsia" w:hAnsiTheme="majorHAnsi" w:cstheme="majorBidi"/>
      <w:b/>
      <w:bCs/>
      <w:caps/>
      <w:color w:val="FFFFFF" w:themeColor="background1"/>
      <w:sz w:val="40"/>
      <w:szCs w:val="40"/>
    </w:rPr>
  </w:style>
  <w:style w:type="paragraph" w:customStyle="1" w:styleId="Numberedtilelevel1">
    <w:name w:val="Numbered tile level 1"/>
    <w:basedOn w:val="Titlelevel1"/>
    <w:qFormat/>
    <w:rsid w:val="00482FB6"/>
    <w:pPr>
      <w:numPr>
        <w:numId w:val="7"/>
      </w:numPr>
    </w:pPr>
  </w:style>
  <w:style w:type="character" w:customStyle="1" w:styleId="Heading2Char">
    <w:name w:val="Heading 2 Char"/>
    <w:basedOn w:val="DefaultParagraphFont"/>
    <w:link w:val="Heading2"/>
    <w:uiPriority w:val="9"/>
    <w:semiHidden/>
    <w:rsid w:val="00582AA7"/>
    <w:rPr>
      <w:rFonts w:asciiTheme="majorHAnsi" w:eastAsiaTheme="majorEastAsia" w:hAnsiTheme="majorHAnsi" w:cstheme="majorBidi"/>
      <w:color w:val="2F5773" w:themeColor="text2"/>
      <w:spacing w:val="5"/>
      <w:kern w:val="28"/>
      <w:sz w:val="52"/>
      <w:szCs w:val="52"/>
    </w:rPr>
  </w:style>
  <w:style w:type="paragraph" w:customStyle="1" w:styleId="Numberedtitlelevel2">
    <w:name w:val="Numbered title level 2"/>
    <w:basedOn w:val="Titlelevel2"/>
    <w:next w:val="body"/>
    <w:qFormat/>
    <w:rsid w:val="00482FB6"/>
    <w:pPr>
      <w:numPr>
        <w:ilvl w:val="1"/>
        <w:numId w:val="7"/>
      </w:numPr>
    </w:pPr>
  </w:style>
  <w:style w:type="paragraph" w:customStyle="1" w:styleId="Titlelevel2">
    <w:name w:val="Title level 2"/>
    <w:qFormat/>
    <w:rsid w:val="005D4005"/>
    <w:pPr>
      <w:spacing w:before="240" w:after="240"/>
    </w:pPr>
    <w:rPr>
      <w:rFonts w:asciiTheme="majorHAnsi" w:eastAsiaTheme="majorEastAsia" w:hAnsiTheme="majorHAnsi" w:cstheme="majorBidi"/>
      <w:bCs/>
      <w:color w:val="2F5773" w:themeColor="text2"/>
      <w:sz w:val="32"/>
    </w:rPr>
  </w:style>
  <w:style w:type="paragraph" w:customStyle="1" w:styleId="body">
    <w:name w:val="body"/>
    <w:qFormat/>
    <w:rsid w:val="00CD4AF7"/>
    <w:pPr>
      <w:spacing w:before="240" w:after="120" w:line="276" w:lineRule="auto"/>
      <w:jc w:val="both"/>
    </w:pPr>
    <w:rPr>
      <w:sz w:val="22"/>
    </w:rPr>
  </w:style>
  <w:style w:type="character" w:customStyle="1" w:styleId="Heading3Char">
    <w:name w:val="Heading 3 Char"/>
    <w:aliases w:val="Title 2 Char"/>
    <w:basedOn w:val="DefaultParagraphFont"/>
    <w:link w:val="Heading3"/>
    <w:uiPriority w:val="9"/>
    <w:semiHidden/>
    <w:rsid w:val="00582AA7"/>
    <w:rPr>
      <w:rFonts w:asciiTheme="majorHAnsi" w:eastAsiaTheme="majorEastAsia" w:hAnsiTheme="majorHAnsi" w:cstheme="majorBidi"/>
      <w:bCs/>
      <w:color w:val="2F5773" w:themeColor="text2"/>
      <w:sz w:val="32"/>
    </w:rPr>
  </w:style>
  <w:style w:type="character" w:customStyle="1" w:styleId="Heading4Char">
    <w:name w:val="Heading 4 Char"/>
    <w:basedOn w:val="DefaultParagraphFont"/>
    <w:link w:val="Heading4"/>
    <w:uiPriority w:val="9"/>
    <w:semiHidden/>
    <w:rsid w:val="00582AA7"/>
    <w:rPr>
      <w:rFonts w:asciiTheme="majorHAnsi" w:eastAsiaTheme="majorEastAsia" w:hAnsiTheme="majorHAnsi" w:cstheme="majorBidi"/>
      <w:b/>
      <w:bCs/>
      <w:i/>
      <w:iCs/>
      <w:color w:val="2F5773" w:themeColor="accent1"/>
      <w:sz w:val="22"/>
    </w:rPr>
  </w:style>
  <w:style w:type="character" w:customStyle="1" w:styleId="Heading5Char">
    <w:name w:val="Heading 5 Char"/>
    <w:aliases w:val="Cover subtitle white Char"/>
    <w:basedOn w:val="DefaultParagraphFont"/>
    <w:link w:val="Heading5"/>
    <w:semiHidden/>
    <w:rsid w:val="00290DA3"/>
    <w:rPr>
      <w:rFonts w:asciiTheme="majorHAnsi" w:eastAsiaTheme="majorEastAsia" w:hAnsiTheme="majorHAnsi" w:cstheme="majorBidi"/>
      <w:caps/>
      <w:color w:val="FFFFFF" w:themeColor="background1"/>
      <w:sz w:val="28"/>
      <w:szCs w:val="28"/>
    </w:rPr>
  </w:style>
  <w:style w:type="character" w:customStyle="1" w:styleId="Heading6Char">
    <w:name w:val="Heading 6 Char"/>
    <w:basedOn w:val="DefaultParagraphFont"/>
    <w:link w:val="Heading6"/>
    <w:uiPriority w:val="9"/>
    <w:semiHidden/>
    <w:rsid w:val="00582AA7"/>
    <w:rPr>
      <w:rFonts w:asciiTheme="majorHAnsi" w:eastAsiaTheme="majorEastAsia" w:hAnsiTheme="majorHAnsi" w:cstheme="majorBidi"/>
      <w:i/>
      <w:iCs/>
      <w:color w:val="172B39" w:themeColor="accent1" w:themeShade="7F"/>
      <w:sz w:val="22"/>
    </w:rPr>
  </w:style>
  <w:style w:type="character" w:customStyle="1" w:styleId="Heading7Char">
    <w:name w:val="Heading 7 Char"/>
    <w:basedOn w:val="DefaultParagraphFont"/>
    <w:link w:val="Heading7"/>
    <w:uiPriority w:val="9"/>
    <w:semiHidden/>
    <w:rsid w:val="00582AA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582AA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82AA7"/>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rsid w:val="00372B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AA7"/>
    <w:rPr>
      <w:rFonts w:ascii="Lucida Grande" w:hAnsi="Lucida Grande" w:cs="Lucida Grande"/>
      <w:sz w:val="18"/>
      <w:szCs w:val="18"/>
    </w:rPr>
  </w:style>
  <w:style w:type="paragraph" w:customStyle="1" w:styleId="Tableheader">
    <w:name w:val="Table header"/>
    <w:next w:val="Tabledata"/>
    <w:qFormat/>
    <w:rsid w:val="00813BAC"/>
    <w:pPr>
      <w:spacing w:after="80"/>
    </w:pPr>
    <w:rPr>
      <w:rFonts w:ascii="Calibri" w:eastAsia="Times New Roman" w:hAnsi="Calibri" w:cs="Times New Roman"/>
      <w:b/>
      <w:color w:val="000000"/>
      <w:sz w:val="22"/>
      <w:szCs w:val="22"/>
    </w:rPr>
  </w:style>
  <w:style w:type="paragraph" w:customStyle="1" w:styleId="Tabledata">
    <w:name w:val="Table data"/>
    <w:basedOn w:val="body"/>
    <w:qFormat/>
    <w:rsid w:val="00455E0E"/>
    <w:pPr>
      <w:spacing w:before="120" w:line="240" w:lineRule="auto"/>
    </w:pPr>
    <w:rPr>
      <w:rFonts w:eastAsia="Times New Roman" w:cstheme="minorHAnsi"/>
      <w:bCs/>
      <w:color w:val="000000"/>
      <w:sz w:val="20"/>
      <w:szCs w:val="22"/>
      <w:lang w:val="en-GB" w:eastAsia="en-GB"/>
    </w:rPr>
  </w:style>
  <w:style w:type="paragraph" w:customStyle="1" w:styleId="List1">
    <w:name w:val="List1"/>
    <w:autoRedefine/>
    <w:qFormat/>
    <w:rsid w:val="008F3908"/>
    <w:pPr>
      <w:numPr>
        <w:numId w:val="5"/>
      </w:numPr>
    </w:pPr>
    <w:rPr>
      <w:sz w:val="22"/>
      <w:szCs w:val="22"/>
    </w:rPr>
  </w:style>
  <w:style w:type="paragraph" w:styleId="Footer">
    <w:name w:val="footer"/>
    <w:basedOn w:val="Normal"/>
    <w:link w:val="FooterChar"/>
    <w:rsid w:val="00A00E34"/>
    <w:pPr>
      <w:tabs>
        <w:tab w:val="center" w:pos="4320"/>
        <w:tab w:val="right" w:pos="8640"/>
      </w:tabs>
    </w:pPr>
  </w:style>
  <w:style w:type="character" w:customStyle="1" w:styleId="FooterChar">
    <w:name w:val="Footer Char"/>
    <w:basedOn w:val="DefaultParagraphFont"/>
    <w:link w:val="Footer"/>
    <w:uiPriority w:val="99"/>
    <w:rsid w:val="00582AA7"/>
    <w:rPr>
      <w:sz w:val="22"/>
    </w:rPr>
  </w:style>
  <w:style w:type="table" w:styleId="TableGrid">
    <w:name w:val="Table Grid"/>
    <w:basedOn w:val="TableProfessional"/>
    <w:uiPriority w:val="59"/>
    <w:rsid w:val="00A14332"/>
    <w:rPr>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rsid w:val="00D560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
    <w:name w:val="List"/>
    <w:autoRedefine/>
    <w:uiPriority w:val="99"/>
    <w:semiHidden/>
    <w:qFormat/>
    <w:rsid w:val="007A0054"/>
    <w:pPr>
      <w:numPr>
        <w:numId w:val="6"/>
      </w:numPr>
      <w:spacing w:before="240" w:after="120"/>
      <w:contextualSpacing/>
    </w:pPr>
    <w:rPr>
      <w:sz w:val="22"/>
    </w:rPr>
  </w:style>
  <w:style w:type="paragraph" w:customStyle="1" w:styleId="Titlelevel1">
    <w:name w:val="Title level 1"/>
    <w:autoRedefine/>
    <w:qFormat/>
    <w:rsid w:val="00471CA1"/>
    <w:pPr>
      <w:pBdr>
        <w:bottom w:val="single" w:sz="8" w:space="1" w:color="2F5773" w:themeColor="text2"/>
      </w:pBdr>
      <w:spacing w:before="360" w:after="600" w:line="560" w:lineRule="exact"/>
    </w:pPr>
    <w:rPr>
      <w:rFonts w:asciiTheme="majorHAnsi" w:eastAsiaTheme="majorEastAsia" w:hAnsiTheme="majorHAnsi" w:cstheme="majorBidi"/>
      <w:color w:val="2F5773" w:themeColor="text2"/>
      <w:spacing w:val="5"/>
      <w:kern w:val="28"/>
      <w:sz w:val="52"/>
      <w:szCs w:val="52"/>
    </w:rPr>
  </w:style>
  <w:style w:type="paragraph" w:customStyle="1" w:styleId="Titlelevel3">
    <w:name w:val="Title level 3"/>
    <w:qFormat/>
    <w:rsid w:val="005D4005"/>
    <w:pPr>
      <w:spacing w:before="240" w:after="240"/>
    </w:pPr>
    <w:rPr>
      <w:b/>
      <w:color w:val="2F5773" w:themeColor="text2"/>
    </w:rPr>
  </w:style>
  <w:style w:type="paragraph" w:customStyle="1" w:styleId="Titlelevel4">
    <w:name w:val="Title level 4"/>
    <w:next w:val="body"/>
    <w:qFormat/>
    <w:rsid w:val="00AE55F6"/>
    <w:pPr>
      <w:spacing w:before="240" w:after="240"/>
    </w:pPr>
    <w:rPr>
      <w:color w:val="E98E31" w:themeColor="background2"/>
    </w:rPr>
  </w:style>
  <w:style w:type="paragraph" w:customStyle="1" w:styleId="Figuretitle">
    <w:name w:val="Figure title"/>
    <w:basedOn w:val="body"/>
    <w:next w:val="Normal"/>
    <w:autoRedefine/>
    <w:qFormat/>
    <w:rsid w:val="003221EF"/>
    <w:pPr>
      <w:keepNext/>
      <w:spacing w:before="360" w:after="360"/>
    </w:pPr>
    <w:rPr>
      <w:rFonts w:eastAsia="Times New Roman" w:cs="Times New Roman"/>
      <w:bCs/>
      <w:noProof/>
      <w:color w:val="2F5773" w:themeColor="text2"/>
      <w:szCs w:val="20"/>
      <w:lang w:val="en-GB" w:eastAsia="en-GB"/>
    </w:rPr>
  </w:style>
  <w:style w:type="table" w:customStyle="1" w:styleId="EBAtable">
    <w:name w:val="EBA table"/>
    <w:basedOn w:val="TableNormal"/>
    <w:uiPriority w:val="99"/>
    <w:rsid w:val="002434B0"/>
    <w:tblPr>
      <w:tblBorders>
        <w:bottom w:val="single" w:sz="2" w:space="0" w:color="000000" w:themeColor="text1"/>
        <w:insideH w:val="single" w:sz="2" w:space="0" w:color="000000" w:themeColor="text1"/>
      </w:tblBorders>
    </w:tblPr>
    <w:tcPr>
      <w:vAlign w:val="center"/>
    </w:tcPr>
    <w:tblStylePr w:type="firstRow">
      <w:pPr>
        <w:jc w:val="left"/>
      </w:pPr>
      <w:tblPr/>
      <w:trPr>
        <w:tblHeader/>
      </w:trPr>
      <w:tcPr>
        <w:tcBorders>
          <w:top w:val="nil"/>
          <w:left w:val="nil"/>
          <w:bottom w:val="single" w:sz="18" w:space="0" w:color="E98E31" w:themeColor="background2"/>
          <w:right w:val="nil"/>
          <w:insideH w:val="nil"/>
          <w:insideV w:val="nil"/>
          <w:tl2br w:val="nil"/>
          <w:tr2bl w:val="nil"/>
        </w:tcBorders>
      </w:tcPr>
    </w:tblStylePr>
    <w:tblStylePr w:type="lastRow">
      <w:tblPr/>
      <w:tcPr>
        <w:tcBorders>
          <w:top w:val="nil"/>
          <w:left w:val="nil"/>
          <w:bottom w:val="single" w:sz="4" w:space="0" w:color="E98E31" w:themeColor="background2"/>
          <w:right w:val="nil"/>
          <w:insideH w:val="nil"/>
          <w:insideV w:val="nil"/>
          <w:tl2br w:val="nil"/>
          <w:tr2bl w:val="nil"/>
        </w:tcBorders>
      </w:tcPr>
    </w:tblStylePr>
  </w:style>
  <w:style w:type="character" w:styleId="PageNumber">
    <w:name w:val="page number"/>
    <w:basedOn w:val="DefaultParagraphFont"/>
    <w:uiPriority w:val="99"/>
    <w:semiHidden/>
    <w:rsid w:val="00610305"/>
    <w:rPr>
      <w:rFonts w:asciiTheme="minorHAnsi" w:hAnsiTheme="minorHAnsi"/>
      <w:color w:val="auto"/>
      <w:sz w:val="22"/>
    </w:rPr>
  </w:style>
  <w:style w:type="paragraph" w:customStyle="1" w:styleId="Runningtitle">
    <w:name w:val="Running title"/>
    <w:qFormat/>
    <w:rsid w:val="009F53AF"/>
    <w:rPr>
      <w:caps/>
      <w:sz w:val="16"/>
      <w:szCs w:val="18"/>
    </w:rPr>
  </w:style>
  <w:style w:type="paragraph" w:styleId="FootnoteText">
    <w:name w:val="footnote text"/>
    <w:basedOn w:val="body"/>
    <w:link w:val="FootnoteTextChar"/>
    <w:autoRedefine/>
    <w:qFormat/>
    <w:rsid w:val="00DB5E8F"/>
    <w:pPr>
      <w:spacing w:before="80" w:after="0" w:line="200" w:lineRule="exact"/>
    </w:pPr>
    <w:rPr>
      <w:sz w:val="18"/>
      <w:szCs w:val="18"/>
    </w:rPr>
  </w:style>
  <w:style w:type="character" w:customStyle="1" w:styleId="FootnoteTextChar">
    <w:name w:val="Footnote Text Char"/>
    <w:basedOn w:val="DefaultParagraphFont"/>
    <w:link w:val="FootnoteText"/>
    <w:rsid w:val="00582AA7"/>
    <w:rPr>
      <w:sz w:val="18"/>
      <w:szCs w:val="18"/>
    </w:rPr>
  </w:style>
  <w:style w:type="character" w:styleId="FootnoteReference">
    <w:name w:val="footnote reference"/>
    <w:aliases w:val="Footnote Reference Number,Footnote Reference_LVL6,Footnote Reference_LVL61,Footnote Reference_LVL62,Footnote Reference_LVL63,Footnote Reference_LVL64,Footnote symbol,Footnote reference number,Fußnotenzeichen3,Char1"/>
    <w:basedOn w:val="DefaultParagraphFont"/>
    <w:qFormat/>
    <w:rsid w:val="00B13C87"/>
    <w:rPr>
      <w:rFonts w:asciiTheme="minorHAnsi" w:hAnsiTheme="minorHAnsi"/>
      <w:sz w:val="22"/>
      <w:szCs w:val="18"/>
      <w:vertAlign w:val="superscript"/>
    </w:rPr>
  </w:style>
  <w:style w:type="paragraph" w:customStyle="1" w:styleId="bullet1">
    <w:name w:val="bullet 1"/>
    <w:basedOn w:val="body"/>
    <w:next w:val="body"/>
    <w:qFormat/>
    <w:rsid w:val="001C5BC2"/>
    <w:pPr>
      <w:numPr>
        <w:numId w:val="2"/>
      </w:numPr>
    </w:pPr>
    <w:rPr>
      <w:szCs w:val="22"/>
    </w:rPr>
  </w:style>
  <w:style w:type="paragraph" w:styleId="TOC1">
    <w:name w:val="toc 1"/>
    <w:autoRedefine/>
    <w:uiPriority w:val="39"/>
    <w:qFormat/>
    <w:rsid w:val="00C47E8F"/>
    <w:pPr>
      <w:tabs>
        <w:tab w:val="left" w:pos="312"/>
        <w:tab w:val="left" w:pos="421"/>
        <w:tab w:val="right" w:pos="8771"/>
      </w:tabs>
      <w:spacing w:before="120" w:after="120"/>
      <w:outlineLvl w:val="0"/>
    </w:pPr>
    <w:rPr>
      <w:b/>
      <w:bCs/>
      <w:noProof/>
      <w:color w:val="2F5773" w:themeColor="text2"/>
      <w:sz w:val="22"/>
      <w:szCs w:val="22"/>
    </w:rPr>
  </w:style>
  <w:style w:type="paragraph" w:styleId="TOC2">
    <w:name w:val="toc 2"/>
    <w:next w:val="Normal"/>
    <w:autoRedefine/>
    <w:uiPriority w:val="39"/>
    <w:qFormat/>
    <w:rsid w:val="00C41927"/>
    <w:pPr>
      <w:tabs>
        <w:tab w:val="left" w:pos="529"/>
        <w:tab w:val="right" w:pos="8771"/>
      </w:tabs>
      <w:spacing w:before="80" w:after="80"/>
    </w:pPr>
    <w:rPr>
      <w:noProof/>
      <w:sz w:val="22"/>
      <w:szCs w:val="22"/>
    </w:rPr>
  </w:style>
  <w:style w:type="paragraph" w:styleId="TOC3">
    <w:name w:val="toc 3"/>
    <w:basedOn w:val="Normal"/>
    <w:next w:val="Normal"/>
    <w:autoRedefine/>
    <w:uiPriority w:val="39"/>
    <w:qFormat/>
    <w:rsid w:val="00663B0A"/>
    <w:pPr>
      <w:tabs>
        <w:tab w:val="right" w:pos="8771"/>
      </w:tabs>
      <w:ind w:left="567"/>
    </w:pPr>
    <w:rPr>
      <w:szCs w:val="22"/>
    </w:rPr>
  </w:style>
  <w:style w:type="paragraph" w:styleId="TOC4">
    <w:name w:val="toc 4"/>
    <w:basedOn w:val="Normal"/>
    <w:next w:val="Normal"/>
    <w:autoRedefine/>
    <w:uiPriority w:val="39"/>
    <w:rsid w:val="00EE456B"/>
    <w:pPr>
      <w:tabs>
        <w:tab w:val="right" w:pos="8771"/>
      </w:tabs>
      <w:ind w:left="1134"/>
    </w:pPr>
    <w:rPr>
      <w:szCs w:val="22"/>
    </w:rPr>
  </w:style>
  <w:style w:type="paragraph" w:customStyle="1" w:styleId="bullet2">
    <w:name w:val="bullet 2"/>
    <w:basedOn w:val="body"/>
    <w:qFormat/>
    <w:rsid w:val="001C5BC2"/>
    <w:pPr>
      <w:numPr>
        <w:numId w:val="1"/>
      </w:numPr>
    </w:pPr>
    <w:rPr>
      <w:szCs w:val="22"/>
    </w:rPr>
  </w:style>
  <w:style w:type="paragraph" w:customStyle="1" w:styleId="Numberedtitlelevel3">
    <w:name w:val="Numbered title level 3"/>
    <w:basedOn w:val="Titlelevel3"/>
    <w:next w:val="body"/>
    <w:qFormat/>
    <w:rsid w:val="008F3908"/>
    <w:pPr>
      <w:numPr>
        <w:ilvl w:val="2"/>
        <w:numId w:val="7"/>
      </w:numPr>
    </w:pPr>
  </w:style>
  <w:style w:type="table" w:styleId="LightShading">
    <w:name w:val="Light Shading"/>
    <w:basedOn w:val="TableNormal"/>
    <w:uiPriority w:val="60"/>
    <w:rsid w:val="00F942C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5301B"/>
    <w:rPr>
      <w:color w:val="234156" w:themeColor="accent1" w:themeShade="BF"/>
    </w:rPr>
    <w:tblPr>
      <w:tblStyleRowBandSize w:val="1"/>
      <w:tblStyleColBandSize w:val="1"/>
      <w:tblBorders>
        <w:top w:val="single" w:sz="8" w:space="0" w:color="2F5773" w:themeColor="accent1"/>
        <w:bottom w:val="single" w:sz="8" w:space="0" w:color="2F5773" w:themeColor="accent1"/>
      </w:tblBorders>
    </w:tblPr>
    <w:tblStylePr w:type="fir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la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hemeFill="accent1" w:themeFillTint="3F"/>
      </w:tcPr>
    </w:tblStylePr>
    <w:tblStylePr w:type="band1Horz">
      <w:tblPr/>
      <w:tcPr>
        <w:tcBorders>
          <w:left w:val="nil"/>
          <w:right w:val="nil"/>
          <w:insideH w:val="nil"/>
          <w:insideV w:val="nil"/>
        </w:tcBorders>
        <w:shd w:val="clear" w:color="auto" w:fill="C1D7E6" w:themeFill="accent1" w:themeFillTint="3F"/>
      </w:tcPr>
    </w:tblStylePr>
  </w:style>
  <w:style w:type="paragraph" w:customStyle="1" w:styleId="Contenttitle">
    <w:name w:val="Content title"/>
    <w:basedOn w:val="Titlelevel1"/>
    <w:qFormat/>
    <w:rsid w:val="00172007"/>
  </w:style>
  <w:style w:type="paragraph" w:customStyle="1" w:styleId="Numberedtitlelevel4">
    <w:name w:val="Numbered title level 4"/>
    <w:basedOn w:val="Titlelevel4"/>
    <w:qFormat/>
    <w:rsid w:val="005D4005"/>
    <w:pPr>
      <w:numPr>
        <w:numId w:val="4"/>
      </w:numPr>
    </w:pPr>
  </w:style>
  <w:style w:type="paragraph" w:styleId="Header">
    <w:name w:val="header"/>
    <w:basedOn w:val="Normal"/>
    <w:link w:val="HeaderChar"/>
    <w:uiPriority w:val="99"/>
    <w:semiHidden/>
    <w:rsid w:val="00A92440"/>
    <w:pPr>
      <w:tabs>
        <w:tab w:val="center" w:pos="4320"/>
        <w:tab w:val="right" w:pos="8640"/>
      </w:tabs>
    </w:pPr>
  </w:style>
  <w:style w:type="character" w:customStyle="1" w:styleId="HeaderChar">
    <w:name w:val="Header Char"/>
    <w:basedOn w:val="DefaultParagraphFont"/>
    <w:link w:val="Header"/>
    <w:uiPriority w:val="99"/>
    <w:semiHidden/>
    <w:rsid w:val="00582AA7"/>
    <w:rPr>
      <w:sz w:val="22"/>
    </w:rPr>
  </w:style>
  <w:style w:type="paragraph" w:styleId="Title">
    <w:name w:val="Title"/>
    <w:basedOn w:val="Normal"/>
    <w:next w:val="Normal"/>
    <w:link w:val="TitleChar"/>
    <w:qFormat/>
    <w:rsid w:val="004719B4"/>
    <w:pPr>
      <w:pBdr>
        <w:bottom w:val="single" w:sz="8" w:space="4" w:color="2F5773" w:themeColor="accent1"/>
      </w:pBdr>
      <w:spacing w:after="300"/>
      <w:contextualSpacing/>
    </w:pPr>
    <w:rPr>
      <w:rFonts w:asciiTheme="majorHAnsi" w:eastAsiaTheme="majorEastAsia" w:hAnsiTheme="majorHAnsi" w:cstheme="majorBidi"/>
      <w:color w:val="2F5773" w:themeColor="text2"/>
      <w:spacing w:val="5"/>
      <w:kern w:val="28"/>
      <w:sz w:val="52"/>
      <w:szCs w:val="52"/>
    </w:rPr>
  </w:style>
  <w:style w:type="character" w:customStyle="1" w:styleId="TitleChar">
    <w:name w:val="Title Char"/>
    <w:basedOn w:val="DefaultParagraphFont"/>
    <w:link w:val="Title"/>
    <w:rsid w:val="00582AA7"/>
    <w:rPr>
      <w:rFonts w:asciiTheme="majorHAnsi" w:eastAsiaTheme="majorEastAsia" w:hAnsiTheme="majorHAnsi" w:cstheme="majorBidi"/>
      <w:color w:val="2F5773" w:themeColor="text2"/>
      <w:spacing w:val="5"/>
      <w:kern w:val="28"/>
      <w:sz w:val="52"/>
      <w:szCs w:val="52"/>
    </w:rPr>
  </w:style>
  <w:style w:type="paragraph" w:styleId="TableofFigures">
    <w:name w:val="table of figures"/>
    <w:basedOn w:val="Normal"/>
    <w:next w:val="Normal"/>
    <w:autoRedefine/>
    <w:uiPriority w:val="99"/>
    <w:qFormat/>
    <w:rsid w:val="00172007"/>
    <w:pPr>
      <w:spacing w:before="160"/>
    </w:pPr>
  </w:style>
  <w:style w:type="paragraph" w:styleId="Subtitle">
    <w:name w:val="Subtitle"/>
    <w:next w:val="Normal"/>
    <w:link w:val="SubtitleChar"/>
    <w:autoRedefine/>
    <w:uiPriority w:val="11"/>
    <w:qFormat/>
    <w:rsid w:val="004719B4"/>
    <w:pPr>
      <w:numPr>
        <w:ilvl w:val="1"/>
      </w:numPr>
      <w:spacing w:before="240" w:after="120"/>
    </w:pPr>
    <w:rPr>
      <w:rFonts w:asciiTheme="majorHAnsi" w:eastAsiaTheme="majorEastAsia" w:hAnsiTheme="majorHAnsi" w:cstheme="majorBidi"/>
      <w:color w:val="2F5773" w:themeColor="accent1"/>
      <w:sz w:val="32"/>
      <w:szCs w:val="32"/>
      <w:lang w:val="en-GB"/>
    </w:rPr>
  </w:style>
  <w:style w:type="character" w:customStyle="1" w:styleId="SubtitleChar">
    <w:name w:val="Subtitle Char"/>
    <w:basedOn w:val="DefaultParagraphFont"/>
    <w:link w:val="Subtitle"/>
    <w:uiPriority w:val="11"/>
    <w:rsid w:val="00290DA3"/>
    <w:rPr>
      <w:rFonts w:asciiTheme="majorHAnsi" w:eastAsiaTheme="majorEastAsia" w:hAnsiTheme="majorHAnsi" w:cstheme="majorBidi"/>
      <w:color w:val="2F5773" w:themeColor="accent1"/>
      <w:sz w:val="32"/>
      <w:szCs w:val="32"/>
      <w:lang w:val="en-GB"/>
    </w:rPr>
  </w:style>
  <w:style w:type="character" w:styleId="BookTitle">
    <w:name w:val="Book Title"/>
    <w:basedOn w:val="DefaultParagraphFont"/>
    <w:uiPriority w:val="33"/>
    <w:semiHidden/>
    <w:qFormat/>
    <w:rsid w:val="000D7A44"/>
    <w:rPr>
      <w:b/>
      <w:bCs/>
      <w:smallCaps/>
      <w:spacing w:val="5"/>
    </w:rPr>
  </w:style>
  <w:style w:type="character" w:customStyle="1" w:styleId="Highlighttext">
    <w:name w:val="Highlight text"/>
    <w:basedOn w:val="DefaultParagraphFont"/>
    <w:uiPriority w:val="1"/>
    <w:semiHidden/>
    <w:qFormat/>
    <w:rsid w:val="00AE55F6"/>
    <w:rPr>
      <w:rFonts w:asciiTheme="minorHAnsi" w:hAnsiTheme="minorHAnsi"/>
      <w:b/>
      <w:bCs/>
      <w:caps w:val="0"/>
      <w:smallCaps w:val="0"/>
      <w:color w:val="E98E31" w:themeColor="background2"/>
      <w:sz w:val="22"/>
      <w:szCs w:val="22"/>
    </w:rPr>
  </w:style>
  <w:style w:type="paragraph" w:customStyle="1" w:styleId="abbreviation">
    <w:name w:val="abbreviation"/>
    <w:basedOn w:val="Tableheader"/>
    <w:qFormat/>
    <w:rsid w:val="00455E0E"/>
    <w:rPr>
      <w:bCs/>
      <w:lang w:val="en-GB" w:eastAsia="en-GB"/>
    </w:rPr>
  </w:style>
  <w:style w:type="paragraph" w:styleId="ListBullet">
    <w:name w:val="List Bullet"/>
    <w:basedOn w:val="Normal"/>
    <w:semiHidden/>
    <w:qFormat/>
    <w:rsid w:val="00A304D0"/>
    <w:pPr>
      <w:numPr>
        <w:numId w:val="9"/>
      </w:numPr>
      <w:contextualSpacing/>
    </w:pPr>
  </w:style>
  <w:style w:type="character" w:styleId="Hyperlink">
    <w:name w:val="Hyperlink"/>
    <w:basedOn w:val="DefaultParagraphFont"/>
    <w:uiPriority w:val="99"/>
    <w:rsid w:val="00392385"/>
    <w:rPr>
      <w:color w:val="2F5773" w:themeColor="hyperlink"/>
      <w:u w:val="single"/>
    </w:rPr>
  </w:style>
  <w:style w:type="paragraph" w:customStyle="1" w:styleId="numberedparagraph">
    <w:name w:val="numbered paragraph"/>
    <w:basedOn w:val="body"/>
    <w:qFormat/>
    <w:rsid w:val="00E22BCE"/>
    <w:pPr>
      <w:numPr>
        <w:numId w:val="8"/>
      </w:numPr>
    </w:pPr>
  </w:style>
  <w:style w:type="paragraph" w:styleId="TOC5">
    <w:name w:val="toc 5"/>
    <w:basedOn w:val="Normal"/>
    <w:next w:val="Normal"/>
    <w:autoRedefine/>
    <w:uiPriority w:val="39"/>
    <w:semiHidden/>
    <w:rsid w:val="00B526A8"/>
    <w:pPr>
      <w:ind w:left="880"/>
    </w:pPr>
  </w:style>
  <w:style w:type="paragraph" w:styleId="TOC6">
    <w:name w:val="toc 6"/>
    <w:basedOn w:val="Normal"/>
    <w:next w:val="Normal"/>
    <w:autoRedefine/>
    <w:uiPriority w:val="39"/>
    <w:semiHidden/>
    <w:rsid w:val="00B526A8"/>
    <w:pPr>
      <w:ind w:left="1100"/>
    </w:pPr>
  </w:style>
  <w:style w:type="paragraph" w:styleId="TOC7">
    <w:name w:val="toc 7"/>
    <w:basedOn w:val="Normal"/>
    <w:next w:val="Normal"/>
    <w:autoRedefine/>
    <w:uiPriority w:val="39"/>
    <w:semiHidden/>
    <w:rsid w:val="00B526A8"/>
    <w:pPr>
      <w:ind w:left="1320"/>
    </w:pPr>
  </w:style>
  <w:style w:type="paragraph" w:styleId="TOC8">
    <w:name w:val="toc 8"/>
    <w:basedOn w:val="Normal"/>
    <w:next w:val="Normal"/>
    <w:autoRedefine/>
    <w:uiPriority w:val="39"/>
    <w:semiHidden/>
    <w:rsid w:val="00B526A8"/>
    <w:pPr>
      <w:ind w:left="1540"/>
    </w:pPr>
  </w:style>
  <w:style w:type="paragraph" w:styleId="TOC9">
    <w:name w:val="toc 9"/>
    <w:basedOn w:val="Normal"/>
    <w:next w:val="Normal"/>
    <w:autoRedefine/>
    <w:uiPriority w:val="39"/>
    <w:semiHidden/>
    <w:rsid w:val="00B526A8"/>
    <w:pPr>
      <w:ind w:left="1760"/>
    </w:pPr>
  </w:style>
  <w:style w:type="paragraph" w:customStyle="1" w:styleId="Default">
    <w:name w:val="Default"/>
    <w:rsid w:val="000C7FD8"/>
    <w:pPr>
      <w:autoSpaceDE w:val="0"/>
      <w:autoSpaceDN w:val="0"/>
      <w:adjustRightInd w:val="0"/>
    </w:pPr>
    <w:rPr>
      <w:rFonts w:ascii="Calibri" w:eastAsiaTheme="minorHAnsi" w:hAnsi="Calibri" w:cs="Calibri"/>
      <w:color w:val="000000"/>
      <w:lang w:val="en-GB"/>
    </w:rPr>
  </w:style>
  <w:style w:type="paragraph" w:styleId="TOCHeading">
    <w:name w:val="TOC Heading"/>
    <w:basedOn w:val="Heading1"/>
    <w:next w:val="Normal"/>
    <w:uiPriority w:val="39"/>
    <w:semiHidden/>
    <w:qFormat/>
    <w:rsid w:val="00B43E07"/>
    <w:pPr>
      <w:spacing w:before="480"/>
      <w:outlineLvl w:val="9"/>
    </w:pPr>
    <w:rPr>
      <w:caps w:val="0"/>
      <w:color w:val="234156" w:themeColor="accent1" w:themeShade="BF"/>
      <w:sz w:val="28"/>
      <w:szCs w:val="28"/>
    </w:rPr>
  </w:style>
  <w:style w:type="character" w:customStyle="1" w:styleId="Marker">
    <w:name w:val="Marker"/>
    <w:rsid w:val="00B43E07"/>
    <w:rPr>
      <w:color w:val="0000FF"/>
      <w:shd w:val="clear" w:color="auto" w:fill="auto"/>
    </w:rPr>
  </w:style>
  <w:style w:type="character" w:customStyle="1" w:styleId="Marker2">
    <w:name w:val="Marker2"/>
    <w:rsid w:val="00B43E07"/>
    <w:rPr>
      <w:color w:val="FF0000"/>
      <w:shd w:val="clear" w:color="auto" w:fill="auto"/>
    </w:rPr>
  </w:style>
  <w:style w:type="paragraph" w:customStyle="1" w:styleId="Annexetitre">
    <w:name w:val="Annexe titre"/>
    <w:basedOn w:val="Normal"/>
    <w:next w:val="Normal"/>
    <w:rsid w:val="00B43E07"/>
    <w:pPr>
      <w:spacing w:before="120" w:after="120"/>
      <w:jc w:val="center"/>
    </w:pPr>
    <w:rPr>
      <w:rFonts w:ascii="Times New Roman" w:eastAsia="Times New Roman" w:hAnsi="Times New Roman" w:cs="Times New Roman"/>
      <w:b/>
      <w:sz w:val="24"/>
      <w:u w:val="single"/>
      <w:lang w:val="en-GB"/>
    </w:rPr>
  </w:style>
  <w:style w:type="paragraph" w:customStyle="1" w:styleId="Applicationdirecte">
    <w:name w:val="Application directe"/>
    <w:basedOn w:val="Normal"/>
    <w:next w:val="Fait"/>
    <w:rsid w:val="00B43E07"/>
    <w:pPr>
      <w:spacing w:before="480" w:after="120"/>
      <w:jc w:val="both"/>
    </w:pPr>
    <w:rPr>
      <w:rFonts w:ascii="Times New Roman" w:eastAsia="Times New Roman" w:hAnsi="Times New Roman" w:cs="Times New Roman"/>
      <w:sz w:val="24"/>
      <w:lang w:val="en-GB"/>
    </w:rPr>
  </w:style>
  <w:style w:type="paragraph" w:customStyle="1" w:styleId="Considrant">
    <w:name w:val="Considérant"/>
    <w:basedOn w:val="Normal"/>
    <w:rsid w:val="00B43E07"/>
    <w:pPr>
      <w:numPr>
        <w:numId w:val="10"/>
      </w:numPr>
      <w:spacing w:before="120" w:after="120"/>
      <w:jc w:val="both"/>
    </w:pPr>
    <w:rPr>
      <w:rFonts w:ascii="Times New Roman" w:eastAsia="Times New Roman" w:hAnsi="Times New Roman" w:cs="Times New Roman"/>
      <w:sz w:val="24"/>
      <w:lang w:val="en-GB"/>
    </w:rPr>
  </w:style>
  <w:style w:type="paragraph" w:customStyle="1" w:styleId="Datedadoption">
    <w:name w:val="Date d'adoption"/>
    <w:basedOn w:val="Normal"/>
    <w:next w:val="Titreobjet"/>
    <w:rsid w:val="00B43E07"/>
    <w:pPr>
      <w:spacing w:before="360"/>
      <w:jc w:val="center"/>
    </w:pPr>
    <w:rPr>
      <w:rFonts w:ascii="Times New Roman" w:eastAsia="Times New Roman" w:hAnsi="Times New Roman" w:cs="Times New Roman"/>
      <w:b/>
      <w:sz w:val="24"/>
      <w:lang w:val="en-GB"/>
    </w:rPr>
  </w:style>
  <w:style w:type="paragraph" w:customStyle="1" w:styleId="Fait">
    <w:name w:val="Fait à"/>
    <w:basedOn w:val="Normal"/>
    <w:next w:val="Institutionquisigne"/>
    <w:rsid w:val="00B43E07"/>
    <w:pPr>
      <w:keepNext/>
      <w:spacing w:before="120"/>
      <w:jc w:val="both"/>
    </w:pPr>
    <w:rPr>
      <w:rFonts w:ascii="Times New Roman" w:eastAsia="Times New Roman" w:hAnsi="Times New Roman" w:cs="Times New Roman"/>
      <w:sz w:val="24"/>
      <w:lang w:val="en-GB"/>
    </w:rPr>
  </w:style>
  <w:style w:type="paragraph" w:customStyle="1" w:styleId="Formuledadoption">
    <w:name w:val="Formule d'adoption"/>
    <w:basedOn w:val="Normal"/>
    <w:next w:val="Titrearticle"/>
    <w:rsid w:val="00B43E07"/>
    <w:pPr>
      <w:keepNext/>
      <w:spacing w:before="120" w:after="120"/>
      <w:jc w:val="both"/>
    </w:pPr>
    <w:rPr>
      <w:rFonts w:ascii="Times New Roman" w:eastAsia="Times New Roman" w:hAnsi="Times New Roman" w:cs="Times New Roman"/>
      <w:sz w:val="24"/>
      <w:lang w:val="en-GB"/>
    </w:rPr>
  </w:style>
  <w:style w:type="paragraph" w:customStyle="1" w:styleId="Institutionquisigne">
    <w:name w:val="Institution qui signe"/>
    <w:basedOn w:val="Normal"/>
    <w:next w:val="Personnequisigne"/>
    <w:rsid w:val="00B43E07"/>
    <w:pPr>
      <w:keepNext/>
      <w:tabs>
        <w:tab w:val="left" w:pos="4252"/>
      </w:tabs>
      <w:spacing w:before="720"/>
      <w:jc w:val="both"/>
    </w:pPr>
    <w:rPr>
      <w:rFonts w:ascii="Times New Roman" w:eastAsia="Times New Roman" w:hAnsi="Times New Roman" w:cs="Times New Roman"/>
      <w:i/>
      <w:sz w:val="24"/>
      <w:lang w:val="en-GB"/>
    </w:rPr>
  </w:style>
  <w:style w:type="paragraph" w:customStyle="1" w:styleId="Personnequisigne">
    <w:name w:val="Personne qui signe"/>
    <w:basedOn w:val="Normal"/>
    <w:next w:val="Institutionquisigne"/>
    <w:rsid w:val="00B43E07"/>
    <w:pPr>
      <w:tabs>
        <w:tab w:val="left" w:pos="4252"/>
      </w:tabs>
    </w:pPr>
    <w:rPr>
      <w:rFonts w:ascii="Times New Roman" w:eastAsia="Times New Roman" w:hAnsi="Times New Roman" w:cs="Times New Roman"/>
      <w:i/>
      <w:sz w:val="24"/>
      <w:lang w:val="en-GB"/>
    </w:rPr>
  </w:style>
  <w:style w:type="paragraph" w:customStyle="1" w:styleId="Titrearticle">
    <w:name w:val="Titre article"/>
    <w:basedOn w:val="Normal"/>
    <w:next w:val="Normal"/>
    <w:rsid w:val="00B43E07"/>
    <w:pPr>
      <w:keepNext/>
      <w:spacing w:before="360" w:after="120"/>
      <w:jc w:val="center"/>
    </w:pPr>
    <w:rPr>
      <w:rFonts w:ascii="Times New Roman" w:eastAsia="Times New Roman" w:hAnsi="Times New Roman" w:cs="Times New Roman"/>
      <w:i/>
      <w:sz w:val="24"/>
      <w:lang w:val="en-GB"/>
    </w:rPr>
  </w:style>
  <w:style w:type="paragraph" w:customStyle="1" w:styleId="Titreobjet">
    <w:name w:val="Titre objet"/>
    <w:basedOn w:val="Normal"/>
    <w:next w:val="Normal"/>
    <w:rsid w:val="00B43E07"/>
    <w:pPr>
      <w:spacing w:before="360" w:after="360"/>
      <w:jc w:val="center"/>
    </w:pPr>
    <w:rPr>
      <w:rFonts w:ascii="Times New Roman" w:eastAsia="Times New Roman" w:hAnsi="Times New Roman" w:cs="Times New Roman"/>
      <w:b/>
      <w:sz w:val="24"/>
      <w:lang w:val="en-GB"/>
    </w:rPr>
  </w:style>
  <w:style w:type="paragraph" w:customStyle="1" w:styleId="Typedudocument">
    <w:name w:val="Type du document"/>
    <w:basedOn w:val="Normal"/>
    <w:next w:val="Titreobjet"/>
    <w:rsid w:val="00B43E07"/>
    <w:pPr>
      <w:spacing w:before="360"/>
      <w:jc w:val="center"/>
    </w:pPr>
    <w:rPr>
      <w:rFonts w:ascii="Times New Roman" w:eastAsia="Times New Roman" w:hAnsi="Times New Roman" w:cs="Times New Roman"/>
      <w:b/>
      <w:sz w:val="24"/>
      <w:lang w:val="en-GB"/>
    </w:rPr>
  </w:style>
  <w:style w:type="paragraph" w:customStyle="1" w:styleId="Pagedecouverture">
    <w:name w:val="Page de couverture"/>
    <w:basedOn w:val="Normal"/>
    <w:next w:val="Normal"/>
    <w:rsid w:val="00B43E07"/>
    <w:pPr>
      <w:spacing w:before="120" w:after="120"/>
      <w:jc w:val="both"/>
    </w:pPr>
    <w:rPr>
      <w:rFonts w:ascii="Times New Roman" w:eastAsia="Times New Roman" w:hAnsi="Times New Roman" w:cs="Times New Roman"/>
      <w:sz w:val="24"/>
      <w:lang w:val="en-GB"/>
    </w:rPr>
  </w:style>
  <w:style w:type="paragraph" w:customStyle="1" w:styleId="Institutionquiagit">
    <w:name w:val="Institution qui agit"/>
    <w:basedOn w:val="Normal"/>
    <w:next w:val="Normal"/>
    <w:rsid w:val="00B43E07"/>
    <w:pPr>
      <w:keepNext/>
      <w:spacing w:before="600" w:after="120"/>
      <w:jc w:val="both"/>
    </w:pPr>
    <w:rPr>
      <w:rFonts w:ascii="Times New Roman" w:eastAsia="Times New Roman" w:hAnsi="Times New Roman" w:cs="Times New Roman"/>
      <w:sz w:val="24"/>
      <w:lang w:val="en-GB"/>
    </w:rPr>
  </w:style>
  <w:style w:type="paragraph" w:styleId="ListParagraph">
    <w:name w:val="List Paragraph"/>
    <w:basedOn w:val="Normal"/>
    <w:uiPriority w:val="34"/>
    <w:qFormat/>
    <w:rsid w:val="009F12DA"/>
    <w:pPr>
      <w:ind w:left="720"/>
    </w:pPr>
    <w:rPr>
      <w:rFonts w:ascii="Calibri" w:eastAsia="Calibri" w:hAnsi="Calibri" w:cs="Times New Roman"/>
      <w:szCs w:val="22"/>
      <w:lang w:val="en-GB"/>
    </w:rPr>
  </w:style>
  <w:style w:type="character" w:styleId="CommentReference">
    <w:name w:val="annotation reference"/>
    <w:basedOn w:val="DefaultParagraphFont"/>
    <w:uiPriority w:val="99"/>
    <w:semiHidden/>
    <w:unhideWhenUsed/>
    <w:rsid w:val="00E7159B"/>
    <w:rPr>
      <w:sz w:val="16"/>
      <w:szCs w:val="16"/>
    </w:rPr>
  </w:style>
  <w:style w:type="paragraph" w:styleId="CommentText">
    <w:name w:val="annotation text"/>
    <w:basedOn w:val="Normal"/>
    <w:link w:val="CommentTextChar"/>
    <w:uiPriority w:val="99"/>
    <w:unhideWhenUsed/>
    <w:rsid w:val="00E7159B"/>
    <w:rPr>
      <w:sz w:val="20"/>
      <w:szCs w:val="20"/>
    </w:rPr>
  </w:style>
  <w:style w:type="character" w:customStyle="1" w:styleId="CommentTextChar">
    <w:name w:val="Comment Text Char"/>
    <w:basedOn w:val="DefaultParagraphFont"/>
    <w:link w:val="CommentText"/>
    <w:uiPriority w:val="99"/>
    <w:rsid w:val="00E7159B"/>
    <w:rPr>
      <w:sz w:val="20"/>
      <w:szCs w:val="20"/>
    </w:rPr>
  </w:style>
  <w:style w:type="paragraph" w:styleId="CommentSubject">
    <w:name w:val="annotation subject"/>
    <w:basedOn w:val="CommentText"/>
    <w:next w:val="CommentText"/>
    <w:link w:val="CommentSubjectChar"/>
    <w:uiPriority w:val="99"/>
    <w:semiHidden/>
    <w:unhideWhenUsed/>
    <w:rsid w:val="00E7159B"/>
    <w:rPr>
      <w:b/>
      <w:bCs/>
    </w:rPr>
  </w:style>
  <w:style w:type="character" w:customStyle="1" w:styleId="CommentSubjectChar">
    <w:name w:val="Comment Subject Char"/>
    <w:basedOn w:val="CommentTextChar"/>
    <w:link w:val="CommentSubject"/>
    <w:uiPriority w:val="99"/>
    <w:semiHidden/>
    <w:rsid w:val="00E7159B"/>
    <w:rPr>
      <w:b/>
      <w:bCs/>
      <w:sz w:val="20"/>
      <w:szCs w:val="20"/>
    </w:rPr>
  </w:style>
  <w:style w:type="paragraph" w:styleId="Caption">
    <w:name w:val="caption"/>
    <w:basedOn w:val="Normal"/>
    <w:next w:val="Normal"/>
    <w:uiPriority w:val="35"/>
    <w:unhideWhenUsed/>
    <w:qFormat/>
    <w:rsid w:val="00D120EF"/>
    <w:pPr>
      <w:spacing w:after="200"/>
    </w:pPr>
    <w:rPr>
      <w:b/>
      <w:bCs/>
      <w:color w:val="2F5773" w:themeColor="accent1"/>
      <w:sz w:val="18"/>
      <w:szCs w:val="18"/>
    </w:rPr>
  </w:style>
  <w:style w:type="paragraph" w:customStyle="1" w:styleId="Baseparagraphnumbered">
    <w:name w:val="Base paragraph numbered"/>
    <w:basedOn w:val="Normal"/>
    <w:link w:val="BaseparagraphnumberedChar"/>
    <w:qFormat/>
    <w:rsid w:val="00625392"/>
    <w:pPr>
      <w:numPr>
        <w:numId w:val="40"/>
      </w:numPr>
      <w:spacing w:after="240"/>
      <w:jc w:val="both"/>
    </w:pPr>
    <w:rPr>
      <w:rFonts w:ascii="Times New Roman" w:eastAsia="Times New Roman" w:hAnsi="Times New Roman" w:cs="Times New Roman"/>
      <w:sz w:val="24"/>
      <w:lang w:val="en-GB" w:eastAsia="en-GB"/>
    </w:rPr>
  </w:style>
  <w:style w:type="character" w:customStyle="1" w:styleId="BaseparagraphnumberedChar">
    <w:name w:val="Base paragraph numbered Char"/>
    <w:link w:val="Baseparagraphnumbered"/>
    <w:rsid w:val="00625392"/>
    <w:rPr>
      <w:rFonts w:ascii="Times New Roman" w:eastAsia="Times New Roman" w:hAnsi="Times New Roman" w:cs="Times New Roman"/>
      <w:lang w:val="en-GB" w:eastAsia="en-GB"/>
    </w:rPr>
  </w:style>
  <w:style w:type="numbering" w:customStyle="1" w:styleId="Style3">
    <w:name w:val="Style3"/>
    <w:rsid w:val="00625392"/>
    <w:pPr>
      <w:numPr>
        <w:numId w:val="39"/>
      </w:numPr>
    </w:pPr>
  </w:style>
  <w:style w:type="paragraph" w:styleId="Revision">
    <w:name w:val="Revision"/>
    <w:hidden/>
    <w:uiPriority w:val="99"/>
    <w:semiHidden/>
    <w:rsid w:val="0088639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63650">
      <w:bodyDiv w:val="1"/>
      <w:marLeft w:val="0"/>
      <w:marRight w:val="0"/>
      <w:marTop w:val="0"/>
      <w:marBottom w:val="0"/>
      <w:divBdr>
        <w:top w:val="none" w:sz="0" w:space="0" w:color="auto"/>
        <w:left w:val="none" w:sz="0" w:space="0" w:color="auto"/>
        <w:bottom w:val="none" w:sz="0" w:space="0" w:color="auto"/>
        <w:right w:val="none" w:sz="0" w:space="0" w:color="auto"/>
      </w:divBdr>
    </w:div>
    <w:div w:id="685062746">
      <w:bodyDiv w:val="1"/>
      <w:marLeft w:val="0"/>
      <w:marRight w:val="0"/>
      <w:marTop w:val="0"/>
      <w:marBottom w:val="0"/>
      <w:divBdr>
        <w:top w:val="none" w:sz="0" w:space="0" w:color="auto"/>
        <w:left w:val="none" w:sz="0" w:space="0" w:color="auto"/>
        <w:bottom w:val="none" w:sz="0" w:space="0" w:color="auto"/>
        <w:right w:val="none" w:sz="0" w:space="0" w:color="auto"/>
      </w:divBdr>
    </w:div>
    <w:div w:id="1068114581">
      <w:bodyDiv w:val="1"/>
      <w:marLeft w:val="0"/>
      <w:marRight w:val="0"/>
      <w:marTop w:val="0"/>
      <w:marBottom w:val="0"/>
      <w:divBdr>
        <w:top w:val="none" w:sz="0" w:space="0" w:color="auto"/>
        <w:left w:val="none" w:sz="0" w:space="0" w:color="auto"/>
        <w:bottom w:val="none" w:sz="0" w:space="0" w:color="auto"/>
        <w:right w:val="none" w:sz="0" w:space="0" w:color="auto"/>
      </w:divBdr>
    </w:div>
    <w:div w:id="1124035648">
      <w:bodyDiv w:val="1"/>
      <w:marLeft w:val="0"/>
      <w:marRight w:val="0"/>
      <w:marTop w:val="0"/>
      <w:marBottom w:val="0"/>
      <w:divBdr>
        <w:top w:val="none" w:sz="0" w:space="0" w:color="auto"/>
        <w:left w:val="none" w:sz="0" w:space="0" w:color="auto"/>
        <w:bottom w:val="none" w:sz="0" w:space="0" w:color="auto"/>
        <w:right w:val="none" w:sz="0" w:space="0" w:color="auto"/>
      </w:divBdr>
    </w:div>
    <w:div w:id="1668898420">
      <w:bodyDiv w:val="1"/>
      <w:marLeft w:val="0"/>
      <w:marRight w:val="0"/>
      <w:marTop w:val="0"/>
      <w:marBottom w:val="0"/>
      <w:divBdr>
        <w:top w:val="none" w:sz="0" w:space="0" w:color="auto"/>
        <w:left w:val="none" w:sz="0" w:space="0" w:color="auto"/>
        <w:bottom w:val="none" w:sz="0" w:space="0" w:color="auto"/>
        <w:right w:val="none" w:sz="0" w:space="0" w:color="auto"/>
      </w:divBdr>
    </w:div>
    <w:div w:id="1728989558">
      <w:bodyDiv w:val="1"/>
      <w:marLeft w:val="0"/>
      <w:marRight w:val="0"/>
      <w:marTop w:val="0"/>
      <w:marBottom w:val="0"/>
      <w:divBdr>
        <w:top w:val="none" w:sz="0" w:space="0" w:color="auto"/>
        <w:left w:val="none" w:sz="0" w:space="0" w:color="auto"/>
        <w:bottom w:val="none" w:sz="0" w:space="0" w:color="auto"/>
        <w:right w:val="none" w:sz="0" w:space="0" w:color="auto"/>
      </w:divBdr>
    </w:div>
    <w:div w:id="21034532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EBA template">
  <a:themeElements>
    <a:clrScheme name="EBA theme 2">
      <a:dk1>
        <a:srgbClr val="000000"/>
      </a:dk1>
      <a:lt1>
        <a:sysClr val="window" lastClr="FFFFFF"/>
      </a:lt1>
      <a:dk2>
        <a:srgbClr val="2F5773"/>
      </a:dk2>
      <a:lt2>
        <a:srgbClr val="E98E31"/>
      </a:lt2>
      <a:accent1>
        <a:srgbClr val="2F5773"/>
      </a:accent1>
      <a:accent2>
        <a:srgbClr val="EA933B"/>
      </a:accent2>
      <a:accent3>
        <a:srgbClr val="D44D2A"/>
      </a:accent3>
      <a:accent4>
        <a:srgbClr val="49AB74"/>
      </a:accent4>
      <a:accent5>
        <a:srgbClr val="52666E"/>
      </a:accent5>
      <a:accent6>
        <a:srgbClr val="163A5A"/>
      </a:accent6>
      <a:hlink>
        <a:srgbClr val="2F5773"/>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B30F6-3525-4766-A2E4-827134CBA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29</Pages>
  <Words>8728</Words>
  <Characters>49752</Characters>
  <Application>Microsoft Office Word</Application>
  <DocSecurity>0</DocSecurity>
  <Lines>414</Lines>
  <Paragraphs>116</Paragraphs>
  <ScaleCrop>false</ScaleCrop>
  <HeadingPairs>
    <vt:vector size="8" baseType="variant">
      <vt:variant>
        <vt:lpstr>Title</vt:lpstr>
      </vt:variant>
      <vt:variant>
        <vt:i4>1</vt:i4>
      </vt:variant>
      <vt:variant>
        <vt:lpstr>Titolo</vt:lpstr>
      </vt:variant>
      <vt:variant>
        <vt:i4>1</vt:i4>
      </vt:variant>
      <vt:variant>
        <vt:lpstr>Título</vt:lpstr>
      </vt:variant>
      <vt:variant>
        <vt:i4>1</vt:i4>
      </vt:variant>
      <vt:variant>
        <vt:lpstr>Titre</vt:lpstr>
      </vt:variant>
      <vt:variant>
        <vt:i4>1</vt:i4>
      </vt:variant>
    </vt:vector>
  </HeadingPairs>
  <TitlesOfParts>
    <vt:vector size="4" baseType="lpstr">
      <vt:lpstr/>
      <vt:lpstr/>
      <vt:lpstr/>
      <vt:lpstr/>
    </vt:vector>
  </TitlesOfParts>
  <Company>OP</Company>
  <LinksUpToDate>false</LinksUpToDate>
  <CharactersWithSpaces>58364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dc:creator>
  <cp:lastModifiedBy>Andreea Lungu</cp:lastModifiedBy>
  <cp:revision>6</cp:revision>
  <cp:lastPrinted>2019-07-01T13:25:00Z</cp:lastPrinted>
  <dcterms:created xsi:type="dcterms:W3CDTF">2020-06-05T10:35:00Z</dcterms:created>
  <dcterms:modified xsi:type="dcterms:W3CDTF">2020-06-19T06:18:00Z</dcterms:modified>
</cp:coreProperties>
</file>