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8AB0" w14:textId="10508D45" w:rsidR="002F0431" w:rsidRPr="0064273E" w:rsidRDefault="00BD623B" w:rsidP="00845635">
      <w:pPr>
        <w:spacing w:after="100" w:line="259" w:lineRule="auto"/>
        <w:jc w:val="right"/>
        <w:rPr>
          <w:rFonts w:asciiTheme="majorHAnsi" w:hAnsiTheme="majorHAnsi"/>
          <w:szCs w:val="22"/>
          <w:lang w:val="en-US"/>
        </w:rPr>
      </w:pPr>
      <w:r>
        <w:rPr>
          <w:rFonts w:asciiTheme="majorHAnsi" w:hAnsiTheme="majorHAnsi"/>
          <w:szCs w:val="22"/>
          <w:lang w:val="en-US"/>
        </w:rPr>
        <w:t>10</w:t>
      </w:r>
      <w:r w:rsidR="00BA51E2" w:rsidRPr="0064273E">
        <w:rPr>
          <w:rFonts w:asciiTheme="majorHAnsi" w:hAnsiTheme="majorHAnsi"/>
          <w:szCs w:val="22"/>
          <w:lang w:val="en-US"/>
        </w:rPr>
        <w:t>.</w:t>
      </w:r>
      <w:r>
        <w:rPr>
          <w:rFonts w:asciiTheme="majorHAnsi" w:hAnsiTheme="majorHAnsi"/>
          <w:szCs w:val="22"/>
          <w:lang w:val="en-US"/>
        </w:rPr>
        <w:t>3</w:t>
      </w:r>
      <w:r w:rsidR="00BA51E2" w:rsidRPr="0064273E">
        <w:rPr>
          <w:rFonts w:asciiTheme="majorHAnsi" w:hAnsiTheme="majorHAnsi"/>
          <w:szCs w:val="22"/>
          <w:lang w:val="en-US"/>
        </w:rPr>
        <w:t>.</w:t>
      </w:r>
      <w:r w:rsidR="007F4462" w:rsidRPr="0064273E">
        <w:rPr>
          <w:rFonts w:asciiTheme="majorHAnsi" w:hAnsiTheme="majorHAnsi"/>
          <w:szCs w:val="22"/>
          <w:lang w:val="en-US"/>
        </w:rPr>
        <w:t>202</w:t>
      </w:r>
      <w:r w:rsidR="007F07FE" w:rsidRPr="0064273E">
        <w:rPr>
          <w:rFonts w:asciiTheme="majorHAnsi" w:hAnsiTheme="majorHAnsi"/>
          <w:szCs w:val="22"/>
          <w:lang w:val="en-US"/>
        </w:rPr>
        <w:t>5</w:t>
      </w:r>
    </w:p>
    <w:p w14:paraId="0866CF86" w14:textId="77777777" w:rsidR="00BD623B" w:rsidRDefault="00C25406" w:rsidP="00845635">
      <w:pPr>
        <w:jc w:val="center"/>
        <w:rPr>
          <w:b/>
          <w:bCs/>
          <w:sz w:val="28"/>
          <w:szCs w:val="28"/>
          <w:lang w:val="en-US"/>
        </w:rPr>
      </w:pPr>
      <w:r w:rsidRPr="00C25406">
        <w:rPr>
          <w:b/>
          <w:bCs/>
          <w:sz w:val="28"/>
          <w:szCs w:val="28"/>
          <w:lang w:val="en-US"/>
        </w:rPr>
        <w:t>EBA consult</w:t>
      </w:r>
      <w:r>
        <w:rPr>
          <w:b/>
          <w:bCs/>
          <w:sz w:val="28"/>
          <w:szCs w:val="28"/>
          <w:lang w:val="en-US"/>
        </w:rPr>
        <w:t>ation</w:t>
      </w:r>
      <w:r w:rsidRPr="00C25406">
        <w:rPr>
          <w:b/>
          <w:bCs/>
          <w:sz w:val="28"/>
          <w:szCs w:val="28"/>
          <w:lang w:val="en-US"/>
        </w:rPr>
        <w:t xml:space="preserve"> </w:t>
      </w:r>
      <w:r>
        <w:rPr>
          <w:b/>
          <w:bCs/>
          <w:sz w:val="28"/>
          <w:szCs w:val="28"/>
          <w:lang w:val="en-US"/>
        </w:rPr>
        <w:br/>
      </w:r>
      <w:r w:rsidR="00BD623B" w:rsidRPr="00BD623B">
        <w:rPr>
          <w:b/>
          <w:bCs/>
          <w:sz w:val="28"/>
          <w:szCs w:val="28"/>
          <w:lang w:val="en-US"/>
        </w:rPr>
        <w:t>on its draft technical standards that specify material changes and extensions to the Internal Ratings Based approach</w:t>
      </w:r>
    </w:p>
    <w:p w14:paraId="2A3645D6" w14:textId="64AE28F9" w:rsidR="00396922" w:rsidRPr="00F85AFC" w:rsidRDefault="00396922" w:rsidP="00845635">
      <w:pPr>
        <w:jc w:val="center"/>
        <w:rPr>
          <w:rFonts w:cstheme="minorHAnsi"/>
          <w:bCs/>
          <w:lang w:val="en-US"/>
        </w:rPr>
      </w:pPr>
      <w:r w:rsidRPr="00F85AFC">
        <w:rPr>
          <w:rFonts w:cstheme="minorHAnsi"/>
          <w:bCs/>
          <w:lang w:val="en-US"/>
        </w:rPr>
        <w:t>Comments of the Austrian Banking Industry</w:t>
      </w:r>
    </w:p>
    <w:p w14:paraId="111CE79A" w14:textId="2FFD2699" w:rsidR="00642256" w:rsidRPr="00786320" w:rsidRDefault="00786320" w:rsidP="00786320">
      <w:pPr>
        <w:pStyle w:val="Listenabsatz"/>
        <w:numPr>
          <w:ilvl w:val="0"/>
          <w:numId w:val="40"/>
        </w:numPr>
        <w:rPr>
          <w:rFonts w:cstheme="minorHAnsi"/>
          <w:b/>
          <w:bCs/>
          <w:lang w:val="en-US"/>
        </w:rPr>
      </w:pPr>
      <w:r w:rsidRPr="00786320">
        <w:rPr>
          <w:rFonts w:cstheme="minorHAnsi"/>
          <w:b/>
          <w:bCs/>
          <w:lang w:val="en-US"/>
        </w:rPr>
        <w:t>Questions</w:t>
      </w:r>
    </w:p>
    <w:p w14:paraId="39B3199B" w14:textId="77777777" w:rsidR="00786320" w:rsidRDefault="00786320" w:rsidP="00BD623B">
      <w:pPr>
        <w:suppressAutoHyphens/>
        <w:rPr>
          <w:b/>
          <w:bCs/>
          <w:sz w:val="24"/>
          <w:szCs w:val="24"/>
          <w:lang w:val="en-GB"/>
        </w:rPr>
      </w:pPr>
    </w:p>
    <w:p w14:paraId="0B7698E5" w14:textId="5F116741" w:rsidR="00BD623B" w:rsidRPr="002C57FD" w:rsidRDefault="00BD623B" w:rsidP="00BD623B">
      <w:pPr>
        <w:suppressAutoHyphens/>
        <w:rPr>
          <w:b/>
          <w:bCs/>
          <w:sz w:val="24"/>
          <w:szCs w:val="24"/>
          <w:lang w:val="en-GB"/>
        </w:rPr>
      </w:pPr>
      <w:r>
        <w:rPr>
          <w:b/>
          <w:bCs/>
          <w:sz w:val="24"/>
          <w:szCs w:val="24"/>
          <w:lang w:val="en-GB"/>
        </w:rPr>
        <w:t>Q</w:t>
      </w:r>
      <w:r w:rsidRPr="002C57FD">
        <w:rPr>
          <w:b/>
          <w:bCs/>
          <w:sz w:val="24"/>
          <w:szCs w:val="24"/>
          <w:lang w:val="en-GB"/>
        </w:rPr>
        <w:t xml:space="preserve"> 1. Do you have any comments on the clarification of the scope of the revised draft regulatory technical standards to specify the conditions for assessing the materiality of the use of an existing rating system for other additional exposures not already covered by that rating system and changes to rating systems under the IRB Approach?</w:t>
      </w:r>
    </w:p>
    <w:p w14:paraId="5FD4401D" w14:textId="77777777" w:rsidR="00BD623B" w:rsidRPr="002C57FD" w:rsidRDefault="00BD623B" w:rsidP="00BD623B">
      <w:pPr>
        <w:suppressAutoHyphens/>
        <w:rPr>
          <w:sz w:val="24"/>
          <w:szCs w:val="24"/>
          <w:lang w:val="en-US"/>
        </w:rPr>
      </w:pPr>
    </w:p>
    <w:tbl>
      <w:tblPr>
        <w:tblStyle w:val="Tabellenraster"/>
        <w:tblW w:w="0" w:type="auto"/>
        <w:tblInd w:w="0" w:type="dxa"/>
        <w:tblLook w:val="04A0" w:firstRow="1" w:lastRow="0" w:firstColumn="1" w:lastColumn="0" w:noHBand="0" w:noVBand="1"/>
      </w:tblPr>
      <w:tblGrid>
        <w:gridCol w:w="9063"/>
      </w:tblGrid>
      <w:tr w:rsidR="00BD623B" w:rsidRPr="001C52B8" w14:paraId="4B7D6F3D" w14:textId="77777777" w:rsidTr="006140DE">
        <w:tc>
          <w:tcPr>
            <w:tcW w:w="9346" w:type="dxa"/>
          </w:tcPr>
          <w:p w14:paraId="6CAC77D7" w14:textId="77777777" w:rsidR="00BD623B" w:rsidRPr="002C57FD" w:rsidRDefault="00BD623B" w:rsidP="006140DE">
            <w:pPr>
              <w:suppressAutoHyphens/>
              <w:rPr>
                <w:b/>
                <w:bCs/>
                <w:sz w:val="24"/>
                <w:szCs w:val="24"/>
                <w:lang w:val="en-US"/>
              </w:rPr>
            </w:pPr>
          </w:p>
          <w:p w14:paraId="2F7E751B" w14:textId="035337D0" w:rsidR="00BD623B" w:rsidRPr="002C57FD" w:rsidRDefault="00D41D12" w:rsidP="006140DE">
            <w:pPr>
              <w:jc w:val="left"/>
              <w:rPr>
                <w:rFonts w:cs="Arial"/>
                <w:sz w:val="24"/>
                <w:szCs w:val="24"/>
                <w:lang w:val="en-US" w:eastAsia="en-US"/>
              </w:rPr>
            </w:pPr>
            <w:r w:rsidRPr="00D41D12">
              <w:rPr>
                <w:rFonts w:cs="Arial"/>
                <w:b/>
                <w:sz w:val="24"/>
                <w:szCs w:val="24"/>
                <w:lang w:val="en-US" w:eastAsia="en-US"/>
              </w:rPr>
              <w:t>Rec</w:t>
            </w:r>
            <w:r w:rsidR="00BD623B" w:rsidRPr="00D41D12">
              <w:rPr>
                <w:rFonts w:cs="Arial"/>
                <w:b/>
                <w:sz w:val="24"/>
                <w:szCs w:val="24"/>
                <w:lang w:val="en-US" w:eastAsia="en-US"/>
              </w:rPr>
              <w:t xml:space="preserve">. 9 </w:t>
            </w:r>
            <w:r w:rsidR="00BD623B" w:rsidRPr="002C57FD">
              <w:rPr>
                <w:rFonts w:cs="Arial"/>
                <w:sz w:val="24"/>
                <w:szCs w:val="24"/>
                <w:lang w:val="en-US" w:eastAsia="en-US"/>
              </w:rPr>
              <w:t>- “</w:t>
            </w:r>
            <w:r w:rsidR="00BD623B" w:rsidRPr="002C57FD">
              <w:rPr>
                <w:rFonts w:cs="Arial"/>
                <w:i/>
                <w:iCs/>
                <w:sz w:val="24"/>
                <w:szCs w:val="24"/>
                <w:lang w:val="en-US" w:eastAsia="en-US"/>
              </w:rPr>
              <w:t>Updates to the data used in the ongoing application of the rating systems in order to calculate the risk weight exposure amount for the application portfolio should not be covered by this Regulation</w:t>
            </w:r>
            <w:r w:rsidR="00BD623B" w:rsidRPr="002C57FD">
              <w:rPr>
                <w:rFonts w:cs="Arial"/>
                <w:sz w:val="24"/>
                <w:szCs w:val="24"/>
                <w:lang w:val="en-US" w:eastAsia="en-US"/>
              </w:rPr>
              <w:t xml:space="preserve">”. We welcome EBA’s effort to clarify these aspects, nevertheless it would be helpful to further clarify, with examples, what is meant by “updates to the data used in the ongoing application of the rating systems in order to calculate the risk weight exposure amount for the application portfolio”. </w:t>
            </w:r>
          </w:p>
          <w:p w14:paraId="215F6C58" w14:textId="77777777" w:rsidR="00BD623B" w:rsidRPr="002C57FD" w:rsidRDefault="00BD623B" w:rsidP="006140DE">
            <w:pPr>
              <w:jc w:val="left"/>
              <w:rPr>
                <w:rFonts w:cs="Arial"/>
                <w:sz w:val="24"/>
                <w:szCs w:val="24"/>
                <w:lang w:val="en-US" w:eastAsia="en-US"/>
              </w:rPr>
            </w:pPr>
          </w:p>
          <w:p w14:paraId="64CC3625" w14:textId="6C497271" w:rsidR="00BD623B" w:rsidRPr="002C57FD" w:rsidRDefault="00BD623B" w:rsidP="006140DE">
            <w:pPr>
              <w:jc w:val="left"/>
              <w:rPr>
                <w:rFonts w:cs="Arial"/>
                <w:sz w:val="24"/>
                <w:szCs w:val="24"/>
                <w:lang w:val="en-US" w:eastAsia="en-US"/>
              </w:rPr>
            </w:pPr>
            <w:r w:rsidRPr="002C57FD">
              <w:rPr>
                <w:rFonts w:cs="Arial"/>
                <w:sz w:val="24"/>
                <w:szCs w:val="24"/>
                <w:lang w:val="en-US" w:eastAsia="en-US"/>
              </w:rPr>
              <w:t xml:space="preserve">We </w:t>
            </w:r>
            <w:r w:rsidR="001C52B8">
              <w:rPr>
                <w:rFonts w:cs="Arial"/>
                <w:sz w:val="24"/>
                <w:szCs w:val="24"/>
                <w:lang w:val="en-US" w:eastAsia="en-US"/>
              </w:rPr>
              <w:t>consider</w:t>
            </w:r>
            <w:r w:rsidRPr="002C57FD">
              <w:rPr>
                <w:rFonts w:cs="Arial"/>
                <w:sz w:val="24"/>
                <w:szCs w:val="24"/>
                <w:lang w:val="en-US" w:eastAsia="en-US"/>
              </w:rPr>
              <w:t xml:space="preserve"> it particularly important to clarify that the update of the data in the context of review of estimates and other ongoing approved processes, such as validation and monitoring, fall</w:t>
            </w:r>
            <w:r w:rsidR="001C52B8">
              <w:rPr>
                <w:rFonts w:cs="Arial"/>
                <w:sz w:val="24"/>
                <w:szCs w:val="24"/>
                <w:lang w:val="en-US" w:eastAsia="en-US"/>
              </w:rPr>
              <w:t>s</w:t>
            </w:r>
            <w:r w:rsidRPr="002C57FD">
              <w:rPr>
                <w:rFonts w:cs="Arial"/>
                <w:sz w:val="24"/>
                <w:szCs w:val="24"/>
                <w:lang w:val="en-US" w:eastAsia="en-US"/>
              </w:rPr>
              <w:t xml:space="preserve"> under the </w:t>
            </w:r>
            <w:r w:rsidRPr="002C57FD">
              <w:rPr>
                <w:rFonts w:cs="Arial"/>
                <w:i/>
                <w:iCs/>
                <w:sz w:val="24"/>
                <w:szCs w:val="24"/>
                <w:lang w:val="en-US" w:eastAsia="en-US"/>
              </w:rPr>
              <w:t>“update of the data used in the ongoing application of the rating systems”,</w:t>
            </w:r>
            <w:r w:rsidRPr="002C57FD">
              <w:rPr>
                <w:rFonts w:cs="Arial"/>
                <w:sz w:val="24"/>
                <w:szCs w:val="24"/>
                <w:lang w:val="en-US" w:eastAsia="en-US"/>
              </w:rPr>
              <w:t xml:space="preserve"> and </w:t>
            </w:r>
            <w:r w:rsidR="001C52B8">
              <w:rPr>
                <w:rFonts w:cs="Arial"/>
                <w:sz w:val="24"/>
                <w:szCs w:val="24"/>
                <w:lang w:val="en-US" w:eastAsia="en-US"/>
              </w:rPr>
              <w:t>does therefore</w:t>
            </w:r>
            <w:r w:rsidRPr="002C57FD">
              <w:rPr>
                <w:rFonts w:cs="Arial"/>
                <w:sz w:val="24"/>
                <w:szCs w:val="24"/>
                <w:lang w:val="en-US" w:eastAsia="en-US"/>
              </w:rPr>
              <w:t xml:space="preserve"> not fall in the scope of this RTS. In this context we suggest the following wording: </w:t>
            </w:r>
            <w:r w:rsidRPr="002C57FD">
              <w:rPr>
                <w:rFonts w:cs="Arial"/>
                <w:i/>
                <w:iCs/>
                <w:sz w:val="24"/>
                <w:szCs w:val="24"/>
                <w:lang w:val="en-US" w:eastAsia="en-US"/>
              </w:rPr>
              <w:t xml:space="preserve">„Extensions to the data time series based on approved methods, processes, controls, data collection and IT systems for the specific use in approved processes such as review of estimates, validation and model monitoring should not be covered by this </w:t>
            </w:r>
            <w:proofErr w:type="gramStart"/>
            <w:r w:rsidRPr="002C57FD">
              <w:rPr>
                <w:rFonts w:cs="Arial"/>
                <w:i/>
                <w:iCs/>
                <w:sz w:val="24"/>
                <w:szCs w:val="24"/>
                <w:lang w:val="en-US" w:eastAsia="en-US"/>
              </w:rPr>
              <w:t>Regulation“</w:t>
            </w:r>
            <w:proofErr w:type="gramEnd"/>
            <w:r w:rsidRPr="002C57FD">
              <w:rPr>
                <w:rFonts w:cs="Arial"/>
                <w:i/>
                <w:iCs/>
                <w:sz w:val="24"/>
                <w:szCs w:val="24"/>
                <w:lang w:val="en-US" w:eastAsia="en-US"/>
              </w:rPr>
              <w:t>.</w:t>
            </w:r>
          </w:p>
          <w:p w14:paraId="094622E7" w14:textId="77777777" w:rsidR="00BD623B" w:rsidRPr="002C57FD" w:rsidRDefault="00BD623B" w:rsidP="006140DE">
            <w:pPr>
              <w:jc w:val="left"/>
              <w:rPr>
                <w:rFonts w:cs="Arial"/>
                <w:sz w:val="24"/>
                <w:szCs w:val="24"/>
                <w:lang w:val="en-US" w:eastAsia="en-US"/>
              </w:rPr>
            </w:pPr>
          </w:p>
          <w:p w14:paraId="62B5BC40" w14:textId="77777777" w:rsidR="00BD623B" w:rsidRPr="002C57FD" w:rsidRDefault="00BD623B" w:rsidP="006140DE">
            <w:pPr>
              <w:suppressAutoHyphens/>
              <w:rPr>
                <w:rFonts w:cs="Arial"/>
                <w:sz w:val="24"/>
                <w:szCs w:val="24"/>
                <w:lang w:val="en-US"/>
              </w:rPr>
            </w:pPr>
            <w:r w:rsidRPr="002C57FD">
              <w:rPr>
                <w:rFonts w:cs="Arial"/>
                <w:sz w:val="24"/>
                <w:szCs w:val="24"/>
                <w:lang w:val="en-US"/>
              </w:rPr>
              <w:t>Additionally, we kindly request a clarification of the delineation and interplay between the so called “return to compliance” topics (Art. 146 CRR) and the classification of model changes. As an example, we consider that data and IT corrections (e.g. in the context of ongoing data quality enhancements) to align with the approved status, are not considered model changes.</w:t>
            </w:r>
          </w:p>
          <w:p w14:paraId="7103D643" w14:textId="77777777" w:rsidR="00BD623B" w:rsidRPr="002C57FD" w:rsidRDefault="00BD623B" w:rsidP="006140DE">
            <w:pPr>
              <w:suppressAutoHyphens/>
              <w:rPr>
                <w:b/>
                <w:bCs/>
                <w:sz w:val="24"/>
                <w:szCs w:val="24"/>
                <w:lang w:val="en-US"/>
              </w:rPr>
            </w:pPr>
          </w:p>
          <w:p w14:paraId="3B3FC193" w14:textId="3A0C2CD7" w:rsidR="00BD623B" w:rsidRPr="002C57FD" w:rsidRDefault="00D41D12" w:rsidP="006140DE">
            <w:pPr>
              <w:suppressAutoHyphens/>
              <w:rPr>
                <w:rFonts w:cs="Arial"/>
                <w:sz w:val="24"/>
                <w:szCs w:val="24"/>
                <w:lang w:val="en-US" w:eastAsia="en-US"/>
              </w:rPr>
            </w:pPr>
            <w:r w:rsidRPr="00D41D12">
              <w:rPr>
                <w:rFonts w:cs="Arial"/>
                <w:b/>
                <w:sz w:val="24"/>
                <w:szCs w:val="24"/>
                <w:lang w:val="en-US" w:eastAsia="en-US"/>
              </w:rPr>
              <w:t>Rec</w:t>
            </w:r>
            <w:r w:rsidR="00BD623B" w:rsidRPr="00D41D12">
              <w:rPr>
                <w:rFonts w:cs="Arial"/>
                <w:b/>
                <w:sz w:val="24"/>
                <w:szCs w:val="24"/>
                <w:lang w:val="en-US" w:eastAsia="en-US"/>
              </w:rPr>
              <w:t>. 12</w:t>
            </w:r>
            <w:r>
              <w:rPr>
                <w:rFonts w:cs="Arial"/>
                <w:b/>
                <w:sz w:val="24"/>
                <w:szCs w:val="24"/>
                <w:lang w:val="en-US" w:eastAsia="en-US"/>
              </w:rPr>
              <w:t xml:space="preserve"> </w:t>
            </w:r>
            <w:r w:rsidR="00BD623B" w:rsidRPr="002C57FD">
              <w:rPr>
                <w:rFonts w:cs="Arial"/>
                <w:sz w:val="24"/>
                <w:szCs w:val="24"/>
                <w:lang w:val="en-US" w:eastAsia="en-US"/>
              </w:rPr>
              <w:t>does not exclude that changes stemming from CRR3 might be considered material. Here we would like to comment that changes solely stemming from changed regulatory requirements (especially in cases where the changes are highly operationalized and leave no room for interpretation) should never be considered material unless backstop requirements apply (i.e., breach of quantitative thresholds). We would highly welcome if the EBA prespecifies any changes considered material to ensure a level playing field in the context of the CRR3 introduction.</w:t>
            </w:r>
          </w:p>
          <w:p w14:paraId="391DE8EC" w14:textId="77777777" w:rsidR="00BD623B" w:rsidRPr="002C57FD" w:rsidRDefault="00BD623B" w:rsidP="006140DE">
            <w:pPr>
              <w:suppressAutoHyphens/>
              <w:rPr>
                <w:b/>
                <w:bCs/>
                <w:sz w:val="24"/>
                <w:szCs w:val="24"/>
                <w:lang w:val="en-US"/>
              </w:rPr>
            </w:pPr>
          </w:p>
        </w:tc>
      </w:tr>
    </w:tbl>
    <w:p w14:paraId="26215845" w14:textId="77777777" w:rsidR="00BD623B" w:rsidRPr="002C57FD" w:rsidRDefault="00BD623B" w:rsidP="00BD623B">
      <w:pPr>
        <w:suppressAutoHyphens/>
        <w:rPr>
          <w:b/>
          <w:bCs/>
          <w:sz w:val="24"/>
          <w:szCs w:val="24"/>
          <w:lang w:val="en-US"/>
        </w:rPr>
      </w:pPr>
    </w:p>
    <w:p w14:paraId="16784545" w14:textId="5CB86876" w:rsidR="00BD623B" w:rsidRPr="002C57FD" w:rsidRDefault="00C42322" w:rsidP="00BD623B">
      <w:pPr>
        <w:suppressAutoHyphens/>
        <w:rPr>
          <w:sz w:val="24"/>
          <w:szCs w:val="24"/>
          <w:lang w:val="en-GB"/>
        </w:rPr>
      </w:pPr>
      <w:r>
        <w:rPr>
          <w:b/>
          <w:bCs/>
          <w:sz w:val="24"/>
          <w:szCs w:val="24"/>
          <w:lang w:val="en-GB"/>
        </w:rPr>
        <w:lastRenderedPageBreak/>
        <w:t>Q</w:t>
      </w:r>
      <w:r w:rsidR="00BD623B" w:rsidRPr="002C57FD">
        <w:rPr>
          <w:b/>
          <w:bCs/>
          <w:sz w:val="24"/>
          <w:szCs w:val="24"/>
          <w:lang w:val="en-GB"/>
        </w:rPr>
        <w:t xml:space="preserve"> 2. Do you have any comments on the clarifications and revisions made to the qualitative criteria for assessing the materiality of changes as described in the Annex I, part II, Section 1 and Annex I, part II, Section 2?</w:t>
      </w:r>
    </w:p>
    <w:p w14:paraId="1F063445" w14:textId="77777777" w:rsidR="00BD623B" w:rsidRPr="002C57FD" w:rsidRDefault="00BD623B" w:rsidP="00BD623B">
      <w:pPr>
        <w:suppressAutoHyphens/>
        <w:rPr>
          <w:b/>
          <w:bCs/>
          <w:sz w:val="24"/>
          <w:szCs w:val="24"/>
          <w:lang w:val="en-GB"/>
        </w:rPr>
      </w:pPr>
    </w:p>
    <w:tbl>
      <w:tblPr>
        <w:tblStyle w:val="Tabellenraster"/>
        <w:tblpPr w:leftFromText="180" w:rightFromText="180" w:vertAnchor="text" w:horzAnchor="margin" w:tblpY="-72"/>
        <w:tblW w:w="0" w:type="auto"/>
        <w:tblInd w:w="0" w:type="dxa"/>
        <w:tblLook w:val="04A0" w:firstRow="1" w:lastRow="0" w:firstColumn="1" w:lastColumn="0" w:noHBand="0" w:noVBand="1"/>
      </w:tblPr>
      <w:tblGrid>
        <w:gridCol w:w="9063"/>
      </w:tblGrid>
      <w:tr w:rsidR="00BD623B" w:rsidRPr="001C52B8" w14:paraId="4BF2C237" w14:textId="77777777" w:rsidTr="006140DE">
        <w:tc>
          <w:tcPr>
            <w:tcW w:w="9346" w:type="dxa"/>
          </w:tcPr>
          <w:p w14:paraId="4C100A7D" w14:textId="77777777" w:rsidR="00BD623B" w:rsidRPr="002C57FD" w:rsidRDefault="00BD623B" w:rsidP="006140DE">
            <w:pPr>
              <w:suppressAutoHyphens/>
              <w:rPr>
                <w:b/>
                <w:bCs/>
                <w:sz w:val="24"/>
                <w:szCs w:val="24"/>
                <w:lang w:val="en-US"/>
              </w:rPr>
            </w:pPr>
          </w:p>
          <w:p w14:paraId="1E6F4BEF" w14:textId="622CEDB1" w:rsidR="00BD623B" w:rsidRPr="002C57FD" w:rsidRDefault="00AB2D9E" w:rsidP="006140DE">
            <w:pPr>
              <w:suppressAutoHyphens/>
              <w:rPr>
                <w:rFonts w:cs="Arial"/>
                <w:sz w:val="24"/>
                <w:szCs w:val="24"/>
                <w:lang w:val="en-US"/>
              </w:rPr>
            </w:pPr>
            <w:r>
              <w:rPr>
                <w:rFonts w:cs="Arial"/>
                <w:b/>
                <w:sz w:val="24"/>
                <w:szCs w:val="24"/>
                <w:lang w:val="en-US"/>
              </w:rPr>
              <w:t>Change</w:t>
            </w:r>
            <w:r w:rsidR="00D41D12" w:rsidRPr="00D41D12">
              <w:rPr>
                <w:rFonts w:cs="Arial"/>
                <w:b/>
                <w:sz w:val="24"/>
                <w:szCs w:val="24"/>
                <w:lang w:val="en-US"/>
              </w:rPr>
              <w:t xml:space="preserve"> of (</w:t>
            </w:r>
            <w:r w:rsidR="00BD623B" w:rsidRPr="00D41D12">
              <w:rPr>
                <w:rFonts w:cs="Arial"/>
                <w:b/>
                <w:sz w:val="24"/>
                <w:szCs w:val="24"/>
                <w:lang w:val="en-US"/>
              </w:rPr>
              <w:t>iii</w:t>
            </w:r>
            <w:r w:rsidR="00D41D12" w:rsidRPr="00D41D12">
              <w:rPr>
                <w:rFonts w:cs="Arial"/>
                <w:b/>
                <w:sz w:val="24"/>
                <w:szCs w:val="24"/>
                <w:lang w:val="en-US"/>
              </w:rPr>
              <w:t>) point (2)</w:t>
            </w:r>
            <w:r w:rsidR="00BD623B" w:rsidRPr="00D41D12">
              <w:rPr>
                <w:rFonts w:cs="Arial"/>
                <w:b/>
                <w:sz w:val="24"/>
                <w:szCs w:val="24"/>
                <w:lang w:val="en-US"/>
              </w:rPr>
              <w:t>f</w:t>
            </w:r>
            <w:r w:rsidR="00D41D12">
              <w:rPr>
                <w:rFonts w:cs="Arial"/>
                <w:b/>
                <w:sz w:val="24"/>
                <w:szCs w:val="24"/>
                <w:lang w:val="en-US"/>
              </w:rPr>
              <w:t xml:space="preserve"> of Annex I, Part II, Section 1</w:t>
            </w:r>
            <w:r w:rsidR="00B139C8">
              <w:rPr>
                <w:rFonts w:cs="Arial"/>
                <w:b/>
                <w:sz w:val="24"/>
                <w:szCs w:val="24"/>
                <w:lang w:val="en-US"/>
              </w:rPr>
              <w:t xml:space="preserve"> (on page</w:t>
            </w:r>
            <w:r w:rsidR="00B139C8" w:rsidRPr="00D41D12">
              <w:rPr>
                <w:rFonts w:cs="Arial"/>
                <w:b/>
                <w:sz w:val="24"/>
                <w:szCs w:val="24"/>
                <w:lang w:val="en-US"/>
              </w:rPr>
              <w:t xml:space="preserve"> 27</w:t>
            </w:r>
            <w:r w:rsidR="00B139C8">
              <w:rPr>
                <w:rFonts w:cs="Arial"/>
                <w:b/>
                <w:sz w:val="24"/>
                <w:szCs w:val="24"/>
                <w:lang w:val="en-US"/>
              </w:rPr>
              <w:t>)</w:t>
            </w:r>
            <w:r w:rsidR="00D41D12">
              <w:rPr>
                <w:rFonts w:cs="Arial"/>
                <w:sz w:val="24"/>
                <w:szCs w:val="24"/>
                <w:lang w:val="en-US"/>
              </w:rPr>
              <w:t>: A</w:t>
            </w:r>
            <w:r w:rsidR="00BD623B" w:rsidRPr="002C57FD">
              <w:rPr>
                <w:rFonts w:cs="Arial"/>
                <w:sz w:val="24"/>
                <w:szCs w:val="24"/>
                <w:lang w:val="en-US"/>
              </w:rPr>
              <w:t xml:space="preserve"> classification of “changes to the (fundamental) methodology to derive appropriate adjustments” as a material model change (MMC) could trigger an excessive number of MMCs because such adjustments (as well as their underlying methodology) are almost always derived ad-hoc based on the specific situation at hand. We propose that only changes to the methodology how appropriate adjustment are applied constitutes </w:t>
            </w:r>
            <w:proofErr w:type="gramStart"/>
            <w:r w:rsidR="00BD623B" w:rsidRPr="002C57FD">
              <w:rPr>
                <w:rFonts w:cs="Arial"/>
                <w:sz w:val="24"/>
                <w:szCs w:val="24"/>
                <w:lang w:val="en-US"/>
              </w:rPr>
              <w:t>a</w:t>
            </w:r>
            <w:proofErr w:type="gramEnd"/>
            <w:r w:rsidR="00BD623B" w:rsidRPr="002C57FD">
              <w:rPr>
                <w:rFonts w:cs="Arial"/>
                <w:sz w:val="24"/>
                <w:szCs w:val="24"/>
                <w:lang w:val="en-US"/>
              </w:rPr>
              <w:t xml:space="preserve"> MMC, while the concrete operationalization (i.e. determination of an appropriate adjustment) for a specific situation does only qualify as non-material model change with ex-ante notification.   </w:t>
            </w:r>
          </w:p>
          <w:p w14:paraId="2EC0C03B" w14:textId="77777777" w:rsidR="00BD623B" w:rsidRPr="002C57FD" w:rsidRDefault="00BD623B" w:rsidP="006140DE">
            <w:pPr>
              <w:suppressAutoHyphens/>
              <w:rPr>
                <w:b/>
                <w:bCs/>
                <w:sz w:val="24"/>
                <w:szCs w:val="24"/>
                <w:lang w:val="en-US"/>
              </w:rPr>
            </w:pPr>
          </w:p>
          <w:p w14:paraId="339B57F3" w14:textId="686A7AF7" w:rsidR="00BD623B" w:rsidRPr="002C57FD" w:rsidRDefault="00D41D12" w:rsidP="006140DE">
            <w:pPr>
              <w:rPr>
                <w:rFonts w:cs="Arial"/>
                <w:sz w:val="24"/>
                <w:szCs w:val="24"/>
                <w:lang w:val="en-GB" w:eastAsia="en-US"/>
              </w:rPr>
            </w:pPr>
            <w:r w:rsidRPr="00D41D12">
              <w:rPr>
                <w:rFonts w:cs="Arial"/>
                <w:b/>
                <w:sz w:val="24"/>
                <w:szCs w:val="24"/>
                <w:lang w:val="en-US" w:eastAsia="en-US"/>
              </w:rPr>
              <w:t>Rec</w:t>
            </w:r>
            <w:r w:rsidR="00BD623B" w:rsidRPr="00D41D12">
              <w:rPr>
                <w:rFonts w:cs="Arial"/>
                <w:b/>
                <w:sz w:val="24"/>
                <w:szCs w:val="24"/>
                <w:lang w:val="en-US" w:eastAsia="en-US"/>
              </w:rPr>
              <w:t>. 13</w:t>
            </w:r>
            <w:r>
              <w:rPr>
                <w:rFonts w:cs="Arial"/>
                <w:b/>
                <w:sz w:val="24"/>
                <w:szCs w:val="24"/>
                <w:lang w:val="en-US" w:eastAsia="en-US"/>
              </w:rPr>
              <w:t xml:space="preserve"> </w:t>
            </w:r>
            <w:r w:rsidR="00BD623B" w:rsidRPr="002C57FD">
              <w:rPr>
                <w:rFonts w:cs="Arial"/>
                <w:sz w:val="24"/>
                <w:szCs w:val="24"/>
                <w:lang w:val="en-US" w:eastAsia="en-US"/>
              </w:rPr>
              <w:t>- “</w:t>
            </w:r>
            <w:r w:rsidR="00BD623B" w:rsidRPr="002C57FD">
              <w:rPr>
                <w:rFonts w:cs="Arial"/>
                <w:i/>
                <w:iCs/>
                <w:sz w:val="24"/>
                <w:szCs w:val="24"/>
                <w:lang w:val="en-US" w:eastAsia="en-US"/>
              </w:rPr>
              <w:t>the rank ordering should be derived from the final estimates associated with the grades or pools</w:t>
            </w:r>
            <w:r w:rsidR="00BD623B" w:rsidRPr="002C57FD">
              <w:rPr>
                <w:rFonts w:cs="Arial"/>
                <w:sz w:val="24"/>
                <w:szCs w:val="24"/>
                <w:lang w:val="en-US" w:eastAsia="en-US"/>
              </w:rPr>
              <w:t xml:space="preserve">”. Please clarify if “final estimates” include </w:t>
            </w:r>
            <w:proofErr w:type="spellStart"/>
            <w:r w:rsidR="00BD623B" w:rsidRPr="002C57FD">
              <w:rPr>
                <w:rFonts w:cs="Arial"/>
                <w:sz w:val="24"/>
                <w:szCs w:val="24"/>
                <w:lang w:val="en-US" w:eastAsia="en-US"/>
              </w:rPr>
              <w:t>MoCs</w:t>
            </w:r>
            <w:proofErr w:type="spellEnd"/>
            <w:r w:rsidR="00BD623B" w:rsidRPr="002C57FD">
              <w:rPr>
                <w:rFonts w:cs="Arial"/>
                <w:sz w:val="24"/>
                <w:szCs w:val="24"/>
                <w:lang w:val="en-US" w:eastAsia="en-US"/>
              </w:rPr>
              <w:t xml:space="preserve"> and/or downturn. Further, </w:t>
            </w:r>
            <w:r w:rsidR="00BD623B" w:rsidRPr="002C57FD">
              <w:rPr>
                <w:rFonts w:cs="Arial"/>
                <w:sz w:val="24"/>
                <w:szCs w:val="24"/>
                <w:lang w:val="en-GB" w:eastAsia="en-US"/>
              </w:rPr>
              <w:t>we consider it necessary for EBA to provide guidance and examples how to interpret the “</w:t>
            </w:r>
            <w:r w:rsidR="00BD623B" w:rsidRPr="002C57FD">
              <w:rPr>
                <w:rFonts w:cs="Arial"/>
                <w:i/>
                <w:iCs/>
                <w:sz w:val="24"/>
                <w:szCs w:val="24"/>
                <w:lang w:val="en-GB" w:eastAsia="en-US"/>
              </w:rPr>
              <w:t>significant manner, the measure and level of which will have been defined by the institution</w:t>
            </w:r>
            <w:r w:rsidR="00BD623B" w:rsidRPr="002C57FD">
              <w:rPr>
                <w:rFonts w:cs="Arial"/>
                <w:sz w:val="24"/>
                <w:szCs w:val="24"/>
                <w:lang w:val="en-GB" w:eastAsia="en-US"/>
              </w:rPr>
              <w:t>” defined in Annex I, Part II, Section 1, point 2 (d), lit. (</w:t>
            </w:r>
            <w:proofErr w:type="spellStart"/>
            <w:r w:rsidR="00BD623B" w:rsidRPr="002C57FD">
              <w:rPr>
                <w:rFonts w:cs="Arial"/>
                <w:sz w:val="24"/>
                <w:szCs w:val="24"/>
                <w:lang w:val="en-GB" w:eastAsia="en-US"/>
              </w:rPr>
              <w:t>i</w:t>
            </w:r>
            <w:proofErr w:type="spellEnd"/>
            <w:r w:rsidR="00BD623B" w:rsidRPr="002C57FD">
              <w:rPr>
                <w:rFonts w:cs="Arial"/>
                <w:sz w:val="24"/>
                <w:szCs w:val="24"/>
                <w:lang w:val="en-GB" w:eastAsia="en-US"/>
              </w:rPr>
              <w:t>) and (ii), page 27.</w:t>
            </w:r>
          </w:p>
          <w:p w14:paraId="6989C7D0" w14:textId="77777777" w:rsidR="00BD623B" w:rsidRPr="002C57FD" w:rsidRDefault="00BD623B" w:rsidP="006140DE">
            <w:pPr>
              <w:jc w:val="left"/>
              <w:rPr>
                <w:rFonts w:cs="Arial"/>
                <w:sz w:val="24"/>
                <w:szCs w:val="24"/>
                <w:lang w:val="en-US" w:eastAsia="en-US"/>
              </w:rPr>
            </w:pPr>
          </w:p>
          <w:p w14:paraId="12A53D6F" w14:textId="564256B4" w:rsidR="00BD623B" w:rsidRPr="002C57FD" w:rsidRDefault="00D41D12" w:rsidP="00AE5F46">
            <w:pPr>
              <w:jc w:val="left"/>
              <w:rPr>
                <w:rFonts w:cs="Arial"/>
                <w:sz w:val="24"/>
                <w:szCs w:val="24"/>
                <w:lang w:val="en-GB" w:eastAsia="en-US"/>
              </w:rPr>
            </w:pPr>
            <w:r w:rsidRPr="00D41D12">
              <w:rPr>
                <w:rFonts w:cs="Arial"/>
                <w:b/>
                <w:sz w:val="24"/>
                <w:szCs w:val="24"/>
                <w:lang w:val="en-US" w:eastAsia="en-US"/>
              </w:rPr>
              <w:t>Rec</w:t>
            </w:r>
            <w:r w:rsidR="00BD623B" w:rsidRPr="00D41D12">
              <w:rPr>
                <w:rFonts w:cs="Arial"/>
                <w:b/>
                <w:sz w:val="24"/>
                <w:szCs w:val="24"/>
                <w:lang w:val="en-US" w:eastAsia="en-US"/>
              </w:rPr>
              <w:t>. 15</w:t>
            </w:r>
            <w:r>
              <w:rPr>
                <w:rFonts w:cs="Arial"/>
                <w:sz w:val="24"/>
                <w:szCs w:val="24"/>
                <w:lang w:val="en-US" w:eastAsia="en-US"/>
              </w:rPr>
              <w:t xml:space="preserve"> </w:t>
            </w:r>
            <w:r w:rsidR="00BD623B" w:rsidRPr="002C57FD">
              <w:rPr>
                <w:rFonts w:cs="Arial"/>
                <w:sz w:val="24"/>
                <w:szCs w:val="24"/>
                <w:lang w:val="en-US" w:eastAsia="en-US"/>
              </w:rPr>
              <w:t>-</w:t>
            </w:r>
            <w:r w:rsidR="00AE5F46">
              <w:rPr>
                <w:rFonts w:cs="Arial"/>
                <w:sz w:val="24"/>
                <w:szCs w:val="24"/>
                <w:lang w:val="en-US" w:eastAsia="en-US"/>
              </w:rPr>
              <w:t xml:space="preserve"> </w:t>
            </w:r>
            <w:r w:rsidR="00BD623B" w:rsidRPr="002C57FD">
              <w:rPr>
                <w:rFonts w:cs="Arial"/>
                <w:sz w:val="24"/>
                <w:szCs w:val="24"/>
                <w:lang w:val="en-US" w:eastAsia="en-US"/>
              </w:rPr>
              <w:t>As regards the definition of the significance level of a change in the DoD for a material change, it would be beneficial to have a clear specification of the metrics and thresholds by EBA.</w:t>
            </w:r>
            <w:r w:rsidR="00AE5F46">
              <w:rPr>
                <w:rFonts w:cs="Arial"/>
                <w:sz w:val="24"/>
                <w:szCs w:val="24"/>
                <w:lang w:val="en-US" w:eastAsia="en-US"/>
              </w:rPr>
              <w:t xml:space="preserve"> </w:t>
            </w:r>
            <w:r w:rsidR="00BD623B" w:rsidRPr="002C57FD">
              <w:rPr>
                <w:rFonts w:cs="Arial"/>
                <w:sz w:val="24"/>
                <w:szCs w:val="24"/>
                <w:lang w:val="en-US" w:eastAsia="en-US"/>
              </w:rPr>
              <w:t xml:space="preserve">The DoD definition is at the core of the IRB models and a unified understanding, for all banks, of the metric and thresholds is needed. </w:t>
            </w:r>
            <w:r w:rsidR="00BD623B" w:rsidRPr="002C57FD">
              <w:rPr>
                <w:rFonts w:cs="Arial"/>
                <w:sz w:val="24"/>
                <w:szCs w:val="24"/>
                <w:lang w:val="en-GB" w:eastAsia="en-US"/>
              </w:rPr>
              <w:t>It would be important and beneficial to establish clear guidance on significance thresholds to ensure a level playing field across jurisdictions and promote harmonised implementation among competent authorities and institutions.</w:t>
            </w:r>
          </w:p>
          <w:p w14:paraId="68329820" w14:textId="77777777" w:rsidR="00BD623B" w:rsidRPr="002C57FD" w:rsidRDefault="00BD623B" w:rsidP="006140DE">
            <w:pPr>
              <w:ind w:left="1416"/>
              <w:rPr>
                <w:rFonts w:eastAsiaTheme="minorHAnsi" w:cs="Arial"/>
                <w:sz w:val="24"/>
                <w:szCs w:val="24"/>
                <w:lang w:val="en-US" w:eastAsia="en-US"/>
              </w:rPr>
            </w:pPr>
          </w:p>
          <w:p w14:paraId="7802E46E" w14:textId="10074264" w:rsidR="00BD623B" w:rsidRPr="002C57FD" w:rsidRDefault="00D41D12" w:rsidP="006140DE">
            <w:pPr>
              <w:jc w:val="left"/>
              <w:rPr>
                <w:rFonts w:cs="Arial"/>
                <w:sz w:val="24"/>
                <w:szCs w:val="24"/>
                <w:lang w:val="en-US" w:eastAsia="en-US"/>
              </w:rPr>
            </w:pPr>
            <w:r w:rsidRPr="00D41D12">
              <w:rPr>
                <w:rFonts w:cs="Arial"/>
                <w:b/>
                <w:sz w:val="24"/>
                <w:szCs w:val="24"/>
                <w:lang w:val="en-US" w:eastAsia="en-US"/>
              </w:rPr>
              <w:t>Rec</w:t>
            </w:r>
            <w:r w:rsidR="00BD623B" w:rsidRPr="00D41D12">
              <w:rPr>
                <w:rFonts w:cs="Arial"/>
                <w:b/>
                <w:sz w:val="24"/>
                <w:szCs w:val="24"/>
                <w:lang w:val="en-US" w:eastAsia="en-US"/>
              </w:rPr>
              <w:t>. 16</w:t>
            </w:r>
            <w:r>
              <w:rPr>
                <w:rFonts w:cs="Arial"/>
                <w:sz w:val="24"/>
                <w:szCs w:val="24"/>
                <w:lang w:val="en-US" w:eastAsia="en-US"/>
              </w:rPr>
              <w:t xml:space="preserve"> </w:t>
            </w:r>
            <w:r w:rsidR="00BD623B" w:rsidRPr="002C57FD">
              <w:rPr>
                <w:rFonts w:cs="Arial"/>
                <w:sz w:val="24"/>
                <w:szCs w:val="24"/>
                <w:lang w:val="en-US" w:eastAsia="en-US"/>
              </w:rPr>
              <w:t>–</w:t>
            </w:r>
            <w:r w:rsidR="00AE5F46">
              <w:rPr>
                <w:rFonts w:cs="Arial"/>
                <w:sz w:val="24"/>
                <w:szCs w:val="24"/>
                <w:lang w:val="en-US" w:eastAsia="en-US"/>
              </w:rPr>
              <w:t xml:space="preserve"> </w:t>
            </w:r>
            <w:r w:rsidR="00BD623B" w:rsidRPr="002C57FD">
              <w:rPr>
                <w:rFonts w:cs="Arial"/>
                <w:sz w:val="24"/>
                <w:szCs w:val="24"/>
                <w:lang w:val="en-US" w:eastAsia="en-US"/>
              </w:rPr>
              <w:t xml:space="preserve">Very important point as institutions </w:t>
            </w:r>
            <w:proofErr w:type="gramStart"/>
            <w:r w:rsidR="00BD623B" w:rsidRPr="002C57FD">
              <w:rPr>
                <w:rFonts w:cs="Arial"/>
                <w:sz w:val="24"/>
                <w:szCs w:val="24"/>
                <w:lang w:val="en-US" w:eastAsia="en-US"/>
              </w:rPr>
              <w:t>are</w:t>
            </w:r>
            <w:proofErr w:type="gramEnd"/>
            <w:r w:rsidR="00BD623B" w:rsidRPr="002C57FD">
              <w:rPr>
                <w:rFonts w:cs="Arial"/>
                <w:sz w:val="24"/>
                <w:szCs w:val="24"/>
                <w:lang w:val="en-US" w:eastAsia="en-US"/>
              </w:rPr>
              <w:t xml:space="preserve"> currently not in the position to improve their validation frameworks in an efficient way. However, typically, changes to validation framework are neither strictly conservative nor strictly more lenient. If a test is replaced with a new and better one, it will typically go in both directions. In this context, please clarify and provide metrics and thresholds for what </w:t>
            </w:r>
            <w:proofErr w:type="gramStart"/>
            <w:r w:rsidR="00BD623B" w:rsidRPr="002C57FD">
              <w:rPr>
                <w:rFonts w:cs="Arial"/>
                <w:sz w:val="24"/>
                <w:szCs w:val="24"/>
                <w:lang w:val="en-US" w:eastAsia="en-US"/>
              </w:rPr>
              <w:t>is considered to be</w:t>
            </w:r>
            <w:proofErr w:type="gramEnd"/>
            <w:r w:rsidR="00BD623B" w:rsidRPr="002C57FD">
              <w:rPr>
                <w:rFonts w:cs="Arial"/>
                <w:sz w:val="24"/>
                <w:szCs w:val="24"/>
                <w:lang w:val="en-US" w:eastAsia="en-US"/>
              </w:rPr>
              <w:t xml:space="preserve"> a “</w:t>
            </w:r>
            <w:r w:rsidR="00BD623B" w:rsidRPr="002C57FD">
              <w:rPr>
                <w:rFonts w:cs="Arial"/>
                <w:i/>
                <w:iCs/>
                <w:sz w:val="24"/>
                <w:szCs w:val="24"/>
                <w:lang w:val="en-US" w:eastAsia="en-US"/>
              </w:rPr>
              <w:t>more lenient judgment</w:t>
            </w:r>
            <w:r w:rsidR="00BD623B" w:rsidRPr="002C57FD">
              <w:rPr>
                <w:rFonts w:cs="Arial"/>
                <w:b/>
                <w:bCs/>
                <w:sz w:val="24"/>
                <w:szCs w:val="24"/>
                <w:lang w:val="en-US" w:eastAsia="en-US"/>
              </w:rPr>
              <w:t xml:space="preserve">” </w:t>
            </w:r>
            <w:r w:rsidR="00BD623B" w:rsidRPr="002C57FD">
              <w:rPr>
                <w:rFonts w:cs="Arial"/>
                <w:sz w:val="24"/>
                <w:szCs w:val="24"/>
                <w:lang w:val="en-US" w:eastAsia="en-US"/>
              </w:rPr>
              <w:t xml:space="preserve">of the accuracy and consistency of the estimation of the relevant risk parameters, the rating processes or the performance of their rating systems in case of changes in the validation methodology and/or validation processes. </w:t>
            </w:r>
            <w:r w:rsidR="00BD623B" w:rsidRPr="002C57FD">
              <w:rPr>
                <w:rFonts w:cs="Arial"/>
                <w:sz w:val="24"/>
                <w:szCs w:val="24"/>
                <w:lang w:val="en-GB"/>
              </w:rPr>
              <w:t xml:space="preserve">One possible solution would be to </w:t>
            </w:r>
            <w:r w:rsidR="00BD623B" w:rsidRPr="002C57FD">
              <w:rPr>
                <w:rFonts w:cs="Arial"/>
                <w:sz w:val="24"/>
                <w:szCs w:val="24"/>
                <w:lang w:val="en-US" w:eastAsia="en-US"/>
              </w:rPr>
              <w:t>classify a change as being material only if the validation assessment would be „</w:t>
            </w:r>
            <w:proofErr w:type="gramStart"/>
            <w:r w:rsidR="00BD623B" w:rsidRPr="002C57FD">
              <w:rPr>
                <w:rFonts w:cs="Arial"/>
                <w:sz w:val="24"/>
                <w:szCs w:val="24"/>
                <w:lang w:val="en-US" w:eastAsia="en-US"/>
              </w:rPr>
              <w:t>systematically“ (</w:t>
            </w:r>
            <w:proofErr w:type="gramEnd"/>
            <w:r w:rsidR="00BD623B" w:rsidRPr="002C57FD">
              <w:rPr>
                <w:rFonts w:cs="Arial"/>
                <w:sz w:val="24"/>
                <w:szCs w:val="24"/>
                <w:lang w:val="en-US" w:eastAsia="en-US"/>
              </w:rPr>
              <w:t xml:space="preserve">i.e. biased to be) more lenient. In addition, we would propose to trigger a material change only in case of changes in one of the main validation categories of </w:t>
            </w:r>
            <w:proofErr w:type="spellStart"/>
            <w:r w:rsidR="00BD623B" w:rsidRPr="002C57FD">
              <w:rPr>
                <w:rFonts w:cs="Arial"/>
                <w:sz w:val="24"/>
                <w:szCs w:val="24"/>
                <w:lang w:val="en-US" w:eastAsia="en-US"/>
              </w:rPr>
              <w:t>backtesting</w:t>
            </w:r>
            <w:proofErr w:type="spellEnd"/>
            <w:r w:rsidR="00BD623B" w:rsidRPr="002C57FD">
              <w:rPr>
                <w:rFonts w:cs="Arial"/>
                <w:sz w:val="24"/>
                <w:szCs w:val="24"/>
                <w:lang w:val="en-US" w:eastAsia="en-US"/>
              </w:rPr>
              <w:t xml:space="preserve"> and discriminatory ability to avoid triggering material changes where only less significant validation tests are affected. </w:t>
            </w:r>
          </w:p>
          <w:p w14:paraId="220243E1" w14:textId="77777777" w:rsidR="00BD623B" w:rsidRPr="002C57FD" w:rsidRDefault="00BD623B" w:rsidP="006140DE">
            <w:pPr>
              <w:suppressAutoHyphens/>
              <w:rPr>
                <w:b/>
                <w:bCs/>
                <w:sz w:val="24"/>
                <w:szCs w:val="24"/>
                <w:lang w:val="en-US"/>
              </w:rPr>
            </w:pPr>
          </w:p>
        </w:tc>
      </w:tr>
    </w:tbl>
    <w:p w14:paraId="3B1189A7" w14:textId="77777777" w:rsidR="00BD623B" w:rsidRPr="002C57FD" w:rsidRDefault="00BD623B" w:rsidP="00BD623B">
      <w:pPr>
        <w:rPr>
          <w:sz w:val="24"/>
          <w:szCs w:val="24"/>
          <w:lang w:val="en-GB"/>
        </w:rPr>
      </w:pPr>
    </w:p>
    <w:p w14:paraId="51E779DC" w14:textId="77777777" w:rsidR="00AE4755" w:rsidRDefault="00AE4755">
      <w:pPr>
        <w:rPr>
          <w:b/>
          <w:bCs/>
          <w:sz w:val="24"/>
          <w:szCs w:val="24"/>
          <w:lang w:val="en-GB"/>
        </w:rPr>
      </w:pPr>
      <w:r>
        <w:rPr>
          <w:b/>
          <w:bCs/>
          <w:sz w:val="24"/>
          <w:szCs w:val="24"/>
          <w:lang w:val="en-GB"/>
        </w:rPr>
        <w:br w:type="page"/>
      </w:r>
    </w:p>
    <w:p w14:paraId="2ADAA50F" w14:textId="451573EA" w:rsidR="00BD623B" w:rsidRPr="002C57FD" w:rsidRDefault="00AE4755" w:rsidP="00BD623B">
      <w:pPr>
        <w:rPr>
          <w:sz w:val="24"/>
          <w:szCs w:val="24"/>
          <w:lang w:val="en-GB"/>
        </w:rPr>
      </w:pPr>
      <w:r>
        <w:rPr>
          <w:b/>
          <w:bCs/>
          <w:sz w:val="24"/>
          <w:szCs w:val="24"/>
          <w:lang w:val="en-GB"/>
        </w:rPr>
        <w:lastRenderedPageBreak/>
        <w:t>Q</w:t>
      </w:r>
      <w:r w:rsidR="00BD623B" w:rsidRPr="002C57FD">
        <w:rPr>
          <w:b/>
          <w:bCs/>
          <w:sz w:val="24"/>
          <w:szCs w:val="24"/>
          <w:lang w:val="en-GB"/>
        </w:rPr>
        <w:t xml:space="preserve"> 3. Do you have any comments on the clarifications and revisions made to the qualitative criteria for assessing the materiality of extensions and reductions as described in the Annex I, Part I, Section 1 and Annex I, Part I, Section 2?</w:t>
      </w:r>
    </w:p>
    <w:p w14:paraId="20FAFEAD" w14:textId="77777777" w:rsidR="00BD623B" w:rsidRPr="002C57FD" w:rsidRDefault="00BD623B" w:rsidP="00BD623B">
      <w:pPr>
        <w:rPr>
          <w:sz w:val="24"/>
          <w:szCs w:val="24"/>
          <w:lang w:val="en-GB"/>
        </w:rPr>
      </w:pPr>
    </w:p>
    <w:tbl>
      <w:tblPr>
        <w:tblStyle w:val="Tabellenraster"/>
        <w:tblpPr w:leftFromText="180" w:rightFromText="180" w:vertAnchor="text" w:horzAnchor="margin" w:tblpY="-72"/>
        <w:tblW w:w="0" w:type="auto"/>
        <w:tblInd w:w="0" w:type="dxa"/>
        <w:tblLook w:val="04A0" w:firstRow="1" w:lastRow="0" w:firstColumn="1" w:lastColumn="0" w:noHBand="0" w:noVBand="1"/>
      </w:tblPr>
      <w:tblGrid>
        <w:gridCol w:w="9063"/>
      </w:tblGrid>
      <w:tr w:rsidR="00BD623B" w:rsidRPr="001C52B8" w14:paraId="33B730E3" w14:textId="77777777" w:rsidTr="006140DE">
        <w:tc>
          <w:tcPr>
            <w:tcW w:w="9346" w:type="dxa"/>
          </w:tcPr>
          <w:p w14:paraId="5808FE99" w14:textId="77777777" w:rsidR="00BD623B" w:rsidRPr="002C57FD" w:rsidRDefault="00BD623B" w:rsidP="006140DE">
            <w:pPr>
              <w:suppressAutoHyphens/>
              <w:rPr>
                <w:b/>
                <w:bCs/>
                <w:sz w:val="24"/>
                <w:szCs w:val="24"/>
                <w:lang w:val="en-US"/>
              </w:rPr>
            </w:pPr>
          </w:p>
          <w:p w14:paraId="6C1C25EC" w14:textId="4DAA0BA4" w:rsidR="00BD623B" w:rsidRPr="002C57FD" w:rsidRDefault="00D41D12" w:rsidP="006140DE">
            <w:pPr>
              <w:suppressAutoHyphens/>
              <w:rPr>
                <w:rFonts w:cs="Arial"/>
                <w:sz w:val="24"/>
                <w:szCs w:val="24"/>
                <w:lang w:val="en-US"/>
              </w:rPr>
            </w:pPr>
            <w:r w:rsidRPr="00D41D12">
              <w:rPr>
                <w:rFonts w:cs="Arial"/>
                <w:b/>
                <w:sz w:val="24"/>
                <w:szCs w:val="24"/>
                <w:lang w:val="en-US"/>
              </w:rPr>
              <w:t>Rec</w:t>
            </w:r>
            <w:r w:rsidR="00BD623B" w:rsidRPr="00D41D12">
              <w:rPr>
                <w:rFonts w:cs="Arial"/>
                <w:b/>
                <w:sz w:val="24"/>
                <w:szCs w:val="24"/>
                <w:lang w:val="en-US"/>
              </w:rPr>
              <w:t>. 19</w:t>
            </w:r>
            <w:r>
              <w:rPr>
                <w:rFonts w:cs="Arial"/>
                <w:sz w:val="24"/>
                <w:szCs w:val="24"/>
                <w:lang w:val="en-US"/>
              </w:rPr>
              <w:t xml:space="preserve"> </w:t>
            </w:r>
            <w:r w:rsidR="00BD623B" w:rsidRPr="002C57FD">
              <w:rPr>
                <w:rFonts w:cs="Arial"/>
                <w:sz w:val="24"/>
                <w:szCs w:val="24"/>
                <w:lang w:val="en-US"/>
              </w:rPr>
              <w:t xml:space="preserve">– </w:t>
            </w:r>
            <w:r w:rsidR="00AE4755">
              <w:rPr>
                <w:rFonts w:cs="Arial"/>
                <w:sz w:val="24"/>
                <w:szCs w:val="24"/>
                <w:lang w:val="en-US"/>
              </w:rPr>
              <w:t xml:space="preserve">We would welcome a </w:t>
            </w:r>
            <w:r w:rsidR="00BD623B" w:rsidRPr="002C57FD">
              <w:rPr>
                <w:rFonts w:cs="Arial"/>
                <w:sz w:val="24"/>
                <w:szCs w:val="24"/>
                <w:lang w:val="en-US"/>
              </w:rPr>
              <w:t>confirm</w:t>
            </w:r>
            <w:r w:rsidR="00AE4755">
              <w:rPr>
                <w:rFonts w:cs="Arial"/>
                <w:sz w:val="24"/>
                <w:szCs w:val="24"/>
                <w:lang w:val="en-US"/>
              </w:rPr>
              <w:t xml:space="preserve">ation of </w:t>
            </w:r>
            <w:r w:rsidR="00BD623B" w:rsidRPr="002C57FD">
              <w:rPr>
                <w:rFonts w:cs="Arial"/>
                <w:sz w:val="24"/>
                <w:szCs w:val="24"/>
                <w:lang w:val="en-US"/>
              </w:rPr>
              <w:t xml:space="preserve">our understanding that the extension of the scope of application of an existing IRB rating system with additional exposures previously treated under the </w:t>
            </w:r>
            <w:proofErr w:type="spellStart"/>
            <w:r w:rsidR="00BD623B" w:rsidRPr="002C57FD">
              <w:rPr>
                <w:rFonts w:cs="Arial"/>
                <w:sz w:val="24"/>
                <w:szCs w:val="24"/>
                <w:lang w:val="en-US"/>
              </w:rPr>
              <w:t>Standardised</w:t>
            </w:r>
            <w:proofErr w:type="spellEnd"/>
            <w:r w:rsidR="00BD623B" w:rsidRPr="002C57FD">
              <w:rPr>
                <w:rFonts w:cs="Arial"/>
                <w:sz w:val="24"/>
                <w:szCs w:val="24"/>
                <w:lang w:val="en-US"/>
              </w:rPr>
              <w:t xml:space="preserve"> Approach (e.g. via purchasing exposures from a third party or via additional business unit) falls under the scope of the RTS, as a change to the range of application of rating systems,  i.e. the classification as MMC or ex-ante notification is relevant and not a new application under Art. 148 (1) CRR is required. </w:t>
            </w:r>
          </w:p>
          <w:p w14:paraId="0EE7AF9F" w14:textId="77777777" w:rsidR="00BD623B" w:rsidRPr="002C57FD" w:rsidRDefault="00BD623B" w:rsidP="006140DE">
            <w:pPr>
              <w:suppressAutoHyphens/>
              <w:rPr>
                <w:b/>
                <w:bCs/>
                <w:sz w:val="24"/>
                <w:szCs w:val="24"/>
                <w:lang w:val="en-US"/>
              </w:rPr>
            </w:pPr>
          </w:p>
          <w:p w14:paraId="694914FE" w14:textId="086FDBBA" w:rsidR="00BD623B" w:rsidRPr="002C57FD" w:rsidRDefault="00D41D12" w:rsidP="006140DE">
            <w:pPr>
              <w:suppressAutoHyphens/>
              <w:rPr>
                <w:b/>
                <w:bCs/>
                <w:sz w:val="24"/>
                <w:szCs w:val="24"/>
                <w:lang w:val="en-US"/>
              </w:rPr>
            </w:pPr>
            <w:r w:rsidRPr="00D41D12">
              <w:rPr>
                <w:rFonts w:cs="Arial"/>
                <w:b/>
                <w:sz w:val="24"/>
                <w:szCs w:val="24"/>
                <w:lang w:val="en-US"/>
              </w:rPr>
              <w:t>Rec</w:t>
            </w:r>
            <w:r w:rsidR="00BD623B" w:rsidRPr="00D41D12">
              <w:rPr>
                <w:rFonts w:cs="Arial"/>
                <w:b/>
                <w:sz w:val="24"/>
                <w:szCs w:val="24"/>
                <w:lang w:val="en-US"/>
              </w:rPr>
              <w:t>. 22</w:t>
            </w:r>
            <w:r>
              <w:rPr>
                <w:rFonts w:cs="Arial"/>
                <w:b/>
                <w:sz w:val="24"/>
                <w:szCs w:val="24"/>
                <w:lang w:val="en-US"/>
              </w:rPr>
              <w:t xml:space="preserve"> </w:t>
            </w:r>
            <w:r w:rsidR="00BD623B" w:rsidRPr="002C57FD">
              <w:rPr>
                <w:rFonts w:cs="Arial"/>
                <w:sz w:val="24"/>
                <w:szCs w:val="24"/>
                <w:lang w:val="en-US"/>
              </w:rPr>
              <w:t xml:space="preserve">– We welcome that this paragraph states that “the change in RWEA stemming from a change in the methodology for assigning exposures to different exposure classes would stem from applying a different prescribed RWEA formula, etc. rather than changes to the rating systems themselves”. This </w:t>
            </w:r>
            <w:r w:rsidR="00AE5F46">
              <w:rPr>
                <w:rFonts w:cs="Arial"/>
                <w:sz w:val="24"/>
                <w:szCs w:val="24"/>
                <w:lang w:val="en-US"/>
              </w:rPr>
              <w:t>implies</w:t>
            </w:r>
            <w:r w:rsidR="00BD623B" w:rsidRPr="002C57FD">
              <w:rPr>
                <w:rFonts w:cs="Arial"/>
                <w:sz w:val="24"/>
                <w:szCs w:val="24"/>
                <w:lang w:val="en-US"/>
              </w:rPr>
              <w:t xml:space="preserve"> that this “accepted” effect can be excluded from the impact calculations and comparisons with the thresholds. At the same time, also changes to the methodology for assigning an obligor to a rating system can imply changes in the exposure class assignments. In this context, </w:t>
            </w:r>
            <w:r w:rsidR="00AE5F46">
              <w:rPr>
                <w:rFonts w:cs="Arial"/>
                <w:sz w:val="24"/>
                <w:szCs w:val="24"/>
                <w:lang w:val="en-US"/>
              </w:rPr>
              <w:t>we would welcome a</w:t>
            </w:r>
            <w:r w:rsidR="00BD623B" w:rsidRPr="002C57FD">
              <w:rPr>
                <w:rFonts w:cs="Arial"/>
                <w:sz w:val="24"/>
                <w:szCs w:val="24"/>
                <w:lang w:val="en-US"/>
              </w:rPr>
              <w:t xml:space="preserve"> clarif</w:t>
            </w:r>
            <w:r w:rsidR="00AE5F46">
              <w:rPr>
                <w:rFonts w:cs="Arial"/>
                <w:sz w:val="24"/>
                <w:szCs w:val="24"/>
                <w:lang w:val="en-US"/>
              </w:rPr>
              <w:t xml:space="preserve">ication </w:t>
            </w:r>
            <w:r w:rsidR="00BD623B" w:rsidRPr="002C57FD">
              <w:rPr>
                <w:rFonts w:cs="Arial"/>
                <w:sz w:val="24"/>
                <w:szCs w:val="24"/>
                <w:lang w:val="en-US"/>
              </w:rPr>
              <w:t>that, indeed, for changes in the assignment of exposures to exposure classes, the impact calculations shall be computed in a way to disregard impacts that directly stem from CRR3 requirements (i.e. RWEA formula, input floor or other regulatory prescribed input). An explicit example of how the impact calculations and “implied changes to the affected rating systems” mentioned in the paragraph are to be interpreted would be highly appreciated.</w:t>
            </w:r>
          </w:p>
        </w:tc>
      </w:tr>
    </w:tbl>
    <w:p w14:paraId="3A47A03B" w14:textId="77777777" w:rsidR="005B531E" w:rsidRDefault="005B531E" w:rsidP="00BD623B">
      <w:pPr>
        <w:rPr>
          <w:b/>
          <w:bCs/>
          <w:sz w:val="24"/>
          <w:szCs w:val="24"/>
          <w:lang w:val="en-GB"/>
        </w:rPr>
      </w:pPr>
    </w:p>
    <w:p w14:paraId="2A5F6159" w14:textId="77777777" w:rsidR="005B531E" w:rsidRDefault="005B531E">
      <w:pPr>
        <w:rPr>
          <w:b/>
          <w:bCs/>
          <w:sz w:val="24"/>
          <w:szCs w:val="24"/>
          <w:lang w:val="en-GB"/>
        </w:rPr>
      </w:pPr>
      <w:r>
        <w:rPr>
          <w:b/>
          <w:bCs/>
          <w:sz w:val="24"/>
          <w:szCs w:val="24"/>
          <w:lang w:val="en-GB"/>
        </w:rPr>
        <w:br w:type="page"/>
      </w:r>
    </w:p>
    <w:p w14:paraId="1683789A" w14:textId="68DABBB1" w:rsidR="00BD623B" w:rsidRDefault="005B531E" w:rsidP="00BD623B">
      <w:pPr>
        <w:rPr>
          <w:b/>
          <w:bCs/>
          <w:sz w:val="24"/>
          <w:szCs w:val="24"/>
          <w:lang w:val="en-GB"/>
        </w:rPr>
      </w:pPr>
      <w:r>
        <w:rPr>
          <w:b/>
          <w:bCs/>
          <w:sz w:val="24"/>
          <w:szCs w:val="24"/>
          <w:lang w:val="en-GB"/>
        </w:rPr>
        <w:lastRenderedPageBreak/>
        <w:t>Q</w:t>
      </w:r>
      <w:r w:rsidR="00BD623B" w:rsidRPr="002C57FD">
        <w:rPr>
          <w:b/>
          <w:bCs/>
          <w:sz w:val="24"/>
          <w:szCs w:val="24"/>
          <w:lang w:val="en-GB"/>
        </w:rPr>
        <w:t xml:space="preserve"> 4. Do you have any comments on the introduced clarification on the implementation of the quantitative threshold described in Article 4(1)(c)(</w:t>
      </w:r>
      <w:proofErr w:type="spellStart"/>
      <w:r w:rsidR="00BD623B" w:rsidRPr="002C57FD">
        <w:rPr>
          <w:b/>
          <w:bCs/>
          <w:sz w:val="24"/>
          <w:szCs w:val="24"/>
          <w:lang w:val="en-GB"/>
        </w:rPr>
        <w:t>i</w:t>
      </w:r>
      <w:proofErr w:type="spellEnd"/>
      <w:r w:rsidR="00BD623B" w:rsidRPr="002C57FD">
        <w:rPr>
          <w:b/>
          <w:bCs/>
          <w:sz w:val="24"/>
          <w:szCs w:val="24"/>
          <w:lang w:val="en-GB"/>
        </w:rPr>
        <w:t>) and 4(1)(d)(</w:t>
      </w:r>
      <w:proofErr w:type="spellStart"/>
      <w:r w:rsidR="00BD623B" w:rsidRPr="002C57FD">
        <w:rPr>
          <w:b/>
          <w:bCs/>
          <w:sz w:val="24"/>
          <w:szCs w:val="24"/>
          <w:lang w:val="en-GB"/>
        </w:rPr>
        <w:t>i</w:t>
      </w:r>
      <w:proofErr w:type="spellEnd"/>
      <w:r w:rsidR="00BD623B" w:rsidRPr="002C57FD">
        <w:rPr>
          <w:b/>
          <w:bCs/>
          <w:sz w:val="24"/>
          <w:szCs w:val="24"/>
          <w:lang w:val="en-GB"/>
        </w:rPr>
        <w:t>)?</w:t>
      </w:r>
    </w:p>
    <w:p w14:paraId="7E740AEF" w14:textId="77777777" w:rsidR="005B531E" w:rsidRPr="002C57FD" w:rsidRDefault="005B531E" w:rsidP="00BD623B">
      <w:pPr>
        <w:rPr>
          <w:sz w:val="24"/>
          <w:szCs w:val="24"/>
          <w:lang w:val="en-GB"/>
        </w:rPr>
      </w:pPr>
    </w:p>
    <w:tbl>
      <w:tblPr>
        <w:tblStyle w:val="Tabellenraster"/>
        <w:tblpPr w:leftFromText="180" w:rightFromText="180" w:vertAnchor="text" w:horzAnchor="margin" w:tblpY="-29"/>
        <w:tblW w:w="0" w:type="auto"/>
        <w:tblInd w:w="0" w:type="dxa"/>
        <w:tblLook w:val="04A0" w:firstRow="1" w:lastRow="0" w:firstColumn="1" w:lastColumn="0" w:noHBand="0" w:noVBand="1"/>
      </w:tblPr>
      <w:tblGrid>
        <w:gridCol w:w="9063"/>
      </w:tblGrid>
      <w:tr w:rsidR="005B531E" w:rsidRPr="001C52B8" w14:paraId="7D143A38" w14:textId="77777777" w:rsidTr="005B531E">
        <w:tc>
          <w:tcPr>
            <w:tcW w:w="9063" w:type="dxa"/>
          </w:tcPr>
          <w:p w14:paraId="10EC6D50" w14:textId="51B7D1C5" w:rsidR="005B531E" w:rsidRPr="002C57FD" w:rsidRDefault="00D41D12" w:rsidP="005B531E">
            <w:pPr>
              <w:jc w:val="left"/>
              <w:rPr>
                <w:rFonts w:cs="Arial"/>
                <w:sz w:val="24"/>
                <w:szCs w:val="24"/>
                <w:lang w:val="en-US" w:eastAsia="en-US"/>
              </w:rPr>
            </w:pPr>
            <w:r w:rsidRPr="00D41D12">
              <w:rPr>
                <w:rFonts w:cs="Arial"/>
                <w:b/>
                <w:sz w:val="24"/>
                <w:szCs w:val="24"/>
                <w:lang w:val="en-US" w:eastAsia="en-US"/>
              </w:rPr>
              <w:t>Rec</w:t>
            </w:r>
            <w:r w:rsidR="005B531E" w:rsidRPr="00D41D12">
              <w:rPr>
                <w:rFonts w:cs="Arial"/>
                <w:b/>
                <w:sz w:val="24"/>
                <w:szCs w:val="24"/>
                <w:lang w:val="en-US" w:eastAsia="en-US"/>
              </w:rPr>
              <w:t>. 24</w:t>
            </w:r>
            <w:r>
              <w:rPr>
                <w:rFonts w:cs="Arial"/>
                <w:sz w:val="24"/>
                <w:szCs w:val="24"/>
                <w:lang w:val="en-US" w:eastAsia="en-US"/>
              </w:rPr>
              <w:t xml:space="preserve"> </w:t>
            </w:r>
            <w:r w:rsidR="005B531E" w:rsidRPr="002C57FD">
              <w:rPr>
                <w:rFonts w:cs="Arial"/>
                <w:sz w:val="24"/>
                <w:szCs w:val="24"/>
                <w:lang w:val="en-US" w:eastAsia="en-US"/>
              </w:rPr>
              <w:t>– It would be helpful to provide an indication regarding the acceptable timeframe and the meaning of “same nature” (does it mean the same paragraph from the RTS?) in case of “</w:t>
            </w:r>
            <w:r w:rsidR="005B531E" w:rsidRPr="002C57FD">
              <w:rPr>
                <w:rFonts w:cs="Arial"/>
                <w:i/>
                <w:iCs/>
                <w:sz w:val="24"/>
                <w:szCs w:val="24"/>
                <w:lang w:val="en-US" w:eastAsia="en-US"/>
              </w:rPr>
              <w:t>modifications of the same nature and to the same rating system that are implemented sequentially over time”.</w:t>
            </w:r>
            <w:r w:rsidR="005B531E" w:rsidRPr="002C57FD">
              <w:rPr>
                <w:rFonts w:cs="Arial"/>
                <w:sz w:val="24"/>
                <w:szCs w:val="24"/>
                <w:lang w:val="en-US" w:eastAsia="en-US"/>
              </w:rPr>
              <w:t xml:space="preserve"> Furthermore, please clarify the timing of the application in case of material model change triggered by sequential implementation. Can it be assumed</w:t>
            </w:r>
            <w:r w:rsidR="008C76F4">
              <w:rPr>
                <w:rFonts w:cs="Arial"/>
                <w:sz w:val="24"/>
                <w:szCs w:val="24"/>
                <w:lang w:val="en-US" w:eastAsia="en-US"/>
              </w:rPr>
              <w:t xml:space="preserve"> </w:t>
            </w:r>
            <w:r w:rsidR="005B531E" w:rsidRPr="002C57FD">
              <w:rPr>
                <w:rFonts w:cs="Arial"/>
                <w:sz w:val="24"/>
                <w:szCs w:val="24"/>
                <w:lang w:val="en-US" w:eastAsia="en-US"/>
              </w:rPr>
              <w:t xml:space="preserve">that it is based on the last implementation date? Lastly, it would be helpful to clarify how to proceed in case model changes resulting from the closing of several regulatory obligations split over time. </w:t>
            </w:r>
          </w:p>
          <w:p w14:paraId="592A3FF2" w14:textId="77777777" w:rsidR="005B531E" w:rsidRPr="002C57FD" w:rsidRDefault="005B531E" w:rsidP="005B531E">
            <w:pPr>
              <w:suppressAutoHyphens/>
              <w:rPr>
                <w:b/>
                <w:bCs/>
                <w:sz w:val="24"/>
                <w:szCs w:val="24"/>
                <w:lang w:val="en-US"/>
              </w:rPr>
            </w:pPr>
          </w:p>
          <w:p w14:paraId="44E4155C" w14:textId="0530CBBA" w:rsidR="005B531E" w:rsidRPr="002C57FD" w:rsidRDefault="00D41D12" w:rsidP="005B531E">
            <w:pPr>
              <w:suppressAutoHyphens/>
              <w:rPr>
                <w:b/>
                <w:bCs/>
                <w:sz w:val="24"/>
                <w:szCs w:val="24"/>
                <w:lang w:val="en-US"/>
              </w:rPr>
            </w:pPr>
            <w:r w:rsidRPr="00D41D12">
              <w:rPr>
                <w:rFonts w:cs="Arial"/>
                <w:b/>
                <w:sz w:val="24"/>
                <w:szCs w:val="24"/>
                <w:lang w:val="en-US" w:eastAsia="en-US"/>
              </w:rPr>
              <w:t>Rec</w:t>
            </w:r>
            <w:r w:rsidR="005B531E" w:rsidRPr="00D41D12">
              <w:rPr>
                <w:rFonts w:cs="Arial"/>
                <w:b/>
                <w:sz w:val="24"/>
                <w:szCs w:val="24"/>
                <w:lang w:val="en-US" w:eastAsia="en-US"/>
              </w:rPr>
              <w:t>. 25</w:t>
            </w:r>
            <w:r>
              <w:rPr>
                <w:rFonts w:cs="Arial"/>
                <w:sz w:val="24"/>
                <w:szCs w:val="24"/>
                <w:lang w:val="en-US" w:eastAsia="en-US"/>
              </w:rPr>
              <w:t xml:space="preserve"> </w:t>
            </w:r>
            <w:r w:rsidR="005B531E" w:rsidRPr="002C57FD">
              <w:rPr>
                <w:rFonts w:cs="Arial"/>
                <w:sz w:val="24"/>
                <w:szCs w:val="24"/>
                <w:lang w:val="en-US" w:eastAsia="en-US"/>
              </w:rPr>
              <w:t xml:space="preserve">– </w:t>
            </w:r>
            <w:r w:rsidR="008C76F4">
              <w:rPr>
                <w:rFonts w:cs="Arial"/>
                <w:sz w:val="24"/>
                <w:szCs w:val="24"/>
                <w:lang w:val="en-US"/>
              </w:rPr>
              <w:t xml:space="preserve">We would welcome a </w:t>
            </w:r>
            <w:r w:rsidR="008C76F4" w:rsidRPr="002C57FD">
              <w:rPr>
                <w:rFonts w:cs="Arial"/>
                <w:sz w:val="24"/>
                <w:szCs w:val="24"/>
                <w:lang w:val="en-US"/>
              </w:rPr>
              <w:t>confirm</w:t>
            </w:r>
            <w:r w:rsidR="008C76F4">
              <w:rPr>
                <w:rFonts w:cs="Arial"/>
                <w:sz w:val="24"/>
                <w:szCs w:val="24"/>
                <w:lang w:val="en-US"/>
              </w:rPr>
              <w:t xml:space="preserve">ation of our </w:t>
            </w:r>
            <w:r w:rsidR="005B531E" w:rsidRPr="002C57FD">
              <w:rPr>
                <w:rFonts w:cs="Arial"/>
                <w:sz w:val="24"/>
                <w:szCs w:val="24"/>
                <w:lang w:val="en-US" w:eastAsia="en-US"/>
              </w:rPr>
              <w:t>understanding that in case of a change affecting multiple rating systems (e.g. change in DoD or PD methodology) only the thresholds referred to in Art. 4(1)(c)(</w:t>
            </w:r>
            <w:proofErr w:type="spellStart"/>
            <w:r w:rsidR="005B531E" w:rsidRPr="002C57FD">
              <w:rPr>
                <w:rFonts w:cs="Arial"/>
                <w:sz w:val="24"/>
                <w:szCs w:val="24"/>
                <w:lang w:val="en-US" w:eastAsia="en-US"/>
              </w:rPr>
              <w:t>i</w:t>
            </w:r>
            <w:proofErr w:type="spellEnd"/>
            <w:r w:rsidR="005B531E" w:rsidRPr="002C57FD">
              <w:rPr>
                <w:rFonts w:cs="Arial"/>
                <w:sz w:val="24"/>
                <w:szCs w:val="24"/>
                <w:lang w:val="en-US" w:eastAsia="en-US"/>
              </w:rPr>
              <w:t xml:space="preserve">) need to be calculated and considered for the materiality classification and no check on single rating system level, i.e. Art. 4(1)(c)(ii), is necessary. Similarly, in case of an extension of range of application affecting multiple rating systems (i.e. purchase of corporate, SME and private individual portfolios) only the thresholds referred </w:t>
            </w:r>
            <w:r w:rsidR="008C76F4">
              <w:rPr>
                <w:rFonts w:cs="Arial"/>
                <w:sz w:val="24"/>
                <w:szCs w:val="24"/>
                <w:lang w:val="en-US" w:eastAsia="en-US"/>
              </w:rPr>
              <w:t>to</w:t>
            </w:r>
            <w:r w:rsidR="005B531E" w:rsidRPr="002C57FD">
              <w:rPr>
                <w:rFonts w:cs="Arial"/>
                <w:sz w:val="24"/>
                <w:szCs w:val="24"/>
                <w:lang w:val="en-US" w:eastAsia="en-US"/>
              </w:rPr>
              <w:t xml:space="preserve"> Art. 4(1)(d)(</w:t>
            </w:r>
            <w:proofErr w:type="spellStart"/>
            <w:r w:rsidR="005B531E" w:rsidRPr="002C57FD">
              <w:rPr>
                <w:rFonts w:cs="Arial"/>
                <w:sz w:val="24"/>
                <w:szCs w:val="24"/>
                <w:lang w:val="en-US" w:eastAsia="en-US"/>
              </w:rPr>
              <w:t>i</w:t>
            </w:r>
            <w:proofErr w:type="spellEnd"/>
            <w:r w:rsidR="005B531E" w:rsidRPr="002C57FD">
              <w:rPr>
                <w:rFonts w:cs="Arial"/>
                <w:sz w:val="24"/>
                <w:szCs w:val="24"/>
                <w:lang w:val="en-US" w:eastAsia="en-US"/>
              </w:rPr>
              <w:t>) need to be calculated and considered for the materiality classification and no check on single rating system level, i.e. Art. 4(1)(d)(ii), is necessary.</w:t>
            </w:r>
          </w:p>
        </w:tc>
      </w:tr>
    </w:tbl>
    <w:p w14:paraId="43417235" w14:textId="77777777" w:rsidR="00BD623B" w:rsidRPr="008C76F4" w:rsidRDefault="00BD623B" w:rsidP="00BD623B">
      <w:pPr>
        <w:rPr>
          <w:sz w:val="24"/>
          <w:szCs w:val="24"/>
          <w:lang w:val="en-US"/>
        </w:rPr>
      </w:pPr>
    </w:p>
    <w:p w14:paraId="40C7395D" w14:textId="24F7692C" w:rsidR="00BD623B" w:rsidRPr="002C57FD" w:rsidRDefault="005B531E" w:rsidP="00BD623B">
      <w:pPr>
        <w:rPr>
          <w:sz w:val="24"/>
          <w:szCs w:val="24"/>
          <w:lang w:val="en-GB"/>
        </w:rPr>
      </w:pPr>
      <w:r>
        <w:rPr>
          <w:b/>
          <w:bCs/>
          <w:sz w:val="24"/>
          <w:szCs w:val="24"/>
          <w:lang w:val="en-GB"/>
        </w:rPr>
        <w:t>Q</w:t>
      </w:r>
      <w:r w:rsidR="00BD623B" w:rsidRPr="002C57FD">
        <w:rPr>
          <w:b/>
          <w:bCs/>
          <w:sz w:val="24"/>
          <w:szCs w:val="24"/>
          <w:lang w:val="en-GB"/>
        </w:rPr>
        <w:t xml:space="preserve"> 5. Do you have any comments on the revised 15% threshold described in Article 4(1)(d)(ii) related to the materiality of extensions of the range of application of rating systems?</w:t>
      </w:r>
    </w:p>
    <w:p w14:paraId="35F08405" w14:textId="77777777" w:rsidR="00BD623B" w:rsidRPr="002C57FD" w:rsidRDefault="00BD623B" w:rsidP="00BD623B">
      <w:pPr>
        <w:rPr>
          <w:sz w:val="24"/>
          <w:szCs w:val="24"/>
          <w:lang w:val="en-GB"/>
        </w:rPr>
      </w:pPr>
    </w:p>
    <w:tbl>
      <w:tblPr>
        <w:tblStyle w:val="Tabellenraster"/>
        <w:tblpPr w:leftFromText="180" w:rightFromText="180" w:vertAnchor="text" w:horzAnchor="margin" w:tblpY="-72"/>
        <w:tblW w:w="0" w:type="auto"/>
        <w:tblInd w:w="0" w:type="dxa"/>
        <w:tblLook w:val="04A0" w:firstRow="1" w:lastRow="0" w:firstColumn="1" w:lastColumn="0" w:noHBand="0" w:noVBand="1"/>
      </w:tblPr>
      <w:tblGrid>
        <w:gridCol w:w="9063"/>
      </w:tblGrid>
      <w:tr w:rsidR="00BD623B" w:rsidRPr="001C52B8" w14:paraId="77818064" w14:textId="77777777" w:rsidTr="006140DE">
        <w:tc>
          <w:tcPr>
            <w:tcW w:w="9346" w:type="dxa"/>
          </w:tcPr>
          <w:p w14:paraId="6705887C" w14:textId="77777777" w:rsidR="00BD623B" w:rsidRPr="002C57FD" w:rsidRDefault="00BD623B" w:rsidP="006140DE">
            <w:pPr>
              <w:suppressAutoHyphens/>
              <w:rPr>
                <w:b/>
                <w:bCs/>
                <w:sz w:val="24"/>
                <w:szCs w:val="24"/>
                <w:lang w:val="en-US"/>
              </w:rPr>
            </w:pPr>
          </w:p>
          <w:p w14:paraId="12234354" w14:textId="2646CC8C" w:rsidR="00BD623B" w:rsidRPr="002C57FD" w:rsidRDefault="00D41D12" w:rsidP="006140DE">
            <w:pPr>
              <w:suppressAutoHyphens/>
              <w:rPr>
                <w:rFonts w:cs="Arial"/>
                <w:sz w:val="24"/>
                <w:szCs w:val="24"/>
                <w:lang w:val="en-US"/>
              </w:rPr>
            </w:pPr>
            <w:r w:rsidRPr="00D41D12">
              <w:rPr>
                <w:rFonts w:cs="Arial"/>
                <w:b/>
                <w:sz w:val="24"/>
                <w:szCs w:val="24"/>
                <w:lang w:val="en-US"/>
              </w:rPr>
              <w:t>Rec</w:t>
            </w:r>
            <w:r w:rsidR="00BD623B" w:rsidRPr="00D41D12">
              <w:rPr>
                <w:rFonts w:cs="Arial"/>
                <w:b/>
                <w:sz w:val="24"/>
                <w:szCs w:val="24"/>
                <w:lang w:val="en-US"/>
              </w:rPr>
              <w:t>. 28</w:t>
            </w:r>
            <w:r>
              <w:rPr>
                <w:rFonts w:cs="Arial"/>
                <w:sz w:val="24"/>
                <w:szCs w:val="24"/>
                <w:lang w:val="en-US"/>
              </w:rPr>
              <w:t xml:space="preserve"> </w:t>
            </w:r>
            <w:r w:rsidR="00BD623B" w:rsidRPr="002C57FD">
              <w:rPr>
                <w:rFonts w:cs="Arial"/>
                <w:sz w:val="24"/>
                <w:szCs w:val="24"/>
                <w:lang w:val="en-US"/>
              </w:rPr>
              <w:t xml:space="preserve">– We would strongly prefer to keep the current approach, where the numerator is calculated as the difference between the RWEA assigned by the extended rating system and the RWEA assigned to the set of exposures before the extensions. Reason is that the EBA’s arguments assume that a risk of weak model performance shall be covered, while </w:t>
            </w:r>
            <w:proofErr w:type="gramStart"/>
            <w:r w:rsidR="00BD623B" w:rsidRPr="002C57FD">
              <w:rPr>
                <w:rFonts w:cs="Arial"/>
                <w:sz w:val="24"/>
                <w:szCs w:val="24"/>
                <w:lang w:val="en-US"/>
              </w:rPr>
              <w:t>actually the</w:t>
            </w:r>
            <w:proofErr w:type="gramEnd"/>
            <w:r w:rsidR="00BD623B" w:rsidRPr="002C57FD">
              <w:rPr>
                <w:rFonts w:cs="Arial"/>
                <w:sz w:val="24"/>
                <w:szCs w:val="24"/>
                <w:lang w:val="en-US"/>
              </w:rPr>
              <w:t xml:space="preserve"> regulation should not expect violations of legal requirements. In fact, a model </w:t>
            </w:r>
            <w:proofErr w:type="gramStart"/>
            <w:r w:rsidR="00BD623B" w:rsidRPr="002C57FD">
              <w:rPr>
                <w:rFonts w:cs="Arial"/>
                <w:sz w:val="24"/>
                <w:szCs w:val="24"/>
                <w:lang w:val="en-US"/>
              </w:rPr>
              <w:t>has to</w:t>
            </w:r>
            <w:proofErr w:type="gramEnd"/>
            <w:r w:rsidR="00BD623B" w:rsidRPr="002C57FD">
              <w:rPr>
                <w:rFonts w:cs="Arial"/>
                <w:sz w:val="24"/>
                <w:szCs w:val="24"/>
                <w:lang w:val="en-US"/>
              </w:rPr>
              <w:t xml:space="preserve"> perform adequately on all relevant </w:t>
            </w:r>
            <w:proofErr w:type="spellStart"/>
            <w:r w:rsidR="00BD623B" w:rsidRPr="002C57FD">
              <w:rPr>
                <w:rFonts w:cs="Arial"/>
                <w:sz w:val="24"/>
                <w:szCs w:val="24"/>
                <w:lang w:val="en-US"/>
              </w:rPr>
              <w:t>subportfolios</w:t>
            </w:r>
            <w:proofErr w:type="spellEnd"/>
            <w:r w:rsidR="00BD623B" w:rsidRPr="002C57FD">
              <w:rPr>
                <w:rFonts w:cs="Arial"/>
                <w:sz w:val="24"/>
                <w:szCs w:val="24"/>
                <w:lang w:val="en-US"/>
              </w:rPr>
              <w:t>, particularly on the extended scope. This would need to be made sure via relevant adjustments to the models and any remaining deficiencies captured in the way the regulation envisages it, i.e. by a margin of conservatism. Because of that and because we encourage a clear and uniform approach in regulation, we see it inconsistent to divert from the way of measurement otherwise taken in the RTS, i.e. to measure RWA reductions.</w:t>
            </w:r>
          </w:p>
          <w:p w14:paraId="6DDAA1E3" w14:textId="77777777" w:rsidR="00BD623B" w:rsidRPr="002C57FD" w:rsidRDefault="00BD623B" w:rsidP="006140DE">
            <w:pPr>
              <w:suppressAutoHyphens/>
              <w:rPr>
                <w:b/>
                <w:bCs/>
                <w:sz w:val="24"/>
                <w:szCs w:val="24"/>
                <w:lang w:val="en-US"/>
              </w:rPr>
            </w:pPr>
          </w:p>
        </w:tc>
      </w:tr>
    </w:tbl>
    <w:p w14:paraId="3E277124" w14:textId="77777777" w:rsidR="00BD623B" w:rsidRPr="002C57FD" w:rsidRDefault="00BD623B" w:rsidP="00BD623B">
      <w:pPr>
        <w:rPr>
          <w:sz w:val="24"/>
          <w:szCs w:val="24"/>
          <w:lang w:val="en-GB"/>
        </w:rPr>
      </w:pPr>
    </w:p>
    <w:p w14:paraId="64C9C792" w14:textId="77777777" w:rsidR="005B531E" w:rsidRDefault="005B531E">
      <w:pPr>
        <w:rPr>
          <w:b/>
          <w:bCs/>
          <w:sz w:val="24"/>
          <w:szCs w:val="24"/>
          <w:lang w:val="en-GB"/>
        </w:rPr>
      </w:pPr>
      <w:r>
        <w:rPr>
          <w:b/>
          <w:bCs/>
          <w:sz w:val="24"/>
          <w:szCs w:val="24"/>
          <w:lang w:val="en-GB"/>
        </w:rPr>
        <w:br w:type="page"/>
      </w:r>
    </w:p>
    <w:p w14:paraId="0A2C52D0" w14:textId="38FB3314" w:rsidR="00BD623B" w:rsidRPr="002C57FD" w:rsidRDefault="0066468A" w:rsidP="00BD623B">
      <w:pPr>
        <w:rPr>
          <w:b/>
          <w:bCs/>
          <w:sz w:val="24"/>
          <w:szCs w:val="24"/>
          <w:lang w:val="en-GB"/>
        </w:rPr>
      </w:pPr>
      <w:r>
        <w:rPr>
          <w:b/>
          <w:bCs/>
          <w:sz w:val="24"/>
          <w:szCs w:val="24"/>
          <w:lang w:val="en-GB"/>
        </w:rPr>
        <w:lastRenderedPageBreak/>
        <w:t>Q</w:t>
      </w:r>
      <w:r w:rsidR="00BD623B" w:rsidRPr="002C57FD">
        <w:rPr>
          <w:b/>
          <w:bCs/>
          <w:sz w:val="24"/>
          <w:szCs w:val="24"/>
          <w:lang w:val="en-GB"/>
        </w:rPr>
        <w:t xml:space="preserve"> 6. Do you have any comments on the documentation requirement for extensions that require prior notification? </w:t>
      </w:r>
    </w:p>
    <w:p w14:paraId="6171BC25" w14:textId="77777777" w:rsidR="00BD623B" w:rsidRPr="002C57FD" w:rsidRDefault="00BD623B" w:rsidP="00BD623B">
      <w:pPr>
        <w:rPr>
          <w:sz w:val="24"/>
          <w:szCs w:val="24"/>
          <w:lang w:val="en-GB"/>
        </w:rPr>
      </w:pPr>
    </w:p>
    <w:tbl>
      <w:tblPr>
        <w:tblStyle w:val="Tabellenraster"/>
        <w:tblpPr w:leftFromText="180" w:rightFromText="180" w:vertAnchor="text" w:horzAnchor="margin" w:tblpY="-72"/>
        <w:tblW w:w="0" w:type="auto"/>
        <w:tblInd w:w="0" w:type="dxa"/>
        <w:tblLook w:val="04A0" w:firstRow="1" w:lastRow="0" w:firstColumn="1" w:lastColumn="0" w:noHBand="0" w:noVBand="1"/>
      </w:tblPr>
      <w:tblGrid>
        <w:gridCol w:w="9063"/>
      </w:tblGrid>
      <w:tr w:rsidR="00BD623B" w:rsidRPr="001C52B8" w14:paraId="6D22119B" w14:textId="77777777" w:rsidTr="006140DE">
        <w:tc>
          <w:tcPr>
            <w:tcW w:w="9346" w:type="dxa"/>
          </w:tcPr>
          <w:p w14:paraId="634BB553" w14:textId="77777777" w:rsidR="00BD623B" w:rsidRPr="002C57FD" w:rsidRDefault="00BD623B" w:rsidP="006140DE">
            <w:pPr>
              <w:suppressAutoHyphens/>
              <w:rPr>
                <w:b/>
                <w:bCs/>
                <w:sz w:val="24"/>
                <w:szCs w:val="24"/>
                <w:lang w:val="en-US"/>
              </w:rPr>
            </w:pPr>
          </w:p>
          <w:p w14:paraId="6A7821D8" w14:textId="0AAE9C94" w:rsidR="00BD623B" w:rsidRPr="002C57FD" w:rsidRDefault="0066468A" w:rsidP="006140DE">
            <w:pPr>
              <w:jc w:val="left"/>
              <w:rPr>
                <w:rFonts w:cs="Arial"/>
                <w:sz w:val="24"/>
                <w:szCs w:val="24"/>
                <w:lang w:val="en-US" w:eastAsia="en-US"/>
              </w:rPr>
            </w:pPr>
            <w:proofErr w:type="gramStart"/>
            <w:r>
              <w:rPr>
                <w:rFonts w:cs="Arial"/>
                <w:sz w:val="24"/>
                <w:szCs w:val="24"/>
                <w:lang w:val="en-US" w:eastAsia="en-US"/>
              </w:rPr>
              <w:t>With regard to</w:t>
            </w:r>
            <w:proofErr w:type="gramEnd"/>
            <w:r w:rsidR="00BD623B" w:rsidRPr="002C57FD">
              <w:rPr>
                <w:rFonts w:cs="Arial"/>
                <w:sz w:val="24"/>
                <w:szCs w:val="24"/>
                <w:lang w:val="en-US" w:eastAsia="en-US"/>
              </w:rPr>
              <w:t xml:space="preserve"> the updated article 8, it is unclear what is the difference between point e) “Reports of the institution’s assessment of the model performance of the rating system after the change” and the validation reports mentioned in point f) “</w:t>
            </w:r>
            <w:r w:rsidR="00BD623B" w:rsidRPr="002C57FD">
              <w:rPr>
                <w:rFonts w:cs="Arial"/>
                <w:i/>
                <w:iCs/>
                <w:sz w:val="24"/>
                <w:szCs w:val="24"/>
                <w:lang w:val="en-US" w:eastAsia="en-US"/>
              </w:rPr>
              <w:t>Reports of the institutions' independent review or validation</w:t>
            </w:r>
            <w:r w:rsidR="00BD623B" w:rsidRPr="002C57FD">
              <w:rPr>
                <w:rFonts w:cs="Arial"/>
                <w:sz w:val="24"/>
                <w:szCs w:val="24"/>
                <w:lang w:val="en-US" w:eastAsia="en-US"/>
              </w:rPr>
              <w:t xml:space="preserve">”. If for example a full validation is provided, would this be considered sufficient to cover both point e) and point f), or still separate reports are expected? </w:t>
            </w:r>
          </w:p>
          <w:p w14:paraId="1DB73C81" w14:textId="77777777" w:rsidR="00BD623B" w:rsidRPr="002C57FD" w:rsidRDefault="00BD623B" w:rsidP="006140DE">
            <w:pPr>
              <w:jc w:val="left"/>
              <w:rPr>
                <w:rFonts w:cs="Arial"/>
                <w:sz w:val="24"/>
                <w:szCs w:val="24"/>
                <w:lang w:val="en-US" w:eastAsia="en-US"/>
              </w:rPr>
            </w:pPr>
          </w:p>
          <w:p w14:paraId="1998DCF5" w14:textId="66D89169" w:rsidR="00BD623B" w:rsidRPr="002C57FD" w:rsidRDefault="00D41D12" w:rsidP="006140DE">
            <w:pPr>
              <w:jc w:val="left"/>
              <w:rPr>
                <w:b/>
                <w:bCs/>
                <w:sz w:val="24"/>
                <w:szCs w:val="24"/>
                <w:lang w:val="en-US"/>
              </w:rPr>
            </w:pPr>
            <w:r w:rsidRPr="00D41D12">
              <w:rPr>
                <w:rFonts w:cs="Arial"/>
                <w:b/>
                <w:sz w:val="24"/>
                <w:szCs w:val="24"/>
                <w:lang w:val="en-US" w:eastAsia="en-US"/>
              </w:rPr>
              <w:t>Rec</w:t>
            </w:r>
            <w:r w:rsidR="00BD623B" w:rsidRPr="00D41D12">
              <w:rPr>
                <w:rFonts w:cs="Arial"/>
                <w:b/>
                <w:sz w:val="24"/>
                <w:szCs w:val="24"/>
                <w:lang w:val="en-US" w:eastAsia="en-US"/>
              </w:rPr>
              <w:t>. 32</w:t>
            </w:r>
            <w:r>
              <w:rPr>
                <w:rFonts w:cs="Arial"/>
                <w:b/>
                <w:sz w:val="24"/>
                <w:szCs w:val="24"/>
                <w:lang w:val="en-US" w:eastAsia="en-US"/>
              </w:rPr>
              <w:t xml:space="preserve"> </w:t>
            </w:r>
            <w:r w:rsidR="00BD623B" w:rsidRPr="002C57FD">
              <w:rPr>
                <w:rFonts w:cs="Arial"/>
                <w:sz w:val="24"/>
                <w:szCs w:val="24"/>
                <w:lang w:val="en-US" w:eastAsia="en-US"/>
              </w:rPr>
              <w:t>only refers to the assessment report of the validation function while Article 8 refers more generally to the “reports of the institutions’ independent review or validation”, which also opens the possibility for internal audit to perform the assessment. Should this requirement remain, please align Par</w:t>
            </w:r>
            <w:r w:rsidR="00786320">
              <w:rPr>
                <w:rFonts w:cs="Arial"/>
                <w:sz w:val="24"/>
                <w:szCs w:val="24"/>
                <w:lang w:val="en-US" w:eastAsia="en-US"/>
              </w:rPr>
              <w:t>.</w:t>
            </w:r>
            <w:r w:rsidR="00BD623B" w:rsidRPr="002C57FD">
              <w:rPr>
                <w:rFonts w:cs="Arial"/>
                <w:sz w:val="24"/>
                <w:szCs w:val="24"/>
                <w:lang w:val="en-US" w:eastAsia="en-US"/>
              </w:rPr>
              <w:t xml:space="preserve"> 32 accordingly. However, more in general, for credit institutions, the effort for producing and submitting the documentation for an ex-ante notification for extensions of the range of application of a rating system would be the same as for a material model change, which places a burden on the institution. While it is true that competent authorities might be more efficient in challenging the materiality classification of a given change, the same would be true for any other change classified as ex-ante notification. As extensions occur frequently, the burden will be massive on the institutions’ side, outweighing the actual benefit on the supervisory side </w:t>
            </w:r>
            <w:proofErr w:type="gramStart"/>
            <w:r w:rsidR="00BD623B" w:rsidRPr="002C57FD">
              <w:rPr>
                <w:rFonts w:cs="Arial"/>
                <w:sz w:val="24"/>
                <w:szCs w:val="24"/>
                <w:lang w:val="en-US" w:eastAsia="en-US"/>
              </w:rPr>
              <w:t>as long as</w:t>
            </w:r>
            <w:proofErr w:type="gramEnd"/>
            <w:r w:rsidR="00BD623B" w:rsidRPr="002C57FD">
              <w:rPr>
                <w:rFonts w:cs="Arial"/>
                <w:sz w:val="24"/>
                <w:szCs w:val="24"/>
                <w:lang w:val="en-US" w:eastAsia="en-US"/>
              </w:rPr>
              <w:t xml:space="preserve"> no significant track record of banks having submitted wrongly classified extensions was evident in the past. Even in this case, the new clarifications on the representativeness analysis pointing to CDR (EU) 2022/439 as required by the RTS will help to raise the quality of notifications. We strongly propose to set additional requirements only in case of evidence that these new clarifications do not yield the desired quality improvements in the notifications.</w:t>
            </w:r>
          </w:p>
          <w:p w14:paraId="18617068" w14:textId="77777777" w:rsidR="00BD623B" w:rsidRPr="002C57FD" w:rsidRDefault="00BD623B" w:rsidP="006140DE">
            <w:pPr>
              <w:suppressAutoHyphens/>
              <w:rPr>
                <w:b/>
                <w:bCs/>
                <w:sz w:val="24"/>
                <w:szCs w:val="24"/>
                <w:lang w:val="en-US"/>
              </w:rPr>
            </w:pPr>
          </w:p>
        </w:tc>
      </w:tr>
    </w:tbl>
    <w:p w14:paraId="4F0A609E" w14:textId="77777777" w:rsidR="00BD623B" w:rsidRPr="002C57FD" w:rsidRDefault="00BD623B" w:rsidP="00BD623B">
      <w:pPr>
        <w:rPr>
          <w:sz w:val="24"/>
          <w:szCs w:val="24"/>
          <w:lang w:val="en-GB"/>
        </w:rPr>
      </w:pPr>
    </w:p>
    <w:p w14:paraId="5C296A3C" w14:textId="77777777" w:rsidR="00BD623B" w:rsidRPr="002C57FD" w:rsidRDefault="00BD623B" w:rsidP="00BD623B">
      <w:pPr>
        <w:rPr>
          <w:sz w:val="24"/>
          <w:szCs w:val="24"/>
          <w:lang w:val="en-GB"/>
        </w:rPr>
      </w:pPr>
    </w:p>
    <w:p w14:paraId="3BDD5BA9" w14:textId="77777777" w:rsidR="00BD623B" w:rsidRPr="00786320" w:rsidRDefault="00BD623B" w:rsidP="00786320">
      <w:pPr>
        <w:pStyle w:val="Listenabsatz"/>
        <w:numPr>
          <w:ilvl w:val="0"/>
          <w:numId w:val="40"/>
        </w:numPr>
        <w:rPr>
          <w:rFonts w:cs="Arial"/>
          <w:b/>
          <w:sz w:val="24"/>
          <w:szCs w:val="24"/>
        </w:rPr>
      </w:pPr>
      <w:r w:rsidRPr="00786320">
        <w:rPr>
          <w:rFonts w:cs="Arial"/>
          <w:b/>
          <w:sz w:val="24"/>
          <w:szCs w:val="24"/>
        </w:rPr>
        <w:t xml:space="preserve">Additional </w:t>
      </w:r>
      <w:proofErr w:type="spellStart"/>
      <w:r w:rsidRPr="00786320">
        <w:rPr>
          <w:rFonts w:cs="Arial"/>
          <w:b/>
          <w:sz w:val="24"/>
          <w:szCs w:val="24"/>
        </w:rPr>
        <w:t>editorial</w:t>
      </w:r>
      <w:proofErr w:type="spellEnd"/>
      <w:r w:rsidRPr="00786320">
        <w:rPr>
          <w:rFonts w:cs="Arial"/>
          <w:b/>
          <w:sz w:val="24"/>
          <w:szCs w:val="24"/>
        </w:rPr>
        <w:t xml:space="preserve"> </w:t>
      </w:r>
      <w:proofErr w:type="spellStart"/>
      <w:r w:rsidRPr="00786320">
        <w:rPr>
          <w:rFonts w:cs="Arial"/>
          <w:b/>
          <w:sz w:val="24"/>
          <w:szCs w:val="24"/>
        </w:rPr>
        <w:t>remarks</w:t>
      </w:r>
      <w:proofErr w:type="spellEnd"/>
      <w:r w:rsidRPr="00786320">
        <w:rPr>
          <w:rFonts w:cs="Arial"/>
          <w:b/>
          <w:sz w:val="24"/>
          <w:szCs w:val="24"/>
        </w:rPr>
        <w:t>:</w:t>
      </w:r>
    </w:p>
    <w:p w14:paraId="36123065" w14:textId="77777777" w:rsidR="00BD623B" w:rsidRPr="002C57FD" w:rsidRDefault="00BD623B" w:rsidP="00BD623B">
      <w:pPr>
        <w:rPr>
          <w:rFonts w:cs="Arial"/>
          <w:sz w:val="24"/>
          <w:szCs w:val="24"/>
        </w:rPr>
      </w:pPr>
    </w:p>
    <w:p w14:paraId="2F54BBB5" w14:textId="40F126EE" w:rsidR="00ED110F" w:rsidRPr="00786320" w:rsidRDefault="00BD623B" w:rsidP="00786320">
      <w:pPr>
        <w:spacing w:line="240" w:lineRule="auto"/>
        <w:jc w:val="both"/>
        <w:rPr>
          <w:rFonts w:cs="Arial"/>
          <w:sz w:val="24"/>
          <w:szCs w:val="24"/>
          <w:lang w:val="en-GB"/>
        </w:rPr>
      </w:pPr>
      <w:r w:rsidRPr="00786320">
        <w:rPr>
          <w:rFonts w:cs="Arial"/>
          <w:sz w:val="24"/>
          <w:szCs w:val="24"/>
          <w:lang w:val="en-GB"/>
        </w:rPr>
        <w:t>To ensure consistent application of the documentation requests listed in Article 8, it would be beneficial to reference also the IMA in Article 8(1).</w:t>
      </w:r>
    </w:p>
    <w:sectPr w:rsidR="00ED110F" w:rsidRPr="00786320" w:rsidSect="0064273E">
      <w:headerReference w:type="default" r:id="rId11"/>
      <w:footerReference w:type="default" r:id="rId12"/>
      <w:pgSz w:w="11906" w:h="16838"/>
      <w:pgMar w:top="1843" w:right="1416"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36EBD" w14:textId="77777777" w:rsidR="0095706A" w:rsidRDefault="0095706A" w:rsidP="007F4462">
      <w:pPr>
        <w:spacing w:line="240" w:lineRule="auto"/>
      </w:pPr>
      <w:r>
        <w:separator/>
      </w:r>
    </w:p>
  </w:endnote>
  <w:endnote w:type="continuationSeparator" w:id="0">
    <w:p w14:paraId="24A10E7A" w14:textId="77777777" w:rsidR="0095706A" w:rsidRDefault="0095706A" w:rsidP="007F44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2319607"/>
      <w:docPartObj>
        <w:docPartGallery w:val="Page Numbers (Bottom of Page)"/>
        <w:docPartUnique/>
      </w:docPartObj>
    </w:sdtPr>
    <w:sdtContent>
      <w:p w14:paraId="1A043267" w14:textId="26F5660C" w:rsidR="00102AAB" w:rsidRPr="00102AAB" w:rsidRDefault="00102AAB" w:rsidP="00102AAB">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47A6" w14:textId="77777777" w:rsidR="0095706A" w:rsidRDefault="0095706A" w:rsidP="007F4462">
      <w:pPr>
        <w:spacing w:line="240" w:lineRule="auto"/>
      </w:pPr>
      <w:r>
        <w:separator/>
      </w:r>
    </w:p>
  </w:footnote>
  <w:footnote w:type="continuationSeparator" w:id="0">
    <w:p w14:paraId="7A9780AA" w14:textId="77777777" w:rsidR="0095706A" w:rsidRDefault="0095706A" w:rsidP="007F44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A64E" w14:textId="710AEA6B" w:rsidR="007F4462" w:rsidRDefault="007F4462" w:rsidP="00102AAB">
    <w:pPr>
      <w:spacing w:line="240" w:lineRule="auto"/>
    </w:pPr>
    <w:r>
      <w:rPr>
        <w:noProof/>
        <w:lang w:val="de-AT" w:eastAsia="de-AT"/>
      </w:rPr>
      <w:drawing>
        <wp:anchor distT="0" distB="0" distL="114300" distR="114300" simplePos="0" relativeHeight="251659264" behindDoc="0" locked="1" layoutInCell="1" allowOverlap="1" wp14:anchorId="2B9F3358" wp14:editId="73489B81">
          <wp:simplePos x="0" y="0"/>
          <wp:positionH relativeFrom="margin">
            <wp:posOffset>3722370</wp:posOffset>
          </wp:positionH>
          <wp:positionV relativeFrom="page">
            <wp:posOffset>180975</wp:posOffset>
          </wp:positionV>
          <wp:extent cx="2210435" cy="861695"/>
          <wp:effectExtent l="0" t="0" r="0" b="0"/>
          <wp:wrapSquare wrapText="bothSides"/>
          <wp:docPr id="961389426" name="Grafik 96138942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861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5C3"/>
    <w:multiLevelType w:val="hybridMultilevel"/>
    <w:tmpl w:val="BEEC05C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EA0979"/>
    <w:multiLevelType w:val="hybridMultilevel"/>
    <w:tmpl w:val="44DE654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E96910"/>
    <w:multiLevelType w:val="hybridMultilevel"/>
    <w:tmpl w:val="D47409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7E3F6E"/>
    <w:multiLevelType w:val="hybridMultilevel"/>
    <w:tmpl w:val="3A4858CE"/>
    <w:lvl w:ilvl="0" w:tplc="054C813A">
      <w:start w:val="1"/>
      <w:numFmt w:val="bullet"/>
      <w:lvlText w:val=""/>
      <w:lvlJc w:val="left"/>
      <w:pPr>
        <w:ind w:left="720" w:hanging="360"/>
      </w:pPr>
      <w:rPr>
        <w:rFonts w:ascii="Symbol" w:hAnsi="Symbol" w:hint="default"/>
        <w:sz w:val="22"/>
        <w:szCs w:val="22"/>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8855761"/>
    <w:multiLevelType w:val="hybridMultilevel"/>
    <w:tmpl w:val="CADC01BC"/>
    <w:lvl w:ilvl="0" w:tplc="24287096">
      <w:start w:val="17"/>
      <w:numFmt w:val="bullet"/>
      <w:lvlText w:val="-"/>
      <w:lvlJc w:val="left"/>
      <w:pPr>
        <w:ind w:left="1800" w:hanging="360"/>
      </w:pPr>
      <w:rPr>
        <w:rFonts w:ascii="Trebuchet MS" w:eastAsia="Times New Roman" w:hAnsi="Trebuchet MS" w:cs="Times New Roman" w:hint="default"/>
      </w:rPr>
    </w:lvl>
    <w:lvl w:ilvl="1" w:tplc="0C070003" w:tentative="1">
      <w:start w:val="1"/>
      <w:numFmt w:val="bullet"/>
      <w:lvlText w:val="o"/>
      <w:lvlJc w:val="left"/>
      <w:pPr>
        <w:ind w:left="2520" w:hanging="360"/>
      </w:pPr>
      <w:rPr>
        <w:rFonts w:ascii="Courier New" w:hAnsi="Courier New" w:cs="Courier New" w:hint="default"/>
      </w:rPr>
    </w:lvl>
    <w:lvl w:ilvl="2" w:tplc="0C070005" w:tentative="1">
      <w:start w:val="1"/>
      <w:numFmt w:val="bullet"/>
      <w:lvlText w:val=""/>
      <w:lvlJc w:val="left"/>
      <w:pPr>
        <w:ind w:left="3240" w:hanging="360"/>
      </w:pPr>
      <w:rPr>
        <w:rFonts w:ascii="Wingdings" w:hAnsi="Wingdings" w:hint="default"/>
      </w:rPr>
    </w:lvl>
    <w:lvl w:ilvl="3" w:tplc="0C070001" w:tentative="1">
      <w:start w:val="1"/>
      <w:numFmt w:val="bullet"/>
      <w:lvlText w:val=""/>
      <w:lvlJc w:val="left"/>
      <w:pPr>
        <w:ind w:left="3960" w:hanging="360"/>
      </w:pPr>
      <w:rPr>
        <w:rFonts w:ascii="Symbol" w:hAnsi="Symbol" w:hint="default"/>
      </w:rPr>
    </w:lvl>
    <w:lvl w:ilvl="4" w:tplc="0C070003" w:tentative="1">
      <w:start w:val="1"/>
      <w:numFmt w:val="bullet"/>
      <w:lvlText w:val="o"/>
      <w:lvlJc w:val="left"/>
      <w:pPr>
        <w:ind w:left="4680" w:hanging="360"/>
      </w:pPr>
      <w:rPr>
        <w:rFonts w:ascii="Courier New" w:hAnsi="Courier New" w:cs="Courier New" w:hint="default"/>
      </w:rPr>
    </w:lvl>
    <w:lvl w:ilvl="5" w:tplc="0C070005" w:tentative="1">
      <w:start w:val="1"/>
      <w:numFmt w:val="bullet"/>
      <w:lvlText w:val=""/>
      <w:lvlJc w:val="left"/>
      <w:pPr>
        <w:ind w:left="5400" w:hanging="360"/>
      </w:pPr>
      <w:rPr>
        <w:rFonts w:ascii="Wingdings" w:hAnsi="Wingdings" w:hint="default"/>
      </w:rPr>
    </w:lvl>
    <w:lvl w:ilvl="6" w:tplc="0C070001" w:tentative="1">
      <w:start w:val="1"/>
      <w:numFmt w:val="bullet"/>
      <w:lvlText w:val=""/>
      <w:lvlJc w:val="left"/>
      <w:pPr>
        <w:ind w:left="6120" w:hanging="360"/>
      </w:pPr>
      <w:rPr>
        <w:rFonts w:ascii="Symbol" w:hAnsi="Symbol" w:hint="default"/>
      </w:rPr>
    </w:lvl>
    <w:lvl w:ilvl="7" w:tplc="0C070003" w:tentative="1">
      <w:start w:val="1"/>
      <w:numFmt w:val="bullet"/>
      <w:lvlText w:val="o"/>
      <w:lvlJc w:val="left"/>
      <w:pPr>
        <w:ind w:left="6840" w:hanging="360"/>
      </w:pPr>
      <w:rPr>
        <w:rFonts w:ascii="Courier New" w:hAnsi="Courier New" w:cs="Courier New" w:hint="default"/>
      </w:rPr>
    </w:lvl>
    <w:lvl w:ilvl="8" w:tplc="0C070005" w:tentative="1">
      <w:start w:val="1"/>
      <w:numFmt w:val="bullet"/>
      <w:lvlText w:val=""/>
      <w:lvlJc w:val="left"/>
      <w:pPr>
        <w:ind w:left="7560" w:hanging="360"/>
      </w:pPr>
      <w:rPr>
        <w:rFonts w:ascii="Wingdings" w:hAnsi="Wingdings" w:hint="default"/>
      </w:rPr>
    </w:lvl>
  </w:abstractNum>
  <w:abstractNum w:abstractNumId="5" w15:restartNumberingAfterBreak="0">
    <w:nsid w:val="18936D8E"/>
    <w:multiLevelType w:val="hybridMultilevel"/>
    <w:tmpl w:val="65A848AA"/>
    <w:lvl w:ilvl="0" w:tplc="0C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6F41F1"/>
    <w:multiLevelType w:val="hybridMultilevel"/>
    <w:tmpl w:val="AA7CC5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674F96"/>
    <w:multiLevelType w:val="hybridMultilevel"/>
    <w:tmpl w:val="FD6A89D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1D5169B5"/>
    <w:multiLevelType w:val="hybridMultilevel"/>
    <w:tmpl w:val="16A2A6B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1E804D82"/>
    <w:multiLevelType w:val="hybridMultilevel"/>
    <w:tmpl w:val="99689C5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1CF4310"/>
    <w:multiLevelType w:val="hybridMultilevel"/>
    <w:tmpl w:val="EB4C898C"/>
    <w:lvl w:ilvl="0" w:tplc="0C070001">
      <w:start w:val="1"/>
      <w:numFmt w:val="bullet"/>
      <w:lvlText w:val=""/>
      <w:lvlJc w:val="left"/>
      <w:pPr>
        <w:ind w:left="1776" w:hanging="360"/>
      </w:pPr>
      <w:rPr>
        <w:rFonts w:ascii="Symbol" w:hAnsi="Symbol" w:hint="default"/>
      </w:rPr>
    </w:lvl>
    <w:lvl w:ilvl="1" w:tplc="0C070003" w:tentative="1">
      <w:start w:val="1"/>
      <w:numFmt w:val="bullet"/>
      <w:lvlText w:val="o"/>
      <w:lvlJc w:val="left"/>
      <w:pPr>
        <w:ind w:left="2496" w:hanging="360"/>
      </w:pPr>
      <w:rPr>
        <w:rFonts w:ascii="Courier New" w:hAnsi="Courier New" w:cs="Courier New" w:hint="default"/>
      </w:rPr>
    </w:lvl>
    <w:lvl w:ilvl="2" w:tplc="0C070005" w:tentative="1">
      <w:start w:val="1"/>
      <w:numFmt w:val="bullet"/>
      <w:lvlText w:val=""/>
      <w:lvlJc w:val="left"/>
      <w:pPr>
        <w:ind w:left="3216" w:hanging="360"/>
      </w:pPr>
      <w:rPr>
        <w:rFonts w:ascii="Wingdings" w:hAnsi="Wingdings" w:hint="default"/>
      </w:rPr>
    </w:lvl>
    <w:lvl w:ilvl="3" w:tplc="0C070001" w:tentative="1">
      <w:start w:val="1"/>
      <w:numFmt w:val="bullet"/>
      <w:lvlText w:val=""/>
      <w:lvlJc w:val="left"/>
      <w:pPr>
        <w:ind w:left="3936" w:hanging="360"/>
      </w:pPr>
      <w:rPr>
        <w:rFonts w:ascii="Symbol" w:hAnsi="Symbol" w:hint="default"/>
      </w:rPr>
    </w:lvl>
    <w:lvl w:ilvl="4" w:tplc="0C070003" w:tentative="1">
      <w:start w:val="1"/>
      <w:numFmt w:val="bullet"/>
      <w:lvlText w:val="o"/>
      <w:lvlJc w:val="left"/>
      <w:pPr>
        <w:ind w:left="4656" w:hanging="360"/>
      </w:pPr>
      <w:rPr>
        <w:rFonts w:ascii="Courier New" w:hAnsi="Courier New" w:cs="Courier New" w:hint="default"/>
      </w:rPr>
    </w:lvl>
    <w:lvl w:ilvl="5" w:tplc="0C070005" w:tentative="1">
      <w:start w:val="1"/>
      <w:numFmt w:val="bullet"/>
      <w:lvlText w:val=""/>
      <w:lvlJc w:val="left"/>
      <w:pPr>
        <w:ind w:left="5376" w:hanging="360"/>
      </w:pPr>
      <w:rPr>
        <w:rFonts w:ascii="Wingdings" w:hAnsi="Wingdings" w:hint="default"/>
      </w:rPr>
    </w:lvl>
    <w:lvl w:ilvl="6" w:tplc="0C070001" w:tentative="1">
      <w:start w:val="1"/>
      <w:numFmt w:val="bullet"/>
      <w:lvlText w:val=""/>
      <w:lvlJc w:val="left"/>
      <w:pPr>
        <w:ind w:left="6096" w:hanging="360"/>
      </w:pPr>
      <w:rPr>
        <w:rFonts w:ascii="Symbol" w:hAnsi="Symbol" w:hint="default"/>
      </w:rPr>
    </w:lvl>
    <w:lvl w:ilvl="7" w:tplc="0C070003" w:tentative="1">
      <w:start w:val="1"/>
      <w:numFmt w:val="bullet"/>
      <w:lvlText w:val="o"/>
      <w:lvlJc w:val="left"/>
      <w:pPr>
        <w:ind w:left="6816" w:hanging="360"/>
      </w:pPr>
      <w:rPr>
        <w:rFonts w:ascii="Courier New" w:hAnsi="Courier New" w:cs="Courier New" w:hint="default"/>
      </w:rPr>
    </w:lvl>
    <w:lvl w:ilvl="8" w:tplc="0C070005" w:tentative="1">
      <w:start w:val="1"/>
      <w:numFmt w:val="bullet"/>
      <w:lvlText w:val=""/>
      <w:lvlJc w:val="left"/>
      <w:pPr>
        <w:ind w:left="7536" w:hanging="360"/>
      </w:pPr>
      <w:rPr>
        <w:rFonts w:ascii="Wingdings" w:hAnsi="Wingdings" w:hint="default"/>
      </w:rPr>
    </w:lvl>
  </w:abstractNum>
  <w:abstractNum w:abstractNumId="11" w15:restartNumberingAfterBreak="0">
    <w:nsid w:val="240810EA"/>
    <w:multiLevelType w:val="hybridMultilevel"/>
    <w:tmpl w:val="488CAE6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57C506A"/>
    <w:multiLevelType w:val="hybridMultilevel"/>
    <w:tmpl w:val="62E0A5E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73D7EC0"/>
    <w:multiLevelType w:val="hybridMultilevel"/>
    <w:tmpl w:val="CB9A4BCA"/>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2AED731F"/>
    <w:multiLevelType w:val="hybridMultilevel"/>
    <w:tmpl w:val="86F8570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BE52EEE"/>
    <w:multiLevelType w:val="hybridMultilevel"/>
    <w:tmpl w:val="462C9D1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AD0822"/>
    <w:multiLevelType w:val="hybridMultilevel"/>
    <w:tmpl w:val="717886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7" w15:restartNumberingAfterBreak="0">
    <w:nsid w:val="31106E93"/>
    <w:multiLevelType w:val="hybridMultilevel"/>
    <w:tmpl w:val="ABDC8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9B1548"/>
    <w:multiLevelType w:val="hybridMultilevel"/>
    <w:tmpl w:val="1A185610"/>
    <w:lvl w:ilvl="0" w:tplc="FEB8787E">
      <w:start w:val="17"/>
      <w:numFmt w:val="bullet"/>
      <w:lvlText w:val="-"/>
      <w:lvlJc w:val="left"/>
      <w:pPr>
        <w:ind w:left="2520" w:hanging="360"/>
      </w:pPr>
      <w:rPr>
        <w:rFonts w:ascii="Trebuchet MS" w:eastAsia="Times New Roman" w:hAnsi="Trebuchet MS" w:cs="Times New Roman" w:hint="default"/>
      </w:rPr>
    </w:lvl>
    <w:lvl w:ilvl="1" w:tplc="0C070003" w:tentative="1">
      <w:start w:val="1"/>
      <w:numFmt w:val="bullet"/>
      <w:lvlText w:val="o"/>
      <w:lvlJc w:val="left"/>
      <w:pPr>
        <w:ind w:left="3240" w:hanging="360"/>
      </w:pPr>
      <w:rPr>
        <w:rFonts w:ascii="Courier New" w:hAnsi="Courier New" w:cs="Courier New" w:hint="default"/>
      </w:rPr>
    </w:lvl>
    <w:lvl w:ilvl="2" w:tplc="0C070005" w:tentative="1">
      <w:start w:val="1"/>
      <w:numFmt w:val="bullet"/>
      <w:lvlText w:val=""/>
      <w:lvlJc w:val="left"/>
      <w:pPr>
        <w:ind w:left="3960" w:hanging="360"/>
      </w:pPr>
      <w:rPr>
        <w:rFonts w:ascii="Wingdings" w:hAnsi="Wingdings" w:hint="default"/>
      </w:rPr>
    </w:lvl>
    <w:lvl w:ilvl="3" w:tplc="0C070001" w:tentative="1">
      <w:start w:val="1"/>
      <w:numFmt w:val="bullet"/>
      <w:lvlText w:val=""/>
      <w:lvlJc w:val="left"/>
      <w:pPr>
        <w:ind w:left="4680" w:hanging="360"/>
      </w:pPr>
      <w:rPr>
        <w:rFonts w:ascii="Symbol" w:hAnsi="Symbol" w:hint="default"/>
      </w:rPr>
    </w:lvl>
    <w:lvl w:ilvl="4" w:tplc="0C070003" w:tentative="1">
      <w:start w:val="1"/>
      <w:numFmt w:val="bullet"/>
      <w:lvlText w:val="o"/>
      <w:lvlJc w:val="left"/>
      <w:pPr>
        <w:ind w:left="5400" w:hanging="360"/>
      </w:pPr>
      <w:rPr>
        <w:rFonts w:ascii="Courier New" w:hAnsi="Courier New" w:cs="Courier New" w:hint="default"/>
      </w:rPr>
    </w:lvl>
    <w:lvl w:ilvl="5" w:tplc="0C070005" w:tentative="1">
      <w:start w:val="1"/>
      <w:numFmt w:val="bullet"/>
      <w:lvlText w:val=""/>
      <w:lvlJc w:val="left"/>
      <w:pPr>
        <w:ind w:left="6120" w:hanging="360"/>
      </w:pPr>
      <w:rPr>
        <w:rFonts w:ascii="Wingdings" w:hAnsi="Wingdings" w:hint="default"/>
      </w:rPr>
    </w:lvl>
    <w:lvl w:ilvl="6" w:tplc="0C070001" w:tentative="1">
      <w:start w:val="1"/>
      <w:numFmt w:val="bullet"/>
      <w:lvlText w:val=""/>
      <w:lvlJc w:val="left"/>
      <w:pPr>
        <w:ind w:left="6840" w:hanging="360"/>
      </w:pPr>
      <w:rPr>
        <w:rFonts w:ascii="Symbol" w:hAnsi="Symbol" w:hint="default"/>
      </w:rPr>
    </w:lvl>
    <w:lvl w:ilvl="7" w:tplc="0C070003" w:tentative="1">
      <w:start w:val="1"/>
      <w:numFmt w:val="bullet"/>
      <w:lvlText w:val="o"/>
      <w:lvlJc w:val="left"/>
      <w:pPr>
        <w:ind w:left="7560" w:hanging="360"/>
      </w:pPr>
      <w:rPr>
        <w:rFonts w:ascii="Courier New" w:hAnsi="Courier New" w:cs="Courier New" w:hint="default"/>
      </w:rPr>
    </w:lvl>
    <w:lvl w:ilvl="8" w:tplc="0C070005" w:tentative="1">
      <w:start w:val="1"/>
      <w:numFmt w:val="bullet"/>
      <w:lvlText w:val=""/>
      <w:lvlJc w:val="left"/>
      <w:pPr>
        <w:ind w:left="8280" w:hanging="360"/>
      </w:pPr>
      <w:rPr>
        <w:rFonts w:ascii="Wingdings" w:hAnsi="Wingdings" w:hint="default"/>
      </w:rPr>
    </w:lvl>
  </w:abstractNum>
  <w:abstractNum w:abstractNumId="19" w15:restartNumberingAfterBreak="0">
    <w:nsid w:val="370A4BBF"/>
    <w:multiLevelType w:val="hybridMultilevel"/>
    <w:tmpl w:val="632264C2"/>
    <w:lvl w:ilvl="0" w:tplc="0C070003">
      <w:start w:val="1"/>
      <w:numFmt w:val="bullet"/>
      <w:lvlText w:val="o"/>
      <w:lvlJc w:val="left"/>
      <w:pPr>
        <w:ind w:left="720" w:hanging="360"/>
      </w:pPr>
      <w:rPr>
        <w:rFonts w:ascii="Courier New" w:hAnsi="Courier New" w:cs="Courier New" w:hint="default"/>
      </w:rPr>
    </w:lvl>
    <w:lvl w:ilvl="1" w:tplc="24287096">
      <w:start w:val="17"/>
      <w:numFmt w:val="bullet"/>
      <w:lvlText w:val="-"/>
      <w:lvlJc w:val="left"/>
      <w:pPr>
        <w:ind w:left="2160" w:hanging="360"/>
      </w:pPr>
      <w:rPr>
        <w:rFonts w:ascii="Trebuchet MS" w:eastAsia="Times New Roman" w:hAnsi="Trebuchet MS" w:cs="Times New Roman"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88C5EEA"/>
    <w:multiLevelType w:val="hybridMultilevel"/>
    <w:tmpl w:val="03F41650"/>
    <w:lvl w:ilvl="0" w:tplc="52C49CAA">
      <w:start w:val="1"/>
      <w:numFmt w:val="decimal"/>
      <w:lvlText w:val="%1."/>
      <w:lvlJc w:val="left"/>
      <w:pPr>
        <w:ind w:left="720" w:hanging="360"/>
      </w:pPr>
    </w:lvl>
    <w:lvl w:ilvl="1" w:tplc="9A7E605A">
      <w:start w:val="1"/>
      <w:numFmt w:val="lowerLetter"/>
      <w:lvlText w:val="%2."/>
      <w:lvlJc w:val="left"/>
      <w:pPr>
        <w:ind w:left="1440" w:hanging="360"/>
      </w:pPr>
    </w:lvl>
    <w:lvl w:ilvl="2" w:tplc="ECFC0F2A">
      <w:start w:val="1"/>
      <w:numFmt w:val="lowerRoman"/>
      <w:lvlText w:val="%3."/>
      <w:lvlJc w:val="right"/>
      <w:pPr>
        <w:ind w:left="2160" w:hanging="180"/>
      </w:pPr>
    </w:lvl>
    <w:lvl w:ilvl="3" w:tplc="17964472">
      <w:start w:val="1"/>
      <w:numFmt w:val="decimal"/>
      <w:lvlText w:val="%4."/>
      <w:lvlJc w:val="left"/>
      <w:pPr>
        <w:ind w:left="2880" w:hanging="360"/>
      </w:pPr>
    </w:lvl>
    <w:lvl w:ilvl="4" w:tplc="1826A8C8">
      <w:start w:val="1"/>
      <w:numFmt w:val="lowerLetter"/>
      <w:lvlText w:val="%5."/>
      <w:lvlJc w:val="left"/>
      <w:pPr>
        <w:ind w:left="3600" w:hanging="360"/>
      </w:pPr>
    </w:lvl>
    <w:lvl w:ilvl="5" w:tplc="B17EB14A">
      <w:start w:val="1"/>
      <w:numFmt w:val="lowerRoman"/>
      <w:lvlText w:val="%6."/>
      <w:lvlJc w:val="right"/>
      <w:pPr>
        <w:ind w:left="4320" w:hanging="180"/>
      </w:pPr>
    </w:lvl>
    <w:lvl w:ilvl="6" w:tplc="0DA01D1A">
      <w:start w:val="1"/>
      <w:numFmt w:val="decimal"/>
      <w:lvlText w:val="%7."/>
      <w:lvlJc w:val="left"/>
      <w:pPr>
        <w:ind w:left="5040" w:hanging="360"/>
      </w:pPr>
    </w:lvl>
    <w:lvl w:ilvl="7" w:tplc="F244CDE4">
      <w:start w:val="1"/>
      <w:numFmt w:val="lowerLetter"/>
      <w:lvlText w:val="%8."/>
      <w:lvlJc w:val="left"/>
      <w:pPr>
        <w:ind w:left="5760" w:hanging="360"/>
      </w:pPr>
    </w:lvl>
    <w:lvl w:ilvl="8" w:tplc="2E20FF52">
      <w:start w:val="1"/>
      <w:numFmt w:val="lowerRoman"/>
      <w:lvlText w:val="%9."/>
      <w:lvlJc w:val="right"/>
      <w:pPr>
        <w:ind w:left="6480" w:hanging="180"/>
      </w:pPr>
    </w:lvl>
  </w:abstractNum>
  <w:abstractNum w:abstractNumId="21" w15:restartNumberingAfterBreak="0">
    <w:nsid w:val="3BDD4CDD"/>
    <w:multiLevelType w:val="hybridMultilevel"/>
    <w:tmpl w:val="1A68862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DDB395D"/>
    <w:multiLevelType w:val="hybridMultilevel"/>
    <w:tmpl w:val="B526FF2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4BB7C21"/>
    <w:multiLevelType w:val="hybridMultilevel"/>
    <w:tmpl w:val="AF4A4C2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5EF170B"/>
    <w:multiLevelType w:val="hybridMultilevel"/>
    <w:tmpl w:val="7462482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72D44B7"/>
    <w:multiLevelType w:val="hybridMultilevel"/>
    <w:tmpl w:val="ECD0A81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6" w15:restartNumberingAfterBreak="0">
    <w:nsid w:val="4BFD7CD9"/>
    <w:multiLevelType w:val="hybridMultilevel"/>
    <w:tmpl w:val="D8164408"/>
    <w:lvl w:ilvl="0" w:tplc="F896486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C4C3EC5"/>
    <w:multiLevelType w:val="hybridMultilevel"/>
    <w:tmpl w:val="AE7C4E5E"/>
    <w:lvl w:ilvl="0" w:tplc="DFA2C93C">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4C7A2BEA"/>
    <w:multiLevelType w:val="hybridMultilevel"/>
    <w:tmpl w:val="DBE6BA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82255B1"/>
    <w:multiLevelType w:val="hybridMultilevel"/>
    <w:tmpl w:val="844836D0"/>
    <w:lvl w:ilvl="0" w:tplc="24287096">
      <w:start w:val="17"/>
      <w:numFmt w:val="bullet"/>
      <w:lvlText w:val="-"/>
      <w:lvlJc w:val="left"/>
      <w:pPr>
        <w:ind w:left="2160" w:hanging="360"/>
      </w:pPr>
      <w:rPr>
        <w:rFonts w:ascii="Trebuchet MS" w:eastAsia="Times New Roman" w:hAnsi="Trebuchet MS" w:cs="Times New Roman"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30" w15:restartNumberingAfterBreak="0">
    <w:nsid w:val="58296E1E"/>
    <w:multiLevelType w:val="hybridMultilevel"/>
    <w:tmpl w:val="9404EB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BD425E7"/>
    <w:multiLevelType w:val="hybridMultilevel"/>
    <w:tmpl w:val="B34859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595487A"/>
    <w:multiLevelType w:val="hybridMultilevel"/>
    <w:tmpl w:val="4C20ED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69120E0"/>
    <w:multiLevelType w:val="hybridMultilevel"/>
    <w:tmpl w:val="BC5228A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A9775B1"/>
    <w:multiLevelType w:val="hybridMultilevel"/>
    <w:tmpl w:val="EFA42236"/>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6B83442A"/>
    <w:multiLevelType w:val="hybridMultilevel"/>
    <w:tmpl w:val="98FC7EC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CA70BEC"/>
    <w:multiLevelType w:val="hybridMultilevel"/>
    <w:tmpl w:val="2408A7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A73BC4"/>
    <w:multiLevelType w:val="hybridMultilevel"/>
    <w:tmpl w:val="0F3E1A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056618A"/>
    <w:multiLevelType w:val="hybridMultilevel"/>
    <w:tmpl w:val="92DEEE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9" w15:restartNumberingAfterBreak="0">
    <w:nsid w:val="77682943"/>
    <w:multiLevelType w:val="hybridMultilevel"/>
    <w:tmpl w:val="CC22D6C0"/>
    <w:lvl w:ilvl="0" w:tplc="054C813A">
      <w:start w:val="1"/>
      <w:numFmt w:val="bullet"/>
      <w:lvlText w:val=""/>
      <w:lvlJc w:val="left"/>
      <w:pPr>
        <w:ind w:left="720" w:hanging="360"/>
      </w:pPr>
      <w:rPr>
        <w:rFonts w:ascii="Symbol" w:hAnsi="Symbol" w:hint="default"/>
        <w:sz w:val="22"/>
        <w:szCs w:val="2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686055750">
    <w:abstractNumId w:val="9"/>
  </w:num>
  <w:num w:numId="2" w16cid:durableId="1170679435">
    <w:abstractNumId w:val="6"/>
  </w:num>
  <w:num w:numId="3" w16cid:durableId="805201574">
    <w:abstractNumId w:val="38"/>
  </w:num>
  <w:num w:numId="4" w16cid:durableId="1174224545">
    <w:abstractNumId w:val="4"/>
  </w:num>
  <w:num w:numId="5" w16cid:durableId="1507405978">
    <w:abstractNumId w:val="18"/>
  </w:num>
  <w:num w:numId="6" w16cid:durableId="878588505">
    <w:abstractNumId w:val="27"/>
  </w:num>
  <w:num w:numId="7" w16cid:durableId="837229428">
    <w:abstractNumId w:val="19"/>
  </w:num>
  <w:num w:numId="8" w16cid:durableId="2042976082">
    <w:abstractNumId w:val="5"/>
  </w:num>
  <w:num w:numId="9" w16cid:durableId="636642400">
    <w:abstractNumId w:val="29"/>
  </w:num>
  <w:num w:numId="10" w16cid:durableId="2040161953">
    <w:abstractNumId w:val="35"/>
  </w:num>
  <w:num w:numId="11" w16cid:durableId="1286110862">
    <w:abstractNumId w:val="32"/>
  </w:num>
  <w:num w:numId="12" w16cid:durableId="933199857">
    <w:abstractNumId w:val="0"/>
  </w:num>
  <w:num w:numId="13" w16cid:durableId="905726561">
    <w:abstractNumId w:val="12"/>
  </w:num>
  <w:num w:numId="14" w16cid:durableId="438524651">
    <w:abstractNumId w:val="13"/>
  </w:num>
  <w:num w:numId="15" w16cid:durableId="1696997341">
    <w:abstractNumId w:val="7"/>
  </w:num>
  <w:num w:numId="16" w16cid:durableId="1633903082">
    <w:abstractNumId w:val="10"/>
  </w:num>
  <w:num w:numId="17" w16cid:durableId="761487746">
    <w:abstractNumId w:val="39"/>
  </w:num>
  <w:num w:numId="18" w16cid:durableId="1850412286">
    <w:abstractNumId w:val="3"/>
  </w:num>
  <w:num w:numId="19" w16cid:durableId="25177192">
    <w:abstractNumId w:val="23"/>
  </w:num>
  <w:num w:numId="20" w16cid:durableId="1225801823">
    <w:abstractNumId w:val="22"/>
  </w:num>
  <w:num w:numId="21" w16cid:durableId="304090981">
    <w:abstractNumId w:val="24"/>
  </w:num>
  <w:num w:numId="22" w16cid:durableId="1774936424">
    <w:abstractNumId w:val="1"/>
  </w:num>
  <w:num w:numId="23" w16cid:durableId="1790198386">
    <w:abstractNumId w:val="31"/>
  </w:num>
  <w:num w:numId="24" w16cid:durableId="20933157">
    <w:abstractNumId w:val="28"/>
  </w:num>
  <w:num w:numId="25" w16cid:durableId="883755617">
    <w:abstractNumId w:val="33"/>
  </w:num>
  <w:num w:numId="26" w16cid:durableId="1946502373">
    <w:abstractNumId w:val="21"/>
  </w:num>
  <w:num w:numId="27" w16cid:durableId="1480685660">
    <w:abstractNumId w:val="16"/>
  </w:num>
  <w:num w:numId="28" w16cid:durableId="391150598">
    <w:abstractNumId w:val="25"/>
  </w:num>
  <w:num w:numId="29" w16cid:durableId="1560478927">
    <w:abstractNumId w:val="8"/>
  </w:num>
  <w:num w:numId="30" w16cid:durableId="1671056148">
    <w:abstractNumId w:val="26"/>
  </w:num>
  <w:num w:numId="31" w16cid:durableId="2089885559">
    <w:abstractNumId w:val="20"/>
  </w:num>
  <w:num w:numId="32" w16cid:durableId="916280088">
    <w:abstractNumId w:val="36"/>
  </w:num>
  <w:num w:numId="33" w16cid:durableId="989208135">
    <w:abstractNumId w:val="17"/>
  </w:num>
  <w:num w:numId="34" w16cid:durableId="1310406594">
    <w:abstractNumId w:val="30"/>
  </w:num>
  <w:num w:numId="35" w16cid:durableId="864756041">
    <w:abstractNumId w:val="2"/>
  </w:num>
  <w:num w:numId="36" w16cid:durableId="148599619">
    <w:abstractNumId w:val="11"/>
  </w:num>
  <w:num w:numId="37" w16cid:durableId="2105614458">
    <w:abstractNumId w:val="15"/>
  </w:num>
  <w:num w:numId="38" w16cid:durableId="499345199">
    <w:abstractNumId w:val="37"/>
  </w:num>
  <w:num w:numId="39" w16cid:durableId="517623341">
    <w:abstractNumId w:val="34"/>
  </w:num>
  <w:num w:numId="40" w16cid:durableId="10422915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6BB"/>
    <w:rsid w:val="00002CAE"/>
    <w:rsid w:val="000056F5"/>
    <w:rsid w:val="00006256"/>
    <w:rsid w:val="0000713F"/>
    <w:rsid w:val="000127E2"/>
    <w:rsid w:val="00012D1A"/>
    <w:rsid w:val="00015B32"/>
    <w:rsid w:val="00016D43"/>
    <w:rsid w:val="00035DE7"/>
    <w:rsid w:val="0003719F"/>
    <w:rsid w:val="00041E2C"/>
    <w:rsid w:val="000608E2"/>
    <w:rsid w:val="00062E52"/>
    <w:rsid w:val="000641B8"/>
    <w:rsid w:val="00071001"/>
    <w:rsid w:val="00074C50"/>
    <w:rsid w:val="00075857"/>
    <w:rsid w:val="00081F10"/>
    <w:rsid w:val="00082C8C"/>
    <w:rsid w:val="00096503"/>
    <w:rsid w:val="000A0EEE"/>
    <w:rsid w:val="000A71B3"/>
    <w:rsid w:val="000A71EA"/>
    <w:rsid w:val="000B7855"/>
    <w:rsid w:val="000C385F"/>
    <w:rsid w:val="000C4EA0"/>
    <w:rsid w:val="000D607B"/>
    <w:rsid w:val="000D7CD2"/>
    <w:rsid w:val="000E02C8"/>
    <w:rsid w:val="000E57F4"/>
    <w:rsid w:val="000F1496"/>
    <w:rsid w:val="000F55F6"/>
    <w:rsid w:val="000F69DE"/>
    <w:rsid w:val="00102604"/>
    <w:rsid w:val="00102AAB"/>
    <w:rsid w:val="00102C32"/>
    <w:rsid w:val="00102E04"/>
    <w:rsid w:val="00103E15"/>
    <w:rsid w:val="00106C6F"/>
    <w:rsid w:val="00107F0F"/>
    <w:rsid w:val="00123FF7"/>
    <w:rsid w:val="001455FF"/>
    <w:rsid w:val="00145964"/>
    <w:rsid w:val="0015182C"/>
    <w:rsid w:val="001555E3"/>
    <w:rsid w:val="00156DAF"/>
    <w:rsid w:val="00166D5F"/>
    <w:rsid w:val="001675EA"/>
    <w:rsid w:val="00193FBA"/>
    <w:rsid w:val="001A04D8"/>
    <w:rsid w:val="001A1F7F"/>
    <w:rsid w:val="001A4052"/>
    <w:rsid w:val="001C52B8"/>
    <w:rsid w:val="001C5380"/>
    <w:rsid w:val="001D73B4"/>
    <w:rsid w:val="001E2D12"/>
    <w:rsid w:val="001E5650"/>
    <w:rsid w:val="001F25D1"/>
    <w:rsid w:val="00200EC8"/>
    <w:rsid w:val="0020107C"/>
    <w:rsid w:val="00202A94"/>
    <w:rsid w:val="00207605"/>
    <w:rsid w:val="00213287"/>
    <w:rsid w:val="00220E0E"/>
    <w:rsid w:val="00222D92"/>
    <w:rsid w:val="00226ADD"/>
    <w:rsid w:val="002272DC"/>
    <w:rsid w:val="0023020C"/>
    <w:rsid w:val="00240497"/>
    <w:rsid w:val="002535CA"/>
    <w:rsid w:val="00253970"/>
    <w:rsid w:val="00261C4B"/>
    <w:rsid w:val="00271D63"/>
    <w:rsid w:val="00277E56"/>
    <w:rsid w:val="00283BF5"/>
    <w:rsid w:val="002971D3"/>
    <w:rsid w:val="002A2E36"/>
    <w:rsid w:val="002A6A53"/>
    <w:rsid w:val="002B0611"/>
    <w:rsid w:val="002B0C5A"/>
    <w:rsid w:val="002C0FDB"/>
    <w:rsid w:val="002C1E20"/>
    <w:rsid w:val="002C33A7"/>
    <w:rsid w:val="002D4063"/>
    <w:rsid w:val="002D5AE1"/>
    <w:rsid w:val="002E3053"/>
    <w:rsid w:val="002E40B7"/>
    <w:rsid w:val="002E4BD5"/>
    <w:rsid w:val="002F0431"/>
    <w:rsid w:val="003134C7"/>
    <w:rsid w:val="003258AF"/>
    <w:rsid w:val="00326AD7"/>
    <w:rsid w:val="00327F5E"/>
    <w:rsid w:val="00331C9B"/>
    <w:rsid w:val="00332EBE"/>
    <w:rsid w:val="003351AC"/>
    <w:rsid w:val="00341140"/>
    <w:rsid w:val="00353145"/>
    <w:rsid w:val="00354C94"/>
    <w:rsid w:val="00356823"/>
    <w:rsid w:val="0036292F"/>
    <w:rsid w:val="003661E7"/>
    <w:rsid w:val="0037643C"/>
    <w:rsid w:val="003779CB"/>
    <w:rsid w:val="00382B0A"/>
    <w:rsid w:val="00385222"/>
    <w:rsid w:val="003925AD"/>
    <w:rsid w:val="00396922"/>
    <w:rsid w:val="003A03DF"/>
    <w:rsid w:val="003C7BD4"/>
    <w:rsid w:val="003D1A2B"/>
    <w:rsid w:val="003D261A"/>
    <w:rsid w:val="003D53D2"/>
    <w:rsid w:val="003D621A"/>
    <w:rsid w:val="003D70C4"/>
    <w:rsid w:val="003D7AD3"/>
    <w:rsid w:val="003E3102"/>
    <w:rsid w:val="003F3096"/>
    <w:rsid w:val="003F6C84"/>
    <w:rsid w:val="003F72E9"/>
    <w:rsid w:val="003F792D"/>
    <w:rsid w:val="00400673"/>
    <w:rsid w:val="00405E8D"/>
    <w:rsid w:val="004064B9"/>
    <w:rsid w:val="00411B54"/>
    <w:rsid w:val="004270E2"/>
    <w:rsid w:val="00433804"/>
    <w:rsid w:val="00442A54"/>
    <w:rsid w:val="00445917"/>
    <w:rsid w:val="00446AEB"/>
    <w:rsid w:val="00446BE3"/>
    <w:rsid w:val="00450DC1"/>
    <w:rsid w:val="00450E5E"/>
    <w:rsid w:val="0045136D"/>
    <w:rsid w:val="00454F8D"/>
    <w:rsid w:val="00464A78"/>
    <w:rsid w:val="00470A23"/>
    <w:rsid w:val="00471400"/>
    <w:rsid w:val="00482ED1"/>
    <w:rsid w:val="00484B00"/>
    <w:rsid w:val="004A0C5F"/>
    <w:rsid w:val="004A2074"/>
    <w:rsid w:val="004A36CB"/>
    <w:rsid w:val="004C5BD9"/>
    <w:rsid w:val="004D5B87"/>
    <w:rsid w:val="004F01C6"/>
    <w:rsid w:val="004F23C4"/>
    <w:rsid w:val="005073AE"/>
    <w:rsid w:val="005154D9"/>
    <w:rsid w:val="005246B6"/>
    <w:rsid w:val="00527B54"/>
    <w:rsid w:val="00527CC3"/>
    <w:rsid w:val="00531490"/>
    <w:rsid w:val="00532C68"/>
    <w:rsid w:val="005344F4"/>
    <w:rsid w:val="005464E0"/>
    <w:rsid w:val="00547A59"/>
    <w:rsid w:val="005501F5"/>
    <w:rsid w:val="005534B9"/>
    <w:rsid w:val="005625A7"/>
    <w:rsid w:val="00582502"/>
    <w:rsid w:val="00596D89"/>
    <w:rsid w:val="005A7E33"/>
    <w:rsid w:val="005B0909"/>
    <w:rsid w:val="005B46D0"/>
    <w:rsid w:val="005B531E"/>
    <w:rsid w:val="005B7474"/>
    <w:rsid w:val="005B7B2B"/>
    <w:rsid w:val="005C5376"/>
    <w:rsid w:val="005C5DC0"/>
    <w:rsid w:val="005D0BA5"/>
    <w:rsid w:val="005D282D"/>
    <w:rsid w:val="005D3BF4"/>
    <w:rsid w:val="005D6B25"/>
    <w:rsid w:val="005D714A"/>
    <w:rsid w:val="005D7FBC"/>
    <w:rsid w:val="005E317C"/>
    <w:rsid w:val="005F6829"/>
    <w:rsid w:val="0060498F"/>
    <w:rsid w:val="00617DBA"/>
    <w:rsid w:val="00626C2B"/>
    <w:rsid w:val="00631FED"/>
    <w:rsid w:val="006327CF"/>
    <w:rsid w:val="00640476"/>
    <w:rsid w:val="00642256"/>
    <w:rsid w:val="0064273E"/>
    <w:rsid w:val="00662F3F"/>
    <w:rsid w:val="0066391E"/>
    <w:rsid w:val="0066468A"/>
    <w:rsid w:val="00665515"/>
    <w:rsid w:val="00667712"/>
    <w:rsid w:val="00693C90"/>
    <w:rsid w:val="006967E0"/>
    <w:rsid w:val="0069759C"/>
    <w:rsid w:val="006A6454"/>
    <w:rsid w:val="006A78D2"/>
    <w:rsid w:val="006B1064"/>
    <w:rsid w:val="006B464D"/>
    <w:rsid w:val="006C0AD9"/>
    <w:rsid w:val="006C3CB5"/>
    <w:rsid w:val="006D58B7"/>
    <w:rsid w:val="006D6B4E"/>
    <w:rsid w:val="006E0005"/>
    <w:rsid w:val="006E1B06"/>
    <w:rsid w:val="006E2E0E"/>
    <w:rsid w:val="006E5EB7"/>
    <w:rsid w:val="006E6936"/>
    <w:rsid w:val="006F2C6D"/>
    <w:rsid w:val="007050C2"/>
    <w:rsid w:val="0072603E"/>
    <w:rsid w:val="00733E21"/>
    <w:rsid w:val="007370B8"/>
    <w:rsid w:val="00737458"/>
    <w:rsid w:val="00741FC0"/>
    <w:rsid w:val="00744E03"/>
    <w:rsid w:val="00746591"/>
    <w:rsid w:val="007475BD"/>
    <w:rsid w:val="0075635E"/>
    <w:rsid w:val="007572B2"/>
    <w:rsid w:val="00757D59"/>
    <w:rsid w:val="007624B1"/>
    <w:rsid w:val="00764C39"/>
    <w:rsid w:val="00765216"/>
    <w:rsid w:val="00765322"/>
    <w:rsid w:val="00773EE0"/>
    <w:rsid w:val="007764E3"/>
    <w:rsid w:val="007766FC"/>
    <w:rsid w:val="00780333"/>
    <w:rsid w:val="00782F87"/>
    <w:rsid w:val="00786320"/>
    <w:rsid w:val="00786DF5"/>
    <w:rsid w:val="007A6524"/>
    <w:rsid w:val="007C0666"/>
    <w:rsid w:val="007D472B"/>
    <w:rsid w:val="007E1A50"/>
    <w:rsid w:val="007E2915"/>
    <w:rsid w:val="007E3271"/>
    <w:rsid w:val="007F07FE"/>
    <w:rsid w:val="007F0DCC"/>
    <w:rsid w:val="007F4462"/>
    <w:rsid w:val="007F47AD"/>
    <w:rsid w:val="008042C9"/>
    <w:rsid w:val="00813C58"/>
    <w:rsid w:val="00813D37"/>
    <w:rsid w:val="008206A3"/>
    <w:rsid w:val="00822213"/>
    <w:rsid w:val="00831F79"/>
    <w:rsid w:val="00835A38"/>
    <w:rsid w:val="008401B3"/>
    <w:rsid w:val="00841B66"/>
    <w:rsid w:val="00845635"/>
    <w:rsid w:val="0085384E"/>
    <w:rsid w:val="0085473E"/>
    <w:rsid w:val="0085688E"/>
    <w:rsid w:val="00861D96"/>
    <w:rsid w:val="00864BB9"/>
    <w:rsid w:val="00870AF0"/>
    <w:rsid w:val="0087385E"/>
    <w:rsid w:val="00873B28"/>
    <w:rsid w:val="00873CCE"/>
    <w:rsid w:val="00875856"/>
    <w:rsid w:val="008862DB"/>
    <w:rsid w:val="00886998"/>
    <w:rsid w:val="00897409"/>
    <w:rsid w:val="008A0FF8"/>
    <w:rsid w:val="008A24DF"/>
    <w:rsid w:val="008A713B"/>
    <w:rsid w:val="008B3B02"/>
    <w:rsid w:val="008B46EE"/>
    <w:rsid w:val="008C5CC7"/>
    <w:rsid w:val="008C62EC"/>
    <w:rsid w:val="008C76F4"/>
    <w:rsid w:val="008D08A5"/>
    <w:rsid w:val="008D6D1E"/>
    <w:rsid w:val="008F40A5"/>
    <w:rsid w:val="0090586A"/>
    <w:rsid w:val="00905D69"/>
    <w:rsid w:val="00915F51"/>
    <w:rsid w:val="0091731A"/>
    <w:rsid w:val="00947228"/>
    <w:rsid w:val="00951D89"/>
    <w:rsid w:val="00954E0A"/>
    <w:rsid w:val="0095706A"/>
    <w:rsid w:val="00964715"/>
    <w:rsid w:val="00976333"/>
    <w:rsid w:val="00982719"/>
    <w:rsid w:val="00990658"/>
    <w:rsid w:val="009A789A"/>
    <w:rsid w:val="009B14CE"/>
    <w:rsid w:val="009B1EBE"/>
    <w:rsid w:val="009C58B4"/>
    <w:rsid w:val="009D2944"/>
    <w:rsid w:val="009D6188"/>
    <w:rsid w:val="009F7963"/>
    <w:rsid w:val="00A01D86"/>
    <w:rsid w:val="00A04226"/>
    <w:rsid w:val="00A07A71"/>
    <w:rsid w:val="00A17B8C"/>
    <w:rsid w:val="00A20932"/>
    <w:rsid w:val="00A26AF1"/>
    <w:rsid w:val="00A26E12"/>
    <w:rsid w:val="00A30D99"/>
    <w:rsid w:val="00A36A73"/>
    <w:rsid w:val="00A40993"/>
    <w:rsid w:val="00A40F7B"/>
    <w:rsid w:val="00A42774"/>
    <w:rsid w:val="00A44660"/>
    <w:rsid w:val="00A646F8"/>
    <w:rsid w:val="00A675D0"/>
    <w:rsid w:val="00A741F1"/>
    <w:rsid w:val="00A76C23"/>
    <w:rsid w:val="00A77064"/>
    <w:rsid w:val="00A8397F"/>
    <w:rsid w:val="00A90F8A"/>
    <w:rsid w:val="00AA0BE0"/>
    <w:rsid w:val="00AB2D9E"/>
    <w:rsid w:val="00AC1901"/>
    <w:rsid w:val="00AC215F"/>
    <w:rsid w:val="00AC28F5"/>
    <w:rsid w:val="00AC5E74"/>
    <w:rsid w:val="00AC617A"/>
    <w:rsid w:val="00AD057B"/>
    <w:rsid w:val="00AD104F"/>
    <w:rsid w:val="00AD16CA"/>
    <w:rsid w:val="00AD6225"/>
    <w:rsid w:val="00AE2B70"/>
    <w:rsid w:val="00AE4755"/>
    <w:rsid w:val="00AE5F46"/>
    <w:rsid w:val="00AF0948"/>
    <w:rsid w:val="00B00BA6"/>
    <w:rsid w:val="00B05EEA"/>
    <w:rsid w:val="00B139C8"/>
    <w:rsid w:val="00B158EE"/>
    <w:rsid w:val="00B172D4"/>
    <w:rsid w:val="00B20F70"/>
    <w:rsid w:val="00B259C5"/>
    <w:rsid w:val="00B27DDA"/>
    <w:rsid w:val="00B30C0F"/>
    <w:rsid w:val="00B313B9"/>
    <w:rsid w:val="00B31B15"/>
    <w:rsid w:val="00B33663"/>
    <w:rsid w:val="00B3531E"/>
    <w:rsid w:val="00B56534"/>
    <w:rsid w:val="00B83F56"/>
    <w:rsid w:val="00B872A5"/>
    <w:rsid w:val="00B95721"/>
    <w:rsid w:val="00BA1C24"/>
    <w:rsid w:val="00BA48CC"/>
    <w:rsid w:val="00BA51E2"/>
    <w:rsid w:val="00BB4B43"/>
    <w:rsid w:val="00BB5056"/>
    <w:rsid w:val="00BB6754"/>
    <w:rsid w:val="00BC1A2D"/>
    <w:rsid w:val="00BC2477"/>
    <w:rsid w:val="00BC6C12"/>
    <w:rsid w:val="00BD35DF"/>
    <w:rsid w:val="00BD39D5"/>
    <w:rsid w:val="00BD5142"/>
    <w:rsid w:val="00BD567B"/>
    <w:rsid w:val="00BD623B"/>
    <w:rsid w:val="00BE1A89"/>
    <w:rsid w:val="00BE3F95"/>
    <w:rsid w:val="00BE717D"/>
    <w:rsid w:val="00BE79A7"/>
    <w:rsid w:val="00BF2B69"/>
    <w:rsid w:val="00BF312C"/>
    <w:rsid w:val="00C009D1"/>
    <w:rsid w:val="00C04A90"/>
    <w:rsid w:val="00C07FB4"/>
    <w:rsid w:val="00C10E89"/>
    <w:rsid w:val="00C12300"/>
    <w:rsid w:val="00C160EC"/>
    <w:rsid w:val="00C17B81"/>
    <w:rsid w:val="00C25406"/>
    <w:rsid w:val="00C36B74"/>
    <w:rsid w:val="00C41A97"/>
    <w:rsid w:val="00C42322"/>
    <w:rsid w:val="00C42CFE"/>
    <w:rsid w:val="00C51E2B"/>
    <w:rsid w:val="00C5329E"/>
    <w:rsid w:val="00C65C5C"/>
    <w:rsid w:val="00C779A5"/>
    <w:rsid w:val="00C83D7A"/>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230F7"/>
    <w:rsid w:val="00D237BC"/>
    <w:rsid w:val="00D306BB"/>
    <w:rsid w:val="00D314FD"/>
    <w:rsid w:val="00D41D12"/>
    <w:rsid w:val="00D4620F"/>
    <w:rsid w:val="00D4732E"/>
    <w:rsid w:val="00D5367E"/>
    <w:rsid w:val="00D55033"/>
    <w:rsid w:val="00D55BF3"/>
    <w:rsid w:val="00D60841"/>
    <w:rsid w:val="00D615F1"/>
    <w:rsid w:val="00D62C0B"/>
    <w:rsid w:val="00D6384B"/>
    <w:rsid w:val="00D710D2"/>
    <w:rsid w:val="00D7342E"/>
    <w:rsid w:val="00D8453B"/>
    <w:rsid w:val="00D86C87"/>
    <w:rsid w:val="00D90FF5"/>
    <w:rsid w:val="00D956B6"/>
    <w:rsid w:val="00D96F6A"/>
    <w:rsid w:val="00DA37ED"/>
    <w:rsid w:val="00DA4BB8"/>
    <w:rsid w:val="00DA5D6E"/>
    <w:rsid w:val="00DB3E70"/>
    <w:rsid w:val="00DB446C"/>
    <w:rsid w:val="00DB65F5"/>
    <w:rsid w:val="00DB6699"/>
    <w:rsid w:val="00DB79D5"/>
    <w:rsid w:val="00DC7BC0"/>
    <w:rsid w:val="00DD11C1"/>
    <w:rsid w:val="00DD288B"/>
    <w:rsid w:val="00DD6B4B"/>
    <w:rsid w:val="00DE4C46"/>
    <w:rsid w:val="00DE516A"/>
    <w:rsid w:val="00DE5505"/>
    <w:rsid w:val="00DE7501"/>
    <w:rsid w:val="00DF0080"/>
    <w:rsid w:val="00DF3287"/>
    <w:rsid w:val="00E062AA"/>
    <w:rsid w:val="00E11A80"/>
    <w:rsid w:val="00E33347"/>
    <w:rsid w:val="00E3381F"/>
    <w:rsid w:val="00E33954"/>
    <w:rsid w:val="00E50617"/>
    <w:rsid w:val="00E51955"/>
    <w:rsid w:val="00E51FD3"/>
    <w:rsid w:val="00E57018"/>
    <w:rsid w:val="00E70AE7"/>
    <w:rsid w:val="00E736C4"/>
    <w:rsid w:val="00E76A26"/>
    <w:rsid w:val="00E778D0"/>
    <w:rsid w:val="00E8086C"/>
    <w:rsid w:val="00E80945"/>
    <w:rsid w:val="00E95F0C"/>
    <w:rsid w:val="00EA367F"/>
    <w:rsid w:val="00EA3EE5"/>
    <w:rsid w:val="00EA4A57"/>
    <w:rsid w:val="00EB42A2"/>
    <w:rsid w:val="00EB432D"/>
    <w:rsid w:val="00EB5344"/>
    <w:rsid w:val="00EC23DE"/>
    <w:rsid w:val="00EC5392"/>
    <w:rsid w:val="00EC5E56"/>
    <w:rsid w:val="00EC6603"/>
    <w:rsid w:val="00ED110F"/>
    <w:rsid w:val="00ED26B7"/>
    <w:rsid w:val="00EE0505"/>
    <w:rsid w:val="00EE25FD"/>
    <w:rsid w:val="00EE3F9B"/>
    <w:rsid w:val="00F11A35"/>
    <w:rsid w:val="00F12014"/>
    <w:rsid w:val="00F2629E"/>
    <w:rsid w:val="00F31D66"/>
    <w:rsid w:val="00F325D3"/>
    <w:rsid w:val="00F35F7E"/>
    <w:rsid w:val="00F417CD"/>
    <w:rsid w:val="00F45B5D"/>
    <w:rsid w:val="00F56473"/>
    <w:rsid w:val="00F57A62"/>
    <w:rsid w:val="00F667E7"/>
    <w:rsid w:val="00F7001B"/>
    <w:rsid w:val="00F723C7"/>
    <w:rsid w:val="00F80B86"/>
    <w:rsid w:val="00F85AFC"/>
    <w:rsid w:val="00F86929"/>
    <w:rsid w:val="00F94622"/>
    <w:rsid w:val="00FA68C6"/>
    <w:rsid w:val="00FA7B80"/>
    <w:rsid w:val="00FB3022"/>
    <w:rsid w:val="00FB5F64"/>
    <w:rsid w:val="00FC6679"/>
    <w:rsid w:val="00FD3DA0"/>
    <w:rsid w:val="00FE13A5"/>
    <w:rsid w:val="00FE4561"/>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4F9C8"/>
  <w15:chartTrackingRefBased/>
  <w15:docId w15:val="{B6FD80F8-1A75-4D27-8DFE-E1D62A82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306BB"/>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aliases w:val="List Paragraph Main,List first level,Paragraphe EI,Paragraphe de liste1,EC,List Paragraph,Bullet Points,Colorful List - Accent 11,Dot pt,F5 List Paragraph,Indicator Text,List Paragraph Char Char Char,List Paragraph11,List Paragraph2"/>
    <w:basedOn w:val="Standard"/>
    <w:link w:val="ListenabsatzZchn"/>
    <w:uiPriority w:val="34"/>
    <w:qFormat/>
    <w:rsid w:val="00D306BB"/>
    <w:pPr>
      <w:ind w:left="720"/>
      <w:contextualSpacing/>
    </w:pPr>
  </w:style>
  <w:style w:type="character" w:customStyle="1" w:styleId="ListenabsatzZchn">
    <w:name w:val="Listenabsatz Zchn"/>
    <w:aliases w:val="List Paragraph Main Zchn,List first level Zchn,Paragraphe EI Zchn,Paragraphe de liste1 Zchn,EC Zchn,List Paragraph Zchn,Bullet Points Zchn,Colorful List - Accent 11 Zchn,Dot pt Zchn,F5 List Paragraph Zchn,Indicator Text Zchn"/>
    <w:basedOn w:val="Absatz-Standardschriftart"/>
    <w:link w:val="Listenabsatz"/>
    <w:uiPriority w:val="34"/>
    <w:locked/>
    <w:rsid w:val="00D306BB"/>
    <w:rPr>
      <w:rFonts w:ascii="Trebuchet MS" w:hAnsi="Trebuchet MS" w:cs="Times New Roman"/>
      <w:szCs w:val="20"/>
      <w:lang w:val="de-DE" w:eastAsia="de-DE"/>
    </w:rPr>
  </w:style>
  <w:style w:type="paragraph" w:styleId="berarbeitung">
    <w:name w:val="Revision"/>
    <w:hidden/>
    <w:uiPriority w:val="99"/>
    <w:semiHidden/>
    <w:rsid w:val="00A8397F"/>
    <w:pPr>
      <w:spacing w:line="240" w:lineRule="auto"/>
    </w:pPr>
    <w:rPr>
      <w:rFonts w:ascii="Trebuchet MS" w:hAnsi="Trebuchet MS" w:cs="Times New Roman"/>
      <w:szCs w:val="20"/>
      <w:lang w:val="de-DE" w:eastAsia="de-DE"/>
    </w:rPr>
  </w:style>
  <w:style w:type="paragraph" w:styleId="Kopfzeile">
    <w:name w:val="header"/>
    <w:basedOn w:val="Standard"/>
    <w:link w:val="KopfzeileZchn"/>
    <w:uiPriority w:val="99"/>
    <w:unhideWhenUsed/>
    <w:rsid w:val="007F446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F4462"/>
    <w:rPr>
      <w:rFonts w:ascii="Trebuchet MS" w:hAnsi="Trebuchet MS" w:cs="Times New Roman"/>
      <w:szCs w:val="20"/>
      <w:lang w:val="de-DE" w:eastAsia="de-DE"/>
    </w:rPr>
  </w:style>
  <w:style w:type="paragraph" w:styleId="Fuzeile">
    <w:name w:val="footer"/>
    <w:basedOn w:val="Standard"/>
    <w:link w:val="FuzeileZchn"/>
    <w:uiPriority w:val="99"/>
    <w:unhideWhenUsed/>
    <w:rsid w:val="007F446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F4462"/>
    <w:rPr>
      <w:rFonts w:ascii="Trebuchet MS" w:hAnsi="Trebuchet MS" w:cs="Times New Roman"/>
      <w:szCs w:val="20"/>
      <w:lang w:val="de-DE" w:eastAsia="de-DE"/>
    </w:rPr>
  </w:style>
  <w:style w:type="character" w:styleId="Hyperlink">
    <w:name w:val="Hyperlink"/>
    <w:basedOn w:val="Absatz-Standardschriftart"/>
    <w:uiPriority w:val="99"/>
    <w:semiHidden/>
    <w:unhideWhenUsed/>
    <w:rsid w:val="00DA4BB8"/>
    <w:rPr>
      <w:color w:val="0000FF"/>
      <w:u w:val="single"/>
    </w:rPr>
  </w:style>
  <w:style w:type="character" w:styleId="Hervorhebung">
    <w:name w:val="Emphasis"/>
    <w:basedOn w:val="Absatz-Standardschriftart"/>
    <w:uiPriority w:val="20"/>
    <w:qFormat/>
    <w:rsid w:val="003D53D2"/>
    <w:rPr>
      <w:i/>
      <w:iCs/>
    </w:rPr>
  </w:style>
  <w:style w:type="paragraph" w:customStyle="1" w:styleId="xxmsonormal">
    <w:name w:val="x_xmsonormal"/>
    <w:basedOn w:val="Standard"/>
    <w:rsid w:val="00450E5E"/>
    <w:pPr>
      <w:spacing w:line="240" w:lineRule="auto"/>
    </w:pPr>
    <w:rPr>
      <w:rFonts w:ascii="Calibri" w:eastAsiaTheme="minorHAnsi" w:hAnsi="Calibri" w:cs="Calibri"/>
      <w:szCs w:val="22"/>
      <w:lang w:val="de-AT" w:eastAsia="de-AT"/>
    </w:rPr>
  </w:style>
  <w:style w:type="paragraph" w:styleId="StandardWeb">
    <w:name w:val="Normal (Web)"/>
    <w:basedOn w:val="Standard"/>
    <w:uiPriority w:val="99"/>
    <w:semiHidden/>
    <w:unhideWhenUsed/>
    <w:rsid w:val="007F07FE"/>
    <w:pPr>
      <w:spacing w:before="100" w:beforeAutospacing="1" w:after="100" w:afterAutospacing="1" w:line="240" w:lineRule="auto"/>
    </w:pPr>
    <w:rPr>
      <w:rFonts w:ascii="Calibri" w:eastAsiaTheme="minorHAnsi" w:hAnsi="Calibri" w:cs="Calibri"/>
      <w:szCs w:val="22"/>
      <w:lang w:val="de-AT" w:eastAsia="de-AT"/>
    </w:rPr>
  </w:style>
  <w:style w:type="character" w:styleId="Funotenzeichen">
    <w:name w:val="footnote reference"/>
    <w:basedOn w:val="Absatz-Standardschriftart"/>
    <w:uiPriority w:val="99"/>
    <w:semiHidden/>
    <w:unhideWhenUsed/>
    <w:rsid w:val="001A4052"/>
    <w:rPr>
      <w:vertAlign w:val="superscript"/>
    </w:rPr>
  </w:style>
  <w:style w:type="table" w:styleId="Tabellenraster">
    <w:name w:val="Table Grid"/>
    <w:basedOn w:val="NormaleTabelle"/>
    <w:rsid w:val="00BD623B"/>
    <w:pPr>
      <w:spacing w:line="240" w:lineRule="auto"/>
      <w:jc w:val="both"/>
    </w:pPr>
    <w:rPr>
      <w:rFonts w:ascii="Times New Roman" w:hAnsi="Times New Roman" w:cs="Times New Roman"/>
      <w:sz w:val="20"/>
      <w:szCs w:val="20"/>
      <w:lang w:val="fr-B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843">
      <w:bodyDiv w:val="1"/>
      <w:marLeft w:val="0"/>
      <w:marRight w:val="0"/>
      <w:marTop w:val="0"/>
      <w:marBottom w:val="0"/>
      <w:divBdr>
        <w:top w:val="none" w:sz="0" w:space="0" w:color="auto"/>
        <w:left w:val="none" w:sz="0" w:space="0" w:color="auto"/>
        <w:bottom w:val="none" w:sz="0" w:space="0" w:color="auto"/>
        <w:right w:val="none" w:sz="0" w:space="0" w:color="auto"/>
      </w:divBdr>
      <w:divsChild>
        <w:div w:id="1920290348">
          <w:marLeft w:val="0"/>
          <w:marRight w:val="0"/>
          <w:marTop w:val="0"/>
          <w:marBottom w:val="0"/>
          <w:divBdr>
            <w:top w:val="none" w:sz="0" w:space="0" w:color="auto"/>
            <w:left w:val="none" w:sz="0" w:space="0" w:color="auto"/>
            <w:bottom w:val="none" w:sz="0" w:space="0" w:color="auto"/>
            <w:right w:val="none" w:sz="0" w:space="0" w:color="auto"/>
          </w:divBdr>
          <w:divsChild>
            <w:div w:id="12924795">
              <w:marLeft w:val="0"/>
              <w:marRight w:val="0"/>
              <w:marTop w:val="0"/>
              <w:marBottom w:val="0"/>
              <w:divBdr>
                <w:top w:val="none" w:sz="0" w:space="0" w:color="auto"/>
                <w:left w:val="none" w:sz="0" w:space="0" w:color="auto"/>
                <w:bottom w:val="none" w:sz="0" w:space="0" w:color="auto"/>
                <w:right w:val="none" w:sz="0" w:space="0" w:color="auto"/>
              </w:divBdr>
              <w:divsChild>
                <w:div w:id="1745255840">
                  <w:marLeft w:val="0"/>
                  <w:marRight w:val="0"/>
                  <w:marTop w:val="0"/>
                  <w:marBottom w:val="0"/>
                  <w:divBdr>
                    <w:top w:val="none" w:sz="0" w:space="0" w:color="auto"/>
                    <w:left w:val="none" w:sz="0" w:space="0" w:color="auto"/>
                    <w:bottom w:val="none" w:sz="0" w:space="0" w:color="auto"/>
                    <w:right w:val="none" w:sz="0" w:space="0" w:color="auto"/>
                  </w:divBdr>
                  <w:divsChild>
                    <w:div w:id="5060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317531">
      <w:bodyDiv w:val="1"/>
      <w:marLeft w:val="0"/>
      <w:marRight w:val="0"/>
      <w:marTop w:val="0"/>
      <w:marBottom w:val="0"/>
      <w:divBdr>
        <w:top w:val="none" w:sz="0" w:space="0" w:color="auto"/>
        <w:left w:val="none" w:sz="0" w:space="0" w:color="auto"/>
        <w:bottom w:val="none" w:sz="0" w:space="0" w:color="auto"/>
        <w:right w:val="none" w:sz="0" w:space="0" w:color="auto"/>
      </w:divBdr>
    </w:div>
    <w:div w:id="749473527">
      <w:bodyDiv w:val="1"/>
      <w:marLeft w:val="0"/>
      <w:marRight w:val="0"/>
      <w:marTop w:val="0"/>
      <w:marBottom w:val="0"/>
      <w:divBdr>
        <w:top w:val="none" w:sz="0" w:space="0" w:color="auto"/>
        <w:left w:val="none" w:sz="0" w:space="0" w:color="auto"/>
        <w:bottom w:val="none" w:sz="0" w:space="0" w:color="auto"/>
        <w:right w:val="none" w:sz="0" w:space="0" w:color="auto"/>
      </w:divBdr>
    </w:div>
    <w:div w:id="767314620">
      <w:bodyDiv w:val="1"/>
      <w:marLeft w:val="0"/>
      <w:marRight w:val="0"/>
      <w:marTop w:val="0"/>
      <w:marBottom w:val="0"/>
      <w:divBdr>
        <w:top w:val="none" w:sz="0" w:space="0" w:color="auto"/>
        <w:left w:val="none" w:sz="0" w:space="0" w:color="auto"/>
        <w:bottom w:val="none" w:sz="0" w:space="0" w:color="auto"/>
        <w:right w:val="none" w:sz="0" w:space="0" w:color="auto"/>
      </w:divBdr>
    </w:div>
    <w:div w:id="867183745">
      <w:bodyDiv w:val="1"/>
      <w:marLeft w:val="0"/>
      <w:marRight w:val="0"/>
      <w:marTop w:val="0"/>
      <w:marBottom w:val="0"/>
      <w:divBdr>
        <w:top w:val="none" w:sz="0" w:space="0" w:color="auto"/>
        <w:left w:val="none" w:sz="0" w:space="0" w:color="auto"/>
        <w:bottom w:val="none" w:sz="0" w:space="0" w:color="auto"/>
        <w:right w:val="none" w:sz="0" w:space="0" w:color="auto"/>
      </w:divBdr>
    </w:div>
    <w:div w:id="902258803">
      <w:bodyDiv w:val="1"/>
      <w:marLeft w:val="0"/>
      <w:marRight w:val="0"/>
      <w:marTop w:val="0"/>
      <w:marBottom w:val="0"/>
      <w:divBdr>
        <w:top w:val="none" w:sz="0" w:space="0" w:color="auto"/>
        <w:left w:val="none" w:sz="0" w:space="0" w:color="auto"/>
        <w:bottom w:val="none" w:sz="0" w:space="0" w:color="auto"/>
        <w:right w:val="none" w:sz="0" w:space="0" w:color="auto"/>
      </w:divBdr>
    </w:div>
    <w:div w:id="1335493192">
      <w:bodyDiv w:val="1"/>
      <w:marLeft w:val="0"/>
      <w:marRight w:val="0"/>
      <w:marTop w:val="0"/>
      <w:marBottom w:val="0"/>
      <w:divBdr>
        <w:top w:val="none" w:sz="0" w:space="0" w:color="auto"/>
        <w:left w:val="none" w:sz="0" w:space="0" w:color="auto"/>
        <w:bottom w:val="none" w:sz="0" w:space="0" w:color="auto"/>
        <w:right w:val="none" w:sz="0" w:space="0" w:color="auto"/>
      </w:divBdr>
      <w:divsChild>
        <w:div w:id="1888907821">
          <w:marLeft w:val="0"/>
          <w:marRight w:val="0"/>
          <w:marTop w:val="0"/>
          <w:marBottom w:val="0"/>
          <w:divBdr>
            <w:top w:val="none" w:sz="0" w:space="0" w:color="auto"/>
            <w:left w:val="none" w:sz="0" w:space="0" w:color="auto"/>
            <w:bottom w:val="none" w:sz="0" w:space="0" w:color="auto"/>
            <w:right w:val="none" w:sz="0" w:space="0" w:color="auto"/>
          </w:divBdr>
          <w:divsChild>
            <w:div w:id="1523546931">
              <w:marLeft w:val="0"/>
              <w:marRight w:val="0"/>
              <w:marTop w:val="0"/>
              <w:marBottom w:val="0"/>
              <w:divBdr>
                <w:top w:val="none" w:sz="0" w:space="0" w:color="auto"/>
                <w:left w:val="none" w:sz="0" w:space="0" w:color="auto"/>
                <w:bottom w:val="none" w:sz="0" w:space="0" w:color="auto"/>
                <w:right w:val="none" w:sz="0" w:space="0" w:color="auto"/>
              </w:divBdr>
              <w:divsChild>
                <w:div w:id="550461763">
                  <w:marLeft w:val="0"/>
                  <w:marRight w:val="0"/>
                  <w:marTop w:val="0"/>
                  <w:marBottom w:val="0"/>
                  <w:divBdr>
                    <w:top w:val="none" w:sz="0" w:space="0" w:color="auto"/>
                    <w:left w:val="none" w:sz="0" w:space="0" w:color="auto"/>
                    <w:bottom w:val="none" w:sz="0" w:space="0" w:color="auto"/>
                    <w:right w:val="none" w:sz="0" w:space="0" w:color="auto"/>
                  </w:divBdr>
                  <w:divsChild>
                    <w:div w:id="9550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572242">
      <w:bodyDiv w:val="1"/>
      <w:marLeft w:val="0"/>
      <w:marRight w:val="0"/>
      <w:marTop w:val="0"/>
      <w:marBottom w:val="0"/>
      <w:divBdr>
        <w:top w:val="none" w:sz="0" w:space="0" w:color="auto"/>
        <w:left w:val="none" w:sz="0" w:space="0" w:color="auto"/>
        <w:bottom w:val="none" w:sz="0" w:space="0" w:color="auto"/>
        <w:right w:val="none" w:sz="0" w:space="0" w:color="auto"/>
      </w:divBdr>
    </w:div>
    <w:div w:id="1917594870">
      <w:bodyDiv w:val="1"/>
      <w:marLeft w:val="0"/>
      <w:marRight w:val="0"/>
      <w:marTop w:val="0"/>
      <w:marBottom w:val="0"/>
      <w:divBdr>
        <w:top w:val="none" w:sz="0" w:space="0" w:color="auto"/>
        <w:left w:val="none" w:sz="0" w:space="0" w:color="auto"/>
        <w:bottom w:val="none" w:sz="0" w:space="0" w:color="auto"/>
        <w:right w:val="none" w:sz="0" w:space="0" w:color="auto"/>
      </w:divBdr>
    </w:div>
    <w:div w:id="208391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2.xml><?xml version="1.0" encoding="utf-8"?>
<ds:datastoreItem xmlns:ds="http://schemas.openxmlformats.org/officeDocument/2006/customXml" ds:itemID="{E6D30954-D48E-4AAF-AD6C-C898BF30EC69}">
  <ds:schemaRefs>
    <ds:schemaRef ds:uri="http://schemas.openxmlformats.org/officeDocument/2006/bibliography"/>
  </ds:schemaRefs>
</ds:datastoreItem>
</file>

<file path=customXml/itemProps3.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4.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1693</Words>
  <Characters>10667</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Horvath Philipp | WKOE</dc:creator>
  <cp:keywords/>
  <dc:description/>
  <cp:lastModifiedBy>Aslan Tugce | WKOE</cp:lastModifiedBy>
  <cp:revision>6</cp:revision>
  <dcterms:created xsi:type="dcterms:W3CDTF">2025-03-10T14:21:00Z</dcterms:created>
  <dcterms:modified xsi:type="dcterms:W3CDTF">2025-03-10T14:42:00Z</dcterms:modified>
</cp:coreProperties>
</file>