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47" w:rsidRPr="00C228E2" w:rsidRDefault="00606692" w:rsidP="00923886">
      <w:pPr>
        <w:pStyle w:val="Heading1"/>
        <w:jc w:val="both"/>
        <w:rPr>
          <w:rFonts w:ascii="Barclays Sans" w:hAnsi="Barclays Sans"/>
          <w:noProof/>
          <w:color w:val="00B0F0"/>
        </w:rPr>
      </w:pPr>
      <w:r>
        <w:rPr>
          <w:noProof/>
          <w:lang w:eastAsia="en-GB"/>
        </w:rPr>
        <w:drawing>
          <wp:anchor distT="0" distB="0" distL="114300" distR="114300" simplePos="0" relativeHeight="251657728" behindDoc="0" locked="1" layoutInCell="1" allowOverlap="1">
            <wp:simplePos x="0" y="0"/>
            <wp:positionH relativeFrom="page">
              <wp:posOffset>1238885</wp:posOffset>
            </wp:positionH>
            <wp:positionV relativeFrom="page">
              <wp:posOffset>989965</wp:posOffset>
            </wp:positionV>
            <wp:extent cx="1439545" cy="241300"/>
            <wp:effectExtent l="19050" t="0" r="8255" b="0"/>
            <wp:wrapNone/>
            <wp:docPr id="4" name="Picture 1" descr="Description: Bar_06_COL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r_06_COL_POS.png"/>
                    <pic:cNvPicPr>
                      <a:picLocks noChangeAspect="1" noChangeArrowheads="1"/>
                    </pic:cNvPicPr>
                  </pic:nvPicPr>
                  <pic:blipFill>
                    <a:blip r:embed="rId8" cstate="print"/>
                    <a:srcRect/>
                    <a:stretch>
                      <a:fillRect/>
                    </a:stretch>
                  </pic:blipFill>
                  <pic:spPr bwMode="auto">
                    <a:xfrm>
                      <a:off x="0" y="0"/>
                      <a:ext cx="1439545" cy="241300"/>
                    </a:xfrm>
                    <a:prstGeom prst="rect">
                      <a:avLst/>
                    </a:prstGeom>
                    <a:noFill/>
                    <a:ln w="9525">
                      <a:noFill/>
                      <a:miter lim="800000"/>
                      <a:headEnd/>
                      <a:tailEnd/>
                    </a:ln>
                  </pic:spPr>
                </pic:pic>
              </a:graphicData>
            </a:graphic>
          </wp:anchor>
        </w:drawing>
      </w:r>
    </w:p>
    <w:p w:rsidR="005B4847" w:rsidRPr="00C228E2" w:rsidRDefault="005B4847" w:rsidP="00923886">
      <w:pPr>
        <w:pStyle w:val="Heading1"/>
        <w:jc w:val="both"/>
        <w:rPr>
          <w:rFonts w:ascii="Barclays Sans" w:hAnsi="Barclays Sans"/>
          <w:noProof/>
          <w:color w:val="00B0F0"/>
        </w:rPr>
      </w:pPr>
    </w:p>
    <w:p w:rsidR="005B4847" w:rsidRPr="00C228E2" w:rsidRDefault="005B4847" w:rsidP="003D3D61">
      <w:pPr>
        <w:pStyle w:val="Heading1"/>
        <w:rPr>
          <w:rFonts w:ascii="Barclays Sans" w:hAnsi="Barclays Sans"/>
          <w:noProof/>
          <w:color w:val="auto"/>
          <w:sz w:val="28"/>
          <w:szCs w:val="28"/>
        </w:rPr>
      </w:pPr>
      <w:r w:rsidRPr="003D3D61">
        <w:rPr>
          <w:rFonts w:ascii="Barclays Sans" w:hAnsi="Barclays Sans"/>
          <w:noProof/>
          <w:color w:val="auto"/>
          <w:sz w:val="28"/>
          <w:szCs w:val="28"/>
        </w:rPr>
        <w:t xml:space="preserve">European Banking Authority </w:t>
      </w:r>
      <w:r>
        <w:rPr>
          <w:rFonts w:ascii="Barclays Sans" w:hAnsi="Barclays Sans"/>
          <w:noProof/>
          <w:color w:val="auto"/>
          <w:sz w:val="28"/>
          <w:szCs w:val="28"/>
        </w:rPr>
        <w:br/>
      </w:r>
      <w:smartTag w:uri="urn:schemas-microsoft-com:office:smarttags" w:element="Street">
        <w:smartTag w:uri="urn:schemas-microsoft-com:office:smarttags" w:element="address">
          <w:r w:rsidRPr="003D3D61">
            <w:rPr>
              <w:rFonts w:ascii="Barclays Sans" w:hAnsi="Barclays Sans"/>
              <w:noProof/>
              <w:color w:val="auto"/>
              <w:sz w:val="28"/>
              <w:szCs w:val="28"/>
            </w:rPr>
            <w:t>One Canada Square</w:t>
          </w:r>
        </w:smartTag>
      </w:smartTag>
      <w:r w:rsidRPr="003D3D61">
        <w:rPr>
          <w:rFonts w:ascii="Barclays Sans" w:hAnsi="Barclays Sans"/>
          <w:noProof/>
          <w:color w:val="auto"/>
          <w:sz w:val="28"/>
          <w:szCs w:val="28"/>
        </w:rPr>
        <w:t xml:space="preserve"> (Floor 46)</w:t>
      </w:r>
      <w:r>
        <w:rPr>
          <w:rFonts w:ascii="Barclays Sans" w:hAnsi="Barclays Sans"/>
          <w:noProof/>
          <w:color w:val="auto"/>
          <w:sz w:val="28"/>
          <w:szCs w:val="28"/>
        </w:rPr>
        <w:br/>
      </w:r>
      <w:smartTag w:uri="urn:schemas-microsoft-com:office:smarttags" w:element="PlaceName">
        <w:r w:rsidRPr="003D3D61">
          <w:rPr>
            <w:rFonts w:ascii="Barclays Sans" w:hAnsi="Barclays Sans"/>
            <w:noProof/>
            <w:color w:val="auto"/>
            <w:sz w:val="28"/>
            <w:szCs w:val="28"/>
          </w:rPr>
          <w:t>Canary</w:t>
        </w:r>
      </w:smartTag>
      <w:r w:rsidRPr="003D3D61">
        <w:rPr>
          <w:rFonts w:ascii="Barclays Sans" w:hAnsi="Barclays Sans"/>
          <w:noProof/>
          <w:color w:val="auto"/>
          <w:sz w:val="28"/>
          <w:szCs w:val="28"/>
        </w:rPr>
        <w:t xml:space="preserve"> </w:t>
      </w:r>
      <w:smartTag w:uri="urn:schemas-microsoft-com:office:smarttags" w:element="PlaceType">
        <w:r w:rsidRPr="003D3D61">
          <w:rPr>
            <w:rFonts w:ascii="Barclays Sans" w:hAnsi="Barclays Sans"/>
            <w:noProof/>
            <w:color w:val="auto"/>
            <w:sz w:val="28"/>
            <w:szCs w:val="28"/>
          </w:rPr>
          <w:t>Wharf</w:t>
        </w:r>
      </w:smartTag>
      <w:r>
        <w:rPr>
          <w:rFonts w:ascii="Barclays Sans" w:hAnsi="Barclays Sans"/>
          <w:noProof/>
          <w:color w:val="auto"/>
          <w:sz w:val="28"/>
          <w:szCs w:val="28"/>
        </w:rPr>
        <w:br/>
      </w:r>
      <w:smartTag w:uri="urn:schemas-microsoft-com:office:smarttags" w:element="City">
        <w:smartTag w:uri="urn:schemas-microsoft-com:office:smarttags" w:element="place">
          <w:r w:rsidRPr="003D3D61">
            <w:rPr>
              <w:rFonts w:ascii="Barclays Sans" w:hAnsi="Barclays Sans"/>
              <w:noProof/>
              <w:color w:val="auto"/>
              <w:sz w:val="28"/>
              <w:szCs w:val="28"/>
            </w:rPr>
            <w:t>London</w:t>
          </w:r>
        </w:smartTag>
      </w:smartTag>
      <w:r w:rsidRPr="003D3D61">
        <w:rPr>
          <w:rFonts w:ascii="Barclays Sans" w:hAnsi="Barclays Sans"/>
          <w:noProof/>
          <w:color w:val="auto"/>
          <w:sz w:val="28"/>
          <w:szCs w:val="28"/>
        </w:rPr>
        <w:t xml:space="preserve"> E14 5AA</w:t>
      </w:r>
    </w:p>
    <w:p w:rsidR="005B4847" w:rsidRPr="00B61BF5" w:rsidRDefault="005B4847" w:rsidP="00B61BF5">
      <w:pPr>
        <w:rPr>
          <w:lang w:eastAsia="en-US"/>
        </w:rPr>
      </w:pPr>
    </w:p>
    <w:p w:rsidR="005B4847" w:rsidRDefault="005B4847" w:rsidP="00B61BF5">
      <w:pPr>
        <w:rPr>
          <w:rFonts w:ascii="Barclays Sans" w:hAnsi="Barclays Sans"/>
          <w:sz w:val="28"/>
          <w:szCs w:val="28"/>
          <w:lang w:eastAsia="en-US"/>
        </w:rPr>
      </w:pPr>
    </w:p>
    <w:p w:rsidR="005B4847" w:rsidRDefault="005B4847" w:rsidP="00B61BF5">
      <w:pPr>
        <w:pStyle w:val="Heading1"/>
        <w:rPr>
          <w:rFonts w:ascii="Barclays Sans" w:hAnsi="Barclays Sans"/>
          <w:noProof/>
          <w:color w:val="00B0F0"/>
          <w:sz w:val="32"/>
          <w:szCs w:val="32"/>
        </w:rPr>
      </w:pPr>
      <w:r>
        <w:rPr>
          <w:rFonts w:ascii="Barclays Sans" w:hAnsi="Barclays Sans"/>
          <w:sz w:val="34"/>
          <w:szCs w:val="34"/>
        </w:rPr>
        <w:t xml:space="preserve">EBA </w:t>
      </w:r>
      <w:r w:rsidRPr="003D3D61">
        <w:rPr>
          <w:rFonts w:ascii="Barclays Sans" w:hAnsi="Barclays Sans"/>
          <w:sz w:val="34"/>
          <w:szCs w:val="34"/>
        </w:rPr>
        <w:t xml:space="preserve">Draft Regulatory Technical Standards on criteria for determining the </w:t>
      </w:r>
      <w:r>
        <w:rPr>
          <w:rFonts w:ascii="Barclays Sans" w:hAnsi="Barclays Sans"/>
          <w:sz w:val="34"/>
          <w:szCs w:val="34"/>
        </w:rPr>
        <w:t>M</w:t>
      </w:r>
      <w:r w:rsidRPr="003D3D61">
        <w:rPr>
          <w:rFonts w:ascii="Barclays Sans" w:hAnsi="Barclays Sans"/>
          <w:sz w:val="34"/>
          <w:szCs w:val="34"/>
        </w:rPr>
        <w:t xml:space="preserve">inimum </w:t>
      </w:r>
      <w:r>
        <w:rPr>
          <w:rFonts w:ascii="Barclays Sans" w:hAnsi="Barclays Sans"/>
          <w:sz w:val="34"/>
          <w:szCs w:val="34"/>
        </w:rPr>
        <w:t>R</w:t>
      </w:r>
      <w:r w:rsidRPr="003D3D61">
        <w:rPr>
          <w:rFonts w:ascii="Barclays Sans" w:hAnsi="Barclays Sans"/>
          <w:sz w:val="34"/>
          <w:szCs w:val="34"/>
        </w:rPr>
        <w:t xml:space="preserve">equirement for own funds and </w:t>
      </w:r>
      <w:r>
        <w:rPr>
          <w:rFonts w:ascii="Barclays Sans" w:hAnsi="Barclays Sans"/>
          <w:sz w:val="34"/>
          <w:szCs w:val="34"/>
        </w:rPr>
        <w:t>E</w:t>
      </w:r>
      <w:r w:rsidRPr="003D3D61">
        <w:rPr>
          <w:rFonts w:ascii="Barclays Sans" w:hAnsi="Barclays Sans"/>
          <w:sz w:val="34"/>
          <w:szCs w:val="34"/>
        </w:rPr>
        <w:t xml:space="preserve">ligible </w:t>
      </w:r>
      <w:r>
        <w:rPr>
          <w:rFonts w:ascii="Barclays Sans" w:hAnsi="Barclays Sans"/>
          <w:sz w:val="34"/>
          <w:szCs w:val="34"/>
        </w:rPr>
        <w:t>L</w:t>
      </w:r>
      <w:r w:rsidRPr="003D3D61">
        <w:rPr>
          <w:rFonts w:ascii="Barclays Sans" w:hAnsi="Barclays Sans"/>
          <w:sz w:val="34"/>
          <w:szCs w:val="34"/>
        </w:rPr>
        <w:t xml:space="preserve">iabilities </w:t>
      </w:r>
      <w:r>
        <w:rPr>
          <w:rFonts w:ascii="Barclays Sans" w:hAnsi="Barclays Sans"/>
          <w:sz w:val="34"/>
          <w:szCs w:val="34"/>
        </w:rPr>
        <w:t xml:space="preserve">(MREL) </w:t>
      </w:r>
      <w:r w:rsidRPr="003D3D61">
        <w:rPr>
          <w:rFonts w:ascii="Barclays Sans" w:hAnsi="Barclays Sans"/>
          <w:sz w:val="34"/>
          <w:szCs w:val="34"/>
        </w:rPr>
        <w:t>under Directive 2014/59/EU</w:t>
      </w:r>
    </w:p>
    <w:p w:rsidR="005B4847" w:rsidRDefault="005B4847" w:rsidP="00B61BF5">
      <w:pPr>
        <w:pStyle w:val="Heading1"/>
        <w:spacing w:before="0" w:after="0"/>
        <w:jc w:val="both"/>
        <w:rPr>
          <w:rFonts w:ascii="Barclays Sans" w:hAnsi="Barclays Sans"/>
          <w:noProof/>
          <w:color w:val="auto"/>
          <w:sz w:val="24"/>
          <w:szCs w:val="24"/>
        </w:rPr>
      </w:pPr>
    </w:p>
    <w:p w:rsidR="005B4847" w:rsidRDefault="005B4847" w:rsidP="00B61BF5">
      <w:pPr>
        <w:pStyle w:val="Heading1"/>
        <w:spacing w:before="0" w:after="0"/>
        <w:rPr>
          <w:rFonts w:ascii="Barclays Sans" w:hAnsi="Barclays Sans"/>
          <w:noProof/>
          <w:color w:val="auto"/>
          <w:sz w:val="24"/>
          <w:szCs w:val="24"/>
        </w:rPr>
      </w:pPr>
      <w:r>
        <w:rPr>
          <w:rFonts w:ascii="Barclays Sans" w:hAnsi="Barclays Sans"/>
          <w:noProof/>
          <w:color w:val="auto"/>
          <w:sz w:val="24"/>
          <w:szCs w:val="24"/>
        </w:rPr>
        <w:t xml:space="preserve">Barclays welcomes the opportunity to comment on the EBA’s proposals for </w:t>
      </w:r>
      <w:r w:rsidRPr="003D3D61">
        <w:rPr>
          <w:rFonts w:ascii="Barclays Sans" w:hAnsi="Barclays Sans"/>
          <w:noProof/>
          <w:color w:val="auto"/>
          <w:sz w:val="24"/>
          <w:szCs w:val="24"/>
        </w:rPr>
        <w:t>Minimum Requirement for own funds and Eligible Liabilities (MREL)</w:t>
      </w:r>
      <w:r>
        <w:rPr>
          <w:rFonts w:ascii="Barclays Sans" w:hAnsi="Barclays Sans"/>
          <w:noProof/>
          <w:color w:val="auto"/>
          <w:sz w:val="24"/>
          <w:szCs w:val="24"/>
        </w:rPr>
        <w:t>, and is s</w:t>
      </w:r>
      <w:r w:rsidRPr="00B61BF5">
        <w:rPr>
          <w:rFonts w:ascii="Barclays Sans" w:hAnsi="Barclays Sans"/>
          <w:noProof/>
          <w:color w:val="auto"/>
          <w:sz w:val="24"/>
          <w:szCs w:val="24"/>
        </w:rPr>
        <w:t>upport</w:t>
      </w:r>
      <w:r>
        <w:rPr>
          <w:rFonts w:ascii="Barclays Sans" w:hAnsi="Barclays Sans"/>
          <w:noProof/>
          <w:color w:val="auto"/>
          <w:sz w:val="24"/>
          <w:szCs w:val="24"/>
        </w:rPr>
        <w:t>ive of the</w:t>
      </w:r>
      <w:r w:rsidRPr="00B61BF5">
        <w:rPr>
          <w:rFonts w:ascii="Barclays Sans" w:hAnsi="Barclays Sans"/>
          <w:noProof/>
          <w:color w:val="auto"/>
          <w:sz w:val="24"/>
          <w:szCs w:val="24"/>
        </w:rPr>
        <w:t xml:space="preserve"> </w:t>
      </w:r>
      <w:r>
        <w:rPr>
          <w:rFonts w:ascii="Barclays Sans" w:hAnsi="Barclays Sans"/>
          <w:noProof/>
          <w:color w:val="auto"/>
          <w:sz w:val="24"/>
          <w:szCs w:val="24"/>
        </w:rPr>
        <w:t>need to</w:t>
      </w:r>
      <w:r w:rsidRPr="00B61BF5">
        <w:rPr>
          <w:rFonts w:ascii="Barclays Sans" w:hAnsi="Barclays Sans"/>
          <w:noProof/>
          <w:color w:val="auto"/>
          <w:sz w:val="24"/>
          <w:szCs w:val="24"/>
        </w:rPr>
        <w:t xml:space="preserve"> </w:t>
      </w:r>
      <w:r>
        <w:rPr>
          <w:rFonts w:ascii="Barclays Sans" w:hAnsi="Barclays Sans"/>
          <w:noProof/>
          <w:color w:val="auto"/>
          <w:sz w:val="24"/>
          <w:szCs w:val="24"/>
        </w:rPr>
        <w:t xml:space="preserve">ensure </w:t>
      </w:r>
      <w:r w:rsidRPr="00B61BF5">
        <w:rPr>
          <w:rFonts w:ascii="Barclays Sans" w:hAnsi="Barclays Sans"/>
          <w:noProof/>
          <w:color w:val="auto"/>
          <w:sz w:val="24"/>
          <w:szCs w:val="24"/>
        </w:rPr>
        <w:t>sufficient loss absorbing and recapitali</w:t>
      </w:r>
      <w:r>
        <w:rPr>
          <w:rFonts w:ascii="Barclays Sans" w:hAnsi="Barclays Sans"/>
          <w:noProof/>
          <w:color w:val="auto"/>
          <w:sz w:val="24"/>
          <w:szCs w:val="24"/>
        </w:rPr>
        <w:t>s</w:t>
      </w:r>
      <w:r w:rsidRPr="00B61BF5">
        <w:rPr>
          <w:rFonts w:ascii="Barclays Sans" w:hAnsi="Barclays Sans"/>
          <w:noProof/>
          <w:color w:val="auto"/>
          <w:sz w:val="24"/>
          <w:szCs w:val="24"/>
        </w:rPr>
        <w:t xml:space="preserve">ation capacity </w:t>
      </w:r>
      <w:r>
        <w:rPr>
          <w:rFonts w:ascii="Barclays Sans" w:hAnsi="Barclays Sans"/>
          <w:noProof/>
          <w:color w:val="auto"/>
          <w:sz w:val="24"/>
          <w:szCs w:val="24"/>
        </w:rPr>
        <w:t xml:space="preserve">is </w:t>
      </w:r>
      <w:r w:rsidRPr="00B61BF5">
        <w:rPr>
          <w:rFonts w:ascii="Barclays Sans" w:hAnsi="Barclays Sans"/>
          <w:noProof/>
          <w:color w:val="auto"/>
          <w:sz w:val="24"/>
          <w:szCs w:val="24"/>
        </w:rPr>
        <w:t xml:space="preserve">available </w:t>
      </w:r>
      <w:r>
        <w:rPr>
          <w:rFonts w:ascii="Barclays Sans" w:hAnsi="Barclays Sans"/>
          <w:noProof/>
          <w:color w:val="auto"/>
          <w:sz w:val="24"/>
          <w:szCs w:val="24"/>
        </w:rPr>
        <w:t xml:space="preserve">for EU banks </w:t>
      </w:r>
      <w:r w:rsidRPr="00B61BF5">
        <w:rPr>
          <w:rFonts w:ascii="Barclays Sans" w:hAnsi="Barclays Sans"/>
          <w:noProof/>
          <w:color w:val="auto"/>
          <w:sz w:val="24"/>
          <w:szCs w:val="24"/>
        </w:rPr>
        <w:t>in resolution</w:t>
      </w:r>
      <w:r>
        <w:rPr>
          <w:rFonts w:ascii="Barclays Sans" w:hAnsi="Barclays Sans"/>
          <w:noProof/>
          <w:color w:val="auto"/>
          <w:sz w:val="24"/>
          <w:szCs w:val="24"/>
        </w:rPr>
        <w:t xml:space="preserve">.  </w:t>
      </w:r>
      <w:r w:rsidRPr="00C10935">
        <w:rPr>
          <w:rFonts w:ascii="Barclays Sans" w:hAnsi="Barclays Sans"/>
          <w:noProof/>
          <w:color w:val="auto"/>
          <w:sz w:val="24"/>
          <w:szCs w:val="24"/>
        </w:rPr>
        <w:t xml:space="preserve">Please find </w:t>
      </w:r>
      <w:r>
        <w:rPr>
          <w:rFonts w:ascii="Barclays Sans" w:hAnsi="Barclays Sans"/>
          <w:noProof/>
          <w:color w:val="auto"/>
          <w:sz w:val="24"/>
          <w:szCs w:val="24"/>
        </w:rPr>
        <w:t xml:space="preserve">our overall comments outlined </w:t>
      </w:r>
      <w:r w:rsidRPr="00C10935">
        <w:rPr>
          <w:rFonts w:ascii="Barclays Sans" w:hAnsi="Barclays Sans"/>
          <w:noProof/>
          <w:color w:val="auto"/>
          <w:sz w:val="24"/>
          <w:szCs w:val="24"/>
        </w:rPr>
        <w:t>below</w:t>
      </w:r>
      <w:r>
        <w:rPr>
          <w:rFonts w:ascii="Barclays Sans" w:hAnsi="Barclays Sans"/>
          <w:noProof/>
          <w:color w:val="auto"/>
          <w:sz w:val="24"/>
          <w:szCs w:val="24"/>
        </w:rPr>
        <w:t xml:space="preserve">, </w:t>
      </w:r>
      <w:r w:rsidRPr="00C10935">
        <w:rPr>
          <w:rFonts w:ascii="Barclays Sans" w:hAnsi="Barclays Sans"/>
          <w:noProof/>
          <w:color w:val="auto"/>
          <w:sz w:val="24"/>
          <w:szCs w:val="24"/>
        </w:rPr>
        <w:t xml:space="preserve"> </w:t>
      </w:r>
      <w:r>
        <w:rPr>
          <w:rFonts w:ascii="Barclays Sans" w:hAnsi="Barclays Sans"/>
          <w:noProof/>
          <w:color w:val="auto"/>
          <w:sz w:val="24"/>
          <w:szCs w:val="24"/>
        </w:rPr>
        <w:t>followed by</w:t>
      </w:r>
      <w:r w:rsidRPr="00C10935">
        <w:rPr>
          <w:rFonts w:ascii="Barclays Sans" w:hAnsi="Barclays Sans"/>
          <w:noProof/>
          <w:color w:val="auto"/>
          <w:sz w:val="24"/>
          <w:szCs w:val="24"/>
        </w:rPr>
        <w:t xml:space="preserve"> our </w:t>
      </w:r>
      <w:r>
        <w:rPr>
          <w:rFonts w:ascii="Barclays Sans" w:hAnsi="Barclays Sans"/>
          <w:noProof/>
          <w:color w:val="auto"/>
          <w:sz w:val="24"/>
          <w:szCs w:val="24"/>
        </w:rPr>
        <w:t xml:space="preserve">specific </w:t>
      </w:r>
      <w:r w:rsidRPr="00C10935">
        <w:rPr>
          <w:rFonts w:ascii="Barclays Sans" w:hAnsi="Barclays Sans"/>
          <w:noProof/>
          <w:color w:val="auto"/>
          <w:sz w:val="24"/>
          <w:szCs w:val="24"/>
        </w:rPr>
        <w:t>responses to the 1</w:t>
      </w:r>
      <w:r>
        <w:rPr>
          <w:rFonts w:ascii="Barclays Sans" w:hAnsi="Barclays Sans"/>
          <w:noProof/>
          <w:color w:val="auto"/>
          <w:sz w:val="24"/>
          <w:szCs w:val="24"/>
        </w:rPr>
        <w:t>2</w:t>
      </w:r>
      <w:r w:rsidRPr="00C10935">
        <w:rPr>
          <w:rFonts w:ascii="Barclays Sans" w:hAnsi="Barclays Sans"/>
          <w:noProof/>
          <w:color w:val="auto"/>
          <w:sz w:val="24"/>
          <w:szCs w:val="24"/>
        </w:rPr>
        <w:t xml:space="preserve"> consultation questions </w:t>
      </w:r>
      <w:r>
        <w:rPr>
          <w:rFonts w:ascii="Barclays Sans" w:hAnsi="Barclays Sans"/>
          <w:noProof/>
          <w:color w:val="auto"/>
          <w:sz w:val="24"/>
          <w:szCs w:val="24"/>
        </w:rPr>
        <w:t>(Appendix 1) and a list of technical clarifications we would welcome (Appendix 2)</w:t>
      </w:r>
      <w:r w:rsidRPr="00C10935">
        <w:rPr>
          <w:rFonts w:ascii="Barclays Sans" w:hAnsi="Barclays Sans"/>
          <w:noProof/>
          <w:color w:val="auto"/>
          <w:sz w:val="24"/>
          <w:szCs w:val="24"/>
        </w:rPr>
        <w:t>.</w:t>
      </w:r>
    </w:p>
    <w:p w:rsidR="005B4847" w:rsidRPr="00B61BF5" w:rsidRDefault="005B4847" w:rsidP="00B61BF5">
      <w:pPr>
        <w:rPr>
          <w:lang w:eastAsia="en-US"/>
        </w:rPr>
      </w:pPr>
    </w:p>
    <w:p w:rsidR="005B4847" w:rsidRDefault="005B4847" w:rsidP="00B61BF5">
      <w:pPr>
        <w:pStyle w:val="Heading1"/>
        <w:spacing w:before="0" w:after="0"/>
        <w:rPr>
          <w:rFonts w:ascii="Barclays Sans" w:hAnsi="Barclays Sans"/>
          <w:b/>
          <w:noProof/>
          <w:color w:val="auto"/>
          <w:sz w:val="26"/>
          <w:szCs w:val="26"/>
        </w:rPr>
      </w:pPr>
    </w:p>
    <w:p w:rsidR="005B4847" w:rsidRDefault="005B4847" w:rsidP="00B61BF5">
      <w:pPr>
        <w:pStyle w:val="Heading1"/>
        <w:spacing w:before="0" w:after="0"/>
        <w:rPr>
          <w:rFonts w:ascii="Barclays Sans" w:hAnsi="Barclays Sans"/>
          <w:b/>
          <w:noProof/>
          <w:color w:val="auto"/>
          <w:sz w:val="26"/>
          <w:szCs w:val="26"/>
        </w:rPr>
      </w:pPr>
    </w:p>
    <w:p w:rsidR="005B4847" w:rsidRPr="00100C47" w:rsidRDefault="005B4847" w:rsidP="00100C47">
      <w:pPr>
        <w:pStyle w:val="Heading1"/>
        <w:spacing w:before="0" w:after="0"/>
        <w:jc w:val="both"/>
        <w:rPr>
          <w:rFonts w:ascii="Barclays Sans" w:hAnsi="Barclays Sans"/>
          <w:noProof/>
          <w:color w:val="auto"/>
          <w:sz w:val="28"/>
          <w:szCs w:val="28"/>
        </w:rPr>
      </w:pPr>
      <w:r w:rsidRPr="00100C47">
        <w:rPr>
          <w:rFonts w:ascii="Barclays Sans" w:hAnsi="Barclays Sans"/>
          <w:noProof/>
          <w:color w:val="auto"/>
          <w:sz w:val="28"/>
          <w:szCs w:val="28"/>
        </w:rPr>
        <w:t xml:space="preserve">Peter Freilinger </w:t>
      </w:r>
    </w:p>
    <w:p w:rsidR="005B4847" w:rsidRPr="00100C47" w:rsidRDefault="005B4847" w:rsidP="00100C47">
      <w:pPr>
        <w:pStyle w:val="Heading1"/>
        <w:spacing w:before="0" w:after="0"/>
        <w:jc w:val="both"/>
        <w:rPr>
          <w:rFonts w:ascii="Barclays Sans" w:hAnsi="Barclays Sans"/>
          <w:noProof/>
          <w:color w:val="auto"/>
          <w:sz w:val="28"/>
          <w:szCs w:val="28"/>
        </w:rPr>
      </w:pPr>
      <w:r w:rsidRPr="00100C47">
        <w:rPr>
          <w:rFonts w:ascii="Barclays Sans" w:hAnsi="Barclays Sans"/>
          <w:noProof/>
          <w:color w:val="auto"/>
          <w:sz w:val="28"/>
          <w:szCs w:val="28"/>
        </w:rPr>
        <w:t>Head of Structural Reform and RRP</w:t>
      </w:r>
    </w:p>
    <w:p w:rsidR="005B4847" w:rsidRDefault="005B4847" w:rsidP="00100C47">
      <w:pPr>
        <w:rPr>
          <w:rFonts w:ascii="Barclays Sans" w:hAnsi="Barclays Sans"/>
          <w:b/>
          <w:noProof/>
          <w:sz w:val="26"/>
          <w:szCs w:val="26"/>
        </w:rPr>
      </w:pPr>
      <w:r w:rsidRPr="00100C47">
        <w:rPr>
          <w:rFonts w:ascii="Barclays Sans" w:hAnsi="Barclays Sans"/>
          <w:noProof/>
          <w:sz w:val="28"/>
          <w:szCs w:val="28"/>
        </w:rPr>
        <w:t>Barclays</w:t>
      </w:r>
      <w:r>
        <w:rPr>
          <w:rFonts w:ascii="Barclays Sans" w:hAnsi="Barclays Sans"/>
          <w:b/>
          <w:noProof/>
          <w:sz w:val="26"/>
          <w:szCs w:val="26"/>
        </w:rPr>
        <w:t xml:space="preserve"> </w:t>
      </w:r>
    </w:p>
    <w:p w:rsidR="005B4847" w:rsidRDefault="005B4847" w:rsidP="00100C47">
      <w:pPr>
        <w:rPr>
          <w:rFonts w:ascii="Barclays Sans" w:hAnsi="Barclays Sans"/>
          <w:b/>
          <w:noProof/>
          <w:sz w:val="26"/>
          <w:szCs w:val="26"/>
        </w:rPr>
      </w:pPr>
    </w:p>
    <w:p w:rsidR="005B4847" w:rsidRDefault="005B4847" w:rsidP="00100C47">
      <w:pPr>
        <w:rPr>
          <w:rFonts w:ascii="Barclays Sans" w:hAnsi="Barclays Sans"/>
          <w:sz w:val="28"/>
          <w:szCs w:val="28"/>
          <w:lang w:eastAsia="en-US"/>
        </w:rPr>
      </w:pPr>
    </w:p>
    <w:p w:rsidR="005B4847" w:rsidRDefault="005B4847" w:rsidP="00100C47">
      <w:pPr>
        <w:rPr>
          <w:rFonts w:ascii="Barclays Sans" w:hAnsi="Barclays Sans"/>
          <w:sz w:val="28"/>
          <w:szCs w:val="28"/>
          <w:lang w:eastAsia="en-US"/>
        </w:rPr>
      </w:pPr>
      <w:r w:rsidRPr="00C228E2">
        <w:rPr>
          <w:rFonts w:ascii="Barclays Sans" w:hAnsi="Barclays Sans"/>
          <w:sz w:val="28"/>
          <w:szCs w:val="28"/>
          <w:lang w:eastAsia="en-US"/>
        </w:rPr>
        <w:t>2</w:t>
      </w:r>
      <w:r>
        <w:rPr>
          <w:rFonts w:ascii="Barclays Sans" w:hAnsi="Barclays Sans"/>
          <w:sz w:val="28"/>
          <w:szCs w:val="28"/>
          <w:lang w:eastAsia="en-US"/>
        </w:rPr>
        <w:t>7</w:t>
      </w:r>
      <w:r w:rsidRPr="00C228E2">
        <w:rPr>
          <w:rFonts w:ascii="Barclays Sans" w:hAnsi="Barclays Sans"/>
          <w:sz w:val="28"/>
          <w:szCs w:val="28"/>
          <w:lang w:eastAsia="en-US"/>
        </w:rPr>
        <w:t xml:space="preserve"> February 2015</w:t>
      </w:r>
    </w:p>
    <w:p w:rsidR="005803C0" w:rsidRDefault="005803C0" w:rsidP="00100C47">
      <w:pPr>
        <w:pStyle w:val="Heading1"/>
        <w:spacing w:before="0" w:after="0"/>
        <w:jc w:val="both"/>
        <w:rPr>
          <w:rFonts w:ascii="Barclays Sans" w:hAnsi="Barclays Sans"/>
          <w:b/>
          <w:noProof/>
          <w:color w:val="auto"/>
          <w:sz w:val="26"/>
          <w:szCs w:val="26"/>
        </w:rPr>
      </w:pPr>
    </w:p>
    <w:p w:rsidR="005B4847" w:rsidRDefault="005B4847" w:rsidP="005803C0">
      <w:pPr>
        <w:pStyle w:val="Heading1"/>
        <w:spacing w:before="0" w:after="0"/>
        <w:rPr>
          <w:rFonts w:ascii="Barclays Sans" w:hAnsi="Barclays Sans"/>
          <w:noProof/>
          <w:color w:val="auto"/>
          <w:sz w:val="24"/>
          <w:szCs w:val="24"/>
        </w:rPr>
      </w:pPr>
      <w:r w:rsidRPr="00FC1413">
        <w:rPr>
          <w:rFonts w:ascii="Barclays Sans" w:hAnsi="Barclays Sans"/>
          <w:b/>
          <w:noProof/>
          <w:color w:val="00B0F0"/>
          <w:sz w:val="26"/>
          <w:szCs w:val="26"/>
        </w:rPr>
        <w:t>Overall comments</w:t>
      </w:r>
    </w:p>
    <w:p w:rsidR="005B4847" w:rsidRPr="00A050CC" w:rsidRDefault="005B4847" w:rsidP="00E36E9D">
      <w:pPr>
        <w:pStyle w:val="Heading1"/>
        <w:numPr>
          <w:ilvl w:val="0"/>
          <w:numId w:val="4"/>
        </w:numPr>
        <w:ind w:left="0" w:firstLine="113"/>
        <w:jc w:val="both"/>
        <w:rPr>
          <w:rFonts w:ascii="Barclays Sans" w:hAnsi="Barclays Sans"/>
          <w:noProof/>
          <w:color w:val="auto"/>
          <w:sz w:val="24"/>
          <w:szCs w:val="24"/>
        </w:rPr>
      </w:pPr>
      <w:r w:rsidRPr="00A050CC">
        <w:rPr>
          <w:rFonts w:ascii="Barclays Sans" w:hAnsi="Barclays Sans"/>
          <w:noProof/>
          <w:color w:val="auto"/>
          <w:sz w:val="24"/>
          <w:szCs w:val="24"/>
        </w:rPr>
        <w:t xml:space="preserve">Barclays supports the overall aim of the Minimum Requirement for own funds and Eligible Liabilities (MREL), to ensure that European banks have sufficient bail-inable liabilities to absorb stressed losses and be recapitalised at the point of non-viability.  We welcome the EBA’s proposal to take account of resolution strategy and TLAC requirements for G-SIBs in setting MREL, and we agree with </w:t>
      </w:r>
      <w:r>
        <w:rPr>
          <w:rFonts w:ascii="Barclays Sans" w:hAnsi="Barclays Sans"/>
          <w:noProof/>
          <w:color w:val="auto"/>
          <w:sz w:val="24"/>
          <w:szCs w:val="24"/>
        </w:rPr>
        <w:t xml:space="preserve">the </w:t>
      </w:r>
      <w:r w:rsidRPr="00A050CC">
        <w:rPr>
          <w:rFonts w:ascii="Barclays Sans" w:hAnsi="Barclays Sans"/>
          <w:noProof/>
          <w:color w:val="auto"/>
          <w:sz w:val="24"/>
          <w:szCs w:val="24"/>
        </w:rPr>
        <w:t xml:space="preserve">proposal for </w:t>
      </w:r>
      <w:r>
        <w:rPr>
          <w:rFonts w:ascii="Barclays Sans" w:hAnsi="Barclays Sans"/>
          <w:noProof/>
          <w:color w:val="auto"/>
          <w:sz w:val="24"/>
          <w:szCs w:val="24"/>
        </w:rPr>
        <w:t xml:space="preserve">the </w:t>
      </w:r>
      <w:r w:rsidRPr="00A050CC">
        <w:rPr>
          <w:rFonts w:ascii="Barclays Sans" w:hAnsi="Barclays Sans"/>
          <w:noProof/>
          <w:color w:val="auto"/>
          <w:sz w:val="24"/>
          <w:szCs w:val="24"/>
        </w:rPr>
        <w:t>resolution authority to take a firm’s prudential capital requirements set by their supervisor as a starting point, rather than undertake an independent assessment</w:t>
      </w:r>
      <w:r>
        <w:rPr>
          <w:rFonts w:ascii="Barclays Sans" w:hAnsi="Barclays Sans"/>
          <w:noProof/>
          <w:color w:val="auto"/>
          <w:sz w:val="24"/>
          <w:szCs w:val="24"/>
        </w:rPr>
        <w:t>.</w:t>
      </w:r>
      <w:r w:rsidRPr="00A050CC">
        <w:rPr>
          <w:rFonts w:ascii="Barclays Sans" w:hAnsi="Barclays Sans"/>
          <w:noProof/>
          <w:color w:val="auto"/>
          <w:sz w:val="24"/>
          <w:szCs w:val="24"/>
        </w:rPr>
        <w:t xml:space="preserve"> </w:t>
      </w:r>
    </w:p>
    <w:p w:rsidR="005B4847" w:rsidRPr="00BD4F47" w:rsidRDefault="005B4847" w:rsidP="00E36E9D">
      <w:pPr>
        <w:pStyle w:val="Heading1"/>
        <w:numPr>
          <w:ilvl w:val="0"/>
          <w:numId w:val="4"/>
        </w:numPr>
        <w:ind w:left="0" w:firstLine="113"/>
        <w:jc w:val="both"/>
        <w:rPr>
          <w:rFonts w:ascii="Barclays Sans" w:hAnsi="Barclays Sans"/>
          <w:noProof/>
          <w:color w:val="auto"/>
          <w:sz w:val="24"/>
          <w:szCs w:val="24"/>
        </w:rPr>
      </w:pPr>
      <w:r>
        <w:rPr>
          <w:rFonts w:ascii="Barclays Sans" w:hAnsi="Barclays Sans"/>
          <w:noProof/>
          <w:color w:val="auto"/>
          <w:sz w:val="24"/>
          <w:szCs w:val="24"/>
        </w:rPr>
        <w:t>As a G-SIB, Barclays will be within scope of the FSB’s global standards for Total Loss Absorbing Capacity (TLAC)</w:t>
      </w:r>
      <w:r w:rsidR="007F7D13">
        <w:rPr>
          <w:rFonts w:ascii="Barclays Sans" w:hAnsi="Barclays Sans"/>
          <w:noProof/>
          <w:color w:val="auto"/>
          <w:sz w:val="24"/>
          <w:szCs w:val="24"/>
        </w:rPr>
        <w:t>, and agree with the EBA’s observation that resolution authorities for G-SIBs can implement MREL consistently with the international framework for TLAC.  Indeed</w:t>
      </w:r>
      <w:r>
        <w:rPr>
          <w:rFonts w:ascii="Barclays Sans" w:hAnsi="Barclays Sans"/>
          <w:noProof/>
          <w:color w:val="auto"/>
          <w:sz w:val="24"/>
          <w:szCs w:val="24"/>
        </w:rPr>
        <w:t xml:space="preserve">, we would </w:t>
      </w:r>
      <w:r w:rsidR="007F7D13">
        <w:rPr>
          <w:rFonts w:ascii="Barclays Sans" w:hAnsi="Barclays Sans"/>
          <w:noProof/>
          <w:color w:val="auto"/>
          <w:sz w:val="24"/>
          <w:szCs w:val="24"/>
        </w:rPr>
        <w:t>welcome</w:t>
      </w:r>
      <w:r w:rsidR="007F7D13" w:rsidRPr="00BD4F47">
        <w:rPr>
          <w:rFonts w:ascii="Barclays Sans" w:hAnsi="Barclays Sans"/>
          <w:noProof/>
          <w:color w:val="auto"/>
          <w:sz w:val="24"/>
          <w:szCs w:val="24"/>
        </w:rPr>
        <w:t xml:space="preserve"> </w:t>
      </w:r>
      <w:r>
        <w:rPr>
          <w:rFonts w:ascii="Barclays Sans" w:hAnsi="Barclays Sans"/>
          <w:noProof/>
          <w:color w:val="auto"/>
          <w:sz w:val="24"/>
          <w:szCs w:val="24"/>
        </w:rPr>
        <w:t xml:space="preserve">a </w:t>
      </w:r>
      <w:r w:rsidR="00863C95">
        <w:rPr>
          <w:rFonts w:ascii="Barclays Sans" w:hAnsi="Barclays Sans"/>
          <w:noProof/>
          <w:color w:val="auto"/>
          <w:sz w:val="24"/>
          <w:szCs w:val="24"/>
        </w:rPr>
        <w:t>broad</w:t>
      </w:r>
      <w:r w:rsidR="00863C95" w:rsidRPr="00BD4F47">
        <w:rPr>
          <w:rFonts w:ascii="Barclays Sans" w:hAnsi="Barclays Sans"/>
          <w:noProof/>
          <w:color w:val="auto"/>
          <w:sz w:val="24"/>
          <w:szCs w:val="24"/>
        </w:rPr>
        <w:t xml:space="preserve"> </w:t>
      </w:r>
      <w:r w:rsidRPr="00BD4F47">
        <w:rPr>
          <w:rFonts w:ascii="Barclays Sans" w:hAnsi="Barclays Sans"/>
          <w:noProof/>
          <w:color w:val="auto"/>
          <w:sz w:val="24"/>
          <w:szCs w:val="24"/>
        </w:rPr>
        <w:t>alignment of MREL with TLAC for consistency</w:t>
      </w:r>
      <w:r>
        <w:rPr>
          <w:rFonts w:ascii="Barclays Sans" w:hAnsi="Barclays Sans"/>
          <w:noProof/>
          <w:color w:val="auto"/>
          <w:sz w:val="24"/>
          <w:szCs w:val="24"/>
        </w:rPr>
        <w:t xml:space="preserve"> across firms and jurisdictions</w:t>
      </w:r>
      <w:r w:rsidRPr="00BD4F47">
        <w:rPr>
          <w:rFonts w:ascii="Barclays Sans" w:hAnsi="Barclays Sans"/>
          <w:noProof/>
          <w:color w:val="auto"/>
          <w:sz w:val="24"/>
          <w:szCs w:val="24"/>
        </w:rPr>
        <w:t>, including instrument eligibility</w:t>
      </w:r>
      <w:r>
        <w:rPr>
          <w:rFonts w:ascii="Barclays Sans" w:hAnsi="Barclays Sans"/>
          <w:noProof/>
          <w:color w:val="auto"/>
          <w:sz w:val="24"/>
          <w:szCs w:val="24"/>
        </w:rPr>
        <w:t>,</w:t>
      </w:r>
      <w:r w:rsidRPr="00BD4F47">
        <w:rPr>
          <w:rFonts w:ascii="Barclays Sans" w:hAnsi="Barclays Sans"/>
          <w:noProof/>
          <w:color w:val="auto"/>
          <w:sz w:val="24"/>
          <w:szCs w:val="24"/>
        </w:rPr>
        <w:t xml:space="preserve"> subordination requirements (to make </w:t>
      </w:r>
      <w:r>
        <w:rPr>
          <w:rFonts w:ascii="Barclays Sans" w:hAnsi="Barclays Sans"/>
          <w:noProof/>
          <w:color w:val="auto"/>
          <w:sz w:val="24"/>
          <w:szCs w:val="24"/>
        </w:rPr>
        <w:t xml:space="preserve">the </w:t>
      </w:r>
      <w:r w:rsidRPr="00BD4F47">
        <w:rPr>
          <w:rFonts w:ascii="Barclays Sans" w:hAnsi="Barclays Sans"/>
          <w:noProof/>
          <w:color w:val="auto"/>
          <w:sz w:val="24"/>
          <w:szCs w:val="24"/>
        </w:rPr>
        <w:t>bail-in process cleaner and smoother, given the potential legal challenges if instruments excluded from bail-in rank alongside MREL)</w:t>
      </w:r>
      <w:r>
        <w:rPr>
          <w:rFonts w:ascii="Barclays Sans" w:hAnsi="Barclays Sans"/>
          <w:noProof/>
          <w:color w:val="auto"/>
          <w:sz w:val="24"/>
          <w:szCs w:val="24"/>
        </w:rPr>
        <w:t>, location and timing.</w:t>
      </w:r>
    </w:p>
    <w:p w:rsidR="005B4847" w:rsidRDefault="005B4847" w:rsidP="00E36E9D">
      <w:pPr>
        <w:pStyle w:val="Heading1"/>
        <w:numPr>
          <w:ilvl w:val="0"/>
          <w:numId w:val="4"/>
        </w:numPr>
        <w:ind w:left="0" w:firstLine="113"/>
        <w:jc w:val="both"/>
        <w:rPr>
          <w:rFonts w:ascii="Barclays Sans" w:hAnsi="Barclays Sans"/>
          <w:noProof/>
          <w:color w:val="auto"/>
          <w:sz w:val="24"/>
          <w:szCs w:val="24"/>
        </w:rPr>
      </w:pPr>
      <w:r>
        <w:rPr>
          <w:rFonts w:ascii="Barclays Sans" w:hAnsi="Barclays Sans"/>
          <w:noProof/>
          <w:color w:val="auto"/>
          <w:sz w:val="24"/>
          <w:szCs w:val="24"/>
        </w:rPr>
        <w:t xml:space="preserve">Whereas the FSB’s </w:t>
      </w:r>
      <w:r w:rsidR="00863C95">
        <w:rPr>
          <w:rFonts w:ascii="Barclays Sans" w:hAnsi="Barclays Sans"/>
          <w:noProof/>
          <w:color w:val="auto"/>
          <w:sz w:val="24"/>
          <w:szCs w:val="24"/>
        </w:rPr>
        <w:t xml:space="preserve">external </w:t>
      </w:r>
      <w:r>
        <w:rPr>
          <w:rFonts w:ascii="Barclays Sans" w:hAnsi="Barclays Sans"/>
          <w:noProof/>
          <w:color w:val="auto"/>
          <w:sz w:val="24"/>
          <w:szCs w:val="24"/>
        </w:rPr>
        <w:t xml:space="preserve">TLAC requirements apply on a consolidated group basis for firms with a Single Point of Entry (SPE) resolution strategy, with internal TLAC requirements for each material subsidiary, </w:t>
      </w:r>
      <w:r w:rsidR="00C468A7">
        <w:rPr>
          <w:rFonts w:ascii="Barclays Sans" w:hAnsi="Barclays Sans"/>
          <w:noProof/>
          <w:color w:val="auto"/>
          <w:sz w:val="24"/>
          <w:szCs w:val="24"/>
        </w:rPr>
        <w:t xml:space="preserve">we understand </w:t>
      </w:r>
      <w:r>
        <w:rPr>
          <w:rFonts w:ascii="Barclays Sans" w:hAnsi="Barclays Sans"/>
          <w:noProof/>
          <w:color w:val="auto"/>
          <w:sz w:val="24"/>
          <w:szCs w:val="24"/>
        </w:rPr>
        <w:t xml:space="preserve">MREL will be applied to such a group and its </w:t>
      </w:r>
      <w:r w:rsidR="00C468A7">
        <w:rPr>
          <w:rFonts w:ascii="Barclays Sans" w:hAnsi="Barclays Sans"/>
          <w:noProof/>
          <w:color w:val="auto"/>
          <w:sz w:val="24"/>
          <w:szCs w:val="24"/>
        </w:rPr>
        <w:t xml:space="preserve">EU </w:t>
      </w:r>
      <w:r>
        <w:rPr>
          <w:rFonts w:ascii="Barclays Sans" w:hAnsi="Barclays Sans"/>
          <w:noProof/>
          <w:color w:val="auto"/>
          <w:sz w:val="24"/>
          <w:szCs w:val="24"/>
        </w:rPr>
        <w:t xml:space="preserve">subsidiaries.  </w:t>
      </w:r>
      <w:r w:rsidR="00C468A7">
        <w:rPr>
          <w:rFonts w:ascii="Barclays Sans" w:hAnsi="Barclays Sans"/>
          <w:noProof/>
          <w:color w:val="auto"/>
          <w:sz w:val="24"/>
          <w:szCs w:val="24"/>
        </w:rPr>
        <w:t>W</w:t>
      </w:r>
      <w:r>
        <w:rPr>
          <w:rFonts w:ascii="Barclays Sans" w:hAnsi="Barclays Sans"/>
          <w:noProof/>
          <w:color w:val="auto"/>
          <w:sz w:val="24"/>
          <w:szCs w:val="24"/>
        </w:rPr>
        <w:t xml:space="preserve">e would </w:t>
      </w:r>
      <w:r w:rsidR="00C468A7">
        <w:rPr>
          <w:rFonts w:ascii="Barclays Sans" w:hAnsi="Barclays Sans"/>
          <w:noProof/>
          <w:color w:val="auto"/>
          <w:sz w:val="24"/>
          <w:szCs w:val="24"/>
        </w:rPr>
        <w:t>encourage national resolution authorities to confirm how they will view material entities for TLAC under the MREL framework.  We would also welcome</w:t>
      </w:r>
      <w:r>
        <w:rPr>
          <w:rFonts w:ascii="Barclays Sans" w:hAnsi="Barclays Sans"/>
          <w:noProof/>
          <w:color w:val="auto"/>
          <w:sz w:val="24"/>
          <w:szCs w:val="24"/>
        </w:rPr>
        <w:t xml:space="preserve"> confirmation that it is permissible to meet subsidiary requirement</w:t>
      </w:r>
      <w:r w:rsidR="00C468A7">
        <w:rPr>
          <w:rFonts w:ascii="Barclays Sans" w:hAnsi="Barclays Sans"/>
          <w:noProof/>
          <w:color w:val="auto"/>
          <w:sz w:val="24"/>
          <w:szCs w:val="24"/>
        </w:rPr>
        <w:t>s</w:t>
      </w:r>
      <w:r>
        <w:rPr>
          <w:rFonts w:ascii="Barclays Sans" w:hAnsi="Barclays Sans"/>
          <w:noProof/>
          <w:color w:val="auto"/>
          <w:sz w:val="24"/>
          <w:szCs w:val="24"/>
        </w:rPr>
        <w:t xml:space="preserve"> through a combination of ‘internal MREL’ and external MREL meeting the eligibility criteria, and </w:t>
      </w:r>
      <w:r w:rsidRPr="00DD3613">
        <w:rPr>
          <w:rFonts w:ascii="Barclays Sans" w:hAnsi="Barclays Sans"/>
          <w:noProof/>
          <w:color w:val="auto"/>
          <w:sz w:val="24"/>
          <w:szCs w:val="24"/>
        </w:rPr>
        <w:t xml:space="preserve">confirmation </w:t>
      </w:r>
      <w:r>
        <w:rPr>
          <w:rFonts w:ascii="Barclays Sans" w:hAnsi="Barclays Sans"/>
          <w:noProof/>
          <w:color w:val="auto"/>
          <w:sz w:val="24"/>
          <w:szCs w:val="24"/>
        </w:rPr>
        <w:t xml:space="preserve">that </w:t>
      </w:r>
      <w:r w:rsidR="00863C95">
        <w:rPr>
          <w:rFonts w:ascii="Barclays Sans" w:hAnsi="Barclays Sans"/>
          <w:noProof/>
          <w:color w:val="auto"/>
          <w:sz w:val="24"/>
          <w:szCs w:val="24"/>
        </w:rPr>
        <w:t xml:space="preserve">– during transition – </w:t>
      </w:r>
      <w:r>
        <w:rPr>
          <w:rFonts w:ascii="Barclays Sans" w:hAnsi="Barclays Sans"/>
          <w:noProof/>
          <w:color w:val="auto"/>
          <w:sz w:val="24"/>
          <w:szCs w:val="24"/>
        </w:rPr>
        <w:t>external MREL issued by</w:t>
      </w:r>
      <w:r w:rsidR="002D58DF">
        <w:rPr>
          <w:rFonts w:ascii="Barclays Sans" w:hAnsi="Barclays Sans"/>
          <w:noProof/>
          <w:color w:val="auto"/>
          <w:sz w:val="24"/>
          <w:szCs w:val="24"/>
        </w:rPr>
        <w:t xml:space="preserve"> a</w:t>
      </w:r>
      <w:r>
        <w:rPr>
          <w:rFonts w:ascii="Barclays Sans" w:hAnsi="Barclays Sans"/>
          <w:noProof/>
          <w:color w:val="auto"/>
          <w:sz w:val="24"/>
          <w:szCs w:val="24"/>
        </w:rPr>
        <w:t xml:space="preserve"> subsidiary (including senior unsecured debt) can be counted towards the group requirement provided it is included in the consolidated group’s balance sheet.</w:t>
      </w:r>
    </w:p>
    <w:p w:rsidR="00A760F5" w:rsidRDefault="005B4847" w:rsidP="00C3607C">
      <w:pPr>
        <w:pStyle w:val="Heading1"/>
        <w:numPr>
          <w:ilvl w:val="0"/>
          <w:numId w:val="4"/>
        </w:numPr>
        <w:ind w:left="0" w:firstLine="113"/>
        <w:jc w:val="both"/>
        <w:rPr>
          <w:rFonts w:ascii="Barclays Sans" w:hAnsi="Barclays Sans"/>
          <w:noProof/>
          <w:color w:val="auto"/>
          <w:sz w:val="24"/>
          <w:szCs w:val="24"/>
        </w:rPr>
      </w:pPr>
      <w:r w:rsidRPr="00A760F5">
        <w:rPr>
          <w:rFonts w:ascii="Barclays Sans" w:hAnsi="Barclays Sans"/>
          <w:noProof/>
          <w:color w:val="auto"/>
          <w:sz w:val="24"/>
          <w:szCs w:val="24"/>
        </w:rPr>
        <w:t>Relatedly, where (internal) MREL is ‘downstreamed’ to material subsidiaries via an intermediate entity, and where the applicable regulatory regime includes solo capital requirements, the intermediate entity will attract solo capital charges on funding exposures to its material subsidiaries.  This could give rise to level-playing field issues if rules are not applied on a consistent basis internationally.  We would therefore ask the EBA to work with the BCBS to consider whether a waiver from intra-group capital requirements, Large Exposure rules and leverage ratio requirements would be appropriate for internal MREL exposures (where not covered by the Basel capital framework).</w:t>
      </w:r>
    </w:p>
    <w:p w:rsidR="00C3607C" w:rsidRPr="00A760F5" w:rsidRDefault="005B4847" w:rsidP="00E36E9D">
      <w:pPr>
        <w:pStyle w:val="Heading1"/>
        <w:numPr>
          <w:ilvl w:val="0"/>
          <w:numId w:val="4"/>
        </w:numPr>
        <w:ind w:left="0" w:firstLine="113"/>
        <w:jc w:val="both"/>
        <w:rPr>
          <w:rFonts w:ascii="Barclays Sans" w:hAnsi="Barclays Sans"/>
          <w:noProof/>
          <w:color w:val="auto"/>
          <w:sz w:val="24"/>
          <w:szCs w:val="24"/>
        </w:rPr>
      </w:pPr>
      <w:r w:rsidRPr="00A760F5">
        <w:rPr>
          <w:rFonts w:ascii="Barclays Sans" w:hAnsi="Barclays Sans"/>
          <w:noProof/>
          <w:color w:val="auto"/>
          <w:sz w:val="24"/>
          <w:szCs w:val="24"/>
        </w:rPr>
        <w:lastRenderedPageBreak/>
        <w:t xml:space="preserve">We </w:t>
      </w:r>
      <w:r w:rsidR="00C468A7">
        <w:rPr>
          <w:rFonts w:ascii="Barclays Sans" w:hAnsi="Barclays Sans"/>
          <w:noProof/>
          <w:color w:val="auto"/>
          <w:sz w:val="24"/>
          <w:szCs w:val="24"/>
        </w:rPr>
        <w:t>share the EBA’s expectation</w:t>
      </w:r>
      <w:r w:rsidR="00C468A7" w:rsidRPr="00A760F5">
        <w:rPr>
          <w:rFonts w:ascii="Barclays Sans" w:hAnsi="Barclays Sans"/>
          <w:noProof/>
          <w:color w:val="auto"/>
          <w:sz w:val="24"/>
          <w:szCs w:val="24"/>
        </w:rPr>
        <w:t xml:space="preserve"> </w:t>
      </w:r>
      <w:r w:rsidRPr="00A760F5">
        <w:rPr>
          <w:rFonts w:ascii="Barclays Sans" w:hAnsi="Barclays Sans"/>
          <w:noProof/>
          <w:color w:val="auto"/>
          <w:sz w:val="24"/>
          <w:szCs w:val="24"/>
        </w:rPr>
        <w:t xml:space="preserve">that (at least some) European regulators </w:t>
      </w:r>
      <w:r w:rsidR="00C468A7">
        <w:rPr>
          <w:rFonts w:ascii="Barclays Sans" w:hAnsi="Barclays Sans"/>
          <w:noProof/>
          <w:color w:val="auto"/>
          <w:sz w:val="24"/>
          <w:szCs w:val="24"/>
        </w:rPr>
        <w:t>will</w:t>
      </w:r>
      <w:r w:rsidRPr="00A760F5">
        <w:rPr>
          <w:rFonts w:ascii="Barclays Sans" w:hAnsi="Barclays Sans"/>
          <w:noProof/>
          <w:color w:val="auto"/>
          <w:sz w:val="24"/>
          <w:szCs w:val="24"/>
        </w:rPr>
        <w:t xml:space="preserve"> implement the TLAC requirements for G-SIBs using the BRRD’s MREL framework, since this is already in place in national legislation, for example by translating a firm’s binding (RWA or leverage-based) TLAC constraint into a gross-liabilities MREL measure based on the firm’s balance sheet</w:t>
      </w:r>
      <w:r w:rsidR="001A1EAA" w:rsidRPr="00A760F5">
        <w:rPr>
          <w:rFonts w:ascii="Barclays Sans" w:hAnsi="Barclays Sans"/>
          <w:noProof/>
          <w:color w:val="auto"/>
          <w:sz w:val="24"/>
          <w:szCs w:val="24"/>
        </w:rPr>
        <w:t>, updated on an annual basis</w:t>
      </w:r>
      <w:r w:rsidRPr="00A760F5">
        <w:rPr>
          <w:rFonts w:ascii="Barclays Sans" w:hAnsi="Barclays Sans"/>
          <w:noProof/>
          <w:color w:val="auto"/>
          <w:sz w:val="24"/>
          <w:szCs w:val="24"/>
        </w:rPr>
        <w:t xml:space="preserve">.  MREL requirements are expected to apply to European banks from 1 January 2016, whereas the FSB’s proposed TLAC requirements would apply ‘no earlier than 2019’.  For European G-SIBs, at least during the MREL period of transition (proposed as 48 months, starting in January 2016), we would </w:t>
      </w:r>
      <w:r w:rsidR="00EA725C">
        <w:rPr>
          <w:rFonts w:ascii="Barclays Sans" w:hAnsi="Barclays Sans"/>
          <w:noProof/>
          <w:color w:val="auto"/>
          <w:sz w:val="24"/>
          <w:szCs w:val="24"/>
        </w:rPr>
        <w:t>urge</w:t>
      </w:r>
      <w:r w:rsidR="00EA725C" w:rsidRPr="00A760F5">
        <w:rPr>
          <w:rFonts w:ascii="Barclays Sans" w:hAnsi="Barclays Sans"/>
          <w:noProof/>
          <w:color w:val="auto"/>
          <w:sz w:val="24"/>
          <w:szCs w:val="24"/>
        </w:rPr>
        <w:t xml:space="preserve"> </w:t>
      </w:r>
      <w:r w:rsidRPr="00A760F5">
        <w:rPr>
          <w:rFonts w:ascii="Barclays Sans" w:hAnsi="Barclays Sans"/>
          <w:noProof/>
          <w:color w:val="auto"/>
          <w:sz w:val="24"/>
          <w:szCs w:val="24"/>
        </w:rPr>
        <w:t xml:space="preserve">that instruments which are eligible for MREL in the BRRD (eg senior unsecured term debt, including structured notes </w:t>
      </w:r>
      <w:r w:rsidR="002D58DF" w:rsidRPr="00A760F5">
        <w:rPr>
          <w:rFonts w:ascii="Barclays Sans" w:hAnsi="Barclays Sans"/>
          <w:noProof/>
          <w:color w:val="auto"/>
          <w:sz w:val="24"/>
          <w:szCs w:val="24"/>
        </w:rPr>
        <w:t xml:space="preserve">and </w:t>
      </w:r>
      <w:r w:rsidR="00FC11FB" w:rsidRPr="00A760F5">
        <w:rPr>
          <w:rFonts w:ascii="Barclays Sans" w:hAnsi="Barclays Sans"/>
          <w:noProof/>
          <w:color w:val="auto"/>
          <w:sz w:val="24"/>
          <w:szCs w:val="24"/>
        </w:rPr>
        <w:t xml:space="preserve">other unsecured </w:t>
      </w:r>
      <w:r w:rsidR="002D58DF" w:rsidRPr="00A760F5">
        <w:rPr>
          <w:rFonts w:ascii="Barclays Sans" w:hAnsi="Barclays Sans"/>
          <w:noProof/>
          <w:color w:val="auto"/>
          <w:sz w:val="24"/>
          <w:szCs w:val="24"/>
        </w:rPr>
        <w:t xml:space="preserve">liabilities </w:t>
      </w:r>
      <w:r w:rsidRPr="00A760F5">
        <w:rPr>
          <w:rFonts w:ascii="Barclays Sans" w:hAnsi="Barclays Sans"/>
          <w:noProof/>
          <w:color w:val="auto"/>
          <w:sz w:val="24"/>
          <w:szCs w:val="24"/>
        </w:rPr>
        <w:t>issued by a bank subsidiary) may count towards the MREL (TLAC) requirement, even if they would not be eligible for TLAC once the final rules are applied (ie if subordination</w:t>
      </w:r>
      <w:r w:rsidR="005620EF">
        <w:rPr>
          <w:rFonts w:ascii="Barclays Sans" w:hAnsi="Barclays Sans"/>
          <w:noProof/>
          <w:color w:val="auto"/>
          <w:sz w:val="24"/>
          <w:szCs w:val="24"/>
        </w:rPr>
        <w:t>, contractual PONV</w:t>
      </w:r>
      <w:r w:rsidR="00287830">
        <w:rPr>
          <w:rFonts w:ascii="Barclays Sans" w:hAnsi="Barclays Sans"/>
          <w:noProof/>
          <w:color w:val="auto"/>
          <w:sz w:val="24"/>
          <w:szCs w:val="24"/>
        </w:rPr>
        <w:t>, and group regulatory capital qualification</w:t>
      </w:r>
      <w:r w:rsidRPr="00A760F5">
        <w:rPr>
          <w:rFonts w:ascii="Barclays Sans" w:hAnsi="Barclays Sans"/>
          <w:noProof/>
          <w:color w:val="auto"/>
          <w:sz w:val="24"/>
          <w:szCs w:val="24"/>
        </w:rPr>
        <w:t xml:space="preserve"> is ultimately required). </w:t>
      </w:r>
    </w:p>
    <w:p w:rsidR="007561F7" w:rsidRDefault="004E6FF0" w:rsidP="00E36E9D">
      <w:pPr>
        <w:pStyle w:val="Heading1"/>
        <w:numPr>
          <w:ilvl w:val="0"/>
          <w:numId w:val="4"/>
        </w:numPr>
        <w:ind w:left="0" w:firstLine="113"/>
        <w:jc w:val="both"/>
        <w:rPr>
          <w:rFonts w:ascii="Barclays Sans" w:hAnsi="Barclays Sans"/>
          <w:noProof/>
          <w:color w:val="auto"/>
          <w:sz w:val="24"/>
          <w:szCs w:val="24"/>
        </w:rPr>
      </w:pPr>
      <w:r>
        <w:rPr>
          <w:rFonts w:ascii="Barclays Sans" w:hAnsi="Barclays Sans"/>
          <w:noProof/>
          <w:color w:val="auto"/>
          <w:sz w:val="24"/>
          <w:szCs w:val="24"/>
        </w:rPr>
        <w:t xml:space="preserve">In this context, </w:t>
      </w:r>
      <w:r w:rsidR="007561F7">
        <w:rPr>
          <w:rFonts w:ascii="Barclays Sans" w:hAnsi="Barclays Sans"/>
          <w:noProof/>
          <w:color w:val="auto"/>
          <w:sz w:val="24"/>
          <w:szCs w:val="24"/>
        </w:rPr>
        <w:t>w</w:t>
      </w:r>
      <w:r w:rsidR="007561F7" w:rsidRPr="007561F7">
        <w:rPr>
          <w:rFonts w:ascii="Barclays Sans" w:hAnsi="Barclays Sans"/>
          <w:noProof/>
          <w:color w:val="auto"/>
          <w:sz w:val="24"/>
          <w:szCs w:val="24"/>
        </w:rPr>
        <w:t>e urge that any requirement to issue contractual bail-in instruments as part of a subsidiary’s internal MREL (BRRD Article 45, 13-14) is not implemented during the transition phase</w:t>
      </w:r>
      <w:r w:rsidR="00C56129" w:rsidRPr="00C56129">
        <w:t xml:space="preserve"> </w:t>
      </w:r>
      <w:r w:rsidR="00C56129" w:rsidRPr="00C56129">
        <w:rPr>
          <w:rFonts w:ascii="Barclays Sans" w:hAnsi="Barclays Sans"/>
          <w:noProof/>
          <w:color w:val="auto"/>
          <w:sz w:val="24"/>
          <w:szCs w:val="24"/>
        </w:rPr>
        <w:t>and that authorities have regard to the relative ranking of Hold</w:t>
      </w:r>
      <w:r w:rsidR="00202DA6">
        <w:rPr>
          <w:rFonts w:ascii="Barclays Sans" w:hAnsi="Barclays Sans"/>
          <w:noProof/>
          <w:color w:val="auto"/>
          <w:sz w:val="24"/>
          <w:szCs w:val="24"/>
        </w:rPr>
        <w:t>Co/OpC</w:t>
      </w:r>
      <w:r w:rsidR="00C56129" w:rsidRPr="00C56129">
        <w:rPr>
          <w:rFonts w:ascii="Barclays Sans" w:hAnsi="Barclays Sans"/>
          <w:noProof/>
          <w:color w:val="auto"/>
          <w:sz w:val="24"/>
          <w:szCs w:val="24"/>
        </w:rPr>
        <w:t>o creditor rights throughout the transition phase</w:t>
      </w:r>
      <w:r w:rsidR="007561F7" w:rsidRPr="007561F7">
        <w:rPr>
          <w:rFonts w:ascii="Barclays Sans" w:hAnsi="Barclays Sans"/>
          <w:noProof/>
          <w:color w:val="auto"/>
          <w:sz w:val="24"/>
          <w:szCs w:val="24"/>
        </w:rPr>
        <w:t>.</w:t>
      </w:r>
      <w:r w:rsidR="007561F7">
        <w:rPr>
          <w:rFonts w:ascii="Barclays Sans" w:hAnsi="Barclays Sans"/>
          <w:noProof/>
          <w:color w:val="auto"/>
          <w:sz w:val="24"/>
          <w:szCs w:val="24"/>
        </w:rPr>
        <w:t xml:space="preserve">  </w:t>
      </w:r>
    </w:p>
    <w:p w:rsidR="00C3607C" w:rsidRPr="00C3607C" w:rsidRDefault="007561F7" w:rsidP="00E36E9D">
      <w:pPr>
        <w:pStyle w:val="Heading1"/>
        <w:numPr>
          <w:ilvl w:val="0"/>
          <w:numId w:val="4"/>
        </w:numPr>
        <w:ind w:left="0" w:firstLine="113"/>
        <w:jc w:val="both"/>
        <w:rPr>
          <w:rFonts w:ascii="Barclays Sans" w:hAnsi="Barclays Sans"/>
          <w:noProof/>
          <w:color w:val="auto"/>
          <w:sz w:val="24"/>
          <w:szCs w:val="24"/>
        </w:rPr>
      </w:pPr>
      <w:r>
        <w:rPr>
          <w:rFonts w:ascii="Barclays Sans" w:hAnsi="Barclays Sans"/>
          <w:noProof/>
          <w:color w:val="auto"/>
          <w:sz w:val="24"/>
          <w:szCs w:val="24"/>
        </w:rPr>
        <w:t xml:space="preserve">Relatedly, </w:t>
      </w:r>
      <w:r w:rsidR="004E6FF0">
        <w:rPr>
          <w:rFonts w:ascii="Barclays Sans" w:hAnsi="Barclays Sans"/>
          <w:noProof/>
          <w:color w:val="auto"/>
          <w:sz w:val="24"/>
          <w:szCs w:val="24"/>
        </w:rPr>
        <w:t>w</w:t>
      </w:r>
      <w:r w:rsidR="00C3607C" w:rsidRPr="00C3607C">
        <w:rPr>
          <w:rFonts w:ascii="Barclays Sans" w:hAnsi="Barclays Sans"/>
          <w:noProof/>
          <w:color w:val="auto"/>
          <w:sz w:val="24"/>
          <w:szCs w:val="24"/>
        </w:rPr>
        <w:t xml:space="preserve">e would ask the </w:t>
      </w:r>
      <w:r w:rsidR="004E6FF0">
        <w:rPr>
          <w:rFonts w:ascii="Barclays Sans" w:hAnsi="Barclays Sans"/>
          <w:noProof/>
          <w:color w:val="auto"/>
          <w:sz w:val="24"/>
          <w:szCs w:val="24"/>
        </w:rPr>
        <w:t xml:space="preserve">EBA to </w:t>
      </w:r>
      <w:r w:rsidR="00C3607C" w:rsidRPr="00C3607C">
        <w:rPr>
          <w:rFonts w:ascii="Barclays Sans" w:hAnsi="Barclays Sans"/>
          <w:noProof/>
          <w:color w:val="auto"/>
          <w:sz w:val="24"/>
          <w:szCs w:val="24"/>
        </w:rPr>
        <w:t xml:space="preserve">recommend </w:t>
      </w:r>
      <w:r w:rsidR="004E6FF0">
        <w:rPr>
          <w:rFonts w:ascii="Barclays Sans" w:hAnsi="Barclays Sans"/>
          <w:noProof/>
          <w:color w:val="auto"/>
          <w:sz w:val="24"/>
          <w:szCs w:val="24"/>
        </w:rPr>
        <w:t xml:space="preserve">European-wide </w:t>
      </w:r>
      <w:r w:rsidR="00C3607C" w:rsidRPr="00C3607C">
        <w:rPr>
          <w:rFonts w:ascii="Barclays Sans" w:hAnsi="Barclays Sans"/>
          <w:noProof/>
          <w:color w:val="auto"/>
          <w:sz w:val="24"/>
          <w:szCs w:val="24"/>
        </w:rPr>
        <w:t xml:space="preserve">solutions </w:t>
      </w:r>
      <w:r w:rsidR="004E6FF0">
        <w:rPr>
          <w:rFonts w:ascii="Barclays Sans" w:hAnsi="Barclays Sans"/>
          <w:noProof/>
          <w:color w:val="auto"/>
          <w:sz w:val="24"/>
          <w:szCs w:val="24"/>
        </w:rPr>
        <w:t>to</w:t>
      </w:r>
      <w:r w:rsidR="00C3607C" w:rsidRPr="00C3607C">
        <w:rPr>
          <w:rFonts w:ascii="Barclays Sans" w:hAnsi="Barclays Sans"/>
          <w:noProof/>
          <w:color w:val="auto"/>
          <w:sz w:val="24"/>
          <w:szCs w:val="24"/>
        </w:rPr>
        <w:t xml:space="preserve"> </w:t>
      </w:r>
      <w:r w:rsidR="004E6FF0">
        <w:rPr>
          <w:rFonts w:ascii="Barclays Sans" w:hAnsi="Barclays Sans"/>
          <w:noProof/>
          <w:color w:val="auto"/>
          <w:sz w:val="24"/>
          <w:szCs w:val="24"/>
        </w:rPr>
        <w:t>underpin the BRRD position that</w:t>
      </w:r>
      <w:r w:rsidR="00C3607C" w:rsidRPr="00C3607C">
        <w:rPr>
          <w:rFonts w:ascii="Barclays Sans" w:hAnsi="Barclays Sans"/>
          <w:noProof/>
          <w:color w:val="auto"/>
          <w:sz w:val="24"/>
          <w:szCs w:val="24"/>
        </w:rPr>
        <w:t xml:space="preserve"> banks’ senior</w:t>
      </w:r>
      <w:r w:rsidR="004E6FF0">
        <w:rPr>
          <w:rFonts w:ascii="Barclays Sans" w:hAnsi="Barclays Sans"/>
          <w:noProof/>
          <w:color w:val="auto"/>
          <w:sz w:val="24"/>
          <w:szCs w:val="24"/>
        </w:rPr>
        <w:t xml:space="preserve"> unsecured</w:t>
      </w:r>
      <w:r w:rsidR="00C3607C" w:rsidRPr="00C3607C">
        <w:rPr>
          <w:rFonts w:ascii="Barclays Sans" w:hAnsi="Barclays Sans"/>
          <w:noProof/>
          <w:color w:val="auto"/>
          <w:sz w:val="24"/>
          <w:szCs w:val="24"/>
        </w:rPr>
        <w:t xml:space="preserve"> debt </w:t>
      </w:r>
      <w:r w:rsidR="004E6FF0">
        <w:rPr>
          <w:rFonts w:ascii="Barclays Sans" w:hAnsi="Barclays Sans"/>
          <w:noProof/>
          <w:color w:val="auto"/>
          <w:sz w:val="24"/>
          <w:szCs w:val="24"/>
        </w:rPr>
        <w:t>may</w:t>
      </w:r>
      <w:r w:rsidR="00C3607C" w:rsidRPr="00C3607C">
        <w:rPr>
          <w:rFonts w:ascii="Barclays Sans" w:hAnsi="Barclays Sans"/>
          <w:noProof/>
          <w:color w:val="auto"/>
          <w:sz w:val="24"/>
          <w:szCs w:val="24"/>
        </w:rPr>
        <w:t xml:space="preserve"> qualify as </w:t>
      </w:r>
      <w:r w:rsidR="004E6FF0">
        <w:rPr>
          <w:rFonts w:ascii="Barclays Sans" w:hAnsi="Barclays Sans"/>
          <w:noProof/>
          <w:color w:val="auto"/>
          <w:sz w:val="24"/>
          <w:szCs w:val="24"/>
        </w:rPr>
        <w:t>MREL</w:t>
      </w:r>
      <w:r w:rsidR="00C3607C" w:rsidRPr="00C3607C">
        <w:rPr>
          <w:rFonts w:ascii="Barclays Sans" w:hAnsi="Barclays Sans"/>
          <w:noProof/>
          <w:color w:val="auto"/>
          <w:sz w:val="24"/>
          <w:szCs w:val="24"/>
        </w:rPr>
        <w:t>, for example encouraging subordination</w:t>
      </w:r>
      <w:r w:rsidR="004E6FF0">
        <w:rPr>
          <w:rFonts w:ascii="Barclays Sans" w:hAnsi="Barclays Sans"/>
          <w:noProof/>
          <w:color w:val="auto"/>
          <w:sz w:val="24"/>
          <w:szCs w:val="24"/>
        </w:rPr>
        <w:t xml:space="preserve"> (to operating liabilities) of </w:t>
      </w:r>
      <w:r w:rsidR="00C3607C" w:rsidRPr="00C3607C">
        <w:rPr>
          <w:rFonts w:ascii="Barclays Sans" w:hAnsi="Barclays Sans"/>
          <w:noProof/>
          <w:color w:val="auto"/>
          <w:sz w:val="24"/>
          <w:szCs w:val="24"/>
        </w:rPr>
        <w:t xml:space="preserve">senior unsecured </w:t>
      </w:r>
      <w:r w:rsidR="004E6FF0">
        <w:rPr>
          <w:rFonts w:ascii="Barclays Sans" w:hAnsi="Barclays Sans"/>
          <w:noProof/>
          <w:color w:val="auto"/>
          <w:sz w:val="24"/>
          <w:szCs w:val="24"/>
        </w:rPr>
        <w:t>debt</w:t>
      </w:r>
      <w:r w:rsidR="00C3607C" w:rsidRPr="00C3607C">
        <w:rPr>
          <w:rFonts w:ascii="Barclays Sans" w:hAnsi="Barclays Sans"/>
          <w:noProof/>
          <w:color w:val="auto"/>
          <w:sz w:val="24"/>
          <w:szCs w:val="24"/>
        </w:rPr>
        <w:t xml:space="preserve"> on a</w:t>
      </w:r>
      <w:r w:rsidR="004E6FF0">
        <w:rPr>
          <w:rFonts w:ascii="Barclays Sans" w:hAnsi="Barclays Sans"/>
          <w:noProof/>
          <w:color w:val="auto"/>
          <w:sz w:val="24"/>
          <w:szCs w:val="24"/>
        </w:rPr>
        <w:t>n EU</w:t>
      </w:r>
      <w:r w:rsidR="00C3607C" w:rsidRPr="00C3607C">
        <w:rPr>
          <w:rFonts w:ascii="Barclays Sans" w:hAnsi="Barclays Sans"/>
          <w:noProof/>
          <w:color w:val="auto"/>
          <w:sz w:val="24"/>
          <w:szCs w:val="24"/>
        </w:rPr>
        <w:t xml:space="preserve"> statutory basis.  Otherwise, if </w:t>
      </w:r>
      <w:r w:rsidR="004E6FF0">
        <w:rPr>
          <w:rFonts w:ascii="Barclays Sans" w:hAnsi="Barclays Sans"/>
          <w:noProof/>
          <w:color w:val="auto"/>
          <w:sz w:val="24"/>
          <w:szCs w:val="24"/>
        </w:rPr>
        <w:t xml:space="preserve">national authorities take different positions on the MREL-eligibiity of senior debt (especially for firms with TLAC requirements), </w:t>
      </w:r>
      <w:r w:rsidR="00C3607C" w:rsidRPr="00C3607C">
        <w:rPr>
          <w:rFonts w:ascii="Barclays Sans" w:hAnsi="Barclays Sans"/>
          <w:noProof/>
          <w:color w:val="auto"/>
          <w:sz w:val="24"/>
          <w:szCs w:val="24"/>
        </w:rPr>
        <w:t>this would risk creating an unlevel playing</w:t>
      </w:r>
      <w:r w:rsidR="002D58DF">
        <w:rPr>
          <w:rFonts w:ascii="Barclays Sans" w:hAnsi="Barclays Sans"/>
          <w:noProof/>
          <w:color w:val="auto"/>
          <w:sz w:val="24"/>
          <w:szCs w:val="24"/>
        </w:rPr>
        <w:t xml:space="preserve"> </w:t>
      </w:r>
      <w:r w:rsidR="00C3607C" w:rsidRPr="00C3607C">
        <w:rPr>
          <w:rFonts w:ascii="Barclays Sans" w:hAnsi="Barclays Sans"/>
          <w:noProof/>
          <w:color w:val="auto"/>
          <w:sz w:val="24"/>
          <w:szCs w:val="24"/>
        </w:rPr>
        <w:t xml:space="preserve">field internationally, with a competitive advantage bestowed on some firms.  </w:t>
      </w:r>
    </w:p>
    <w:p w:rsidR="00A760F5" w:rsidRDefault="002D58DF" w:rsidP="00E36E9D">
      <w:pPr>
        <w:pStyle w:val="Heading1"/>
        <w:numPr>
          <w:ilvl w:val="0"/>
          <w:numId w:val="4"/>
        </w:numPr>
        <w:ind w:left="0" w:firstLine="113"/>
        <w:jc w:val="both"/>
        <w:rPr>
          <w:rFonts w:ascii="Barclays Sans" w:hAnsi="Barclays Sans"/>
          <w:noProof/>
          <w:color w:val="auto"/>
          <w:sz w:val="24"/>
          <w:szCs w:val="24"/>
        </w:rPr>
      </w:pPr>
      <w:r w:rsidRPr="00A760F5">
        <w:rPr>
          <w:rFonts w:ascii="Barclays Sans" w:hAnsi="Barclays Sans"/>
          <w:noProof/>
          <w:color w:val="auto"/>
          <w:sz w:val="24"/>
          <w:szCs w:val="24"/>
        </w:rPr>
        <w:t>W</w:t>
      </w:r>
      <w:r w:rsidR="005B4847" w:rsidRPr="00A760F5">
        <w:rPr>
          <w:rFonts w:ascii="Barclays Sans" w:hAnsi="Barclays Sans"/>
          <w:noProof/>
          <w:color w:val="auto"/>
          <w:sz w:val="24"/>
          <w:szCs w:val="24"/>
        </w:rPr>
        <w:t xml:space="preserve">e </w:t>
      </w:r>
      <w:r w:rsidR="00287830">
        <w:rPr>
          <w:rFonts w:ascii="Barclays Sans" w:hAnsi="Barclays Sans"/>
          <w:noProof/>
          <w:color w:val="auto"/>
          <w:sz w:val="24"/>
          <w:szCs w:val="24"/>
        </w:rPr>
        <w:t>request that</w:t>
      </w:r>
      <w:r w:rsidR="005B4847" w:rsidRPr="00A760F5">
        <w:rPr>
          <w:rFonts w:ascii="Barclays Sans" w:hAnsi="Barclays Sans"/>
          <w:noProof/>
          <w:color w:val="auto"/>
          <w:sz w:val="24"/>
          <w:szCs w:val="24"/>
        </w:rPr>
        <w:t xml:space="preserve"> national resolution authorities </w:t>
      </w:r>
      <w:r w:rsidR="008F493B">
        <w:rPr>
          <w:rFonts w:ascii="Barclays Sans" w:hAnsi="Barclays Sans"/>
          <w:noProof/>
          <w:color w:val="auto"/>
          <w:sz w:val="24"/>
          <w:szCs w:val="24"/>
        </w:rPr>
        <w:t>are clear and transparent to the market on</w:t>
      </w:r>
      <w:r w:rsidR="005B4847" w:rsidRPr="00A760F5">
        <w:rPr>
          <w:rFonts w:ascii="Barclays Sans" w:hAnsi="Barclays Sans"/>
          <w:noProof/>
          <w:color w:val="auto"/>
          <w:sz w:val="24"/>
          <w:szCs w:val="24"/>
        </w:rPr>
        <w:t xml:space="preserve"> which types of senior liabilities they would be likely to bail</w:t>
      </w:r>
      <w:r w:rsidR="00300380" w:rsidRPr="00A760F5">
        <w:rPr>
          <w:rFonts w:ascii="Barclays Sans" w:hAnsi="Barclays Sans"/>
          <w:noProof/>
          <w:color w:val="auto"/>
          <w:sz w:val="24"/>
          <w:szCs w:val="24"/>
        </w:rPr>
        <w:t xml:space="preserve"> </w:t>
      </w:r>
      <w:r w:rsidR="005B4847" w:rsidRPr="00A760F5">
        <w:rPr>
          <w:rFonts w:ascii="Barclays Sans" w:hAnsi="Barclays Sans"/>
          <w:noProof/>
          <w:color w:val="auto"/>
          <w:sz w:val="24"/>
          <w:szCs w:val="24"/>
        </w:rPr>
        <w:t xml:space="preserve">in (if needed), and which they would be minded to exercise discretion to exclude from bail-in (depending on prevailing circumstances).  This may be different </w:t>
      </w:r>
      <w:r w:rsidR="00300380" w:rsidRPr="00A760F5">
        <w:rPr>
          <w:rFonts w:ascii="Barclays Sans" w:hAnsi="Barclays Sans"/>
          <w:noProof/>
          <w:color w:val="auto"/>
          <w:sz w:val="24"/>
          <w:szCs w:val="24"/>
        </w:rPr>
        <w:t>during</w:t>
      </w:r>
      <w:r w:rsidR="005B4847" w:rsidRPr="00A760F5">
        <w:rPr>
          <w:rFonts w:ascii="Barclays Sans" w:hAnsi="Barclays Sans"/>
          <w:noProof/>
          <w:color w:val="auto"/>
          <w:sz w:val="24"/>
          <w:szCs w:val="24"/>
        </w:rPr>
        <w:t xml:space="preserve"> transition (eg where a large stock of senior debt is outstanding at a subsidiary) </w:t>
      </w:r>
      <w:r w:rsidRPr="00A760F5">
        <w:rPr>
          <w:rFonts w:ascii="Barclays Sans" w:hAnsi="Barclays Sans"/>
          <w:noProof/>
          <w:color w:val="auto"/>
          <w:sz w:val="24"/>
          <w:szCs w:val="24"/>
        </w:rPr>
        <w:t xml:space="preserve">as compared </w:t>
      </w:r>
      <w:r w:rsidR="005B4847" w:rsidRPr="00A760F5">
        <w:rPr>
          <w:rFonts w:ascii="Barclays Sans" w:hAnsi="Barclays Sans"/>
          <w:noProof/>
          <w:color w:val="auto"/>
          <w:sz w:val="24"/>
          <w:szCs w:val="24"/>
        </w:rPr>
        <w:t xml:space="preserve">to </w:t>
      </w:r>
      <w:r w:rsidR="00C3607C" w:rsidRPr="00A760F5">
        <w:rPr>
          <w:rFonts w:ascii="Barclays Sans" w:hAnsi="Barclays Sans"/>
          <w:noProof/>
          <w:color w:val="auto"/>
          <w:sz w:val="24"/>
          <w:szCs w:val="24"/>
        </w:rPr>
        <w:t xml:space="preserve">the application of bail-in in </w:t>
      </w:r>
      <w:r w:rsidR="005B4847" w:rsidRPr="00A760F5">
        <w:rPr>
          <w:rFonts w:ascii="Barclays Sans" w:hAnsi="Barclays Sans"/>
          <w:noProof/>
          <w:color w:val="auto"/>
          <w:sz w:val="24"/>
          <w:szCs w:val="24"/>
        </w:rPr>
        <w:t>an end-state</w:t>
      </w:r>
      <w:r w:rsidR="00300380" w:rsidRPr="00A760F5">
        <w:rPr>
          <w:rFonts w:ascii="Barclays Sans" w:hAnsi="Barclays Sans"/>
          <w:noProof/>
          <w:color w:val="auto"/>
          <w:sz w:val="24"/>
          <w:szCs w:val="24"/>
        </w:rPr>
        <w:t xml:space="preserve"> HoldCo SPE model</w:t>
      </w:r>
      <w:r w:rsidR="005B4847" w:rsidRPr="00A760F5">
        <w:rPr>
          <w:rFonts w:ascii="Barclays Sans" w:hAnsi="Barclays Sans"/>
          <w:noProof/>
          <w:color w:val="auto"/>
          <w:sz w:val="24"/>
          <w:szCs w:val="24"/>
        </w:rPr>
        <w:t>, and we believe more guidance could help to align investors’ expectations of bail-in risk more closely with MREL eligibility</w:t>
      </w:r>
      <w:r w:rsidR="008F493B">
        <w:rPr>
          <w:rFonts w:ascii="Barclays Sans" w:hAnsi="Barclays Sans"/>
          <w:noProof/>
          <w:color w:val="auto"/>
          <w:sz w:val="24"/>
          <w:szCs w:val="24"/>
        </w:rPr>
        <w:t>, and provide more clarity to holders of other senior liabilities (eg uninsured depositors, structured notes and derivatives)</w:t>
      </w:r>
      <w:r w:rsidR="005B4847" w:rsidRPr="00A760F5">
        <w:rPr>
          <w:rFonts w:ascii="Barclays Sans" w:hAnsi="Barclays Sans"/>
          <w:noProof/>
          <w:color w:val="auto"/>
          <w:sz w:val="24"/>
          <w:szCs w:val="24"/>
        </w:rPr>
        <w:t xml:space="preserve">. </w:t>
      </w:r>
    </w:p>
    <w:p w:rsidR="00D41CAB" w:rsidRPr="00A760F5" w:rsidRDefault="00A1062B" w:rsidP="00E36E9D">
      <w:pPr>
        <w:pStyle w:val="Heading1"/>
        <w:numPr>
          <w:ilvl w:val="0"/>
          <w:numId w:val="4"/>
        </w:numPr>
        <w:ind w:left="0" w:firstLine="113"/>
        <w:jc w:val="both"/>
        <w:rPr>
          <w:rFonts w:ascii="Barclays Sans" w:hAnsi="Barclays Sans"/>
          <w:noProof/>
          <w:color w:val="auto"/>
          <w:sz w:val="24"/>
          <w:szCs w:val="24"/>
        </w:rPr>
      </w:pPr>
      <w:r w:rsidRPr="00A760F5">
        <w:rPr>
          <w:rFonts w:ascii="Barclays Sans" w:hAnsi="Barclays Sans"/>
          <w:noProof/>
          <w:color w:val="auto"/>
          <w:sz w:val="24"/>
          <w:szCs w:val="24"/>
        </w:rPr>
        <w:lastRenderedPageBreak/>
        <w:t>With respect to the EBA’s specific MREL proposals, we are concerned that the proposed MREL calibration method would result in excessive requirements through the double inclusion of buffers (in contrast to TLAC proposals of double the minimum capital ratio plus buffers)</w:t>
      </w:r>
      <w:r w:rsidR="00DE06D4" w:rsidRPr="00A760F5">
        <w:rPr>
          <w:rFonts w:ascii="Barclays Sans" w:hAnsi="Barclays Sans"/>
          <w:noProof/>
          <w:color w:val="auto"/>
          <w:sz w:val="24"/>
          <w:szCs w:val="24"/>
        </w:rPr>
        <w:t>, and that doubling Pillar 2 and buffers would also exacerbate any unlevel-playing field effects arising from national authority discretion</w:t>
      </w:r>
      <w:r w:rsidRPr="00A760F5">
        <w:rPr>
          <w:rFonts w:ascii="Barclays Sans" w:hAnsi="Barclays Sans"/>
          <w:noProof/>
          <w:color w:val="auto"/>
          <w:sz w:val="24"/>
          <w:szCs w:val="24"/>
        </w:rPr>
        <w:t>.  While we acknowledge that loss absorption requirements should be based on regulatory capital requirements, we believe recapitalisation amounts should be based on restoring post-resolution capital to the minimum requirement, with buffers rebuilt over time.   With robust stress testing, banks hold enough capital to absorb extreme losses, and in most states of the world, if bank losses were to deplete capital below the regulatory minima, the capital would not be completely exhausted (even before BaU pre-provision profits).  Indeed, Basel III introduced more stringent capital and liquidity requirements (so the baseline is stronger), and internal management buffers will also be held on top</w:t>
      </w:r>
      <w:r w:rsidR="00147116">
        <w:rPr>
          <w:rFonts w:ascii="Barclays Sans" w:hAnsi="Barclays Sans"/>
          <w:noProof/>
          <w:color w:val="auto"/>
          <w:sz w:val="24"/>
          <w:szCs w:val="24"/>
        </w:rPr>
        <w:t xml:space="preserve"> of minimum requirements</w:t>
      </w:r>
      <w:r w:rsidR="005B4847" w:rsidRPr="00A760F5">
        <w:rPr>
          <w:rFonts w:ascii="Barclays Sans" w:hAnsi="Barclays Sans"/>
          <w:noProof/>
          <w:color w:val="auto"/>
          <w:sz w:val="24"/>
          <w:szCs w:val="24"/>
        </w:rPr>
        <w:t>.</w:t>
      </w:r>
    </w:p>
    <w:p w:rsidR="005B4847" w:rsidRDefault="005B4847" w:rsidP="00E36E9D">
      <w:pPr>
        <w:pStyle w:val="Heading1"/>
        <w:ind w:left="113"/>
        <w:jc w:val="both"/>
        <w:rPr>
          <w:rFonts w:ascii="Barclays Sans" w:hAnsi="Barclays Sans"/>
          <w:bCs w:val="0"/>
          <w:i/>
          <w:noProof/>
          <w:color w:val="00B0F0"/>
          <w:sz w:val="26"/>
          <w:szCs w:val="26"/>
        </w:rPr>
      </w:pPr>
      <w:r w:rsidRPr="00A1062B">
        <w:rPr>
          <w:rFonts w:ascii="Barclays Sans" w:hAnsi="Barclays Sans"/>
          <w:noProof/>
          <w:color w:val="auto"/>
          <w:sz w:val="24"/>
          <w:szCs w:val="24"/>
        </w:rPr>
        <w:t xml:space="preserve"> </w:t>
      </w:r>
      <w:r w:rsidRPr="00A1062B">
        <w:rPr>
          <w:rFonts w:ascii="Barclays Sans" w:hAnsi="Barclays Sans"/>
          <w:noProof/>
          <w:color w:val="auto"/>
          <w:sz w:val="24"/>
          <w:szCs w:val="24"/>
        </w:rPr>
        <w:br w:type="column"/>
      </w:r>
      <w:r w:rsidRPr="00A1062B">
        <w:rPr>
          <w:rFonts w:ascii="Barclays Sans" w:hAnsi="Barclays Sans"/>
          <w:b/>
          <w:sz w:val="26"/>
          <w:szCs w:val="26"/>
        </w:rPr>
        <w:lastRenderedPageBreak/>
        <w:t>Appendix 1: Barclays’ response to the individual consultation questions</w:t>
      </w: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E93B38">
        <w:rPr>
          <w:rFonts w:ascii="Barclays Sans" w:hAnsi="Barclays Sans" w:cs="Arial"/>
          <w:b/>
          <w:color w:val="000000"/>
          <w:sz w:val="24"/>
          <w:szCs w:val="24"/>
        </w:rPr>
        <w:t>The draft text describes comprehensively capital requirements under CRR/CRD IV framework, which includes minimum CET1, AT1 and total capital requirements, capital buffers required by CRD IV, Pillar 2 capital requirements set on a case-by-case basis, and alternative backstop capital measures. The EBA is seeking comments on whether all elements of these capital requirements should be considered for the assessment of the loss absorption amount. Do you consider that any of these components of the overall capital requirement (other than the minimum CET1 requirement) are not appropriate indicators of loss in resolution, and if so why?</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5B4847" w:rsidP="00136A97">
      <w:pPr>
        <w:jc w:val="both"/>
        <w:rPr>
          <w:rFonts w:ascii="Barclays Sans" w:hAnsi="Barclays Sans" w:cs="Arial"/>
          <w:color w:val="000000"/>
        </w:rPr>
      </w:pPr>
      <w:r>
        <w:rPr>
          <w:rFonts w:ascii="Barclays Sans" w:hAnsi="Barclays Sans" w:cs="Arial"/>
          <w:color w:val="000000"/>
        </w:rPr>
        <w:t>T</w:t>
      </w:r>
      <w:r w:rsidRPr="00136A97">
        <w:rPr>
          <w:rFonts w:ascii="Barclays Sans" w:hAnsi="Barclays Sans" w:cs="Arial"/>
          <w:color w:val="000000"/>
        </w:rPr>
        <w:t xml:space="preserve">he Basel </w:t>
      </w:r>
      <w:r>
        <w:rPr>
          <w:rFonts w:ascii="Barclays Sans" w:hAnsi="Barclays Sans" w:cs="Arial"/>
          <w:color w:val="000000"/>
        </w:rPr>
        <w:t xml:space="preserve">capital </w:t>
      </w:r>
      <w:r w:rsidRPr="00136A97">
        <w:rPr>
          <w:rFonts w:ascii="Barclays Sans" w:hAnsi="Barclays Sans" w:cs="Arial"/>
          <w:color w:val="000000"/>
        </w:rPr>
        <w:t>framework</w:t>
      </w:r>
      <w:r>
        <w:rPr>
          <w:rFonts w:ascii="Barclays Sans" w:hAnsi="Barclays Sans" w:cs="Arial"/>
          <w:color w:val="000000"/>
        </w:rPr>
        <w:t xml:space="preserve">, and robust stress testing (including by the ECB and EBA), has ensured that banks have sufficient capital to absorb </w:t>
      </w:r>
      <w:r w:rsidRPr="00015E07">
        <w:rPr>
          <w:rFonts w:ascii="Barclays Sans" w:hAnsi="Barclays Sans" w:cs="Arial"/>
          <w:color w:val="000000"/>
        </w:rPr>
        <w:t>extreme losses, and in most states of the world</w:t>
      </w:r>
      <w:r w:rsidR="00300380">
        <w:rPr>
          <w:rFonts w:ascii="Barclays Sans" w:hAnsi="Barclays Sans" w:cs="Arial"/>
          <w:color w:val="000000"/>
        </w:rPr>
        <w:t>, if</w:t>
      </w:r>
      <w:r w:rsidRPr="00015E07">
        <w:rPr>
          <w:rFonts w:ascii="Barclays Sans" w:hAnsi="Barclays Sans" w:cs="Arial"/>
          <w:color w:val="000000"/>
        </w:rPr>
        <w:t xml:space="preserve"> </w:t>
      </w:r>
      <w:r w:rsidR="00300380">
        <w:rPr>
          <w:rFonts w:ascii="Barclays Sans" w:hAnsi="Barclays Sans" w:cs="Arial"/>
          <w:color w:val="000000"/>
        </w:rPr>
        <w:t xml:space="preserve">bank </w:t>
      </w:r>
      <w:r w:rsidRPr="00015E07">
        <w:rPr>
          <w:rFonts w:ascii="Barclays Sans" w:hAnsi="Barclays Sans" w:cs="Arial"/>
          <w:color w:val="000000"/>
        </w:rPr>
        <w:t xml:space="preserve">losses </w:t>
      </w:r>
      <w:r w:rsidR="00300380">
        <w:rPr>
          <w:rFonts w:ascii="Barclays Sans" w:hAnsi="Barclays Sans" w:cs="Arial"/>
          <w:color w:val="000000"/>
        </w:rPr>
        <w:t xml:space="preserve">were to </w:t>
      </w:r>
      <w:r w:rsidRPr="00015E07">
        <w:rPr>
          <w:rFonts w:ascii="Barclays Sans" w:hAnsi="Barclays Sans" w:cs="Arial"/>
          <w:color w:val="000000"/>
        </w:rPr>
        <w:t xml:space="preserve">deplete capital below the regulatory minima, the capital would not be completely exhausted (even before </w:t>
      </w:r>
      <w:proofErr w:type="spellStart"/>
      <w:r w:rsidRPr="00015E07">
        <w:rPr>
          <w:rFonts w:ascii="Barclays Sans" w:hAnsi="Barclays Sans" w:cs="Arial"/>
          <w:color w:val="000000"/>
        </w:rPr>
        <w:t>BaU</w:t>
      </w:r>
      <w:proofErr w:type="spellEnd"/>
      <w:r w:rsidRPr="00015E07">
        <w:rPr>
          <w:rFonts w:ascii="Barclays Sans" w:hAnsi="Barclays Sans" w:cs="Arial"/>
          <w:color w:val="000000"/>
        </w:rPr>
        <w:t xml:space="preserve"> pre-provision profits</w:t>
      </w:r>
      <w:r>
        <w:rPr>
          <w:rFonts w:ascii="Barclays Sans" w:hAnsi="Barclays Sans" w:cs="Arial"/>
          <w:color w:val="000000"/>
        </w:rPr>
        <w:t>)</w:t>
      </w:r>
      <w:r>
        <w:rPr>
          <w:rStyle w:val="FootnoteReference"/>
          <w:rFonts w:ascii="Barclays Sans" w:hAnsi="Barclays Sans" w:cs="Arial"/>
          <w:color w:val="000000"/>
        </w:rPr>
        <w:footnoteReference w:id="1"/>
      </w:r>
      <w:r>
        <w:rPr>
          <w:rFonts w:ascii="Barclays Sans" w:hAnsi="Barclays Sans" w:cs="Arial"/>
          <w:color w:val="000000"/>
        </w:rPr>
        <w:t xml:space="preserve">.  </w:t>
      </w:r>
      <w:r w:rsidR="004E6FF0">
        <w:rPr>
          <w:rFonts w:ascii="Barclays Sans" w:hAnsi="Barclays Sans" w:cs="Arial"/>
          <w:color w:val="000000"/>
        </w:rPr>
        <w:t xml:space="preserve">We also observe that a bank’s loss absorbing capacity would extend beyond instruments that qualify as regulatory capital (eg legacy capital) or MREL (eg unsecured term debt with less than 12 months remaining maturity).  </w:t>
      </w:r>
      <w:r>
        <w:rPr>
          <w:rFonts w:ascii="Barclays Sans" w:hAnsi="Barclays Sans" w:cs="Arial"/>
          <w:color w:val="000000"/>
        </w:rPr>
        <w:t xml:space="preserve">We therefore believe </w:t>
      </w:r>
      <w:r w:rsidRPr="003F0304">
        <w:rPr>
          <w:rFonts w:ascii="Barclays Sans" w:hAnsi="Barclays Sans" w:cs="Arial"/>
          <w:color w:val="000000"/>
        </w:rPr>
        <w:t xml:space="preserve">it would be </w:t>
      </w:r>
      <w:r>
        <w:rPr>
          <w:rFonts w:ascii="Barclays Sans" w:hAnsi="Barclays Sans" w:cs="Arial"/>
          <w:color w:val="000000"/>
        </w:rPr>
        <w:t>sufficiently prudent</w:t>
      </w:r>
      <w:r w:rsidRPr="003F0304">
        <w:rPr>
          <w:rFonts w:ascii="Barclays Sans" w:hAnsi="Barclays Sans" w:cs="Arial"/>
          <w:color w:val="000000"/>
        </w:rPr>
        <w:t xml:space="preserve"> to base the assumption of capital to be lost on the minimum capital requirement</w:t>
      </w:r>
      <w:r>
        <w:rPr>
          <w:rFonts w:ascii="Barclays Sans" w:hAnsi="Barclays Sans" w:cs="Arial"/>
          <w:color w:val="000000"/>
        </w:rPr>
        <w:t xml:space="preserve"> (rather than that plus buffers), consistent with</w:t>
      </w:r>
      <w:r w:rsidRPr="003F0304">
        <w:rPr>
          <w:rFonts w:ascii="Barclays Sans" w:hAnsi="Barclays Sans" w:cs="Arial"/>
          <w:color w:val="000000"/>
        </w:rPr>
        <w:t xml:space="preserve"> the FSB</w:t>
      </w:r>
      <w:r>
        <w:rPr>
          <w:rFonts w:ascii="Barclays Sans" w:hAnsi="Barclays Sans" w:cs="Arial"/>
          <w:color w:val="000000"/>
        </w:rPr>
        <w:t>’s</w:t>
      </w:r>
      <w:r w:rsidRPr="003F0304">
        <w:rPr>
          <w:rFonts w:ascii="Barclays Sans" w:hAnsi="Barclays Sans" w:cs="Arial"/>
          <w:color w:val="000000"/>
        </w:rPr>
        <w:t xml:space="preserve"> TLAC proposal</w:t>
      </w:r>
      <w:r>
        <w:rPr>
          <w:rFonts w:ascii="Barclays Sans" w:hAnsi="Barclays Sans" w:cs="Arial"/>
          <w:color w:val="000000"/>
        </w:rPr>
        <w:t>.</w:t>
      </w:r>
    </w:p>
    <w:p w:rsidR="005B4847" w:rsidRDefault="005B4847" w:rsidP="00136A97">
      <w:pPr>
        <w:jc w:val="both"/>
        <w:rPr>
          <w:rFonts w:ascii="Barclays Sans" w:hAnsi="Barclays Sans" w:cs="Arial"/>
          <w:color w:val="000000"/>
        </w:rPr>
      </w:pPr>
    </w:p>
    <w:p w:rsidR="005B4847" w:rsidRDefault="005B4847" w:rsidP="00136A97">
      <w:pPr>
        <w:jc w:val="both"/>
        <w:rPr>
          <w:rFonts w:ascii="Barclays Sans" w:hAnsi="Barclays Sans" w:cs="Arial"/>
          <w:color w:val="000000"/>
        </w:rPr>
      </w:pPr>
      <w:r>
        <w:rPr>
          <w:rFonts w:ascii="Barclays Sans" w:hAnsi="Barclays Sans" w:cs="Arial"/>
          <w:color w:val="000000"/>
        </w:rPr>
        <w:t xml:space="preserve">Regarding the individual elements above the minimum, we note that Pillar 2 is set at the discretion of supervisors and, while this </w:t>
      </w:r>
      <w:r w:rsidR="002D58DF">
        <w:rPr>
          <w:rFonts w:ascii="Barclays Sans" w:hAnsi="Barclays Sans" w:cs="Arial"/>
          <w:color w:val="000000"/>
        </w:rPr>
        <w:t>may</w:t>
      </w:r>
      <w:r>
        <w:rPr>
          <w:rFonts w:ascii="Barclays Sans" w:hAnsi="Barclays Sans" w:cs="Arial"/>
          <w:color w:val="000000"/>
        </w:rPr>
        <w:t xml:space="preserve"> be tied to expected loss, where it is not (eg </w:t>
      </w:r>
      <w:r w:rsidR="002D58DF">
        <w:rPr>
          <w:rFonts w:ascii="Barclays Sans" w:hAnsi="Barclays Sans" w:cs="Arial"/>
          <w:color w:val="000000"/>
        </w:rPr>
        <w:t>for non</w:t>
      </w:r>
      <w:r w:rsidR="000E6A2D">
        <w:rPr>
          <w:rFonts w:ascii="Barclays Sans" w:hAnsi="Barclays Sans" w:cs="Arial"/>
          <w:color w:val="000000"/>
        </w:rPr>
        <w:t>-</w:t>
      </w:r>
      <w:r w:rsidR="002D58DF">
        <w:rPr>
          <w:rFonts w:ascii="Barclays Sans" w:hAnsi="Barclays Sans" w:cs="Arial"/>
          <w:color w:val="000000"/>
        </w:rPr>
        <w:t xml:space="preserve">Pillar 1 risk types such as </w:t>
      </w:r>
      <w:r w:rsidR="000E6A2D">
        <w:rPr>
          <w:rFonts w:ascii="Barclays Sans" w:hAnsi="Barclays Sans" w:cs="Arial"/>
          <w:color w:val="000000"/>
        </w:rPr>
        <w:t>interest rate risk in the banking book</w:t>
      </w:r>
      <w:r w:rsidR="002D58DF">
        <w:rPr>
          <w:rFonts w:ascii="Barclays Sans" w:hAnsi="Barclays Sans" w:cs="Arial"/>
          <w:color w:val="000000"/>
        </w:rPr>
        <w:t>, lease tail risk, insurance risk etc, and where</w:t>
      </w:r>
      <w:r>
        <w:rPr>
          <w:rFonts w:ascii="Barclays Sans" w:hAnsi="Barclays Sans" w:cs="Arial"/>
          <w:color w:val="000000"/>
        </w:rPr>
        <w:t xml:space="preserve"> there is a resolvability component</w:t>
      </w:r>
      <w:r w:rsidR="002D58DF">
        <w:rPr>
          <w:rFonts w:ascii="Barclays Sans" w:hAnsi="Barclays Sans" w:cs="Arial"/>
          <w:color w:val="000000"/>
        </w:rPr>
        <w:t xml:space="preserve"> to any Pillar 2 add-ons</w:t>
      </w:r>
      <w:r>
        <w:rPr>
          <w:rFonts w:ascii="Barclays Sans" w:hAnsi="Barclays Sans" w:cs="Arial"/>
          <w:color w:val="000000"/>
        </w:rPr>
        <w:t>) it seems inappropriate to include it in the loss absorption component.</w:t>
      </w:r>
      <w:r w:rsidRPr="00F2108A">
        <w:rPr>
          <w:rFonts w:ascii="Barclays Sans" w:hAnsi="Barclays Sans" w:cs="Arial"/>
          <w:color w:val="000000"/>
        </w:rPr>
        <w:t xml:space="preserve"> </w:t>
      </w:r>
      <w:r>
        <w:rPr>
          <w:rFonts w:ascii="Barclays Sans" w:hAnsi="Barclays Sans" w:cs="Arial"/>
          <w:color w:val="000000"/>
        </w:rPr>
        <w:t xml:space="preserve">Other types of </w:t>
      </w:r>
      <w:r w:rsidRPr="00F2108A">
        <w:rPr>
          <w:rFonts w:ascii="Barclays Sans" w:hAnsi="Barclays Sans" w:cs="Arial"/>
          <w:color w:val="000000"/>
        </w:rPr>
        <w:t>capital buffers</w:t>
      </w:r>
      <w:r>
        <w:rPr>
          <w:rFonts w:ascii="Barclays Sans" w:hAnsi="Barclays Sans" w:cs="Arial"/>
          <w:color w:val="000000"/>
        </w:rPr>
        <w:t xml:space="preserve"> – such as</w:t>
      </w:r>
      <w:r w:rsidRPr="00F2108A">
        <w:rPr>
          <w:rFonts w:ascii="Barclays Sans" w:hAnsi="Barclays Sans" w:cs="Arial"/>
          <w:color w:val="000000"/>
        </w:rPr>
        <w:t xml:space="preserve"> systemic risk buffers and countercyclical buffers</w:t>
      </w:r>
      <w:r>
        <w:rPr>
          <w:rFonts w:ascii="Barclays Sans" w:hAnsi="Barclays Sans" w:cs="Arial"/>
          <w:color w:val="000000"/>
        </w:rPr>
        <w:t xml:space="preserve"> –</w:t>
      </w:r>
      <w:r w:rsidRPr="00F2108A">
        <w:rPr>
          <w:rFonts w:ascii="Barclays Sans" w:hAnsi="Barclays Sans" w:cs="Arial"/>
          <w:color w:val="000000"/>
        </w:rPr>
        <w:t xml:space="preserve"> </w:t>
      </w:r>
      <w:r>
        <w:rPr>
          <w:rFonts w:ascii="Barclays Sans" w:hAnsi="Barclays Sans" w:cs="Arial"/>
          <w:color w:val="000000"/>
        </w:rPr>
        <w:t xml:space="preserve">reflect metrics such as size and interconnectedness, or </w:t>
      </w:r>
      <w:proofErr w:type="spellStart"/>
      <w:r>
        <w:rPr>
          <w:rFonts w:ascii="Barclays Sans" w:hAnsi="Barclays Sans" w:cs="Arial"/>
          <w:color w:val="000000"/>
        </w:rPr>
        <w:t>macro</w:t>
      </w:r>
      <w:r w:rsidRPr="00F2108A">
        <w:rPr>
          <w:rFonts w:ascii="Barclays Sans" w:hAnsi="Barclays Sans" w:cs="Arial"/>
          <w:color w:val="000000"/>
        </w:rPr>
        <w:t>prudential</w:t>
      </w:r>
      <w:proofErr w:type="spellEnd"/>
      <w:r w:rsidRPr="00F2108A">
        <w:rPr>
          <w:rFonts w:ascii="Barclays Sans" w:hAnsi="Barclays Sans" w:cs="Arial"/>
          <w:color w:val="000000"/>
        </w:rPr>
        <w:t xml:space="preserve"> tools used to </w:t>
      </w:r>
      <w:r>
        <w:rPr>
          <w:rFonts w:ascii="Barclays Sans" w:hAnsi="Barclays Sans" w:cs="Arial"/>
          <w:color w:val="000000"/>
        </w:rPr>
        <w:t>lean against increases in</w:t>
      </w:r>
      <w:r w:rsidRPr="00F2108A">
        <w:rPr>
          <w:rFonts w:ascii="Barclays Sans" w:hAnsi="Barclays Sans" w:cs="Arial"/>
          <w:color w:val="000000"/>
        </w:rPr>
        <w:t xml:space="preserve"> system</w:t>
      </w:r>
      <w:r>
        <w:rPr>
          <w:rFonts w:ascii="Barclays Sans" w:hAnsi="Barclays Sans" w:cs="Arial"/>
          <w:color w:val="000000"/>
        </w:rPr>
        <w:t>-wide</w:t>
      </w:r>
      <w:r w:rsidRPr="00F2108A">
        <w:rPr>
          <w:rFonts w:ascii="Barclays Sans" w:hAnsi="Barclays Sans" w:cs="Arial"/>
          <w:color w:val="000000"/>
        </w:rPr>
        <w:t xml:space="preserve"> risk</w:t>
      </w:r>
      <w:r>
        <w:rPr>
          <w:rFonts w:ascii="Barclays Sans" w:hAnsi="Barclays Sans" w:cs="Arial"/>
          <w:color w:val="000000"/>
        </w:rPr>
        <w:t>, rather than expected loss</w:t>
      </w:r>
      <w:r w:rsidRPr="00F2108A">
        <w:rPr>
          <w:rFonts w:ascii="Barclays Sans" w:hAnsi="Barclays Sans" w:cs="Arial"/>
          <w:color w:val="000000"/>
        </w:rPr>
        <w:t xml:space="preserve">. </w:t>
      </w:r>
    </w:p>
    <w:p w:rsidR="005B4847" w:rsidRDefault="005B4847" w:rsidP="00136A97">
      <w:pPr>
        <w:jc w:val="both"/>
        <w:rPr>
          <w:rFonts w:ascii="Barclays Sans" w:hAnsi="Barclays Sans" w:cs="Arial"/>
          <w:color w:val="000000"/>
        </w:rPr>
      </w:pPr>
    </w:p>
    <w:p w:rsidR="005B4847" w:rsidRDefault="005B4847" w:rsidP="00136A97">
      <w:pPr>
        <w:jc w:val="both"/>
        <w:rPr>
          <w:rFonts w:ascii="Barclays Sans" w:hAnsi="Barclays Sans" w:cs="Arial"/>
          <w:color w:val="000000"/>
        </w:rPr>
      </w:pPr>
      <w:r w:rsidRPr="00136A97">
        <w:rPr>
          <w:rFonts w:ascii="Barclays Sans" w:hAnsi="Barclays Sans" w:cs="Arial"/>
          <w:color w:val="000000"/>
        </w:rPr>
        <w:t>The leverage ratio is not designed as an indicator of loss in resolution, but is intended to act as a backstop based on balance sheet size (and is not calculated in a consistent manner across jurisdictions)</w:t>
      </w:r>
      <w:r>
        <w:rPr>
          <w:rFonts w:ascii="Barclays Sans" w:hAnsi="Barclays Sans" w:cs="Arial"/>
          <w:color w:val="000000"/>
        </w:rPr>
        <w:t xml:space="preserve">.  We therefore do not believe leverage is the best determinant of MREL, but if it is used (and we acknowledge it will form part of the TLAC requirement for G-SIBs), we would ask that leverage is defined on a BCBS consistent basis. </w:t>
      </w: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E93B38">
        <w:rPr>
          <w:rFonts w:ascii="Barclays Sans" w:hAnsi="Barclays Sans" w:cs="Arial"/>
          <w:b/>
          <w:color w:val="000000"/>
          <w:sz w:val="24"/>
          <w:szCs w:val="24"/>
        </w:rPr>
        <w:lastRenderedPageBreak/>
        <w:t>Should the resolution authority be allowed to adjust downwards? What are the specific circumstances under which resolution authorities should allow a smaller need to be able to absorb losses before entry into resolution and in the resolution process than indicated by the capital requirements?</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5B4847" w:rsidP="00C228E2">
      <w:pPr>
        <w:jc w:val="both"/>
        <w:rPr>
          <w:rFonts w:ascii="Barclays Sans" w:hAnsi="Barclays Sans" w:cs="Arial"/>
          <w:color w:val="000000"/>
        </w:rPr>
      </w:pPr>
      <w:r w:rsidRPr="00136A97">
        <w:rPr>
          <w:rFonts w:ascii="Barclays Sans" w:hAnsi="Barclays Sans" w:cs="Arial"/>
          <w:color w:val="000000"/>
        </w:rPr>
        <w:t xml:space="preserve">Yes, </w:t>
      </w:r>
      <w:r>
        <w:rPr>
          <w:rFonts w:ascii="Barclays Sans" w:hAnsi="Barclays Sans" w:cs="Arial"/>
          <w:color w:val="000000"/>
        </w:rPr>
        <w:t>we</w:t>
      </w:r>
      <w:r w:rsidRPr="00136A97">
        <w:rPr>
          <w:rFonts w:ascii="Barclays Sans" w:hAnsi="Barclays Sans" w:cs="Arial"/>
          <w:color w:val="000000"/>
        </w:rPr>
        <w:t xml:space="preserve"> welcome </w:t>
      </w:r>
      <w:r>
        <w:rPr>
          <w:rFonts w:ascii="Barclays Sans" w:hAnsi="Barclays Sans" w:cs="Arial"/>
          <w:color w:val="000000"/>
        </w:rPr>
        <w:t xml:space="preserve">the proposed </w:t>
      </w:r>
      <w:r w:rsidRPr="00136A97">
        <w:rPr>
          <w:rFonts w:ascii="Barclays Sans" w:hAnsi="Barclays Sans" w:cs="Arial"/>
          <w:color w:val="000000"/>
        </w:rPr>
        <w:t>flexibility for the resolution authority to allow downward adjustments</w:t>
      </w:r>
      <w:r>
        <w:rPr>
          <w:rFonts w:ascii="Barclays Sans" w:hAnsi="Barclays Sans" w:cs="Arial"/>
          <w:color w:val="000000"/>
        </w:rPr>
        <w:t xml:space="preserve">.  This could be appropriate if, </w:t>
      </w:r>
      <w:r w:rsidRPr="00136A97">
        <w:rPr>
          <w:rFonts w:ascii="Barclays Sans" w:hAnsi="Barclays Sans" w:cs="Arial"/>
          <w:color w:val="000000"/>
        </w:rPr>
        <w:t>for example</w:t>
      </w:r>
      <w:r>
        <w:rPr>
          <w:rFonts w:ascii="Barclays Sans" w:hAnsi="Barclays Sans" w:cs="Arial"/>
          <w:color w:val="000000"/>
        </w:rPr>
        <w:t>,</w:t>
      </w:r>
      <w:r w:rsidRPr="00136A97">
        <w:rPr>
          <w:rFonts w:ascii="Barclays Sans" w:hAnsi="Barclays Sans" w:cs="Arial"/>
          <w:color w:val="000000"/>
        </w:rPr>
        <w:t xml:space="preserve"> a firm’s recovery plan </w:t>
      </w:r>
      <w:r w:rsidR="00147116">
        <w:rPr>
          <w:rFonts w:ascii="Barclays Sans" w:hAnsi="Barclays Sans" w:cs="Arial"/>
          <w:color w:val="000000"/>
        </w:rPr>
        <w:t>(</w:t>
      </w:r>
      <w:r w:rsidR="006F2CEB">
        <w:rPr>
          <w:rFonts w:ascii="Barclays Sans" w:hAnsi="Barclays Sans" w:cs="Arial"/>
          <w:color w:val="000000"/>
        </w:rPr>
        <w:t>deemed credible by its home regulators</w:t>
      </w:r>
      <w:r w:rsidR="00147116">
        <w:rPr>
          <w:rFonts w:ascii="Barclays Sans" w:hAnsi="Barclays Sans" w:cs="Arial"/>
          <w:color w:val="000000"/>
        </w:rPr>
        <w:t>) involved the sale of businesses, or the post-resolution group was expected to be smaller and / or less interconnected</w:t>
      </w:r>
      <w:r>
        <w:rPr>
          <w:rFonts w:ascii="Barclays Sans" w:hAnsi="Barclays Sans" w:cs="Arial"/>
          <w:color w:val="000000"/>
        </w:rPr>
        <w:t>.</w:t>
      </w:r>
    </w:p>
    <w:p w:rsidR="005B4847" w:rsidRDefault="005B4847" w:rsidP="00C228E2">
      <w:pPr>
        <w:jc w:val="both"/>
        <w:rPr>
          <w:rFonts w:ascii="Barclays Sans" w:hAnsi="Barclays Sans" w:cs="Arial"/>
          <w:color w:val="000000"/>
        </w:rPr>
      </w:pP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E93B38">
        <w:rPr>
          <w:rFonts w:ascii="Barclays Sans" w:hAnsi="Barclays Sans" w:cs="Arial"/>
          <w:b/>
          <w:color w:val="000000"/>
          <w:sz w:val="24"/>
          <w:szCs w:val="24"/>
        </w:rPr>
        <w:t>Should any additional benchmarks be used to assess the necessary degree of loss absorbency? If yes, how should these be defined and how should they be used in combination with the capital requirements benchmark? Should such benchmarks also allow for a decrease of the loss absorption amount compared to the institution’s capital requirements?</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Pr="00B61BF5" w:rsidRDefault="005B4847" w:rsidP="00C228E2">
      <w:pPr>
        <w:jc w:val="both"/>
        <w:rPr>
          <w:rFonts w:ascii="Barclays Sans" w:hAnsi="Barclays Sans" w:cs="Arial"/>
          <w:color w:val="000000"/>
        </w:rPr>
      </w:pPr>
      <w:r w:rsidRPr="00136A97">
        <w:rPr>
          <w:rFonts w:ascii="Barclays Sans" w:hAnsi="Barclays Sans" w:cs="Arial"/>
          <w:color w:val="000000"/>
        </w:rPr>
        <w:t xml:space="preserve">No, the loss absorbency </w:t>
      </w:r>
      <w:r>
        <w:rPr>
          <w:rFonts w:ascii="Barclays Sans" w:hAnsi="Barclays Sans" w:cs="Arial"/>
          <w:color w:val="000000"/>
        </w:rPr>
        <w:t>benchmarks</w:t>
      </w:r>
      <w:r w:rsidRPr="00136A97">
        <w:rPr>
          <w:rFonts w:ascii="Barclays Sans" w:hAnsi="Barclays Sans" w:cs="Arial"/>
          <w:color w:val="000000"/>
        </w:rPr>
        <w:t xml:space="preserve"> seem comprehensive</w:t>
      </w:r>
      <w:r w:rsidRPr="004D0D71">
        <w:rPr>
          <w:rFonts w:ascii="Barclays Sans" w:hAnsi="Barclays Sans" w:cs="Arial"/>
          <w:color w:val="000000"/>
        </w:rPr>
        <w:t>.</w:t>
      </w:r>
    </w:p>
    <w:p w:rsidR="005B4847" w:rsidRPr="00B61BF5" w:rsidRDefault="005B4847" w:rsidP="00C228E2">
      <w:pPr>
        <w:jc w:val="both"/>
        <w:rPr>
          <w:rFonts w:ascii="Barclays Sans" w:hAnsi="Barclays Sans" w:cs="Arial"/>
          <w:color w:val="000000"/>
        </w:rPr>
      </w:pPr>
      <w:bookmarkStart w:id="0" w:name="_GoBack"/>
      <w:bookmarkEnd w:id="0"/>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E93B38">
        <w:rPr>
          <w:rFonts w:ascii="Barclays Sans" w:hAnsi="Barclays Sans" w:cs="Arial"/>
          <w:b/>
          <w:color w:val="000000"/>
          <w:sz w:val="24"/>
          <w:szCs w:val="24"/>
        </w:rPr>
        <w:t>Do you consider that any of those components of the overall capital requirement are not appropriate indicators of the capital required after resolution, and if so why</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5B4847" w:rsidP="003C3883">
      <w:pPr>
        <w:jc w:val="both"/>
        <w:rPr>
          <w:rFonts w:ascii="Barclays Sans" w:hAnsi="Barclays Sans" w:cs="Arial"/>
          <w:color w:val="000000"/>
        </w:rPr>
      </w:pPr>
      <w:r w:rsidRPr="00136A97">
        <w:rPr>
          <w:rFonts w:ascii="Barclays Sans" w:hAnsi="Barclays Sans" w:cs="Arial"/>
          <w:color w:val="000000"/>
        </w:rPr>
        <w:t xml:space="preserve">We agree that the amount of capital required post-resolution should in part depend on the resolution strategy.  We believe that in bail-in a firm should be recapitalised to the minimum regulatory capital, with buffers rebuilt over time (within a timeframe determined by the prevailing circumstances), whereas the MREL proposals imply instant replenishment of all buffers in </w:t>
      </w:r>
      <w:r w:rsidR="00300380">
        <w:rPr>
          <w:rFonts w:ascii="Barclays Sans" w:hAnsi="Barclays Sans" w:cs="Arial"/>
          <w:color w:val="000000"/>
        </w:rPr>
        <w:t>a</w:t>
      </w:r>
      <w:r w:rsidR="00147116">
        <w:rPr>
          <w:rFonts w:ascii="Barclays Sans" w:hAnsi="Barclays Sans" w:cs="Arial"/>
          <w:color w:val="000000"/>
        </w:rPr>
        <w:t xml:space="preserve"> </w:t>
      </w:r>
      <w:r w:rsidR="00300380">
        <w:rPr>
          <w:rFonts w:ascii="Barclays Sans" w:hAnsi="Barclays Sans" w:cs="Arial"/>
          <w:color w:val="000000"/>
        </w:rPr>
        <w:t>bail-in</w:t>
      </w:r>
      <w:r w:rsidR="00611124">
        <w:rPr>
          <w:rFonts w:ascii="Barclays Sans" w:hAnsi="Barclays Sans" w:cs="Arial"/>
          <w:color w:val="000000"/>
        </w:rPr>
        <w:t xml:space="preserve">, which we are strongly opposed to. </w:t>
      </w:r>
    </w:p>
    <w:p w:rsidR="005B4847" w:rsidRDefault="005B4847" w:rsidP="003C3883">
      <w:pPr>
        <w:jc w:val="both"/>
        <w:rPr>
          <w:rFonts w:ascii="Barclays Sans" w:hAnsi="Barclays Sans" w:cs="Arial"/>
          <w:color w:val="000000"/>
        </w:rPr>
      </w:pPr>
    </w:p>
    <w:p w:rsidR="005B4847" w:rsidRPr="00B61BF5" w:rsidRDefault="005B4847" w:rsidP="003C3883">
      <w:pPr>
        <w:jc w:val="both"/>
        <w:rPr>
          <w:rFonts w:ascii="Barclays Sans" w:hAnsi="Barclays Sans" w:cs="Arial"/>
          <w:color w:val="000000"/>
        </w:rPr>
      </w:pPr>
      <w:r>
        <w:rPr>
          <w:rFonts w:ascii="Barclays Sans" w:hAnsi="Barclays Sans" w:cs="Arial"/>
          <w:color w:val="000000"/>
        </w:rPr>
        <w:t>We believe it would be inappropriate to include any Pillar 2 TLAC component for a G-SIB (as translated into MREL) in the post-resolution requirement, since that would reflect any firm-specific impediments to resolvability and in a post-resolution world the firm would have been resolved.</w:t>
      </w: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E93B38">
        <w:rPr>
          <w:rFonts w:ascii="Barclays Sans" w:hAnsi="Barclays Sans" w:cs="Arial"/>
          <w:b/>
          <w:color w:val="000000"/>
          <w:sz w:val="24"/>
          <w:szCs w:val="24"/>
        </w:rPr>
        <w:t>Is it appropriate to have a single peer group of G-SIIs, or should this be subdivided by the level of the G-SII capital buffer? Should the peer group approach be extended to Other Systemically Important Institutions (O-SIIs), at the option of resolution authorities? If yes, would the appropriate peer group be the group of O-SIIs established in the same jurisdiction? Should the peer group approach be further extended to other types of institution</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DE06D4" w:rsidRDefault="002D58DF" w:rsidP="00136A97">
      <w:pPr>
        <w:jc w:val="both"/>
        <w:rPr>
          <w:rFonts w:ascii="Barclays Sans" w:hAnsi="Barclays Sans" w:cs="Arial"/>
          <w:color w:val="000000"/>
        </w:rPr>
      </w:pPr>
      <w:r>
        <w:rPr>
          <w:rFonts w:ascii="Barclays Sans" w:hAnsi="Barclays Sans" w:cs="Arial"/>
          <w:color w:val="000000"/>
        </w:rPr>
        <w:t>Given the vast</w:t>
      </w:r>
      <w:r w:rsidR="008014DB">
        <w:rPr>
          <w:rFonts w:ascii="Barclays Sans" w:hAnsi="Barclays Sans" w:cs="Arial"/>
          <w:color w:val="000000"/>
        </w:rPr>
        <w:t xml:space="preserve"> potential</w:t>
      </w:r>
      <w:r>
        <w:rPr>
          <w:rFonts w:ascii="Barclays Sans" w:hAnsi="Barclays Sans" w:cs="Arial"/>
          <w:color w:val="000000"/>
        </w:rPr>
        <w:t xml:space="preserve"> difference</w:t>
      </w:r>
      <w:r w:rsidR="008014DB">
        <w:rPr>
          <w:rFonts w:ascii="Barclays Sans" w:hAnsi="Barclays Sans" w:cs="Arial"/>
          <w:color w:val="000000"/>
        </w:rPr>
        <w:t>s</w:t>
      </w:r>
      <w:r>
        <w:rPr>
          <w:rFonts w:ascii="Barclays Sans" w:hAnsi="Barclays Sans" w:cs="Arial"/>
          <w:color w:val="000000"/>
        </w:rPr>
        <w:t xml:space="preserve"> in G</w:t>
      </w:r>
      <w:r w:rsidR="008014DB">
        <w:rPr>
          <w:rFonts w:ascii="Barclays Sans" w:hAnsi="Barclays Sans" w:cs="Arial"/>
          <w:color w:val="000000"/>
        </w:rPr>
        <w:t>-</w:t>
      </w:r>
      <w:proofErr w:type="spellStart"/>
      <w:r>
        <w:rPr>
          <w:rFonts w:ascii="Barclays Sans" w:hAnsi="Barclays Sans" w:cs="Arial"/>
          <w:color w:val="000000"/>
        </w:rPr>
        <w:t>SIBs</w:t>
      </w:r>
      <w:proofErr w:type="spellEnd"/>
      <w:r>
        <w:rPr>
          <w:rFonts w:ascii="Barclays Sans" w:hAnsi="Barclays Sans" w:cs="Arial"/>
          <w:color w:val="000000"/>
        </w:rPr>
        <w:t xml:space="preserve">’ </w:t>
      </w:r>
      <w:r w:rsidR="008014DB">
        <w:rPr>
          <w:rFonts w:ascii="Barclays Sans" w:hAnsi="Barclays Sans" w:cs="Arial"/>
          <w:color w:val="000000"/>
        </w:rPr>
        <w:t>balance sheet composition</w:t>
      </w:r>
      <w:r>
        <w:rPr>
          <w:rFonts w:ascii="Barclays Sans" w:hAnsi="Barclays Sans" w:cs="Arial"/>
          <w:color w:val="000000"/>
        </w:rPr>
        <w:t xml:space="preserve">, </w:t>
      </w:r>
      <w:r w:rsidR="008014DB">
        <w:rPr>
          <w:rFonts w:ascii="Barclays Sans" w:hAnsi="Barclays Sans" w:cs="Arial"/>
          <w:color w:val="000000"/>
        </w:rPr>
        <w:t xml:space="preserve">minimum </w:t>
      </w:r>
      <w:r>
        <w:rPr>
          <w:rFonts w:ascii="Barclays Sans" w:hAnsi="Barclays Sans" w:cs="Arial"/>
          <w:color w:val="000000"/>
        </w:rPr>
        <w:t xml:space="preserve">capital ratios, position in the economic cycle, fiscal and monetary policy being pursued by their </w:t>
      </w:r>
      <w:r w:rsidR="008014DB">
        <w:rPr>
          <w:rFonts w:ascii="Barclays Sans" w:hAnsi="Barclays Sans" w:cs="Arial"/>
          <w:color w:val="000000"/>
        </w:rPr>
        <w:t>home and h</w:t>
      </w:r>
      <w:r>
        <w:rPr>
          <w:rFonts w:ascii="Barclays Sans" w:hAnsi="Barclays Sans" w:cs="Arial"/>
          <w:color w:val="000000"/>
        </w:rPr>
        <w:t xml:space="preserve">ost governments, </w:t>
      </w:r>
      <w:r w:rsidR="008014DB">
        <w:rPr>
          <w:rFonts w:ascii="Barclays Sans" w:hAnsi="Barclays Sans" w:cs="Arial"/>
          <w:color w:val="000000"/>
        </w:rPr>
        <w:t>re</w:t>
      </w:r>
      <w:r>
        <w:rPr>
          <w:rFonts w:ascii="Barclays Sans" w:hAnsi="Barclays Sans" w:cs="Arial"/>
          <w:color w:val="000000"/>
        </w:rPr>
        <w:t xml:space="preserve">capitalisation </w:t>
      </w:r>
      <w:r w:rsidR="008014DB">
        <w:rPr>
          <w:rFonts w:ascii="Barclays Sans" w:hAnsi="Barclays Sans" w:cs="Arial"/>
          <w:color w:val="000000"/>
        </w:rPr>
        <w:t xml:space="preserve">requirements </w:t>
      </w:r>
      <w:r>
        <w:rPr>
          <w:rFonts w:ascii="Barclays Sans" w:hAnsi="Barclays Sans" w:cs="Arial"/>
          <w:color w:val="000000"/>
        </w:rPr>
        <w:t xml:space="preserve">will always be different. </w:t>
      </w:r>
      <w:r w:rsidR="008014DB">
        <w:rPr>
          <w:rFonts w:ascii="Barclays Sans" w:hAnsi="Barclays Sans" w:cs="Arial"/>
          <w:color w:val="000000"/>
        </w:rPr>
        <w:t>While a peer-group approach (across all G-</w:t>
      </w:r>
      <w:proofErr w:type="spellStart"/>
      <w:r w:rsidR="008014DB">
        <w:rPr>
          <w:rFonts w:ascii="Barclays Sans" w:hAnsi="Barclays Sans" w:cs="Arial"/>
          <w:color w:val="000000"/>
        </w:rPr>
        <w:t>SIBs</w:t>
      </w:r>
      <w:proofErr w:type="spellEnd"/>
      <w:r w:rsidR="008014DB">
        <w:rPr>
          <w:rFonts w:ascii="Barclays Sans" w:hAnsi="Barclays Sans" w:cs="Arial"/>
          <w:color w:val="000000"/>
        </w:rPr>
        <w:t xml:space="preserve">) would provide one comparator, we believe post-resolution capital requirements would more appropriately be set by regulators on a case-by-case basis depending on the firm’s circumstances.  We </w:t>
      </w:r>
      <w:r w:rsidR="00611124">
        <w:rPr>
          <w:rFonts w:ascii="Barclays Sans" w:hAnsi="Barclays Sans" w:cs="Arial"/>
          <w:color w:val="000000"/>
        </w:rPr>
        <w:t xml:space="preserve">are therefore opposed to the proposal in Article 3(7) to require recapitalisation to at least the median CET1 ratio of a G-SIB peer group, and </w:t>
      </w:r>
      <w:r w:rsidR="008014DB">
        <w:rPr>
          <w:rFonts w:ascii="Barclays Sans" w:hAnsi="Barclays Sans" w:cs="Arial"/>
          <w:color w:val="000000"/>
        </w:rPr>
        <w:t>also consider it inappropriate to base recapitalisation requirements on O-</w:t>
      </w:r>
      <w:proofErr w:type="spellStart"/>
      <w:r w:rsidR="008014DB">
        <w:rPr>
          <w:rFonts w:ascii="Barclays Sans" w:hAnsi="Barclays Sans" w:cs="Arial"/>
          <w:color w:val="000000"/>
        </w:rPr>
        <w:t>SIIs</w:t>
      </w:r>
      <w:proofErr w:type="spellEnd"/>
      <w:r w:rsidR="008014DB">
        <w:rPr>
          <w:rFonts w:ascii="Barclays Sans" w:hAnsi="Barclays Sans" w:cs="Arial"/>
          <w:color w:val="000000"/>
        </w:rPr>
        <w:t xml:space="preserve"> in a jurisdiction</w:t>
      </w:r>
      <w:r w:rsidR="00DE06D4">
        <w:rPr>
          <w:rStyle w:val="FootnoteReference"/>
          <w:rFonts w:ascii="Barclays Sans" w:hAnsi="Barclays Sans"/>
          <w:color w:val="000000"/>
        </w:rPr>
        <w:footnoteReference w:id="2"/>
      </w:r>
      <w:r w:rsidR="008014DB">
        <w:rPr>
          <w:rFonts w:ascii="Barclays Sans" w:hAnsi="Barclays Sans" w:cs="Arial"/>
          <w:color w:val="000000"/>
        </w:rPr>
        <w:t xml:space="preserve">.  </w:t>
      </w:r>
    </w:p>
    <w:p w:rsidR="00DE06D4" w:rsidRDefault="00DE06D4" w:rsidP="00136A97">
      <w:pPr>
        <w:jc w:val="both"/>
        <w:rPr>
          <w:rFonts w:ascii="Barclays Sans" w:hAnsi="Barclays Sans" w:cs="Arial"/>
          <w:color w:val="000000"/>
        </w:rPr>
      </w:pPr>
    </w:p>
    <w:p w:rsidR="005B4847" w:rsidRDefault="008014DB" w:rsidP="00C228E2">
      <w:pPr>
        <w:jc w:val="both"/>
        <w:rPr>
          <w:rFonts w:ascii="Barclays Sans" w:hAnsi="Barclays Sans" w:cs="Arial"/>
          <w:color w:val="000000"/>
        </w:rPr>
      </w:pPr>
      <w:r>
        <w:rPr>
          <w:rFonts w:ascii="Barclays Sans" w:hAnsi="Barclays Sans" w:cs="Arial"/>
          <w:color w:val="000000"/>
        </w:rPr>
        <w:t xml:space="preserve">If, </w:t>
      </w:r>
      <w:r w:rsidR="00DE06D4">
        <w:rPr>
          <w:rFonts w:ascii="Barclays Sans" w:hAnsi="Barclays Sans" w:cs="Arial"/>
          <w:color w:val="000000"/>
        </w:rPr>
        <w:t>however</w:t>
      </w:r>
      <w:r>
        <w:rPr>
          <w:rFonts w:ascii="Barclays Sans" w:hAnsi="Barclays Sans" w:cs="Arial"/>
          <w:color w:val="000000"/>
        </w:rPr>
        <w:t>, a peer-group approach is adopted, we believe p</w:t>
      </w:r>
      <w:r w:rsidRPr="008014DB">
        <w:rPr>
          <w:rFonts w:ascii="Barclays Sans" w:hAnsi="Barclays Sans" w:cs="Arial"/>
          <w:color w:val="000000"/>
        </w:rPr>
        <w:t xml:space="preserve">eer groups divided by their precise G-SIB capital buffer would </w:t>
      </w:r>
      <w:r>
        <w:rPr>
          <w:rFonts w:ascii="Barclays Sans" w:hAnsi="Barclays Sans" w:cs="Arial"/>
          <w:color w:val="000000"/>
        </w:rPr>
        <w:t>be</w:t>
      </w:r>
      <w:r w:rsidRPr="008014DB">
        <w:rPr>
          <w:rFonts w:ascii="Barclays Sans" w:hAnsi="Barclays Sans" w:cs="Arial"/>
          <w:color w:val="000000"/>
        </w:rPr>
        <w:t xml:space="preserve"> too narrow (it could be only 1-2 other firms)</w:t>
      </w:r>
      <w:r w:rsidR="002D58DF">
        <w:rPr>
          <w:rFonts w:ascii="Barclays Sans" w:hAnsi="Barclays Sans" w:cs="Arial"/>
          <w:color w:val="000000"/>
        </w:rPr>
        <w:t>.</w:t>
      </w: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The approach outlined in Articles 2 and 3 will reflect differences between consolidated and subsidiary capital requirements. Are there additional ways in which specific features of subsidiaries within a banking group should be reflected</w:t>
      </w:r>
      <w:r w:rsidRPr="00B61BF5">
        <w:rPr>
          <w:rFonts w:ascii="Barclays Sans" w:hAnsi="Barclays Sans" w:cs="Arial"/>
          <w:b/>
          <w:color w:val="000000"/>
          <w:sz w:val="24"/>
          <w:szCs w:val="24"/>
        </w:rPr>
        <w:t>?</w:t>
      </w:r>
    </w:p>
    <w:p w:rsidR="005B4847" w:rsidRPr="00B61BF5" w:rsidRDefault="005B4847" w:rsidP="00C228E2">
      <w:pPr>
        <w:jc w:val="both"/>
        <w:rPr>
          <w:rFonts w:ascii="Barclays Sans" w:hAnsi="Barclays Sans" w:cs="Arial"/>
          <w:b/>
          <w:color w:val="000000"/>
        </w:rPr>
      </w:pPr>
    </w:p>
    <w:p w:rsidR="005B4847" w:rsidRDefault="005B4847" w:rsidP="00136A97">
      <w:pPr>
        <w:jc w:val="both"/>
        <w:rPr>
          <w:rFonts w:ascii="Barclays Sans" w:hAnsi="Barclays Sans" w:cs="Arial"/>
          <w:color w:val="000000"/>
        </w:rPr>
      </w:pPr>
      <w:r w:rsidRPr="00136A97">
        <w:rPr>
          <w:rFonts w:ascii="Barclays Sans" w:hAnsi="Barclays Sans" w:cs="Arial"/>
          <w:color w:val="000000"/>
        </w:rPr>
        <w:t xml:space="preserve">For SPE firms, where HoldCo is the resolution entity, </w:t>
      </w:r>
      <w:r>
        <w:rPr>
          <w:rFonts w:ascii="Barclays Sans" w:hAnsi="Barclays Sans" w:cs="Arial"/>
          <w:color w:val="000000"/>
        </w:rPr>
        <w:t xml:space="preserve">we believe </w:t>
      </w:r>
      <w:r w:rsidRPr="00136A97">
        <w:rPr>
          <w:rFonts w:ascii="Barclays Sans" w:hAnsi="Barclays Sans" w:cs="Arial"/>
          <w:color w:val="000000"/>
        </w:rPr>
        <w:t xml:space="preserve">MREL should be set </w:t>
      </w:r>
      <w:r w:rsidR="00611124">
        <w:rPr>
          <w:rFonts w:ascii="Barclays Sans" w:hAnsi="Barclays Sans" w:cs="Arial"/>
          <w:color w:val="000000"/>
        </w:rPr>
        <w:t xml:space="preserve">primarily </w:t>
      </w:r>
      <w:r w:rsidRPr="00136A97">
        <w:rPr>
          <w:rFonts w:ascii="Barclays Sans" w:hAnsi="Barclays Sans" w:cs="Arial"/>
          <w:color w:val="000000"/>
        </w:rPr>
        <w:t>on a group consolidated basis</w:t>
      </w:r>
      <w:r>
        <w:rPr>
          <w:rFonts w:ascii="Barclays Sans" w:hAnsi="Barclays Sans" w:cs="Arial"/>
          <w:color w:val="000000"/>
        </w:rPr>
        <w:t>, with firms able to apply for a waiver from requirements</w:t>
      </w:r>
      <w:r w:rsidR="00611124">
        <w:rPr>
          <w:rFonts w:ascii="Barclays Sans" w:hAnsi="Barclays Sans" w:cs="Arial"/>
          <w:color w:val="000000"/>
        </w:rPr>
        <w:t xml:space="preserve"> for non-material</w:t>
      </w:r>
      <w:r w:rsidR="00611124" w:rsidRPr="00611124">
        <w:rPr>
          <w:rFonts w:ascii="Barclays Sans" w:hAnsi="Barclays Sans" w:cs="Arial"/>
          <w:color w:val="000000"/>
        </w:rPr>
        <w:t xml:space="preserve"> </w:t>
      </w:r>
      <w:r w:rsidR="00611124">
        <w:rPr>
          <w:rFonts w:ascii="Barclays Sans" w:hAnsi="Barclays Sans" w:cs="Arial"/>
          <w:color w:val="000000"/>
        </w:rPr>
        <w:t>subsidiaries</w:t>
      </w:r>
      <w:r>
        <w:rPr>
          <w:rFonts w:ascii="Barclays Sans" w:hAnsi="Barclays Sans" w:cs="Arial"/>
          <w:color w:val="000000"/>
        </w:rPr>
        <w:t xml:space="preserve">.  Where subsidiary requirements are applied, the subsidiary should be able to meet this wholly or </w:t>
      </w:r>
      <w:r w:rsidR="00611124">
        <w:rPr>
          <w:rFonts w:ascii="Barclays Sans" w:hAnsi="Barclays Sans" w:cs="Arial"/>
          <w:color w:val="000000"/>
        </w:rPr>
        <w:t xml:space="preserve">partially through </w:t>
      </w:r>
      <w:r>
        <w:rPr>
          <w:rFonts w:ascii="Barclays Sans" w:hAnsi="Barclays Sans" w:cs="Arial"/>
          <w:color w:val="000000"/>
        </w:rPr>
        <w:t>internal MREL issued to the parent, or through external MREL that meets the eligibility criteria.</w:t>
      </w:r>
    </w:p>
    <w:p w:rsidR="005B4847" w:rsidRDefault="005B4847" w:rsidP="00136A97">
      <w:pPr>
        <w:jc w:val="both"/>
        <w:rPr>
          <w:rFonts w:ascii="Barclays Sans" w:hAnsi="Barclays Sans" w:cs="Arial"/>
          <w:color w:val="000000"/>
        </w:rPr>
      </w:pPr>
    </w:p>
    <w:p w:rsidR="005B4847" w:rsidRDefault="005B4847" w:rsidP="00136A97">
      <w:pPr>
        <w:jc w:val="both"/>
        <w:rPr>
          <w:rFonts w:ascii="Barclays Sans" w:hAnsi="Barclays Sans" w:cs="Arial"/>
          <w:color w:val="000000"/>
        </w:rPr>
      </w:pPr>
      <w:r w:rsidRPr="00136A97">
        <w:rPr>
          <w:rFonts w:ascii="Barclays Sans" w:hAnsi="Barclays Sans" w:cs="Arial"/>
          <w:color w:val="000000"/>
        </w:rPr>
        <w:t>For MPE firms, with multiple resolution entities, MREL should be held at the resolution entity (subsidiary) level</w:t>
      </w:r>
      <w:r>
        <w:rPr>
          <w:rFonts w:ascii="Barclays Sans" w:hAnsi="Barclays Sans" w:cs="Arial"/>
          <w:color w:val="000000"/>
        </w:rPr>
        <w:t>.</w:t>
      </w:r>
    </w:p>
    <w:p w:rsidR="000619D6" w:rsidRDefault="000619D6" w:rsidP="00136A97">
      <w:pPr>
        <w:jc w:val="both"/>
        <w:rPr>
          <w:rFonts w:ascii="Barclays Sans" w:hAnsi="Barclays Sans" w:cs="Arial"/>
          <w:color w:val="000000"/>
        </w:rPr>
      </w:pPr>
    </w:p>
    <w:p w:rsidR="000619D6" w:rsidRDefault="000619D6" w:rsidP="00136A97">
      <w:pPr>
        <w:jc w:val="both"/>
        <w:rPr>
          <w:rFonts w:ascii="Barclays Sans" w:hAnsi="Barclays Sans" w:cs="Arial"/>
          <w:color w:val="000000"/>
        </w:rPr>
      </w:pPr>
      <w:r>
        <w:rPr>
          <w:rFonts w:ascii="Barclays Sans" w:hAnsi="Barclays Sans" w:cs="Arial"/>
          <w:color w:val="000000"/>
        </w:rPr>
        <w:t>W</w:t>
      </w:r>
      <w:r w:rsidRPr="000619D6">
        <w:rPr>
          <w:rFonts w:ascii="Barclays Sans" w:hAnsi="Barclays Sans" w:cs="Arial"/>
          <w:color w:val="000000"/>
        </w:rPr>
        <w:t xml:space="preserve">here (internal) MREL is ‘downstreamed’ </w:t>
      </w:r>
      <w:proofErr w:type="gramStart"/>
      <w:r w:rsidRPr="000619D6">
        <w:rPr>
          <w:rFonts w:ascii="Barclays Sans" w:hAnsi="Barclays Sans" w:cs="Arial"/>
          <w:color w:val="000000"/>
        </w:rPr>
        <w:t>to</w:t>
      </w:r>
      <w:proofErr w:type="gramEnd"/>
      <w:r w:rsidRPr="000619D6">
        <w:rPr>
          <w:rFonts w:ascii="Barclays Sans" w:hAnsi="Barclays Sans" w:cs="Arial"/>
          <w:color w:val="000000"/>
        </w:rPr>
        <w:t xml:space="preserve"> material subsidiaries via an intermediate entity, and where the applicable regulatory regime includes solo capital requirements, the intermediate entity will attract solo capital charges on funding exposures to its material subsidiaries.  This could give rise to level</w:t>
      </w:r>
      <w:r w:rsidR="002D58DF">
        <w:rPr>
          <w:rFonts w:ascii="Barclays Sans" w:hAnsi="Barclays Sans" w:cs="Arial"/>
          <w:color w:val="000000"/>
        </w:rPr>
        <w:t xml:space="preserve"> </w:t>
      </w:r>
      <w:r w:rsidRPr="000619D6">
        <w:rPr>
          <w:rFonts w:ascii="Barclays Sans" w:hAnsi="Barclays Sans" w:cs="Arial"/>
          <w:color w:val="000000"/>
        </w:rPr>
        <w:t xml:space="preserve">playing field issues if rules are not applied on a consistent basis internationally.  We would therefore ask the EBA to work with the BCBS to </w:t>
      </w:r>
      <w:r w:rsidR="00765C41">
        <w:rPr>
          <w:rFonts w:ascii="Barclays Sans" w:hAnsi="Barclays Sans" w:cs="Arial"/>
          <w:color w:val="000000"/>
        </w:rPr>
        <w:t>establish</w:t>
      </w:r>
      <w:r w:rsidR="00765C41" w:rsidRPr="000619D6">
        <w:rPr>
          <w:rFonts w:ascii="Barclays Sans" w:hAnsi="Barclays Sans" w:cs="Arial"/>
          <w:color w:val="000000"/>
        </w:rPr>
        <w:t xml:space="preserve"> </w:t>
      </w:r>
      <w:r w:rsidRPr="000619D6">
        <w:rPr>
          <w:rFonts w:ascii="Barclays Sans" w:hAnsi="Barclays Sans" w:cs="Arial"/>
          <w:color w:val="000000"/>
        </w:rPr>
        <w:t>whether a waiver from intra-group capital requirements, Large Exposure rules and leverage ratio requirements would be appropriate for internal MREL exposures (where not covered by the Basel capital framework).</w:t>
      </w:r>
    </w:p>
    <w:p w:rsidR="00C62156" w:rsidRDefault="00C62156" w:rsidP="00136A97">
      <w:pPr>
        <w:jc w:val="both"/>
        <w:rPr>
          <w:rFonts w:ascii="Barclays Sans" w:hAnsi="Barclays Sans" w:cs="Arial"/>
          <w:color w:val="000000"/>
        </w:rPr>
      </w:pPr>
    </w:p>
    <w:p w:rsidR="00C62156" w:rsidRDefault="00C62156" w:rsidP="00136A97">
      <w:pPr>
        <w:jc w:val="both"/>
        <w:rPr>
          <w:rFonts w:ascii="Barclays Sans" w:hAnsi="Barclays Sans" w:cs="Arial"/>
          <w:color w:val="000000"/>
        </w:rPr>
      </w:pPr>
      <w:r>
        <w:rPr>
          <w:rFonts w:ascii="Barclays Sans" w:hAnsi="Barclays Sans" w:cs="Arial"/>
          <w:color w:val="000000"/>
        </w:rPr>
        <w:lastRenderedPageBreak/>
        <w:t xml:space="preserve">Finally, </w:t>
      </w:r>
      <w:r w:rsidRPr="00C62156">
        <w:rPr>
          <w:rFonts w:ascii="Barclays Sans" w:hAnsi="Barclays Sans" w:cs="Arial"/>
          <w:color w:val="000000"/>
        </w:rPr>
        <w:t>we note that certain of the elements of the proposed loss absorption amount and recapitalisation amount are applicable only at the consolidated level, for example the G-SIB buffer and Pillar 2 requirements. Furthermore, leverage requirements are not necessarily applied at the level of subsidiaries. It follows that these requirements should be disregarded when calculating the MREL for subsidiaries.</w:t>
      </w:r>
    </w:p>
    <w:p w:rsidR="005B4847" w:rsidRPr="00B61BF5" w:rsidRDefault="005B4847" w:rsidP="0083416B">
      <w:pPr>
        <w:jc w:val="both"/>
        <w:rPr>
          <w:rFonts w:ascii="Barclays Sans" w:hAnsi="Barclays Sans" w:cs="Arial"/>
          <w:b/>
          <w:color w:val="000000"/>
          <w:highlight w:val="yellow"/>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 xml:space="preserve">Do you agree that there should be a de </w:t>
      </w:r>
      <w:proofErr w:type="spellStart"/>
      <w:r w:rsidRPr="009A491C">
        <w:rPr>
          <w:rFonts w:ascii="Barclays Sans" w:hAnsi="Barclays Sans" w:cs="Arial"/>
          <w:b/>
          <w:color w:val="000000"/>
          <w:sz w:val="24"/>
          <w:szCs w:val="24"/>
        </w:rPr>
        <w:t>minimis</w:t>
      </w:r>
      <w:proofErr w:type="spellEnd"/>
      <w:r w:rsidRPr="009A491C">
        <w:rPr>
          <w:rFonts w:ascii="Barclays Sans" w:hAnsi="Barclays Sans" w:cs="Arial"/>
          <w:b/>
          <w:color w:val="000000"/>
          <w:sz w:val="24"/>
          <w:szCs w:val="24"/>
        </w:rPr>
        <w:t xml:space="preserve"> derogation from this provision for excluded liabilities which account for less than 10% of a given insolvency class</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5B4847" w:rsidP="00C228E2">
      <w:pPr>
        <w:jc w:val="both"/>
        <w:rPr>
          <w:rFonts w:ascii="Barclays Sans" w:hAnsi="Barclays Sans" w:cs="Arial"/>
          <w:color w:val="000000"/>
        </w:rPr>
      </w:pPr>
      <w:r>
        <w:rPr>
          <w:rFonts w:ascii="Barclays Sans" w:hAnsi="Barclays Sans" w:cs="Arial"/>
          <w:color w:val="000000"/>
        </w:rPr>
        <w:t xml:space="preserve">Yes, we believe a </w:t>
      </w:r>
      <w:r w:rsidRPr="009B64F5">
        <w:rPr>
          <w:rFonts w:ascii="Barclays Sans" w:hAnsi="Barclays Sans" w:cs="Arial"/>
          <w:color w:val="000000"/>
        </w:rPr>
        <w:t xml:space="preserve">de </w:t>
      </w:r>
      <w:proofErr w:type="spellStart"/>
      <w:r w:rsidRPr="009B64F5">
        <w:rPr>
          <w:rFonts w:ascii="Barclays Sans" w:hAnsi="Barclays Sans" w:cs="Arial"/>
          <w:color w:val="000000"/>
        </w:rPr>
        <w:t>minimis</w:t>
      </w:r>
      <w:proofErr w:type="spellEnd"/>
      <w:r w:rsidRPr="009B64F5">
        <w:rPr>
          <w:rFonts w:ascii="Barclays Sans" w:hAnsi="Barclays Sans" w:cs="Arial"/>
          <w:color w:val="000000"/>
        </w:rPr>
        <w:t xml:space="preserve"> derogation</w:t>
      </w:r>
      <w:r>
        <w:rPr>
          <w:rFonts w:ascii="Barclays Sans" w:hAnsi="Barclays Sans" w:cs="Arial"/>
          <w:color w:val="000000"/>
        </w:rPr>
        <w:t xml:space="preserve"> is appropriate, given the existence of excluded ‘administrative’ liabilities (such as tax </w:t>
      </w:r>
      <w:r w:rsidR="00B34500">
        <w:rPr>
          <w:rFonts w:ascii="Barclays Sans" w:hAnsi="Barclays Sans" w:cs="Arial"/>
          <w:color w:val="000000"/>
        </w:rPr>
        <w:t xml:space="preserve">liabilities </w:t>
      </w:r>
      <w:r>
        <w:rPr>
          <w:rFonts w:ascii="Barclays Sans" w:hAnsi="Barclays Sans" w:cs="Arial"/>
          <w:color w:val="000000"/>
        </w:rPr>
        <w:t xml:space="preserve">and utility bills), as well as liabilities which the resolution authority may use its discretion to exclude.  </w:t>
      </w:r>
    </w:p>
    <w:p w:rsidR="005B4847" w:rsidRDefault="005B4847" w:rsidP="00C228E2">
      <w:pPr>
        <w:jc w:val="both"/>
        <w:rPr>
          <w:rFonts w:ascii="Barclays Sans" w:hAnsi="Barclays Sans" w:cs="Arial"/>
          <w:color w:val="000000"/>
        </w:rPr>
      </w:pPr>
    </w:p>
    <w:p w:rsidR="005B4847" w:rsidRDefault="00C55F7D" w:rsidP="00C228E2">
      <w:pPr>
        <w:jc w:val="both"/>
        <w:rPr>
          <w:rFonts w:ascii="Barclays Sans" w:hAnsi="Barclays Sans" w:cs="Arial"/>
          <w:color w:val="000000"/>
        </w:rPr>
      </w:pPr>
      <w:r>
        <w:rPr>
          <w:rFonts w:ascii="Barclays Sans" w:hAnsi="Barclays Sans" w:cs="Arial"/>
          <w:color w:val="000000"/>
        </w:rPr>
        <w:t xml:space="preserve">Although it is difficult to pin-point </w:t>
      </w:r>
      <w:r w:rsidR="001A4311">
        <w:rPr>
          <w:rFonts w:ascii="Barclays Sans" w:hAnsi="Barclays Sans" w:cs="Arial"/>
          <w:color w:val="000000"/>
        </w:rPr>
        <w:t xml:space="preserve">precisely </w:t>
      </w:r>
      <w:r>
        <w:rPr>
          <w:rFonts w:ascii="Barclays Sans" w:hAnsi="Barclays Sans" w:cs="Arial"/>
          <w:color w:val="000000"/>
        </w:rPr>
        <w:t>the right level, a</w:t>
      </w:r>
      <w:r w:rsidR="001D3FE2">
        <w:rPr>
          <w:rFonts w:ascii="Barclays Sans" w:hAnsi="Barclays Sans" w:cs="Arial"/>
          <w:color w:val="000000"/>
        </w:rPr>
        <w:t xml:space="preserve"> </w:t>
      </w:r>
      <w:r w:rsidR="005B4847">
        <w:rPr>
          <w:rFonts w:ascii="Barclays Sans" w:hAnsi="Barclays Sans" w:cs="Arial"/>
          <w:color w:val="000000"/>
        </w:rPr>
        <w:t xml:space="preserve">derogation threshold of </w:t>
      </w:r>
      <w:r w:rsidR="00202EE2">
        <w:rPr>
          <w:rFonts w:ascii="Barclays Sans" w:hAnsi="Barclays Sans" w:cs="Arial"/>
          <w:color w:val="000000"/>
        </w:rPr>
        <w:t xml:space="preserve">at least </w:t>
      </w:r>
      <w:r w:rsidR="005B4847">
        <w:rPr>
          <w:rFonts w:ascii="Barclays Sans" w:hAnsi="Barclays Sans" w:cs="Arial"/>
          <w:color w:val="000000"/>
        </w:rPr>
        <w:t xml:space="preserve">10% seems </w:t>
      </w:r>
      <w:r w:rsidR="00202EE2">
        <w:rPr>
          <w:rFonts w:ascii="Barclays Sans" w:hAnsi="Barclays Sans" w:cs="Arial"/>
          <w:color w:val="000000"/>
        </w:rPr>
        <w:t>appropriate</w:t>
      </w:r>
      <w:r w:rsidR="005B4847">
        <w:rPr>
          <w:rFonts w:ascii="Barclays Sans" w:hAnsi="Barclays Sans" w:cs="Arial"/>
          <w:color w:val="000000"/>
        </w:rPr>
        <w:t>, since we believe</w:t>
      </w:r>
      <w:r w:rsidR="00B34500">
        <w:rPr>
          <w:rFonts w:ascii="Barclays Sans" w:hAnsi="Barclays Sans" w:cs="Arial"/>
          <w:color w:val="000000"/>
        </w:rPr>
        <w:t xml:space="preserve"> that</w:t>
      </w:r>
      <w:r w:rsidR="005B4847">
        <w:rPr>
          <w:rFonts w:ascii="Barclays Sans" w:hAnsi="Barclays Sans" w:cs="Arial"/>
          <w:color w:val="000000"/>
        </w:rPr>
        <w:t xml:space="preserve"> expected losses for senior creditors in insolvency (which constitutes the No Creditor Worse Off (NCWO) counterfactual) would typically be at least 10% higher than in a resolution which preserved the firm as a continuing business (given the legal </w:t>
      </w:r>
      <w:r w:rsidR="00765C41">
        <w:rPr>
          <w:rFonts w:ascii="Barclays Sans" w:hAnsi="Barclays Sans" w:cs="Arial"/>
          <w:color w:val="000000"/>
        </w:rPr>
        <w:t xml:space="preserve">and other </w:t>
      </w:r>
      <w:r w:rsidR="005B4847">
        <w:rPr>
          <w:rFonts w:ascii="Barclays Sans" w:hAnsi="Barclays Sans" w:cs="Arial"/>
          <w:color w:val="000000"/>
        </w:rPr>
        <w:t xml:space="preserve">costs of insolvency and likely </w:t>
      </w:r>
      <w:proofErr w:type="spellStart"/>
      <w:r w:rsidR="005B4847">
        <w:rPr>
          <w:rFonts w:ascii="Barclays Sans" w:hAnsi="Barclays Sans" w:cs="Arial"/>
          <w:color w:val="000000"/>
        </w:rPr>
        <w:t>firesale</w:t>
      </w:r>
      <w:proofErr w:type="spellEnd"/>
      <w:r w:rsidR="005B4847">
        <w:rPr>
          <w:rFonts w:ascii="Barclays Sans" w:hAnsi="Barclays Sans" w:cs="Arial"/>
          <w:color w:val="000000"/>
        </w:rPr>
        <w:t xml:space="preserve"> of assets).</w:t>
      </w:r>
      <w:r w:rsidR="00202EE2">
        <w:rPr>
          <w:rFonts w:ascii="Barclays Sans" w:hAnsi="Barclays Sans" w:cs="Arial"/>
          <w:color w:val="000000"/>
        </w:rPr>
        <w:t xml:space="preserve">  </w:t>
      </w:r>
      <w:r>
        <w:rPr>
          <w:rFonts w:ascii="Barclays Sans" w:hAnsi="Barclays Sans" w:cs="Arial"/>
          <w:color w:val="000000"/>
        </w:rPr>
        <w:t xml:space="preserve">Moreover, if debt is converted to equity (at book value), then this provides more comfort against successful NCWO claims.  </w:t>
      </w:r>
      <w:r w:rsidR="00202EE2">
        <w:rPr>
          <w:rFonts w:ascii="Barclays Sans" w:hAnsi="Barclays Sans" w:cs="Arial"/>
          <w:color w:val="000000"/>
        </w:rPr>
        <w:t>Alongside the need to take into account the ‘ordinary course of business liabilities’, we would support</w:t>
      </w:r>
      <w:r w:rsidR="002D58DF">
        <w:rPr>
          <w:rFonts w:ascii="Barclays Sans" w:hAnsi="Barclays Sans" w:cs="Arial"/>
          <w:color w:val="000000"/>
        </w:rPr>
        <w:t>ive of setting</w:t>
      </w:r>
      <w:r w:rsidR="00202EE2">
        <w:rPr>
          <w:rFonts w:ascii="Barclays Sans" w:hAnsi="Barclays Sans" w:cs="Arial"/>
          <w:color w:val="000000"/>
        </w:rPr>
        <w:t xml:space="preserve"> a higher threshold of 15-20%.</w:t>
      </w:r>
    </w:p>
    <w:p w:rsidR="005B4847" w:rsidRPr="00B61BF5" w:rsidRDefault="005B4847" w:rsidP="00C228E2">
      <w:pPr>
        <w:jc w:val="both"/>
        <w:rPr>
          <w:rFonts w:ascii="Barclays Sans" w:hAnsi="Barclays Sans" w:cs="Arial"/>
          <w:color w:val="000000"/>
        </w:rPr>
      </w:pPr>
      <w:r w:rsidRPr="00B61BF5">
        <w:rPr>
          <w:rFonts w:ascii="Barclays Sans" w:hAnsi="Barclays Sans" w:cs="Arial"/>
          <w:color w:val="000000"/>
        </w:rPr>
        <w:t xml:space="preserve"> </w:t>
      </w: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Do you agree that resolution authorities should seek to ensure that systemic institutions have sufficient MREL to make it possible to access resolution funds for the full range of financing purposes specified in the BRRD</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5B4847" w:rsidP="00C228E2">
      <w:pPr>
        <w:jc w:val="both"/>
        <w:rPr>
          <w:rFonts w:ascii="Barclays Sans" w:hAnsi="Barclays Sans" w:cs="Arial"/>
          <w:color w:val="000000"/>
        </w:rPr>
      </w:pPr>
      <w:r w:rsidRPr="00136A97">
        <w:rPr>
          <w:rFonts w:ascii="Barclays Sans" w:hAnsi="Barclays Sans" w:cs="Arial"/>
          <w:color w:val="000000"/>
        </w:rPr>
        <w:t xml:space="preserve">No.  Some national authorities may determine that it is not desirable to rely on resolution funds (for </w:t>
      </w:r>
      <w:r>
        <w:rPr>
          <w:rFonts w:ascii="Barclays Sans" w:hAnsi="Barclays Sans" w:cs="Arial"/>
          <w:color w:val="000000"/>
        </w:rPr>
        <w:t xml:space="preserve">a </w:t>
      </w:r>
      <w:r w:rsidRPr="00136A97">
        <w:rPr>
          <w:rFonts w:ascii="Barclays Sans" w:hAnsi="Barclays Sans" w:cs="Arial"/>
          <w:color w:val="000000"/>
        </w:rPr>
        <w:t>loss</w:t>
      </w:r>
      <w:r>
        <w:rPr>
          <w:rFonts w:ascii="Barclays Sans" w:hAnsi="Barclays Sans" w:cs="Arial"/>
          <w:color w:val="000000"/>
        </w:rPr>
        <w:t xml:space="preserve"> ‘tranche’</w:t>
      </w:r>
      <w:r w:rsidRPr="00136A97">
        <w:rPr>
          <w:rFonts w:ascii="Barclays Sans" w:hAnsi="Barclays Sans" w:cs="Arial"/>
          <w:color w:val="000000"/>
        </w:rPr>
        <w:t xml:space="preserve"> </w:t>
      </w:r>
      <w:r>
        <w:rPr>
          <w:rFonts w:ascii="Barclays Sans" w:hAnsi="Barclays Sans" w:cs="Arial"/>
          <w:color w:val="000000"/>
        </w:rPr>
        <w:t>of</w:t>
      </w:r>
      <w:r w:rsidRPr="00136A97">
        <w:rPr>
          <w:rFonts w:ascii="Barclays Sans" w:hAnsi="Barclays Sans" w:cs="Arial"/>
          <w:color w:val="000000"/>
        </w:rPr>
        <w:t xml:space="preserve"> 8-13% of liabilities), since this would imply transferring the loss from the firm’s creditors to the banking industry more broadly (which could exacerbate contagion)</w:t>
      </w:r>
      <w:r w:rsidR="00202EE2">
        <w:rPr>
          <w:rFonts w:ascii="Barclays Sans" w:hAnsi="Barclays Sans" w:cs="Arial"/>
          <w:color w:val="000000"/>
        </w:rPr>
        <w:t>, and increase moral hazard</w:t>
      </w:r>
      <w:r w:rsidRPr="00136A97">
        <w:rPr>
          <w:rFonts w:ascii="Barclays Sans" w:hAnsi="Barclays Sans" w:cs="Arial"/>
          <w:color w:val="000000"/>
        </w:rPr>
        <w:t xml:space="preserve">.  </w:t>
      </w:r>
    </w:p>
    <w:p w:rsidR="00606692" w:rsidRDefault="00606692" w:rsidP="00C228E2">
      <w:pPr>
        <w:jc w:val="both"/>
        <w:rPr>
          <w:rFonts w:ascii="Barclays Sans" w:hAnsi="Barclays Sans" w:cs="Arial"/>
          <w:color w:val="000000"/>
        </w:rPr>
      </w:pPr>
    </w:p>
    <w:p w:rsidR="00606692" w:rsidRDefault="00202EE2" w:rsidP="00C228E2">
      <w:pPr>
        <w:jc w:val="both"/>
        <w:rPr>
          <w:rFonts w:ascii="Barclays Sans" w:hAnsi="Barclays Sans" w:cs="Arial"/>
          <w:color w:val="000000"/>
        </w:rPr>
      </w:pPr>
      <w:r>
        <w:rPr>
          <w:rFonts w:ascii="Barclays Sans" w:hAnsi="Barclays Sans" w:cs="Arial"/>
          <w:color w:val="000000"/>
        </w:rPr>
        <w:t>We note that t</w:t>
      </w:r>
      <w:r w:rsidR="00606692" w:rsidRPr="00606692">
        <w:rPr>
          <w:rFonts w:ascii="Barclays Sans" w:hAnsi="Barclays Sans" w:cs="Arial"/>
          <w:color w:val="000000"/>
        </w:rPr>
        <w:t>he 8.0% refers to allocated losses and not to MREL</w:t>
      </w:r>
      <w:r>
        <w:rPr>
          <w:rFonts w:ascii="Barclays Sans" w:hAnsi="Barclays Sans" w:cs="Arial"/>
          <w:color w:val="000000"/>
        </w:rPr>
        <w:t>-</w:t>
      </w:r>
      <w:r w:rsidR="00606692" w:rsidRPr="00606692">
        <w:rPr>
          <w:rFonts w:ascii="Barclays Sans" w:hAnsi="Barclays Sans" w:cs="Arial"/>
          <w:color w:val="000000"/>
        </w:rPr>
        <w:t>eligible liabilities, so it should be possible to bail-in 8% of liabilities with an MREL requirement lower than that (</w:t>
      </w:r>
      <w:proofErr w:type="spellStart"/>
      <w:r w:rsidR="00606692" w:rsidRPr="00606692">
        <w:rPr>
          <w:rFonts w:ascii="Barclays Sans" w:hAnsi="Barclays Sans" w:cs="Arial"/>
          <w:color w:val="000000"/>
        </w:rPr>
        <w:t>ie</w:t>
      </w:r>
      <w:proofErr w:type="spellEnd"/>
      <w:r w:rsidR="00606692" w:rsidRPr="00606692">
        <w:rPr>
          <w:rFonts w:ascii="Barclays Sans" w:hAnsi="Barclays Sans" w:cs="Arial"/>
          <w:color w:val="000000"/>
        </w:rPr>
        <w:t xml:space="preserve"> some liabilities would not be eligible because they had fallen below 12 months remaining maturity).</w:t>
      </w:r>
    </w:p>
    <w:p w:rsidR="005B4847" w:rsidRPr="00B61BF5" w:rsidRDefault="005B4847" w:rsidP="00C228E2">
      <w:pPr>
        <w:jc w:val="both"/>
        <w:rPr>
          <w:rFonts w:ascii="Barclays Sans" w:hAnsi="Barclays Sans" w:cs="Arial"/>
          <w:color w:val="000000"/>
        </w:rPr>
      </w:pP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 xml:space="preserve">Is this limit on the </w:t>
      </w:r>
      <w:r w:rsidR="00B34500">
        <w:rPr>
          <w:rFonts w:ascii="Barclays Sans" w:hAnsi="Barclays Sans" w:cs="Arial"/>
          <w:b/>
          <w:color w:val="000000"/>
          <w:sz w:val="24"/>
          <w:szCs w:val="24"/>
        </w:rPr>
        <w:t>transition</w:t>
      </w:r>
      <w:r w:rsidR="00B34500" w:rsidRPr="009A491C">
        <w:rPr>
          <w:rFonts w:ascii="Barclays Sans" w:hAnsi="Barclays Sans" w:cs="Arial"/>
          <w:b/>
          <w:color w:val="000000"/>
          <w:sz w:val="24"/>
          <w:szCs w:val="24"/>
        </w:rPr>
        <w:t xml:space="preserve"> </w:t>
      </w:r>
      <w:r w:rsidRPr="009A491C">
        <w:rPr>
          <w:rFonts w:ascii="Barclays Sans" w:hAnsi="Barclays Sans" w:cs="Arial"/>
          <w:b/>
          <w:color w:val="000000"/>
          <w:sz w:val="24"/>
          <w:szCs w:val="24"/>
        </w:rPr>
        <w:t xml:space="preserve">period </w:t>
      </w:r>
      <w:r w:rsidR="00FD1B10">
        <w:rPr>
          <w:rFonts w:ascii="Barclays Sans" w:hAnsi="Barclays Sans" w:cs="Arial"/>
          <w:b/>
          <w:color w:val="000000"/>
          <w:sz w:val="24"/>
          <w:szCs w:val="24"/>
        </w:rPr>
        <w:t xml:space="preserve">[48 months] </w:t>
      </w:r>
      <w:r w:rsidRPr="009A491C">
        <w:rPr>
          <w:rFonts w:ascii="Barclays Sans" w:hAnsi="Barclays Sans" w:cs="Arial"/>
          <w:b/>
          <w:color w:val="000000"/>
          <w:sz w:val="24"/>
          <w:szCs w:val="24"/>
        </w:rPr>
        <w:t>appropriate</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Default="00765C41" w:rsidP="00B0656A">
      <w:pPr>
        <w:jc w:val="both"/>
        <w:rPr>
          <w:rFonts w:ascii="Barclays Sans" w:hAnsi="Barclays Sans" w:cs="Arial"/>
          <w:color w:val="000000"/>
        </w:rPr>
      </w:pPr>
      <w:r>
        <w:rPr>
          <w:rFonts w:ascii="Barclays Sans" w:hAnsi="Barclays Sans" w:cs="Arial"/>
          <w:color w:val="000000"/>
        </w:rPr>
        <w:lastRenderedPageBreak/>
        <w:t>No, we believe a</w:t>
      </w:r>
      <w:r w:rsidR="005B4847" w:rsidRPr="00C963B9">
        <w:rPr>
          <w:rFonts w:ascii="Barclays Sans" w:hAnsi="Barclays Sans" w:cs="Arial"/>
          <w:color w:val="000000"/>
        </w:rPr>
        <w:t xml:space="preserve"> longer transition </w:t>
      </w:r>
      <w:r w:rsidR="00B34500">
        <w:rPr>
          <w:rFonts w:ascii="Barclays Sans" w:hAnsi="Barclays Sans" w:cs="Arial"/>
          <w:color w:val="000000"/>
        </w:rPr>
        <w:t xml:space="preserve">period </w:t>
      </w:r>
      <w:r w:rsidR="005B4847">
        <w:rPr>
          <w:rFonts w:ascii="Barclays Sans" w:hAnsi="Barclays Sans" w:cs="Arial"/>
          <w:color w:val="000000"/>
        </w:rPr>
        <w:t>(of 5-6 years)</w:t>
      </w:r>
      <w:r>
        <w:rPr>
          <w:rFonts w:ascii="Barclays Sans" w:hAnsi="Barclays Sans" w:cs="Arial"/>
          <w:color w:val="000000"/>
        </w:rPr>
        <w:t xml:space="preserve"> would be more appropriate</w:t>
      </w:r>
      <w:r w:rsidR="005B4847">
        <w:rPr>
          <w:rFonts w:ascii="Barclays Sans" w:hAnsi="Barclays Sans" w:cs="Arial"/>
          <w:color w:val="000000"/>
        </w:rPr>
        <w:t>, given the significance of the requirements, likely</w:t>
      </w:r>
      <w:r w:rsidR="005B4847" w:rsidRPr="00C963B9">
        <w:rPr>
          <w:rFonts w:ascii="Barclays Sans" w:hAnsi="Barclays Sans" w:cs="Arial"/>
          <w:color w:val="000000"/>
        </w:rPr>
        <w:t xml:space="preserve"> market capacity constraints and intention to align </w:t>
      </w:r>
      <w:r w:rsidR="00B34500">
        <w:rPr>
          <w:rFonts w:ascii="Barclays Sans" w:hAnsi="Barclays Sans" w:cs="Arial"/>
          <w:color w:val="000000"/>
        </w:rPr>
        <w:t xml:space="preserve">MREL </w:t>
      </w:r>
      <w:r w:rsidR="005B4847" w:rsidRPr="00C963B9">
        <w:rPr>
          <w:rFonts w:ascii="Barclays Sans" w:hAnsi="Barclays Sans" w:cs="Arial"/>
          <w:color w:val="000000"/>
        </w:rPr>
        <w:t xml:space="preserve">requirements with TLAC </w:t>
      </w:r>
      <w:r w:rsidR="00B34500">
        <w:rPr>
          <w:rFonts w:ascii="Barclays Sans" w:hAnsi="Barclays Sans" w:cs="Arial"/>
          <w:color w:val="000000"/>
        </w:rPr>
        <w:t xml:space="preserve">requirements </w:t>
      </w:r>
      <w:r w:rsidR="005B4847" w:rsidRPr="00C963B9">
        <w:rPr>
          <w:rFonts w:ascii="Barclays Sans" w:hAnsi="Barclays Sans" w:cs="Arial"/>
          <w:color w:val="000000"/>
        </w:rPr>
        <w:t>for G-SIBs (where we would welcome alignment of the conformance period</w:t>
      </w:r>
      <w:r w:rsidR="002D58DF">
        <w:rPr>
          <w:rFonts w:ascii="Barclays Sans" w:hAnsi="Barclays Sans" w:cs="Arial"/>
          <w:color w:val="000000"/>
        </w:rPr>
        <w:t>s</w:t>
      </w:r>
      <w:r w:rsidR="005B4847" w:rsidRPr="00C963B9">
        <w:rPr>
          <w:rFonts w:ascii="Barclays Sans" w:hAnsi="Barclays Sans" w:cs="Arial"/>
          <w:color w:val="000000"/>
        </w:rPr>
        <w:t>)</w:t>
      </w:r>
      <w:r w:rsidR="005B4847" w:rsidRPr="00FD6AE6">
        <w:rPr>
          <w:rFonts w:ascii="Barclays Sans" w:hAnsi="Barclays Sans" w:cs="Arial"/>
          <w:color w:val="000000"/>
        </w:rPr>
        <w:t>.</w:t>
      </w:r>
      <w:r w:rsidR="00B34500">
        <w:rPr>
          <w:rFonts w:ascii="Barclays Sans" w:hAnsi="Barclays Sans" w:cs="Arial"/>
          <w:color w:val="000000"/>
        </w:rPr>
        <w:t xml:space="preserve"> In determining the transition period, resolution authorities should also have regard to the timing of structural reform programmes for individual institutions</w:t>
      </w:r>
      <w:r w:rsidR="00FD1B10">
        <w:rPr>
          <w:rFonts w:ascii="Barclays Sans" w:hAnsi="Barclays Sans" w:cs="Arial"/>
          <w:color w:val="000000"/>
        </w:rPr>
        <w:t>,</w:t>
      </w:r>
      <w:r w:rsidR="00B34500">
        <w:rPr>
          <w:rFonts w:ascii="Barclays Sans" w:hAnsi="Barclays Sans" w:cs="Arial"/>
          <w:color w:val="000000"/>
        </w:rPr>
        <w:t xml:space="preserve"> and the challenges of implementing such structural reforms simultaneously with MREL and TLAC requirements. </w:t>
      </w:r>
    </w:p>
    <w:p w:rsidR="00B34500" w:rsidRDefault="00B34500" w:rsidP="00B0656A">
      <w:pPr>
        <w:jc w:val="both"/>
        <w:rPr>
          <w:rFonts w:ascii="Barclays Sans" w:hAnsi="Barclays Sans" w:cs="Arial"/>
          <w:color w:val="000000"/>
        </w:rPr>
      </w:pPr>
    </w:p>
    <w:p w:rsidR="00765C41" w:rsidRDefault="00765C41" w:rsidP="00B0656A">
      <w:pPr>
        <w:jc w:val="both"/>
        <w:rPr>
          <w:rFonts w:ascii="Barclays Sans" w:hAnsi="Barclays Sans" w:cs="Arial"/>
          <w:color w:val="000000"/>
        </w:rPr>
      </w:pPr>
      <w:r>
        <w:rPr>
          <w:rFonts w:ascii="Barclays Sans" w:hAnsi="Barclays Sans" w:cs="Arial"/>
          <w:color w:val="000000"/>
        </w:rPr>
        <w:t xml:space="preserve">We </w:t>
      </w:r>
      <w:r w:rsidR="0043192A">
        <w:rPr>
          <w:rFonts w:ascii="Barclays Sans" w:hAnsi="Barclays Sans" w:cs="Arial"/>
          <w:color w:val="000000"/>
        </w:rPr>
        <w:t>urge</w:t>
      </w:r>
      <w:r>
        <w:rPr>
          <w:rFonts w:ascii="Barclays Sans" w:hAnsi="Barclays Sans" w:cs="Arial"/>
          <w:color w:val="000000"/>
        </w:rPr>
        <w:t xml:space="preserve"> that any requirement to issue </w:t>
      </w:r>
      <w:r w:rsidRPr="00765C41">
        <w:rPr>
          <w:rFonts w:ascii="Barclays Sans" w:hAnsi="Barclays Sans" w:cs="Arial"/>
          <w:color w:val="000000"/>
        </w:rPr>
        <w:t>contractual bail-in instruments</w:t>
      </w:r>
      <w:r>
        <w:rPr>
          <w:rFonts w:ascii="Barclays Sans" w:hAnsi="Barclays Sans" w:cs="Arial"/>
          <w:color w:val="000000"/>
        </w:rPr>
        <w:t xml:space="preserve"> as part of a subsidiary’s </w:t>
      </w:r>
      <w:r w:rsidR="00EA725C">
        <w:rPr>
          <w:rFonts w:ascii="Barclays Sans" w:hAnsi="Barclays Sans" w:cs="Arial"/>
          <w:color w:val="000000"/>
        </w:rPr>
        <w:t xml:space="preserve">internal </w:t>
      </w:r>
      <w:r>
        <w:rPr>
          <w:rFonts w:ascii="Barclays Sans" w:hAnsi="Barclays Sans" w:cs="Arial"/>
          <w:color w:val="000000"/>
        </w:rPr>
        <w:t>MREL (BRRD Article 45, 13-14)</w:t>
      </w:r>
      <w:r w:rsidR="0043192A">
        <w:rPr>
          <w:rFonts w:ascii="Barclays Sans" w:hAnsi="Barclays Sans" w:cs="Arial"/>
          <w:color w:val="000000"/>
        </w:rPr>
        <w:t xml:space="preserve"> is not implemented during the transition phase </w:t>
      </w:r>
      <w:r w:rsidR="00C56129" w:rsidRPr="00C56129">
        <w:rPr>
          <w:rFonts w:ascii="Barclays Sans" w:hAnsi="Barclays Sans" w:cs="Arial"/>
          <w:color w:val="000000"/>
        </w:rPr>
        <w:t>and that authorities have regard to the relative ranking of Hold</w:t>
      </w:r>
      <w:r w:rsidR="00202DA6">
        <w:rPr>
          <w:rFonts w:ascii="Barclays Sans" w:hAnsi="Barclays Sans" w:cs="Arial"/>
          <w:color w:val="000000"/>
        </w:rPr>
        <w:t>Co/</w:t>
      </w:r>
      <w:proofErr w:type="spellStart"/>
      <w:r w:rsidR="00202DA6">
        <w:rPr>
          <w:rFonts w:ascii="Barclays Sans" w:hAnsi="Barclays Sans" w:cs="Arial"/>
          <w:color w:val="000000"/>
        </w:rPr>
        <w:t>OpC</w:t>
      </w:r>
      <w:r w:rsidR="00C56129" w:rsidRPr="00C56129">
        <w:rPr>
          <w:rFonts w:ascii="Barclays Sans" w:hAnsi="Barclays Sans" w:cs="Arial"/>
          <w:color w:val="000000"/>
        </w:rPr>
        <w:t>o</w:t>
      </w:r>
      <w:proofErr w:type="spellEnd"/>
      <w:r w:rsidR="00C56129" w:rsidRPr="00C56129">
        <w:rPr>
          <w:rFonts w:ascii="Barclays Sans" w:hAnsi="Barclays Sans" w:cs="Arial"/>
          <w:color w:val="000000"/>
        </w:rPr>
        <w:t xml:space="preserve"> creditor rights throughout the transition phase</w:t>
      </w:r>
      <w:r w:rsidR="0043192A">
        <w:rPr>
          <w:rFonts w:ascii="Barclays Sans" w:hAnsi="Barclays Sans" w:cs="Arial"/>
          <w:color w:val="000000"/>
        </w:rPr>
        <w:t>.</w:t>
      </w:r>
    </w:p>
    <w:p w:rsidR="00765C41" w:rsidRDefault="00765C41" w:rsidP="00B0656A">
      <w:pPr>
        <w:jc w:val="both"/>
        <w:rPr>
          <w:rFonts w:ascii="Barclays Sans" w:hAnsi="Barclays Sans" w:cs="Arial"/>
          <w:color w:val="000000"/>
        </w:rPr>
      </w:pPr>
    </w:p>
    <w:p w:rsidR="00B34500" w:rsidRPr="00B0656A" w:rsidRDefault="00B34500" w:rsidP="00B0656A">
      <w:pPr>
        <w:jc w:val="both"/>
        <w:rPr>
          <w:rFonts w:ascii="Barclays Sans" w:hAnsi="Barclays Sans" w:cs="Arial"/>
          <w:color w:val="000000"/>
        </w:rPr>
      </w:pPr>
      <w:r>
        <w:rPr>
          <w:rFonts w:ascii="Barclays Sans" w:hAnsi="Barclays Sans" w:cs="Arial"/>
          <w:color w:val="000000"/>
        </w:rPr>
        <w:t>Article 9(2) could also provide that resolution authorities should be required to notify each institution of its planned MREL within a certain period of time before each 12 month period begins</w:t>
      </w:r>
      <w:r w:rsidR="00FD1B10">
        <w:rPr>
          <w:rFonts w:ascii="Barclays Sans" w:hAnsi="Barclays Sans" w:cs="Arial"/>
          <w:color w:val="000000"/>
        </w:rPr>
        <w:t>,</w:t>
      </w:r>
      <w:r>
        <w:rPr>
          <w:rFonts w:ascii="Barclays Sans" w:hAnsi="Barclays Sans" w:cs="Arial"/>
          <w:color w:val="000000"/>
        </w:rPr>
        <w:t xml:space="preserve"> to enable institutions to prepare </w:t>
      </w:r>
      <w:r w:rsidR="00FD1B10">
        <w:rPr>
          <w:rFonts w:ascii="Barclays Sans" w:hAnsi="Barclays Sans" w:cs="Arial"/>
          <w:color w:val="000000"/>
        </w:rPr>
        <w:t xml:space="preserve">adequately </w:t>
      </w:r>
      <w:r>
        <w:rPr>
          <w:rFonts w:ascii="Barclays Sans" w:hAnsi="Barclays Sans" w:cs="Arial"/>
          <w:color w:val="000000"/>
        </w:rPr>
        <w:t xml:space="preserve">for the implementation of MREL. </w:t>
      </w:r>
      <w:r w:rsidR="001A4311">
        <w:rPr>
          <w:rFonts w:ascii="Barclays Sans" w:hAnsi="Barclays Sans" w:cs="Arial"/>
          <w:color w:val="000000"/>
        </w:rPr>
        <w:t>We believe t</w:t>
      </w:r>
      <w:r>
        <w:rPr>
          <w:rFonts w:ascii="Barclays Sans" w:hAnsi="Barclays Sans" w:cs="Arial"/>
          <w:color w:val="000000"/>
        </w:rPr>
        <w:t xml:space="preserve">he final sentence of Article 9(2) should be amended so that resolution authorities can only subsequently revise planned MREL for future 12 month periods, and so that resolution authorities cannot reduce the length of the transition period or retrospectively increase planned MREL during any 12 month period which has already commenced.  Otherwise, there will be significant market uncertainty and issuance planning will be difficult. </w:t>
      </w:r>
    </w:p>
    <w:p w:rsidR="005B4847" w:rsidRPr="00B0656A" w:rsidRDefault="005B4847" w:rsidP="00B0656A">
      <w:pPr>
        <w:jc w:val="both"/>
        <w:rPr>
          <w:rFonts w:ascii="Barclays Sans" w:hAnsi="Barclays Sans" w:cs="Arial"/>
          <w:color w:val="000000"/>
        </w:rPr>
      </w:pP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Should the resolution authority also set a transitional period for the MREL of banks which are undergoing or have undergone a resolution process</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Pr="00B61BF5" w:rsidRDefault="005B4847" w:rsidP="00104FE0">
      <w:pPr>
        <w:jc w:val="both"/>
        <w:rPr>
          <w:rFonts w:ascii="Barclays Sans" w:hAnsi="Barclays Sans" w:cs="Arial"/>
          <w:color w:val="000000"/>
        </w:rPr>
      </w:pPr>
      <w:r w:rsidRPr="00C963B9">
        <w:rPr>
          <w:rFonts w:ascii="Barclays Sans" w:hAnsi="Barclays Sans" w:cs="Arial"/>
          <w:color w:val="000000"/>
        </w:rPr>
        <w:t>Once MREL is depleted in resolution, we would expect the minimum capital requirements to be restored immediately and the buffers to be rebuilt over time, with the timeframe dependent on prevailing circumstances</w:t>
      </w:r>
      <w:r w:rsidRPr="00B61BF5">
        <w:rPr>
          <w:rFonts w:ascii="Barclays Sans" w:hAnsi="Barclays Sans" w:cs="Arial"/>
          <w:color w:val="000000"/>
        </w:rPr>
        <w:t xml:space="preserve">.  </w:t>
      </w:r>
    </w:p>
    <w:p w:rsidR="005B4847" w:rsidRPr="00B61BF5" w:rsidRDefault="005B4847" w:rsidP="00C228E2">
      <w:pPr>
        <w:jc w:val="both"/>
        <w:rPr>
          <w:rFonts w:ascii="Barclays Sans" w:hAnsi="Barclays Sans" w:cs="Arial"/>
          <w:color w:val="000000"/>
        </w:rPr>
      </w:pP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Overall, do you consider that the draft RTS strikes the appropriate balance between the need to adapt the MREL to the circumstances of individual institutions and promoting consistency in the setting of adequate levels of MREL across resolution authorities</w:t>
      </w:r>
      <w:r w:rsidRPr="00B61BF5">
        <w:rPr>
          <w:rFonts w:ascii="Barclays Sans" w:hAnsi="Barclays Sans" w:cs="Arial"/>
          <w:b/>
          <w:color w:val="000000"/>
          <w:sz w:val="24"/>
          <w:szCs w:val="24"/>
        </w:rPr>
        <w:t xml:space="preserve">? </w:t>
      </w:r>
    </w:p>
    <w:p w:rsidR="005B4847" w:rsidRPr="00B61BF5" w:rsidRDefault="005B4847" w:rsidP="00C228E2">
      <w:pPr>
        <w:jc w:val="both"/>
        <w:rPr>
          <w:rFonts w:ascii="Barclays Sans" w:hAnsi="Barclays Sans" w:cs="Arial"/>
          <w:color w:val="000000"/>
        </w:rPr>
      </w:pPr>
    </w:p>
    <w:p w:rsidR="005B4847" w:rsidRPr="00C963B9" w:rsidRDefault="005B4847" w:rsidP="00C963B9">
      <w:pPr>
        <w:jc w:val="both"/>
        <w:rPr>
          <w:rFonts w:ascii="Barclays Sans" w:hAnsi="Barclays Sans" w:cs="Arial"/>
          <w:color w:val="000000"/>
        </w:rPr>
      </w:pPr>
      <w:r w:rsidRPr="00C963B9">
        <w:rPr>
          <w:rFonts w:ascii="Barclays Sans" w:hAnsi="Barclays Sans" w:cs="Arial"/>
          <w:color w:val="000000"/>
        </w:rPr>
        <w:t>While we acknowledge that some aspects are firm-specific (eg the preferred resolution strategy), overall it  seems that – especially if a minimum 8% of total liabilities is required – the MREL proposals would impose a high minimum requirement across the industry, without taking full account of the risk profile of individual firms’ balance sheets.</w:t>
      </w:r>
    </w:p>
    <w:p w:rsidR="005B4847" w:rsidRDefault="005B4847" w:rsidP="00C963B9">
      <w:pPr>
        <w:jc w:val="both"/>
        <w:rPr>
          <w:rFonts w:ascii="Barclays Sans" w:hAnsi="Barclays Sans" w:cs="Arial"/>
          <w:color w:val="000000"/>
        </w:rPr>
      </w:pPr>
    </w:p>
    <w:p w:rsidR="005B4847" w:rsidRDefault="005B4847" w:rsidP="00C963B9">
      <w:pPr>
        <w:jc w:val="both"/>
        <w:rPr>
          <w:rFonts w:ascii="Barclays Sans" w:hAnsi="Barclays Sans" w:cs="Arial"/>
          <w:color w:val="000000"/>
        </w:rPr>
      </w:pPr>
      <w:r w:rsidRPr="00C963B9">
        <w:rPr>
          <w:rFonts w:ascii="Barclays Sans" w:hAnsi="Barclays Sans" w:cs="Arial"/>
          <w:color w:val="000000"/>
        </w:rPr>
        <w:lastRenderedPageBreak/>
        <w:t>Where resolution authorities are required to make judgements about whether certain instruments are expected to be excluded from bail-in in setting MREL (eg corporate deposits, structured notes), we feel a consistent approach would assist investors in understanding and pricing risk</w:t>
      </w:r>
      <w:r>
        <w:rPr>
          <w:rFonts w:ascii="Barclays Sans" w:hAnsi="Barclays Sans" w:cs="Arial"/>
          <w:color w:val="000000"/>
        </w:rPr>
        <w:t>.</w:t>
      </w:r>
    </w:p>
    <w:p w:rsidR="003E6687" w:rsidRDefault="003E6687" w:rsidP="00C963B9">
      <w:pPr>
        <w:jc w:val="both"/>
        <w:rPr>
          <w:rFonts w:ascii="Barclays Sans" w:hAnsi="Barclays Sans" w:cs="Arial"/>
          <w:color w:val="000000"/>
        </w:rPr>
      </w:pPr>
    </w:p>
    <w:p w:rsidR="003E6687" w:rsidRPr="00B61BF5" w:rsidRDefault="003E6687" w:rsidP="00C963B9">
      <w:pPr>
        <w:jc w:val="both"/>
        <w:rPr>
          <w:rFonts w:ascii="Barclays Sans" w:hAnsi="Barclays Sans" w:cs="Arial"/>
          <w:color w:val="000000"/>
        </w:rPr>
      </w:pPr>
      <w:r>
        <w:rPr>
          <w:rFonts w:ascii="Barclays Sans" w:hAnsi="Barclays Sans" w:cs="Arial"/>
          <w:color w:val="000000"/>
        </w:rPr>
        <w:t xml:space="preserve">We consider that a key risk to consistency of MREL requirements across </w:t>
      </w:r>
      <w:r w:rsidR="007226D5">
        <w:rPr>
          <w:rFonts w:ascii="Barclays Sans" w:hAnsi="Barclays Sans" w:cs="Arial"/>
          <w:color w:val="000000"/>
        </w:rPr>
        <w:t>Member States</w:t>
      </w:r>
      <w:r>
        <w:rPr>
          <w:rFonts w:ascii="Barclays Sans" w:hAnsi="Barclays Sans" w:cs="Arial"/>
          <w:color w:val="000000"/>
        </w:rPr>
        <w:t xml:space="preserve"> is that resolution authorities could specify that, in order to constitute MREL, instruments must contain particular terms in addition to meeting the criteria of Article 45(4) of the Directive. </w:t>
      </w:r>
      <w:r w:rsidR="007226D5">
        <w:rPr>
          <w:rFonts w:ascii="Barclays Sans" w:hAnsi="Barclays Sans" w:cs="Arial"/>
          <w:color w:val="000000"/>
        </w:rPr>
        <w:t xml:space="preserve"> </w:t>
      </w:r>
      <w:r>
        <w:rPr>
          <w:rFonts w:ascii="Barclays Sans" w:hAnsi="Barclays Sans" w:cs="Arial"/>
          <w:color w:val="000000"/>
        </w:rPr>
        <w:t xml:space="preserve">We would ask that the EBA encourages resolution authorities not to impose additional criteria beyond those in Article 45(4) of the </w:t>
      </w:r>
      <w:proofErr w:type="gramStart"/>
      <w:r>
        <w:rPr>
          <w:rFonts w:ascii="Barclays Sans" w:hAnsi="Barclays Sans" w:cs="Arial"/>
          <w:color w:val="000000"/>
        </w:rPr>
        <w:t>Directive,</w:t>
      </w:r>
      <w:proofErr w:type="gramEnd"/>
      <w:r>
        <w:rPr>
          <w:rFonts w:ascii="Barclays Sans" w:hAnsi="Barclays Sans" w:cs="Arial"/>
          <w:color w:val="000000"/>
        </w:rPr>
        <w:t xml:space="preserve"> at least until the FSB’s TLAC requirements have been confirmed. Otherwise, there </w:t>
      </w:r>
      <w:r w:rsidR="007226D5">
        <w:rPr>
          <w:rFonts w:ascii="Barclays Sans" w:hAnsi="Barclays Sans" w:cs="Arial"/>
          <w:color w:val="000000"/>
        </w:rPr>
        <w:t>may</w:t>
      </w:r>
      <w:r>
        <w:rPr>
          <w:rFonts w:ascii="Barclays Sans" w:hAnsi="Barclays Sans" w:cs="Arial"/>
          <w:color w:val="000000"/>
        </w:rPr>
        <w:t xml:space="preserve"> not be a level</w:t>
      </w:r>
      <w:r w:rsidR="002D58DF">
        <w:rPr>
          <w:rFonts w:ascii="Barclays Sans" w:hAnsi="Barclays Sans" w:cs="Arial"/>
          <w:color w:val="000000"/>
        </w:rPr>
        <w:t xml:space="preserve"> </w:t>
      </w:r>
      <w:r>
        <w:rPr>
          <w:rFonts w:ascii="Barclays Sans" w:hAnsi="Barclays Sans" w:cs="Arial"/>
          <w:color w:val="000000"/>
        </w:rPr>
        <w:t xml:space="preserve">playing field across institutions in the Union. </w:t>
      </w:r>
    </w:p>
    <w:p w:rsidR="005B4847" w:rsidRPr="00B61BF5" w:rsidRDefault="005B4847" w:rsidP="00C228E2">
      <w:pPr>
        <w:jc w:val="both"/>
        <w:rPr>
          <w:rFonts w:ascii="Barclays Sans" w:hAnsi="Barclays Sans" w:cs="Arial"/>
          <w:color w:val="000000"/>
        </w:rPr>
      </w:pPr>
    </w:p>
    <w:p w:rsidR="005B4847" w:rsidRPr="00B61BF5" w:rsidRDefault="005B4847" w:rsidP="003E7381">
      <w:pPr>
        <w:pStyle w:val="ListParagraph"/>
        <w:numPr>
          <w:ilvl w:val="0"/>
          <w:numId w:val="2"/>
        </w:numPr>
        <w:contextualSpacing/>
        <w:jc w:val="both"/>
        <w:rPr>
          <w:rFonts w:ascii="Barclays Sans" w:hAnsi="Barclays Sans" w:cs="Arial"/>
          <w:b/>
          <w:color w:val="000000"/>
          <w:sz w:val="24"/>
          <w:szCs w:val="24"/>
        </w:rPr>
      </w:pPr>
      <w:r w:rsidRPr="009A491C">
        <w:rPr>
          <w:rFonts w:ascii="Barclays Sans" w:hAnsi="Barclays Sans" w:cs="Arial"/>
          <w:b/>
          <w:color w:val="000000"/>
          <w:sz w:val="24"/>
          <w:szCs w:val="24"/>
        </w:rPr>
        <w:t>Are there additional issues, not identified in this section, which should be considered in the final impact assessment</w:t>
      </w:r>
      <w:r w:rsidRPr="00B61BF5">
        <w:rPr>
          <w:rFonts w:ascii="Barclays Sans" w:hAnsi="Barclays Sans" w:cs="Arial"/>
          <w:b/>
          <w:color w:val="000000"/>
          <w:sz w:val="24"/>
          <w:szCs w:val="24"/>
        </w:rPr>
        <w:t>?</w:t>
      </w:r>
    </w:p>
    <w:p w:rsidR="005B4847" w:rsidRPr="00B61BF5" w:rsidRDefault="005B4847" w:rsidP="00C228E2">
      <w:pPr>
        <w:jc w:val="both"/>
        <w:rPr>
          <w:rFonts w:ascii="Barclays Sans" w:hAnsi="Barclays Sans" w:cs="Arial"/>
          <w:color w:val="000000"/>
        </w:rPr>
      </w:pPr>
    </w:p>
    <w:p w:rsidR="005B4847" w:rsidRPr="00B61BF5" w:rsidRDefault="005B4847" w:rsidP="00104FE0">
      <w:pPr>
        <w:jc w:val="both"/>
        <w:rPr>
          <w:rFonts w:ascii="Barclays Sans" w:hAnsi="Barclays Sans" w:cs="Arial"/>
          <w:color w:val="000000"/>
        </w:rPr>
      </w:pPr>
      <w:r w:rsidRPr="00C963B9">
        <w:rPr>
          <w:rFonts w:ascii="Barclays Sans" w:hAnsi="Barclays Sans" w:cs="Arial"/>
          <w:color w:val="000000"/>
        </w:rPr>
        <w:t>The impact assessment should take into account the proposed TLAC requirements for G-SIBs (including market capacity issues), and likelihood of this being extended to D-SIBs in due course</w:t>
      </w:r>
      <w:r w:rsidRPr="002D0B6A">
        <w:rPr>
          <w:rFonts w:ascii="Barclays Sans" w:hAnsi="Barclays Sans" w:cs="Arial"/>
          <w:color w:val="000000"/>
        </w:rPr>
        <w:t>.</w:t>
      </w:r>
    </w:p>
    <w:p w:rsidR="005B4847" w:rsidRPr="00B61BF5" w:rsidRDefault="005B4847" w:rsidP="00C228E2">
      <w:pPr>
        <w:jc w:val="both"/>
        <w:rPr>
          <w:rFonts w:ascii="Barclays Sans" w:hAnsi="Barclays Sans" w:cs="Arial"/>
          <w:color w:val="000000"/>
        </w:rPr>
      </w:pPr>
    </w:p>
    <w:p w:rsidR="005B4847" w:rsidRPr="009A491C" w:rsidRDefault="005B4847" w:rsidP="00923886">
      <w:pPr>
        <w:rPr>
          <w:rFonts w:ascii="Barclays Sans" w:hAnsi="Barclays Sans"/>
          <w:b/>
          <w:vanish/>
          <w:sz w:val="26"/>
          <w:szCs w:val="26"/>
          <w:lang w:eastAsia="en-US"/>
          <w:specVanish/>
        </w:rPr>
      </w:pPr>
      <w:r>
        <w:rPr>
          <w:rFonts w:ascii="Barclays Sans" w:hAnsi="Barclays Sans"/>
          <w:b/>
          <w:sz w:val="26"/>
          <w:szCs w:val="26"/>
          <w:lang w:eastAsia="en-US"/>
        </w:rPr>
        <w:br w:type="column"/>
      </w:r>
      <w:r w:rsidRPr="008F4DB9">
        <w:rPr>
          <w:rFonts w:ascii="Barclays Sans" w:hAnsi="Barclays Sans"/>
          <w:b/>
          <w:sz w:val="26"/>
          <w:szCs w:val="26"/>
          <w:lang w:eastAsia="en-US"/>
        </w:rPr>
        <w:lastRenderedPageBreak/>
        <w:t xml:space="preserve">Appendix 2: Technical clarifications requested </w:t>
      </w:r>
    </w:p>
    <w:p w:rsidR="005B4847" w:rsidRDefault="005B4847" w:rsidP="00923886">
      <w:pPr>
        <w:rPr>
          <w:rFonts w:ascii="Barclays Sans" w:hAnsi="Barclays Sans"/>
          <w:b/>
          <w:lang w:eastAsia="en-US"/>
        </w:rPr>
      </w:pPr>
      <w:r>
        <w:rPr>
          <w:rFonts w:ascii="Barclays Sans" w:hAnsi="Barclays Sans"/>
          <w:b/>
          <w:lang w:eastAsia="en-US"/>
        </w:rPr>
        <w:t xml:space="preserve"> </w:t>
      </w:r>
    </w:p>
    <w:p w:rsidR="005B4847" w:rsidRDefault="005B4847" w:rsidP="00923886">
      <w:pPr>
        <w:rPr>
          <w:rFonts w:ascii="Barclays Sans" w:hAnsi="Barclays Sans"/>
          <w:b/>
          <w:lang w:eastAsia="en-US"/>
        </w:rPr>
      </w:pPr>
    </w:p>
    <w:p w:rsidR="005B4847" w:rsidRDefault="003E6687" w:rsidP="00C963B9">
      <w:pPr>
        <w:pStyle w:val="ListParagraph"/>
        <w:numPr>
          <w:ilvl w:val="0"/>
          <w:numId w:val="3"/>
        </w:numPr>
        <w:rPr>
          <w:rFonts w:ascii="Barclays Sans" w:hAnsi="Barclays Sans"/>
          <w:sz w:val="24"/>
          <w:szCs w:val="24"/>
        </w:rPr>
      </w:pPr>
      <w:r>
        <w:rPr>
          <w:rFonts w:ascii="Barclays Sans" w:hAnsi="Barclays Sans"/>
          <w:sz w:val="24"/>
          <w:szCs w:val="24"/>
        </w:rPr>
        <w:t>Can the EBA c</w:t>
      </w:r>
      <w:r w:rsidR="005B4847" w:rsidRPr="00C963B9">
        <w:rPr>
          <w:rFonts w:ascii="Barclays Sans" w:hAnsi="Barclays Sans"/>
          <w:sz w:val="24"/>
          <w:szCs w:val="24"/>
        </w:rPr>
        <w:t xml:space="preserve">larify that for SPE firms, </w:t>
      </w:r>
      <w:r w:rsidR="005B4847">
        <w:rPr>
          <w:rFonts w:ascii="Barclays Sans" w:hAnsi="Barclays Sans"/>
          <w:sz w:val="24"/>
          <w:szCs w:val="24"/>
        </w:rPr>
        <w:t>what MREL requirements will be applied to subsidiaries (</w:t>
      </w:r>
      <w:r w:rsidR="005B4847" w:rsidRPr="00C963B9">
        <w:rPr>
          <w:rFonts w:ascii="Barclays Sans" w:hAnsi="Barclays Sans"/>
          <w:sz w:val="24"/>
          <w:szCs w:val="24"/>
        </w:rPr>
        <w:t>including post-structural reforms</w:t>
      </w:r>
      <w:r w:rsidR="005B4847">
        <w:rPr>
          <w:rFonts w:ascii="Barclays Sans" w:hAnsi="Barclays Sans"/>
          <w:sz w:val="24"/>
          <w:szCs w:val="24"/>
        </w:rPr>
        <w:t xml:space="preserve">), and that a subsidiary can meet its MREL requirements through both internal and external </w:t>
      </w:r>
      <w:r w:rsidR="005B4847" w:rsidRPr="00C963B9">
        <w:rPr>
          <w:rFonts w:ascii="Barclays Sans" w:hAnsi="Barclays Sans"/>
          <w:sz w:val="24"/>
          <w:szCs w:val="24"/>
        </w:rPr>
        <w:t>MREL</w:t>
      </w:r>
      <w:r>
        <w:rPr>
          <w:rFonts w:ascii="Barclays Sans" w:hAnsi="Barclays Sans"/>
          <w:sz w:val="24"/>
          <w:szCs w:val="24"/>
        </w:rPr>
        <w:t>?</w:t>
      </w:r>
      <w:r w:rsidR="005B4847" w:rsidRPr="00C963B9">
        <w:rPr>
          <w:rFonts w:ascii="Barclays Sans" w:hAnsi="Barclays Sans"/>
          <w:sz w:val="24"/>
          <w:szCs w:val="24"/>
        </w:rPr>
        <w:t xml:space="preserve">  </w:t>
      </w:r>
    </w:p>
    <w:p w:rsidR="005B4847" w:rsidRPr="00413642" w:rsidRDefault="005B4847" w:rsidP="00413642">
      <w:pPr>
        <w:rPr>
          <w:rFonts w:ascii="Barclays Sans" w:hAnsi="Barclays Sans"/>
        </w:rPr>
      </w:pPr>
    </w:p>
    <w:p w:rsidR="005B4847" w:rsidRDefault="005B4847" w:rsidP="00C626DD">
      <w:pPr>
        <w:pStyle w:val="ListParagraph"/>
        <w:numPr>
          <w:ilvl w:val="0"/>
          <w:numId w:val="3"/>
        </w:numPr>
        <w:rPr>
          <w:rFonts w:ascii="Barclays Sans" w:hAnsi="Barclays Sans"/>
          <w:sz w:val="24"/>
          <w:szCs w:val="24"/>
        </w:rPr>
      </w:pPr>
      <w:r>
        <w:rPr>
          <w:rFonts w:ascii="Barclays Sans" w:hAnsi="Barclays Sans"/>
          <w:sz w:val="24"/>
          <w:szCs w:val="24"/>
        </w:rPr>
        <w:t xml:space="preserve">Will </w:t>
      </w:r>
      <w:r w:rsidR="00EA725C">
        <w:rPr>
          <w:rFonts w:ascii="Barclays Sans" w:hAnsi="Barclays Sans"/>
          <w:sz w:val="24"/>
          <w:szCs w:val="24"/>
        </w:rPr>
        <w:t xml:space="preserve">internal MREL </w:t>
      </w:r>
      <w:r>
        <w:rPr>
          <w:rFonts w:ascii="Barclays Sans" w:hAnsi="Barclays Sans"/>
          <w:sz w:val="24"/>
          <w:szCs w:val="24"/>
        </w:rPr>
        <w:t xml:space="preserve">issued by a subsidiary need to </w:t>
      </w:r>
      <w:r w:rsidR="00EA725C">
        <w:rPr>
          <w:rFonts w:ascii="Barclays Sans" w:hAnsi="Barclays Sans"/>
          <w:sz w:val="24"/>
          <w:szCs w:val="24"/>
        </w:rPr>
        <w:t xml:space="preserve">be subordinated, </w:t>
      </w:r>
      <w:r>
        <w:rPr>
          <w:rFonts w:ascii="Barclays Sans" w:hAnsi="Barclays Sans"/>
          <w:sz w:val="24"/>
          <w:szCs w:val="24"/>
        </w:rPr>
        <w:t xml:space="preserve">include </w:t>
      </w:r>
      <w:r w:rsidR="00EA725C">
        <w:rPr>
          <w:rFonts w:ascii="Barclays Sans" w:hAnsi="Barclays Sans"/>
          <w:sz w:val="24"/>
          <w:szCs w:val="24"/>
        </w:rPr>
        <w:t xml:space="preserve">contractual </w:t>
      </w:r>
      <w:r>
        <w:rPr>
          <w:rFonts w:ascii="Barclays Sans" w:hAnsi="Barclays Sans"/>
          <w:sz w:val="24"/>
          <w:szCs w:val="24"/>
        </w:rPr>
        <w:t>PONV clauses</w:t>
      </w:r>
      <w:r w:rsidR="00EA725C">
        <w:rPr>
          <w:rFonts w:ascii="Barclays Sans" w:hAnsi="Barclays Sans"/>
          <w:sz w:val="24"/>
          <w:szCs w:val="24"/>
        </w:rPr>
        <w:t xml:space="preserve"> and qualify as group regulatory capital</w:t>
      </w:r>
      <w:r>
        <w:rPr>
          <w:rFonts w:ascii="Barclays Sans" w:hAnsi="Barclays Sans"/>
          <w:sz w:val="24"/>
          <w:szCs w:val="24"/>
        </w:rPr>
        <w:t xml:space="preserve"> to qualify as MREL?</w:t>
      </w:r>
    </w:p>
    <w:p w:rsidR="005B4847" w:rsidRPr="00C626DD" w:rsidRDefault="005B4847" w:rsidP="00C626DD">
      <w:pPr>
        <w:rPr>
          <w:rFonts w:ascii="Barclays Sans" w:hAnsi="Barclays Sans"/>
        </w:rPr>
      </w:pPr>
    </w:p>
    <w:p w:rsidR="005B4847" w:rsidRDefault="005B4847" w:rsidP="00C963B9">
      <w:pPr>
        <w:pStyle w:val="ListParagraph"/>
        <w:numPr>
          <w:ilvl w:val="0"/>
          <w:numId w:val="3"/>
        </w:numPr>
        <w:rPr>
          <w:rFonts w:ascii="Barclays Sans" w:hAnsi="Barclays Sans"/>
          <w:sz w:val="24"/>
          <w:szCs w:val="24"/>
        </w:rPr>
      </w:pPr>
      <w:r>
        <w:rPr>
          <w:rFonts w:ascii="Barclays Sans" w:hAnsi="Barclays Sans"/>
          <w:sz w:val="24"/>
          <w:szCs w:val="24"/>
        </w:rPr>
        <w:t>Does the EBA expect the BRRD Level 1 text to be reopened on the definition of MREL, in light of the FSB’s proposals on TLAC (eg to align subordination requirements)</w:t>
      </w:r>
      <w:r w:rsidR="003E6687">
        <w:rPr>
          <w:rFonts w:ascii="Barclays Sans" w:hAnsi="Barclays Sans"/>
          <w:sz w:val="24"/>
          <w:szCs w:val="24"/>
        </w:rPr>
        <w:t>, in the interests of ensuring a level playing field across resolution authorities in the Union</w:t>
      </w:r>
      <w:r>
        <w:rPr>
          <w:rFonts w:ascii="Barclays Sans" w:hAnsi="Barclays Sans"/>
          <w:sz w:val="24"/>
          <w:szCs w:val="24"/>
        </w:rPr>
        <w:t>?</w:t>
      </w:r>
    </w:p>
    <w:p w:rsidR="005B4847" w:rsidRPr="00C626DD" w:rsidRDefault="005B4847" w:rsidP="00C626DD">
      <w:pPr>
        <w:pStyle w:val="ListParagraph"/>
        <w:rPr>
          <w:rFonts w:ascii="Barclays Sans" w:hAnsi="Barclays Sans"/>
          <w:sz w:val="24"/>
          <w:szCs w:val="24"/>
        </w:rPr>
      </w:pPr>
    </w:p>
    <w:p w:rsidR="005B4847" w:rsidRDefault="003E6687" w:rsidP="00C963B9">
      <w:pPr>
        <w:pStyle w:val="ListParagraph"/>
        <w:numPr>
          <w:ilvl w:val="0"/>
          <w:numId w:val="3"/>
        </w:numPr>
        <w:rPr>
          <w:rFonts w:ascii="Barclays Sans" w:hAnsi="Barclays Sans"/>
          <w:sz w:val="24"/>
          <w:szCs w:val="24"/>
        </w:rPr>
      </w:pPr>
      <w:r>
        <w:rPr>
          <w:rFonts w:ascii="Barclays Sans" w:hAnsi="Barclays Sans"/>
          <w:sz w:val="24"/>
          <w:szCs w:val="24"/>
        </w:rPr>
        <w:t>Can the EBA c</w:t>
      </w:r>
      <w:r w:rsidR="005B4847" w:rsidRPr="00C963B9">
        <w:rPr>
          <w:rFonts w:ascii="Barclays Sans" w:hAnsi="Barclays Sans"/>
          <w:sz w:val="24"/>
          <w:szCs w:val="24"/>
        </w:rPr>
        <w:t>onfirm that where legacy capital is not included in regulatory capital, but would still be bailed in, this will count towards MREL (along with any other subordinated liabilities)</w:t>
      </w:r>
      <w:r w:rsidR="005B4847">
        <w:rPr>
          <w:rFonts w:ascii="Barclays Sans" w:hAnsi="Barclays Sans"/>
          <w:sz w:val="24"/>
          <w:szCs w:val="24"/>
        </w:rPr>
        <w:t>,</w:t>
      </w:r>
      <w:r w:rsidR="005B4847" w:rsidRPr="00BC18E8">
        <w:rPr>
          <w:rFonts w:ascii="Barclays Sans" w:hAnsi="Barclays Sans"/>
          <w:sz w:val="24"/>
          <w:szCs w:val="24"/>
        </w:rPr>
        <w:t xml:space="preserve"> </w:t>
      </w:r>
      <w:r w:rsidR="005B4847" w:rsidRPr="008F4DB9">
        <w:rPr>
          <w:rFonts w:ascii="Barclays Sans" w:hAnsi="Barclays Sans"/>
          <w:sz w:val="24"/>
          <w:szCs w:val="24"/>
        </w:rPr>
        <w:t xml:space="preserve">given </w:t>
      </w:r>
      <w:r w:rsidR="005B4847">
        <w:rPr>
          <w:rFonts w:ascii="Barclays Sans" w:hAnsi="Barclays Sans"/>
          <w:sz w:val="24"/>
          <w:szCs w:val="24"/>
        </w:rPr>
        <w:t xml:space="preserve">its </w:t>
      </w:r>
      <w:r w:rsidR="005B4847" w:rsidRPr="008F4DB9">
        <w:rPr>
          <w:rFonts w:ascii="Barclays Sans" w:hAnsi="Barclays Sans"/>
          <w:sz w:val="24"/>
          <w:szCs w:val="24"/>
        </w:rPr>
        <w:t xml:space="preserve">subordination and consistency with </w:t>
      </w:r>
      <w:r w:rsidR="005B4847">
        <w:rPr>
          <w:rFonts w:ascii="Barclays Sans" w:hAnsi="Barclays Sans"/>
          <w:sz w:val="24"/>
          <w:szCs w:val="24"/>
        </w:rPr>
        <w:t xml:space="preserve">the </w:t>
      </w:r>
      <w:r w:rsidR="005B4847" w:rsidRPr="008F4DB9">
        <w:rPr>
          <w:rFonts w:ascii="Barclays Sans" w:hAnsi="Barclays Sans"/>
          <w:sz w:val="24"/>
          <w:szCs w:val="24"/>
        </w:rPr>
        <w:t xml:space="preserve">recent EBA guidance </w:t>
      </w:r>
      <w:r w:rsidR="005B4847">
        <w:rPr>
          <w:rFonts w:ascii="Barclays Sans" w:hAnsi="Barclays Sans"/>
          <w:sz w:val="24"/>
          <w:szCs w:val="24"/>
        </w:rPr>
        <w:t xml:space="preserve">for EU banks </w:t>
      </w:r>
      <w:r w:rsidR="005B4847" w:rsidRPr="008F4DB9">
        <w:rPr>
          <w:rFonts w:ascii="Barclays Sans" w:hAnsi="Barclays Sans"/>
          <w:sz w:val="24"/>
          <w:szCs w:val="24"/>
        </w:rPr>
        <w:t>on (equal) treatment of legacy capital in a bail-in</w:t>
      </w:r>
      <w:r>
        <w:rPr>
          <w:rFonts w:ascii="Barclays Sans" w:hAnsi="Barclays Sans"/>
          <w:sz w:val="24"/>
          <w:szCs w:val="24"/>
        </w:rPr>
        <w:t>?</w:t>
      </w:r>
    </w:p>
    <w:p w:rsidR="005B4847" w:rsidRPr="00413642" w:rsidRDefault="005B4847" w:rsidP="00413642">
      <w:pPr>
        <w:rPr>
          <w:rFonts w:ascii="Barclays Sans" w:hAnsi="Barclays Sans"/>
        </w:rPr>
      </w:pPr>
    </w:p>
    <w:p w:rsidR="005B4847" w:rsidRDefault="003E6687" w:rsidP="00BC18E8">
      <w:pPr>
        <w:pStyle w:val="ListParagraph"/>
        <w:numPr>
          <w:ilvl w:val="0"/>
          <w:numId w:val="3"/>
        </w:numPr>
        <w:rPr>
          <w:rFonts w:ascii="Barclays Sans" w:hAnsi="Barclays Sans"/>
          <w:sz w:val="24"/>
          <w:szCs w:val="24"/>
        </w:rPr>
      </w:pPr>
      <w:r>
        <w:rPr>
          <w:rFonts w:ascii="Barclays Sans" w:hAnsi="Barclays Sans"/>
          <w:sz w:val="24"/>
          <w:szCs w:val="24"/>
        </w:rPr>
        <w:t>Can the EBA c</w:t>
      </w:r>
      <w:r w:rsidR="005B4847" w:rsidRPr="008F4DB9">
        <w:rPr>
          <w:rFonts w:ascii="Barclays Sans" w:hAnsi="Barclays Sans"/>
          <w:sz w:val="24"/>
          <w:szCs w:val="24"/>
        </w:rPr>
        <w:t>larify that for leverage exposure definitions, the BCBS methodology will be followed to ensure harmonised standards</w:t>
      </w:r>
      <w:r>
        <w:rPr>
          <w:rFonts w:ascii="Barclays Sans" w:hAnsi="Barclays Sans"/>
          <w:sz w:val="24"/>
          <w:szCs w:val="24"/>
        </w:rPr>
        <w:t>?</w:t>
      </w:r>
    </w:p>
    <w:p w:rsidR="005B4847" w:rsidRPr="00BC18E8" w:rsidRDefault="005B4847" w:rsidP="00BC18E8">
      <w:pPr>
        <w:rPr>
          <w:rFonts w:ascii="Barclays Sans" w:hAnsi="Barclays Sans"/>
        </w:rPr>
      </w:pPr>
    </w:p>
    <w:p w:rsidR="005B4847" w:rsidRDefault="005B4847" w:rsidP="00C963B9">
      <w:pPr>
        <w:pStyle w:val="ListParagraph"/>
        <w:numPr>
          <w:ilvl w:val="0"/>
          <w:numId w:val="3"/>
        </w:numPr>
        <w:rPr>
          <w:rFonts w:ascii="Barclays Sans" w:hAnsi="Barclays Sans"/>
          <w:sz w:val="24"/>
          <w:szCs w:val="24"/>
        </w:rPr>
      </w:pPr>
      <w:r w:rsidRPr="00C963B9">
        <w:rPr>
          <w:rFonts w:ascii="Barclays Sans" w:hAnsi="Barclays Sans"/>
          <w:sz w:val="24"/>
          <w:szCs w:val="24"/>
        </w:rPr>
        <w:t xml:space="preserve">If the </w:t>
      </w:r>
      <w:smartTag w:uri="urn:schemas-microsoft-com:office:smarttags" w:element="City">
        <w:r w:rsidRPr="00C963B9">
          <w:rPr>
            <w:rFonts w:ascii="Barclays Sans" w:hAnsi="Barclays Sans"/>
            <w:sz w:val="24"/>
            <w:szCs w:val="24"/>
          </w:rPr>
          <w:t>Basel</w:t>
        </w:r>
      </w:smartTag>
      <w:r w:rsidRPr="00C963B9">
        <w:rPr>
          <w:rFonts w:ascii="Barclays Sans" w:hAnsi="Barclays Sans"/>
          <w:sz w:val="24"/>
          <w:szCs w:val="24"/>
        </w:rPr>
        <w:t xml:space="preserve"> 1 floor is included in the MREL calibration, will this be the existing </w:t>
      </w:r>
      <w:smartTag w:uri="urn:schemas-microsoft-com:office:smarttags" w:element="City">
        <w:smartTag w:uri="urn:schemas-microsoft-com:office:smarttags" w:element="place">
          <w:r w:rsidRPr="00C963B9">
            <w:rPr>
              <w:rFonts w:ascii="Barclays Sans" w:hAnsi="Barclays Sans"/>
              <w:sz w:val="24"/>
              <w:szCs w:val="24"/>
            </w:rPr>
            <w:t>Basel</w:t>
          </w:r>
        </w:smartTag>
      </w:smartTag>
      <w:r w:rsidRPr="00C963B9">
        <w:rPr>
          <w:rFonts w:ascii="Barclays Sans" w:hAnsi="Barclays Sans"/>
          <w:sz w:val="24"/>
          <w:szCs w:val="24"/>
        </w:rPr>
        <w:t xml:space="preserve"> 1 capital floor or the floor in place following the current BCBS consultation?</w:t>
      </w:r>
    </w:p>
    <w:p w:rsidR="005B4847" w:rsidRPr="00C626DD" w:rsidRDefault="005B4847" w:rsidP="00C626DD">
      <w:pPr>
        <w:pStyle w:val="ListParagraph"/>
        <w:rPr>
          <w:rFonts w:ascii="Barclays Sans" w:hAnsi="Barclays Sans"/>
          <w:sz w:val="24"/>
          <w:szCs w:val="24"/>
        </w:rPr>
      </w:pPr>
    </w:p>
    <w:p w:rsidR="005B4847" w:rsidRDefault="005B4847" w:rsidP="00C626DD">
      <w:pPr>
        <w:pStyle w:val="ListParagraph"/>
        <w:ind w:left="360"/>
        <w:rPr>
          <w:rFonts w:ascii="Barclays Sans" w:hAnsi="Barclays Sans"/>
          <w:sz w:val="24"/>
          <w:szCs w:val="24"/>
        </w:rPr>
      </w:pPr>
    </w:p>
    <w:sectPr w:rsidR="005B4847" w:rsidSect="007C2C78">
      <w:headerReference w:type="even" r:id="rId9"/>
      <w:headerReference w:type="default" r:id="rId10"/>
      <w:footerReference w:type="even" r:id="rId11"/>
      <w:footerReference w:type="default" r:id="rId12"/>
      <w:headerReference w:type="first" r:id="rId13"/>
      <w:footerReference w:type="first" r:id="rId14"/>
      <w:pgSz w:w="11906" w:h="16838" w:code="9"/>
      <w:pgMar w:top="1134" w:right="1797" w:bottom="1560" w:left="1797" w:header="709" w:footer="6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5C" w:rsidRDefault="00EA725C">
      <w:r>
        <w:separator/>
      </w:r>
    </w:p>
  </w:endnote>
  <w:endnote w:type="continuationSeparator" w:id="0">
    <w:p w:rsidR="00EA725C" w:rsidRDefault="00EA72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rclays Sans">
    <w:panose1 w:val="020B05030301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Expert Sans Light">
    <w:panose1 w:val="00000500000000000000"/>
    <w:charset w:val="00"/>
    <w:family w:val="auto"/>
    <w:notTrueType/>
    <w:pitch w:val="variable"/>
    <w:sig w:usb0="00000083" w:usb1="00000000" w:usb2="00000000" w:usb3="00000000" w:csb0="00000009" w:csb1="00000000"/>
  </w:font>
  <w:font w:name="Expert Sans Regular">
    <w:panose1 w:val="000005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Default="00EA72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Pr="00BD0E8F" w:rsidRDefault="00EA725C" w:rsidP="00F04C51">
    <w:pPr>
      <w:pBdr>
        <w:top w:val="single" w:sz="4" w:space="0" w:color="00B0F0"/>
      </w:pBdr>
      <w:tabs>
        <w:tab w:val="left" w:pos="3195"/>
      </w:tabs>
      <w:rPr>
        <w:rFonts w:ascii="Expert Sans Regular" w:hAnsi="Expert Sans Regular" w:cs="Arial"/>
        <w:sz w:val="18"/>
        <w:szCs w:val="18"/>
      </w:rPr>
    </w:pPr>
    <w:r>
      <w:rPr>
        <w:rFonts w:ascii="Expert Sans Regular" w:hAnsi="Expert Sans Regular" w:cs="Arial"/>
        <w:sz w:val="18"/>
        <w:szCs w:val="18"/>
      </w:rPr>
      <w:tab/>
    </w:r>
  </w:p>
  <w:p w:rsidR="00EA725C" w:rsidRPr="00BD0E8F" w:rsidRDefault="00EA725C" w:rsidP="007C2C78">
    <w:pPr>
      <w:tabs>
        <w:tab w:val="right" w:pos="9072"/>
      </w:tabs>
      <w:rPr>
        <w:rFonts w:ascii="Expert Sans Regular" w:hAnsi="Expert Sans Regular" w:cs="Arial"/>
        <w:sz w:val="18"/>
        <w:szCs w:val="18"/>
      </w:rPr>
    </w:pPr>
    <w:r w:rsidRPr="005076B5">
      <w:rPr>
        <w:rFonts w:cs="Arial"/>
      </w:rPr>
      <w:tab/>
    </w:r>
    <w:r w:rsidR="00F57403" w:rsidRPr="00BD0E8F">
      <w:rPr>
        <w:rFonts w:ascii="Expert Sans Regular" w:hAnsi="Expert Sans Regular" w:cs="Arial"/>
        <w:sz w:val="18"/>
        <w:szCs w:val="18"/>
      </w:rPr>
      <w:fldChar w:fldCharType="begin"/>
    </w:r>
    <w:r w:rsidRPr="00BD0E8F">
      <w:rPr>
        <w:rFonts w:ascii="Expert Sans Regular" w:hAnsi="Expert Sans Regular" w:cs="Arial"/>
        <w:sz w:val="18"/>
        <w:szCs w:val="18"/>
      </w:rPr>
      <w:instrText xml:space="preserve"> PAGE  \* Arabic  \* MERGEFORMAT </w:instrText>
    </w:r>
    <w:r w:rsidR="00F57403" w:rsidRPr="00BD0E8F">
      <w:rPr>
        <w:rFonts w:ascii="Expert Sans Regular" w:hAnsi="Expert Sans Regular" w:cs="Arial"/>
        <w:sz w:val="18"/>
        <w:szCs w:val="18"/>
      </w:rPr>
      <w:fldChar w:fldCharType="separate"/>
    </w:r>
    <w:r w:rsidR="00202DA6">
      <w:rPr>
        <w:rFonts w:ascii="Expert Sans Regular" w:hAnsi="Expert Sans Regular" w:cs="Arial"/>
        <w:noProof/>
        <w:sz w:val="18"/>
        <w:szCs w:val="18"/>
      </w:rPr>
      <w:t>11</w:t>
    </w:r>
    <w:r w:rsidR="00F57403" w:rsidRPr="00BD0E8F">
      <w:rPr>
        <w:rFonts w:ascii="Expert Sans Regular" w:hAnsi="Expert Sans Regular" w:cs="Arial"/>
        <w:sz w:val="18"/>
        <w:szCs w:val="18"/>
      </w:rPr>
      <w:fldChar w:fldCharType="end"/>
    </w:r>
  </w:p>
  <w:p w:rsidR="00EA725C" w:rsidRDefault="00EA725C" w:rsidP="007C2C78">
    <w:pPr>
      <w:pStyle w:val="Footer"/>
      <w:jc w:val="center"/>
      <w:rPr>
        <w:rFonts w:ascii="Arial" w:hAnsi="Arial" w:cs="Arial"/>
        <w:sz w:val="16"/>
        <w:szCs w:val="16"/>
      </w:rPr>
    </w:pPr>
  </w:p>
  <w:p w:rsidR="00EA725C" w:rsidRDefault="00EA725C" w:rsidP="007C2C78">
    <w:pPr>
      <w:pStyle w:val="Footer"/>
      <w:jc w:val="center"/>
      <w:rPr>
        <w:rFonts w:ascii="Arial" w:hAnsi="Arial" w:cs="Arial"/>
        <w:sz w:val="16"/>
        <w:szCs w:val="16"/>
      </w:rPr>
    </w:pPr>
    <w:r>
      <w:rPr>
        <w:noProof/>
        <w:lang w:eastAsia="en-GB"/>
      </w:rPr>
      <w:drawing>
        <wp:anchor distT="0" distB="0" distL="114300" distR="114300" simplePos="0" relativeHeight="251657216" behindDoc="0" locked="1" layoutInCell="1" allowOverlap="1">
          <wp:simplePos x="0" y="0"/>
          <wp:positionH relativeFrom="page">
            <wp:posOffset>755650</wp:posOffset>
          </wp:positionH>
          <wp:positionV relativeFrom="page">
            <wp:posOffset>9918065</wp:posOffset>
          </wp:positionV>
          <wp:extent cx="1439545" cy="241300"/>
          <wp:effectExtent l="19050" t="0" r="8255" b="0"/>
          <wp:wrapNone/>
          <wp:docPr id="2" name="Picture 5" descr="Description: Bar_06_COL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ar_06_COL_POS.png"/>
                  <pic:cNvPicPr>
                    <a:picLocks noChangeAspect="1" noChangeArrowheads="1"/>
                  </pic:cNvPicPr>
                </pic:nvPicPr>
                <pic:blipFill>
                  <a:blip r:embed="rId1"/>
                  <a:srcRect/>
                  <a:stretch>
                    <a:fillRect/>
                  </a:stretch>
                </pic:blipFill>
                <pic:spPr bwMode="auto">
                  <a:xfrm>
                    <a:off x="0" y="0"/>
                    <a:ext cx="1439545" cy="2413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Default="00EA7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5C" w:rsidRDefault="00EA725C">
      <w:r>
        <w:separator/>
      </w:r>
    </w:p>
  </w:footnote>
  <w:footnote w:type="continuationSeparator" w:id="0">
    <w:p w:rsidR="00EA725C" w:rsidRDefault="00EA725C">
      <w:r>
        <w:continuationSeparator/>
      </w:r>
    </w:p>
  </w:footnote>
  <w:footnote w:id="1">
    <w:p w:rsidR="00EA725C" w:rsidRDefault="00EA725C" w:rsidP="00F7687F">
      <w:pPr>
        <w:pStyle w:val="FootnoteText"/>
      </w:pPr>
      <w:r>
        <w:rPr>
          <w:rStyle w:val="FootnoteReference"/>
        </w:rPr>
        <w:footnoteRef/>
      </w:r>
      <w:r>
        <w:rPr>
          <w:rFonts w:ascii="Barclays Sans" w:hAnsi="Barclays Sans"/>
        </w:rPr>
        <w:t xml:space="preserve"> </w:t>
      </w:r>
      <w:r w:rsidRPr="00F7687F">
        <w:rPr>
          <w:rFonts w:ascii="Barclays Sans" w:hAnsi="Barclays Sans"/>
        </w:rPr>
        <w:t>BCBS analysis shows that the mean</w:t>
      </w:r>
      <w:r>
        <w:rPr>
          <w:rFonts w:ascii="Barclays Sans" w:hAnsi="Barclays Sans"/>
        </w:rPr>
        <w:t xml:space="preserve"> average</w:t>
      </w:r>
      <w:r w:rsidRPr="00F7687F">
        <w:rPr>
          <w:rFonts w:ascii="Barclays Sans" w:hAnsi="Barclays Sans"/>
        </w:rPr>
        <w:t xml:space="preserve"> of historical losses in a systemic crisis is 7% of RWAs (median 3.7%) with the figures for peak losses during the recent crisis being 5% (mean) and 3% (median) respectively (BCBS: Calibrating regulatory minimum capital requirements and capital buffers: a top down approach, October 2010)</w:t>
      </w:r>
    </w:p>
  </w:footnote>
  <w:footnote w:id="2">
    <w:p w:rsidR="00EA725C" w:rsidRDefault="00EA725C">
      <w:pPr>
        <w:pStyle w:val="FootnoteText"/>
      </w:pPr>
      <w:r w:rsidRPr="00DE06D4">
        <w:rPr>
          <w:rStyle w:val="FootnoteReference"/>
          <w:rFonts w:ascii="Barclays Sans" w:hAnsi="Barclays Sans"/>
        </w:rPr>
        <w:footnoteRef/>
      </w:r>
      <w:r w:rsidRPr="00DE06D4">
        <w:rPr>
          <w:rFonts w:ascii="Barclays Sans" w:hAnsi="Barclays Sans"/>
        </w:rPr>
        <w:t xml:space="preserve"> We understand that in this context O-</w:t>
      </w:r>
      <w:proofErr w:type="spellStart"/>
      <w:r w:rsidRPr="00DE06D4">
        <w:rPr>
          <w:rFonts w:ascii="Barclays Sans" w:hAnsi="Barclays Sans"/>
        </w:rPr>
        <w:t>SIIs</w:t>
      </w:r>
      <w:proofErr w:type="spellEnd"/>
      <w:r w:rsidRPr="00DE06D4">
        <w:rPr>
          <w:rFonts w:ascii="Barclays Sans" w:hAnsi="Barclays Sans"/>
        </w:rPr>
        <w:t xml:space="preserve"> means D-</w:t>
      </w:r>
      <w:proofErr w:type="spellStart"/>
      <w:r w:rsidRPr="00DE06D4">
        <w:rPr>
          <w:rFonts w:ascii="Barclays Sans" w:hAnsi="Barclays Sans"/>
        </w:rPr>
        <w:t>SIBs</w:t>
      </w:r>
      <w:proofErr w:type="spellEnd"/>
      <w:r w:rsidRPr="00DE06D4">
        <w:rPr>
          <w:rFonts w:ascii="Barclays Sans" w:hAnsi="Barclays Sans"/>
        </w:rPr>
        <w:t xml:space="preserve">, rather than eg insurance companies and </w:t>
      </w:r>
      <w:proofErr w:type="spellStart"/>
      <w:r w:rsidRPr="00DE06D4">
        <w:rPr>
          <w:rFonts w:ascii="Barclays Sans" w:hAnsi="Barclays Sans"/>
        </w:rPr>
        <w:t>CCPs</w:t>
      </w:r>
      <w:proofErr w:type="spellEnd"/>
      <w:r w:rsidRPr="00DE06D4">
        <w:rPr>
          <w:rFonts w:ascii="Barclays Sans" w:hAnsi="Barclays Sans"/>
        </w:rPr>
        <w:t xml:space="preserve"> – which would have different risk profiles and capital needs – and would encourage the EBA to clarify that in the final RTS.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Default="00F57403">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Default="00EA72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5C" w:rsidRDefault="00EA7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0E8"/>
    <w:multiLevelType w:val="multilevel"/>
    <w:tmpl w:val="A2286978"/>
    <w:styleLink w:val="StyleBulletedLatinCourierNewComplexExpertSansRegular"/>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Barclays Sans" w:hAnsi="Barclays San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B327A59"/>
    <w:multiLevelType w:val="hybridMultilevel"/>
    <w:tmpl w:val="0944DD2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2AD911D5"/>
    <w:multiLevelType w:val="hybridMultilevel"/>
    <w:tmpl w:val="9D58C14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03905FD"/>
    <w:multiLevelType w:val="hybridMultilevel"/>
    <w:tmpl w:val="0944DD2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659A0076"/>
    <w:multiLevelType w:val="hybridMultilevel"/>
    <w:tmpl w:val="B282ABEE"/>
    <w:lvl w:ilvl="0" w:tplc="75DCD782">
      <w:start w:val="1"/>
      <w:numFmt w:val="bullet"/>
      <w:lvlText w:val=""/>
      <w:lvlJc w:val="left"/>
      <w:pPr>
        <w:tabs>
          <w:tab w:val="num" w:pos="720"/>
        </w:tabs>
        <w:ind w:left="720" w:hanging="360"/>
      </w:pPr>
      <w:rPr>
        <w:rFonts w:ascii="Wingdings" w:hAnsi="Wingdings" w:hint="default"/>
      </w:rPr>
    </w:lvl>
    <w:lvl w:ilvl="1" w:tplc="3084BADE">
      <w:start w:val="1"/>
      <w:numFmt w:val="bullet"/>
      <w:lvlText w:val=""/>
      <w:lvlJc w:val="left"/>
      <w:pPr>
        <w:tabs>
          <w:tab w:val="num" w:pos="1440"/>
        </w:tabs>
        <w:ind w:left="1440" w:hanging="360"/>
      </w:pPr>
      <w:rPr>
        <w:rFonts w:ascii="Wingdings" w:hAnsi="Wingdings" w:hint="default"/>
      </w:rPr>
    </w:lvl>
    <w:lvl w:ilvl="2" w:tplc="60D2ED2E" w:tentative="1">
      <w:start w:val="1"/>
      <w:numFmt w:val="bullet"/>
      <w:lvlText w:val=""/>
      <w:lvlJc w:val="left"/>
      <w:pPr>
        <w:tabs>
          <w:tab w:val="num" w:pos="2160"/>
        </w:tabs>
        <w:ind w:left="2160" w:hanging="360"/>
      </w:pPr>
      <w:rPr>
        <w:rFonts w:ascii="Wingdings" w:hAnsi="Wingdings" w:hint="default"/>
      </w:rPr>
    </w:lvl>
    <w:lvl w:ilvl="3" w:tplc="8D8E1DB4" w:tentative="1">
      <w:start w:val="1"/>
      <w:numFmt w:val="bullet"/>
      <w:lvlText w:val=""/>
      <w:lvlJc w:val="left"/>
      <w:pPr>
        <w:tabs>
          <w:tab w:val="num" w:pos="2880"/>
        </w:tabs>
        <w:ind w:left="2880" w:hanging="360"/>
      </w:pPr>
      <w:rPr>
        <w:rFonts w:ascii="Wingdings" w:hAnsi="Wingdings" w:hint="default"/>
      </w:rPr>
    </w:lvl>
    <w:lvl w:ilvl="4" w:tplc="EB4A1EBE" w:tentative="1">
      <w:start w:val="1"/>
      <w:numFmt w:val="bullet"/>
      <w:lvlText w:val=""/>
      <w:lvlJc w:val="left"/>
      <w:pPr>
        <w:tabs>
          <w:tab w:val="num" w:pos="3600"/>
        </w:tabs>
        <w:ind w:left="3600" w:hanging="360"/>
      </w:pPr>
      <w:rPr>
        <w:rFonts w:ascii="Wingdings" w:hAnsi="Wingdings" w:hint="default"/>
      </w:rPr>
    </w:lvl>
    <w:lvl w:ilvl="5" w:tplc="A72237CE" w:tentative="1">
      <w:start w:val="1"/>
      <w:numFmt w:val="bullet"/>
      <w:lvlText w:val=""/>
      <w:lvlJc w:val="left"/>
      <w:pPr>
        <w:tabs>
          <w:tab w:val="num" w:pos="4320"/>
        </w:tabs>
        <w:ind w:left="4320" w:hanging="360"/>
      </w:pPr>
      <w:rPr>
        <w:rFonts w:ascii="Wingdings" w:hAnsi="Wingdings" w:hint="default"/>
      </w:rPr>
    </w:lvl>
    <w:lvl w:ilvl="6" w:tplc="5FCC7350" w:tentative="1">
      <w:start w:val="1"/>
      <w:numFmt w:val="bullet"/>
      <w:lvlText w:val=""/>
      <w:lvlJc w:val="left"/>
      <w:pPr>
        <w:tabs>
          <w:tab w:val="num" w:pos="5040"/>
        </w:tabs>
        <w:ind w:left="5040" w:hanging="360"/>
      </w:pPr>
      <w:rPr>
        <w:rFonts w:ascii="Wingdings" w:hAnsi="Wingdings" w:hint="default"/>
      </w:rPr>
    </w:lvl>
    <w:lvl w:ilvl="7" w:tplc="272AE168" w:tentative="1">
      <w:start w:val="1"/>
      <w:numFmt w:val="bullet"/>
      <w:lvlText w:val=""/>
      <w:lvlJc w:val="left"/>
      <w:pPr>
        <w:tabs>
          <w:tab w:val="num" w:pos="5760"/>
        </w:tabs>
        <w:ind w:left="5760" w:hanging="360"/>
      </w:pPr>
      <w:rPr>
        <w:rFonts w:ascii="Wingdings" w:hAnsi="Wingdings" w:hint="default"/>
      </w:rPr>
    </w:lvl>
    <w:lvl w:ilvl="8" w:tplc="F7143D22" w:tentative="1">
      <w:start w:val="1"/>
      <w:numFmt w:val="bullet"/>
      <w:lvlText w:val=""/>
      <w:lvlJc w:val="left"/>
      <w:pPr>
        <w:tabs>
          <w:tab w:val="num" w:pos="6480"/>
        </w:tabs>
        <w:ind w:left="6480" w:hanging="360"/>
      </w:pPr>
      <w:rPr>
        <w:rFonts w:ascii="Wingdings" w:hAnsi="Wingdings" w:hint="default"/>
      </w:rPr>
    </w:lvl>
  </w:abstractNum>
  <w:abstractNum w:abstractNumId="5">
    <w:nsid w:val="6CD4484D"/>
    <w:multiLevelType w:val="hybridMultilevel"/>
    <w:tmpl w:val="D4740F8A"/>
    <w:lvl w:ilvl="0" w:tplc="91C4A8B4">
      <w:start w:val="1"/>
      <w:numFmt w:val="decimal"/>
      <w:lvlText w:val="%1 "/>
      <w:lvlJc w:val="center"/>
      <w:pPr>
        <w:ind w:left="2160" w:hanging="360"/>
      </w:pPr>
      <w:rPr>
        <w:rFonts w:cs="Times New Roman" w:hint="default"/>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6">
    <w:nsid w:val="772522FE"/>
    <w:multiLevelType w:val="hybridMultilevel"/>
    <w:tmpl w:val="6382CEA2"/>
    <w:lvl w:ilvl="0" w:tplc="DB887BB0">
      <w:start w:val="1"/>
      <w:numFmt w:val="bullet"/>
      <w:lvlText w:val=""/>
      <w:lvlJc w:val="left"/>
      <w:pPr>
        <w:tabs>
          <w:tab w:val="num" w:pos="720"/>
        </w:tabs>
        <w:ind w:left="720" w:hanging="360"/>
      </w:pPr>
      <w:rPr>
        <w:rFonts w:ascii="Wingdings" w:hAnsi="Wingdings" w:hint="default"/>
      </w:rPr>
    </w:lvl>
    <w:lvl w:ilvl="1" w:tplc="99281B9C">
      <w:start w:val="1"/>
      <w:numFmt w:val="bullet"/>
      <w:lvlText w:val=""/>
      <w:lvlJc w:val="left"/>
      <w:pPr>
        <w:tabs>
          <w:tab w:val="num" w:pos="1440"/>
        </w:tabs>
        <w:ind w:left="1440" w:hanging="360"/>
      </w:pPr>
      <w:rPr>
        <w:rFonts w:ascii="Wingdings" w:hAnsi="Wingdings" w:hint="default"/>
      </w:rPr>
    </w:lvl>
    <w:lvl w:ilvl="2" w:tplc="B0BA86C4">
      <w:start w:val="1623"/>
      <w:numFmt w:val="bullet"/>
      <w:lvlText w:val="-"/>
      <w:lvlJc w:val="left"/>
      <w:pPr>
        <w:tabs>
          <w:tab w:val="num" w:pos="2160"/>
        </w:tabs>
        <w:ind w:left="2160" w:hanging="360"/>
      </w:pPr>
      <w:rPr>
        <w:rFonts w:ascii="Times New Roman" w:hAnsi="Times New Roman" w:hint="default"/>
      </w:rPr>
    </w:lvl>
    <w:lvl w:ilvl="3" w:tplc="A3F0D4DA" w:tentative="1">
      <w:start w:val="1"/>
      <w:numFmt w:val="bullet"/>
      <w:lvlText w:val=""/>
      <w:lvlJc w:val="left"/>
      <w:pPr>
        <w:tabs>
          <w:tab w:val="num" w:pos="2880"/>
        </w:tabs>
        <w:ind w:left="2880" w:hanging="360"/>
      </w:pPr>
      <w:rPr>
        <w:rFonts w:ascii="Wingdings" w:hAnsi="Wingdings" w:hint="default"/>
      </w:rPr>
    </w:lvl>
    <w:lvl w:ilvl="4" w:tplc="6B225A74" w:tentative="1">
      <w:start w:val="1"/>
      <w:numFmt w:val="bullet"/>
      <w:lvlText w:val=""/>
      <w:lvlJc w:val="left"/>
      <w:pPr>
        <w:tabs>
          <w:tab w:val="num" w:pos="3600"/>
        </w:tabs>
        <w:ind w:left="3600" w:hanging="360"/>
      </w:pPr>
      <w:rPr>
        <w:rFonts w:ascii="Wingdings" w:hAnsi="Wingdings" w:hint="default"/>
      </w:rPr>
    </w:lvl>
    <w:lvl w:ilvl="5" w:tplc="8982DC7A" w:tentative="1">
      <w:start w:val="1"/>
      <w:numFmt w:val="bullet"/>
      <w:lvlText w:val=""/>
      <w:lvlJc w:val="left"/>
      <w:pPr>
        <w:tabs>
          <w:tab w:val="num" w:pos="4320"/>
        </w:tabs>
        <w:ind w:left="4320" w:hanging="360"/>
      </w:pPr>
      <w:rPr>
        <w:rFonts w:ascii="Wingdings" w:hAnsi="Wingdings" w:hint="default"/>
      </w:rPr>
    </w:lvl>
    <w:lvl w:ilvl="6" w:tplc="C6D80A5A" w:tentative="1">
      <w:start w:val="1"/>
      <w:numFmt w:val="bullet"/>
      <w:lvlText w:val=""/>
      <w:lvlJc w:val="left"/>
      <w:pPr>
        <w:tabs>
          <w:tab w:val="num" w:pos="5040"/>
        </w:tabs>
        <w:ind w:left="5040" w:hanging="360"/>
      </w:pPr>
      <w:rPr>
        <w:rFonts w:ascii="Wingdings" w:hAnsi="Wingdings" w:hint="default"/>
      </w:rPr>
    </w:lvl>
    <w:lvl w:ilvl="7" w:tplc="90F20092" w:tentative="1">
      <w:start w:val="1"/>
      <w:numFmt w:val="bullet"/>
      <w:lvlText w:val=""/>
      <w:lvlJc w:val="left"/>
      <w:pPr>
        <w:tabs>
          <w:tab w:val="num" w:pos="5760"/>
        </w:tabs>
        <w:ind w:left="5760" w:hanging="360"/>
      </w:pPr>
      <w:rPr>
        <w:rFonts w:ascii="Wingdings" w:hAnsi="Wingdings" w:hint="default"/>
      </w:rPr>
    </w:lvl>
    <w:lvl w:ilvl="8" w:tplc="564036EA" w:tentative="1">
      <w:start w:val="1"/>
      <w:numFmt w:val="bullet"/>
      <w:lvlText w:val=""/>
      <w:lvlJc w:val="left"/>
      <w:pPr>
        <w:tabs>
          <w:tab w:val="num" w:pos="6480"/>
        </w:tabs>
        <w:ind w:left="6480" w:hanging="360"/>
      </w:pPr>
      <w:rPr>
        <w:rFonts w:ascii="Wingdings" w:hAnsi="Wingdings" w:hint="default"/>
      </w:rPr>
    </w:lvl>
  </w:abstractNum>
  <w:abstractNum w:abstractNumId="7">
    <w:nsid w:val="7FEB33C4"/>
    <w:multiLevelType w:val="hybridMultilevel"/>
    <w:tmpl w:val="D4740F8A"/>
    <w:lvl w:ilvl="0" w:tplc="91C4A8B4">
      <w:start w:val="1"/>
      <w:numFmt w:val="decimal"/>
      <w:lvlText w:val="%1 "/>
      <w:lvlJc w:val="center"/>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abstractNumId w:val="0"/>
  </w:num>
  <w:num w:numId="2">
    <w:abstractNumId w:val="1"/>
  </w:num>
  <w:num w:numId="3">
    <w:abstractNumId w:val="3"/>
  </w:num>
  <w:num w:numId="4">
    <w:abstractNumId w:val="5"/>
  </w:num>
  <w:num w:numId="5">
    <w:abstractNumId w:val="2"/>
  </w:num>
  <w:num w:numId="6">
    <w:abstractNumId w:val="7"/>
  </w:num>
  <w:num w:numId="7">
    <w:abstractNumId w:val="4"/>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23886"/>
    <w:rsid w:val="0000493E"/>
    <w:rsid w:val="00015E07"/>
    <w:rsid w:val="00027888"/>
    <w:rsid w:val="0005299C"/>
    <w:rsid w:val="00055356"/>
    <w:rsid w:val="000619D6"/>
    <w:rsid w:val="00070F11"/>
    <w:rsid w:val="00085F35"/>
    <w:rsid w:val="000A7175"/>
    <w:rsid w:val="000E181B"/>
    <w:rsid w:val="000E6A2D"/>
    <w:rsid w:val="000F2A65"/>
    <w:rsid w:val="00100C47"/>
    <w:rsid w:val="001021D6"/>
    <w:rsid w:val="00104FE0"/>
    <w:rsid w:val="001238B6"/>
    <w:rsid w:val="00136A97"/>
    <w:rsid w:val="00144C96"/>
    <w:rsid w:val="00147116"/>
    <w:rsid w:val="001512A4"/>
    <w:rsid w:val="00166C6C"/>
    <w:rsid w:val="001707D3"/>
    <w:rsid w:val="00184C5F"/>
    <w:rsid w:val="001A0D49"/>
    <w:rsid w:val="001A1EAA"/>
    <w:rsid w:val="001A4311"/>
    <w:rsid w:val="001A555B"/>
    <w:rsid w:val="001A5D72"/>
    <w:rsid w:val="001D3FE2"/>
    <w:rsid w:val="001E28B5"/>
    <w:rsid w:val="001E327F"/>
    <w:rsid w:val="001F0CC1"/>
    <w:rsid w:val="001F1034"/>
    <w:rsid w:val="00200A61"/>
    <w:rsid w:val="00202DA6"/>
    <w:rsid w:val="00202EE2"/>
    <w:rsid w:val="0023151A"/>
    <w:rsid w:val="00232AAE"/>
    <w:rsid w:val="00233B1B"/>
    <w:rsid w:val="00267665"/>
    <w:rsid w:val="00287830"/>
    <w:rsid w:val="002B0050"/>
    <w:rsid w:val="002B63EC"/>
    <w:rsid w:val="002B72A9"/>
    <w:rsid w:val="002C1D65"/>
    <w:rsid w:val="002C1FC6"/>
    <w:rsid w:val="002C2CF3"/>
    <w:rsid w:val="002D0B6A"/>
    <w:rsid w:val="002D58DF"/>
    <w:rsid w:val="002D68C5"/>
    <w:rsid w:val="002F12FE"/>
    <w:rsid w:val="00300380"/>
    <w:rsid w:val="00310153"/>
    <w:rsid w:val="00313D0D"/>
    <w:rsid w:val="00314897"/>
    <w:rsid w:val="003174E5"/>
    <w:rsid w:val="00335777"/>
    <w:rsid w:val="003547DB"/>
    <w:rsid w:val="00363341"/>
    <w:rsid w:val="00364772"/>
    <w:rsid w:val="003755FF"/>
    <w:rsid w:val="0037739C"/>
    <w:rsid w:val="003A0865"/>
    <w:rsid w:val="003B030C"/>
    <w:rsid w:val="003B5F6B"/>
    <w:rsid w:val="003B6EF1"/>
    <w:rsid w:val="003C3883"/>
    <w:rsid w:val="003C7FDD"/>
    <w:rsid w:val="003D3D61"/>
    <w:rsid w:val="003E6687"/>
    <w:rsid w:val="003E7381"/>
    <w:rsid w:val="003E776D"/>
    <w:rsid w:val="003F0304"/>
    <w:rsid w:val="003F4806"/>
    <w:rsid w:val="003F4D13"/>
    <w:rsid w:val="00402C30"/>
    <w:rsid w:val="0040615A"/>
    <w:rsid w:val="00407889"/>
    <w:rsid w:val="00410077"/>
    <w:rsid w:val="00413642"/>
    <w:rsid w:val="00430800"/>
    <w:rsid w:val="0043192A"/>
    <w:rsid w:val="00431950"/>
    <w:rsid w:val="004404FA"/>
    <w:rsid w:val="0044711F"/>
    <w:rsid w:val="004510AB"/>
    <w:rsid w:val="004618C9"/>
    <w:rsid w:val="00463CDC"/>
    <w:rsid w:val="004658A1"/>
    <w:rsid w:val="00475007"/>
    <w:rsid w:val="00475D2F"/>
    <w:rsid w:val="00494209"/>
    <w:rsid w:val="00497396"/>
    <w:rsid w:val="004D0D71"/>
    <w:rsid w:val="004D4C2A"/>
    <w:rsid w:val="004D4ED2"/>
    <w:rsid w:val="004E62F7"/>
    <w:rsid w:val="004E6FF0"/>
    <w:rsid w:val="004F685D"/>
    <w:rsid w:val="00504A69"/>
    <w:rsid w:val="005076B5"/>
    <w:rsid w:val="00516A91"/>
    <w:rsid w:val="00531DA7"/>
    <w:rsid w:val="00537686"/>
    <w:rsid w:val="0054604D"/>
    <w:rsid w:val="005620EF"/>
    <w:rsid w:val="005803C0"/>
    <w:rsid w:val="005A062C"/>
    <w:rsid w:val="005A65E5"/>
    <w:rsid w:val="005B4847"/>
    <w:rsid w:val="005C2310"/>
    <w:rsid w:val="005C64FE"/>
    <w:rsid w:val="005C6E0F"/>
    <w:rsid w:val="005C7A9B"/>
    <w:rsid w:val="005D641A"/>
    <w:rsid w:val="005F374D"/>
    <w:rsid w:val="005F4C4A"/>
    <w:rsid w:val="005F78F3"/>
    <w:rsid w:val="00601A13"/>
    <w:rsid w:val="00606692"/>
    <w:rsid w:val="00611124"/>
    <w:rsid w:val="0061747F"/>
    <w:rsid w:val="0064063A"/>
    <w:rsid w:val="00652859"/>
    <w:rsid w:val="00653114"/>
    <w:rsid w:val="00657209"/>
    <w:rsid w:val="0066670C"/>
    <w:rsid w:val="00673CFE"/>
    <w:rsid w:val="00692E0E"/>
    <w:rsid w:val="006D321A"/>
    <w:rsid w:val="006D65E4"/>
    <w:rsid w:val="006E4CF1"/>
    <w:rsid w:val="006F2CEB"/>
    <w:rsid w:val="006F3712"/>
    <w:rsid w:val="0070011E"/>
    <w:rsid w:val="00702562"/>
    <w:rsid w:val="007077E1"/>
    <w:rsid w:val="00710313"/>
    <w:rsid w:val="00710739"/>
    <w:rsid w:val="007171CC"/>
    <w:rsid w:val="007226D5"/>
    <w:rsid w:val="00725B60"/>
    <w:rsid w:val="007514C1"/>
    <w:rsid w:val="007561F7"/>
    <w:rsid w:val="00764857"/>
    <w:rsid w:val="00765C41"/>
    <w:rsid w:val="00766943"/>
    <w:rsid w:val="00780CB5"/>
    <w:rsid w:val="007830EB"/>
    <w:rsid w:val="007A48FB"/>
    <w:rsid w:val="007C2C78"/>
    <w:rsid w:val="007D0709"/>
    <w:rsid w:val="007F7D13"/>
    <w:rsid w:val="00800821"/>
    <w:rsid w:val="008014DB"/>
    <w:rsid w:val="00804C0E"/>
    <w:rsid w:val="0083416B"/>
    <w:rsid w:val="00835F47"/>
    <w:rsid w:val="008538C3"/>
    <w:rsid w:val="00855783"/>
    <w:rsid w:val="00863C95"/>
    <w:rsid w:val="00886EA0"/>
    <w:rsid w:val="008C23F1"/>
    <w:rsid w:val="008D5C59"/>
    <w:rsid w:val="008F2C11"/>
    <w:rsid w:val="008F493B"/>
    <w:rsid w:val="008F4DB9"/>
    <w:rsid w:val="008F5A54"/>
    <w:rsid w:val="008F678D"/>
    <w:rsid w:val="008F7CC6"/>
    <w:rsid w:val="00901AF3"/>
    <w:rsid w:val="00906CF6"/>
    <w:rsid w:val="00923886"/>
    <w:rsid w:val="0093355C"/>
    <w:rsid w:val="00937E2D"/>
    <w:rsid w:val="0094166C"/>
    <w:rsid w:val="009565EB"/>
    <w:rsid w:val="00963F03"/>
    <w:rsid w:val="0097695A"/>
    <w:rsid w:val="00976B58"/>
    <w:rsid w:val="00980231"/>
    <w:rsid w:val="00997BEF"/>
    <w:rsid w:val="009A2CBD"/>
    <w:rsid w:val="009A491C"/>
    <w:rsid w:val="009B64F5"/>
    <w:rsid w:val="009C679A"/>
    <w:rsid w:val="009D17A3"/>
    <w:rsid w:val="00A038BB"/>
    <w:rsid w:val="00A050CC"/>
    <w:rsid w:val="00A1062B"/>
    <w:rsid w:val="00A21198"/>
    <w:rsid w:val="00A303AF"/>
    <w:rsid w:val="00A373C8"/>
    <w:rsid w:val="00A44F14"/>
    <w:rsid w:val="00A50CD3"/>
    <w:rsid w:val="00A6119F"/>
    <w:rsid w:val="00A63B84"/>
    <w:rsid w:val="00A760F5"/>
    <w:rsid w:val="00A85D65"/>
    <w:rsid w:val="00AA0A8E"/>
    <w:rsid w:val="00AA513A"/>
    <w:rsid w:val="00AA5E19"/>
    <w:rsid w:val="00AB13C0"/>
    <w:rsid w:val="00AD58AB"/>
    <w:rsid w:val="00B00C46"/>
    <w:rsid w:val="00B0656A"/>
    <w:rsid w:val="00B34500"/>
    <w:rsid w:val="00B36E17"/>
    <w:rsid w:val="00B37DE6"/>
    <w:rsid w:val="00B53132"/>
    <w:rsid w:val="00B61BF5"/>
    <w:rsid w:val="00B62DBD"/>
    <w:rsid w:val="00B64B10"/>
    <w:rsid w:val="00B74EC2"/>
    <w:rsid w:val="00BA5620"/>
    <w:rsid w:val="00BC18E8"/>
    <w:rsid w:val="00BC560F"/>
    <w:rsid w:val="00BD0E8F"/>
    <w:rsid w:val="00BD4F47"/>
    <w:rsid w:val="00BF1563"/>
    <w:rsid w:val="00C02C4D"/>
    <w:rsid w:val="00C10935"/>
    <w:rsid w:val="00C2251D"/>
    <w:rsid w:val="00C228E2"/>
    <w:rsid w:val="00C32039"/>
    <w:rsid w:val="00C342B1"/>
    <w:rsid w:val="00C3607C"/>
    <w:rsid w:val="00C41C35"/>
    <w:rsid w:val="00C468A7"/>
    <w:rsid w:val="00C55F7D"/>
    <w:rsid w:val="00C55FEA"/>
    <w:rsid w:val="00C56129"/>
    <w:rsid w:val="00C604C5"/>
    <w:rsid w:val="00C62156"/>
    <w:rsid w:val="00C626DD"/>
    <w:rsid w:val="00C639D9"/>
    <w:rsid w:val="00C73847"/>
    <w:rsid w:val="00C84484"/>
    <w:rsid w:val="00C848B0"/>
    <w:rsid w:val="00C90B4D"/>
    <w:rsid w:val="00C9457D"/>
    <w:rsid w:val="00C963B9"/>
    <w:rsid w:val="00CA0F30"/>
    <w:rsid w:val="00CA288B"/>
    <w:rsid w:val="00CB7ADA"/>
    <w:rsid w:val="00CD0230"/>
    <w:rsid w:val="00CD634C"/>
    <w:rsid w:val="00CD7709"/>
    <w:rsid w:val="00CE4D9F"/>
    <w:rsid w:val="00CE4F3D"/>
    <w:rsid w:val="00CF5CF1"/>
    <w:rsid w:val="00D004DD"/>
    <w:rsid w:val="00D058D0"/>
    <w:rsid w:val="00D1204C"/>
    <w:rsid w:val="00D3492E"/>
    <w:rsid w:val="00D41CAB"/>
    <w:rsid w:val="00D429E4"/>
    <w:rsid w:val="00D45D11"/>
    <w:rsid w:val="00D467AC"/>
    <w:rsid w:val="00D52638"/>
    <w:rsid w:val="00D77E31"/>
    <w:rsid w:val="00D821DE"/>
    <w:rsid w:val="00D91AA4"/>
    <w:rsid w:val="00DA4569"/>
    <w:rsid w:val="00DA5345"/>
    <w:rsid w:val="00DB4975"/>
    <w:rsid w:val="00DC3BF4"/>
    <w:rsid w:val="00DD3613"/>
    <w:rsid w:val="00DE06D4"/>
    <w:rsid w:val="00E00E9F"/>
    <w:rsid w:val="00E14B27"/>
    <w:rsid w:val="00E36E9D"/>
    <w:rsid w:val="00E63E68"/>
    <w:rsid w:val="00E72070"/>
    <w:rsid w:val="00E72C14"/>
    <w:rsid w:val="00E81CFF"/>
    <w:rsid w:val="00E864CA"/>
    <w:rsid w:val="00E87866"/>
    <w:rsid w:val="00E91C52"/>
    <w:rsid w:val="00E93B38"/>
    <w:rsid w:val="00E95B59"/>
    <w:rsid w:val="00EA0421"/>
    <w:rsid w:val="00EA3F68"/>
    <w:rsid w:val="00EA725C"/>
    <w:rsid w:val="00EF3DFE"/>
    <w:rsid w:val="00F04C51"/>
    <w:rsid w:val="00F075EB"/>
    <w:rsid w:val="00F12823"/>
    <w:rsid w:val="00F155AE"/>
    <w:rsid w:val="00F179AF"/>
    <w:rsid w:val="00F2108A"/>
    <w:rsid w:val="00F34870"/>
    <w:rsid w:val="00F440BA"/>
    <w:rsid w:val="00F57403"/>
    <w:rsid w:val="00F70DF5"/>
    <w:rsid w:val="00F756F7"/>
    <w:rsid w:val="00F7687F"/>
    <w:rsid w:val="00F9110B"/>
    <w:rsid w:val="00F91CDE"/>
    <w:rsid w:val="00F9404C"/>
    <w:rsid w:val="00FA4EFB"/>
    <w:rsid w:val="00FB6C0E"/>
    <w:rsid w:val="00FC11FB"/>
    <w:rsid w:val="00FC1413"/>
    <w:rsid w:val="00FC2AE1"/>
    <w:rsid w:val="00FD1B10"/>
    <w:rsid w:val="00FD6AE6"/>
    <w:rsid w:val="00FD79AB"/>
    <w:rsid w:val="00FE16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886"/>
    <w:rPr>
      <w:rFonts w:ascii="Times New Roman" w:eastAsia="MS Mincho" w:hAnsi="Times New Roman"/>
      <w:sz w:val="24"/>
      <w:szCs w:val="24"/>
      <w:lang w:eastAsia="ja-JP"/>
    </w:rPr>
  </w:style>
  <w:style w:type="paragraph" w:styleId="Heading1">
    <w:name w:val="heading 1"/>
    <w:basedOn w:val="Normal"/>
    <w:next w:val="Normal"/>
    <w:link w:val="Heading1Char"/>
    <w:qFormat/>
    <w:rsid w:val="00923886"/>
    <w:pPr>
      <w:keepNext/>
      <w:keepLines/>
      <w:spacing w:before="200" w:after="60"/>
      <w:outlineLvl w:val="0"/>
    </w:pPr>
    <w:rPr>
      <w:rFonts w:ascii="Expert Sans Light" w:eastAsia="Times New Roman" w:hAnsi="Expert Sans Light"/>
      <w:bCs/>
      <w:color w:val="00B3EF"/>
      <w:sz w:val="36"/>
      <w:szCs w:val="36"/>
      <w:lang w:eastAsia="en-US"/>
    </w:rPr>
  </w:style>
  <w:style w:type="paragraph" w:styleId="Heading2">
    <w:name w:val="heading 2"/>
    <w:basedOn w:val="Normal"/>
    <w:next w:val="Normal"/>
    <w:link w:val="Heading2Char"/>
    <w:qFormat/>
    <w:rsid w:val="00923886"/>
    <w:pPr>
      <w:spacing w:before="720" w:after="240" w:line="240" w:lineRule="atLeast"/>
      <w:outlineLvl w:val="1"/>
    </w:pPr>
    <w:rPr>
      <w:rFonts w:ascii="Expert Sans Regular" w:hAnsi="Expert Sans Regular"/>
      <w:b/>
      <w:bCs/>
      <w:sz w:val="22"/>
      <w:szCs w:val="22"/>
      <w:lang w:eastAsia="en-US"/>
    </w:rPr>
  </w:style>
  <w:style w:type="paragraph" w:styleId="Heading3">
    <w:name w:val="heading 3"/>
    <w:basedOn w:val="Normal"/>
    <w:next w:val="Normal"/>
    <w:link w:val="Heading3Char"/>
    <w:qFormat/>
    <w:rsid w:val="009A2CB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B64B1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23886"/>
    <w:rPr>
      <w:rFonts w:ascii="Expert Sans Light" w:hAnsi="Expert Sans Light" w:cs="Times New Roman"/>
      <w:bCs/>
      <w:color w:val="00B3EF"/>
      <w:sz w:val="36"/>
      <w:szCs w:val="36"/>
    </w:rPr>
  </w:style>
  <w:style w:type="character" w:customStyle="1" w:styleId="Heading2Char">
    <w:name w:val="Heading 2 Char"/>
    <w:basedOn w:val="DefaultParagraphFont"/>
    <w:link w:val="Heading2"/>
    <w:locked/>
    <w:rsid w:val="00923886"/>
    <w:rPr>
      <w:rFonts w:ascii="Expert Sans Regular" w:eastAsia="MS Mincho" w:hAnsi="Expert Sans Regular" w:cs="Times New Roman"/>
      <w:b/>
      <w:bCs/>
    </w:rPr>
  </w:style>
  <w:style w:type="paragraph" w:styleId="BodyText">
    <w:name w:val="Body Text"/>
    <w:basedOn w:val="Normal"/>
    <w:link w:val="BodyTextChar"/>
    <w:rsid w:val="00923886"/>
    <w:pPr>
      <w:spacing w:after="240" w:line="240" w:lineRule="atLeast"/>
      <w:jc w:val="both"/>
    </w:pPr>
    <w:rPr>
      <w:rFonts w:ascii="Expert Sans Regular" w:hAnsi="Expert Sans Regular"/>
      <w:sz w:val="22"/>
      <w:szCs w:val="20"/>
      <w:lang w:eastAsia="en-US"/>
    </w:rPr>
  </w:style>
  <w:style w:type="character" w:customStyle="1" w:styleId="BodyTextChar">
    <w:name w:val="Body Text Char"/>
    <w:basedOn w:val="DefaultParagraphFont"/>
    <w:link w:val="BodyText"/>
    <w:locked/>
    <w:rsid w:val="00923886"/>
    <w:rPr>
      <w:rFonts w:ascii="Expert Sans Regular" w:eastAsia="MS Mincho" w:hAnsi="Expert Sans Regular" w:cs="Times New Roman"/>
      <w:sz w:val="20"/>
      <w:szCs w:val="20"/>
    </w:rPr>
  </w:style>
  <w:style w:type="paragraph" w:styleId="Header">
    <w:name w:val="header"/>
    <w:basedOn w:val="Normal"/>
    <w:link w:val="HeaderChar"/>
    <w:rsid w:val="00923886"/>
    <w:pPr>
      <w:tabs>
        <w:tab w:val="center" w:pos="4153"/>
        <w:tab w:val="right" w:pos="8306"/>
      </w:tabs>
    </w:pPr>
  </w:style>
  <w:style w:type="character" w:customStyle="1" w:styleId="HeaderChar">
    <w:name w:val="Header Char"/>
    <w:basedOn w:val="DefaultParagraphFont"/>
    <w:link w:val="Header"/>
    <w:locked/>
    <w:rsid w:val="00923886"/>
    <w:rPr>
      <w:rFonts w:ascii="Times New Roman" w:eastAsia="MS Mincho" w:hAnsi="Times New Roman" w:cs="Times New Roman"/>
      <w:sz w:val="24"/>
      <w:szCs w:val="24"/>
      <w:lang w:eastAsia="ja-JP"/>
    </w:rPr>
  </w:style>
  <w:style w:type="paragraph" w:styleId="Footer">
    <w:name w:val="footer"/>
    <w:basedOn w:val="Normal"/>
    <w:link w:val="FooterChar"/>
    <w:rsid w:val="00923886"/>
    <w:pPr>
      <w:tabs>
        <w:tab w:val="center" w:pos="4153"/>
        <w:tab w:val="right" w:pos="8306"/>
      </w:tabs>
    </w:pPr>
  </w:style>
  <w:style w:type="character" w:customStyle="1" w:styleId="FooterChar">
    <w:name w:val="Footer Char"/>
    <w:basedOn w:val="DefaultParagraphFont"/>
    <w:link w:val="Footer"/>
    <w:locked/>
    <w:rsid w:val="00923886"/>
    <w:rPr>
      <w:rFonts w:ascii="Times New Roman" w:eastAsia="MS Mincho" w:hAnsi="Times New Roman" w:cs="Times New Roman"/>
      <w:sz w:val="24"/>
      <w:szCs w:val="24"/>
      <w:lang w:eastAsia="ja-JP"/>
    </w:rPr>
  </w:style>
  <w:style w:type="table" w:styleId="TableGrid">
    <w:name w:val="Table Grid"/>
    <w:basedOn w:val="TableNormal"/>
    <w:rsid w:val="0092388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23886"/>
    <w:rPr>
      <w:rFonts w:ascii="Tahoma" w:hAnsi="Tahoma" w:cs="Tahoma"/>
      <w:sz w:val="16"/>
      <w:szCs w:val="16"/>
    </w:rPr>
  </w:style>
  <w:style w:type="character" w:customStyle="1" w:styleId="BalloonTextChar">
    <w:name w:val="Balloon Text Char"/>
    <w:basedOn w:val="DefaultParagraphFont"/>
    <w:link w:val="BalloonText"/>
    <w:semiHidden/>
    <w:locked/>
    <w:rsid w:val="00923886"/>
    <w:rPr>
      <w:rFonts w:ascii="Tahoma" w:eastAsia="MS Mincho" w:hAnsi="Tahoma" w:cs="Tahoma"/>
      <w:sz w:val="16"/>
      <w:szCs w:val="16"/>
      <w:lang w:eastAsia="ja-JP"/>
    </w:rPr>
  </w:style>
  <w:style w:type="paragraph" w:customStyle="1" w:styleId="para">
    <w:name w:val="para"/>
    <w:basedOn w:val="Normal"/>
    <w:rsid w:val="00923886"/>
    <w:pPr>
      <w:spacing w:before="100" w:beforeAutospacing="1" w:after="100" w:afterAutospacing="1"/>
    </w:pPr>
    <w:rPr>
      <w:rFonts w:eastAsia="Times New Roman"/>
      <w:lang w:eastAsia="en-GB"/>
    </w:rPr>
  </w:style>
  <w:style w:type="paragraph" w:customStyle="1" w:styleId="Default">
    <w:name w:val="Default"/>
    <w:rsid w:val="00923886"/>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qFormat/>
    <w:rsid w:val="00923886"/>
    <w:pPr>
      <w:ind w:left="720"/>
    </w:pPr>
    <w:rPr>
      <w:rFonts w:ascii="Calibri" w:eastAsia="Calibri" w:hAnsi="Calibri" w:cs="Calibri"/>
      <w:sz w:val="22"/>
      <w:szCs w:val="22"/>
      <w:lang w:eastAsia="en-US"/>
    </w:rPr>
  </w:style>
  <w:style w:type="character" w:styleId="CommentReference">
    <w:name w:val="annotation reference"/>
    <w:basedOn w:val="DefaultParagraphFont"/>
    <w:rsid w:val="00923886"/>
    <w:rPr>
      <w:rFonts w:cs="Times New Roman"/>
      <w:sz w:val="16"/>
    </w:rPr>
  </w:style>
  <w:style w:type="paragraph" w:styleId="CommentText">
    <w:name w:val="annotation text"/>
    <w:basedOn w:val="Normal"/>
    <w:link w:val="CommentTextChar"/>
    <w:rsid w:val="00923886"/>
    <w:rPr>
      <w:sz w:val="20"/>
      <w:szCs w:val="20"/>
    </w:rPr>
  </w:style>
  <w:style w:type="character" w:customStyle="1" w:styleId="CommentTextChar">
    <w:name w:val="Comment Text Char"/>
    <w:basedOn w:val="DefaultParagraphFont"/>
    <w:link w:val="CommentText"/>
    <w:locked/>
    <w:rsid w:val="0092388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rsid w:val="00923886"/>
    <w:rPr>
      <w:b/>
      <w:bCs/>
    </w:rPr>
  </w:style>
  <w:style w:type="character" w:customStyle="1" w:styleId="CommentSubjectChar">
    <w:name w:val="Comment Subject Char"/>
    <w:basedOn w:val="CommentTextChar"/>
    <w:link w:val="CommentSubject"/>
    <w:locked/>
    <w:rsid w:val="00923886"/>
    <w:rPr>
      <w:b/>
      <w:bCs/>
    </w:rPr>
  </w:style>
  <w:style w:type="paragraph" w:styleId="Revision">
    <w:name w:val="Revision"/>
    <w:hidden/>
    <w:semiHidden/>
    <w:rsid w:val="00923886"/>
    <w:rPr>
      <w:rFonts w:ascii="Times New Roman" w:eastAsia="MS Mincho" w:hAnsi="Times New Roman"/>
      <w:sz w:val="24"/>
      <w:szCs w:val="24"/>
      <w:lang w:eastAsia="ja-JP"/>
    </w:rPr>
  </w:style>
  <w:style w:type="character" w:styleId="Emphasis">
    <w:name w:val="Emphasis"/>
    <w:basedOn w:val="DefaultParagraphFont"/>
    <w:qFormat/>
    <w:rsid w:val="00923886"/>
    <w:rPr>
      <w:rFonts w:cs="Times New Roman"/>
      <w:i/>
    </w:rPr>
  </w:style>
  <w:style w:type="character" w:customStyle="1" w:styleId="Heading4Char">
    <w:name w:val="Heading 4 Char"/>
    <w:basedOn w:val="DefaultParagraphFont"/>
    <w:link w:val="Heading4"/>
    <w:semiHidden/>
    <w:locked/>
    <w:rsid w:val="00B64B10"/>
    <w:rPr>
      <w:rFonts w:ascii="Cambria" w:hAnsi="Cambria" w:cs="Times New Roman"/>
      <w:b/>
      <w:bCs/>
      <w:i/>
      <w:iCs/>
      <w:color w:val="4F81BD"/>
      <w:sz w:val="24"/>
      <w:szCs w:val="24"/>
      <w:lang w:eastAsia="ja-JP"/>
    </w:rPr>
  </w:style>
  <w:style w:type="character" w:customStyle="1" w:styleId="Heading3Char">
    <w:name w:val="Heading 3 Char"/>
    <w:basedOn w:val="DefaultParagraphFont"/>
    <w:link w:val="Heading3"/>
    <w:semiHidden/>
    <w:locked/>
    <w:rsid w:val="009A2CBD"/>
    <w:rPr>
      <w:rFonts w:ascii="Cambria" w:hAnsi="Cambria" w:cs="Times New Roman"/>
      <w:b/>
      <w:bCs/>
      <w:color w:val="4F81BD"/>
      <w:sz w:val="24"/>
      <w:szCs w:val="24"/>
      <w:lang w:eastAsia="ja-JP"/>
    </w:rPr>
  </w:style>
  <w:style w:type="character" w:styleId="Hyperlink">
    <w:name w:val="Hyperlink"/>
    <w:basedOn w:val="DefaultParagraphFont"/>
    <w:rsid w:val="00C228E2"/>
    <w:rPr>
      <w:rFonts w:cs="Times New Roman"/>
      <w:color w:val="0000FF"/>
      <w:u w:val="single"/>
    </w:rPr>
  </w:style>
  <w:style w:type="paragraph" w:styleId="FootnoteText">
    <w:name w:val="footnote text"/>
    <w:basedOn w:val="Normal"/>
    <w:link w:val="FootnoteTextChar"/>
    <w:rsid w:val="00C228E2"/>
    <w:rPr>
      <w:rFonts w:eastAsia="Calibri"/>
      <w:sz w:val="20"/>
      <w:szCs w:val="20"/>
      <w:lang w:eastAsia="en-US"/>
    </w:rPr>
  </w:style>
  <w:style w:type="character" w:customStyle="1" w:styleId="FootnoteTextChar">
    <w:name w:val="Footnote Text Char"/>
    <w:basedOn w:val="DefaultParagraphFont"/>
    <w:link w:val="FootnoteText"/>
    <w:locked/>
    <w:rsid w:val="00C228E2"/>
    <w:rPr>
      <w:rFonts w:ascii="Times New Roman" w:hAnsi="Times New Roman" w:cs="Times New Roman"/>
      <w:lang w:eastAsia="en-US"/>
    </w:rPr>
  </w:style>
  <w:style w:type="character" w:styleId="FootnoteReference">
    <w:name w:val="footnote reference"/>
    <w:basedOn w:val="DefaultParagraphFont"/>
    <w:rsid w:val="00C228E2"/>
    <w:rPr>
      <w:rFonts w:cs="Times New Roman"/>
      <w:vertAlign w:val="superscript"/>
    </w:rPr>
  </w:style>
  <w:style w:type="numbering" w:customStyle="1" w:styleId="StyleBulletedLatinCourierNewComplexExpertSansRegular">
    <w:name w:val="Style Bulleted (Latin) Courier New (Complex) Expert Sans Regular..."/>
    <w:rsid w:val="00310107"/>
    <w:pPr>
      <w:numPr>
        <w:numId w:val="1"/>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83">
          <w:marLeft w:val="360"/>
          <w:marRight w:val="0"/>
          <w:marTop w:val="120"/>
          <w:marBottom w:val="120"/>
          <w:divBdr>
            <w:top w:val="none" w:sz="0" w:space="0" w:color="auto"/>
            <w:left w:val="none" w:sz="0" w:space="0" w:color="auto"/>
            <w:bottom w:val="none" w:sz="0" w:space="0" w:color="auto"/>
            <w:right w:val="none" w:sz="0" w:space="0" w:color="auto"/>
          </w:divBdr>
        </w:div>
        <w:div w:id="120">
          <w:marLeft w:val="360"/>
          <w:marRight w:val="0"/>
          <w:marTop w:val="120"/>
          <w:marBottom w:val="120"/>
          <w:divBdr>
            <w:top w:val="none" w:sz="0" w:space="0" w:color="auto"/>
            <w:left w:val="none" w:sz="0" w:space="0" w:color="auto"/>
            <w:bottom w:val="none" w:sz="0" w:space="0" w:color="auto"/>
            <w:right w:val="none" w:sz="0" w:space="0" w:color="auto"/>
          </w:divBdr>
        </w:div>
        <w:div w:id="124">
          <w:marLeft w:val="360"/>
          <w:marRight w:val="0"/>
          <w:marTop w:val="120"/>
          <w:marBottom w:val="12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6">
          <w:marLeft w:val="648"/>
          <w:marRight w:val="0"/>
          <w:marTop w:val="120"/>
          <w:marBottom w:val="12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648"/>
          <w:marRight w:val="0"/>
          <w:marTop w:val="60"/>
          <w:marBottom w:val="12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78">
          <w:marLeft w:val="648"/>
          <w:marRight w:val="0"/>
          <w:marTop w:val="120"/>
          <w:marBottom w:val="12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08">
          <w:marLeft w:val="648"/>
          <w:marRight w:val="0"/>
          <w:marTop w:val="120"/>
          <w:marBottom w:val="12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21">
          <w:marLeft w:val="1843"/>
          <w:marRight w:val="0"/>
          <w:marTop w:val="0"/>
          <w:marBottom w:val="115"/>
          <w:divBdr>
            <w:top w:val="none" w:sz="0" w:space="0" w:color="auto"/>
            <w:left w:val="none" w:sz="0" w:space="0" w:color="auto"/>
            <w:bottom w:val="none" w:sz="0" w:space="0" w:color="auto"/>
            <w:right w:val="none" w:sz="0" w:space="0" w:color="auto"/>
          </w:divBdr>
        </w:div>
        <w:div w:id="23">
          <w:marLeft w:val="1138"/>
          <w:marRight w:val="0"/>
          <w:marTop w:val="0"/>
          <w:marBottom w:val="115"/>
          <w:divBdr>
            <w:top w:val="none" w:sz="0" w:space="0" w:color="auto"/>
            <w:left w:val="none" w:sz="0" w:space="0" w:color="auto"/>
            <w:bottom w:val="none" w:sz="0" w:space="0" w:color="auto"/>
            <w:right w:val="none" w:sz="0" w:space="0" w:color="auto"/>
          </w:divBdr>
        </w:div>
        <w:div w:id="51">
          <w:marLeft w:val="1138"/>
          <w:marRight w:val="0"/>
          <w:marTop w:val="0"/>
          <w:marBottom w:val="115"/>
          <w:divBdr>
            <w:top w:val="none" w:sz="0" w:space="0" w:color="auto"/>
            <w:left w:val="none" w:sz="0" w:space="0" w:color="auto"/>
            <w:bottom w:val="none" w:sz="0" w:space="0" w:color="auto"/>
            <w:right w:val="none" w:sz="0" w:space="0" w:color="auto"/>
          </w:divBdr>
        </w:div>
        <w:div w:id="73">
          <w:marLeft w:val="1123"/>
          <w:marRight w:val="0"/>
          <w:marTop w:val="0"/>
          <w:marBottom w:val="115"/>
          <w:divBdr>
            <w:top w:val="none" w:sz="0" w:space="0" w:color="auto"/>
            <w:left w:val="none" w:sz="0" w:space="0" w:color="auto"/>
            <w:bottom w:val="none" w:sz="0" w:space="0" w:color="auto"/>
            <w:right w:val="none" w:sz="0" w:space="0" w:color="auto"/>
          </w:divBdr>
        </w:div>
        <w:div w:id="74">
          <w:marLeft w:val="1138"/>
          <w:marRight w:val="0"/>
          <w:marTop w:val="0"/>
          <w:marBottom w:val="115"/>
          <w:divBdr>
            <w:top w:val="none" w:sz="0" w:space="0" w:color="auto"/>
            <w:left w:val="none" w:sz="0" w:space="0" w:color="auto"/>
            <w:bottom w:val="none" w:sz="0" w:space="0" w:color="auto"/>
            <w:right w:val="none" w:sz="0" w:space="0" w:color="auto"/>
          </w:divBdr>
        </w:div>
        <w:div w:id="85">
          <w:marLeft w:val="418"/>
          <w:marRight w:val="0"/>
          <w:marTop w:val="0"/>
          <w:marBottom w:val="115"/>
          <w:divBdr>
            <w:top w:val="none" w:sz="0" w:space="0" w:color="auto"/>
            <w:left w:val="none" w:sz="0" w:space="0" w:color="auto"/>
            <w:bottom w:val="none" w:sz="0" w:space="0" w:color="auto"/>
            <w:right w:val="none" w:sz="0" w:space="0" w:color="auto"/>
          </w:divBdr>
        </w:div>
        <w:div w:id="89">
          <w:marLeft w:val="2563"/>
          <w:marRight w:val="0"/>
          <w:marTop w:val="0"/>
          <w:marBottom w:val="115"/>
          <w:divBdr>
            <w:top w:val="none" w:sz="0" w:space="0" w:color="auto"/>
            <w:left w:val="none" w:sz="0" w:space="0" w:color="auto"/>
            <w:bottom w:val="none" w:sz="0" w:space="0" w:color="auto"/>
            <w:right w:val="none" w:sz="0" w:space="0" w:color="auto"/>
          </w:divBdr>
        </w:div>
        <w:div w:id="92">
          <w:marLeft w:val="418"/>
          <w:marRight w:val="0"/>
          <w:marTop w:val="0"/>
          <w:marBottom w:val="115"/>
          <w:divBdr>
            <w:top w:val="none" w:sz="0" w:space="0" w:color="auto"/>
            <w:left w:val="none" w:sz="0" w:space="0" w:color="auto"/>
            <w:bottom w:val="none" w:sz="0" w:space="0" w:color="auto"/>
            <w:right w:val="none" w:sz="0" w:space="0" w:color="auto"/>
          </w:divBdr>
        </w:div>
        <w:div w:id="110">
          <w:marLeft w:val="1123"/>
          <w:marRight w:val="0"/>
          <w:marTop w:val="0"/>
          <w:marBottom w:val="115"/>
          <w:divBdr>
            <w:top w:val="none" w:sz="0" w:space="0" w:color="auto"/>
            <w:left w:val="none" w:sz="0" w:space="0" w:color="auto"/>
            <w:bottom w:val="none" w:sz="0" w:space="0" w:color="auto"/>
            <w:right w:val="none" w:sz="0" w:space="0" w:color="auto"/>
          </w:divBdr>
        </w:div>
        <w:div w:id="117">
          <w:marLeft w:val="1123"/>
          <w:marRight w:val="0"/>
          <w:marTop w:val="0"/>
          <w:marBottom w:val="115"/>
          <w:divBdr>
            <w:top w:val="none" w:sz="0" w:space="0" w:color="auto"/>
            <w:left w:val="none" w:sz="0" w:space="0" w:color="auto"/>
            <w:bottom w:val="none" w:sz="0" w:space="0" w:color="auto"/>
            <w:right w:val="none" w:sz="0" w:space="0" w:color="auto"/>
          </w:divBdr>
        </w:div>
        <w:div w:id="122">
          <w:marLeft w:val="1123"/>
          <w:marRight w:val="0"/>
          <w:marTop w:val="0"/>
          <w:marBottom w:val="115"/>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00">
          <w:marLeft w:val="648"/>
          <w:marRight w:val="0"/>
          <w:marTop w:val="120"/>
          <w:marBottom w:val="12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32">
          <w:marLeft w:val="576"/>
          <w:marRight w:val="0"/>
          <w:marTop w:val="60"/>
          <w:marBottom w:val="60"/>
          <w:divBdr>
            <w:top w:val="none" w:sz="0" w:space="0" w:color="auto"/>
            <w:left w:val="none" w:sz="0" w:space="0" w:color="auto"/>
            <w:bottom w:val="none" w:sz="0" w:space="0" w:color="auto"/>
            <w:right w:val="none" w:sz="0" w:space="0" w:color="auto"/>
          </w:divBdr>
        </w:div>
        <w:div w:id="79">
          <w:marLeft w:val="576"/>
          <w:marRight w:val="0"/>
          <w:marTop w:val="60"/>
          <w:marBottom w:val="60"/>
          <w:divBdr>
            <w:top w:val="none" w:sz="0" w:space="0" w:color="auto"/>
            <w:left w:val="none" w:sz="0" w:space="0" w:color="auto"/>
            <w:bottom w:val="none" w:sz="0" w:space="0" w:color="auto"/>
            <w:right w:val="none" w:sz="0" w:space="0" w:color="auto"/>
          </w:divBdr>
        </w:div>
        <w:div w:id="116">
          <w:marLeft w:val="576"/>
          <w:marRight w:val="0"/>
          <w:marTop w:val="60"/>
          <w:marBottom w:val="60"/>
          <w:divBdr>
            <w:top w:val="none" w:sz="0" w:space="0" w:color="auto"/>
            <w:left w:val="none" w:sz="0" w:space="0" w:color="auto"/>
            <w:bottom w:val="none" w:sz="0" w:space="0" w:color="auto"/>
            <w:right w:val="none" w:sz="0" w:space="0" w:color="auto"/>
          </w:divBdr>
        </w:div>
        <w:div w:id="118">
          <w:marLeft w:val="576"/>
          <w:marRight w:val="0"/>
          <w:marTop w:val="60"/>
          <w:marBottom w:val="6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04">
          <w:marLeft w:val="648"/>
          <w:marRight w:val="0"/>
          <w:marTop w:val="120"/>
          <w:marBottom w:val="12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95">
          <w:marLeft w:val="648"/>
          <w:marRight w:val="0"/>
          <w:marTop w:val="120"/>
          <w:marBottom w:val="12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67">
          <w:marLeft w:val="648"/>
          <w:marRight w:val="0"/>
          <w:marTop w:val="120"/>
          <w:marBottom w:val="12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63">
          <w:marLeft w:val="648"/>
          <w:marRight w:val="0"/>
          <w:marTop w:val="120"/>
          <w:marBottom w:val="12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05">
          <w:marLeft w:val="648"/>
          <w:marRight w:val="0"/>
          <w:marTop w:val="60"/>
          <w:marBottom w:val="12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88">
          <w:marLeft w:val="648"/>
          <w:marRight w:val="0"/>
          <w:marTop w:val="120"/>
          <w:marBottom w:val="12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40">
          <w:marLeft w:val="648"/>
          <w:marRight w:val="0"/>
          <w:marTop w:val="120"/>
          <w:marBottom w:val="12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101">
          <w:marLeft w:val="648"/>
          <w:marRight w:val="0"/>
          <w:marTop w:val="120"/>
          <w:marBottom w:val="12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45">
          <w:marLeft w:val="648"/>
          <w:marRight w:val="0"/>
          <w:marTop w:val="120"/>
          <w:marBottom w:val="12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61">
          <w:marLeft w:val="648"/>
          <w:marRight w:val="0"/>
          <w:marTop w:val="120"/>
          <w:marBottom w:val="12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3">
          <w:marLeft w:val="648"/>
          <w:marRight w:val="0"/>
          <w:marTop w:val="120"/>
          <w:marBottom w:val="12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59">
          <w:marLeft w:val="648"/>
          <w:marRight w:val="0"/>
          <w:marTop w:val="120"/>
          <w:marBottom w:val="12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38">
          <w:marLeft w:val="576"/>
          <w:marRight w:val="0"/>
          <w:marTop w:val="60"/>
          <w:marBottom w:val="60"/>
          <w:divBdr>
            <w:top w:val="none" w:sz="0" w:space="0" w:color="auto"/>
            <w:left w:val="none" w:sz="0" w:space="0" w:color="auto"/>
            <w:bottom w:val="none" w:sz="0" w:space="0" w:color="auto"/>
            <w:right w:val="none" w:sz="0" w:space="0" w:color="auto"/>
          </w:divBdr>
        </w:div>
        <w:div w:id="47">
          <w:marLeft w:val="576"/>
          <w:marRight w:val="0"/>
          <w:marTop w:val="60"/>
          <w:marBottom w:val="60"/>
          <w:divBdr>
            <w:top w:val="none" w:sz="0" w:space="0" w:color="auto"/>
            <w:left w:val="none" w:sz="0" w:space="0" w:color="auto"/>
            <w:bottom w:val="none" w:sz="0" w:space="0" w:color="auto"/>
            <w:right w:val="none" w:sz="0" w:space="0" w:color="auto"/>
          </w:divBdr>
        </w:div>
        <w:div w:id="54">
          <w:marLeft w:val="576"/>
          <w:marRight w:val="0"/>
          <w:marTop w:val="60"/>
          <w:marBottom w:val="60"/>
          <w:divBdr>
            <w:top w:val="none" w:sz="0" w:space="0" w:color="auto"/>
            <w:left w:val="none" w:sz="0" w:space="0" w:color="auto"/>
            <w:bottom w:val="none" w:sz="0" w:space="0" w:color="auto"/>
            <w:right w:val="none" w:sz="0" w:space="0" w:color="auto"/>
          </w:divBdr>
        </w:div>
        <w:div w:id="57">
          <w:marLeft w:val="1210"/>
          <w:marRight w:val="0"/>
          <w:marTop w:val="60"/>
          <w:marBottom w:val="60"/>
          <w:divBdr>
            <w:top w:val="none" w:sz="0" w:space="0" w:color="auto"/>
            <w:left w:val="none" w:sz="0" w:space="0" w:color="auto"/>
            <w:bottom w:val="none" w:sz="0" w:space="0" w:color="auto"/>
            <w:right w:val="none" w:sz="0" w:space="0" w:color="auto"/>
          </w:divBdr>
        </w:div>
        <w:div w:id="82">
          <w:marLeft w:val="1210"/>
          <w:marRight w:val="0"/>
          <w:marTop w:val="60"/>
          <w:marBottom w:val="60"/>
          <w:divBdr>
            <w:top w:val="none" w:sz="0" w:space="0" w:color="auto"/>
            <w:left w:val="none" w:sz="0" w:space="0" w:color="auto"/>
            <w:bottom w:val="none" w:sz="0" w:space="0" w:color="auto"/>
            <w:right w:val="none" w:sz="0" w:space="0" w:color="auto"/>
          </w:divBdr>
        </w:div>
        <w:div w:id="93">
          <w:marLeft w:val="576"/>
          <w:marRight w:val="0"/>
          <w:marTop w:val="60"/>
          <w:marBottom w:val="6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20">
          <w:marLeft w:val="360"/>
          <w:marRight w:val="0"/>
          <w:marTop w:val="120"/>
          <w:marBottom w:val="120"/>
          <w:divBdr>
            <w:top w:val="none" w:sz="0" w:space="0" w:color="auto"/>
            <w:left w:val="none" w:sz="0" w:space="0" w:color="auto"/>
            <w:bottom w:val="none" w:sz="0" w:space="0" w:color="auto"/>
            <w:right w:val="none" w:sz="0" w:space="0" w:color="auto"/>
          </w:divBdr>
        </w:div>
        <w:div w:id="22">
          <w:marLeft w:val="360"/>
          <w:marRight w:val="0"/>
          <w:marTop w:val="120"/>
          <w:marBottom w:val="120"/>
          <w:divBdr>
            <w:top w:val="none" w:sz="0" w:space="0" w:color="auto"/>
            <w:left w:val="none" w:sz="0" w:space="0" w:color="auto"/>
            <w:bottom w:val="none" w:sz="0" w:space="0" w:color="auto"/>
            <w:right w:val="none" w:sz="0" w:space="0" w:color="auto"/>
          </w:divBdr>
        </w:div>
        <w:div w:id="27">
          <w:marLeft w:val="360"/>
          <w:marRight w:val="0"/>
          <w:marTop w:val="120"/>
          <w:marBottom w:val="120"/>
          <w:divBdr>
            <w:top w:val="none" w:sz="0" w:space="0" w:color="auto"/>
            <w:left w:val="none" w:sz="0" w:space="0" w:color="auto"/>
            <w:bottom w:val="none" w:sz="0" w:space="0" w:color="auto"/>
            <w:right w:val="none" w:sz="0" w:space="0" w:color="auto"/>
          </w:divBdr>
        </w:div>
        <w:div w:id="46">
          <w:marLeft w:val="360"/>
          <w:marRight w:val="0"/>
          <w:marTop w:val="120"/>
          <w:marBottom w:val="120"/>
          <w:divBdr>
            <w:top w:val="none" w:sz="0" w:space="0" w:color="auto"/>
            <w:left w:val="none" w:sz="0" w:space="0" w:color="auto"/>
            <w:bottom w:val="none" w:sz="0" w:space="0" w:color="auto"/>
            <w:right w:val="none" w:sz="0" w:space="0" w:color="auto"/>
          </w:divBdr>
        </w:div>
        <w:div w:id="55">
          <w:marLeft w:val="360"/>
          <w:marRight w:val="0"/>
          <w:marTop w:val="120"/>
          <w:marBottom w:val="120"/>
          <w:divBdr>
            <w:top w:val="none" w:sz="0" w:space="0" w:color="auto"/>
            <w:left w:val="none" w:sz="0" w:space="0" w:color="auto"/>
            <w:bottom w:val="none" w:sz="0" w:space="0" w:color="auto"/>
            <w:right w:val="none" w:sz="0" w:space="0" w:color="auto"/>
          </w:divBdr>
        </w:div>
        <w:div w:id="70">
          <w:marLeft w:val="360"/>
          <w:marRight w:val="0"/>
          <w:marTop w:val="120"/>
          <w:marBottom w:val="120"/>
          <w:divBdr>
            <w:top w:val="none" w:sz="0" w:space="0" w:color="auto"/>
            <w:left w:val="none" w:sz="0" w:space="0" w:color="auto"/>
            <w:bottom w:val="none" w:sz="0" w:space="0" w:color="auto"/>
            <w:right w:val="none" w:sz="0" w:space="0" w:color="auto"/>
          </w:divBdr>
        </w:div>
        <w:div w:id="75">
          <w:marLeft w:val="360"/>
          <w:marRight w:val="0"/>
          <w:marTop w:val="120"/>
          <w:marBottom w:val="120"/>
          <w:divBdr>
            <w:top w:val="none" w:sz="0" w:space="0" w:color="auto"/>
            <w:left w:val="none" w:sz="0" w:space="0" w:color="auto"/>
            <w:bottom w:val="none" w:sz="0" w:space="0" w:color="auto"/>
            <w:right w:val="none" w:sz="0" w:space="0" w:color="auto"/>
          </w:divBdr>
        </w:div>
        <w:div w:id="84">
          <w:marLeft w:val="360"/>
          <w:marRight w:val="0"/>
          <w:marTop w:val="120"/>
          <w:marBottom w:val="120"/>
          <w:divBdr>
            <w:top w:val="none" w:sz="0" w:space="0" w:color="auto"/>
            <w:left w:val="none" w:sz="0" w:space="0" w:color="auto"/>
            <w:bottom w:val="none" w:sz="0" w:space="0" w:color="auto"/>
            <w:right w:val="none" w:sz="0" w:space="0" w:color="auto"/>
          </w:divBdr>
        </w:div>
        <w:div w:id="86">
          <w:marLeft w:val="360"/>
          <w:marRight w:val="0"/>
          <w:marTop w:val="120"/>
          <w:marBottom w:val="120"/>
          <w:divBdr>
            <w:top w:val="none" w:sz="0" w:space="0" w:color="auto"/>
            <w:left w:val="none" w:sz="0" w:space="0" w:color="auto"/>
            <w:bottom w:val="none" w:sz="0" w:space="0" w:color="auto"/>
            <w:right w:val="none" w:sz="0" w:space="0" w:color="auto"/>
          </w:divBdr>
        </w:div>
        <w:div w:id="90">
          <w:marLeft w:val="360"/>
          <w:marRight w:val="0"/>
          <w:marTop w:val="120"/>
          <w:marBottom w:val="120"/>
          <w:divBdr>
            <w:top w:val="none" w:sz="0" w:space="0" w:color="auto"/>
            <w:left w:val="none" w:sz="0" w:space="0" w:color="auto"/>
            <w:bottom w:val="none" w:sz="0" w:space="0" w:color="auto"/>
            <w:right w:val="none" w:sz="0" w:space="0" w:color="auto"/>
          </w:divBdr>
        </w:div>
        <w:div w:id="121">
          <w:marLeft w:val="360"/>
          <w:marRight w:val="0"/>
          <w:marTop w:val="120"/>
          <w:marBottom w:val="12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30">
          <w:marLeft w:val="576"/>
          <w:marRight w:val="0"/>
          <w:marTop w:val="60"/>
          <w:marBottom w:val="60"/>
          <w:divBdr>
            <w:top w:val="none" w:sz="0" w:space="0" w:color="auto"/>
            <w:left w:val="none" w:sz="0" w:space="0" w:color="auto"/>
            <w:bottom w:val="none" w:sz="0" w:space="0" w:color="auto"/>
            <w:right w:val="none" w:sz="0" w:space="0" w:color="auto"/>
          </w:divBdr>
        </w:div>
        <w:div w:id="35">
          <w:marLeft w:val="576"/>
          <w:marRight w:val="0"/>
          <w:marTop w:val="60"/>
          <w:marBottom w:val="60"/>
          <w:divBdr>
            <w:top w:val="none" w:sz="0" w:space="0" w:color="auto"/>
            <w:left w:val="none" w:sz="0" w:space="0" w:color="auto"/>
            <w:bottom w:val="none" w:sz="0" w:space="0" w:color="auto"/>
            <w:right w:val="none" w:sz="0" w:space="0" w:color="auto"/>
          </w:divBdr>
        </w:div>
        <w:div w:id="36">
          <w:marLeft w:val="576"/>
          <w:marRight w:val="0"/>
          <w:marTop w:val="60"/>
          <w:marBottom w:val="60"/>
          <w:divBdr>
            <w:top w:val="none" w:sz="0" w:space="0" w:color="auto"/>
            <w:left w:val="none" w:sz="0" w:space="0" w:color="auto"/>
            <w:bottom w:val="none" w:sz="0" w:space="0" w:color="auto"/>
            <w:right w:val="none" w:sz="0" w:space="0" w:color="auto"/>
          </w:divBdr>
        </w:div>
        <w:div w:id="39">
          <w:marLeft w:val="576"/>
          <w:marRight w:val="0"/>
          <w:marTop w:val="60"/>
          <w:marBottom w:val="60"/>
          <w:divBdr>
            <w:top w:val="none" w:sz="0" w:space="0" w:color="auto"/>
            <w:left w:val="none" w:sz="0" w:space="0" w:color="auto"/>
            <w:bottom w:val="none" w:sz="0" w:space="0" w:color="auto"/>
            <w:right w:val="none" w:sz="0" w:space="0" w:color="auto"/>
          </w:divBdr>
        </w:div>
        <w:div w:id="44">
          <w:marLeft w:val="576"/>
          <w:marRight w:val="0"/>
          <w:marTop w:val="60"/>
          <w:marBottom w:val="60"/>
          <w:divBdr>
            <w:top w:val="none" w:sz="0" w:space="0" w:color="auto"/>
            <w:left w:val="none" w:sz="0" w:space="0" w:color="auto"/>
            <w:bottom w:val="none" w:sz="0" w:space="0" w:color="auto"/>
            <w:right w:val="none" w:sz="0" w:space="0" w:color="auto"/>
          </w:divBdr>
        </w:div>
        <w:div w:id="65">
          <w:marLeft w:val="576"/>
          <w:marRight w:val="0"/>
          <w:marTop w:val="60"/>
          <w:marBottom w:val="60"/>
          <w:divBdr>
            <w:top w:val="none" w:sz="0" w:space="0" w:color="auto"/>
            <w:left w:val="none" w:sz="0" w:space="0" w:color="auto"/>
            <w:bottom w:val="none" w:sz="0" w:space="0" w:color="auto"/>
            <w:right w:val="none" w:sz="0" w:space="0" w:color="auto"/>
          </w:divBdr>
        </w:div>
        <w:div w:id="66">
          <w:marLeft w:val="576"/>
          <w:marRight w:val="0"/>
          <w:marTop w:val="0"/>
          <w:marBottom w:val="0"/>
          <w:divBdr>
            <w:top w:val="none" w:sz="0" w:space="0" w:color="auto"/>
            <w:left w:val="none" w:sz="0" w:space="0" w:color="auto"/>
            <w:bottom w:val="none" w:sz="0" w:space="0" w:color="auto"/>
            <w:right w:val="none" w:sz="0" w:space="0" w:color="auto"/>
          </w:divBdr>
        </w:div>
        <w:div w:id="68">
          <w:marLeft w:val="576"/>
          <w:marRight w:val="0"/>
          <w:marTop w:val="60"/>
          <w:marBottom w:val="60"/>
          <w:divBdr>
            <w:top w:val="none" w:sz="0" w:space="0" w:color="auto"/>
            <w:left w:val="none" w:sz="0" w:space="0" w:color="auto"/>
            <w:bottom w:val="none" w:sz="0" w:space="0" w:color="auto"/>
            <w:right w:val="none" w:sz="0" w:space="0" w:color="auto"/>
          </w:divBdr>
        </w:div>
        <w:div w:id="91">
          <w:marLeft w:val="576"/>
          <w:marRight w:val="0"/>
          <w:marTop w:val="60"/>
          <w:marBottom w:val="60"/>
          <w:divBdr>
            <w:top w:val="none" w:sz="0" w:space="0" w:color="auto"/>
            <w:left w:val="none" w:sz="0" w:space="0" w:color="auto"/>
            <w:bottom w:val="none" w:sz="0" w:space="0" w:color="auto"/>
            <w:right w:val="none" w:sz="0" w:space="0" w:color="auto"/>
          </w:divBdr>
        </w:div>
        <w:div w:id="107">
          <w:marLeft w:val="576"/>
          <w:marRight w:val="0"/>
          <w:marTop w:val="60"/>
          <w:marBottom w:val="60"/>
          <w:divBdr>
            <w:top w:val="none" w:sz="0" w:space="0" w:color="auto"/>
            <w:left w:val="none" w:sz="0" w:space="0" w:color="auto"/>
            <w:bottom w:val="none" w:sz="0" w:space="0" w:color="auto"/>
            <w:right w:val="none" w:sz="0" w:space="0" w:color="auto"/>
          </w:divBdr>
        </w:div>
        <w:div w:id="115">
          <w:marLeft w:val="576"/>
          <w:marRight w:val="0"/>
          <w:marTop w:val="60"/>
          <w:marBottom w:val="60"/>
          <w:divBdr>
            <w:top w:val="none" w:sz="0" w:space="0" w:color="auto"/>
            <w:left w:val="none" w:sz="0" w:space="0" w:color="auto"/>
            <w:bottom w:val="none" w:sz="0" w:space="0" w:color="auto"/>
            <w:right w:val="none" w:sz="0" w:space="0" w:color="auto"/>
          </w:divBdr>
        </w:div>
        <w:div w:id="119">
          <w:marLeft w:val="576"/>
          <w:marRight w:val="0"/>
          <w:marTop w:val="60"/>
          <w:marBottom w:val="6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52">
          <w:marLeft w:val="648"/>
          <w:marRight w:val="0"/>
          <w:marTop w:val="120"/>
          <w:marBottom w:val="12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28">
          <w:marLeft w:val="648"/>
          <w:marRight w:val="0"/>
          <w:marTop w:val="120"/>
          <w:marBottom w:val="12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62">
          <w:marLeft w:val="576"/>
          <w:marRight w:val="0"/>
          <w:marTop w:val="60"/>
          <w:marBottom w:val="60"/>
          <w:divBdr>
            <w:top w:val="none" w:sz="0" w:space="0" w:color="auto"/>
            <w:left w:val="none" w:sz="0" w:space="0" w:color="auto"/>
            <w:bottom w:val="none" w:sz="0" w:space="0" w:color="auto"/>
            <w:right w:val="none" w:sz="0" w:space="0" w:color="auto"/>
          </w:divBdr>
        </w:div>
        <w:div w:id="69">
          <w:marLeft w:val="576"/>
          <w:marRight w:val="0"/>
          <w:marTop w:val="60"/>
          <w:marBottom w:val="60"/>
          <w:divBdr>
            <w:top w:val="none" w:sz="0" w:space="0" w:color="auto"/>
            <w:left w:val="none" w:sz="0" w:space="0" w:color="auto"/>
            <w:bottom w:val="none" w:sz="0" w:space="0" w:color="auto"/>
            <w:right w:val="none" w:sz="0" w:space="0" w:color="auto"/>
          </w:divBdr>
        </w:div>
        <w:div w:id="111">
          <w:marLeft w:val="576"/>
          <w:marRight w:val="0"/>
          <w:marTop w:val="60"/>
          <w:marBottom w:val="6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14">
          <w:marLeft w:val="648"/>
          <w:marRight w:val="0"/>
          <w:marTop w:val="120"/>
          <w:marBottom w:val="12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77">
          <w:marLeft w:val="648"/>
          <w:marRight w:val="0"/>
          <w:marTop w:val="120"/>
          <w:marBottom w:val="120"/>
          <w:divBdr>
            <w:top w:val="none" w:sz="0" w:space="0" w:color="auto"/>
            <w:left w:val="none" w:sz="0" w:space="0" w:color="auto"/>
            <w:bottom w:val="none" w:sz="0" w:space="0" w:color="auto"/>
            <w:right w:val="none" w:sz="0" w:space="0" w:color="auto"/>
          </w:divBdr>
        </w:div>
      </w:divsChild>
    </w:div>
    <w:div w:id="113">
      <w:marLeft w:val="0"/>
      <w:marRight w:val="0"/>
      <w:marTop w:val="0"/>
      <w:marBottom w:val="0"/>
      <w:divBdr>
        <w:top w:val="none" w:sz="0" w:space="0" w:color="auto"/>
        <w:left w:val="none" w:sz="0" w:space="0" w:color="auto"/>
        <w:bottom w:val="none" w:sz="0" w:space="0" w:color="auto"/>
        <w:right w:val="none" w:sz="0" w:space="0" w:color="auto"/>
      </w:divBdr>
      <w:divsChild>
        <w:div w:id="56">
          <w:marLeft w:val="648"/>
          <w:marRight w:val="0"/>
          <w:marTop w:val="120"/>
          <w:marBottom w:val="12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58">
          <w:marLeft w:val="648"/>
          <w:marRight w:val="0"/>
          <w:marTop w:val="120"/>
          <w:marBottom w:val="120"/>
          <w:divBdr>
            <w:top w:val="none" w:sz="0" w:space="0" w:color="auto"/>
            <w:left w:val="none" w:sz="0" w:space="0" w:color="auto"/>
            <w:bottom w:val="none" w:sz="0" w:space="0" w:color="auto"/>
            <w:right w:val="none" w:sz="0" w:space="0" w:color="auto"/>
          </w:divBdr>
        </w:div>
      </w:divsChild>
    </w:div>
  </w:divs>
  <w:optimizeForBrowser/>
  <w:doNotRelyOnCSS/>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D6A31-66D1-4BCA-BF73-8C65B1E9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3383</Words>
  <Characters>18851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22190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Lakin, Edmund : Public Policy &amp; Government Relations</dc:creator>
  <cp:keywords/>
  <dc:description/>
  <cp:lastModifiedBy>David Wall</cp:lastModifiedBy>
  <cp:revision>2</cp:revision>
  <cp:lastPrinted>2015-02-23T13:42:00Z</cp:lastPrinted>
  <dcterms:created xsi:type="dcterms:W3CDTF">2015-02-27T15:31:00Z</dcterms:created>
  <dcterms:modified xsi:type="dcterms:W3CDTF">2015-02-27T15:31:00Z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udp_DeptCode">
    <vt:lpwstr>CF</vt:lpwstr>
  </property>
  <property fmtid="{D5CDD505-2E9C-101B-9397-08002B2CF9AE}" pid="4" name="udp_CMNumber">
    <vt:lpwstr>214757/12750</vt:lpwstr>
  </property>
  <property fmtid="{D5CDD505-2E9C-101B-9397-08002B2CF9AE}" pid="5" name="udp_Client">
    <vt:lpwstr>Barclays</vt:lpwstr>
  </property>
  <property fmtid="{D5CDD505-2E9C-101B-9397-08002B2CF9AE}" pid="6" name="udp_Matter">
    <vt:lpwstr>Structural Reform - Design Phase</vt:lpwstr>
  </property>
  <property fmtid="{D5CDD505-2E9C-101B-9397-08002B2CF9AE}" pid="7" name="udp_DocID">
    <vt:i4>526915066</vt:i4>
  </property>
  <property fmtid="{D5CDD505-2E9C-101B-9397-08002B2CF9AE}" pid="8" name="udp_DocVersion">
    <vt:i4>2</vt:i4>
  </property>
  <property fmtid="{D5CDD505-2E9C-101B-9397-08002B2CF9AE}" pid="9" name="udp_Author">
    <vt:lpwstr>APXC</vt:lpwstr>
  </property>
  <property fmtid="{D5CDD505-2E9C-101B-9397-08002B2CF9AE}" pid="10" name="udp_Date">
    <vt:lpwstr>11 February 2015</vt:lpwstr>
  </property>
</Properties>
</file>