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A9D" w:rsidRDefault="00112A9D" w:rsidP="00112A9D"/>
    <w:p w:rsidR="00112A9D" w:rsidRDefault="00112A9D" w:rsidP="00112A9D">
      <w:r w:rsidRPr="007178B0">
        <w:rPr>
          <w:noProof/>
          <w:lang w:eastAsia="fr-FR"/>
        </w:rPr>
        <w:drawing>
          <wp:inline distT="0" distB="0" distL="0" distR="0" wp14:anchorId="260FE98A" wp14:editId="4B7F0F4D">
            <wp:extent cx="2311200" cy="1252800"/>
            <wp:effectExtent l="0" t="0" r="0" b="5080"/>
            <wp:docPr id="9" name="Picture 8" descr="http://www.ey.com/ecimages/EY.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http://www.ey.com/ecimages/EY.gif">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1200" cy="1252800"/>
                    </a:xfrm>
                    <a:prstGeom prst="rect">
                      <a:avLst/>
                    </a:prstGeom>
                    <a:noFill/>
                    <a:ln>
                      <a:noFill/>
                    </a:ln>
                  </pic:spPr>
                </pic:pic>
              </a:graphicData>
            </a:graphic>
          </wp:inline>
        </w:drawing>
      </w:r>
    </w:p>
    <w:p w:rsidR="00112A9D" w:rsidRDefault="00112A9D" w:rsidP="00112A9D">
      <w:r>
        <w:t>MHF</w:t>
      </w:r>
    </w:p>
    <w:p w:rsidR="00112A9D" w:rsidRPr="004D6134" w:rsidRDefault="00112A9D" w:rsidP="00112A9D">
      <w:pPr>
        <w:jc w:val="right"/>
        <w:rPr>
          <w:lang w:val="en-US"/>
        </w:rPr>
      </w:pPr>
      <w:r>
        <w:t xml:space="preserve">4 </w:t>
      </w:r>
      <w:r w:rsidRPr="00A356FB">
        <w:rPr>
          <w:lang w:val="en-US"/>
        </w:rPr>
        <w:t>February</w:t>
      </w:r>
      <w:r w:rsidRPr="004D6134">
        <w:rPr>
          <w:lang w:val="en-US"/>
        </w:rPr>
        <w:t xml:space="preserve"> 2015 </w:t>
      </w:r>
    </w:p>
    <w:p w:rsidR="00112A9D" w:rsidRPr="004D6134" w:rsidRDefault="00112A9D" w:rsidP="00112A9D">
      <w:pPr>
        <w:rPr>
          <w:lang w:val="en-US"/>
        </w:rPr>
      </w:pPr>
    </w:p>
    <w:p w:rsidR="00112A9D" w:rsidRPr="004D6134" w:rsidRDefault="00112A9D" w:rsidP="00112A9D">
      <w:pPr>
        <w:rPr>
          <w:lang w:val="en-US"/>
        </w:rPr>
      </w:pPr>
    </w:p>
    <w:p w:rsidR="00112A9D" w:rsidRPr="00112A9D" w:rsidRDefault="00112A9D" w:rsidP="00112A9D">
      <w:pPr>
        <w:rPr>
          <w:lang w:val="en-GB"/>
        </w:rPr>
      </w:pPr>
      <w:r>
        <w:rPr>
          <w:lang w:val="en-GB"/>
        </w:rPr>
        <w:t xml:space="preserve">EY France </w:t>
      </w:r>
      <w:r>
        <w:rPr>
          <w:lang w:val="en-GB"/>
        </w:rPr>
        <w:t xml:space="preserve"> welcomes the opportunity to </w:t>
      </w:r>
      <w:r w:rsidR="004D6134">
        <w:rPr>
          <w:lang w:val="en-GB"/>
        </w:rPr>
        <w:t xml:space="preserve">ask a question regarding </w:t>
      </w:r>
      <w:r>
        <w:rPr>
          <w:lang w:val="en-GB"/>
        </w:rPr>
        <w:t>the EBA’s Consultation Paper</w:t>
      </w:r>
      <w:r>
        <w:rPr>
          <w:lang w:val="en-GB"/>
        </w:rPr>
        <w:t xml:space="preserve"> o</w:t>
      </w:r>
      <w:r w:rsidRPr="00112A9D">
        <w:rPr>
          <w:lang w:val="en-GB"/>
        </w:rPr>
        <w:t>n the specification of the assessment methodology for competent</w:t>
      </w:r>
      <w:r>
        <w:rPr>
          <w:lang w:val="en-GB"/>
        </w:rPr>
        <w:t xml:space="preserve"> </w:t>
      </w:r>
      <w:r w:rsidRPr="00112A9D">
        <w:rPr>
          <w:lang w:val="en-GB"/>
        </w:rPr>
        <w:t>authorities regarding compliance of an institution with the</w:t>
      </w:r>
      <w:r>
        <w:rPr>
          <w:lang w:val="en-GB"/>
        </w:rPr>
        <w:t xml:space="preserve"> </w:t>
      </w:r>
      <w:r w:rsidRPr="00112A9D">
        <w:rPr>
          <w:lang w:val="en-GB"/>
        </w:rPr>
        <w:t>requirements to use the IRB Approach in accordance with Articles</w:t>
      </w:r>
      <w:r>
        <w:rPr>
          <w:lang w:val="en-GB"/>
        </w:rPr>
        <w:t xml:space="preserve"> </w:t>
      </w:r>
      <w:r w:rsidRPr="00112A9D">
        <w:rPr>
          <w:lang w:val="en-GB"/>
        </w:rPr>
        <w:t>144(2), 173(3) and 180(3)(b) of Regulation (EU) No 575/2013</w:t>
      </w:r>
      <w:r>
        <w:rPr>
          <w:lang w:val="en-GB"/>
        </w:rPr>
        <w:t>.</w:t>
      </w:r>
    </w:p>
    <w:p w:rsidR="00112A9D" w:rsidRPr="00112A9D" w:rsidRDefault="00112A9D" w:rsidP="00112A9D">
      <w:pPr>
        <w:rPr>
          <w:lang w:val="en-US"/>
        </w:rPr>
      </w:pPr>
    </w:p>
    <w:p w:rsidR="00112A9D" w:rsidRDefault="00112A9D" w:rsidP="00112A9D">
      <w:pPr>
        <w:rPr>
          <w:lang w:val="en-US"/>
        </w:rPr>
      </w:pPr>
      <w:r>
        <w:rPr>
          <w:lang w:val="en-US"/>
        </w:rPr>
        <w:t xml:space="preserve">From article </w:t>
      </w:r>
      <w:r>
        <w:rPr>
          <w:b/>
          <w:bCs/>
          <w:lang w:val="en-US"/>
        </w:rPr>
        <w:t xml:space="preserve">60 of EBA/CP/14/36 </w:t>
      </w:r>
      <w:proofErr w:type="gramStart"/>
      <w:r>
        <w:rPr>
          <w:b/>
          <w:bCs/>
          <w:lang w:val="en-US"/>
        </w:rPr>
        <w:t>§(</w:t>
      </w:r>
      <w:proofErr w:type="gramEnd"/>
      <w:r>
        <w:rPr>
          <w:b/>
          <w:bCs/>
          <w:lang w:val="en-US"/>
        </w:rPr>
        <w:t>e)</w:t>
      </w:r>
      <w:r>
        <w:rPr>
          <w:lang w:val="en-US"/>
        </w:rPr>
        <w:t xml:space="preserve">, i.e. the institution applies the IRB method either IRBF or IRBA (to use “Basle 2 language”), </w:t>
      </w:r>
      <w:r w:rsidR="005C3B54">
        <w:rPr>
          <w:lang w:val="en-US"/>
        </w:rPr>
        <w:t>we</w:t>
      </w:r>
      <w:r>
        <w:rPr>
          <w:lang w:val="en-US"/>
        </w:rPr>
        <w:t xml:space="preserve"> understand that :</w:t>
      </w:r>
    </w:p>
    <w:p w:rsidR="00112A9D" w:rsidRDefault="00112A9D" w:rsidP="00112A9D">
      <w:pPr>
        <w:pStyle w:val="ListParagraph"/>
        <w:numPr>
          <w:ilvl w:val="0"/>
          <w:numId w:val="1"/>
        </w:numPr>
        <w:rPr>
          <w:lang w:val="en-US"/>
        </w:rPr>
      </w:pPr>
      <w:r>
        <w:rPr>
          <w:lang w:val="en-US"/>
        </w:rPr>
        <w:t>When a guarantor is internally rated,  the guarantee meets the requirement specified in article 183 1 (c),</w:t>
      </w:r>
    </w:p>
    <w:p w:rsidR="00112A9D" w:rsidRDefault="00112A9D" w:rsidP="00112A9D">
      <w:pPr>
        <w:pStyle w:val="ListParagraph"/>
        <w:numPr>
          <w:ilvl w:val="0"/>
          <w:numId w:val="1"/>
        </w:numPr>
        <w:rPr>
          <w:lang w:val="en-US"/>
        </w:rPr>
      </w:pPr>
      <w:r>
        <w:rPr>
          <w:lang w:val="en-US"/>
        </w:rPr>
        <w:t>When the guarantor is in the standardized method (permanently or during the roll-out period), the guarantor is classified according to the standardized exposures classes, and it must meet the requirements applicable to the standardized approach.</w:t>
      </w:r>
    </w:p>
    <w:p w:rsidR="00112A9D" w:rsidRDefault="00112A9D" w:rsidP="00112A9D">
      <w:pPr>
        <w:rPr>
          <w:lang w:val="en-US"/>
        </w:rPr>
      </w:pPr>
      <w:r>
        <w:rPr>
          <w:b/>
          <w:bCs/>
          <w:lang w:val="en-US"/>
        </w:rPr>
        <w:t xml:space="preserve">This article seems very clear to </w:t>
      </w:r>
      <w:r w:rsidR="005C3B54">
        <w:rPr>
          <w:b/>
          <w:bCs/>
          <w:lang w:val="en-US"/>
        </w:rPr>
        <w:t>us</w:t>
      </w:r>
      <w:r>
        <w:rPr>
          <w:b/>
          <w:bCs/>
          <w:lang w:val="en-US"/>
        </w:rPr>
        <w:t>.</w:t>
      </w:r>
    </w:p>
    <w:p w:rsidR="00112A9D" w:rsidRDefault="00112A9D" w:rsidP="00112A9D">
      <w:pPr>
        <w:rPr>
          <w:lang w:val="en-US"/>
        </w:rPr>
      </w:pPr>
    </w:p>
    <w:p w:rsidR="00112A9D" w:rsidRDefault="00112A9D" w:rsidP="00112A9D">
      <w:pPr>
        <w:rPr>
          <w:lang w:val="en-US"/>
        </w:rPr>
      </w:pPr>
      <w:r>
        <w:rPr>
          <w:lang w:val="en-US"/>
        </w:rPr>
        <w:t>But the box below this article seems less clear.</w:t>
      </w:r>
    </w:p>
    <w:p w:rsidR="00112A9D" w:rsidRDefault="00112A9D" w:rsidP="00112A9D">
      <w:pPr>
        <w:rPr>
          <w:lang w:val="en-US"/>
        </w:rPr>
      </w:pPr>
    </w:p>
    <w:p w:rsidR="00112A9D" w:rsidRDefault="00112A9D" w:rsidP="00112A9D">
      <w:pPr>
        <w:rPr>
          <w:lang w:val="en-US"/>
        </w:rPr>
      </w:pPr>
      <w:r>
        <w:rPr>
          <w:lang w:val="en-US"/>
        </w:rPr>
        <w:t xml:space="preserve">According to article 183 - 4, knowing that the institution applies </w:t>
      </w:r>
      <w:r w:rsidR="005C3B54">
        <w:rPr>
          <w:lang w:val="en-US"/>
        </w:rPr>
        <w:t>the IRBA</w:t>
      </w:r>
      <w:r>
        <w:rPr>
          <w:lang w:val="en-US"/>
        </w:rPr>
        <w:t xml:space="preserve"> method (effect of guarantees on </w:t>
      </w:r>
      <w:r w:rsidR="00A356FB">
        <w:rPr>
          <w:lang w:val="en-US"/>
        </w:rPr>
        <w:t xml:space="preserve">LGD </w:t>
      </w:r>
      <w:r>
        <w:rPr>
          <w:lang w:val="en-US"/>
        </w:rPr>
        <w:t xml:space="preserve">own estimates), if the guarantor is in standardized method, it applies the requirements of article chapter 4 on CRM: this seems </w:t>
      </w:r>
      <w:r w:rsidR="00A356FB">
        <w:rPr>
          <w:lang w:val="en-US"/>
        </w:rPr>
        <w:t xml:space="preserve">very </w:t>
      </w:r>
      <w:r>
        <w:rPr>
          <w:lang w:val="en-US"/>
        </w:rPr>
        <w:t>clear.</w:t>
      </w:r>
    </w:p>
    <w:p w:rsidR="00112A9D" w:rsidRDefault="00112A9D" w:rsidP="00112A9D">
      <w:pPr>
        <w:rPr>
          <w:lang w:val="en-US"/>
        </w:rPr>
      </w:pPr>
    </w:p>
    <w:p w:rsidR="00112A9D" w:rsidRDefault="00112A9D" w:rsidP="00112A9D">
      <w:pPr>
        <w:rPr>
          <w:lang w:val="en-US"/>
        </w:rPr>
      </w:pPr>
      <w:r>
        <w:rPr>
          <w:lang w:val="en-US"/>
        </w:rPr>
        <w:t>The text points out the fact that this may be in contradiction with article 201 – 2 which asks for an internal rating for the guarantor (which is not the case when the guarantor is in the standardized method).</w:t>
      </w:r>
    </w:p>
    <w:p w:rsidR="00112A9D" w:rsidRDefault="00112A9D" w:rsidP="00112A9D">
      <w:pPr>
        <w:rPr>
          <w:lang w:val="en-US"/>
        </w:rPr>
      </w:pPr>
    </w:p>
    <w:p w:rsidR="00112A9D" w:rsidRDefault="00112A9D" w:rsidP="00112A9D">
      <w:pPr>
        <w:rPr>
          <w:i/>
          <w:iCs/>
          <w:color w:val="000000"/>
          <w:sz w:val="19"/>
          <w:szCs w:val="19"/>
          <w:lang w:val="en-US"/>
        </w:rPr>
      </w:pPr>
      <w:r>
        <w:rPr>
          <w:i/>
          <w:iCs/>
          <w:color w:val="000000"/>
          <w:sz w:val="19"/>
          <w:szCs w:val="19"/>
          <w:lang w:val="en-US"/>
        </w:rPr>
        <w:t>Article 201 – 2</w:t>
      </w:r>
    </w:p>
    <w:p w:rsidR="00112A9D" w:rsidRDefault="00112A9D" w:rsidP="00112A9D">
      <w:pPr>
        <w:rPr>
          <w:color w:val="000000"/>
          <w:sz w:val="19"/>
          <w:szCs w:val="19"/>
          <w:lang w:val="en-US"/>
        </w:rPr>
      </w:pPr>
      <w:r>
        <w:rPr>
          <w:i/>
          <w:iCs/>
          <w:color w:val="000000"/>
          <w:sz w:val="19"/>
          <w:szCs w:val="19"/>
          <w:lang w:val="en-US"/>
        </w:rPr>
        <w:t>Where institutions calculate risk-weighted exposure amounts and expected loss amounts under the IRB Approach, to be eligible as a provider of unfunded credit protection a guarantor shall be internally rated by the institution in accordance with the provisions of Section 6 of Chapter 3</w:t>
      </w:r>
      <w:r>
        <w:rPr>
          <w:color w:val="000000"/>
          <w:sz w:val="19"/>
          <w:szCs w:val="19"/>
          <w:lang w:val="en-US"/>
        </w:rPr>
        <w:t>.</w:t>
      </w:r>
    </w:p>
    <w:p w:rsidR="00112A9D" w:rsidRDefault="00112A9D" w:rsidP="00112A9D">
      <w:pPr>
        <w:rPr>
          <w:color w:val="000000"/>
          <w:sz w:val="19"/>
          <w:szCs w:val="19"/>
          <w:lang w:val="en-US"/>
        </w:rPr>
      </w:pPr>
    </w:p>
    <w:p w:rsidR="00112A9D" w:rsidRDefault="00112A9D" w:rsidP="00112A9D">
      <w:pPr>
        <w:rPr>
          <w:color w:val="000000"/>
          <w:sz w:val="19"/>
          <w:szCs w:val="19"/>
          <w:lang w:val="en-US"/>
        </w:rPr>
      </w:pPr>
      <w:r>
        <w:rPr>
          <w:lang w:val="en-US"/>
        </w:rPr>
        <w:t>By comparison, we can refer to the Basel text</w:t>
      </w:r>
      <w:r>
        <w:rPr>
          <w:color w:val="000000"/>
          <w:sz w:val="19"/>
          <w:szCs w:val="19"/>
          <w:lang w:val="en-US"/>
        </w:rPr>
        <w:t>:</w:t>
      </w:r>
    </w:p>
    <w:p w:rsidR="00112A9D" w:rsidRDefault="00112A9D" w:rsidP="00112A9D">
      <w:pPr>
        <w:rPr>
          <w:color w:val="000000"/>
          <w:sz w:val="19"/>
          <w:szCs w:val="19"/>
          <w:lang w:val="en-US"/>
        </w:rPr>
      </w:pPr>
    </w:p>
    <w:p w:rsidR="00112A9D" w:rsidRDefault="00112A9D" w:rsidP="00112A9D">
      <w:pPr>
        <w:autoSpaceDE w:val="0"/>
        <w:autoSpaceDN w:val="0"/>
        <w:rPr>
          <w:i/>
          <w:iCs/>
          <w:color w:val="000000"/>
          <w:sz w:val="19"/>
          <w:szCs w:val="19"/>
          <w:lang w:val="en-US"/>
        </w:rPr>
      </w:pPr>
      <w:r>
        <w:rPr>
          <w:i/>
          <w:iCs/>
          <w:color w:val="000000"/>
          <w:sz w:val="19"/>
          <w:szCs w:val="19"/>
          <w:lang w:val="en-US"/>
        </w:rPr>
        <w:t>Treatment of guarantees and credit derivatives</w:t>
      </w:r>
    </w:p>
    <w:p w:rsidR="00112A9D" w:rsidRDefault="00112A9D" w:rsidP="00112A9D">
      <w:pPr>
        <w:autoSpaceDE w:val="0"/>
        <w:autoSpaceDN w:val="0"/>
        <w:rPr>
          <w:i/>
          <w:iCs/>
          <w:color w:val="000000"/>
          <w:sz w:val="19"/>
          <w:szCs w:val="19"/>
          <w:lang w:val="en-US"/>
        </w:rPr>
      </w:pPr>
      <w:r>
        <w:rPr>
          <w:i/>
          <w:iCs/>
          <w:color w:val="000000"/>
          <w:sz w:val="19"/>
          <w:szCs w:val="19"/>
          <w:lang w:val="en-US"/>
        </w:rPr>
        <w:t>(…)</w:t>
      </w:r>
    </w:p>
    <w:p w:rsidR="00112A9D" w:rsidRDefault="00112A9D" w:rsidP="00112A9D">
      <w:pPr>
        <w:autoSpaceDE w:val="0"/>
        <w:autoSpaceDN w:val="0"/>
        <w:rPr>
          <w:i/>
          <w:iCs/>
          <w:color w:val="000000"/>
          <w:sz w:val="19"/>
          <w:szCs w:val="19"/>
          <w:lang w:val="en-US"/>
        </w:rPr>
      </w:pPr>
      <w:r>
        <w:rPr>
          <w:i/>
          <w:iCs/>
          <w:color w:val="000000"/>
          <w:sz w:val="19"/>
          <w:szCs w:val="19"/>
          <w:lang w:val="en-US"/>
        </w:rPr>
        <w:t>Recognition under the foundation approach</w:t>
      </w:r>
    </w:p>
    <w:p w:rsidR="00112A9D" w:rsidRDefault="00112A9D" w:rsidP="00112A9D">
      <w:pPr>
        <w:autoSpaceDE w:val="0"/>
        <w:autoSpaceDN w:val="0"/>
        <w:rPr>
          <w:i/>
          <w:iCs/>
          <w:color w:val="000000"/>
          <w:sz w:val="19"/>
          <w:szCs w:val="19"/>
          <w:lang w:val="en-US"/>
        </w:rPr>
      </w:pPr>
      <w:r>
        <w:rPr>
          <w:i/>
          <w:iCs/>
          <w:color w:val="000000"/>
          <w:sz w:val="19"/>
          <w:szCs w:val="19"/>
          <w:lang w:val="en-US"/>
        </w:rPr>
        <w:t xml:space="preserve">302. For banks using the foundation approach for LGD, the approach to guarantees and credit derivatives closely follows the treatment under the </w:t>
      </w:r>
      <w:proofErr w:type="spellStart"/>
      <w:r>
        <w:rPr>
          <w:i/>
          <w:iCs/>
          <w:color w:val="000000"/>
          <w:sz w:val="19"/>
          <w:szCs w:val="19"/>
          <w:lang w:val="en-US"/>
        </w:rPr>
        <w:t>standardised</w:t>
      </w:r>
      <w:proofErr w:type="spellEnd"/>
      <w:r>
        <w:rPr>
          <w:i/>
          <w:iCs/>
          <w:color w:val="000000"/>
          <w:sz w:val="19"/>
          <w:szCs w:val="19"/>
          <w:lang w:val="en-US"/>
        </w:rPr>
        <w:t xml:space="preserve"> approach as specified in paragraphs 189 to 201. The range of eligible guarantors is the same as under the </w:t>
      </w:r>
      <w:proofErr w:type="spellStart"/>
      <w:r>
        <w:rPr>
          <w:i/>
          <w:iCs/>
          <w:color w:val="000000"/>
          <w:sz w:val="19"/>
          <w:szCs w:val="19"/>
          <w:lang w:val="en-US"/>
        </w:rPr>
        <w:t>standardised</w:t>
      </w:r>
      <w:proofErr w:type="spellEnd"/>
      <w:r>
        <w:rPr>
          <w:i/>
          <w:iCs/>
          <w:color w:val="000000"/>
          <w:sz w:val="19"/>
          <w:szCs w:val="19"/>
          <w:lang w:val="en-US"/>
        </w:rPr>
        <w:t xml:space="preserve"> approach except that companies that are internally rated and associated with a PD equivalent to A- or better may also be </w:t>
      </w:r>
      <w:proofErr w:type="spellStart"/>
      <w:r>
        <w:rPr>
          <w:i/>
          <w:iCs/>
          <w:color w:val="000000"/>
          <w:sz w:val="19"/>
          <w:szCs w:val="19"/>
          <w:lang w:val="en-US"/>
        </w:rPr>
        <w:t>recognised</w:t>
      </w:r>
      <w:proofErr w:type="spellEnd"/>
      <w:r>
        <w:rPr>
          <w:i/>
          <w:iCs/>
          <w:color w:val="000000"/>
          <w:sz w:val="19"/>
          <w:szCs w:val="19"/>
          <w:lang w:val="en-US"/>
        </w:rPr>
        <w:t xml:space="preserve"> under the foundation approach. To receive recognition, the requirements outlined in paragraphs 189 to 194 must be met.</w:t>
      </w:r>
    </w:p>
    <w:p w:rsidR="00112A9D" w:rsidRDefault="00112A9D" w:rsidP="00112A9D">
      <w:pPr>
        <w:autoSpaceDE w:val="0"/>
        <w:autoSpaceDN w:val="0"/>
        <w:rPr>
          <w:color w:val="000000"/>
          <w:sz w:val="19"/>
          <w:szCs w:val="19"/>
          <w:lang w:val="en-US"/>
        </w:rPr>
      </w:pPr>
    </w:p>
    <w:p w:rsidR="00112A9D" w:rsidRDefault="00112A9D" w:rsidP="00112A9D">
      <w:pPr>
        <w:autoSpaceDE w:val="0"/>
        <w:autoSpaceDN w:val="0"/>
        <w:rPr>
          <w:lang w:val="en-US"/>
        </w:rPr>
      </w:pPr>
      <w:r>
        <w:rPr>
          <w:lang w:val="en-US"/>
        </w:rPr>
        <w:lastRenderedPageBreak/>
        <w:t>In that case, to be eligible the guarantor must be either externally rated or internally rated</w:t>
      </w:r>
      <w:r w:rsidR="00A356FB">
        <w:rPr>
          <w:lang w:val="en-US"/>
        </w:rPr>
        <w:t xml:space="preserve"> (equivalent or above A-)</w:t>
      </w:r>
      <w:r>
        <w:rPr>
          <w:lang w:val="en-US"/>
        </w:rPr>
        <w:t xml:space="preserve">. </w:t>
      </w:r>
    </w:p>
    <w:p w:rsidR="00112A9D" w:rsidRDefault="00112A9D" w:rsidP="00112A9D">
      <w:pPr>
        <w:autoSpaceDE w:val="0"/>
        <w:autoSpaceDN w:val="0"/>
        <w:rPr>
          <w:lang w:val="en-US"/>
        </w:rPr>
      </w:pPr>
    </w:p>
    <w:p w:rsidR="00112A9D" w:rsidRDefault="00112A9D" w:rsidP="00112A9D">
      <w:pPr>
        <w:pStyle w:val="ListParagraph"/>
        <w:numPr>
          <w:ilvl w:val="0"/>
          <w:numId w:val="1"/>
        </w:numPr>
        <w:autoSpaceDE w:val="0"/>
        <w:autoSpaceDN w:val="0"/>
        <w:rPr>
          <w:lang w:val="en-US"/>
        </w:rPr>
      </w:pPr>
      <w:r>
        <w:rPr>
          <w:lang w:val="en-US"/>
        </w:rPr>
        <w:t xml:space="preserve">Why </w:t>
      </w:r>
      <w:r w:rsidR="005C3B54">
        <w:rPr>
          <w:lang w:val="en-US"/>
        </w:rPr>
        <w:t xml:space="preserve">does </w:t>
      </w:r>
      <w:r>
        <w:rPr>
          <w:lang w:val="en-US"/>
        </w:rPr>
        <w:t xml:space="preserve">the CRR </w:t>
      </w:r>
      <w:r w:rsidR="005C3B54">
        <w:rPr>
          <w:lang w:val="en-US"/>
        </w:rPr>
        <w:t>require</w:t>
      </w:r>
      <w:r>
        <w:rPr>
          <w:lang w:val="en-US"/>
        </w:rPr>
        <w:t xml:space="preserve"> only an internal rating?</w:t>
      </w:r>
    </w:p>
    <w:p w:rsidR="00112A9D" w:rsidRDefault="00112A9D" w:rsidP="00112A9D">
      <w:pPr>
        <w:rPr>
          <w:lang w:val="en-US"/>
        </w:rPr>
      </w:pPr>
    </w:p>
    <w:p w:rsidR="00112A9D" w:rsidRDefault="00112A9D" w:rsidP="00112A9D">
      <w:pPr>
        <w:rPr>
          <w:lang w:val="en-US"/>
        </w:rPr>
      </w:pPr>
      <w:r>
        <w:rPr>
          <w:lang w:val="en-US"/>
        </w:rPr>
        <w:t xml:space="preserve">Moreover, </w:t>
      </w:r>
      <w:r w:rsidR="005C3B54">
        <w:rPr>
          <w:lang w:val="en-US"/>
        </w:rPr>
        <w:t>we</w:t>
      </w:r>
      <w:r>
        <w:rPr>
          <w:lang w:val="en-US"/>
        </w:rPr>
        <w:t xml:space="preserve"> don’t understand these sentences:</w:t>
      </w:r>
    </w:p>
    <w:p w:rsidR="00112A9D" w:rsidRDefault="00112A9D" w:rsidP="00112A9D">
      <w:pPr>
        <w:rPr>
          <w:lang w:val="en-US"/>
        </w:rPr>
      </w:pPr>
    </w:p>
    <w:p w:rsidR="00112A9D" w:rsidRDefault="00112A9D" w:rsidP="00112A9D">
      <w:pPr>
        <w:pStyle w:val="ListParagraph"/>
        <w:numPr>
          <w:ilvl w:val="0"/>
          <w:numId w:val="2"/>
        </w:numPr>
        <w:rPr>
          <w:lang w:val="en-US"/>
        </w:rPr>
      </w:pPr>
      <w:r>
        <w:rPr>
          <w:lang w:val="en-US"/>
        </w:rPr>
        <w:t>“If it is assumed that under article 183 - 4, the effect of a funded guarantee will be reflected in the LGD of the exposure whereas under article 201, the effect of the unfunded guarantee will be reflected in the PD estimate of the guaranteed exposure”</w:t>
      </w:r>
      <w:r w:rsidR="004D6134">
        <w:rPr>
          <w:lang w:val="en-US"/>
        </w:rPr>
        <w:t>.</w:t>
      </w:r>
    </w:p>
    <w:p w:rsidR="00112A9D" w:rsidRDefault="00112A9D" w:rsidP="00112A9D">
      <w:pPr>
        <w:rPr>
          <w:lang w:val="en-US"/>
        </w:rPr>
      </w:pPr>
    </w:p>
    <w:p w:rsidR="00112A9D" w:rsidRDefault="00112A9D" w:rsidP="00112A9D">
      <w:pPr>
        <w:pStyle w:val="ListParagraph"/>
        <w:numPr>
          <w:ilvl w:val="0"/>
          <w:numId w:val="1"/>
        </w:numPr>
        <w:rPr>
          <w:lang w:val="en-US"/>
        </w:rPr>
      </w:pPr>
      <w:r>
        <w:rPr>
          <w:lang w:val="en-US"/>
        </w:rPr>
        <w:t xml:space="preserve">Does “funded guarantee” mean funded credit </w:t>
      </w:r>
      <w:r w:rsidR="00A356FB">
        <w:rPr>
          <w:lang w:val="en-US"/>
        </w:rPr>
        <w:t xml:space="preserve">protection? </w:t>
      </w:r>
      <w:proofErr w:type="gramStart"/>
      <w:r w:rsidR="005C3B54">
        <w:rPr>
          <w:lang w:val="en-US"/>
        </w:rPr>
        <w:t>We</w:t>
      </w:r>
      <w:r>
        <w:rPr>
          <w:lang w:val="en-US"/>
        </w:rPr>
        <w:t xml:space="preserve">  had</w:t>
      </w:r>
      <w:proofErr w:type="gramEnd"/>
      <w:r>
        <w:rPr>
          <w:lang w:val="en-US"/>
        </w:rPr>
        <w:t xml:space="preserve"> understood that the guarantees referred to in article 183 – 4 were unfunded credit protections and not funded credit protections</w:t>
      </w:r>
      <w:r w:rsidR="004D6134">
        <w:rPr>
          <w:lang w:val="en-US"/>
        </w:rPr>
        <w:t>.</w:t>
      </w:r>
      <w:bookmarkStart w:id="0" w:name="_GoBack"/>
      <w:bookmarkEnd w:id="0"/>
    </w:p>
    <w:p w:rsidR="00112A9D" w:rsidRDefault="00112A9D" w:rsidP="00112A9D">
      <w:pPr>
        <w:pStyle w:val="ListParagraph"/>
        <w:numPr>
          <w:ilvl w:val="0"/>
          <w:numId w:val="1"/>
        </w:numPr>
        <w:rPr>
          <w:lang w:val="en-US"/>
        </w:rPr>
      </w:pPr>
      <w:r>
        <w:rPr>
          <w:lang w:val="en-US"/>
        </w:rPr>
        <w:t>Why does the effect of the unfunded guarantee have to be taken into account in the PD instead of the LGD?</w:t>
      </w:r>
    </w:p>
    <w:p w:rsidR="00112A9D" w:rsidRDefault="00112A9D" w:rsidP="00112A9D">
      <w:pPr>
        <w:rPr>
          <w:lang w:val="en-US"/>
        </w:rPr>
      </w:pPr>
    </w:p>
    <w:p w:rsidR="00112A9D" w:rsidRDefault="00112A9D" w:rsidP="00112A9D">
      <w:pPr>
        <w:pStyle w:val="ListParagraph"/>
        <w:numPr>
          <w:ilvl w:val="0"/>
          <w:numId w:val="2"/>
        </w:numPr>
        <w:rPr>
          <w:lang w:val="en-US"/>
        </w:rPr>
      </w:pPr>
      <w:r>
        <w:rPr>
          <w:lang w:val="en-US"/>
        </w:rPr>
        <w:t>“In the case of article 183 – 4 for funded guarantees or credit derivatives, only the requirements of the standardized approach should be met.”</w:t>
      </w:r>
    </w:p>
    <w:p w:rsidR="00112A9D" w:rsidRDefault="00112A9D" w:rsidP="00112A9D">
      <w:pPr>
        <w:rPr>
          <w:lang w:val="en-US"/>
        </w:rPr>
      </w:pPr>
    </w:p>
    <w:p w:rsidR="00112A9D" w:rsidRDefault="00112A9D" w:rsidP="00112A9D">
      <w:pPr>
        <w:pStyle w:val="ListParagraph"/>
        <w:numPr>
          <w:ilvl w:val="0"/>
          <w:numId w:val="1"/>
        </w:numPr>
        <w:rPr>
          <w:lang w:val="en-US"/>
        </w:rPr>
      </w:pPr>
      <w:r>
        <w:rPr>
          <w:lang w:val="en-US"/>
        </w:rPr>
        <w:t xml:space="preserve">The same question as above: why a reference to “funded guarantees or credit derivatives”? </w:t>
      </w:r>
      <w:r w:rsidR="00A356FB">
        <w:rPr>
          <w:lang w:val="en-US"/>
        </w:rPr>
        <w:t>W</w:t>
      </w:r>
      <w:r w:rsidR="00A356FB" w:rsidRPr="00A356FB">
        <w:rPr>
          <w:lang w:val="en-US"/>
        </w:rPr>
        <w:t>e would have expected to have a reference</w:t>
      </w:r>
      <w:r w:rsidR="00A356FB">
        <w:rPr>
          <w:lang w:val="en-US"/>
        </w:rPr>
        <w:t xml:space="preserve"> </w:t>
      </w:r>
      <w:r>
        <w:rPr>
          <w:lang w:val="en-US"/>
        </w:rPr>
        <w:t xml:space="preserve">to unfunded credit protection and credit derivatives. </w:t>
      </w:r>
    </w:p>
    <w:p w:rsidR="00112A9D" w:rsidRDefault="00112A9D" w:rsidP="00112A9D">
      <w:pPr>
        <w:rPr>
          <w:lang w:val="en-US"/>
        </w:rPr>
      </w:pPr>
    </w:p>
    <w:p w:rsidR="00112A9D" w:rsidRDefault="00112A9D" w:rsidP="00112A9D">
      <w:pPr>
        <w:rPr>
          <w:lang w:val="en-US"/>
        </w:rPr>
      </w:pPr>
      <w:r>
        <w:rPr>
          <w:lang w:val="en-US"/>
        </w:rPr>
        <w:t>Th</w:t>
      </w:r>
      <w:r>
        <w:rPr>
          <w:lang w:val="en-US"/>
        </w:rPr>
        <w:t>a</w:t>
      </w:r>
      <w:r>
        <w:rPr>
          <w:lang w:val="en-US"/>
        </w:rPr>
        <w:t xml:space="preserve">nk you very much for taking into consideration </w:t>
      </w:r>
      <w:r w:rsidR="005C3B54">
        <w:rPr>
          <w:lang w:val="en-US"/>
        </w:rPr>
        <w:t>our</w:t>
      </w:r>
      <w:r>
        <w:rPr>
          <w:lang w:val="en-US"/>
        </w:rPr>
        <w:t xml:space="preserve"> question</w:t>
      </w:r>
      <w:r w:rsidR="005C3B54">
        <w:rPr>
          <w:lang w:val="en-US"/>
        </w:rPr>
        <w:t>s</w:t>
      </w:r>
      <w:r>
        <w:rPr>
          <w:lang w:val="en-US"/>
        </w:rPr>
        <w:t>.</w:t>
      </w:r>
    </w:p>
    <w:p w:rsidR="00112A9D" w:rsidRDefault="00112A9D" w:rsidP="00112A9D">
      <w:pPr>
        <w:rPr>
          <w:lang w:val="en-US"/>
        </w:rPr>
      </w:pPr>
    </w:p>
    <w:p w:rsidR="006064B2" w:rsidRPr="00112A9D" w:rsidRDefault="00A356FB">
      <w:pPr>
        <w:rPr>
          <w:lang w:val="en-US"/>
        </w:rPr>
      </w:pPr>
      <w:r>
        <w:rPr>
          <w:lang w:val="en-US"/>
        </w:rPr>
        <w:t>Yours faithfully</w:t>
      </w:r>
    </w:p>
    <w:sectPr w:rsidR="006064B2" w:rsidRPr="00112A9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4B9" w:rsidRDefault="002334B9" w:rsidP="005C3B54">
      <w:r>
        <w:separator/>
      </w:r>
    </w:p>
  </w:endnote>
  <w:endnote w:type="continuationSeparator" w:id="0">
    <w:p w:rsidR="002334B9" w:rsidRDefault="002334B9" w:rsidP="005C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829115"/>
      <w:docPartObj>
        <w:docPartGallery w:val="Page Numbers (Bottom of Page)"/>
        <w:docPartUnique/>
      </w:docPartObj>
    </w:sdtPr>
    <w:sdtContent>
      <w:p w:rsidR="005C3B54" w:rsidRDefault="005C3B54">
        <w:pPr>
          <w:pStyle w:val="Footer"/>
          <w:jc w:val="right"/>
        </w:pPr>
        <w:r>
          <w:fldChar w:fldCharType="begin"/>
        </w:r>
        <w:r>
          <w:instrText>PAGE   \* MERGEFORMAT</w:instrText>
        </w:r>
        <w:r>
          <w:fldChar w:fldCharType="separate"/>
        </w:r>
        <w:r w:rsidR="004D6134">
          <w:rPr>
            <w:noProof/>
          </w:rPr>
          <w:t>2</w:t>
        </w:r>
        <w:r>
          <w:fldChar w:fldCharType="end"/>
        </w:r>
      </w:p>
    </w:sdtContent>
  </w:sdt>
  <w:p w:rsidR="005C3B54" w:rsidRDefault="005C3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4B9" w:rsidRDefault="002334B9" w:rsidP="005C3B54">
      <w:r>
        <w:separator/>
      </w:r>
    </w:p>
  </w:footnote>
  <w:footnote w:type="continuationSeparator" w:id="0">
    <w:p w:rsidR="002334B9" w:rsidRDefault="002334B9" w:rsidP="005C3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172EC"/>
    <w:multiLevelType w:val="hybridMultilevel"/>
    <w:tmpl w:val="956E2E8C"/>
    <w:lvl w:ilvl="0" w:tplc="A2BA2CE4">
      <w:start w:val="1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790D3007"/>
    <w:multiLevelType w:val="hybridMultilevel"/>
    <w:tmpl w:val="D36EB1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9D"/>
    <w:rsid w:val="00112A9D"/>
    <w:rsid w:val="002334B9"/>
    <w:rsid w:val="004D6134"/>
    <w:rsid w:val="005C3B54"/>
    <w:rsid w:val="006064B2"/>
    <w:rsid w:val="00A356FB"/>
    <w:rsid w:val="00EC290A"/>
    <w:rsid w:val="00F740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A9D"/>
    <w:pPr>
      <w:ind w:left="720"/>
    </w:pPr>
  </w:style>
  <w:style w:type="paragraph" w:styleId="BalloonText">
    <w:name w:val="Balloon Text"/>
    <w:basedOn w:val="Normal"/>
    <w:link w:val="BalloonTextChar"/>
    <w:uiPriority w:val="99"/>
    <w:semiHidden/>
    <w:unhideWhenUsed/>
    <w:rsid w:val="00112A9D"/>
    <w:rPr>
      <w:rFonts w:ascii="Tahoma" w:hAnsi="Tahoma" w:cs="Tahoma"/>
      <w:sz w:val="16"/>
      <w:szCs w:val="16"/>
    </w:rPr>
  </w:style>
  <w:style w:type="character" w:customStyle="1" w:styleId="BalloonTextChar">
    <w:name w:val="Balloon Text Char"/>
    <w:basedOn w:val="DefaultParagraphFont"/>
    <w:link w:val="BalloonText"/>
    <w:uiPriority w:val="99"/>
    <w:semiHidden/>
    <w:rsid w:val="00112A9D"/>
    <w:rPr>
      <w:rFonts w:ascii="Tahoma" w:hAnsi="Tahoma" w:cs="Tahoma"/>
      <w:sz w:val="16"/>
      <w:szCs w:val="16"/>
    </w:rPr>
  </w:style>
  <w:style w:type="paragraph" w:styleId="Header">
    <w:name w:val="header"/>
    <w:basedOn w:val="Normal"/>
    <w:link w:val="HeaderChar"/>
    <w:uiPriority w:val="99"/>
    <w:unhideWhenUsed/>
    <w:rsid w:val="005C3B54"/>
    <w:pPr>
      <w:tabs>
        <w:tab w:val="center" w:pos="4536"/>
        <w:tab w:val="right" w:pos="9072"/>
      </w:tabs>
    </w:pPr>
  </w:style>
  <w:style w:type="character" w:customStyle="1" w:styleId="HeaderChar">
    <w:name w:val="Header Char"/>
    <w:basedOn w:val="DefaultParagraphFont"/>
    <w:link w:val="Header"/>
    <w:uiPriority w:val="99"/>
    <w:rsid w:val="005C3B54"/>
    <w:rPr>
      <w:rFonts w:ascii="Calibri" w:hAnsi="Calibri" w:cs="Calibri"/>
    </w:rPr>
  </w:style>
  <w:style w:type="paragraph" w:styleId="Footer">
    <w:name w:val="footer"/>
    <w:basedOn w:val="Normal"/>
    <w:link w:val="FooterChar"/>
    <w:uiPriority w:val="99"/>
    <w:unhideWhenUsed/>
    <w:rsid w:val="005C3B54"/>
    <w:pPr>
      <w:tabs>
        <w:tab w:val="center" w:pos="4536"/>
        <w:tab w:val="right" w:pos="9072"/>
      </w:tabs>
    </w:pPr>
  </w:style>
  <w:style w:type="character" w:customStyle="1" w:styleId="FooterChar">
    <w:name w:val="Footer Char"/>
    <w:basedOn w:val="DefaultParagraphFont"/>
    <w:link w:val="Footer"/>
    <w:uiPriority w:val="99"/>
    <w:rsid w:val="005C3B54"/>
    <w:rPr>
      <w:rFonts w:ascii="Calibri" w:hAnsi="Calibri" w:cs="Calibri"/>
    </w:rPr>
  </w:style>
  <w:style w:type="character" w:customStyle="1" w:styleId="shorttext">
    <w:name w:val="short_text"/>
    <w:basedOn w:val="DefaultParagraphFont"/>
    <w:rsid w:val="00A356FB"/>
  </w:style>
  <w:style w:type="character" w:customStyle="1" w:styleId="hps">
    <w:name w:val="hps"/>
    <w:basedOn w:val="DefaultParagraphFont"/>
    <w:rsid w:val="00A35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A9D"/>
    <w:pPr>
      <w:ind w:left="720"/>
    </w:pPr>
  </w:style>
  <w:style w:type="paragraph" w:styleId="BalloonText">
    <w:name w:val="Balloon Text"/>
    <w:basedOn w:val="Normal"/>
    <w:link w:val="BalloonTextChar"/>
    <w:uiPriority w:val="99"/>
    <w:semiHidden/>
    <w:unhideWhenUsed/>
    <w:rsid w:val="00112A9D"/>
    <w:rPr>
      <w:rFonts w:ascii="Tahoma" w:hAnsi="Tahoma" w:cs="Tahoma"/>
      <w:sz w:val="16"/>
      <w:szCs w:val="16"/>
    </w:rPr>
  </w:style>
  <w:style w:type="character" w:customStyle="1" w:styleId="BalloonTextChar">
    <w:name w:val="Balloon Text Char"/>
    <w:basedOn w:val="DefaultParagraphFont"/>
    <w:link w:val="BalloonText"/>
    <w:uiPriority w:val="99"/>
    <w:semiHidden/>
    <w:rsid w:val="00112A9D"/>
    <w:rPr>
      <w:rFonts w:ascii="Tahoma" w:hAnsi="Tahoma" w:cs="Tahoma"/>
      <w:sz w:val="16"/>
      <w:szCs w:val="16"/>
    </w:rPr>
  </w:style>
  <w:style w:type="paragraph" w:styleId="Header">
    <w:name w:val="header"/>
    <w:basedOn w:val="Normal"/>
    <w:link w:val="HeaderChar"/>
    <w:uiPriority w:val="99"/>
    <w:unhideWhenUsed/>
    <w:rsid w:val="005C3B54"/>
    <w:pPr>
      <w:tabs>
        <w:tab w:val="center" w:pos="4536"/>
        <w:tab w:val="right" w:pos="9072"/>
      </w:tabs>
    </w:pPr>
  </w:style>
  <w:style w:type="character" w:customStyle="1" w:styleId="HeaderChar">
    <w:name w:val="Header Char"/>
    <w:basedOn w:val="DefaultParagraphFont"/>
    <w:link w:val="Header"/>
    <w:uiPriority w:val="99"/>
    <w:rsid w:val="005C3B54"/>
    <w:rPr>
      <w:rFonts w:ascii="Calibri" w:hAnsi="Calibri" w:cs="Calibri"/>
    </w:rPr>
  </w:style>
  <w:style w:type="paragraph" w:styleId="Footer">
    <w:name w:val="footer"/>
    <w:basedOn w:val="Normal"/>
    <w:link w:val="FooterChar"/>
    <w:uiPriority w:val="99"/>
    <w:unhideWhenUsed/>
    <w:rsid w:val="005C3B54"/>
    <w:pPr>
      <w:tabs>
        <w:tab w:val="center" w:pos="4536"/>
        <w:tab w:val="right" w:pos="9072"/>
      </w:tabs>
    </w:pPr>
  </w:style>
  <w:style w:type="character" w:customStyle="1" w:styleId="FooterChar">
    <w:name w:val="Footer Char"/>
    <w:basedOn w:val="DefaultParagraphFont"/>
    <w:link w:val="Footer"/>
    <w:uiPriority w:val="99"/>
    <w:rsid w:val="005C3B54"/>
    <w:rPr>
      <w:rFonts w:ascii="Calibri" w:hAnsi="Calibri" w:cs="Calibri"/>
    </w:rPr>
  </w:style>
  <w:style w:type="character" w:customStyle="1" w:styleId="shorttext">
    <w:name w:val="short_text"/>
    <w:basedOn w:val="DefaultParagraphFont"/>
    <w:rsid w:val="00A356FB"/>
  </w:style>
  <w:style w:type="character" w:customStyle="1" w:styleId="hps">
    <w:name w:val="hps"/>
    <w:basedOn w:val="DefaultParagraphFont"/>
    <w:rsid w:val="00A3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2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source=images&amp;cd=&amp;cad=rja&amp;docid=oJTsgfmpBUSx-M&amp;tbnid=9S2RgW491nPd4M:&amp;ved=0CAgQjRwwAA&amp;url=http://www.ey.com/&amp;ei=hCoWUovfM-LN7Aba44GoBg&amp;psig=AFQjCNFPHRePQhqWj2MYPCkAKRKGFa0RTw&amp;ust=137727078891151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553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Marie-Hélène Fortesa</dc:creator>
  <cp:lastModifiedBy>Marie-Hélène Fortesa</cp:lastModifiedBy>
  <cp:revision>5</cp:revision>
  <cp:lastPrinted>2015-02-04T17:57:00Z</cp:lastPrinted>
  <dcterms:created xsi:type="dcterms:W3CDTF">2015-02-04T16:30:00Z</dcterms:created>
  <dcterms:modified xsi:type="dcterms:W3CDTF">2015-02-04T17:57:00Z</dcterms:modified>
</cp:coreProperties>
</file>