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3862" w14:textId="77777777" w:rsidR="0091227A" w:rsidRPr="0091227A" w:rsidRDefault="0091227A" w:rsidP="0091227A">
      <w:pPr>
        <w:tabs>
          <w:tab w:val="left" w:pos="2304"/>
          <w:tab w:val="right" w:pos="9072"/>
        </w:tabs>
        <w:rPr>
          <w:rFonts w:ascii="Akkurat Light Pro" w:hAnsi="Akkurat Light Pro"/>
          <w:lang w:val="en-US"/>
        </w:rPr>
      </w:pPr>
      <w:bookmarkStart w:id="0" w:name="_GoBack"/>
      <w:bookmarkEnd w:id="0"/>
      <w:r w:rsidRPr="0091227A">
        <w:rPr>
          <w:rFonts w:ascii="Akkurat Light Pro" w:hAnsi="Akkurat Light Pro"/>
          <w:lang w:val="en-US"/>
        </w:rPr>
        <w:tab/>
      </w:r>
    </w:p>
    <w:p w14:paraId="626C3863" w14:textId="77777777" w:rsidR="001E1BD6" w:rsidRPr="005870BC" w:rsidRDefault="001E1BD6" w:rsidP="001E1BD6">
      <w:pPr>
        <w:jc w:val="right"/>
        <w:rPr>
          <w:lang w:val="en-GB"/>
        </w:rPr>
      </w:pPr>
      <w:r w:rsidRPr="005870BC">
        <w:rPr>
          <w:lang w:val="en-GB"/>
        </w:rPr>
        <w:t>Ref.:</w:t>
      </w:r>
      <w:bookmarkStart w:id="1" w:name="DocRef"/>
      <w:r>
        <w:rPr>
          <w:lang w:val="en-GB"/>
        </w:rPr>
        <w:t>EBF_012603F</w:t>
      </w:r>
      <w:bookmarkEnd w:id="1"/>
    </w:p>
    <w:p w14:paraId="626C3864" w14:textId="50136DF2" w:rsidR="001E1BD6" w:rsidRPr="005870BC" w:rsidRDefault="001E1BD6" w:rsidP="001E1BD6">
      <w:pPr>
        <w:jc w:val="right"/>
        <w:rPr>
          <w:lang w:val="en-GB"/>
        </w:rPr>
      </w:pPr>
      <w:r w:rsidRPr="005870BC">
        <w:rPr>
          <w:lang w:val="en-GB"/>
        </w:rPr>
        <w:t xml:space="preserve">Brussels, </w:t>
      </w:r>
      <w:r w:rsidR="00BB1C6E">
        <w:rPr>
          <w:lang w:val="en-GB"/>
        </w:rPr>
        <w:t>2</w:t>
      </w:r>
      <w:r w:rsidR="00F94F76">
        <w:rPr>
          <w:lang w:val="en-GB"/>
        </w:rPr>
        <w:t>6</w:t>
      </w:r>
      <w:r w:rsidR="002F0906">
        <w:rPr>
          <w:lang w:val="en-GB"/>
        </w:rPr>
        <w:t xml:space="preserve"> January 2015</w:t>
      </w:r>
    </w:p>
    <w:p w14:paraId="626C3865" w14:textId="77777777" w:rsidR="001E1BD6" w:rsidRPr="005870BC" w:rsidRDefault="001E1BD6" w:rsidP="001E1BD6">
      <w:pPr>
        <w:rPr>
          <w:b/>
          <w:i/>
          <w:lang w:val="en-GB"/>
        </w:rPr>
      </w:pPr>
    </w:p>
    <w:p w14:paraId="626C3866" w14:textId="77777777" w:rsidR="001E1BD6" w:rsidRPr="005870BC" w:rsidRDefault="001E1BD6" w:rsidP="001E1BD6">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626C3867" w14:textId="77777777" w:rsidR="001E1BD6" w:rsidRDefault="001E1BD6" w:rsidP="001E1BD6">
      <w:pPr>
        <w:rPr>
          <w:bCs/>
          <w:iCs/>
          <w:lang w:val="en-US"/>
        </w:rPr>
      </w:pPr>
    </w:p>
    <w:p w14:paraId="626C3868" w14:textId="6DD5B08C" w:rsidR="001E1BD6" w:rsidRPr="001E57E5" w:rsidRDefault="002F0906" w:rsidP="001E1BD6">
      <w:pPr>
        <w:pStyle w:val="Heading2"/>
        <w:spacing w:after="240"/>
        <w:rPr>
          <w:lang w:val="en-US"/>
        </w:rPr>
      </w:pPr>
      <w:r>
        <w:rPr>
          <w:lang w:val="en-US"/>
        </w:rPr>
        <w:t xml:space="preserve">EBF response to EBA consultation </w:t>
      </w:r>
      <w:r w:rsidRPr="002F0906">
        <w:rPr>
          <w:lang w:val="en-US"/>
        </w:rPr>
        <w:t>on materiality threshol</w:t>
      </w:r>
      <w:r>
        <w:rPr>
          <w:lang w:val="en-US"/>
        </w:rPr>
        <w:t>d of credit obligation past due (</w:t>
      </w:r>
      <w:r w:rsidRPr="002F0906">
        <w:rPr>
          <w:lang w:val="en-US"/>
        </w:rPr>
        <w:t>EBA/CP/2014/32</w:t>
      </w:r>
      <w:r>
        <w:rPr>
          <w:lang w:val="en-US"/>
        </w:rPr>
        <w:t xml:space="preserve">) </w:t>
      </w:r>
      <w:r w:rsidR="001E1BD6" w:rsidRPr="001E57E5">
        <w:rPr>
          <w:lang w:val="en-US"/>
        </w:rPr>
        <w:fldChar w:fldCharType="begin"/>
      </w:r>
      <w:r w:rsidR="001E1BD6" w:rsidRPr="001E57E5">
        <w:rPr>
          <w:lang w:val="en-US"/>
        </w:rPr>
        <w:instrText xml:space="preserve"> TITLE   \* MERGEFORMAT </w:instrText>
      </w:r>
      <w:r w:rsidR="001E1BD6" w:rsidRPr="001E57E5">
        <w:rPr>
          <w:lang w:val="en-US"/>
        </w:rPr>
        <w:fldChar w:fldCharType="end"/>
      </w:r>
    </w:p>
    <w:p w14:paraId="626C386C" w14:textId="0E271866" w:rsidR="008D70EE" w:rsidRPr="00B42E28" w:rsidRDefault="00106526" w:rsidP="00B42E28">
      <w:pPr>
        <w:spacing w:before="240"/>
        <w:jc w:val="both"/>
        <w:rPr>
          <w:rFonts w:ascii="Akkurat Light Pro" w:hAnsi="Akkurat Light Pro"/>
          <w:b/>
          <w:i/>
          <w:lang w:val="en-US"/>
        </w:rPr>
      </w:pPr>
      <w:r w:rsidRPr="00B42E28">
        <w:rPr>
          <w:rFonts w:ascii="Akkurat Light Pro" w:hAnsi="Akkurat Light Pro"/>
          <w:b/>
          <w:i/>
          <w:lang w:val="en-US"/>
        </w:rPr>
        <w:t>Q1: Do you agree with the approach proposed in the draft RTS (option 1) that default should be recognized as soon as one of the components of the threshold (absolute or relative limit) is breached? Or would you rather support the alternative option, i.e. recognition of default after both thresholds are breached (option 2)?</w:t>
      </w:r>
    </w:p>
    <w:p w14:paraId="6DF93C1B" w14:textId="6DA55C92" w:rsidR="00CF4E13" w:rsidRDefault="00106526" w:rsidP="00251097">
      <w:pPr>
        <w:jc w:val="both"/>
        <w:rPr>
          <w:rFonts w:ascii="Akkurat Light Pro" w:hAnsi="Akkurat Light Pro"/>
          <w:lang w:val="en-US"/>
        </w:rPr>
      </w:pPr>
      <w:r>
        <w:rPr>
          <w:rFonts w:ascii="Akkurat Light Pro" w:hAnsi="Akkurat Light Pro"/>
          <w:lang w:val="en-US"/>
        </w:rPr>
        <w:t xml:space="preserve">There is broad consensus among EBF members that Option 2 is preferable for the reasons expressed below. The best solution would be a relative threshold </w:t>
      </w:r>
      <w:r w:rsidR="00CF4E13">
        <w:rPr>
          <w:rFonts w:ascii="Akkurat Light Pro" w:hAnsi="Akkurat Light Pro"/>
          <w:lang w:val="en-US"/>
        </w:rPr>
        <w:t xml:space="preserve">in combination </w:t>
      </w:r>
      <w:r>
        <w:rPr>
          <w:rFonts w:ascii="Akkurat Light Pro" w:hAnsi="Akkurat Light Pro"/>
          <w:lang w:val="en-US"/>
        </w:rPr>
        <w:t>with a minimum absolute threshold</w:t>
      </w:r>
      <w:r w:rsidR="00CF4E13">
        <w:rPr>
          <w:rFonts w:ascii="Akkurat Light Pro" w:hAnsi="Akkurat Light Pro"/>
          <w:lang w:val="en-US"/>
        </w:rPr>
        <w:t xml:space="preserve">. </w:t>
      </w:r>
    </w:p>
    <w:p w14:paraId="044DD7EA" w14:textId="391E28B1" w:rsidR="00251097" w:rsidRDefault="00106526" w:rsidP="00251097">
      <w:pPr>
        <w:jc w:val="both"/>
        <w:rPr>
          <w:rFonts w:ascii="Akkurat Light Pro" w:hAnsi="Akkurat Light Pro"/>
          <w:lang w:val="en-US"/>
        </w:rPr>
      </w:pPr>
      <w:r>
        <w:rPr>
          <w:rFonts w:ascii="Akkurat Light Pro" w:hAnsi="Akkurat Light Pro"/>
          <w:lang w:val="en-US"/>
        </w:rPr>
        <w:t xml:space="preserve">This solution would </w:t>
      </w:r>
      <w:proofErr w:type="spellStart"/>
      <w:r>
        <w:rPr>
          <w:rFonts w:ascii="Akkurat Light Pro" w:hAnsi="Akkurat Light Pro"/>
          <w:lang w:val="en-US"/>
        </w:rPr>
        <w:t>minimi</w:t>
      </w:r>
      <w:r w:rsidR="007F604F">
        <w:rPr>
          <w:rFonts w:ascii="Akkurat Light Pro" w:hAnsi="Akkurat Light Pro"/>
          <w:lang w:val="en-US"/>
        </w:rPr>
        <w:t>s</w:t>
      </w:r>
      <w:r>
        <w:rPr>
          <w:rFonts w:ascii="Akkurat Light Pro" w:hAnsi="Akkurat Light Pro"/>
          <w:lang w:val="en-US"/>
        </w:rPr>
        <w:t>e</w:t>
      </w:r>
      <w:proofErr w:type="spellEnd"/>
      <w:r>
        <w:rPr>
          <w:rFonts w:ascii="Akkurat Light Pro" w:hAnsi="Akkurat Light Pro"/>
          <w:lang w:val="en-US"/>
        </w:rPr>
        <w:t xml:space="preserve"> unintended cases of technical default</w:t>
      </w:r>
      <w:r w:rsidR="006A5851">
        <w:rPr>
          <w:rFonts w:ascii="Akkurat Light Pro" w:hAnsi="Akkurat Light Pro"/>
          <w:lang w:val="en-US"/>
        </w:rPr>
        <w:t xml:space="preserve"> </w:t>
      </w:r>
      <w:r>
        <w:rPr>
          <w:rFonts w:ascii="Akkurat Light Pro" w:hAnsi="Akkurat Light Pro"/>
          <w:lang w:val="en-US"/>
        </w:rPr>
        <w:t>computed as actual default</w:t>
      </w:r>
      <w:r w:rsidR="006A5851">
        <w:rPr>
          <w:rFonts w:ascii="Akkurat Light Pro" w:hAnsi="Akkurat Light Pro"/>
          <w:lang w:val="en-US"/>
        </w:rPr>
        <w:t>, i.e. false positives</w:t>
      </w:r>
      <w:r w:rsidR="00AE38DE">
        <w:rPr>
          <w:rFonts w:ascii="Akkurat Light Pro" w:hAnsi="Akkurat Light Pro"/>
          <w:lang w:val="en-US"/>
        </w:rPr>
        <w:t xml:space="preserve">. </w:t>
      </w:r>
      <w:r w:rsidR="00251097">
        <w:rPr>
          <w:rFonts w:ascii="Akkurat Light Pro" w:hAnsi="Akkurat Light Pro"/>
          <w:lang w:val="en-US"/>
        </w:rPr>
        <w:t xml:space="preserve">Option 2 is the preferred one because it really leaves out virtually all cases of technical default, as intended, without representing any material departure from the general principle of computing all true defaults for regulatory modelling purposes. </w:t>
      </w:r>
      <w:r w:rsidR="00B74261">
        <w:rPr>
          <w:rFonts w:ascii="Akkurat Light Pro" w:hAnsi="Akkurat Light Pro"/>
          <w:lang w:val="en-US"/>
        </w:rPr>
        <w:t xml:space="preserve">Expert judgment could complement the quantitative thresholds to identify remaining cases of technical default. </w:t>
      </w:r>
    </w:p>
    <w:p w14:paraId="098EAA22" w14:textId="60C979B6" w:rsidR="00106526" w:rsidRDefault="00106526" w:rsidP="00AE38DE">
      <w:pPr>
        <w:jc w:val="both"/>
        <w:rPr>
          <w:rFonts w:ascii="Akkurat Light Pro" w:hAnsi="Akkurat Light Pro"/>
          <w:lang w:val="en-US"/>
        </w:rPr>
      </w:pPr>
      <w:r w:rsidRPr="00AE38DE">
        <w:rPr>
          <w:rFonts w:ascii="Akkurat Light Pro" w:hAnsi="Akkurat Light Pro"/>
          <w:lang w:val="en-US"/>
        </w:rPr>
        <w:t xml:space="preserve">Option 1 </w:t>
      </w:r>
      <w:r w:rsidR="00AE38DE">
        <w:rPr>
          <w:rFonts w:ascii="Akkurat Light Pro" w:hAnsi="Akkurat Light Pro"/>
          <w:lang w:val="en-US"/>
        </w:rPr>
        <w:t xml:space="preserve">does not seem to be a plausible solution as it </w:t>
      </w:r>
      <w:r w:rsidRPr="00AE38DE">
        <w:rPr>
          <w:rFonts w:ascii="Akkurat Light Pro" w:hAnsi="Akkurat Light Pro"/>
          <w:lang w:val="en-US"/>
        </w:rPr>
        <w:t xml:space="preserve">would flag defaults for residual negligible due amounts of smaller clients </w:t>
      </w:r>
      <w:r w:rsidR="00AE38DE" w:rsidRPr="00AE38DE">
        <w:rPr>
          <w:rFonts w:ascii="Akkurat Light Pro" w:hAnsi="Akkurat Light Pro"/>
          <w:lang w:val="en-US"/>
        </w:rPr>
        <w:t>(e.g. €</w:t>
      </w:r>
      <w:r w:rsidR="00706839">
        <w:rPr>
          <w:rFonts w:ascii="Akkurat Light Pro" w:hAnsi="Akkurat Light Pro"/>
          <w:lang w:val="en-US"/>
        </w:rPr>
        <w:t>25</w:t>
      </w:r>
      <w:r w:rsidR="00AE38DE" w:rsidRPr="00AE38DE">
        <w:rPr>
          <w:rFonts w:ascii="Akkurat Light Pro" w:hAnsi="Akkurat Light Pro"/>
          <w:lang w:val="en-US"/>
        </w:rPr>
        <w:t xml:space="preserve"> past due for technical reasons </w:t>
      </w:r>
      <w:r w:rsidR="00BA3DCF">
        <w:rPr>
          <w:rFonts w:ascii="Akkurat Light Pro" w:hAnsi="Akkurat Light Pro"/>
          <w:lang w:val="en-US"/>
        </w:rPr>
        <w:t>o</w:t>
      </w:r>
      <w:r w:rsidR="00AE38DE" w:rsidRPr="00AE38DE">
        <w:rPr>
          <w:rFonts w:ascii="Akkurat Light Pro" w:hAnsi="Akkurat Light Pro"/>
          <w:lang w:val="en-US"/>
        </w:rPr>
        <w:t>n a €</w:t>
      </w:r>
      <w:r w:rsidR="00706839">
        <w:rPr>
          <w:rFonts w:ascii="Akkurat Light Pro" w:hAnsi="Akkurat Light Pro"/>
          <w:lang w:val="en-US"/>
        </w:rPr>
        <w:t>6</w:t>
      </w:r>
      <w:r w:rsidR="00AE38DE" w:rsidRPr="00AE38DE">
        <w:rPr>
          <w:rFonts w:ascii="Akkurat Light Pro" w:hAnsi="Akkurat Light Pro"/>
          <w:lang w:val="en-US"/>
        </w:rPr>
        <w:t xml:space="preserve">00 outstanding debt) </w:t>
      </w:r>
      <w:r w:rsidRPr="00AE38DE">
        <w:rPr>
          <w:rFonts w:ascii="Akkurat Light Pro" w:hAnsi="Akkurat Light Pro"/>
          <w:lang w:val="en-US"/>
        </w:rPr>
        <w:t xml:space="preserve">and it would </w:t>
      </w:r>
      <w:r w:rsidR="00AE38DE" w:rsidRPr="00AE38DE">
        <w:rPr>
          <w:rFonts w:ascii="Akkurat Light Pro" w:hAnsi="Akkurat Light Pro"/>
          <w:lang w:val="en-US"/>
        </w:rPr>
        <w:t xml:space="preserve">also mark as default relatively small hitches like a technical overdraft of €600 in a large corporate with €10 million exposure. </w:t>
      </w:r>
    </w:p>
    <w:p w14:paraId="648B750D" w14:textId="2A8F06A6" w:rsidR="00CE1049" w:rsidRDefault="00CE1049" w:rsidP="00AE38DE">
      <w:pPr>
        <w:jc w:val="both"/>
        <w:rPr>
          <w:rFonts w:ascii="Akkurat Light Pro" w:hAnsi="Akkurat Light Pro"/>
          <w:lang w:val="en-US"/>
        </w:rPr>
      </w:pPr>
      <w:r>
        <w:rPr>
          <w:rFonts w:ascii="Akkurat Light Pro" w:hAnsi="Akkurat Light Pro"/>
          <w:lang w:val="en-US"/>
        </w:rPr>
        <w:t xml:space="preserve">Option 1 would lead to a vast number of technical defaults being computed as </w:t>
      </w:r>
      <w:r w:rsidR="00F173D7">
        <w:rPr>
          <w:rFonts w:ascii="Akkurat Light Pro" w:hAnsi="Akkurat Light Pro"/>
          <w:lang w:val="en-US"/>
        </w:rPr>
        <w:t>true</w:t>
      </w:r>
      <w:r>
        <w:rPr>
          <w:rFonts w:ascii="Akkurat Light Pro" w:hAnsi="Akkurat Light Pro"/>
          <w:lang w:val="en-US"/>
        </w:rPr>
        <w:t xml:space="preserve"> defaults thus distorting the meaning of the internal risk model results mainly because: </w:t>
      </w:r>
    </w:p>
    <w:p w14:paraId="7A27753D" w14:textId="72D28BDE" w:rsidR="00CE1049" w:rsidRDefault="00CE1049" w:rsidP="00CE1049">
      <w:pPr>
        <w:pStyle w:val="ListParagraph"/>
        <w:numPr>
          <w:ilvl w:val="0"/>
          <w:numId w:val="4"/>
        </w:numPr>
        <w:jc w:val="both"/>
        <w:rPr>
          <w:rFonts w:ascii="Akkurat Light Pro" w:hAnsi="Akkurat Light Pro"/>
          <w:lang w:val="en-US"/>
        </w:rPr>
      </w:pPr>
      <w:r w:rsidRPr="00CE1049">
        <w:rPr>
          <w:rFonts w:ascii="Akkurat Light Pro" w:hAnsi="Akkurat Light Pro"/>
          <w:lang w:val="en-US"/>
        </w:rPr>
        <w:lastRenderedPageBreak/>
        <w:t xml:space="preserve">Technical defaults </w:t>
      </w:r>
      <w:r>
        <w:rPr>
          <w:rFonts w:ascii="Akkurat Light Pro" w:hAnsi="Akkurat Light Pro"/>
          <w:lang w:val="en-US"/>
        </w:rPr>
        <w:t xml:space="preserve">add to the number of defaults used </w:t>
      </w:r>
      <w:r w:rsidR="00F173D7">
        <w:rPr>
          <w:rFonts w:ascii="Akkurat Light Pro" w:hAnsi="Akkurat Light Pro"/>
          <w:lang w:val="en-US"/>
        </w:rPr>
        <w:t xml:space="preserve">for </w:t>
      </w:r>
      <w:r w:rsidR="00AF4CA9">
        <w:rPr>
          <w:rFonts w:ascii="Akkurat Light Pro" w:hAnsi="Akkurat Light Pro"/>
          <w:lang w:val="en-US"/>
        </w:rPr>
        <w:t>P</w:t>
      </w:r>
      <w:r w:rsidR="00F173D7">
        <w:rPr>
          <w:rFonts w:ascii="Akkurat Light Pro" w:hAnsi="Akkurat Light Pro"/>
          <w:lang w:val="en-US"/>
        </w:rPr>
        <w:t xml:space="preserve">robability of Default (PD) purposes </w:t>
      </w:r>
      <w:r>
        <w:rPr>
          <w:rFonts w:ascii="Akkurat Light Pro" w:hAnsi="Akkurat Light Pro"/>
          <w:lang w:val="en-US"/>
        </w:rPr>
        <w:t xml:space="preserve">in internal models as if they were </w:t>
      </w:r>
      <w:r w:rsidR="00F173D7">
        <w:rPr>
          <w:rFonts w:ascii="Akkurat Light Pro" w:hAnsi="Akkurat Light Pro"/>
          <w:lang w:val="en-US"/>
        </w:rPr>
        <w:t xml:space="preserve">true and </w:t>
      </w:r>
      <w:r>
        <w:rPr>
          <w:rFonts w:ascii="Akkurat Light Pro" w:hAnsi="Akkurat Light Pro"/>
          <w:lang w:val="en-US"/>
        </w:rPr>
        <w:t xml:space="preserve">full defaults; </w:t>
      </w:r>
    </w:p>
    <w:p w14:paraId="6F45EE4C" w14:textId="6EF35BEA" w:rsidR="00CE1049" w:rsidRPr="00D545C0" w:rsidRDefault="00CE1049" w:rsidP="00D545C0">
      <w:pPr>
        <w:pStyle w:val="ListParagraph"/>
        <w:numPr>
          <w:ilvl w:val="0"/>
          <w:numId w:val="4"/>
        </w:numPr>
        <w:jc w:val="both"/>
        <w:rPr>
          <w:rFonts w:ascii="Akkurat Light Pro" w:hAnsi="Akkurat Light Pro"/>
          <w:lang w:val="en-US"/>
        </w:rPr>
      </w:pPr>
      <w:r>
        <w:rPr>
          <w:rFonts w:ascii="Akkurat Light Pro" w:hAnsi="Akkurat Light Pro"/>
          <w:lang w:val="en-US"/>
        </w:rPr>
        <w:t xml:space="preserve">Technical defaults are usually resolved in a short time and give rise to recoveries thus distorting as well the meaning of the Loss Given Default (LGD) parameter. </w:t>
      </w:r>
      <w:r w:rsidRPr="00CE1049">
        <w:rPr>
          <w:rFonts w:ascii="Akkurat Light Pro" w:hAnsi="Akkurat Light Pro"/>
          <w:lang w:val="en-US"/>
        </w:rPr>
        <w:t xml:space="preserve">  </w:t>
      </w:r>
      <w:r w:rsidRPr="00D545C0">
        <w:rPr>
          <w:rFonts w:ascii="Akkurat Light Pro" w:hAnsi="Akkurat Light Pro"/>
          <w:lang w:val="en-US"/>
        </w:rPr>
        <w:t xml:space="preserve"> </w:t>
      </w:r>
    </w:p>
    <w:p w14:paraId="31E8E826" w14:textId="04672C80" w:rsidR="00251097" w:rsidRDefault="00251097" w:rsidP="00251097">
      <w:pPr>
        <w:jc w:val="both"/>
        <w:rPr>
          <w:rFonts w:ascii="Akkurat Light Pro" w:hAnsi="Akkurat Light Pro"/>
          <w:lang w:val="en-US"/>
        </w:rPr>
      </w:pPr>
      <w:r>
        <w:rPr>
          <w:rFonts w:ascii="Akkurat Light Pro" w:hAnsi="Akkurat Light Pro"/>
          <w:lang w:val="en-US"/>
        </w:rPr>
        <w:t xml:space="preserve">In addition, the use of option 1 implies that the mere breach of an absolute threshold would trigger the </w:t>
      </w:r>
      <w:r w:rsidR="00D138C8">
        <w:rPr>
          <w:rFonts w:ascii="Akkurat Light Pro" w:hAnsi="Akkurat Light Pro"/>
          <w:lang w:val="en-US"/>
        </w:rPr>
        <w:t xml:space="preserve">default mark with no regard to the relative materiality. In consequence, it would lead to the following problems: </w:t>
      </w:r>
    </w:p>
    <w:p w14:paraId="604C8841" w14:textId="77777777" w:rsidR="00D138C8" w:rsidRDefault="00D138C8" w:rsidP="00D138C8">
      <w:pPr>
        <w:pStyle w:val="ListParagraph"/>
        <w:numPr>
          <w:ilvl w:val="0"/>
          <w:numId w:val="7"/>
        </w:numPr>
        <w:jc w:val="both"/>
        <w:rPr>
          <w:rFonts w:ascii="Akkurat Light Pro" w:hAnsi="Akkurat Light Pro"/>
          <w:lang w:val="en-US"/>
        </w:rPr>
      </w:pPr>
      <w:r>
        <w:rPr>
          <w:rFonts w:ascii="Akkurat Light Pro" w:hAnsi="Akkurat Light Pro"/>
          <w:lang w:val="en-US"/>
        </w:rPr>
        <w:t xml:space="preserve">Differences across countries and markets (e.g. in relative prices) would be disregarded; </w:t>
      </w:r>
    </w:p>
    <w:p w14:paraId="36E31426" w14:textId="1D6014D9" w:rsidR="00251097" w:rsidRPr="00385980" w:rsidRDefault="00D138C8" w:rsidP="00EA339D">
      <w:pPr>
        <w:pStyle w:val="ListParagraph"/>
        <w:numPr>
          <w:ilvl w:val="0"/>
          <w:numId w:val="7"/>
        </w:numPr>
        <w:jc w:val="both"/>
        <w:rPr>
          <w:rFonts w:ascii="Akkurat Light Pro" w:hAnsi="Akkurat Light Pro"/>
          <w:lang w:val="en-US"/>
        </w:rPr>
      </w:pPr>
      <w:r w:rsidRPr="00385980">
        <w:rPr>
          <w:rFonts w:ascii="Akkurat Light Pro" w:hAnsi="Akkurat Light Pro"/>
          <w:lang w:val="en-US"/>
        </w:rPr>
        <w:t>FX volatility would compound the cost of computation for debts denominated in currencies other than Euro notably in EU banking group branches and subsidiaries in third countries. It seems to make little economic sense that a bank has to readjust models and parameters only due to a breach of an absolute threshold after FX fluctuations if the defaulted amount in local currency remains unchanged</w:t>
      </w:r>
      <w:r w:rsidR="00385980">
        <w:rPr>
          <w:rFonts w:ascii="Akkurat Light Pro" w:hAnsi="Akkurat Light Pro"/>
          <w:lang w:val="en-US"/>
        </w:rPr>
        <w:t>.</w:t>
      </w:r>
    </w:p>
    <w:p w14:paraId="29291600" w14:textId="40CE9F83" w:rsidR="001470D2" w:rsidRPr="00B42E28" w:rsidRDefault="001470D2" w:rsidP="001470D2">
      <w:pPr>
        <w:jc w:val="both"/>
        <w:rPr>
          <w:rFonts w:ascii="Akkurat Light Pro" w:hAnsi="Akkurat Light Pro"/>
          <w:b/>
          <w:i/>
          <w:lang w:val="en-US"/>
        </w:rPr>
      </w:pPr>
      <w:r w:rsidRPr="00B42E28">
        <w:rPr>
          <w:rFonts w:ascii="Akkurat Light Pro" w:hAnsi="Akkurat Light Pro"/>
          <w:b/>
          <w:i/>
          <w:lang w:val="en-US"/>
        </w:rPr>
        <w:t>Q2: Do you agree with the proposed maximum levels of the thresholds?</w:t>
      </w:r>
    </w:p>
    <w:p w14:paraId="3274D5A9" w14:textId="00AE5797" w:rsidR="00902115" w:rsidRPr="00EB120A" w:rsidRDefault="00902115" w:rsidP="00EB120A">
      <w:pPr>
        <w:jc w:val="both"/>
        <w:rPr>
          <w:rFonts w:ascii="Akkurat Light Pro" w:hAnsi="Akkurat Light Pro"/>
          <w:lang w:val="en-US"/>
        </w:rPr>
      </w:pPr>
      <w:r>
        <w:rPr>
          <w:rFonts w:ascii="Akkurat Light Pro" w:hAnsi="Akkurat Light Pro"/>
          <w:lang w:val="en-US"/>
        </w:rPr>
        <w:t xml:space="preserve">The relative threshold should be placed, in the EBF opinion, at a level of 4% instead of the 2% proposed in the draft EBA paper. We note that there are currently varying levels of relative threshold in different countries up to 5%; therefore a 4% </w:t>
      </w:r>
      <w:r w:rsidR="00BA3DCF">
        <w:rPr>
          <w:rFonts w:ascii="Akkurat Light Pro" w:hAnsi="Akkurat Light Pro"/>
          <w:lang w:val="en-US"/>
        </w:rPr>
        <w:t xml:space="preserve">threshold </w:t>
      </w:r>
      <w:r>
        <w:rPr>
          <w:rFonts w:ascii="Akkurat Light Pro" w:hAnsi="Akkurat Light Pro"/>
          <w:lang w:val="en-US"/>
        </w:rPr>
        <w:t xml:space="preserve">could be an intermediate level. </w:t>
      </w:r>
      <w:r w:rsidRPr="00EB120A">
        <w:rPr>
          <w:rFonts w:ascii="Akkurat Light Pro" w:hAnsi="Akkurat Light Pro"/>
          <w:lang w:val="en-US"/>
        </w:rPr>
        <w:t xml:space="preserve"> </w:t>
      </w:r>
    </w:p>
    <w:p w14:paraId="31744EA0" w14:textId="152047C3" w:rsidR="00E60136" w:rsidRDefault="00EB120A" w:rsidP="001470D2">
      <w:pPr>
        <w:jc w:val="both"/>
        <w:rPr>
          <w:rFonts w:ascii="Akkurat Light Pro" w:hAnsi="Akkurat Light Pro"/>
          <w:lang w:val="en-US"/>
        </w:rPr>
      </w:pPr>
      <w:r>
        <w:rPr>
          <w:rFonts w:ascii="Akkurat Light Pro" w:hAnsi="Akkurat Light Pro"/>
          <w:lang w:val="en-US"/>
        </w:rPr>
        <w:t>Also</w:t>
      </w:r>
      <w:r w:rsidR="00E60136">
        <w:rPr>
          <w:rFonts w:ascii="Akkurat Light Pro" w:hAnsi="Akkurat Light Pro"/>
          <w:lang w:val="en-US"/>
        </w:rPr>
        <w:t xml:space="preserve"> importantly, the following aspects of the calculation should be considered: </w:t>
      </w:r>
    </w:p>
    <w:p w14:paraId="09DF659F" w14:textId="6E85DE5D" w:rsidR="00E60136" w:rsidRDefault="00E60136" w:rsidP="00E60136">
      <w:pPr>
        <w:pStyle w:val="ListParagraph"/>
        <w:numPr>
          <w:ilvl w:val="0"/>
          <w:numId w:val="5"/>
        </w:numPr>
        <w:jc w:val="both"/>
        <w:rPr>
          <w:rFonts w:ascii="Akkurat Light Pro" w:hAnsi="Akkurat Light Pro"/>
          <w:lang w:val="en-US"/>
        </w:rPr>
      </w:pPr>
      <w:r>
        <w:rPr>
          <w:rFonts w:ascii="Akkurat Light Pro" w:hAnsi="Akkurat Light Pro"/>
          <w:lang w:val="en-US"/>
        </w:rPr>
        <w:t xml:space="preserve">The compensation of overdue amounts with unused general credit lines for the same debtor; </w:t>
      </w:r>
    </w:p>
    <w:p w14:paraId="41582B67" w14:textId="5B4A705B" w:rsidR="00E60136" w:rsidRDefault="00E60136" w:rsidP="00E60136">
      <w:pPr>
        <w:pStyle w:val="ListParagraph"/>
        <w:numPr>
          <w:ilvl w:val="0"/>
          <w:numId w:val="5"/>
        </w:numPr>
        <w:jc w:val="both"/>
        <w:rPr>
          <w:rFonts w:ascii="Akkurat Light Pro" w:hAnsi="Akkurat Light Pro"/>
          <w:lang w:val="en-US"/>
        </w:rPr>
      </w:pPr>
      <w:r>
        <w:rPr>
          <w:rFonts w:ascii="Akkurat Light Pro" w:hAnsi="Akkurat Light Pro"/>
          <w:lang w:val="en-US"/>
        </w:rPr>
        <w:t xml:space="preserve">The count of past due days could start only after the materiality threshold is exceeded; </w:t>
      </w:r>
    </w:p>
    <w:p w14:paraId="2BFB1B13" w14:textId="136AEC2D" w:rsidR="00E60136" w:rsidRPr="00E60136" w:rsidRDefault="00E60136" w:rsidP="00E60136">
      <w:pPr>
        <w:pStyle w:val="ListParagraph"/>
        <w:numPr>
          <w:ilvl w:val="0"/>
          <w:numId w:val="5"/>
        </w:numPr>
        <w:jc w:val="both"/>
        <w:rPr>
          <w:rFonts w:ascii="Akkurat Light Pro" w:hAnsi="Akkurat Light Pro"/>
          <w:lang w:val="en-US"/>
        </w:rPr>
      </w:pPr>
      <w:r>
        <w:rPr>
          <w:rFonts w:ascii="Akkurat Light Pro" w:hAnsi="Akkurat Light Pro"/>
          <w:lang w:val="en-US"/>
        </w:rPr>
        <w:t>The amount of reference should be the actual past due balance</w:t>
      </w:r>
      <w:r w:rsidR="00EB120A">
        <w:rPr>
          <w:rFonts w:ascii="Akkurat Light Pro" w:hAnsi="Akkurat Light Pro"/>
          <w:lang w:val="en-US"/>
        </w:rPr>
        <w:t xml:space="preserve">. </w:t>
      </w:r>
    </w:p>
    <w:p w14:paraId="626C386D" w14:textId="72D8FBAB" w:rsidR="008D70EE" w:rsidRPr="00B42E28" w:rsidRDefault="00B42E28" w:rsidP="00B42E28">
      <w:pPr>
        <w:jc w:val="both"/>
        <w:rPr>
          <w:rFonts w:ascii="Akkurat Light Pro" w:hAnsi="Akkurat Light Pro"/>
          <w:b/>
          <w:i/>
          <w:lang w:val="en-US"/>
        </w:rPr>
      </w:pPr>
      <w:r w:rsidRPr="00B42E28">
        <w:rPr>
          <w:rFonts w:ascii="Akkurat Light Pro" w:hAnsi="Akkurat Light Pro"/>
          <w:b/>
          <w:i/>
          <w:lang w:val="en-US"/>
        </w:rPr>
        <w:t>Q3: How much time is necessary to implement the threshold set by the competent authority according to this proposed draft RTS? Given current practices, what is the scope of work required to achieve compliance?</w:t>
      </w:r>
    </w:p>
    <w:p w14:paraId="4CB40A36" w14:textId="52254379" w:rsidR="00AD4BC0" w:rsidRDefault="00336366" w:rsidP="00B42E28">
      <w:pPr>
        <w:jc w:val="both"/>
        <w:rPr>
          <w:rFonts w:ascii="Akkurat Light Pro" w:hAnsi="Akkurat Light Pro"/>
          <w:lang w:val="en-US"/>
        </w:rPr>
      </w:pPr>
      <w:r>
        <w:rPr>
          <w:rFonts w:ascii="Akkurat Light Pro" w:hAnsi="Akkurat Light Pro"/>
          <w:lang w:val="en-US"/>
        </w:rPr>
        <w:lastRenderedPageBreak/>
        <w:t xml:space="preserve">We note that a 2-year period is proposed in the RTS but </w:t>
      </w:r>
      <w:r w:rsidR="00AD4BC0">
        <w:rPr>
          <w:rFonts w:ascii="Akkurat Light Pro" w:hAnsi="Akkurat Light Pro"/>
          <w:lang w:val="en-US"/>
        </w:rPr>
        <w:t xml:space="preserve">institutions would have to collect 5 years of data for the calculations of risk parameters with the new thresholds. Therefore, the period proposed is not considered a feasible scenario in practice. </w:t>
      </w:r>
    </w:p>
    <w:p w14:paraId="08788DEE" w14:textId="7AE61832" w:rsidR="00336366" w:rsidRDefault="00E37F76" w:rsidP="00B42E28">
      <w:pPr>
        <w:jc w:val="both"/>
        <w:rPr>
          <w:rFonts w:ascii="Akkurat Light Pro" w:hAnsi="Akkurat Light Pro"/>
          <w:lang w:val="en-US"/>
        </w:rPr>
      </w:pPr>
      <w:r>
        <w:rPr>
          <w:rFonts w:ascii="Akkurat Light Pro" w:hAnsi="Akkurat Light Pro"/>
          <w:lang w:val="en-US"/>
        </w:rPr>
        <w:t xml:space="preserve">We </w:t>
      </w:r>
      <w:r w:rsidR="008E19D3">
        <w:rPr>
          <w:rFonts w:ascii="Akkurat Light Pro" w:hAnsi="Akkurat Light Pro"/>
          <w:lang w:val="en-US"/>
        </w:rPr>
        <w:t xml:space="preserve">also </w:t>
      </w:r>
      <w:r>
        <w:rPr>
          <w:rFonts w:ascii="Akkurat Light Pro" w:hAnsi="Akkurat Light Pro"/>
          <w:lang w:val="en-US"/>
        </w:rPr>
        <w:t>note that c</w:t>
      </w:r>
      <w:r w:rsidRPr="0030105F">
        <w:rPr>
          <w:rFonts w:ascii="Akkurat Light Pro" w:hAnsi="Akkurat Light Pro"/>
          <w:lang w:val="en-US"/>
        </w:rPr>
        <w:t>hanges in the definition of default is one of the measures that require</w:t>
      </w:r>
      <w:r w:rsidR="00BA3DCF">
        <w:rPr>
          <w:rFonts w:ascii="Akkurat Light Pro" w:hAnsi="Akkurat Light Pro"/>
          <w:lang w:val="en-US"/>
        </w:rPr>
        <w:t>s</w:t>
      </w:r>
      <w:r w:rsidRPr="0030105F">
        <w:rPr>
          <w:rFonts w:ascii="Akkurat Light Pro" w:hAnsi="Akkurat Light Pro"/>
          <w:lang w:val="en-US"/>
        </w:rPr>
        <w:t xml:space="preserve"> competent authorities' approval according to </w:t>
      </w:r>
      <w:r w:rsidR="00D238E7">
        <w:rPr>
          <w:rFonts w:ascii="Akkurat Light Pro" w:hAnsi="Akkurat Light Pro"/>
          <w:lang w:val="en-US"/>
        </w:rPr>
        <w:t xml:space="preserve">the </w:t>
      </w:r>
      <w:r w:rsidRPr="0030105F">
        <w:rPr>
          <w:rFonts w:ascii="Akkurat Light Pro" w:hAnsi="Akkurat Light Pro"/>
          <w:lang w:val="en-US"/>
        </w:rPr>
        <w:t>Commission</w:t>
      </w:r>
      <w:r w:rsidR="00D238E7">
        <w:rPr>
          <w:rFonts w:ascii="Akkurat Light Pro" w:hAnsi="Akkurat Light Pro"/>
          <w:lang w:val="en-US"/>
        </w:rPr>
        <w:t>’s</w:t>
      </w:r>
      <w:r w:rsidRPr="0030105F">
        <w:rPr>
          <w:rFonts w:ascii="Akkurat Light Pro" w:hAnsi="Akkurat Light Pro"/>
          <w:lang w:val="en-US"/>
        </w:rPr>
        <w:t xml:space="preserve"> Delegated Regulation</w:t>
      </w:r>
      <w:r>
        <w:rPr>
          <w:rStyle w:val="FootnoteReference"/>
          <w:rFonts w:ascii="Akkurat Light Pro" w:hAnsi="Akkurat Light Pro"/>
          <w:lang w:val="en-US"/>
        </w:rPr>
        <w:footnoteReference w:id="1"/>
      </w:r>
      <w:r w:rsidRPr="0030105F">
        <w:rPr>
          <w:rFonts w:ascii="Akkurat Light Pro" w:hAnsi="Akkurat Light Pro"/>
          <w:lang w:val="en-US"/>
        </w:rPr>
        <w:t xml:space="preserve">. </w:t>
      </w:r>
      <w:r>
        <w:rPr>
          <w:rFonts w:ascii="Akkurat Light Pro" w:hAnsi="Akkurat Light Pro"/>
          <w:lang w:val="en-US"/>
        </w:rPr>
        <w:t xml:space="preserve">For the sake of clarity, the EBA </w:t>
      </w:r>
      <w:r w:rsidR="003949E3">
        <w:rPr>
          <w:rFonts w:ascii="Akkurat Light Pro" w:hAnsi="Akkurat Light Pro"/>
          <w:lang w:val="en-US"/>
        </w:rPr>
        <w:t>Regulatory Technical Standards (</w:t>
      </w:r>
      <w:r>
        <w:rPr>
          <w:rFonts w:ascii="Akkurat Light Pro" w:hAnsi="Akkurat Light Pro"/>
          <w:lang w:val="en-US"/>
        </w:rPr>
        <w:t>RTS</w:t>
      </w:r>
      <w:r w:rsidR="003949E3">
        <w:rPr>
          <w:rFonts w:ascii="Akkurat Light Pro" w:hAnsi="Akkurat Light Pro"/>
          <w:lang w:val="en-US"/>
        </w:rPr>
        <w:t>)</w:t>
      </w:r>
      <w:r>
        <w:rPr>
          <w:rFonts w:ascii="Akkurat Light Pro" w:hAnsi="Akkurat Light Pro"/>
          <w:lang w:val="en-US"/>
        </w:rPr>
        <w:t xml:space="preserve"> </w:t>
      </w:r>
      <w:r w:rsidRPr="0030105F">
        <w:rPr>
          <w:rFonts w:ascii="Akkurat Light Pro" w:hAnsi="Akkurat Light Pro"/>
          <w:lang w:val="en-US"/>
        </w:rPr>
        <w:t xml:space="preserve">should </w:t>
      </w:r>
      <w:r>
        <w:rPr>
          <w:rFonts w:ascii="Akkurat Light Pro" w:hAnsi="Akkurat Light Pro"/>
          <w:lang w:val="en-US"/>
        </w:rPr>
        <w:t>specify that</w:t>
      </w:r>
      <w:r w:rsidRPr="0030105F">
        <w:rPr>
          <w:rFonts w:ascii="Akkurat Light Pro" w:hAnsi="Akkurat Light Pro"/>
          <w:lang w:val="en-US"/>
        </w:rPr>
        <w:t xml:space="preserve"> changes due to regulatory amendments do not lead to the abovementioned approval process.</w:t>
      </w:r>
      <w:r>
        <w:rPr>
          <w:rFonts w:ascii="Akkurat Light Pro" w:hAnsi="Akkurat Light Pro"/>
          <w:lang w:val="en-US"/>
        </w:rPr>
        <w:t xml:space="preserve"> But if the final RTS require</w:t>
      </w:r>
      <w:r w:rsidR="00BA3DCF">
        <w:rPr>
          <w:rFonts w:ascii="Akkurat Light Pro" w:hAnsi="Akkurat Light Pro"/>
          <w:lang w:val="en-US"/>
        </w:rPr>
        <w:t>s</w:t>
      </w:r>
      <w:r>
        <w:rPr>
          <w:rFonts w:ascii="Akkurat Light Pro" w:hAnsi="Akkurat Light Pro"/>
          <w:lang w:val="en-US"/>
        </w:rPr>
        <w:t xml:space="preserve"> changes to be signed</w:t>
      </w:r>
      <w:r w:rsidR="00BA3DCF">
        <w:rPr>
          <w:rFonts w:ascii="Akkurat Light Pro" w:hAnsi="Akkurat Light Pro"/>
          <w:lang w:val="en-US"/>
        </w:rPr>
        <w:t>-</w:t>
      </w:r>
      <w:r>
        <w:rPr>
          <w:rFonts w:ascii="Akkurat Light Pro" w:hAnsi="Akkurat Light Pro"/>
          <w:lang w:val="en-US"/>
        </w:rPr>
        <w:t xml:space="preserve">off by competent authorities then the time for supervisory review and approval should be factored into the implementation period, taking into account that </w:t>
      </w:r>
      <w:r w:rsidR="003949E3">
        <w:rPr>
          <w:rFonts w:ascii="Akkurat Light Pro" w:hAnsi="Akkurat Light Pro"/>
          <w:lang w:val="en-US"/>
        </w:rPr>
        <w:t xml:space="preserve">the supervisory review </w:t>
      </w:r>
      <w:r w:rsidR="00E7092A">
        <w:rPr>
          <w:rFonts w:ascii="Akkurat Light Pro" w:hAnsi="Akkurat Light Pro"/>
          <w:lang w:val="en-US"/>
        </w:rPr>
        <w:t>could take</w:t>
      </w:r>
      <w:r w:rsidR="003949E3">
        <w:rPr>
          <w:rFonts w:ascii="Akkurat Light Pro" w:hAnsi="Akkurat Light Pro"/>
          <w:lang w:val="en-US"/>
        </w:rPr>
        <w:t xml:space="preserve"> almost one year in </w:t>
      </w:r>
      <w:r>
        <w:rPr>
          <w:rFonts w:ascii="Akkurat Light Pro" w:hAnsi="Akkurat Light Pro"/>
          <w:lang w:val="en-US"/>
        </w:rPr>
        <w:t xml:space="preserve">some jurisdictions. </w:t>
      </w:r>
    </w:p>
    <w:p w14:paraId="3824B666" w14:textId="7FE09AF0" w:rsidR="00133E91" w:rsidRDefault="00133E91" w:rsidP="009B14E0">
      <w:pPr>
        <w:jc w:val="both"/>
        <w:rPr>
          <w:rFonts w:ascii="Akkurat Light Pro" w:hAnsi="Akkurat Light Pro"/>
          <w:lang w:val="en-US"/>
        </w:rPr>
      </w:pPr>
      <w:r>
        <w:rPr>
          <w:rFonts w:ascii="Akkurat Light Pro" w:hAnsi="Akkurat Light Pro"/>
          <w:lang w:val="en-US"/>
        </w:rPr>
        <w:t>It is also important to consider</w:t>
      </w:r>
      <w:r w:rsidRPr="00133E91">
        <w:rPr>
          <w:rFonts w:ascii="Akkurat Light Pro" w:hAnsi="Akkurat Light Pro"/>
          <w:lang w:val="en-US"/>
        </w:rPr>
        <w:t xml:space="preserve"> </w:t>
      </w:r>
      <w:r>
        <w:rPr>
          <w:rFonts w:ascii="Akkurat Light Pro" w:hAnsi="Akkurat Light Pro"/>
          <w:lang w:val="en-US"/>
        </w:rPr>
        <w:t xml:space="preserve">that </w:t>
      </w:r>
      <w:r w:rsidRPr="00133E91">
        <w:rPr>
          <w:rFonts w:ascii="Akkurat Light Pro" w:hAnsi="Akkurat Light Pro"/>
          <w:lang w:val="en-US"/>
        </w:rPr>
        <w:t xml:space="preserve">the Basel Committee is </w:t>
      </w:r>
      <w:r w:rsidR="00250237">
        <w:rPr>
          <w:rFonts w:ascii="Akkurat Light Pro" w:hAnsi="Akkurat Light Pro"/>
          <w:lang w:val="en-US"/>
        </w:rPr>
        <w:t>known to be preparing</w:t>
      </w:r>
      <w:r w:rsidRPr="00133E91">
        <w:rPr>
          <w:rFonts w:ascii="Akkurat Light Pro" w:hAnsi="Akkurat Light Pro"/>
          <w:lang w:val="en-US"/>
        </w:rPr>
        <w:t xml:space="preserve"> a review of the IRB approach </w:t>
      </w:r>
      <w:r w:rsidR="00250237">
        <w:rPr>
          <w:rFonts w:ascii="Akkurat Light Pro" w:hAnsi="Akkurat Light Pro"/>
          <w:lang w:val="en-US"/>
        </w:rPr>
        <w:t>for</w:t>
      </w:r>
      <w:r w:rsidRPr="00133E91">
        <w:rPr>
          <w:rFonts w:ascii="Akkurat Light Pro" w:hAnsi="Akkurat Light Pro"/>
          <w:lang w:val="en-US"/>
        </w:rPr>
        <w:t xml:space="preserve"> credit risk. Should the EBA’s RTS be adopted prior to the Basel Committee proposals, </w:t>
      </w:r>
      <w:r w:rsidR="00250237">
        <w:rPr>
          <w:rFonts w:ascii="Akkurat Light Pro" w:hAnsi="Akkurat Light Pro"/>
          <w:lang w:val="en-US"/>
        </w:rPr>
        <w:t xml:space="preserve">EBF </w:t>
      </w:r>
      <w:r w:rsidRPr="00133E91">
        <w:rPr>
          <w:rFonts w:ascii="Akkurat Light Pro" w:hAnsi="Akkurat Light Pro"/>
          <w:lang w:val="en-US"/>
        </w:rPr>
        <w:t xml:space="preserve">members believe it is crucial that the European approach is </w:t>
      </w:r>
      <w:proofErr w:type="spellStart"/>
      <w:r w:rsidRPr="00133E91">
        <w:rPr>
          <w:rFonts w:ascii="Akkurat Light Pro" w:hAnsi="Akkurat Light Pro"/>
          <w:lang w:val="en-US"/>
        </w:rPr>
        <w:t>recogni</w:t>
      </w:r>
      <w:r w:rsidR="00BA3DCF">
        <w:rPr>
          <w:rFonts w:ascii="Akkurat Light Pro" w:hAnsi="Akkurat Light Pro"/>
          <w:lang w:val="en-US"/>
        </w:rPr>
        <w:t>s</w:t>
      </w:r>
      <w:r w:rsidRPr="00133E91">
        <w:rPr>
          <w:rFonts w:ascii="Akkurat Light Pro" w:hAnsi="Akkurat Light Pro"/>
          <w:lang w:val="en-US"/>
        </w:rPr>
        <w:t>ed</w:t>
      </w:r>
      <w:proofErr w:type="spellEnd"/>
      <w:r w:rsidRPr="00133E91">
        <w:rPr>
          <w:rFonts w:ascii="Akkurat Light Pro" w:hAnsi="Akkurat Light Pro"/>
          <w:lang w:val="en-US"/>
        </w:rPr>
        <w:t xml:space="preserve"> as being compatible within the </w:t>
      </w:r>
      <w:r w:rsidR="00250237">
        <w:rPr>
          <w:rFonts w:ascii="Akkurat Light Pro" w:hAnsi="Akkurat Light Pro"/>
          <w:lang w:val="en-US"/>
        </w:rPr>
        <w:t>BCBS</w:t>
      </w:r>
      <w:r w:rsidRPr="00133E91">
        <w:rPr>
          <w:rFonts w:ascii="Akkurat Light Pro" w:hAnsi="Akkurat Light Pro"/>
          <w:lang w:val="en-US"/>
        </w:rPr>
        <w:t xml:space="preserve"> framework given its potentially far</w:t>
      </w:r>
      <w:r w:rsidR="00BA3DCF">
        <w:rPr>
          <w:rFonts w:ascii="Akkurat Light Pro" w:hAnsi="Akkurat Light Pro"/>
          <w:lang w:val="en-US"/>
        </w:rPr>
        <w:t>-</w:t>
      </w:r>
      <w:r w:rsidRPr="00133E91">
        <w:rPr>
          <w:rFonts w:ascii="Akkurat Light Pro" w:hAnsi="Akkurat Light Pro"/>
          <w:lang w:val="en-US"/>
        </w:rPr>
        <w:t xml:space="preserve">reaching implications for banks' internal models and data </w:t>
      </w:r>
      <w:proofErr w:type="gramStart"/>
      <w:r w:rsidRPr="00133E91">
        <w:rPr>
          <w:rFonts w:ascii="Akkurat Light Pro" w:hAnsi="Akkurat Light Pro"/>
          <w:lang w:val="en-US"/>
        </w:rPr>
        <w:t>series.</w:t>
      </w:r>
      <w:proofErr w:type="gramEnd"/>
      <w:r>
        <w:rPr>
          <w:rFonts w:ascii="Akkurat Light Pro" w:hAnsi="Akkurat Light Pro"/>
          <w:lang w:val="en-US"/>
        </w:rPr>
        <w:t xml:space="preserve"> </w:t>
      </w:r>
    </w:p>
    <w:p w14:paraId="0E835C50" w14:textId="0D2545B0" w:rsidR="00B42E28" w:rsidRPr="009B14E0" w:rsidRDefault="009B14E0" w:rsidP="006A5851">
      <w:pPr>
        <w:spacing w:before="240"/>
        <w:jc w:val="both"/>
        <w:rPr>
          <w:rFonts w:ascii="Akkurat Light Pro" w:hAnsi="Akkurat Light Pro"/>
          <w:b/>
          <w:i/>
          <w:lang w:val="en-US"/>
        </w:rPr>
      </w:pPr>
      <w:r w:rsidRPr="009B14E0">
        <w:rPr>
          <w:rFonts w:ascii="Akkurat Light Pro" w:hAnsi="Akkurat Light Pro"/>
          <w:b/>
          <w:i/>
          <w:lang w:val="en-US"/>
        </w:rPr>
        <w:t>Q4: Do you agree with the assessment of costs and benefits of these proposed draft RTS?</w:t>
      </w:r>
    </w:p>
    <w:p w14:paraId="43898714" w14:textId="101ACEAC" w:rsidR="009B14E0" w:rsidRDefault="009B14E0" w:rsidP="00B42E28">
      <w:pPr>
        <w:jc w:val="both"/>
        <w:rPr>
          <w:rFonts w:ascii="Akkurat Light Pro" w:hAnsi="Akkurat Light Pro"/>
          <w:lang w:val="en-US"/>
        </w:rPr>
      </w:pPr>
      <w:r>
        <w:rPr>
          <w:rFonts w:ascii="Akkurat Light Pro" w:hAnsi="Akkurat Light Pro"/>
          <w:lang w:val="en-US"/>
        </w:rPr>
        <w:t xml:space="preserve">In general, the adjustments to datasets, the re-calibration of risk parameters and the implementation of model changes will mean a significant burden for banks. These costs would be exacerbated if the change is intended to be applied retrospectively and, in many cases, it could be unfeasible due to </w:t>
      </w:r>
      <w:r w:rsidR="00B5324D">
        <w:rPr>
          <w:rFonts w:ascii="Akkurat Light Pro" w:hAnsi="Akkurat Light Pro"/>
          <w:lang w:val="en-US"/>
        </w:rPr>
        <w:t>unavailability of</w:t>
      </w:r>
      <w:r>
        <w:rPr>
          <w:rFonts w:ascii="Akkurat Light Pro" w:hAnsi="Akkurat Light Pro"/>
          <w:lang w:val="en-US"/>
        </w:rPr>
        <w:t xml:space="preserve"> data. </w:t>
      </w:r>
    </w:p>
    <w:p w14:paraId="3320DFAD" w14:textId="2B5B0C6E" w:rsidR="009B14E0" w:rsidRDefault="009B14E0" w:rsidP="00B42E28">
      <w:pPr>
        <w:jc w:val="both"/>
        <w:rPr>
          <w:rFonts w:ascii="Akkurat Light Pro" w:hAnsi="Akkurat Light Pro"/>
          <w:lang w:val="en-US"/>
        </w:rPr>
      </w:pPr>
      <w:r>
        <w:rPr>
          <w:rFonts w:ascii="Akkurat Light Pro" w:hAnsi="Akkurat Light Pro"/>
          <w:lang w:val="en-US"/>
        </w:rPr>
        <w:t>Against this background, the most cost-efficient solution is to grant a sufficiently long transition period during which legacy data bases could still be used</w:t>
      </w:r>
      <w:r w:rsidR="00070CBF">
        <w:rPr>
          <w:rFonts w:ascii="Akkurat Light Pro" w:hAnsi="Akkurat Light Pro"/>
          <w:lang w:val="en-US"/>
        </w:rPr>
        <w:t xml:space="preserve">. </w:t>
      </w:r>
    </w:p>
    <w:p w14:paraId="76A1770B" w14:textId="566B834C" w:rsidR="00C022D8" w:rsidRDefault="00070CBF" w:rsidP="00B42E28">
      <w:pPr>
        <w:jc w:val="both"/>
        <w:rPr>
          <w:rFonts w:ascii="Akkurat Light Pro" w:hAnsi="Akkurat Light Pro"/>
          <w:lang w:val="en-US"/>
        </w:rPr>
      </w:pPr>
      <w:r>
        <w:rPr>
          <w:rFonts w:ascii="Akkurat Light Pro" w:hAnsi="Akkurat Light Pro"/>
          <w:lang w:val="en-US"/>
        </w:rPr>
        <w:t xml:space="preserve">Option 2 would be more affordable as it is supposed to produce less changes to existing data. </w:t>
      </w:r>
    </w:p>
    <w:p w14:paraId="5729FE4D" w14:textId="005E8FC3" w:rsidR="009B14E0" w:rsidRPr="00FA1E7E" w:rsidRDefault="00FA1E7E" w:rsidP="00B42E28">
      <w:pPr>
        <w:jc w:val="both"/>
        <w:rPr>
          <w:rFonts w:ascii="Akkurat Light Pro" w:hAnsi="Akkurat Light Pro"/>
          <w:b/>
          <w:i/>
          <w:lang w:val="en-US"/>
        </w:rPr>
      </w:pPr>
      <w:r w:rsidRPr="00FA1E7E">
        <w:rPr>
          <w:rFonts w:ascii="Akkurat Light Pro" w:hAnsi="Akkurat Light Pro"/>
          <w:b/>
          <w:i/>
          <w:lang w:val="en-US"/>
        </w:rPr>
        <w:t>Q5: What is the expected impact of these proposed draft RTS?</w:t>
      </w:r>
    </w:p>
    <w:p w14:paraId="3B5D6F56" w14:textId="58FE93CE" w:rsidR="009B14E0" w:rsidRDefault="00F7166C" w:rsidP="00B42E28">
      <w:pPr>
        <w:jc w:val="both"/>
        <w:rPr>
          <w:rFonts w:ascii="Akkurat Light Pro" w:hAnsi="Akkurat Light Pro"/>
          <w:lang w:val="en-US"/>
        </w:rPr>
      </w:pPr>
      <w:r>
        <w:rPr>
          <w:rFonts w:ascii="Akkurat Light Pro" w:hAnsi="Akkurat Light Pro"/>
          <w:lang w:val="en-US"/>
        </w:rPr>
        <w:lastRenderedPageBreak/>
        <w:t xml:space="preserve">The overall impact of these changes will be considerably high. However it can be reduced as long as the following points are observed. There are </w:t>
      </w:r>
      <w:r w:rsidR="006C08CD">
        <w:rPr>
          <w:rFonts w:ascii="Akkurat Light Pro" w:hAnsi="Akkurat Light Pro"/>
          <w:lang w:val="en-US"/>
        </w:rPr>
        <w:t>two</w:t>
      </w:r>
      <w:r>
        <w:rPr>
          <w:rFonts w:ascii="Akkurat Light Pro" w:hAnsi="Akkurat Light Pro"/>
          <w:lang w:val="en-US"/>
        </w:rPr>
        <w:t xml:space="preserve"> main sources of cost:  </w:t>
      </w:r>
    </w:p>
    <w:p w14:paraId="5613BE0E" w14:textId="572062C7" w:rsidR="006C08CD" w:rsidRDefault="00F7166C" w:rsidP="006C08CD">
      <w:pPr>
        <w:pStyle w:val="ListParagraph"/>
        <w:numPr>
          <w:ilvl w:val="0"/>
          <w:numId w:val="9"/>
        </w:numPr>
        <w:jc w:val="both"/>
        <w:rPr>
          <w:rFonts w:ascii="Akkurat Light Pro" w:hAnsi="Akkurat Light Pro"/>
          <w:lang w:val="en-US"/>
        </w:rPr>
      </w:pPr>
      <w:r w:rsidRPr="006C08CD">
        <w:rPr>
          <w:rFonts w:ascii="Akkurat Light Pro" w:hAnsi="Akkurat Light Pro"/>
          <w:lang w:val="en-US"/>
        </w:rPr>
        <w:t>Data systems and IT adaptations</w:t>
      </w:r>
      <w:r w:rsidR="006C08CD" w:rsidRPr="006C08CD">
        <w:rPr>
          <w:rFonts w:ascii="Akkurat Light Pro" w:hAnsi="Akkurat Light Pro"/>
          <w:lang w:val="en-US"/>
        </w:rPr>
        <w:t xml:space="preserve"> as well as </w:t>
      </w:r>
      <w:r w:rsidR="006C08CD">
        <w:rPr>
          <w:rFonts w:ascii="Akkurat Light Pro" w:hAnsi="Akkurat Light Pro"/>
          <w:lang w:val="en-US"/>
        </w:rPr>
        <w:t>h</w:t>
      </w:r>
      <w:r w:rsidRPr="006C08CD">
        <w:rPr>
          <w:rFonts w:ascii="Akkurat Light Pro" w:hAnsi="Akkurat Light Pro"/>
          <w:lang w:val="en-US"/>
        </w:rPr>
        <w:t>uman resources devoted to the change</w:t>
      </w:r>
      <w:r w:rsidR="006C08CD">
        <w:rPr>
          <w:rFonts w:ascii="Akkurat Light Pro" w:hAnsi="Akkurat Light Pro"/>
          <w:lang w:val="en-US"/>
        </w:rPr>
        <w:t xml:space="preserve">: </w:t>
      </w:r>
      <w:r w:rsidR="00F668C0" w:rsidRPr="006C08CD">
        <w:rPr>
          <w:rFonts w:ascii="Akkurat Light Pro" w:hAnsi="Akkurat Light Pro"/>
          <w:lang w:val="en-US"/>
        </w:rPr>
        <w:t xml:space="preserve"> </w:t>
      </w:r>
    </w:p>
    <w:p w14:paraId="1D6030E8" w14:textId="4E6EF135" w:rsidR="00F7166C" w:rsidRPr="006C08CD" w:rsidRDefault="00F668C0" w:rsidP="006C08CD">
      <w:pPr>
        <w:ind w:left="708"/>
        <w:jc w:val="both"/>
        <w:rPr>
          <w:rFonts w:ascii="Akkurat Light Pro" w:hAnsi="Akkurat Light Pro"/>
          <w:lang w:val="en-US"/>
        </w:rPr>
      </w:pPr>
      <w:r w:rsidRPr="006C08CD">
        <w:rPr>
          <w:rFonts w:ascii="Akkurat Light Pro" w:hAnsi="Akkurat Light Pro"/>
          <w:lang w:val="en-US"/>
        </w:rPr>
        <w:t>A streamlined process for supervisory model approval for changes due to the adaptation of the materiality threshold</w:t>
      </w:r>
      <w:r w:rsidR="00832A88" w:rsidRPr="006C08CD">
        <w:rPr>
          <w:rFonts w:ascii="Akkurat Light Pro" w:hAnsi="Akkurat Light Pro"/>
          <w:lang w:val="en-US"/>
        </w:rPr>
        <w:t>, or the absence thereof,</w:t>
      </w:r>
      <w:r w:rsidRPr="006C08CD">
        <w:rPr>
          <w:rFonts w:ascii="Akkurat Light Pro" w:hAnsi="Akkurat Light Pro"/>
          <w:lang w:val="en-US"/>
        </w:rPr>
        <w:t xml:space="preserve"> would partially alleviate the burden. </w:t>
      </w:r>
      <w:r w:rsidR="00F7166C" w:rsidRPr="006C08CD">
        <w:rPr>
          <w:rFonts w:ascii="Akkurat Light Pro" w:hAnsi="Akkurat Light Pro"/>
          <w:lang w:val="en-US"/>
        </w:rPr>
        <w:t xml:space="preserve">  </w:t>
      </w:r>
    </w:p>
    <w:p w14:paraId="49529811" w14:textId="66A4D78E" w:rsidR="006C08CD" w:rsidRDefault="006C08CD" w:rsidP="006C08CD">
      <w:pPr>
        <w:pStyle w:val="ListParagraph"/>
        <w:numPr>
          <w:ilvl w:val="0"/>
          <w:numId w:val="9"/>
        </w:numPr>
        <w:jc w:val="both"/>
        <w:rPr>
          <w:rFonts w:ascii="Akkurat Light Pro" w:hAnsi="Akkurat Light Pro"/>
          <w:lang w:val="en-US"/>
        </w:rPr>
      </w:pPr>
      <w:r>
        <w:rPr>
          <w:rFonts w:ascii="Akkurat Light Pro" w:hAnsi="Akkurat Light Pro"/>
          <w:lang w:val="en-US"/>
        </w:rPr>
        <w:t>Variation</w:t>
      </w:r>
      <w:r w:rsidR="00BA3DCF">
        <w:rPr>
          <w:rFonts w:ascii="Akkurat Light Pro" w:hAnsi="Akkurat Light Pro"/>
          <w:lang w:val="en-US"/>
        </w:rPr>
        <w:t>s</w:t>
      </w:r>
      <w:r>
        <w:rPr>
          <w:rFonts w:ascii="Akkurat Light Pro" w:hAnsi="Akkurat Light Pro"/>
          <w:lang w:val="en-US"/>
        </w:rPr>
        <w:t xml:space="preserve"> in Risk Weighted Assets (RWA): </w:t>
      </w:r>
    </w:p>
    <w:p w14:paraId="3B42D351" w14:textId="4F8B5706" w:rsidR="00F7166C" w:rsidRPr="006C08CD" w:rsidRDefault="00F668C0" w:rsidP="006C08CD">
      <w:pPr>
        <w:ind w:left="708"/>
        <w:jc w:val="both"/>
        <w:rPr>
          <w:rFonts w:ascii="Akkurat Light Pro" w:hAnsi="Akkurat Light Pro"/>
          <w:lang w:val="en-US"/>
        </w:rPr>
      </w:pPr>
      <w:r w:rsidRPr="006C08CD">
        <w:rPr>
          <w:rFonts w:ascii="Akkurat Light Pro" w:hAnsi="Akkurat Light Pro"/>
          <w:lang w:val="en-US"/>
        </w:rPr>
        <w:t xml:space="preserve">Option 1 would </w:t>
      </w:r>
      <w:r w:rsidR="00D238E7" w:rsidRPr="006C08CD">
        <w:rPr>
          <w:rFonts w:ascii="Akkurat Light Pro" w:hAnsi="Akkurat Light Pro"/>
          <w:lang w:val="en-US"/>
        </w:rPr>
        <w:t xml:space="preserve">leave more cases of true technical default out of scope. This could potentially lead to variations in risk weighted assets which impact is not easy to estimate with precision. </w:t>
      </w:r>
      <w:r w:rsidR="00BA3DCF">
        <w:rPr>
          <w:rFonts w:ascii="Akkurat Light Pro" w:hAnsi="Akkurat Light Pro"/>
          <w:lang w:val="en-US"/>
        </w:rPr>
        <w:t>Whereas</w:t>
      </w:r>
      <w:r w:rsidR="00D238E7" w:rsidRPr="006C08CD">
        <w:rPr>
          <w:rFonts w:ascii="Akkurat Light Pro" w:hAnsi="Akkurat Light Pro"/>
          <w:lang w:val="en-US"/>
        </w:rPr>
        <w:t xml:space="preserve"> option 2 captures a wider range of true technical defaults therefore it is more accurate for modelling purposes. </w:t>
      </w:r>
      <w:r w:rsidRPr="006C08CD">
        <w:rPr>
          <w:rFonts w:ascii="Akkurat Light Pro" w:hAnsi="Akkurat Light Pro"/>
          <w:lang w:val="en-US"/>
        </w:rPr>
        <w:t xml:space="preserve">  </w:t>
      </w:r>
      <w:r w:rsidR="00832A88" w:rsidRPr="006C08CD">
        <w:rPr>
          <w:rFonts w:ascii="Akkurat Light Pro" w:hAnsi="Akkurat Light Pro"/>
          <w:lang w:val="en-US"/>
        </w:rPr>
        <w:t xml:space="preserve"> </w:t>
      </w:r>
    </w:p>
    <w:p w14:paraId="0BEEB2A5" w14:textId="77777777" w:rsidR="00FA1E7E" w:rsidRPr="00B42E28" w:rsidRDefault="00FA1E7E" w:rsidP="00B42E28">
      <w:pPr>
        <w:jc w:val="both"/>
        <w:rPr>
          <w:rFonts w:ascii="Akkurat Light Pro" w:hAnsi="Akkurat Light Pro"/>
          <w:lang w:val="en-US"/>
        </w:rPr>
      </w:pPr>
    </w:p>
    <w:sectPr w:rsidR="00FA1E7E" w:rsidRPr="00B42E2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C3870" w14:textId="77777777" w:rsidR="00EC197F" w:rsidRDefault="00EC197F" w:rsidP="00F77EAA">
      <w:pPr>
        <w:spacing w:after="0" w:line="240" w:lineRule="auto"/>
      </w:pPr>
      <w:r>
        <w:separator/>
      </w:r>
    </w:p>
  </w:endnote>
  <w:endnote w:type="continuationSeparator" w:id="0">
    <w:p w14:paraId="626C3871" w14:textId="77777777" w:rsidR="00EC197F" w:rsidRDefault="00EC197F" w:rsidP="00F7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3873" w14:textId="77777777" w:rsidR="00F77EAA" w:rsidRPr="00F77EAA" w:rsidRDefault="003B054D" w:rsidP="00F77EAA">
    <w:pPr>
      <w:pStyle w:val="Footer"/>
    </w:pPr>
    <w:r>
      <w:rPr>
        <w:noProof/>
        <w:lang w:val="en-GB" w:eastAsia="en-GB"/>
      </w:rPr>
      <mc:AlternateContent>
        <mc:Choice Requires="wps">
          <w:drawing>
            <wp:anchor distT="0" distB="0" distL="114300" distR="114300" simplePos="0" relativeHeight="251662336" behindDoc="0" locked="0" layoutInCell="1" allowOverlap="1" wp14:anchorId="626C3876" wp14:editId="626C3877">
              <wp:simplePos x="0" y="0"/>
              <wp:positionH relativeFrom="margin">
                <wp:posOffset>893</wp:posOffset>
              </wp:positionH>
              <wp:positionV relativeFrom="paragraph">
                <wp:posOffset>-252557</wp:posOffset>
              </wp:positionV>
              <wp:extent cx="240223" cy="247972"/>
              <wp:effectExtent l="0" t="0" r="7620" b="0"/>
              <wp:wrapNone/>
              <wp:docPr id="3" name="Rectangle 3"/>
              <wp:cNvGraphicFramePr/>
              <a:graphic xmlns:a="http://schemas.openxmlformats.org/drawingml/2006/main">
                <a:graphicData uri="http://schemas.microsoft.com/office/word/2010/wordprocessingShape">
                  <wps:wsp>
                    <wps:cNvSpPr/>
                    <wps:spPr>
                      <a:xfrm>
                        <a:off x="0" y="0"/>
                        <a:ext cx="240223" cy="247972"/>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44262" id="Rectangle 3" o:spid="_x0000_s1026" style="position:absolute;margin-left:.05pt;margin-top:-19.9pt;width:18.9pt;height:1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" fillcolor="#f90" stroked="f" strokeweight="1pt">
              <w10:wrap anchorx="margin"/>
            </v:rect>
          </w:pict>
        </mc:Fallback>
      </mc:AlternateContent>
    </w:r>
    <w:r>
      <w:rPr>
        <w:noProof/>
        <w:lang w:val="en-GB" w:eastAsia="en-GB"/>
      </w:rPr>
      <mc:AlternateContent>
        <mc:Choice Requires="wps">
          <w:drawing>
            <wp:anchor distT="45720" distB="45720" distL="114300" distR="114300" simplePos="0" relativeHeight="251661312" behindDoc="0" locked="0" layoutInCell="1" allowOverlap="1" wp14:anchorId="626C3878" wp14:editId="626C3879">
              <wp:simplePos x="0" y="0"/>
              <wp:positionH relativeFrom="margin">
                <wp:posOffset>237490</wp:posOffset>
              </wp:positionH>
              <wp:positionV relativeFrom="paragraph">
                <wp:posOffset>-306705</wp:posOffset>
              </wp:positionV>
              <wp:extent cx="534162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1404620"/>
                      </a:xfrm>
                      <a:prstGeom prst="rect">
                        <a:avLst/>
                      </a:prstGeom>
                      <a:solidFill>
                        <a:srgbClr val="FFFFFF"/>
                      </a:solidFill>
                      <a:ln w="9525">
                        <a:noFill/>
                        <a:miter lim="800000"/>
                        <a:headEnd/>
                        <a:tailEnd/>
                      </a:ln>
                    </wps:spPr>
                    <wps:txbx>
                      <w:txbxContent>
                        <w:p w14:paraId="626C387A" w14:textId="77777777"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w:t>
                          </w:r>
                          <w:proofErr w:type="spellStart"/>
                          <w:r w:rsidRPr="002A12F7">
                            <w:rPr>
                              <w:rFonts w:ascii="Tahoma" w:hAnsi="Tahoma" w:cs="Tahoma"/>
                              <w:color w:val="A6A6A6" w:themeColor="background1" w:themeShade="A6"/>
                              <w:sz w:val="15"/>
                              <w:szCs w:val="15"/>
                              <w:lang w:val="en-GB"/>
                            </w:rPr>
                            <w:t>aisbl</w:t>
                          </w:r>
                          <w:proofErr w:type="spellEnd"/>
                          <w:r w:rsidR="002A12F7" w:rsidRPr="002A12F7">
                            <w:rPr>
                              <w:rFonts w:ascii="Tahoma" w:hAnsi="Tahoma" w:cs="Tahoma"/>
                              <w:color w:val="A6A6A6" w:themeColor="background1" w:themeShade="A6"/>
                              <w:sz w:val="15"/>
                              <w:szCs w:val="15"/>
                              <w:lang w:val="en-GB"/>
                            </w:rPr>
                            <w:t xml:space="preserve"> </w:t>
                          </w:r>
                          <w:proofErr w:type="gramStart"/>
                          <w:r w:rsidR="002A12F7"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56</w:t>
                          </w:r>
                          <w:proofErr w:type="gramEnd"/>
                          <w:r w:rsidR="002A12F7">
                            <w:rPr>
                              <w:rFonts w:ascii="Tahoma" w:hAnsi="Tahoma" w:cs="Tahoma"/>
                              <w:color w:val="A6A6A6" w:themeColor="background1" w:themeShade="A6"/>
                              <w:sz w:val="15"/>
                              <w:szCs w:val="15"/>
                              <w:lang w:val="en-GB"/>
                            </w:rPr>
                            <w:t xml:space="preserve">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1" w:history="1">
                            <w:r w:rsidRPr="002A12F7">
                              <w:rPr>
                                <w:rStyle w:val="Hyperlink"/>
                                <w:rFonts w:ascii="Tahoma" w:hAnsi="Tahoma" w:cs="Tahoma"/>
                                <w:color w:val="A6A6A6" w:themeColor="background1" w:themeShade="A6"/>
                                <w:sz w:val="15"/>
                                <w:szCs w:val="15"/>
                                <w:lang w:val="en-GB"/>
                              </w:rPr>
                              <w:t>www.ebf-fbe.eu</w:t>
                            </w:r>
                          </w:hyperlink>
                        </w:p>
                        <w:p w14:paraId="626C387B" w14:textId="77777777" w:rsidR="00F77EAA" w:rsidRPr="002A12F7" w:rsidRDefault="00F77EAA">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C3878" id="_x0000_t202" coordsize="21600,21600" o:spt="202" path="m,l,21600r21600,l21600,xe">
              <v:stroke joinstyle="miter"/>
              <v:path gradientshapeok="t" o:connecttype="rect"/>
            </v:shapetype>
            <v:shape id="Text Box 2" o:spid="_x0000_s1026" type="#_x0000_t202" style="position:absolute;margin-left:18.7pt;margin-top:-24.15pt;width:420.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" stroked="f">
              <v:textbox style="mso-fit-shape-to-text:t">
                <w:txbxContent>
                  <w:p w14:paraId="626C387A" w14:textId="77777777"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w:t>
                    </w:r>
                    <w:proofErr w:type="spellStart"/>
                    <w:r w:rsidRPr="002A12F7">
                      <w:rPr>
                        <w:rFonts w:ascii="Tahoma" w:hAnsi="Tahoma" w:cs="Tahoma"/>
                        <w:color w:val="A6A6A6" w:themeColor="background1" w:themeShade="A6"/>
                        <w:sz w:val="15"/>
                        <w:szCs w:val="15"/>
                        <w:lang w:val="en-GB"/>
                      </w:rPr>
                      <w:t>aisbl</w:t>
                    </w:r>
                    <w:proofErr w:type="spellEnd"/>
                    <w:r w:rsidR="002A12F7" w:rsidRPr="002A12F7">
                      <w:rPr>
                        <w:rFonts w:ascii="Tahoma" w:hAnsi="Tahoma" w:cs="Tahoma"/>
                        <w:color w:val="A6A6A6" w:themeColor="background1" w:themeShade="A6"/>
                        <w:sz w:val="15"/>
                        <w:szCs w:val="15"/>
                        <w:lang w:val="en-GB"/>
                      </w:rPr>
                      <w:t xml:space="preserve"> </w:t>
                    </w:r>
                    <w:proofErr w:type="gramStart"/>
                    <w:r w:rsidR="002A12F7"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56</w:t>
                    </w:r>
                    <w:proofErr w:type="gramEnd"/>
                    <w:r w:rsidR="002A12F7">
                      <w:rPr>
                        <w:rFonts w:ascii="Tahoma" w:hAnsi="Tahoma" w:cs="Tahoma"/>
                        <w:color w:val="A6A6A6" w:themeColor="background1" w:themeShade="A6"/>
                        <w:sz w:val="15"/>
                        <w:szCs w:val="15"/>
                        <w:lang w:val="en-GB"/>
                      </w:rPr>
                      <w:t xml:space="preserve">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2" w:history="1">
                      <w:r w:rsidRPr="002A12F7">
                        <w:rPr>
                          <w:rStyle w:val="Hyperlink"/>
                          <w:rFonts w:ascii="Tahoma" w:hAnsi="Tahoma" w:cs="Tahoma"/>
                          <w:color w:val="A6A6A6" w:themeColor="background1" w:themeShade="A6"/>
                          <w:sz w:val="15"/>
                          <w:szCs w:val="15"/>
                          <w:lang w:val="en-GB"/>
                        </w:rPr>
                        <w:t>www.ebf-fbe.eu</w:t>
                      </w:r>
                    </w:hyperlink>
                  </w:p>
                  <w:p w14:paraId="626C387B" w14:textId="77777777" w:rsidR="00F77EAA" w:rsidRPr="002A12F7" w:rsidRDefault="00F77EAA">
                    <w:pPr>
                      <w:rPr>
                        <w:lang w:val="en-GB"/>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C386E" w14:textId="77777777" w:rsidR="00EC197F" w:rsidRDefault="00EC197F" w:rsidP="00F77EAA">
      <w:pPr>
        <w:spacing w:after="0" w:line="240" w:lineRule="auto"/>
      </w:pPr>
      <w:r>
        <w:separator/>
      </w:r>
    </w:p>
  </w:footnote>
  <w:footnote w:type="continuationSeparator" w:id="0">
    <w:p w14:paraId="626C386F" w14:textId="77777777" w:rsidR="00EC197F" w:rsidRDefault="00EC197F" w:rsidP="00F77EAA">
      <w:pPr>
        <w:spacing w:after="0" w:line="240" w:lineRule="auto"/>
      </w:pPr>
      <w:r>
        <w:continuationSeparator/>
      </w:r>
    </w:p>
  </w:footnote>
  <w:footnote w:id="1">
    <w:p w14:paraId="671C7729" w14:textId="77777777" w:rsidR="00E37F76" w:rsidRPr="008A27B1" w:rsidRDefault="00E37F76" w:rsidP="00E37F76">
      <w:pPr>
        <w:pStyle w:val="FootnoteText"/>
        <w:rPr>
          <w:lang w:val="en-GB"/>
        </w:rPr>
      </w:pPr>
      <w:r>
        <w:rPr>
          <w:rStyle w:val="FootnoteReference"/>
        </w:rPr>
        <w:footnoteRef/>
      </w:r>
      <w:r w:rsidRPr="008A27B1">
        <w:rPr>
          <w:lang w:val="en-GB"/>
        </w:rPr>
        <w:t xml:space="preserve"> No 529/2014, Annex I, part II, section 1, para</w:t>
      </w:r>
      <w:r>
        <w:rPr>
          <w:lang w:val="en-GB"/>
        </w:rPr>
        <w:t>graph</w:t>
      </w:r>
      <w:r w:rsidRPr="008A27B1">
        <w:rPr>
          <w:lang w:val="en-GB"/>
        </w:rPr>
        <w:t xml:space="preserve"> 3</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3872" w14:textId="77777777" w:rsidR="00F77EAA" w:rsidRDefault="00F77EAA">
    <w:pPr>
      <w:pStyle w:val="Header"/>
    </w:pPr>
    <w:r>
      <w:rPr>
        <w:noProof/>
        <w:lang w:val="en-GB" w:eastAsia="en-GB"/>
      </w:rPr>
      <w:drawing>
        <wp:anchor distT="0" distB="0" distL="114300" distR="114300" simplePos="0" relativeHeight="251658240" behindDoc="0" locked="0" layoutInCell="1" allowOverlap="1" wp14:anchorId="626C3874" wp14:editId="626C3875">
          <wp:simplePos x="0" y="0"/>
          <wp:positionH relativeFrom="margin">
            <wp:posOffset>-635</wp:posOffset>
          </wp:positionH>
          <wp:positionV relativeFrom="paragraph">
            <wp:posOffset>-15240</wp:posOffset>
          </wp:positionV>
          <wp:extent cx="1371600" cy="495935"/>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3DF2"/>
    <w:multiLevelType w:val="hybridMultilevel"/>
    <w:tmpl w:val="42368122"/>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55B5BC4"/>
    <w:multiLevelType w:val="hybridMultilevel"/>
    <w:tmpl w:val="66F8D864"/>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D7129D"/>
    <w:multiLevelType w:val="hybridMultilevel"/>
    <w:tmpl w:val="8D300DB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BE389E"/>
    <w:multiLevelType w:val="hybridMultilevel"/>
    <w:tmpl w:val="63D07884"/>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1F76C1"/>
    <w:multiLevelType w:val="hybridMultilevel"/>
    <w:tmpl w:val="236A0882"/>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E36D8"/>
    <w:multiLevelType w:val="hybridMultilevel"/>
    <w:tmpl w:val="7F5EBEC8"/>
    <w:lvl w:ilvl="0" w:tplc="BF12B53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17537A"/>
    <w:multiLevelType w:val="hybridMultilevel"/>
    <w:tmpl w:val="DDCC7B6E"/>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C87297"/>
    <w:multiLevelType w:val="hybridMultilevel"/>
    <w:tmpl w:val="D9A2ABE0"/>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70CBF"/>
    <w:rsid w:val="00106526"/>
    <w:rsid w:val="00133E91"/>
    <w:rsid w:val="00146D8F"/>
    <w:rsid w:val="001470D2"/>
    <w:rsid w:val="001A7957"/>
    <w:rsid w:val="001D56DA"/>
    <w:rsid w:val="001E1BD6"/>
    <w:rsid w:val="00250237"/>
    <w:rsid w:val="00251097"/>
    <w:rsid w:val="002A12F7"/>
    <w:rsid w:val="002F0906"/>
    <w:rsid w:val="002F39C2"/>
    <w:rsid w:val="0030105F"/>
    <w:rsid w:val="00336366"/>
    <w:rsid w:val="00364560"/>
    <w:rsid w:val="00385980"/>
    <w:rsid w:val="003949E3"/>
    <w:rsid w:val="003B054D"/>
    <w:rsid w:val="003E3624"/>
    <w:rsid w:val="0040771B"/>
    <w:rsid w:val="00453F62"/>
    <w:rsid w:val="004C635A"/>
    <w:rsid w:val="005870BC"/>
    <w:rsid w:val="005929D1"/>
    <w:rsid w:val="0063181F"/>
    <w:rsid w:val="00657874"/>
    <w:rsid w:val="00677305"/>
    <w:rsid w:val="006A5851"/>
    <w:rsid w:val="006C08CD"/>
    <w:rsid w:val="00706839"/>
    <w:rsid w:val="007B7768"/>
    <w:rsid w:val="007F604F"/>
    <w:rsid w:val="008038FC"/>
    <w:rsid w:val="00832A88"/>
    <w:rsid w:val="008D70EE"/>
    <w:rsid w:val="008E19D3"/>
    <w:rsid w:val="00902115"/>
    <w:rsid w:val="0091227A"/>
    <w:rsid w:val="00963B39"/>
    <w:rsid w:val="00967C6D"/>
    <w:rsid w:val="009B14E0"/>
    <w:rsid w:val="00A5021C"/>
    <w:rsid w:val="00AD4BC0"/>
    <w:rsid w:val="00AE38DE"/>
    <w:rsid w:val="00AF4CA9"/>
    <w:rsid w:val="00B42E28"/>
    <w:rsid w:val="00B5324D"/>
    <w:rsid w:val="00B74261"/>
    <w:rsid w:val="00BA3DCF"/>
    <w:rsid w:val="00BB1C6E"/>
    <w:rsid w:val="00C022D8"/>
    <w:rsid w:val="00C15802"/>
    <w:rsid w:val="00C85B1D"/>
    <w:rsid w:val="00CE1049"/>
    <w:rsid w:val="00CF4E13"/>
    <w:rsid w:val="00D138C8"/>
    <w:rsid w:val="00D238E7"/>
    <w:rsid w:val="00D545C0"/>
    <w:rsid w:val="00D64E0D"/>
    <w:rsid w:val="00DE0094"/>
    <w:rsid w:val="00E37F76"/>
    <w:rsid w:val="00E60136"/>
    <w:rsid w:val="00E7092A"/>
    <w:rsid w:val="00E76366"/>
    <w:rsid w:val="00EB120A"/>
    <w:rsid w:val="00EC0915"/>
    <w:rsid w:val="00EC197F"/>
    <w:rsid w:val="00F173D7"/>
    <w:rsid w:val="00F608C3"/>
    <w:rsid w:val="00F668C0"/>
    <w:rsid w:val="00F7166C"/>
    <w:rsid w:val="00F77EAA"/>
    <w:rsid w:val="00F94F76"/>
    <w:rsid w:val="00FA1E7E"/>
    <w:rsid w:val="00FF78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6C3862"/>
  <w15:chartTrackingRefBased/>
  <w15:docId w15:val="{F856A746-A8B2-4F24-AFF0-940E93AE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BalloonText">
    <w:name w:val="Balloon Text"/>
    <w:basedOn w:val="Normal"/>
    <w:link w:val="BalloonTextChar"/>
    <w:uiPriority w:val="99"/>
    <w:semiHidden/>
    <w:unhideWhenUsed/>
    <w:rsid w:val="008D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E"/>
    <w:rPr>
      <w:rFonts w:ascii="Segoe UI" w:hAnsi="Segoe UI" w:cs="Segoe UI"/>
      <w:sz w:val="18"/>
      <w:szCs w:val="18"/>
    </w:rPr>
  </w:style>
  <w:style w:type="paragraph" w:styleId="ListParagraph">
    <w:name w:val="List Paragraph"/>
    <w:basedOn w:val="Normal"/>
    <w:uiPriority w:val="34"/>
    <w:qFormat/>
    <w:rsid w:val="00106526"/>
    <w:pPr>
      <w:ind w:left="720"/>
      <w:contextualSpacing/>
    </w:pPr>
  </w:style>
  <w:style w:type="paragraph" w:styleId="FootnoteText">
    <w:name w:val="footnote text"/>
    <w:basedOn w:val="Normal"/>
    <w:link w:val="FootnoteTextChar"/>
    <w:uiPriority w:val="99"/>
    <w:semiHidden/>
    <w:unhideWhenUsed/>
    <w:rsid w:val="00301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05F"/>
    <w:rPr>
      <w:sz w:val="20"/>
      <w:szCs w:val="20"/>
    </w:rPr>
  </w:style>
  <w:style w:type="character" w:styleId="FootnoteReference">
    <w:name w:val="footnote reference"/>
    <w:basedOn w:val="DefaultParagraphFont"/>
    <w:uiPriority w:val="99"/>
    <w:semiHidden/>
    <w:unhideWhenUsed/>
    <w:rsid w:val="00301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BF Document" ma:contentTypeID="0x0101004BE274EDB6DB4922B212C2A6A2929FFF004DD569F5D0557A4482AD8ED755B344F9" ma:contentTypeVersion="13" ma:contentTypeDescription="Create a new document." ma:contentTypeScope="" ma:versionID="95ac098bd477f893e58d782f0cdfe230">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46</ReferenceFileID>
    <DocRef xmlns="8b76e640-9ff4-4d3b-a80d-ae743ace85eb">EBF_012603F</DocRef>
    <DocSnippet xmlns="8b76e640-9ff4-4d3b-a80d-ae743ace85eb">Public Document</DocSnippet>
    <ReferenceVersion xmlns="8b76e640-9ff4-4d3b-a80d-ae743ace85eb">A</ReferenceVersion>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674C-0CEB-4E08-A94F-6DF4DB618A1B}">
  <ds:schemaRefs>
    <ds:schemaRef ds:uri="http://schemas.microsoft.com/sharepoint/v3/contenttype/forms"/>
  </ds:schemaRefs>
</ds:datastoreItem>
</file>

<file path=customXml/itemProps2.xml><?xml version="1.0" encoding="utf-8"?>
<ds:datastoreItem xmlns:ds="http://schemas.openxmlformats.org/officeDocument/2006/customXml" ds:itemID="{C219FF52-97CD-417D-9308-D37C038EC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CCBAF-B518-4B50-8B4B-951656F54453}">
  <ds:schemaRefs>
    <ds:schemaRef ds:uri="http://purl.org/dc/terms/"/>
    <ds:schemaRef ds:uri="http://schemas.microsoft.com/office/2006/documentManagement/types"/>
    <ds:schemaRef ds:uri="http://purl.org/dc/dcmitype/"/>
    <ds:schemaRef ds:uri="http://schemas.openxmlformats.org/package/2006/metadata/core-properties"/>
    <ds:schemaRef ds:uri="8b76e640-9ff4-4d3b-a80d-ae743ace85eb"/>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9BFC76B-FB12-4436-8869-E76DA53A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Gonzalo Gasos</cp:lastModifiedBy>
  <cp:revision>2</cp:revision>
  <cp:lastPrinted>2014-09-18T14:06:00Z</cp:lastPrinted>
  <dcterms:created xsi:type="dcterms:W3CDTF">2015-01-30T15:22:00Z</dcterms:created>
  <dcterms:modified xsi:type="dcterms:W3CDTF">2015-01-30T15:22:00Z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0x0101004BE274EDB6DB4922B212C2A6A2929FFF004DD569F5D0557A4482AD8ED755B344F9</vt:lpwstr>
  </property>
</Properties>
</file>