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szCs w:val="22"/>
          <w:lang w:val="en-GB"/>
        </w:rPr>
        <w:id w:val="2126582917"/>
        <w:docPartObj>
          <w:docPartGallery w:val="Cover Pages"/>
          <w:docPartUnique/>
        </w:docPartObj>
      </w:sdtPr>
      <w:sdtEndPr>
        <w:rPr>
          <w:sz w:val="22"/>
        </w:rPr>
      </w:sdtEndPr>
      <w:sdtContent>
        <w:p w:rsidR="00E00BB5" w:rsidRPr="00B55ADD" w:rsidRDefault="00E00BB5" w:rsidP="00E00BB5">
          <w:pPr>
            <w:rPr>
              <w:lang w:val="en-GB"/>
            </w:rPr>
          </w:pPr>
        </w:p>
        <w:p w:rsidR="0077379B" w:rsidRDefault="00936E72" w:rsidP="00947B0F">
          <w:pPr>
            <w:pStyle w:val="body"/>
          </w:pPr>
          <w:r>
            <w:rPr>
              <w:noProof/>
              <w:lang w:eastAsia="zh-CN"/>
            </w:rPr>
            <w:drawing>
              <wp:inline distT="0" distB="0" distL="0" distR="0" wp14:anchorId="36B261AC" wp14:editId="7459DAD9">
                <wp:extent cx="2683315" cy="985652"/>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ing Stakeholders Group v2.png"/>
                        <pic:cNvPicPr/>
                      </pic:nvPicPr>
                      <pic:blipFill rotWithShape="1">
                        <a:blip r:embed="rId9">
                          <a:extLst>
                            <a:ext uri="{28A0092B-C50C-407E-A947-70E740481C1C}">
                              <a14:useLocalDpi xmlns:a14="http://schemas.microsoft.com/office/drawing/2010/main" val="0"/>
                            </a:ext>
                          </a:extLst>
                        </a:blip>
                        <a:srcRect l="72624"/>
                        <a:stretch/>
                      </pic:blipFill>
                      <pic:spPr bwMode="auto">
                        <a:xfrm>
                          <a:off x="0" y="0"/>
                          <a:ext cx="2747109" cy="1009085"/>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36E72" w:rsidRPr="003055C1" w:rsidRDefault="00936E72" w:rsidP="003055C1">
          <w:pPr>
            <w:pStyle w:val="body"/>
            <w:pBdr>
              <w:top w:val="thickThinLargeGap" w:sz="24" w:space="1" w:color="1163A7"/>
            </w:pBdr>
            <w:spacing w:before="120"/>
            <w:ind w:right="4528"/>
            <w:rPr>
              <w:rFonts w:asciiTheme="majorHAnsi" w:hAnsiTheme="majorHAnsi"/>
              <w:b/>
              <w:smallCaps/>
              <w:color w:val="1163A7"/>
              <w:spacing w:val="26"/>
              <w:sz w:val="32"/>
              <w:szCs w:val="40"/>
            </w:rPr>
          </w:pPr>
          <w:r w:rsidRPr="003055C1">
            <w:rPr>
              <w:rFonts w:asciiTheme="majorHAnsi" w:hAnsiTheme="majorHAnsi"/>
              <w:b/>
              <w:smallCaps/>
              <w:color w:val="1163A7"/>
              <w:spacing w:val="26"/>
              <w:sz w:val="32"/>
              <w:szCs w:val="40"/>
            </w:rPr>
            <w:t>Banking Stakeholder Group</w:t>
          </w:r>
        </w:p>
        <w:p w:rsidR="0077379B" w:rsidRDefault="0077379B" w:rsidP="00947B0F">
          <w:pPr>
            <w:pStyle w:val="body"/>
          </w:pPr>
        </w:p>
        <w:p w:rsidR="003055C1" w:rsidRDefault="003055C1" w:rsidP="00947B0F">
          <w:pPr>
            <w:pStyle w:val="body"/>
          </w:pPr>
        </w:p>
        <w:p w:rsidR="003055C1" w:rsidRPr="00B17013" w:rsidRDefault="003055C1" w:rsidP="00B17013">
          <w:pPr>
            <w:pStyle w:val="body"/>
            <w:jc w:val="center"/>
          </w:pPr>
        </w:p>
        <w:p w:rsidR="00F7249D" w:rsidRPr="00F7249D" w:rsidRDefault="004A1F2A" w:rsidP="00F7249D">
          <w:pPr>
            <w:pStyle w:val="body"/>
            <w:jc w:val="center"/>
            <w:rPr>
              <w:rFonts w:eastAsiaTheme="majorEastAsia" w:cstheme="majorBidi"/>
              <w:caps/>
              <w:color w:val="2F5773" w:themeColor="text2"/>
              <w:sz w:val="26"/>
              <w:szCs w:val="26"/>
              <w:lang w:val="en-US"/>
            </w:rPr>
          </w:pPr>
          <w:r>
            <w:rPr>
              <w:rFonts w:eastAsiaTheme="majorEastAsia" w:cstheme="majorBidi"/>
              <w:caps/>
              <w:color w:val="2F5773" w:themeColor="text2"/>
              <w:sz w:val="26"/>
              <w:szCs w:val="26"/>
            </w:rPr>
            <w:t>CONSULTATION ON EBA/CP/2014/27</w:t>
          </w:r>
          <w:r w:rsidRPr="004A1F2A">
            <w:rPr>
              <w:rFonts w:eastAsiaTheme="majorEastAsia" w:cstheme="majorBidi"/>
              <w:caps/>
              <w:color w:val="2F5773" w:themeColor="text2"/>
              <w:sz w:val="26"/>
              <w:szCs w:val="26"/>
            </w:rPr>
            <w:t xml:space="preserve"> ON</w:t>
          </w:r>
          <w:r w:rsidR="00B17013" w:rsidRPr="00B17013">
            <w:rPr>
              <w:rFonts w:eastAsiaTheme="majorEastAsia" w:cstheme="majorBidi"/>
              <w:caps/>
              <w:color w:val="2F5773" w:themeColor="text2"/>
              <w:sz w:val="26"/>
              <w:szCs w:val="26"/>
            </w:rPr>
            <w:t xml:space="preserve"> </w:t>
          </w:r>
          <w:r w:rsidR="00B420B7">
            <w:rPr>
              <w:rFonts w:eastAsiaTheme="majorEastAsia" w:cstheme="majorBidi"/>
              <w:caps/>
              <w:color w:val="2F5773" w:themeColor="text2"/>
              <w:sz w:val="26"/>
              <w:szCs w:val="26"/>
            </w:rPr>
            <w:t xml:space="preserve">                                </w:t>
          </w:r>
          <w:r w:rsidR="00060CC9">
            <w:rPr>
              <w:rFonts w:eastAsiaTheme="majorEastAsia" w:cstheme="majorBidi"/>
              <w:caps/>
              <w:color w:val="2F5773" w:themeColor="text2"/>
              <w:sz w:val="26"/>
              <w:szCs w:val="26"/>
            </w:rPr>
            <w:t>“</w:t>
          </w:r>
          <w:r w:rsidR="00B17013" w:rsidRPr="00B17013">
            <w:rPr>
              <w:rFonts w:eastAsiaTheme="majorEastAsia" w:cstheme="majorBidi"/>
              <w:caps/>
              <w:color w:val="2F5773" w:themeColor="text2"/>
              <w:sz w:val="26"/>
              <w:szCs w:val="26"/>
            </w:rPr>
            <w:t xml:space="preserve">draft guidelines </w:t>
          </w:r>
          <w:r w:rsidR="00F7249D" w:rsidRPr="00F7249D">
            <w:rPr>
              <w:rFonts w:eastAsiaTheme="majorEastAsia" w:cstheme="majorBidi"/>
              <w:caps/>
              <w:color w:val="2F5773" w:themeColor="text2"/>
              <w:sz w:val="26"/>
              <w:szCs w:val="26"/>
              <w:lang w:val="en-US"/>
            </w:rPr>
            <w:t>on payment commitments under Directive 2014/49/EU on deposit guarantee schemes</w:t>
          </w:r>
          <w:r w:rsidR="00060CC9">
            <w:rPr>
              <w:rFonts w:eastAsiaTheme="majorEastAsia" w:cstheme="majorBidi"/>
              <w:caps/>
              <w:color w:val="2F5773" w:themeColor="text2"/>
              <w:sz w:val="26"/>
              <w:szCs w:val="26"/>
              <w:lang w:val="en-US"/>
            </w:rPr>
            <w:t>”</w:t>
          </w:r>
        </w:p>
        <w:p w:rsidR="00B17013" w:rsidRDefault="00B17013" w:rsidP="003055C1">
          <w:pPr>
            <w:jc w:val="center"/>
            <w:rPr>
              <w:lang w:val="en-GB"/>
            </w:rPr>
          </w:pPr>
        </w:p>
        <w:p w:rsidR="00B17013" w:rsidRDefault="00B17013" w:rsidP="003055C1">
          <w:pPr>
            <w:jc w:val="center"/>
            <w:rPr>
              <w:lang w:val="en-GB"/>
            </w:rPr>
          </w:pPr>
        </w:p>
        <w:p w:rsidR="00947B0F" w:rsidRDefault="00BE38EC" w:rsidP="003055C1">
          <w:pPr>
            <w:jc w:val="center"/>
            <w:rPr>
              <w:szCs w:val="22"/>
              <w:lang w:val="en-GB"/>
            </w:rPr>
          </w:pPr>
        </w:p>
      </w:sdtContent>
    </w:sdt>
    <w:p w:rsidR="00DA2866" w:rsidRPr="00936E72" w:rsidRDefault="00DA2866" w:rsidP="003055C1">
      <w:pPr>
        <w:jc w:val="center"/>
        <w:rPr>
          <w:lang w:val="en-GB"/>
        </w:rPr>
      </w:pPr>
    </w:p>
    <w:p w:rsidR="00947B0F" w:rsidRDefault="0077379B" w:rsidP="003055C1">
      <w:pPr>
        <w:pStyle w:val="Title"/>
        <w:jc w:val="center"/>
      </w:pPr>
      <w:r>
        <w:t xml:space="preserve">General Comments </w:t>
      </w:r>
      <w:r>
        <w:br/>
        <w:t>and Replies to Questions</w:t>
      </w:r>
    </w:p>
    <w:p w:rsidR="00936E72" w:rsidRPr="00936E72" w:rsidRDefault="00936E72" w:rsidP="003055C1">
      <w:pPr>
        <w:pStyle w:val="Subtitle"/>
        <w:jc w:val="center"/>
      </w:pPr>
      <w:r>
        <w:t>By the EBA Banking Stakeholder Group</w:t>
      </w:r>
    </w:p>
    <w:p w:rsidR="00947B0F" w:rsidRDefault="00947B0F" w:rsidP="00947B0F"/>
    <w:p w:rsidR="00936E72" w:rsidRDefault="00936E72" w:rsidP="00947B0F"/>
    <w:p w:rsidR="00936E72" w:rsidRDefault="00936E72"/>
    <w:p w:rsidR="00936E72" w:rsidRDefault="00936E72"/>
    <w:p w:rsidR="00936E72" w:rsidRDefault="00936E72"/>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936E72" w:rsidRDefault="00936E72" w:rsidP="003055C1">
      <w:pPr>
        <w:jc w:val="right"/>
      </w:pPr>
      <w:r>
        <w:t xml:space="preserve">London, </w:t>
      </w:r>
      <w:r w:rsidR="00D46B91">
        <w:t xml:space="preserve">December </w:t>
      </w:r>
      <w:r w:rsidR="00433729">
        <w:rPr>
          <w:highlight w:val="yellow"/>
        </w:rPr>
        <w:t>22nd</w:t>
      </w:r>
      <w:r>
        <w:t>, 2014</w:t>
      </w:r>
      <w:r>
        <w:br w:type="page"/>
      </w:r>
    </w:p>
    <w:p w:rsidR="00936E72" w:rsidRPr="00244B97" w:rsidRDefault="00936E72" w:rsidP="00947B0F"/>
    <w:p w:rsidR="0077379B" w:rsidRPr="003E39C7" w:rsidRDefault="0077379B" w:rsidP="00947B0F">
      <w:pPr>
        <w:pStyle w:val="Titlelevel2"/>
        <w:rPr>
          <w:rFonts w:ascii="Lucida Bright" w:hAnsi="Lucida Bright"/>
        </w:rPr>
      </w:pPr>
      <w:r w:rsidRPr="003E39C7">
        <w:rPr>
          <w:rFonts w:ascii="Lucida Bright" w:hAnsi="Lucida Bright"/>
        </w:rPr>
        <w:t>Foreword</w:t>
      </w:r>
    </w:p>
    <w:p w:rsidR="00501E29" w:rsidRDefault="00501E29" w:rsidP="00C23ED6">
      <w:pPr>
        <w:pStyle w:val="body"/>
        <w:spacing w:after="0" w:line="240" w:lineRule="auto"/>
        <w:jc w:val="both"/>
        <w:rPr>
          <w:lang w:val="en-US"/>
        </w:rPr>
      </w:pPr>
      <w:r w:rsidRPr="00501E29">
        <w:rPr>
          <w:lang w:val="en-US"/>
        </w:rPr>
        <w:t>Directive 2014/49/EU of the European Parliament and of the Council on d</w:t>
      </w:r>
      <w:r w:rsidR="00FA7225">
        <w:rPr>
          <w:lang w:val="en-US"/>
        </w:rPr>
        <w:t>eposit guarantee schemes (DGSD</w:t>
      </w:r>
      <w:r w:rsidRPr="00501E29">
        <w:rPr>
          <w:lang w:val="en-US"/>
        </w:rPr>
        <w:t>), was published in the Official Journal of the European Union on 12 June 2014.</w:t>
      </w:r>
    </w:p>
    <w:p w:rsidR="00501E29" w:rsidRPr="00501E29" w:rsidRDefault="00501E29" w:rsidP="00C23ED6">
      <w:pPr>
        <w:pStyle w:val="body"/>
        <w:spacing w:after="0" w:line="240" w:lineRule="auto"/>
        <w:jc w:val="both"/>
        <w:rPr>
          <w:i/>
          <w:lang w:val="en-US"/>
        </w:rPr>
      </w:pPr>
      <w:r w:rsidRPr="00501E29">
        <w:rPr>
          <w:lang w:val="en-US"/>
        </w:rPr>
        <w:t>DGSD aims at “</w:t>
      </w:r>
      <w:proofErr w:type="spellStart"/>
      <w:r w:rsidRPr="00501E29">
        <w:rPr>
          <w:i/>
          <w:lang w:val="en-US"/>
        </w:rPr>
        <w:t>harmonising</w:t>
      </w:r>
      <w:proofErr w:type="spellEnd"/>
      <w:r w:rsidRPr="00501E29">
        <w:rPr>
          <w:i/>
          <w:lang w:val="en-US"/>
        </w:rPr>
        <w:t xml:space="preserve"> the methods of financing DGSs</w:t>
      </w:r>
      <w:r w:rsidRPr="00501E29">
        <w:rPr>
          <w:lang w:val="en-US"/>
        </w:rPr>
        <w:t xml:space="preserve">”, via a mix of ex ante and ex post contributions. As provided in </w:t>
      </w:r>
      <w:r w:rsidR="004205CD">
        <w:rPr>
          <w:lang w:val="en-US"/>
        </w:rPr>
        <w:t xml:space="preserve">DGSD </w:t>
      </w:r>
      <w:r w:rsidRPr="00501E29">
        <w:rPr>
          <w:lang w:val="en-US"/>
        </w:rPr>
        <w:t xml:space="preserve">recital 34, in order to guarantee that the available financial means of DGSs reach the target level, </w:t>
      </w:r>
      <w:r w:rsidRPr="00501E29">
        <w:rPr>
          <w:i/>
          <w:lang w:val="en-US"/>
        </w:rPr>
        <w:t>“It should be possible for the available financial means of DGSs to include cash, deposits, payment commitments and low-risk assets, which can be liquidated within a short period of time”.</w:t>
      </w:r>
    </w:p>
    <w:p w:rsidR="00DA2866" w:rsidRDefault="00DA2866" w:rsidP="00C23ED6">
      <w:pPr>
        <w:pStyle w:val="body"/>
        <w:spacing w:after="0" w:line="240" w:lineRule="auto"/>
        <w:jc w:val="both"/>
        <w:rPr>
          <w:lang w:val="en-US"/>
        </w:rPr>
      </w:pPr>
      <w:r w:rsidRPr="00E175BC">
        <w:rPr>
          <w:lang w:val="en-US"/>
        </w:rPr>
        <w:t>D</w:t>
      </w:r>
      <w:r>
        <w:rPr>
          <w:lang w:val="en-US"/>
        </w:rPr>
        <w:t>GSD</w:t>
      </w:r>
      <w:r w:rsidRPr="00E175BC">
        <w:rPr>
          <w:lang w:val="en-US"/>
        </w:rPr>
        <w:t xml:space="preserve"> establishes that the available financial means to be taken into account, in order to reach the target level required under Article 10 of DGSD, may include payment commitments as defined in point (13) of Article 2(1).</w:t>
      </w:r>
      <w:r>
        <w:rPr>
          <w:lang w:val="en-US"/>
        </w:rPr>
        <w:t xml:space="preserve"> </w:t>
      </w:r>
    </w:p>
    <w:p w:rsidR="00E175BC" w:rsidRDefault="00501E29" w:rsidP="00C23ED6">
      <w:pPr>
        <w:pStyle w:val="body"/>
        <w:spacing w:after="0" w:line="240" w:lineRule="auto"/>
        <w:jc w:val="both"/>
        <w:rPr>
          <w:lang w:val="en-US"/>
        </w:rPr>
      </w:pPr>
      <w:r w:rsidRPr="00501E29">
        <w:rPr>
          <w:lang w:val="en-US"/>
        </w:rPr>
        <w:t xml:space="preserve">Pursuant to Article 10(3) of the DGSD, the available financial means to be taken into account in order to reach the target level of the DGS may include payment commitment not exceeding 30% of the total amount of available financial means </w:t>
      </w:r>
      <w:proofErr w:type="gramStart"/>
      <w:r w:rsidRPr="00501E29">
        <w:rPr>
          <w:lang w:val="en-US"/>
        </w:rPr>
        <w:t>raised</w:t>
      </w:r>
      <w:proofErr w:type="gramEnd"/>
      <w:r w:rsidRPr="00501E29">
        <w:rPr>
          <w:lang w:val="en-US"/>
        </w:rPr>
        <w:t xml:space="preserve"> in accordance with that Article.</w:t>
      </w:r>
    </w:p>
    <w:p w:rsidR="00501E29" w:rsidRPr="00C50CEC" w:rsidRDefault="00501E29" w:rsidP="00C23ED6">
      <w:pPr>
        <w:pStyle w:val="body"/>
        <w:spacing w:after="0" w:line="240" w:lineRule="auto"/>
        <w:jc w:val="both"/>
      </w:pPr>
      <w:r w:rsidRPr="00E175BC">
        <w:rPr>
          <w:lang w:val="en-US"/>
        </w:rPr>
        <w:t>Under Article 10(3) of DGSD, EBA is required to issue guidelines on payment commitments, in order to ensure consistent application of the Directive.</w:t>
      </w:r>
      <w:r>
        <w:rPr>
          <w:lang w:val="en-US"/>
        </w:rPr>
        <w:t xml:space="preserve"> </w:t>
      </w:r>
      <w:r w:rsidR="00F11C3C" w:rsidRPr="00F11C3C">
        <w:rPr>
          <w:lang w:val="en-US"/>
        </w:rPr>
        <w:t>This response has been prepared on the basis of comments circulated and shared among the BSG members and the BSG’s Technical Working Group on Recovery and Resolution Planning.</w:t>
      </w:r>
      <w:r w:rsidR="00F11C3C">
        <w:rPr>
          <w:lang w:val="en-US"/>
        </w:rPr>
        <w:t xml:space="preserve"> </w:t>
      </w:r>
      <w:r w:rsidRPr="00E175BC">
        <w:rPr>
          <w:lang w:val="en-US"/>
        </w:rPr>
        <w:t>BSG welcomes the opportunity to contribute to the development of the</w:t>
      </w:r>
      <w:r>
        <w:rPr>
          <w:lang w:val="en-US"/>
        </w:rPr>
        <w:t>se</w:t>
      </w:r>
      <w:r w:rsidRPr="00E175BC">
        <w:rPr>
          <w:lang w:val="en-US"/>
        </w:rPr>
        <w:t xml:space="preserve"> guidelines</w:t>
      </w:r>
      <w:r>
        <w:rPr>
          <w:lang w:val="en-US"/>
        </w:rPr>
        <w:t>.</w:t>
      </w:r>
      <w:r w:rsidR="00C50CEC">
        <w:rPr>
          <w:lang w:val="en-US"/>
        </w:rPr>
        <w:t xml:space="preserve"> </w:t>
      </w:r>
      <w:r w:rsidR="00C50CEC" w:rsidRPr="00C50CEC">
        <w:rPr>
          <w:lang w:val="en-US"/>
        </w:rPr>
        <w:t>This response outlines some general comments by the BSG, as well as our detailed answers to some questions indicated in the CP.</w:t>
      </w:r>
    </w:p>
    <w:p w:rsidR="00194B28" w:rsidRDefault="00194B28" w:rsidP="00B17013">
      <w:pPr>
        <w:pStyle w:val="body"/>
      </w:pPr>
    </w:p>
    <w:p w:rsidR="00B17013" w:rsidRPr="00244B97" w:rsidRDefault="00B17013" w:rsidP="00B17013">
      <w:pPr>
        <w:pStyle w:val="Titlelevel2"/>
      </w:pPr>
      <w:r w:rsidRPr="00244B97">
        <w:t>G</w:t>
      </w:r>
      <w:r>
        <w:t>eneral comments</w:t>
      </w:r>
    </w:p>
    <w:p w:rsidR="00FD219D" w:rsidRDefault="00B95FD0" w:rsidP="00C23ED6">
      <w:pPr>
        <w:pStyle w:val="body"/>
        <w:spacing w:after="0" w:line="240" w:lineRule="auto"/>
        <w:jc w:val="both"/>
      </w:pPr>
      <w:r w:rsidRPr="00B95FD0">
        <w:t>BSG welcomes the D</w:t>
      </w:r>
      <w:r w:rsidR="00C0467A">
        <w:t>GSD</w:t>
      </w:r>
      <w:r w:rsidRPr="00B95FD0">
        <w:t xml:space="preserve"> as a measure that should increase the consistency of deposit insurance across the EU and strengthen depositors’ confidence in Deposit Guarantee Schemes.  </w:t>
      </w:r>
    </w:p>
    <w:p w:rsidR="00E175BC" w:rsidRDefault="00B95FD0" w:rsidP="00C23ED6">
      <w:pPr>
        <w:pStyle w:val="body"/>
        <w:spacing w:after="0" w:line="240" w:lineRule="auto"/>
        <w:jc w:val="both"/>
      </w:pPr>
      <w:r w:rsidRPr="00B95FD0">
        <w:t xml:space="preserve">BSG supports the aim for financial institutions themselves to bear the risk of compensating depositors and, in line with this, for Deposit Guarantee Schemes to be financed ex ante.  BSG also recognises that onerous contribution requirements could impair </w:t>
      </w:r>
      <w:r w:rsidR="003E39C7">
        <w:t xml:space="preserve">both </w:t>
      </w:r>
      <w:r w:rsidRPr="00B95FD0">
        <w:t>liquidity and,</w:t>
      </w:r>
      <w:r w:rsidR="003E39C7">
        <w:t xml:space="preserve"> possibly also to a limited extent capital, and</w:t>
      </w:r>
      <w:r w:rsidRPr="00B95FD0">
        <w:t xml:space="preserve"> in turn, the capacity of banks to finance the real economy. BSG therefore supports the possibility for full collateralized payment commitments to be an alternative form of ex ante financing up to 30 per cent of the total amount of available financial means.  BSG agrees that the terms of payment commitment arrangements must be fully consistent with the intended ex ante nature of this form of financing. </w:t>
      </w:r>
    </w:p>
    <w:p w:rsidR="00947B0F" w:rsidRPr="00244B97" w:rsidRDefault="003055C1" w:rsidP="00947B0F">
      <w:pPr>
        <w:pStyle w:val="Titlelevel2"/>
      </w:pPr>
      <w:r>
        <w:lastRenderedPageBreak/>
        <w:t>Replies to Questions</w:t>
      </w:r>
    </w:p>
    <w:p w:rsidR="001B08B6" w:rsidRDefault="001B08B6" w:rsidP="00B17013">
      <w:pPr>
        <w:jc w:val="both"/>
        <w:rPr>
          <w:color w:val="2F5773" w:themeColor="text2"/>
        </w:rPr>
      </w:pPr>
    </w:p>
    <w:p w:rsidR="004179F7" w:rsidRDefault="00433729" w:rsidP="00B17013">
      <w:pPr>
        <w:jc w:val="both"/>
        <w:rPr>
          <w:color w:val="2F5773" w:themeColor="text2"/>
        </w:rPr>
      </w:pPr>
      <w:r>
        <w:rPr>
          <w:color w:val="2F5773" w:themeColor="text2"/>
        </w:rPr>
        <w:t>Question</w:t>
      </w:r>
      <w:r w:rsidR="00F94690">
        <w:rPr>
          <w:color w:val="2F5773" w:themeColor="text2"/>
        </w:rPr>
        <w:t xml:space="preserve"> 1 </w:t>
      </w:r>
    </w:p>
    <w:p w:rsidR="00F94690" w:rsidRDefault="00F94690" w:rsidP="00B17013">
      <w:pPr>
        <w:jc w:val="both"/>
        <w:rPr>
          <w:rFonts w:eastAsia="Batang" w:cs="Times New Roman"/>
          <w:szCs w:val="22"/>
          <w:lang w:val="en-GB" w:eastAsia="ko-KR"/>
        </w:rPr>
      </w:pPr>
      <w:r w:rsidRPr="00F94690">
        <w:rPr>
          <w:color w:val="2F5773" w:themeColor="text2"/>
        </w:rPr>
        <w:t>Apart from the admissibility requirements suggested in the present guidelines, which objective criteria do you think could be applied, notably in order to determine the overall amount of payments to be accepted in a given year, or to be applied to individual banks applying for the option?</w:t>
      </w:r>
    </w:p>
    <w:p w:rsidR="00B17013" w:rsidRPr="00910967" w:rsidRDefault="00910967" w:rsidP="00C23ED6">
      <w:pPr>
        <w:pStyle w:val="body"/>
        <w:spacing w:after="0" w:line="240" w:lineRule="auto"/>
        <w:jc w:val="both"/>
        <w:rPr>
          <w:lang w:val="hu-HU" w:eastAsia="ko-KR"/>
        </w:rPr>
      </w:pPr>
      <w:r w:rsidRPr="00910967">
        <w:rPr>
          <w:lang w:val="hu-HU" w:eastAsia="ko-KR"/>
        </w:rPr>
        <w:t xml:space="preserve">BSG </w:t>
      </w:r>
      <w:proofErr w:type="spellStart"/>
      <w:r w:rsidRPr="00910967">
        <w:rPr>
          <w:lang w:val="hu-HU" w:eastAsia="ko-KR"/>
        </w:rPr>
        <w:t>supports</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interpretation</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w:t>
      </w:r>
      <w:proofErr w:type="spellStart"/>
      <w:r w:rsidRPr="00910967">
        <w:rPr>
          <w:lang w:val="hu-HU" w:eastAsia="ko-KR"/>
        </w:rPr>
        <w:t>Article</w:t>
      </w:r>
      <w:proofErr w:type="spellEnd"/>
      <w:r w:rsidRPr="00910967">
        <w:rPr>
          <w:lang w:val="hu-HU" w:eastAsia="ko-KR"/>
        </w:rPr>
        <w:t xml:space="preserve"> </w:t>
      </w:r>
      <w:proofErr w:type="gramStart"/>
      <w:r w:rsidRPr="00910967">
        <w:rPr>
          <w:lang w:val="hu-HU" w:eastAsia="ko-KR"/>
        </w:rPr>
        <w:t>10(</w:t>
      </w:r>
      <w:proofErr w:type="gramEnd"/>
      <w:r w:rsidRPr="00910967">
        <w:rPr>
          <w:lang w:val="hu-HU" w:eastAsia="ko-KR"/>
        </w:rPr>
        <w:t xml:space="preserve">3) </w:t>
      </w:r>
      <w:proofErr w:type="spellStart"/>
      <w:r w:rsidRPr="00910967">
        <w:rPr>
          <w:lang w:val="hu-HU" w:eastAsia="ko-KR"/>
        </w:rPr>
        <w:t>does</w:t>
      </w:r>
      <w:proofErr w:type="spellEnd"/>
      <w:r w:rsidRPr="00910967">
        <w:rPr>
          <w:lang w:val="hu-HU" w:eastAsia="ko-KR"/>
        </w:rPr>
        <w:t xml:space="preserve"> </w:t>
      </w:r>
      <w:proofErr w:type="spellStart"/>
      <w:r w:rsidRPr="00910967">
        <w:rPr>
          <w:lang w:val="hu-HU" w:eastAsia="ko-KR"/>
        </w:rPr>
        <w:t>not</w:t>
      </w:r>
      <w:proofErr w:type="spellEnd"/>
      <w:r w:rsidRPr="00910967">
        <w:rPr>
          <w:lang w:val="hu-HU" w:eastAsia="ko-KR"/>
        </w:rPr>
        <w:t xml:space="preserve"> </w:t>
      </w:r>
      <w:proofErr w:type="spellStart"/>
      <w:r w:rsidRPr="00910967">
        <w:rPr>
          <w:lang w:val="hu-HU" w:eastAsia="ko-KR"/>
        </w:rPr>
        <w:t>imply</w:t>
      </w:r>
      <w:proofErr w:type="spellEnd"/>
      <w:r w:rsidRPr="00910967">
        <w:rPr>
          <w:lang w:val="hu-HU" w:eastAsia="ko-KR"/>
        </w:rPr>
        <w:t xml:space="preserve"> an </w:t>
      </w:r>
      <w:proofErr w:type="spellStart"/>
      <w:r w:rsidRPr="00910967">
        <w:rPr>
          <w:lang w:val="hu-HU" w:eastAsia="ko-KR"/>
        </w:rPr>
        <w:t>automatic</w:t>
      </w:r>
      <w:proofErr w:type="spellEnd"/>
      <w:r w:rsidRPr="00910967">
        <w:rPr>
          <w:lang w:val="hu-HU" w:eastAsia="ko-KR"/>
        </w:rPr>
        <w:t xml:space="preserve"> right </w:t>
      </w:r>
      <w:proofErr w:type="spellStart"/>
      <w:r w:rsidRPr="00910967">
        <w:rPr>
          <w:lang w:val="hu-HU" w:eastAsia="ko-KR"/>
        </w:rPr>
        <w:t>for</w:t>
      </w:r>
      <w:proofErr w:type="spellEnd"/>
      <w:r w:rsidRPr="00910967">
        <w:rPr>
          <w:lang w:val="hu-HU" w:eastAsia="ko-KR"/>
        </w:rPr>
        <w:t xml:space="preserve"> credit </w:t>
      </w:r>
      <w:proofErr w:type="spellStart"/>
      <w:r w:rsidRPr="00910967">
        <w:rPr>
          <w:lang w:val="hu-HU" w:eastAsia="ko-KR"/>
        </w:rPr>
        <w:t>institutions</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provide</w:t>
      </w:r>
      <w:proofErr w:type="spellEnd"/>
      <w:r w:rsidRPr="00910967">
        <w:rPr>
          <w:lang w:val="hu-HU" w:eastAsia="ko-KR"/>
        </w:rPr>
        <w:t xml:space="preserve"> </w:t>
      </w:r>
      <w:proofErr w:type="spellStart"/>
      <w:r w:rsidRPr="00910967">
        <w:rPr>
          <w:lang w:val="hu-HU" w:eastAsia="ko-KR"/>
        </w:rPr>
        <w:t>contributions</w:t>
      </w:r>
      <w:proofErr w:type="spellEnd"/>
      <w:r w:rsidRPr="00910967">
        <w:rPr>
          <w:lang w:val="hu-HU" w:eastAsia="ko-KR"/>
        </w:rPr>
        <w:t xml:space="preserve"> </w:t>
      </w:r>
      <w:proofErr w:type="spellStart"/>
      <w:r w:rsidRPr="00910967">
        <w:rPr>
          <w:lang w:val="hu-HU" w:eastAsia="ko-KR"/>
        </w:rPr>
        <w:t>in</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form</w:t>
      </w:r>
      <w:proofErr w:type="spellEnd"/>
      <w:r w:rsidRPr="00910967">
        <w:rPr>
          <w:lang w:val="hu-HU" w:eastAsia="ko-KR"/>
        </w:rPr>
        <w:t xml:space="preserve"> of </w:t>
      </w:r>
      <w:proofErr w:type="spellStart"/>
      <w:r w:rsidRPr="00910967">
        <w:rPr>
          <w:lang w:val="hu-HU" w:eastAsia="ko-KR"/>
        </w:rPr>
        <w:t>payment</w:t>
      </w:r>
      <w:proofErr w:type="spellEnd"/>
      <w:r w:rsidRPr="00910967">
        <w:rPr>
          <w:lang w:val="hu-HU" w:eastAsia="ko-KR"/>
        </w:rPr>
        <w:t xml:space="preserve"> </w:t>
      </w:r>
      <w:proofErr w:type="spellStart"/>
      <w:r w:rsidRPr="00910967">
        <w:rPr>
          <w:lang w:val="hu-HU" w:eastAsia="ko-KR"/>
        </w:rPr>
        <w:t>commitments</w:t>
      </w:r>
      <w:proofErr w:type="spellEnd"/>
      <w:r w:rsidRPr="00910967">
        <w:rPr>
          <w:lang w:val="hu-HU" w:eastAsia="ko-KR"/>
        </w:rPr>
        <w:t xml:space="preserve">. </w:t>
      </w:r>
      <w:proofErr w:type="spellStart"/>
      <w:r w:rsidRPr="00910967">
        <w:rPr>
          <w:lang w:val="hu-HU" w:eastAsia="ko-KR"/>
        </w:rPr>
        <w:t>At</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same</w:t>
      </w:r>
      <w:proofErr w:type="spellEnd"/>
      <w:r w:rsidRPr="00910967">
        <w:rPr>
          <w:lang w:val="hu-HU" w:eastAsia="ko-KR"/>
        </w:rPr>
        <w:t xml:space="preserve"> </w:t>
      </w:r>
      <w:proofErr w:type="spellStart"/>
      <w:r w:rsidRPr="00910967">
        <w:rPr>
          <w:lang w:val="hu-HU" w:eastAsia="ko-KR"/>
        </w:rPr>
        <w:t>time</w:t>
      </w:r>
      <w:proofErr w:type="spellEnd"/>
      <w:r w:rsidRPr="00910967">
        <w:rPr>
          <w:lang w:val="hu-HU" w:eastAsia="ko-KR"/>
        </w:rPr>
        <w:t xml:space="preserve"> BSG </w:t>
      </w:r>
      <w:proofErr w:type="spellStart"/>
      <w:r w:rsidRPr="00910967">
        <w:rPr>
          <w:lang w:val="hu-HU" w:eastAsia="ko-KR"/>
        </w:rPr>
        <w:t>considers</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MS </w:t>
      </w:r>
      <w:proofErr w:type="spellStart"/>
      <w:r w:rsidRPr="00910967">
        <w:rPr>
          <w:lang w:val="hu-HU" w:eastAsia="ko-KR"/>
        </w:rPr>
        <w:t>should</w:t>
      </w:r>
      <w:proofErr w:type="spellEnd"/>
      <w:r w:rsidRPr="00910967">
        <w:rPr>
          <w:lang w:val="hu-HU" w:eastAsia="ko-KR"/>
        </w:rPr>
        <w:t xml:space="preserve"> </w:t>
      </w:r>
      <w:proofErr w:type="spellStart"/>
      <w:r w:rsidRPr="00910967">
        <w:rPr>
          <w:lang w:val="hu-HU" w:eastAsia="ko-KR"/>
        </w:rPr>
        <w:t>provide</w:t>
      </w:r>
      <w:proofErr w:type="spellEnd"/>
      <w:r w:rsidRPr="00910967">
        <w:rPr>
          <w:lang w:val="hu-HU" w:eastAsia="ko-KR"/>
        </w:rPr>
        <w:t xml:space="preserve"> DGS </w:t>
      </w:r>
      <w:proofErr w:type="spellStart"/>
      <w:r w:rsidRPr="00910967">
        <w:rPr>
          <w:lang w:val="hu-HU" w:eastAsia="ko-KR"/>
        </w:rPr>
        <w:t>with</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power</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accept</w:t>
      </w:r>
      <w:proofErr w:type="spellEnd"/>
      <w:r w:rsidRPr="00910967">
        <w:rPr>
          <w:lang w:val="hu-HU" w:eastAsia="ko-KR"/>
        </w:rPr>
        <w:t xml:space="preserve"> </w:t>
      </w:r>
      <w:proofErr w:type="spellStart"/>
      <w:r w:rsidRPr="00910967">
        <w:rPr>
          <w:lang w:val="hu-HU" w:eastAsia="ko-KR"/>
        </w:rPr>
        <w:t>payment</w:t>
      </w:r>
      <w:proofErr w:type="spellEnd"/>
      <w:r w:rsidRPr="00910967">
        <w:rPr>
          <w:lang w:val="hu-HU" w:eastAsia="ko-KR"/>
        </w:rPr>
        <w:t xml:space="preserve"> </w:t>
      </w:r>
      <w:proofErr w:type="spellStart"/>
      <w:r w:rsidRPr="00910967">
        <w:rPr>
          <w:lang w:val="hu-HU" w:eastAsia="ko-KR"/>
        </w:rPr>
        <w:t>commitments</w:t>
      </w:r>
      <w:proofErr w:type="spellEnd"/>
      <w:r w:rsidRPr="00910967">
        <w:rPr>
          <w:lang w:val="hu-HU" w:eastAsia="ko-KR"/>
        </w:rPr>
        <w:t xml:space="preserve"> and </w:t>
      </w:r>
      <w:proofErr w:type="spellStart"/>
      <w:r w:rsidRPr="00910967">
        <w:rPr>
          <w:lang w:val="hu-HU" w:eastAsia="ko-KR"/>
        </w:rPr>
        <w:t>that</w:t>
      </w:r>
      <w:proofErr w:type="spellEnd"/>
      <w:r w:rsidRPr="00910967">
        <w:rPr>
          <w:lang w:val="hu-HU" w:eastAsia="ko-KR"/>
        </w:rPr>
        <w:t xml:space="preserve"> DGS </w:t>
      </w:r>
      <w:proofErr w:type="spellStart"/>
      <w:r w:rsidRPr="00910967">
        <w:rPr>
          <w:lang w:val="hu-HU" w:eastAsia="ko-KR"/>
        </w:rPr>
        <w:t>should</w:t>
      </w:r>
      <w:proofErr w:type="spellEnd"/>
      <w:r w:rsidRPr="00910967">
        <w:rPr>
          <w:lang w:val="hu-HU" w:eastAsia="ko-KR"/>
        </w:rPr>
        <w:t xml:space="preserve"> </w:t>
      </w:r>
      <w:proofErr w:type="spellStart"/>
      <w:r w:rsidRPr="00910967">
        <w:rPr>
          <w:lang w:val="hu-HU" w:eastAsia="ko-KR"/>
        </w:rPr>
        <w:t>implement</w:t>
      </w:r>
      <w:proofErr w:type="spellEnd"/>
      <w:r w:rsidRPr="00910967">
        <w:rPr>
          <w:lang w:val="hu-HU" w:eastAsia="ko-KR"/>
        </w:rPr>
        <w:t xml:space="preserve"> </w:t>
      </w:r>
      <w:proofErr w:type="spellStart"/>
      <w:r w:rsidRPr="00910967">
        <w:rPr>
          <w:lang w:val="hu-HU" w:eastAsia="ko-KR"/>
        </w:rPr>
        <w:t>this</w:t>
      </w:r>
      <w:proofErr w:type="spellEnd"/>
      <w:r w:rsidRPr="00910967">
        <w:rPr>
          <w:lang w:val="hu-HU" w:eastAsia="ko-KR"/>
        </w:rPr>
        <w:t xml:space="preserve"> </w:t>
      </w:r>
      <w:proofErr w:type="spellStart"/>
      <w:r w:rsidRPr="00910967">
        <w:rPr>
          <w:lang w:val="hu-HU" w:eastAsia="ko-KR"/>
        </w:rPr>
        <w:t>mechanism</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favour</w:t>
      </w:r>
      <w:proofErr w:type="spellEnd"/>
      <w:r w:rsidRPr="00910967">
        <w:rPr>
          <w:lang w:val="hu-HU" w:eastAsia="ko-KR"/>
        </w:rPr>
        <w:t xml:space="preserve"> </w:t>
      </w:r>
      <w:proofErr w:type="spellStart"/>
      <w:r w:rsidRPr="00910967">
        <w:rPr>
          <w:lang w:val="hu-HU" w:eastAsia="ko-KR"/>
        </w:rPr>
        <w:t>level-playing</w:t>
      </w:r>
      <w:proofErr w:type="spellEnd"/>
      <w:r w:rsidRPr="00910967">
        <w:rPr>
          <w:lang w:val="hu-HU" w:eastAsia="ko-KR"/>
        </w:rPr>
        <w:t xml:space="preserve"> </w:t>
      </w:r>
      <w:proofErr w:type="spellStart"/>
      <w:r w:rsidRPr="00910967">
        <w:rPr>
          <w:lang w:val="hu-HU" w:eastAsia="ko-KR"/>
        </w:rPr>
        <w:t>field</w:t>
      </w:r>
      <w:proofErr w:type="spellEnd"/>
      <w:r w:rsidRPr="00910967">
        <w:rPr>
          <w:lang w:val="hu-HU" w:eastAsia="ko-KR"/>
        </w:rPr>
        <w:t xml:space="preserve"> </w:t>
      </w:r>
      <w:proofErr w:type="spellStart"/>
      <w:r w:rsidRPr="00910967">
        <w:rPr>
          <w:lang w:val="hu-HU" w:eastAsia="ko-KR"/>
        </w:rPr>
        <w:t>among</w:t>
      </w:r>
      <w:proofErr w:type="spellEnd"/>
      <w:r w:rsidRPr="00910967">
        <w:rPr>
          <w:lang w:val="hu-HU" w:eastAsia="ko-KR"/>
        </w:rPr>
        <w:t xml:space="preserve"> </w:t>
      </w:r>
      <w:proofErr w:type="spellStart"/>
      <w:r w:rsidRPr="00910967">
        <w:rPr>
          <w:lang w:val="hu-HU" w:eastAsia="ko-KR"/>
        </w:rPr>
        <w:t>deposit</w:t>
      </w:r>
      <w:proofErr w:type="spellEnd"/>
      <w:r w:rsidRPr="00910967">
        <w:rPr>
          <w:lang w:val="hu-HU" w:eastAsia="ko-KR"/>
        </w:rPr>
        <w:t xml:space="preserve"> </w:t>
      </w:r>
      <w:proofErr w:type="spellStart"/>
      <w:r w:rsidRPr="00910967">
        <w:rPr>
          <w:lang w:val="hu-HU" w:eastAsia="ko-KR"/>
        </w:rPr>
        <w:t>institutions</w:t>
      </w:r>
      <w:proofErr w:type="spellEnd"/>
      <w:r w:rsidRPr="00910967">
        <w:rPr>
          <w:lang w:val="hu-HU" w:eastAsia="ko-KR"/>
        </w:rPr>
        <w:t xml:space="preserve">. </w:t>
      </w:r>
      <w:proofErr w:type="gramStart"/>
      <w:r w:rsidRPr="00910967">
        <w:rPr>
          <w:lang w:val="hu-HU" w:eastAsia="ko-KR"/>
        </w:rPr>
        <w:t>BSG  is</w:t>
      </w:r>
      <w:proofErr w:type="gramEnd"/>
      <w:r w:rsidRPr="00910967">
        <w:rPr>
          <w:lang w:val="hu-HU" w:eastAsia="ko-KR"/>
        </w:rPr>
        <w:t xml:space="preserve"> of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view</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objective</w:t>
      </w:r>
      <w:proofErr w:type="spellEnd"/>
      <w:r w:rsidRPr="00910967">
        <w:rPr>
          <w:lang w:val="hu-HU" w:eastAsia="ko-KR"/>
        </w:rPr>
        <w:t xml:space="preserve"> </w:t>
      </w:r>
      <w:proofErr w:type="spellStart"/>
      <w:r w:rsidRPr="00910967">
        <w:rPr>
          <w:lang w:val="hu-HU" w:eastAsia="ko-KR"/>
        </w:rPr>
        <w:t>criteria</w:t>
      </w:r>
      <w:proofErr w:type="spellEnd"/>
      <w:r w:rsidRPr="00910967">
        <w:rPr>
          <w:lang w:val="hu-HU" w:eastAsia="ko-KR"/>
        </w:rPr>
        <w:t xml:space="preserve"> </w:t>
      </w:r>
      <w:proofErr w:type="spellStart"/>
      <w:r w:rsidRPr="00910967">
        <w:rPr>
          <w:lang w:val="hu-HU" w:eastAsia="ko-KR"/>
        </w:rPr>
        <w:t>set</w:t>
      </w:r>
      <w:proofErr w:type="spellEnd"/>
      <w:r w:rsidRPr="00910967">
        <w:rPr>
          <w:lang w:val="hu-HU" w:eastAsia="ko-KR"/>
        </w:rPr>
        <w:t xml:space="preserve"> </w:t>
      </w:r>
      <w:proofErr w:type="spellStart"/>
      <w:r w:rsidRPr="00910967">
        <w:rPr>
          <w:lang w:val="hu-HU" w:eastAsia="ko-KR"/>
        </w:rPr>
        <w:t>by</w:t>
      </w:r>
      <w:proofErr w:type="spellEnd"/>
      <w:r w:rsidRPr="00910967">
        <w:rPr>
          <w:lang w:val="hu-HU" w:eastAsia="ko-KR"/>
        </w:rPr>
        <w:t xml:space="preserve"> EBA </w:t>
      </w:r>
      <w:proofErr w:type="spellStart"/>
      <w:r w:rsidRPr="00910967">
        <w:rPr>
          <w:lang w:val="hu-HU" w:eastAsia="ko-KR"/>
        </w:rPr>
        <w:t>should</w:t>
      </w:r>
      <w:proofErr w:type="spellEnd"/>
      <w:r w:rsidRPr="00910967">
        <w:rPr>
          <w:lang w:val="hu-HU" w:eastAsia="ko-KR"/>
        </w:rPr>
        <w:t xml:space="preserve"> be </w:t>
      </w:r>
      <w:proofErr w:type="spellStart"/>
      <w:r w:rsidRPr="00910967">
        <w:rPr>
          <w:lang w:val="hu-HU" w:eastAsia="ko-KR"/>
        </w:rPr>
        <w:t>carefully</w:t>
      </w:r>
      <w:proofErr w:type="spellEnd"/>
      <w:r w:rsidRPr="00910967">
        <w:rPr>
          <w:lang w:val="hu-HU" w:eastAsia="ko-KR"/>
        </w:rPr>
        <w:t xml:space="preserve"> </w:t>
      </w:r>
      <w:proofErr w:type="spellStart"/>
      <w:r w:rsidRPr="00910967">
        <w:rPr>
          <w:lang w:val="hu-HU" w:eastAsia="ko-KR"/>
        </w:rPr>
        <w:t>calibrated</w:t>
      </w:r>
      <w:proofErr w:type="spellEnd"/>
      <w:r w:rsidRPr="00910967">
        <w:rPr>
          <w:lang w:val="hu-HU" w:eastAsia="ko-KR"/>
        </w:rPr>
        <w:t xml:space="preserve"> </w:t>
      </w:r>
      <w:proofErr w:type="spellStart"/>
      <w:r w:rsidRPr="00910967">
        <w:rPr>
          <w:lang w:val="hu-HU" w:eastAsia="ko-KR"/>
        </w:rPr>
        <w:t>so</w:t>
      </w:r>
      <w:proofErr w:type="spellEnd"/>
      <w:r w:rsidRPr="00910967">
        <w:rPr>
          <w:lang w:val="hu-HU" w:eastAsia="ko-KR"/>
        </w:rPr>
        <w:t xml:space="preserve"> </w:t>
      </w:r>
      <w:proofErr w:type="spellStart"/>
      <w:r w:rsidRPr="00910967">
        <w:rPr>
          <w:lang w:val="hu-HU" w:eastAsia="ko-KR"/>
        </w:rPr>
        <w:t>as</w:t>
      </w:r>
      <w:proofErr w:type="spellEnd"/>
      <w:r w:rsidRPr="00910967">
        <w:rPr>
          <w:lang w:val="hu-HU" w:eastAsia="ko-KR"/>
        </w:rPr>
        <w:t xml:space="preserve"> </w:t>
      </w:r>
      <w:proofErr w:type="spellStart"/>
      <w:r w:rsidRPr="00910967">
        <w:rPr>
          <w:lang w:val="hu-HU" w:eastAsia="ko-KR"/>
        </w:rPr>
        <w:t>not</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undermine</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capacity</w:t>
      </w:r>
      <w:proofErr w:type="spellEnd"/>
      <w:r w:rsidRPr="00910967">
        <w:rPr>
          <w:lang w:val="hu-HU" w:eastAsia="ko-KR"/>
        </w:rPr>
        <w:t xml:space="preserve"> of DGS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allow</w:t>
      </w:r>
      <w:proofErr w:type="spellEnd"/>
      <w:r w:rsidRPr="00910967">
        <w:rPr>
          <w:lang w:val="hu-HU" w:eastAsia="ko-KR"/>
        </w:rPr>
        <w:t xml:space="preserve"> </w:t>
      </w:r>
      <w:proofErr w:type="spellStart"/>
      <w:r w:rsidRPr="00910967">
        <w:rPr>
          <w:lang w:val="hu-HU" w:eastAsia="ko-KR"/>
        </w:rPr>
        <w:t>full</w:t>
      </w:r>
      <w:proofErr w:type="spellEnd"/>
      <w:r w:rsidRPr="00910967">
        <w:rPr>
          <w:lang w:val="hu-HU" w:eastAsia="ko-KR"/>
        </w:rPr>
        <w:t xml:space="preserve"> </w:t>
      </w:r>
      <w:proofErr w:type="spellStart"/>
      <w:r w:rsidRPr="00910967">
        <w:rPr>
          <w:lang w:val="hu-HU" w:eastAsia="ko-KR"/>
        </w:rPr>
        <w:t>use</w:t>
      </w:r>
      <w:proofErr w:type="spellEnd"/>
      <w:r w:rsidRPr="00910967">
        <w:rPr>
          <w:lang w:val="hu-HU" w:eastAsia="ko-KR"/>
        </w:rPr>
        <w:t xml:space="preserve"> of </w:t>
      </w:r>
      <w:proofErr w:type="spellStart"/>
      <w:r w:rsidRPr="00910967">
        <w:rPr>
          <w:lang w:val="hu-HU" w:eastAsia="ko-KR"/>
        </w:rPr>
        <w:t>payment</w:t>
      </w:r>
      <w:proofErr w:type="spellEnd"/>
      <w:r w:rsidRPr="00910967">
        <w:rPr>
          <w:lang w:val="hu-HU" w:eastAsia="ko-KR"/>
        </w:rPr>
        <w:t xml:space="preserve"> </w:t>
      </w:r>
      <w:proofErr w:type="spellStart"/>
      <w:r w:rsidRPr="00910967">
        <w:rPr>
          <w:lang w:val="hu-HU" w:eastAsia="ko-KR"/>
        </w:rPr>
        <w:t>commitments</w:t>
      </w:r>
      <w:proofErr w:type="spellEnd"/>
      <w:r w:rsidRPr="00910967">
        <w:rPr>
          <w:lang w:val="hu-HU" w:eastAsia="ko-KR"/>
        </w:rPr>
        <w:t xml:space="preserve"> </w:t>
      </w:r>
      <w:proofErr w:type="spellStart"/>
      <w:r w:rsidRPr="00910967">
        <w:rPr>
          <w:lang w:val="hu-HU" w:eastAsia="ko-KR"/>
        </w:rPr>
        <w:t>within</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bound</w:t>
      </w:r>
      <w:r w:rsidR="00FD0B51">
        <w:rPr>
          <w:lang w:val="hu-HU" w:eastAsia="ko-KR"/>
        </w:rPr>
        <w:t>aries</w:t>
      </w:r>
      <w:proofErr w:type="spellEnd"/>
      <w:r w:rsidR="00FD0B51">
        <w:rPr>
          <w:lang w:val="hu-HU" w:eastAsia="ko-KR"/>
        </w:rPr>
        <w:t xml:space="preserve"> of </w:t>
      </w:r>
      <w:proofErr w:type="spellStart"/>
      <w:r w:rsidR="00FD0B51">
        <w:rPr>
          <w:lang w:val="hu-HU" w:eastAsia="ko-KR"/>
        </w:rPr>
        <w:t>Directive</w:t>
      </w:r>
      <w:proofErr w:type="spellEnd"/>
      <w:r w:rsidR="00FD0B51">
        <w:rPr>
          <w:lang w:val="hu-HU" w:eastAsia="ko-KR"/>
        </w:rPr>
        <w:t xml:space="preserve"> 2014/49/EU. </w:t>
      </w:r>
      <w:r w:rsidRPr="00910967">
        <w:rPr>
          <w:lang w:val="hu-HU" w:eastAsia="ko-KR"/>
        </w:rPr>
        <w:t xml:space="preserve">BSG </w:t>
      </w:r>
      <w:proofErr w:type="spellStart"/>
      <w:r w:rsidRPr="00910967">
        <w:rPr>
          <w:lang w:val="hu-HU" w:eastAsia="ko-KR"/>
        </w:rPr>
        <w:t>notes</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30 per cent limit </w:t>
      </w:r>
      <w:proofErr w:type="spellStart"/>
      <w:r w:rsidRPr="00910967">
        <w:rPr>
          <w:lang w:val="hu-HU" w:eastAsia="ko-KR"/>
        </w:rPr>
        <w:t>in</w:t>
      </w:r>
      <w:proofErr w:type="spellEnd"/>
      <w:r w:rsidRPr="00910967">
        <w:rPr>
          <w:lang w:val="hu-HU" w:eastAsia="ko-KR"/>
        </w:rPr>
        <w:t xml:space="preserve"> </w:t>
      </w:r>
      <w:proofErr w:type="spellStart"/>
      <w:r w:rsidRPr="00910967">
        <w:rPr>
          <w:lang w:val="hu-HU" w:eastAsia="ko-KR"/>
        </w:rPr>
        <w:t>Article</w:t>
      </w:r>
      <w:proofErr w:type="spellEnd"/>
      <w:r w:rsidRPr="00910967">
        <w:rPr>
          <w:lang w:val="hu-HU" w:eastAsia="ko-KR"/>
        </w:rPr>
        <w:t xml:space="preserve"> </w:t>
      </w:r>
      <w:proofErr w:type="gramStart"/>
      <w:r w:rsidRPr="00910967">
        <w:rPr>
          <w:lang w:val="hu-HU" w:eastAsia="ko-KR"/>
        </w:rPr>
        <w:t>10(</w:t>
      </w:r>
      <w:proofErr w:type="gramEnd"/>
      <w:r w:rsidRPr="00910967">
        <w:rPr>
          <w:lang w:val="hu-HU" w:eastAsia="ko-KR"/>
        </w:rPr>
        <w:t xml:space="preserve">3) </w:t>
      </w:r>
      <w:proofErr w:type="spellStart"/>
      <w:r w:rsidRPr="00910967">
        <w:rPr>
          <w:lang w:val="hu-HU" w:eastAsia="ko-KR"/>
        </w:rPr>
        <w:t>relates</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total</w:t>
      </w:r>
      <w:proofErr w:type="spellEnd"/>
      <w:r w:rsidRPr="00910967">
        <w:rPr>
          <w:lang w:val="hu-HU" w:eastAsia="ko-KR"/>
        </w:rPr>
        <w:t xml:space="preserve"> </w:t>
      </w:r>
      <w:proofErr w:type="spellStart"/>
      <w:r w:rsidRPr="00910967">
        <w:rPr>
          <w:lang w:val="hu-HU" w:eastAsia="ko-KR"/>
        </w:rPr>
        <w:t>amount</w:t>
      </w:r>
      <w:proofErr w:type="spellEnd"/>
      <w:r w:rsidRPr="00910967">
        <w:rPr>
          <w:lang w:val="hu-HU" w:eastAsia="ko-KR"/>
        </w:rPr>
        <w:t xml:space="preserve"> and </w:t>
      </w:r>
      <w:proofErr w:type="spellStart"/>
      <w:r w:rsidRPr="00910967">
        <w:rPr>
          <w:lang w:val="hu-HU" w:eastAsia="ko-KR"/>
        </w:rPr>
        <w:t>considers</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w:t>
      </w:r>
      <w:proofErr w:type="spellStart"/>
      <w:r w:rsidRPr="00910967">
        <w:rPr>
          <w:lang w:val="hu-HU" w:eastAsia="ko-KR"/>
        </w:rPr>
        <w:t>there</w:t>
      </w:r>
      <w:proofErr w:type="spellEnd"/>
      <w:r w:rsidRPr="00910967">
        <w:rPr>
          <w:lang w:val="hu-HU" w:eastAsia="ko-KR"/>
        </w:rPr>
        <w:t xml:space="preserve"> </w:t>
      </w:r>
      <w:proofErr w:type="spellStart"/>
      <w:r w:rsidRPr="00910967">
        <w:rPr>
          <w:lang w:val="hu-HU" w:eastAsia="ko-KR"/>
        </w:rPr>
        <w:t>may</w:t>
      </w:r>
      <w:proofErr w:type="spellEnd"/>
      <w:r w:rsidRPr="00910967">
        <w:rPr>
          <w:lang w:val="hu-HU" w:eastAsia="ko-KR"/>
        </w:rPr>
        <w:t xml:space="preserve"> be </w:t>
      </w:r>
      <w:proofErr w:type="spellStart"/>
      <w:r w:rsidRPr="00910967">
        <w:rPr>
          <w:lang w:val="hu-HU" w:eastAsia="ko-KR"/>
        </w:rPr>
        <w:t>scope</w:t>
      </w:r>
      <w:proofErr w:type="spellEnd"/>
      <w:r w:rsidRPr="00910967">
        <w:rPr>
          <w:lang w:val="hu-HU" w:eastAsia="ko-KR"/>
        </w:rPr>
        <w:t xml:space="preserve"> </w:t>
      </w:r>
      <w:proofErr w:type="spellStart"/>
      <w:r w:rsidRPr="00910967">
        <w:rPr>
          <w:lang w:val="hu-HU" w:eastAsia="ko-KR"/>
        </w:rPr>
        <w:t>for</w:t>
      </w:r>
      <w:proofErr w:type="spellEnd"/>
      <w:r w:rsidRPr="00910967">
        <w:rPr>
          <w:lang w:val="hu-HU" w:eastAsia="ko-KR"/>
        </w:rPr>
        <w:t xml:space="preserve"> </w:t>
      </w:r>
      <w:proofErr w:type="spellStart"/>
      <w:r w:rsidRPr="00910967">
        <w:rPr>
          <w:lang w:val="hu-HU" w:eastAsia="ko-KR"/>
        </w:rPr>
        <w:t>differential</w:t>
      </w:r>
      <w:proofErr w:type="spellEnd"/>
      <w:r w:rsidRPr="00910967">
        <w:rPr>
          <w:lang w:val="hu-HU" w:eastAsia="ko-KR"/>
        </w:rPr>
        <w:t xml:space="preserve">, </w:t>
      </w:r>
      <w:proofErr w:type="spellStart"/>
      <w:r w:rsidRPr="00910967">
        <w:rPr>
          <w:lang w:val="hu-HU" w:eastAsia="ko-KR"/>
        </w:rPr>
        <w:t>but</w:t>
      </w:r>
      <w:proofErr w:type="spellEnd"/>
      <w:r w:rsidRPr="00910967">
        <w:rPr>
          <w:lang w:val="hu-HU" w:eastAsia="ko-KR"/>
        </w:rPr>
        <w:t xml:space="preserve"> </w:t>
      </w:r>
      <w:proofErr w:type="spellStart"/>
      <w:r w:rsidRPr="00910967">
        <w:rPr>
          <w:lang w:val="hu-HU" w:eastAsia="ko-KR"/>
        </w:rPr>
        <w:t>non-discriminatory</w:t>
      </w:r>
      <w:proofErr w:type="spellEnd"/>
      <w:r w:rsidRPr="00910967">
        <w:rPr>
          <w:lang w:val="hu-HU" w:eastAsia="ko-KR"/>
        </w:rPr>
        <w:t xml:space="preserve">, </w:t>
      </w:r>
      <w:proofErr w:type="spellStart"/>
      <w:r w:rsidRPr="00910967">
        <w:rPr>
          <w:lang w:val="hu-HU" w:eastAsia="ko-KR"/>
        </w:rPr>
        <w:t>levels</w:t>
      </w:r>
      <w:proofErr w:type="spellEnd"/>
      <w:r w:rsidRPr="00910967">
        <w:rPr>
          <w:lang w:val="hu-HU" w:eastAsia="ko-KR"/>
        </w:rPr>
        <w:t xml:space="preserve"> </w:t>
      </w:r>
      <w:proofErr w:type="spellStart"/>
      <w:r w:rsidRPr="00910967">
        <w:rPr>
          <w:lang w:val="hu-HU" w:eastAsia="ko-KR"/>
        </w:rPr>
        <w:t>at</w:t>
      </w:r>
      <w:proofErr w:type="spellEnd"/>
      <w:r w:rsidRPr="00910967">
        <w:rPr>
          <w:lang w:val="hu-HU" w:eastAsia="ko-KR"/>
        </w:rPr>
        <w:t xml:space="preserve"> </w:t>
      </w:r>
      <w:proofErr w:type="spellStart"/>
      <w:r w:rsidRPr="00910967">
        <w:rPr>
          <w:lang w:val="hu-HU" w:eastAsia="ko-KR"/>
        </w:rPr>
        <w:t>individual</w:t>
      </w:r>
      <w:proofErr w:type="spellEnd"/>
      <w:r w:rsidRPr="00910967">
        <w:rPr>
          <w:lang w:val="hu-HU" w:eastAsia="ko-KR"/>
        </w:rPr>
        <w:t xml:space="preserve"> bank </w:t>
      </w:r>
      <w:proofErr w:type="spellStart"/>
      <w:r w:rsidRPr="00910967">
        <w:rPr>
          <w:lang w:val="hu-HU" w:eastAsia="ko-KR"/>
        </w:rPr>
        <w:t>level</w:t>
      </w:r>
      <w:proofErr w:type="spellEnd"/>
      <w:r w:rsidRPr="00910967">
        <w:rPr>
          <w:lang w:val="hu-HU" w:eastAsia="ko-KR"/>
        </w:rPr>
        <w:t xml:space="preserve"> </w:t>
      </w:r>
      <w:proofErr w:type="spellStart"/>
      <w:r w:rsidRPr="00910967">
        <w:rPr>
          <w:lang w:val="hu-HU" w:eastAsia="ko-KR"/>
        </w:rPr>
        <w:t>within</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overall limit. </w:t>
      </w:r>
      <w:proofErr w:type="spellStart"/>
      <w:r w:rsidRPr="00910967">
        <w:rPr>
          <w:lang w:val="hu-HU" w:eastAsia="ko-KR"/>
        </w:rPr>
        <w:t>Also</w:t>
      </w:r>
      <w:proofErr w:type="spellEnd"/>
      <w:r w:rsidRPr="00910967">
        <w:rPr>
          <w:lang w:val="hu-HU" w:eastAsia="ko-KR"/>
        </w:rPr>
        <w:t xml:space="preserve">, </w:t>
      </w:r>
      <w:proofErr w:type="spellStart"/>
      <w:r w:rsidRPr="00910967">
        <w:rPr>
          <w:lang w:val="hu-HU" w:eastAsia="ko-KR"/>
        </w:rPr>
        <w:t>we</w:t>
      </w:r>
      <w:proofErr w:type="spellEnd"/>
      <w:r w:rsidRPr="00910967">
        <w:rPr>
          <w:lang w:val="hu-HU" w:eastAsia="ko-KR"/>
        </w:rPr>
        <w:t xml:space="preserve"> </w:t>
      </w:r>
      <w:proofErr w:type="spellStart"/>
      <w:r w:rsidRPr="00910967">
        <w:rPr>
          <w:lang w:val="hu-HU" w:eastAsia="ko-KR"/>
        </w:rPr>
        <w:t>understand</w:t>
      </w:r>
      <w:proofErr w:type="spellEnd"/>
      <w:r w:rsidRPr="00910967">
        <w:rPr>
          <w:lang w:val="hu-HU" w:eastAsia="ko-KR"/>
        </w:rPr>
        <w:t xml:space="preserve"> </w:t>
      </w:r>
      <w:proofErr w:type="spellStart"/>
      <w:r w:rsidRPr="00910967">
        <w:rPr>
          <w:lang w:val="hu-HU" w:eastAsia="ko-KR"/>
        </w:rPr>
        <w:t>that</w:t>
      </w:r>
      <w:proofErr w:type="spellEnd"/>
      <w:r w:rsidRPr="00910967">
        <w:rPr>
          <w:lang w:val="hu-HU" w:eastAsia="ko-KR"/>
        </w:rPr>
        <w:t xml:space="preserve">, </w:t>
      </w:r>
      <w:proofErr w:type="spellStart"/>
      <w:r w:rsidRPr="00910967">
        <w:rPr>
          <w:lang w:val="hu-HU" w:eastAsia="ko-KR"/>
        </w:rPr>
        <w:t>given</w:t>
      </w:r>
      <w:proofErr w:type="spellEnd"/>
      <w:r w:rsidRPr="00910967">
        <w:rPr>
          <w:lang w:val="hu-HU" w:eastAsia="ko-KR"/>
        </w:rPr>
        <w:t xml:space="preserve"> </w:t>
      </w:r>
      <w:proofErr w:type="spellStart"/>
      <w:r w:rsidRPr="00910967">
        <w:rPr>
          <w:lang w:val="hu-HU" w:eastAsia="ko-KR"/>
        </w:rPr>
        <w:t>very</w:t>
      </w:r>
      <w:proofErr w:type="spellEnd"/>
      <w:r w:rsidRPr="00910967">
        <w:rPr>
          <w:lang w:val="hu-HU" w:eastAsia="ko-KR"/>
        </w:rPr>
        <w:t xml:space="preserve"> </w:t>
      </w:r>
      <w:proofErr w:type="spellStart"/>
      <w:r w:rsidRPr="00910967">
        <w:rPr>
          <w:lang w:val="hu-HU" w:eastAsia="ko-KR"/>
        </w:rPr>
        <w:t>different</w:t>
      </w:r>
      <w:proofErr w:type="spellEnd"/>
      <w:r w:rsidRPr="00910967">
        <w:rPr>
          <w:lang w:val="hu-HU" w:eastAsia="ko-KR"/>
        </w:rPr>
        <w:t xml:space="preserve"> starting </w:t>
      </w:r>
      <w:proofErr w:type="spellStart"/>
      <w:r w:rsidRPr="00910967">
        <w:rPr>
          <w:lang w:val="hu-HU" w:eastAsia="ko-KR"/>
        </w:rPr>
        <w:t>levels</w:t>
      </w:r>
      <w:proofErr w:type="spellEnd"/>
      <w:r w:rsidRPr="00910967">
        <w:rPr>
          <w:lang w:val="hu-HU" w:eastAsia="ko-KR"/>
        </w:rPr>
        <w:t xml:space="preserve"> </w:t>
      </w:r>
      <w:proofErr w:type="spellStart"/>
      <w:r w:rsidRPr="00910967">
        <w:rPr>
          <w:lang w:val="hu-HU" w:eastAsia="ko-KR"/>
        </w:rPr>
        <w:t>across</w:t>
      </w:r>
      <w:proofErr w:type="spellEnd"/>
      <w:r w:rsidRPr="00910967">
        <w:rPr>
          <w:lang w:val="hu-HU" w:eastAsia="ko-KR"/>
        </w:rPr>
        <w:t xml:space="preserve"> </w:t>
      </w:r>
      <w:proofErr w:type="spellStart"/>
      <w:r w:rsidRPr="00910967">
        <w:rPr>
          <w:lang w:val="hu-HU" w:eastAsia="ko-KR"/>
        </w:rPr>
        <w:t>countries</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30% limit </w:t>
      </w:r>
      <w:proofErr w:type="spellStart"/>
      <w:r w:rsidRPr="00910967">
        <w:rPr>
          <w:lang w:val="hu-HU" w:eastAsia="ko-KR"/>
        </w:rPr>
        <w:t>should</w:t>
      </w:r>
      <w:proofErr w:type="spellEnd"/>
      <w:r w:rsidRPr="00910967">
        <w:rPr>
          <w:lang w:val="hu-HU" w:eastAsia="ko-KR"/>
        </w:rPr>
        <w:t xml:space="preserve"> be </w:t>
      </w:r>
      <w:proofErr w:type="spellStart"/>
      <w:r w:rsidRPr="00910967">
        <w:rPr>
          <w:lang w:val="hu-HU" w:eastAsia="ko-KR"/>
        </w:rPr>
        <w:t>understood</w:t>
      </w:r>
      <w:proofErr w:type="spellEnd"/>
      <w:r w:rsidRPr="00910967">
        <w:rPr>
          <w:lang w:val="hu-HU" w:eastAsia="ko-KR"/>
        </w:rPr>
        <w:t xml:space="preserve"> </w:t>
      </w:r>
      <w:proofErr w:type="spellStart"/>
      <w:r w:rsidRPr="00910967">
        <w:rPr>
          <w:lang w:val="hu-HU" w:eastAsia="ko-KR"/>
        </w:rPr>
        <w:t>as</w:t>
      </w:r>
      <w:proofErr w:type="spellEnd"/>
      <w:r w:rsidRPr="00910967">
        <w:rPr>
          <w:lang w:val="hu-HU" w:eastAsia="ko-KR"/>
        </w:rPr>
        <w:t xml:space="preserve"> </w:t>
      </w:r>
      <w:proofErr w:type="spellStart"/>
      <w:r w:rsidRPr="00910967">
        <w:rPr>
          <w:lang w:val="hu-HU" w:eastAsia="ko-KR"/>
        </w:rPr>
        <w:t>referring</w:t>
      </w:r>
      <w:proofErr w:type="spellEnd"/>
      <w:r w:rsidRPr="00910967">
        <w:rPr>
          <w:lang w:val="hu-HU" w:eastAsia="ko-KR"/>
        </w:rPr>
        <w:t xml:space="preserve"> </w:t>
      </w:r>
      <w:proofErr w:type="spellStart"/>
      <w:r w:rsidRPr="00910967">
        <w:rPr>
          <w:lang w:val="hu-HU" w:eastAsia="ko-KR"/>
        </w:rPr>
        <w:t>to</w:t>
      </w:r>
      <w:proofErr w:type="spellEnd"/>
      <w:r w:rsidRPr="00910967">
        <w:rPr>
          <w:lang w:val="hu-HU" w:eastAsia="ko-KR"/>
        </w:rPr>
        <w:t xml:space="preserve"> </w:t>
      </w:r>
      <w:proofErr w:type="spellStart"/>
      <w:r w:rsidRPr="00910967">
        <w:rPr>
          <w:lang w:val="hu-HU" w:eastAsia="ko-KR"/>
        </w:rPr>
        <w:t>the</w:t>
      </w:r>
      <w:proofErr w:type="spellEnd"/>
      <w:r w:rsidRPr="00910967">
        <w:rPr>
          <w:lang w:val="hu-HU" w:eastAsia="ko-KR"/>
        </w:rPr>
        <w:t xml:space="preserve"> </w:t>
      </w:r>
      <w:proofErr w:type="spellStart"/>
      <w:r w:rsidRPr="00910967">
        <w:rPr>
          <w:lang w:val="hu-HU" w:eastAsia="ko-KR"/>
        </w:rPr>
        <w:t>final</w:t>
      </w:r>
      <w:proofErr w:type="spellEnd"/>
      <w:r w:rsidRPr="00910967">
        <w:rPr>
          <w:lang w:val="hu-HU" w:eastAsia="ko-KR"/>
        </w:rPr>
        <w:t xml:space="preserve"> </w:t>
      </w:r>
      <w:proofErr w:type="spellStart"/>
      <w:r w:rsidRPr="00910967">
        <w:rPr>
          <w:lang w:val="hu-HU" w:eastAsia="ko-KR"/>
        </w:rPr>
        <w:t>target</w:t>
      </w:r>
      <w:proofErr w:type="spellEnd"/>
      <w:r w:rsidRPr="00910967">
        <w:rPr>
          <w:lang w:val="hu-HU" w:eastAsia="ko-KR"/>
        </w:rPr>
        <w:t xml:space="preserve"> </w:t>
      </w:r>
      <w:proofErr w:type="spellStart"/>
      <w:r w:rsidRPr="00910967">
        <w:rPr>
          <w:lang w:val="hu-HU" w:eastAsia="ko-KR"/>
        </w:rPr>
        <w:t>level</w:t>
      </w:r>
      <w:proofErr w:type="spellEnd"/>
      <w:r w:rsidRPr="00910967">
        <w:rPr>
          <w:lang w:val="hu-HU" w:eastAsia="ko-KR"/>
        </w:rPr>
        <w:t xml:space="preserve">, </w:t>
      </w:r>
      <w:proofErr w:type="spellStart"/>
      <w:r w:rsidR="00046760">
        <w:rPr>
          <w:lang w:val="hu-HU" w:eastAsia="ko-KR"/>
        </w:rPr>
        <w:t>but</w:t>
      </w:r>
      <w:proofErr w:type="spellEnd"/>
      <w:r w:rsidR="00046760">
        <w:rPr>
          <w:lang w:val="hu-HU" w:eastAsia="ko-KR"/>
        </w:rPr>
        <w:t xml:space="preserve"> </w:t>
      </w:r>
      <w:proofErr w:type="spellStart"/>
      <w:r w:rsidR="00046760">
        <w:rPr>
          <w:lang w:val="hu-HU" w:eastAsia="ko-KR"/>
        </w:rPr>
        <w:t>not</w:t>
      </w:r>
      <w:proofErr w:type="spellEnd"/>
      <w:r w:rsidR="00046760">
        <w:rPr>
          <w:lang w:val="hu-HU" w:eastAsia="ko-KR"/>
        </w:rPr>
        <w:t xml:space="preserve"> </w:t>
      </w:r>
      <w:proofErr w:type="spellStart"/>
      <w:r w:rsidR="00046760">
        <w:rPr>
          <w:lang w:val="hu-HU" w:eastAsia="ko-KR"/>
        </w:rPr>
        <w:t>to</w:t>
      </w:r>
      <w:proofErr w:type="spellEnd"/>
      <w:r w:rsidR="00046760">
        <w:rPr>
          <w:lang w:val="hu-HU" w:eastAsia="ko-KR"/>
        </w:rPr>
        <w:t xml:space="preserve"> </w:t>
      </w:r>
      <w:proofErr w:type="spellStart"/>
      <w:r w:rsidR="00046760">
        <w:rPr>
          <w:lang w:val="hu-HU" w:eastAsia="ko-KR"/>
        </w:rPr>
        <w:t>annual</w:t>
      </w:r>
      <w:proofErr w:type="spellEnd"/>
      <w:r w:rsidR="00046760">
        <w:rPr>
          <w:lang w:val="hu-HU" w:eastAsia="ko-KR"/>
        </w:rPr>
        <w:t xml:space="preserve"> </w:t>
      </w:r>
      <w:proofErr w:type="spellStart"/>
      <w:r w:rsidR="00046760">
        <w:rPr>
          <w:lang w:val="hu-HU" w:eastAsia="ko-KR"/>
        </w:rPr>
        <w:t>contributions</w:t>
      </w:r>
      <w:proofErr w:type="spellEnd"/>
      <w:r w:rsidRPr="00910967">
        <w:rPr>
          <w:lang w:val="hu-HU" w:eastAsia="ko-KR"/>
        </w:rPr>
        <w:t>.</w:t>
      </w:r>
    </w:p>
    <w:p w:rsidR="00910967" w:rsidRDefault="00910967" w:rsidP="00C23ED6">
      <w:pPr>
        <w:pStyle w:val="body"/>
        <w:spacing w:after="0" w:line="240" w:lineRule="auto"/>
        <w:jc w:val="both"/>
        <w:rPr>
          <w:lang w:eastAsia="ko-KR"/>
        </w:rPr>
      </w:pPr>
    </w:p>
    <w:p w:rsidR="00571D09" w:rsidRPr="00B17013" w:rsidRDefault="00571D09" w:rsidP="00B17013">
      <w:pPr>
        <w:jc w:val="both"/>
        <w:rPr>
          <w:rFonts w:eastAsia="Batang" w:cs="Times New Roman"/>
          <w:szCs w:val="22"/>
          <w:lang w:val="en-GB" w:eastAsia="ko-KR"/>
        </w:rPr>
      </w:pPr>
    </w:p>
    <w:p w:rsidR="004179F7" w:rsidRDefault="00433729" w:rsidP="00B17013">
      <w:pPr>
        <w:jc w:val="both"/>
        <w:rPr>
          <w:color w:val="2F5773" w:themeColor="text2"/>
        </w:rPr>
      </w:pPr>
      <w:r>
        <w:rPr>
          <w:color w:val="2F5773" w:themeColor="text2"/>
        </w:rPr>
        <w:t>Question</w:t>
      </w:r>
      <w:r w:rsidR="00571D09">
        <w:rPr>
          <w:color w:val="2F5773" w:themeColor="text2"/>
        </w:rPr>
        <w:t xml:space="preserve"> 2</w:t>
      </w:r>
      <w:r w:rsidR="00E61257">
        <w:rPr>
          <w:color w:val="2F5773" w:themeColor="text2"/>
        </w:rPr>
        <w:t xml:space="preserve"> </w:t>
      </w:r>
    </w:p>
    <w:p w:rsidR="00571D09" w:rsidRDefault="00571D09" w:rsidP="00B17013">
      <w:pPr>
        <w:jc w:val="both"/>
        <w:rPr>
          <w:rFonts w:eastAsia="Batang" w:cs="Times New Roman"/>
          <w:szCs w:val="22"/>
          <w:lang w:val="en-GB" w:eastAsia="ko-KR"/>
        </w:rPr>
      </w:pPr>
      <w:r w:rsidRPr="00571D09">
        <w:rPr>
          <w:color w:val="2F5773" w:themeColor="text2"/>
        </w:rPr>
        <w:t>Do you agree with these provisions to be included in Payment Commitment Arrangements? Do you think other provisions should be provided?</w:t>
      </w:r>
    </w:p>
    <w:p w:rsidR="00571D09" w:rsidRPr="00F62EE5" w:rsidRDefault="00F62EE5" w:rsidP="00C23ED6">
      <w:pPr>
        <w:pStyle w:val="body"/>
        <w:spacing w:after="0" w:line="240" w:lineRule="auto"/>
        <w:jc w:val="both"/>
        <w:rPr>
          <w:lang w:eastAsia="ko-KR"/>
        </w:rPr>
      </w:pPr>
      <w:r w:rsidRPr="00F62EE5">
        <w:rPr>
          <w:lang w:eastAsia="ko-KR"/>
        </w:rPr>
        <w:t>BSG supports a contractual approach to payment commitment arrangements. BSG notes that a DGS will be contractually entitled to call upon a credit institution to make the cash payment at any time and that this irrevocable right to claim payment on demand at any time is in addition to the other enforcement events under which payment may become immediately due. BSG does not think that other provisions should be provided.</w:t>
      </w:r>
    </w:p>
    <w:p w:rsidR="00A40451" w:rsidRDefault="00A40451" w:rsidP="00D46B91">
      <w:pPr>
        <w:jc w:val="both"/>
        <w:rPr>
          <w:rFonts w:eastAsia="Batang" w:cs="Times New Roman"/>
          <w:szCs w:val="22"/>
          <w:lang w:val="en-GB" w:eastAsia="ko-KR"/>
        </w:rPr>
      </w:pPr>
    </w:p>
    <w:p w:rsidR="00571D09" w:rsidRPr="00D46B91" w:rsidRDefault="00571D09" w:rsidP="00D46B91">
      <w:pPr>
        <w:jc w:val="both"/>
        <w:rPr>
          <w:rFonts w:eastAsia="Batang" w:cs="Times New Roman"/>
          <w:szCs w:val="22"/>
          <w:lang w:val="en-GB" w:eastAsia="ko-KR"/>
        </w:rPr>
      </w:pPr>
    </w:p>
    <w:p w:rsidR="004179F7" w:rsidRDefault="00433729" w:rsidP="00B17013">
      <w:pPr>
        <w:jc w:val="both"/>
        <w:rPr>
          <w:color w:val="2F5773" w:themeColor="text2"/>
        </w:rPr>
      </w:pPr>
      <w:r>
        <w:rPr>
          <w:color w:val="2F5773" w:themeColor="text2"/>
        </w:rPr>
        <w:t>Question</w:t>
      </w:r>
      <w:r w:rsidR="00EE5886">
        <w:rPr>
          <w:color w:val="2F5773" w:themeColor="text2"/>
        </w:rPr>
        <w:t xml:space="preserve"> 3</w:t>
      </w:r>
      <w:r w:rsidR="00E61257">
        <w:rPr>
          <w:color w:val="2F5773" w:themeColor="text2"/>
        </w:rPr>
        <w:t xml:space="preserve"> </w:t>
      </w:r>
    </w:p>
    <w:p w:rsidR="00EE5886" w:rsidRDefault="00EE5886" w:rsidP="00B17013">
      <w:pPr>
        <w:jc w:val="both"/>
        <w:rPr>
          <w:color w:val="2F5773" w:themeColor="text2"/>
        </w:rPr>
      </w:pPr>
      <w:r w:rsidRPr="00EE5886">
        <w:rPr>
          <w:color w:val="2F5773" w:themeColor="text2"/>
        </w:rPr>
        <w:t>Do you agree that a credit institution should pay in cash the Payment Commitment Amount, when its obligation becomes due, within 2 working days at the latest?</w:t>
      </w:r>
    </w:p>
    <w:p w:rsidR="005B4E7C" w:rsidRPr="005B4E7C" w:rsidRDefault="005B4E7C" w:rsidP="00B74983">
      <w:pPr>
        <w:pStyle w:val="body"/>
        <w:spacing w:line="240" w:lineRule="auto"/>
        <w:jc w:val="both"/>
      </w:pPr>
      <w:r w:rsidRPr="005B4E7C">
        <w:t>BSG agrees with the suggested period for payment.</w:t>
      </w:r>
    </w:p>
    <w:p w:rsidR="00E61257" w:rsidRDefault="00E61257" w:rsidP="00B17013">
      <w:pPr>
        <w:jc w:val="both"/>
        <w:rPr>
          <w:color w:val="2F5773" w:themeColor="text2"/>
        </w:rPr>
      </w:pPr>
    </w:p>
    <w:p w:rsidR="004179F7" w:rsidRDefault="00433729" w:rsidP="00D63505">
      <w:pPr>
        <w:rPr>
          <w:color w:val="2F5773" w:themeColor="text2"/>
        </w:rPr>
      </w:pPr>
      <w:r>
        <w:rPr>
          <w:color w:val="2F5773" w:themeColor="text2"/>
        </w:rPr>
        <w:t>Question</w:t>
      </w:r>
      <w:r w:rsidR="00BB125C">
        <w:rPr>
          <w:color w:val="2F5773" w:themeColor="text2"/>
        </w:rPr>
        <w:t xml:space="preserve"> 4</w:t>
      </w:r>
      <w:r w:rsidR="00E61257">
        <w:rPr>
          <w:color w:val="2F5773" w:themeColor="text2"/>
        </w:rPr>
        <w:t xml:space="preserve"> </w:t>
      </w:r>
    </w:p>
    <w:p w:rsidR="00037237" w:rsidRPr="00D63505" w:rsidRDefault="00BB125C" w:rsidP="00D63505">
      <w:pPr>
        <w:rPr>
          <w:rFonts w:eastAsia="Batang" w:cs="Times New Roman"/>
          <w:szCs w:val="22"/>
          <w:lang w:val="en-GB" w:eastAsia="ko-KR"/>
        </w:rPr>
      </w:pPr>
      <w:r w:rsidRPr="00BB125C">
        <w:rPr>
          <w:color w:val="2F5773" w:themeColor="text2"/>
        </w:rPr>
        <w:t>Do you agree with the option left to the DGS to enter into a Security Financial Collateral Arrangement (full ownership remains with the credit institution) or a Title Transfer Financial Collateral Arrangement (full transfer of ownership)?</w:t>
      </w:r>
    </w:p>
    <w:p w:rsidR="00BB125C" w:rsidRDefault="006554C7" w:rsidP="00433729">
      <w:pPr>
        <w:pStyle w:val="body"/>
        <w:spacing w:after="0" w:line="240" w:lineRule="auto"/>
        <w:jc w:val="both"/>
      </w:pPr>
      <w:r w:rsidRPr="006554C7">
        <w:rPr>
          <w:lang w:val="hu-HU"/>
        </w:rPr>
        <w:t xml:space="preserve">BSG </w:t>
      </w:r>
      <w:proofErr w:type="spellStart"/>
      <w:r w:rsidRPr="006554C7">
        <w:rPr>
          <w:lang w:val="hu-HU"/>
        </w:rPr>
        <w:t>welcomes</w:t>
      </w:r>
      <w:proofErr w:type="spellEnd"/>
      <w:r w:rsidRPr="006554C7">
        <w:rPr>
          <w:lang w:val="hu-HU"/>
        </w:rPr>
        <w:t xml:space="preserve"> </w:t>
      </w:r>
      <w:proofErr w:type="spellStart"/>
      <w:r w:rsidRPr="006554C7">
        <w:rPr>
          <w:lang w:val="hu-HU"/>
        </w:rPr>
        <w:t>consistency</w:t>
      </w:r>
      <w:proofErr w:type="spellEnd"/>
      <w:r w:rsidRPr="006554C7">
        <w:rPr>
          <w:lang w:val="hu-HU"/>
        </w:rPr>
        <w:t xml:space="preserve"> </w:t>
      </w:r>
      <w:proofErr w:type="spellStart"/>
      <w:r w:rsidRPr="006554C7">
        <w:rPr>
          <w:lang w:val="hu-HU"/>
        </w:rPr>
        <w:t>with</w:t>
      </w:r>
      <w:proofErr w:type="spellEnd"/>
      <w:r w:rsidRPr="006554C7">
        <w:rPr>
          <w:lang w:val="hu-HU"/>
        </w:rPr>
        <w:t xml:space="preserve"> </w:t>
      </w:r>
      <w:proofErr w:type="spellStart"/>
      <w:r w:rsidRPr="006554C7">
        <w:rPr>
          <w:lang w:val="hu-HU"/>
        </w:rPr>
        <w:t>the</w:t>
      </w:r>
      <w:proofErr w:type="spellEnd"/>
      <w:r w:rsidRPr="006554C7">
        <w:rPr>
          <w:lang w:val="hu-HU"/>
        </w:rPr>
        <w:t xml:space="preserve"> </w:t>
      </w:r>
      <w:proofErr w:type="spellStart"/>
      <w:r w:rsidRPr="006554C7">
        <w:rPr>
          <w:lang w:val="hu-HU"/>
        </w:rPr>
        <w:t>approach</w:t>
      </w:r>
      <w:proofErr w:type="spellEnd"/>
      <w:r w:rsidRPr="006554C7">
        <w:rPr>
          <w:lang w:val="hu-HU"/>
        </w:rPr>
        <w:t xml:space="preserve"> of </w:t>
      </w:r>
      <w:proofErr w:type="spellStart"/>
      <w:r w:rsidRPr="006554C7">
        <w:rPr>
          <w:lang w:val="hu-HU"/>
        </w:rPr>
        <w:t>the</w:t>
      </w:r>
      <w:proofErr w:type="spellEnd"/>
      <w:r w:rsidRPr="006554C7">
        <w:rPr>
          <w:lang w:val="hu-HU"/>
        </w:rPr>
        <w:t xml:space="preserve"> Financial </w:t>
      </w:r>
      <w:proofErr w:type="spellStart"/>
      <w:r w:rsidRPr="006554C7">
        <w:rPr>
          <w:lang w:val="hu-HU"/>
        </w:rPr>
        <w:t>Collateral</w:t>
      </w:r>
      <w:proofErr w:type="spellEnd"/>
      <w:r w:rsidRPr="006554C7">
        <w:rPr>
          <w:lang w:val="hu-HU"/>
        </w:rPr>
        <w:t xml:space="preserve"> </w:t>
      </w:r>
      <w:proofErr w:type="spellStart"/>
      <w:r w:rsidRPr="006554C7">
        <w:rPr>
          <w:lang w:val="hu-HU"/>
        </w:rPr>
        <w:t>Directive</w:t>
      </w:r>
      <w:proofErr w:type="spellEnd"/>
      <w:r w:rsidRPr="006554C7">
        <w:rPr>
          <w:lang w:val="hu-HU"/>
        </w:rPr>
        <w:t xml:space="preserve"> and </w:t>
      </w:r>
      <w:proofErr w:type="spellStart"/>
      <w:r w:rsidRPr="006554C7">
        <w:rPr>
          <w:lang w:val="hu-HU"/>
        </w:rPr>
        <w:t>therefore</w:t>
      </w:r>
      <w:proofErr w:type="spellEnd"/>
      <w:r w:rsidRPr="006554C7">
        <w:rPr>
          <w:lang w:val="hu-HU"/>
        </w:rPr>
        <w:t xml:space="preserve"> </w:t>
      </w:r>
      <w:proofErr w:type="spellStart"/>
      <w:r w:rsidRPr="006554C7">
        <w:rPr>
          <w:lang w:val="hu-HU"/>
        </w:rPr>
        <w:t>agrees</w:t>
      </w:r>
      <w:proofErr w:type="spellEnd"/>
      <w:r w:rsidRPr="006554C7">
        <w:rPr>
          <w:lang w:val="hu-HU"/>
        </w:rPr>
        <w:t xml:space="preserve"> </w:t>
      </w:r>
      <w:proofErr w:type="spellStart"/>
      <w:r w:rsidRPr="006554C7">
        <w:rPr>
          <w:lang w:val="hu-HU"/>
        </w:rPr>
        <w:t>with</w:t>
      </w:r>
      <w:proofErr w:type="spellEnd"/>
      <w:r w:rsidRPr="006554C7">
        <w:rPr>
          <w:lang w:val="hu-HU"/>
        </w:rPr>
        <w:t xml:space="preserve"> </w:t>
      </w:r>
      <w:proofErr w:type="spellStart"/>
      <w:r w:rsidRPr="006554C7">
        <w:rPr>
          <w:lang w:val="hu-HU"/>
        </w:rPr>
        <w:t>the</w:t>
      </w:r>
      <w:proofErr w:type="spellEnd"/>
      <w:r w:rsidRPr="006554C7">
        <w:rPr>
          <w:lang w:val="hu-HU"/>
        </w:rPr>
        <w:t xml:space="preserve"> </w:t>
      </w:r>
      <w:proofErr w:type="spellStart"/>
      <w:r w:rsidRPr="006554C7">
        <w:rPr>
          <w:lang w:val="hu-HU"/>
        </w:rPr>
        <w:t>option</w:t>
      </w:r>
      <w:proofErr w:type="spellEnd"/>
      <w:r w:rsidRPr="006554C7">
        <w:rPr>
          <w:lang w:val="hu-HU"/>
        </w:rPr>
        <w:t xml:space="preserve"> </w:t>
      </w:r>
      <w:proofErr w:type="spellStart"/>
      <w:r w:rsidRPr="006554C7">
        <w:rPr>
          <w:lang w:val="hu-HU"/>
        </w:rPr>
        <w:t>left</w:t>
      </w:r>
      <w:proofErr w:type="spellEnd"/>
      <w:r w:rsidRPr="006554C7">
        <w:rPr>
          <w:lang w:val="hu-HU"/>
        </w:rPr>
        <w:t xml:space="preserve"> </w:t>
      </w:r>
      <w:proofErr w:type="spellStart"/>
      <w:r w:rsidRPr="006554C7">
        <w:rPr>
          <w:lang w:val="hu-HU"/>
        </w:rPr>
        <w:t>to</w:t>
      </w:r>
      <w:proofErr w:type="spellEnd"/>
      <w:r w:rsidRPr="006554C7">
        <w:rPr>
          <w:lang w:val="hu-HU"/>
        </w:rPr>
        <w:t xml:space="preserve"> </w:t>
      </w:r>
      <w:proofErr w:type="spellStart"/>
      <w:r w:rsidRPr="006554C7">
        <w:rPr>
          <w:lang w:val="hu-HU"/>
        </w:rPr>
        <w:t>the</w:t>
      </w:r>
      <w:proofErr w:type="spellEnd"/>
      <w:r w:rsidRPr="006554C7">
        <w:rPr>
          <w:lang w:val="hu-HU"/>
        </w:rPr>
        <w:t xml:space="preserve"> DSG </w:t>
      </w:r>
      <w:proofErr w:type="spellStart"/>
      <w:r w:rsidRPr="006554C7">
        <w:rPr>
          <w:lang w:val="hu-HU"/>
        </w:rPr>
        <w:t>to</w:t>
      </w:r>
      <w:proofErr w:type="spellEnd"/>
      <w:r w:rsidRPr="006554C7">
        <w:rPr>
          <w:lang w:val="hu-HU"/>
        </w:rPr>
        <w:t xml:space="preserve"> enter </w:t>
      </w:r>
      <w:proofErr w:type="spellStart"/>
      <w:r w:rsidRPr="006554C7">
        <w:rPr>
          <w:lang w:val="hu-HU"/>
        </w:rPr>
        <w:t>into</w:t>
      </w:r>
      <w:proofErr w:type="spellEnd"/>
      <w:r w:rsidRPr="006554C7">
        <w:rPr>
          <w:lang w:val="hu-HU"/>
        </w:rPr>
        <w:t xml:space="preserve"> a </w:t>
      </w:r>
      <w:proofErr w:type="spellStart"/>
      <w:r w:rsidRPr="006554C7">
        <w:rPr>
          <w:lang w:val="hu-HU"/>
        </w:rPr>
        <w:t>Security</w:t>
      </w:r>
      <w:proofErr w:type="spellEnd"/>
      <w:r w:rsidRPr="006554C7">
        <w:rPr>
          <w:lang w:val="hu-HU"/>
        </w:rPr>
        <w:t xml:space="preserve"> </w:t>
      </w:r>
      <w:r w:rsidRPr="006554C7">
        <w:rPr>
          <w:lang w:val="hu-HU"/>
        </w:rPr>
        <w:lastRenderedPageBreak/>
        <w:t xml:space="preserve">Financial </w:t>
      </w:r>
      <w:proofErr w:type="spellStart"/>
      <w:r w:rsidRPr="006554C7">
        <w:rPr>
          <w:lang w:val="hu-HU"/>
        </w:rPr>
        <w:t>Collateral</w:t>
      </w:r>
      <w:proofErr w:type="spellEnd"/>
      <w:r w:rsidRPr="006554C7">
        <w:rPr>
          <w:lang w:val="hu-HU"/>
        </w:rPr>
        <w:t xml:space="preserve"> </w:t>
      </w:r>
      <w:proofErr w:type="spellStart"/>
      <w:r w:rsidRPr="006554C7">
        <w:rPr>
          <w:lang w:val="hu-HU"/>
        </w:rPr>
        <w:t>Arrangement</w:t>
      </w:r>
      <w:proofErr w:type="spellEnd"/>
      <w:r w:rsidRPr="006554C7">
        <w:rPr>
          <w:lang w:val="hu-HU"/>
        </w:rPr>
        <w:t xml:space="preserve"> </w:t>
      </w:r>
      <w:proofErr w:type="spellStart"/>
      <w:r w:rsidRPr="006554C7">
        <w:rPr>
          <w:lang w:val="hu-HU"/>
        </w:rPr>
        <w:t>or</w:t>
      </w:r>
      <w:proofErr w:type="spellEnd"/>
      <w:r w:rsidRPr="006554C7">
        <w:rPr>
          <w:lang w:val="hu-HU"/>
        </w:rPr>
        <w:t xml:space="preserve"> a </w:t>
      </w:r>
      <w:proofErr w:type="spellStart"/>
      <w:r w:rsidRPr="006554C7">
        <w:rPr>
          <w:lang w:val="hu-HU"/>
        </w:rPr>
        <w:t>Title</w:t>
      </w:r>
      <w:proofErr w:type="spellEnd"/>
      <w:r w:rsidRPr="006554C7">
        <w:rPr>
          <w:lang w:val="hu-HU"/>
        </w:rPr>
        <w:t xml:space="preserve"> </w:t>
      </w:r>
      <w:proofErr w:type="spellStart"/>
      <w:r w:rsidRPr="006554C7">
        <w:rPr>
          <w:lang w:val="hu-HU"/>
        </w:rPr>
        <w:t>Transfer</w:t>
      </w:r>
      <w:proofErr w:type="spellEnd"/>
      <w:r w:rsidRPr="006554C7">
        <w:rPr>
          <w:lang w:val="hu-HU"/>
        </w:rPr>
        <w:t xml:space="preserve"> Fin</w:t>
      </w:r>
      <w:r w:rsidR="004458CB">
        <w:rPr>
          <w:lang w:val="hu-HU"/>
        </w:rPr>
        <w:t xml:space="preserve">ancial </w:t>
      </w:r>
      <w:proofErr w:type="spellStart"/>
      <w:r w:rsidR="004458CB">
        <w:rPr>
          <w:lang w:val="hu-HU"/>
        </w:rPr>
        <w:t>Collateral</w:t>
      </w:r>
      <w:proofErr w:type="spellEnd"/>
      <w:r w:rsidR="004458CB">
        <w:rPr>
          <w:lang w:val="hu-HU"/>
        </w:rPr>
        <w:t xml:space="preserve"> </w:t>
      </w:r>
      <w:proofErr w:type="spellStart"/>
      <w:r w:rsidR="004458CB">
        <w:rPr>
          <w:lang w:val="hu-HU"/>
        </w:rPr>
        <w:t>Arrangement</w:t>
      </w:r>
      <w:proofErr w:type="spellEnd"/>
      <w:r w:rsidR="004458CB">
        <w:rPr>
          <w:lang w:val="hu-HU"/>
        </w:rPr>
        <w:t>.</w:t>
      </w:r>
      <w:r w:rsidRPr="006554C7">
        <w:rPr>
          <w:lang w:val="hu-HU"/>
        </w:rPr>
        <w:t xml:space="preserve"> </w:t>
      </w:r>
      <w:proofErr w:type="spellStart"/>
      <w:r w:rsidRPr="006554C7">
        <w:rPr>
          <w:lang w:val="hu-HU"/>
        </w:rPr>
        <w:t>Furthermore</w:t>
      </w:r>
      <w:proofErr w:type="spellEnd"/>
      <w:r w:rsidRPr="006554C7">
        <w:rPr>
          <w:lang w:val="hu-HU"/>
        </w:rPr>
        <w:t xml:space="preserve">, </w:t>
      </w:r>
      <w:proofErr w:type="spellStart"/>
      <w:r w:rsidRPr="006554C7">
        <w:rPr>
          <w:lang w:val="hu-HU"/>
        </w:rPr>
        <w:t>we</w:t>
      </w:r>
      <w:proofErr w:type="spellEnd"/>
      <w:r w:rsidRPr="006554C7">
        <w:rPr>
          <w:lang w:val="hu-HU"/>
        </w:rPr>
        <w:t xml:space="preserve"> </w:t>
      </w:r>
      <w:proofErr w:type="spellStart"/>
      <w:r w:rsidRPr="006554C7">
        <w:rPr>
          <w:lang w:val="hu-HU"/>
        </w:rPr>
        <w:t>consider</w:t>
      </w:r>
      <w:proofErr w:type="spellEnd"/>
      <w:r w:rsidRPr="006554C7">
        <w:rPr>
          <w:lang w:val="hu-HU"/>
        </w:rPr>
        <w:t xml:space="preserve"> </w:t>
      </w:r>
      <w:proofErr w:type="spellStart"/>
      <w:r w:rsidRPr="006554C7">
        <w:rPr>
          <w:lang w:val="hu-HU"/>
        </w:rPr>
        <w:t>that</w:t>
      </w:r>
      <w:proofErr w:type="spellEnd"/>
      <w:r w:rsidRPr="006554C7">
        <w:rPr>
          <w:lang w:val="hu-HU"/>
        </w:rPr>
        <w:t xml:space="preserve"> </w:t>
      </w:r>
      <w:proofErr w:type="spellStart"/>
      <w:r w:rsidRPr="006554C7">
        <w:rPr>
          <w:lang w:val="hu-HU"/>
        </w:rPr>
        <w:t>flexibility</w:t>
      </w:r>
      <w:proofErr w:type="spellEnd"/>
      <w:r w:rsidRPr="006554C7">
        <w:rPr>
          <w:lang w:val="hu-HU"/>
        </w:rPr>
        <w:t xml:space="preserve"> </w:t>
      </w:r>
      <w:proofErr w:type="spellStart"/>
      <w:r w:rsidRPr="006554C7">
        <w:rPr>
          <w:lang w:val="hu-HU"/>
        </w:rPr>
        <w:t>should</w:t>
      </w:r>
      <w:proofErr w:type="spellEnd"/>
      <w:r w:rsidRPr="006554C7">
        <w:rPr>
          <w:lang w:val="hu-HU"/>
        </w:rPr>
        <w:t xml:space="preserve"> be </w:t>
      </w:r>
      <w:proofErr w:type="spellStart"/>
      <w:r w:rsidRPr="006554C7">
        <w:rPr>
          <w:lang w:val="hu-HU"/>
        </w:rPr>
        <w:t>granted</w:t>
      </w:r>
      <w:proofErr w:type="spellEnd"/>
      <w:r w:rsidRPr="006554C7">
        <w:rPr>
          <w:lang w:val="hu-HU"/>
        </w:rPr>
        <w:t xml:space="preserve"> </w:t>
      </w:r>
      <w:proofErr w:type="spellStart"/>
      <w:r w:rsidRPr="006554C7">
        <w:rPr>
          <w:lang w:val="hu-HU"/>
        </w:rPr>
        <w:t>to</w:t>
      </w:r>
      <w:proofErr w:type="spellEnd"/>
      <w:r w:rsidRPr="006554C7">
        <w:rPr>
          <w:lang w:val="hu-HU"/>
        </w:rPr>
        <w:t xml:space="preserve"> credit </w:t>
      </w:r>
      <w:proofErr w:type="spellStart"/>
      <w:r w:rsidRPr="006554C7">
        <w:rPr>
          <w:lang w:val="hu-HU"/>
        </w:rPr>
        <w:t>institutions</w:t>
      </w:r>
      <w:proofErr w:type="spellEnd"/>
      <w:r w:rsidRPr="006554C7">
        <w:rPr>
          <w:lang w:val="hu-HU"/>
        </w:rPr>
        <w:t xml:space="preserve"> </w:t>
      </w:r>
      <w:proofErr w:type="spellStart"/>
      <w:r w:rsidRPr="006554C7">
        <w:rPr>
          <w:lang w:val="hu-HU"/>
        </w:rPr>
        <w:t>to</w:t>
      </w:r>
      <w:proofErr w:type="spellEnd"/>
      <w:r w:rsidRPr="006554C7">
        <w:rPr>
          <w:lang w:val="hu-HU"/>
        </w:rPr>
        <w:t xml:space="preserve"> </w:t>
      </w:r>
      <w:proofErr w:type="spellStart"/>
      <w:r w:rsidRPr="006554C7">
        <w:rPr>
          <w:lang w:val="hu-HU"/>
        </w:rPr>
        <w:t>choose</w:t>
      </w:r>
      <w:proofErr w:type="spellEnd"/>
      <w:r w:rsidRPr="006554C7">
        <w:rPr>
          <w:lang w:val="hu-HU"/>
        </w:rPr>
        <w:t xml:space="preserve"> </w:t>
      </w:r>
      <w:proofErr w:type="spellStart"/>
      <w:r w:rsidRPr="006554C7">
        <w:rPr>
          <w:lang w:val="hu-HU"/>
        </w:rPr>
        <w:t>between</w:t>
      </w:r>
      <w:proofErr w:type="spellEnd"/>
      <w:r w:rsidR="004458CB">
        <w:rPr>
          <w:lang w:val="hu-HU"/>
        </w:rPr>
        <w:t xml:space="preserve"> </w:t>
      </w:r>
      <w:proofErr w:type="spellStart"/>
      <w:r w:rsidR="004458CB">
        <w:rPr>
          <w:lang w:val="hu-HU"/>
        </w:rPr>
        <w:t>those</w:t>
      </w:r>
      <w:proofErr w:type="spellEnd"/>
      <w:r w:rsidR="004458CB">
        <w:rPr>
          <w:lang w:val="hu-HU"/>
        </w:rPr>
        <w:t xml:space="preserve"> </w:t>
      </w:r>
      <w:proofErr w:type="spellStart"/>
      <w:r w:rsidR="004458CB">
        <w:rPr>
          <w:lang w:val="hu-HU"/>
        </w:rPr>
        <w:t>alternative</w:t>
      </w:r>
      <w:proofErr w:type="spellEnd"/>
      <w:r w:rsidR="004458CB">
        <w:rPr>
          <w:lang w:val="hu-HU"/>
        </w:rPr>
        <w:t xml:space="preserve"> </w:t>
      </w:r>
      <w:proofErr w:type="spellStart"/>
      <w:r w:rsidR="004458CB">
        <w:rPr>
          <w:lang w:val="hu-HU"/>
        </w:rPr>
        <w:t>Arrangements</w:t>
      </w:r>
      <w:proofErr w:type="spellEnd"/>
      <w:r w:rsidRPr="006554C7">
        <w:rPr>
          <w:lang w:val="hu-HU"/>
        </w:rPr>
        <w:t>.</w:t>
      </w:r>
    </w:p>
    <w:p w:rsidR="00433729" w:rsidRDefault="00433729" w:rsidP="00EB5506">
      <w:pPr>
        <w:rPr>
          <w:color w:val="2F5773" w:themeColor="text2"/>
        </w:rPr>
      </w:pPr>
    </w:p>
    <w:p w:rsidR="004179F7" w:rsidRDefault="00433729" w:rsidP="00EB5506">
      <w:pPr>
        <w:rPr>
          <w:color w:val="2F5773" w:themeColor="text2"/>
        </w:rPr>
      </w:pPr>
      <w:r>
        <w:rPr>
          <w:color w:val="2F5773" w:themeColor="text2"/>
        </w:rPr>
        <w:t>Question</w:t>
      </w:r>
      <w:r w:rsidR="006554C7">
        <w:rPr>
          <w:color w:val="2F5773" w:themeColor="text2"/>
        </w:rPr>
        <w:t xml:space="preserve"> 5</w:t>
      </w:r>
      <w:r w:rsidR="00E61257">
        <w:rPr>
          <w:color w:val="2F5773" w:themeColor="text2"/>
        </w:rPr>
        <w:t xml:space="preserve"> </w:t>
      </w:r>
    </w:p>
    <w:p w:rsidR="006554C7" w:rsidRDefault="00EB5506" w:rsidP="00EB5506">
      <w:r w:rsidRPr="00EB5506">
        <w:rPr>
          <w:color w:val="2F5773" w:themeColor="text2"/>
        </w:rPr>
        <w:t>Do you think other requirements about the choice of the custodians should be provided under these guidelines?</w:t>
      </w:r>
    </w:p>
    <w:p w:rsidR="00BE38EC" w:rsidRDefault="00BE38EC" w:rsidP="000E5CB5"/>
    <w:p w:rsidR="00BE38EC" w:rsidRDefault="00BE38EC" w:rsidP="000E5CB5"/>
    <w:p w:rsidR="004179F7" w:rsidRDefault="00EB5506" w:rsidP="000E5CB5">
      <w:pPr>
        <w:rPr>
          <w:color w:val="2F5773" w:themeColor="text2"/>
        </w:rPr>
      </w:pPr>
      <w:r w:rsidRPr="00EB5506">
        <w:t>The choice of custodians sh</w:t>
      </w:r>
      <w:r>
        <w:t>ould be a decision of each DGS</w:t>
      </w:r>
      <w:r w:rsidRPr="00EB5506">
        <w:t xml:space="preserve"> and no additional requirements should be </w:t>
      </w:r>
      <w:r>
        <w:t xml:space="preserve">provided under </w:t>
      </w:r>
      <w:proofErr w:type="gramStart"/>
      <w:r>
        <w:t>these</w:t>
      </w:r>
      <w:proofErr w:type="gramEnd"/>
      <w:r>
        <w:t xml:space="preserve"> </w:t>
      </w:r>
      <w:proofErr w:type="spellStart"/>
      <w:r>
        <w:t>guidelines</w:t>
      </w:r>
      <w:r w:rsidRPr="00EB5506">
        <w:t>.</w:t>
      </w:r>
      <w:r w:rsidR="00433729">
        <w:rPr>
          <w:color w:val="2F5773" w:themeColor="text2"/>
        </w:rPr>
        <w:t>Question</w:t>
      </w:r>
      <w:proofErr w:type="spellEnd"/>
      <w:r>
        <w:rPr>
          <w:color w:val="2F5773" w:themeColor="text2"/>
        </w:rPr>
        <w:t xml:space="preserve"> 6</w:t>
      </w:r>
      <w:r w:rsidR="00E61257">
        <w:rPr>
          <w:color w:val="2F5773" w:themeColor="text2"/>
        </w:rPr>
        <w:t xml:space="preserve"> </w:t>
      </w:r>
    </w:p>
    <w:p w:rsidR="00BE38EC" w:rsidRDefault="00BE38EC" w:rsidP="000E5CB5">
      <w:pPr>
        <w:rPr>
          <w:color w:val="2F5773" w:themeColor="text2"/>
        </w:rPr>
      </w:pPr>
    </w:p>
    <w:p w:rsidR="00BE38EC" w:rsidRDefault="00BE38EC" w:rsidP="000E5CB5">
      <w:pPr>
        <w:rPr>
          <w:color w:val="2F5773" w:themeColor="text2"/>
        </w:rPr>
      </w:pPr>
    </w:p>
    <w:p w:rsidR="00BE38EC" w:rsidRDefault="00BE38EC" w:rsidP="000E5CB5">
      <w:pPr>
        <w:rPr>
          <w:color w:val="2F5773" w:themeColor="text2"/>
        </w:rPr>
      </w:pPr>
      <w:r>
        <w:rPr>
          <w:color w:val="2F5773" w:themeColor="text2"/>
        </w:rPr>
        <w:t>Question 6</w:t>
      </w:r>
    </w:p>
    <w:p w:rsidR="00EB5506" w:rsidRDefault="000E5CB5" w:rsidP="000E5CB5">
      <w:r w:rsidRPr="000E5CB5">
        <w:rPr>
          <w:color w:val="2F5773" w:themeColor="text2"/>
        </w:rPr>
        <w:t>Do you agree on the above</w:t>
      </w:r>
      <w:r w:rsidR="003E39C7">
        <w:rPr>
          <w:color w:val="2F5773" w:themeColor="text2"/>
        </w:rPr>
        <w:t xml:space="preserve"> </w:t>
      </w:r>
      <w:r w:rsidRPr="000E5CB5">
        <w:rPr>
          <w:color w:val="2F5773" w:themeColor="text2"/>
        </w:rPr>
        <w:t>mentioned requirements? Would you suggest other limits on concentration in exposures?</w:t>
      </w:r>
    </w:p>
    <w:p w:rsidR="000E5CB5" w:rsidRDefault="000E5CB5" w:rsidP="00E61257">
      <w:pPr>
        <w:pStyle w:val="body"/>
        <w:spacing w:after="0" w:line="240" w:lineRule="auto"/>
        <w:jc w:val="both"/>
      </w:pPr>
      <w:r>
        <w:t>B</w:t>
      </w:r>
      <w:r w:rsidRPr="000E5CB5">
        <w:t xml:space="preserve">SG considers that a pragmatic and reasonable approach for collateral eligibility would be to use the eligibility criteria set by central banks for repo transactions. BSG notes that  EBA’s proposal leaves room for considerable discretion at DSG or designated authority level, including with regard to the interpretation of “illiquid assets”, “high diversification” and “low correlation”, and to the setting of “exposure limits” with adjustments, on proportionality grounds, for “small” institutions. BSG supports this approach subject to an expectation of EBA monitoring to ensure consistency in practice and to the possibility of more detailed EBA guidelines in future. BSG does not suggest other limits on concentration in exposure. BSG favours an approach that leaves an appropriate room for the credit institutions to choose the assets being delivered as collateral.   Regarding the exclusion of asset backed securities recommended in the </w:t>
      </w:r>
      <w:r w:rsidR="00791DF9" w:rsidRPr="000E5CB5">
        <w:t>guidelines;</w:t>
      </w:r>
      <w:r w:rsidRPr="000E5CB5">
        <w:t xml:space="preserve"> the consideration that they are illiquid assets should in our view be qualified. The recent Commission delegated act on LCR recognizes the liquidity of certain High Quality Securitisation assets. Consequently those assets should not be disregarded as collatera</w:t>
      </w:r>
      <w:r>
        <w:t>l to secure Payment Commitments</w:t>
      </w:r>
      <w:r w:rsidRPr="000E5CB5">
        <w:t>.</w:t>
      </w:r>
    </w:p>
    <w:p w:rsidR="000E5CB5" w:rsidRDefault="000E5CB5" w:rsidP="00947B0F">
      <w:pPr>
        <w:pStyle w:val="body"/>
      </w:pPr>
    </w:p>
    <w:p w:rsidR="004179F7" w:rsidRDefault="00433729" w:rsidP="00AD2742">
      <w:pPr>
        <w:rPr>
          <w:color w:val="2F5773" w:themeColor="text2"/>
        </w:rPr>
      </w:pPr>
      <w:r>
        <w:rPr>
          <w:color w:val="2F5773" w:themeColor="text2"/>
        </w:rPr>
        <w:t>Question</w:t>
      </w:r>
      <w:r w:rsidR="00E61257">
        <w:rPr>
          <w:color w:val="2F5773" w:themeColor="text2"/>
        </w:rPr>
        <w:t xml:space="preserve"> 7 </w:t>
      </w:r>
    </w:p>
    <w:p w:rsidR="00AD2742" w:rsidRDefault="003819A3" w:rsidP="00AD2742">
      <w:pPr>
        <w:rPr>
          <w:color w:val="2F5773" w:themeColor="text2"/>
        </w:rPr>
      </w:pPr>
      <w:r w:rsidRPr="003819A3">
        <w:rPr>
          <w:color w:val="2F5773" w:themeColor="text2"/>
        </w:rPr>
        <w:t>Is it in your view appropriate not to consider the currency of issuance when determining whether a debt instrument’s value is correlated to an event of DGS pay-out, be it inside or outside the euro area?</w:t>
      </w:r>
      <w:r>
        <w:rPr>
          <w:color w:val="2F5773" w:themeColor="text2"/>
        </w:rPr>
        <w:t xml:space="preserve"> </w:t>
      </w:r>
    </w:p>
    <w:p w:rsidR="00AD2742" w:rsidRDefault="00CE39FA" w:rsidP="00CE39FA">
      <w:pPr>
        <w:pStyle w:val="body"/>
        <w:spacing w:after="0" w:line="240" w:lineRule="auto"/>
        <w:jc w:val="both"/>
      </w:pPr>
      <w:r w:rsidRPr="00CE39FA">
        <w:t>BSG accepts, on pragmatic grounds, that the currency of denomination of debt should not be considered for this purpose. BSG notes that different treatment inside or outside the euro area would give rise to concerns on the ground of discrimination.</w:t>
      </w:r>
    </w:p>
    <w:p w:rsidR="00305E35" w:rsidRDefault="00305E35" w:rsidP="00CE39FA">
      <w:pPr>
        <w:pStyle w:val="body"/>
        <w:spacing w:after="0" w:line="240" w:lineRule="auto"/>
        <w:jc w:val="both"/>
      </w:pPr>
    </w:p>
    <w:p w:rsidR="004179F7" w:rsidRDefault="00433729" w:rsidP="00AD2742">
      <w:pPr>
        <w:rPr>
          <w:color w:val="2F5773" w:themeColor="text2"/>
        </w:rPr>
      </w:pPr>
      <w:r>
        <w:rPr>
          <w:color w:val="2F5773" w:themeColor="text2"/>
        </w:rPr>
        <w:t>Question</w:t>
      </w:r>
      <w:r w:rsidR="00AD2742">
        <w:rPr>
          <w:color w:val="2F5773" w:themeColor="text2"/>
        </w:rPr>
        <w:t xml:space="preserve"> 8</w:t>
      </w:r>
      <w:r w:rsidR="00E61257">
        <w:rPr>
          <w:color w:val="2F5773" w:themeColor="text2"/>
        </w:rPr>
        <w:t xml:space="preserve"> </w:t>
      </w:r>
    </w:p>
    <w:p w:rsidR="00AD2742" w:rsidRDefault="003819A3" w:rsidP="00AD2742">
      <w:r w:rsidRPr="003819A3">
        <w:rPr>
          <w:color w:val="2F5773" w:themeColor="text2"/>
        </w:rPr>
        <w:t>Do you consider that the proposed wording correctly applies the concept of proportionality, or whether some limits to concentration should be envisaged also for smaller, locally operating banks?</w:t>
      </w:r>
    </w:p>
    <w:p w:rsidR="00AD2742" w:rsidRDefault="00CE39FA" w:rsidP="00CE39FA">
      <w:pPr>
        <w:pStyle w:val="body"/>
        <w:spacing w:line="240" w:lineRule="auto"/>
        <w:jc w:val="both"/>
        <w:rPr>
          <w:lang w:val="hu-HU"/>
        </w:rPr>
      </w:pPr>
      <w:proofErr w:type="spellStart"/>
      <w:r w:rsidRPr="00CE39FA">
        <w:rPr>
          <w:lang w:val="hu-HU"/>
        </w:rPr>
        <w:lastRenderedPageBreak/>
        <w:t>Subject</w:t>
      </w:r>
      <w:proofErr w:type="spellEnd"/>
      <w:r w:rsidRPr="00CE39FA">
        <w:rPr>
          <w:lang w:val="hu-HU"/>
        </w:rPr>
        <w:t xml:space="preserve"> </w:t>
      </w:r>
      <w:proofErr w:type="spellStart"/>
      <w:r w:rsidRPr="00CE39FA">
        <w:rPr>
          <w:lang w:val="hu-HU"/>
        </w:rPr>
        <w:t>to</w:t>
      </w:r>
      <w:proofErr w:type="spellEnd"/>
      <w:r w:rsidRPr="00CE39FA">
        <w:rPr>
          <w:lang w:val="hu-HU"/>
        </w:rPr>
        <w:t xml:space="preserve"> 6 </w:t>
      </w:r>
      <w:proofErr w:type="spellStart"/>
      <w:r w:rsidRPr="00CE39FA">
        <w:rPr>
          <w:lang w:val="hu-HU"/>
        </w:rPr>
        <w:t>above</w:t>
      </w:r>
      <w:proofErr w:type="spellEnd"/>
      <w:r w:rsidRPr="00CE39FA">
        <w:rPr>
          <w:lang w:val="hu-HU"/>
        </w:rPr>
        <w:t xml:space="preserve">, BSG </w:t>
      </w:r>
      <w:proofErr w:type="spellStart"/>
      <w:r w:rsidRPr="00CE39FA">
        <w:rPr>
          <w:lang w:val="hu-HU"/>
        </w:rPr>
        <w:t>supports</w:t>
      </w:r>
      <w:proofErr w:type="spellEnd"/>
      <w:r w:rsidRPr="00CE39FA">
        <w:rPr>
          <w:lang w:val="hu-HU"/>
        </w:rPr>
        <w:t xml:space="preserve"> </w:t>
      </w:r>
      <w:proofErr w:type="spellStart"/>
      <w:r w:rsidRPr="00CE39FA">
        <w:rPr>
          <w:lang w:val="hu-HU"/>
        </w:rPr>
        <w:t>the</w:t>
      </w:r>
      <w:proofErr w:type="spellEnd"/>
      <w:r w:rsidRPr="00CE39FA">
        <w:rPr>
          <w:lang w:val="hu-HU"/>
        </w:rPr>
        <w:t xml:space="preserve"> </w:t>
      </w:r>
      <w:proofErr w:type="spellStart"/>
      <w:r w:rsidRPr="00CE39FA">
        <w:rPr>
          <w:lang w:val="hu-HU"/>
        </w:rPr>
        <w:t>application</w:t>
      </w:r>
      <w:proofErr w:type="spellEnd"/>
      <w:r w:rsidRPr="00CE39FA">
        <w:rPr>
          <w:lang w:val="hu-HU"/>
        </w:rPr>
        <w:t xml:space="preserve"> of </w:t>
      </w:r>
      <w:proofErr w:type="spellStart"/>
      <w:r w:rsidRPr="00CE39FA">
        <w:rPr>
          <w:lang w:val="hu-HU"/>
        </w:rPr>
        <w:t>the</w:t>
      </w:r>
      <w:proofErr w:type="spellEnd"/>
      <w:r w:rsidRPr="00CE39FA">
        <w:rPr>
          <w:lang w:val="hu-HU"/>
        </w:rPr>
        <w:t xml:space="preserve"> </w:t>
      </w:r>
      <w:proofErr w:type="spellStart"/>
      <w:r w:rsidRPr="00CE39FA">
        <w:rPr>
          <w:lang w:val="hu-HU"/>
        </w:rPr>
        <w:t>concept</w:t>
      </w:r>
      <w:proofErr w:type="spellEnd"/>
      <w:r w:rsidRPr="00CE39FA">
        <w:rPr>
          <w:lang w:val="hu-HU"/>
        </w:rPr>
        <w:t xml:space="preserve"> of </w:t>
      </w:r>
      <w:proofErr w:type="spellStart"/>
      <w:r w:rsidRPr="00CE39FA">
        <w:rPr>
          <w:lang w:val="hu-HU"/>
        </w:rPr>
        <w:t>proportionality</w:t>
      </w:r>
      <w:proofErr w:type="spellEnd"/>
      <w:r w:rsidRPr="00CE39FA">
        <w:rPr>
          <w:lang w:val="hu-HU"/>
        </w:rPr>
        <w:t xml:space="preserve"> </w:t>
      </w:r>
      <w:proofErr w:type="spellStart"/>
      <w:r w:rsidRPr="00CE39FA">
        <w:rPr>
          <w:lang w:val="hu-HU"/>
        </w:rPr>
        <w:t>in</w:t>
      </w:r>
      <w:proofErr w:type="spellEnd"/>
      <w:r w:rsidRPr="00CE39FA">
        <w:rPr>
          <w:lang w:val="hu-HU"/>
        </w:rPr>
        <w:t xml:space="preserve"> </w:t>
      </w:r>
      <w:proofErr w:type="spellStart"/>
      <w:r w:rsidRPr="00CE39FA">
        <w:rPr>
          <w:lang w:val="hu-HU"/>
        </w:rPr>
        <w:t>this</w:t>
      </w:r>
      <w:proofErr w:type="spellEnd"/>
      <w:r w:rsidRPr="00CE39FA">
        <w:rPr>
          <w:lang w:val="hu-HU"/>
        </w:rPr>
        <w:t xml:space="preserve"> </w:t>
      </w:r>
      <w:proofErr w:type="spellStart"/>
      <w:r w:rsidRPr="00CE39FA">
        <w:rPr>
          <w:lang w:val="hu-HU"/>
        </w:rPr>
        <w:t>context</w:t>
      </w:r>
      <w:proofErr w:type="spellEnd"/>
      <w:r w:rsidRPr="00CE39FA">
        <w:rPr>
          <w:lang w:val="hu-HU"/>
        </w:rPr>
        <w:t xml:space="preserve"> and </w:t>
      </w:r>
      <w:proofErr w:type="spellStart"/>
      <w:r w:rsidRPr="00CE39FA">
        <w:rPr>
          <w:lang w:val="hu-HU"/>
        </w:rPr>
        <w:t>that</w:t>
      </w:r>
      <w:proofErr w:type="spellEnd"/>
      <w:r w:rsidRPr="00CE39FA">
        <w:rPr>
          <w:lang w:val="hu-HU"/>
        </w:rPr>
        <w:t xml:space="preserve"> </w:t>
      </w:r>
      <w:proofErr w:type="spellStart"/>
      <w:r w:rsidRPr="00CE39FA">
        <w:rPr>
          <w:lang w:val="hu-HU"/>
        </w:rPr>
        <w:t>limits</w:t>
      </w:r>
      <w:proofErr w:type="spellEnd"/>
      <w:r w:rsidRPr="00CE39FA">
        <w:rPr>
          <w:lang w:val="hu-HU"/>
        </w:rPr>
        <w:t xml:space="preserve"> </w:t>
      </w:r>
      <w:proofErr w:type="spellStart"/>
      <w:r w:rsidRPr="00CE39FA">
        <w:rPr>
          <w:lang w:val="hu-HU"/>
        </w:rPr>
        <w:t>to</w:t>
      </w:r>
      <w:proofErr w:type="spellEnd"/>
      <w:r w:rsidRPr="00CE39FA">
        <w:rPr>
          <w:lang w:val="hu-HU"/>
        </w:rPr>
        <w:t xml:space="preserve"> </w:t>
      </w:r>
      <w:proofErr w:type="spellStart"/>
      <w:r w:rsidRPr="00CE39FA">
        <w:rPr>
          <w:lang w:val="hu-HU"/>
        </w:rPr>
        <w:t>concentration</w:t>
      </w:r>
      <w:proofErr w:type="spellEnd"/>
      <w:r w:rsidRPr="00CE39FA">
        <w:rPr>
          <w:lang w:val="hu-HU"/>
        </w:rPr>
        <w:t xml:space="preserve"> </w:t>
      </w:r>
      <w:proofErr w:type="spellStart"/>
      <w:r w:rsidRPr="00CE39FA">
        <w:rPr>
          <w:lang w:val="hu-HU"/>
        </w:rPr>
        <w:t>should</w:t>
      </w:r>
      <w:proofErr w:type="spellEnd"/>
      <w:r w:rsidRPr="00CE39FA">
        <w:rPr>
          <w:lang w:val="hu-HU"/>
        </w:rPr>
        <w:t xml:space="preserve"> </w:t>
      </w:r>
      <w:proofErr w:type="spellStart"/>
      <w:r w:rsidRPr="00CE39FA">
        <w:rPr>
          <w:lang w:val="hu-HU"/>
        </w:rPr>
        <w:t>not</w:t>
      </w:r>
      <w:proofErr w:type="spellEnd"/>
      <w:r w:rsidRPr="00CE39FA">
        <w:rPr>
          <w:lang w:val="hu-HU"/>
        </w:rPr>
        <w:t xml:space="preserve"> be </w:t>
      </w:r>
      <w:proofErr w:type="spellStart"/>
      <w:r w:rsidRPr="00CE39FA">
        <w:rPr>
          <w:lang w:val="hu-HU"/>
        </w:rPr>
        <w:t>envisaged</w:t>
      </w:r>
      <w:proofErr w:type="spellEnd"/>
      <w:r w:rsidRPr="00CE39FA">
        <w:rPr>
          <w:lang w:val="hu-HU"/>
        </w:rPr>
        <w:t xml:space="preserve"> </w:t>
      </w:r>
      <w:proofErr w:type="spellStart"/>
      <w:r w:rsidRPr="00CE39FA">
        <w:rPr>
          <w:lang w:val="hu-HU"/>
        </w:rPr>
        <w:t>for</w:t>
      </w:r>
      <w:proofErr w:type="spellEnd"/>
      <w:r w:rsidRPr="00CE39FA">
        <w:rPr>
          <w:lang w:val="hu-HU"/>
        </w:rPr>
        <w:t xml:space="preserve"> </w:t>
      </w:r>
      <w:proofErr w:type="spellStart"/>
      <w:r w:rsidRPr="00CE39FA">
        <w:rPr>
          <w:lang w:val="hu-HU"/>
        </w:rPr>
        <w:t>smaller</w:t>
      </w:r>
      <w:proofErr w:type="spellEnd"/>
      <w:r w:rsidRPr="00CE39FA">
        <w:rPr>
          <w:lang w:val="hu-HU"/>
        </w:rPr>
        <w:t xml:space="preserve">, </w:t>
      </w:r>
      <w:proofErr w:type="spellStart"/>
      <w:r w:rsidRPr="00CE39FA">
        <w:rPr>
          <w:lang w:val="hu-HU"/>
        </w:rPr>
        <w:t>locally</w:t>
      </w:r>
      <w:proofErr w:type="spellEnd"/>
      <w:r w:rsidRPr="00CE39FA">
        <w:rPr>
          <w:lang w:val="hu-HU"/>
        </w:rPr>
        <w:t xml:space="preserve"> </w:t>
      </w:r>
      <w:proofErr w:type="spellStart"/>
      <w:r w:rsidRPr="00CE39FA">
        <w:rPr>
          <w:lang w:val="hu-HU"/>
        </w:rPr>
        <w:t>operating</w:t>
      </w:r>
      <w:proofErr w:type="spellEnd"/>
      <w:r w:rsidRPr="00CE39FA">
        <w:rPr>
          <w:lang w:val="hu-HU"/>
        </w:rPr>
        <w:t xml:space="preserve"> </w:t>
      </w:r>
      <w:proofErr w:type="spellStart"/>
      <w:r w:rsidRPr="00CE39FA">
        <w:rPr>
          <w:lang w:val="hu-HU"/>
        </w:rPr>
        <w:t>banks</w:t>
      </w:r>
      <w:proofErr w:type="spellEnd"/>
      <w:r w:rsidRPr="00CE39FA">
        <w:rPr>
          <w:lang w:val="hu-HU"/>
        </w:rPr>
        <w:t>.</w:t>
      </w:r>
    </w:p>
    <w:p w:rsidR="00CE39FA" w:rsidRPr="00CE39FA" w:rsidRDefault="00CE39FA" w:rsidP="00CE39FA">
      <w:pPr>
        <w:pStyle w:val="body"/>
        <w:spacing w:line="240" w:lineRule="auto"/>
        <w:jc w:val="both"/>
        <w:rPr>
          <w:lang w:val="hu-HU"/>
        </w:rPr>
      </w:pPr>
    </w:p>
    <w:p w:rsidR="004179F7" w:rsidRDefault="00433729" w:rsidP="00E61257">
      <w:pPr>
        <w:rPr>
          <w:color w:val="2F5773" w:themeColor="text2"/>
        </w:rPr>
      </w:pPr>
      <w:r>
        <w:rPr>
          <w:color w:val="2F5773" w:themeColor="text2"/>
        </w:rPr>
        <w:t>Question</w:t>
      </w:r>
      <w:r w:rsidR="00AD2742">
        <w:rPr>
          <w:color w:val="2F5773" w:themeColor="text2"/>
        </w:rPr>
        <w:t xml:space="preserve"> 9</w:t>
      </w:r>
      <w:r w:rsidR="00E61257">
        <w:rPr>
          <w:color w:val="2F5773" w:themeColor="text2"/>
        </w:rPr>
        <w:t xml:space="preserve"> </w:t>
      </w:r>
    </w:p>
    <w:p w:rsidR="00AD2742" w:rsidRDefault="003819A3" w:rsidP="00E61257">
      <w:r w:rsidRPr="003819A3">
        <w:rPr>
          <w:color w:val="2F5773" w:themeColor="text2"/>
        </w:rPr>
        <w:t>Do you agree with the criteria on the eligibility of the collateral provided in this Part 6? Do you think other requirements should be provided in these guidelines on this issue?</w:t>
      </w:r>
    </w:p>
    <w:p w:rsidR="00CE39FA" w:rsidRPr="00CE39FA" w:rsidRDefault="00CE39FA" w:rsidP="00CE39FA">
      <w:pPr>
        <w:pStyle w:val="body"/>
        <w:spacing w:after="0" w:line="240" w:lineRule="auto"/>
        <w:jc w:val="both"/>
        <w:rPr>
          <w:lang w:val="hu-HU"/>
        </w:rPr>
      </w:pPr>
      <w:r w:rsidRPr="00CE39FA">
        <w:rPr>
          <w:lang w:val="hu-HU"/>
        </w:rPr>
        <w:t xml:space="preserve">BSG </w:t>
      </w:r>
      <w:proofErr w:type="spellStart"/>
      <w:r w:rsidRPr="00CE39FA">
        <w:rPr>
          <w:lang w:val="hu-HU"/>
        </w:rPr>
        <w:t>considers</w:t>
      </w:r>
      <w:proofErr w:type="spellEnd"/>
      <w:r w:rsidRPr="00CE39FA">
        <w:rPr>
          <w:lang w:val="hu-HU"/>
        </w:rPr>
        <w:t xml:space="preserve"> </w:t>
      </w:r>
      <w:proofErr w:type="spellStart"/>
      <w:r w:rsidRPr="00CE39FA">
        <w:rPr>
          <w:lang w:val="hu-HU"/>
        </w:rPr>
        <w:t>that</w:t>
      </w:r>
      <w:proofErr w:type="spellEnd"/>
      <w:r w:rsidRPr="00CE39FA">
        <w:rPr>
          <w:lang w:val="hu-HU"/>
        </w:rPr>
        <w:t xml:space="preserve"> a </w:t>
      </w:r>
      <w:proofErr w:type="spellStart"/>
      <w:r w:rsidRPr="00CE39FA">
        <w:rPr>
          <w:lang w:val="hu-HU"/>
        </w:rPr>
        <w:t>pragmatic</w:t>
      </w:r>
      <w:proofErr w:type="spellEnd"/>
      <w:r w:rsidRPr="00CE39FA">
        <w:rPr>
          <w:lang w:val="hu-HU"/>
        </w:rPr>
        <w:t xml:space="preserve"> and </w:t>
      </w:r>
      <w:proofErr w:type="spellStart"/>
      <w:r w:rsidRPr="00CE39FA">
        <w:rPr>
          <w:lang w:val="hu-HU"/>
        </w:rPr>
        <w:t>reasonable</w:t>
      </w:r>
      <w:proofErr w:type="spellEnd"/>
      <w:r w:rsidRPr="00CE39FA">
        <w:rPr>
          <w:lang w:val="hu-HU"/>
        </w:rPr>
        <w:t xml:space="preserve"> </w:t>
      </w:r>
      <w:proofErr w:type="spellStart"/>
      <w:r w:rsidRPr="00CE39FA">
        <w:rPr>
          <w:lang w:val="hu-HU"/>
        </w:rPr>
        <w:t>approach</w:t>
      </w:r>
      <w:proofErr w:type="spellEnd"/>
      <w:r w:rsidRPr="00CE39FA">
        <w:rPr>
          <w:lang w:val="hu-HU"/>
        </w:rPr>
        <w:t xml:space="preserve"> </w:t>
      </w:r>
      <w:proofErr w:type="spellStart"/>
      <w:r w:rsidRPr="00CE39FA">
        <w:rPr>
          <w:lang w:val="hu-HU"/>
        </w:rPr>
        <w:t>for</w:t>
      </w:r>
      <w:proofErr w:type="spellEnd"/>
      <w:r w:rsidRPr="00CE39FA">
        <w:rPr>
          <w:lang w:val="hu-HU"/>
        </w:rPr>
        <w:t xml:space="preserve"> </w:t>
      </w:r>
      <w:proofErr w:type="spellStart"/>
      <w:r w:rsidRPr="00CE39FA">
        <w:rPr>
          <w:lang w:val="hu-HU"/>
        </w:rPr>
        <w:t>collateral</w:t>
      </w:r>
      <w:proofErr w:type="spellEnd"/>
      <w:r w:rsidRPr="00CE39FA">
        <w:rPr>
          <w:lang w:val="hu-HU"/>
        </w:rPr>
        <w:t xml:space="preserve"> </w:t>
      </w:r>
      <w:proofErr w:type="spellStart"/>
      <w:r w:rsidRPr="00CE39FA">
        <w:rPr>
          <w:lang w:val="hu-HU"/>
        </w:rPr>
        <w:t>eligibility</w:t>
      </w:r>
      <w:proofErr w:type="spellEnd"/>
      <w:r w:rsidRPr="00CE39FA">
        <w:rPr>
          <w:lang w:val="hu-HU"/>
        </w:rPr>
        <w:t xml:space="preserve"> </w:t>
      </w:r>
      <w:proofErr w:type="spellStart"/>
      <w:r w:rsidRPr="00CE39FA">
        <w:rPr>
          <w:lang w:val="hu-HU"/>
        </w:rPr>
        <w:t>would</w:t>
      </w:r>
      <w:proofErr w:type="spellEnd"/>
      <w:r w:rsidRPr="00CE39FA">
        <w:rPr>
          <w:lang w:val="hu-HU"/>
        </w:rPr>
        <w:t xml:space="preserve"> be </w:t>
      </w:r>
      <w:proofErr w:type="spellStart"/>
      <w:r w:rsidRPr="00CE39FA">
        <w:rPr>
          <w:lang w:val="hu-HU"/>
        </w:rPr>
        <w:t>to</w:t>
      </w:r>
      <w:proofErr w:type="spellEnd"/>
      <w:r w:rsidRPr="00CE39FA">
        <w:rPr>
          <w:lang w:val="hu-HU"/>
        </w:rPr>
        <w:t xml:space="preserve"> </w:t>
      </w:r>
      <w:proofErr w:type="spellStart"/>
      <w:r w:rsidRPr="00CE39FA">
        <w:rPr>
          <w:lang w:val="hu-HU"/>
        </w:rPr>
        <w:t>use</w:t>
      </w:r>
      <w:proofErr w:type="spellEnd"/>
      <w:r w:rsidRPr="00CE39FA">
        <w:rPr>
          <w:lang w:val="hu-HU"/>
        </w:rPr>
        <w:t xml:space="preserve"> </w:t>
      </w:r>
      <w:proofErr w:type="spellStart"/>
      <w:r w:rsidRPr="00CE39FA">
        <w:rPr>
          <w:lang w:val="hu-HU"/>
        </w:rPr>
        <w:t>the</w:t>
      </w:r>
      <w:proofErr w:type="spellEnd"/>
      <w:r w:rsidRPr="00CE39FA">
        <w:rPr>
          <w:lang w:val="hu-HU"/>
        </w:rPr>
        <w:t xml:space="preserve"> </w:t>
      </w:r>
      <w:proofErr w:type="spellStart"/>
      <w:r w:rsidRPr="00CE39FA">
        <w:rPr>
          <w:lang w:val="hu-HU"/>
        </w:rPr>
        <w:t>eligibility</w:t>
      </w:r>
      <w:proofErr w:type="spellEnd"/>
      <w:r w:rsidRPr="00CE39FA">
        <w:rPr>
          <w:lang w:val="hu-HU"/>
        </w:rPr>
        <w:t xml:space="preserve"> </w:t>
      </w:r>
      <w:proofErr w:type="spellStart"/>
      <w:r w:rsidRPr="00CE39FA">
        <w:rPr>
          <w:lang w:val="hu-HU"/>
        </w:rPr>
        <w:t>criteria</w:t>
      </w:r>
      <w:proofErr w:type="spellEnd"/>
      <w:r w:rsidRPr="00CE39FA">
        <w:rPr>
          <w:lang w:val="hu-HU"/>
        </w:rPr>
        <w:t xml:space="preserve"> </w:t>
      </w:r>
      <w:proofErr w:type="spellStart"/>
      <w:r w:rsidRPr="00CE39FA">
        <w:rPr>
          <w:lang w:val="hu-HU"/>
        </w:rPr>
        <w:t>set</w:t>
      </w:r>
      <w:proofErr w:type="spellEnd"/>
      <w:r w:rsidRPr="00CE39FA">
        <w:rPr>
          <w:lang w:val="hu-HU"/>
        </w:rPr>
        <w:t xml:space="preserve"> </w:t>
      </w:r>
      <w:proofErr w:type="spellStart"/>
      <w:r w:rsidRPr="00CE39FA">
        <w:rPr>
          <w:lang w:val="hu-HU"/>
        </w:rPr>
        <w:t>by</w:t>
      </w:r>
      <w:proofErr w:type="spellEnd"/>
      <w:r w:rsidRPr="00CE39FA">
        <w:rPr>
          <w:lang w:val="hu-HU"/>
        </w:rPr>
        <w:t xml:space="preserve"> </w:t>
      </w:r>
      <w:proofErr w:type="spellStart"/>
      <w:r w:rsidRPr="00CE39FA">
        <w:rPr>
          <w:lang w:val="hu-HU"/>
        </w:rPr>
        <w:t>central</w:t>
      </w:r>
      <w:proofErr w:type="spellEnd"/>
      <w:r w:rsidRPr="00CE39FA">
        <w:rPr>
          <w:lang w:val="hu-HU"/>
        </w:rPr>
        <w:t xml:space="preserve"> </w:t>
      </w:r>
      <w:proofErr w:type="spellStart"/>
      <w:r w:rsidRPr="00CE39FA">
        <w:rPr>
          <w:lang w:val="hu-HU"/>
        </w:rPr>
        <w:t>banks</w:t>
      </w:r>
      <w:proofErr w:type="spellEnd"/>
      <w:r w:rsidRPr="00CE39FA">
        <w:rPr>
          <w:lang w:val="hu-HU"/>
        </w:rPr>
        <w:t xml:space="preserve"> </w:t>
      </w:r>
      <w:proofErr w:type="spellStart"/>
      <w:r w:rsidRPr="00CE39FA">
        <w:rPr>
          <w:lang w:val="hu-HU"/>
        </w:rPr>
        <w:t>for</w:t>
      </w:r>
      <w:proofErr w:type="spellEnd"/>
      <w:r w:rsidRPr="00CE39FA">
        <w:rPr>
          <w:lang w:val="hu-HU"/>
        </w:rPr>
        <w:t xml:space="preserve"> </w:t>
      </w:r>
      <w:proofErr w:type="spellStart"/>
      <w:r w:rsidRPr="00CE39FA">
        <w:rPr>
          <w:lang w:val="hu-HU"/>
        </w:rPr>
        <w:t>repo</w:t>
      </w:r>
      <w:proofErr w:type="spellEnd"/>
      <w:r w:rsidRPr="00CE39FA">
        <w:rPr>
          <w:lang w:val="hu-HU"/>
        </w:rPr>
        <w:t xml:space="preserve"> </w:t>
      </w:r>
      <w:proofErr w:type="spellStart"/>
      <w:r w:rsidRPr="00CE39FA">
        <w:rPr>
          <w:lang w:val="hu-HU"/>
        </w:rPr>
        <w:t>transactions</w:t>
      </w:r>
      <w:proofErr w:type="spellEnd"/>
      <w:r w:rsidRPr="00CE39FA">
        <w:rPr>
          <w:lang w:val="hu-HU"/>
        </w:rPr>
        <w:t>.</w:t>
      </w:r>
    </w:p>
    <w:p w:rsidR="00001DC6" w:rsidRPr="00E61257" w:rsidRDefault="00001DC6" w:rsidP="00001DC6">
      <w:pPr>
        <w:rPr>
          <w:color w:val="2F5773" w:themeColor="text2"/>
          <w:lang w:val="hu-HU"/>
        </w:rPr>
      </w:pPr>
    </w:p>
    <w:p w:rsidR="00E61257" w:rsidRDefault="00E61257" w:rsidP="00001DC6">
      <w:pPr>
        <w:rPr>
          <w:color w:val="2F5773" w:themeColor="text2"/>
        </w:rPr>
      </w:pPr>
    </w:p>
    <w:p w:rsidR="004179F7" w:rsidRDefault="00433729" w:rsidP="00E61257">
      <w:pPr>
        <w:rPr>
          <w:color w:val="2F5773" w:themeColor="text2"/>
        </w:rPr>
      </w:pPr>
      <w:r>
        <w:rPr>
          <w:color w:val="2F5773" w:themeColor="text2"/>
        </w:rPr>
        <w:t>Question</w:t>
      </w:r>
      <w:r w:rsidR="00001DC6">
        <w:rPr>
          <w:color w:val="2F5773" w:themeColor="text2"/>
        </w:rPr>
        <w:t xml:space="preserve"> 10</w:t>
      </w:r>
      <w:r w:rsidR="00E61257">
        <w:rPr>
          <w:color w:val="2F5773" w:themeColor="text2"/>
        </w:rPr>
        <w:t xml:space="preserve"> </w:t>
      </w:r>
    </w:p>
    <w:p w:rsidR="00CE39FA" w:rsidRDefault="00001DC6" w:rsidP="00E61257">
      <w:r w:rsidRPr="00001DC6">
        <w:rPr>
          <w:color w:val="2F5773" w:themeColor="text2"/>
        </w:rPr>
        <w:t>Do you agree with the criteria on the haircut provided in this Part 7? Do you think there are other requirements which should be provided under these guidelines about this issue?</w:t>
      </w:r>
    </w:p>
    <w:p w:rsidR="00B91CFA" w:rsidRDefault="00001DC6" w:rsidP="00CE39FA">
      <w:pPr>
        <w:pStyle w:val="body"/>
        <w:spacing w:after="0" w:line="240" w:lineRule="auto"/>
        <w:jc w:val="both"/>
      </w:pPr>
      <w:r w:rsidRPr="00001DC6">
        <w:t xml:space="preserve">BSG considers that the haircut schedule for assets eligible for use as collateral by central banks, inside and outside, the euro area offers a sound solution.  The approach adopted in the EBA Guidelines should build on, and not disturb, established market practices that operate effectively. Hence to the extent that this is the case BSG agrees with the provided criteria and that no other requirements should be provided. </w:t>
      </w:r>
    </w:p>
    <w:p w:rsidR="00B91CFA" w:rsidRPr="00244B97" w:rsidRDefault="00B91CFA" w:rsidP="00CE39FA">
      <w:pPr>
        <w:pStyle w:val="body"/>
        <w:spacing w:after="0" w:line="240" w:lineRule="auto"/>
        <w:jc w:val="both"/>
      </w:pPr>
    </w:p>
    <w:p w:rsidR="004179F7" w:rsidRDefault="00433729" w:rsidP="00B91CFA">
      <w:r>
        <w:rPr>
          <w:color w:val="2F5773" w:themeColor="text2"/>
        </w:rPr>
        <w:t>Question</w:t>
      </w:r>
      <w:r w:rsidR="00B91CFA">
        <w:rPr>
          <w:color w:val="2F5773" w:themeColor="text2"/>
        </w:rPr>
        <w:t xml:space="preserve"> 11</w:t>
      </w:r>
      <w:r w:rsidR="00B91CFA" w:rsidRPr="00B91CFA">
        <w:t xml:space="preserve"> </w:t>
      </w:r>
    </w:p>
    <w:p w:rsidR="00B91CFA" w:rsidRPr="00B91CFA" w:rsidRDefault="00B91CFA" w:rsidP="00B91CFA">
      <w:pPr>
        <w:rPr>
          <w:color w:val="2F5773" w:themeColor="text2"/>
          <w:lang w:val="en-GB"/>
        </w:rPr>
      </w:pPr>
      <w:r w:rsidRPr="00B91CFA">
        <w:rPr>
          <w:color w:val="2F5773" w:themeColor="text2"/>
        </w:rPr>
        <w:t>Do you agree with the prudential approach suggested? Would you suggest further details on the methodology to be applied, and if so which ones?</w:t>
      </w:r>
    </w:p>
    <w:p w:rsidR="00947B0F" w:rsidRPr="00B91CFA" w:rsidRDefault="00B91CFA" w:rsidP="00B91CFA">
      <w:pPr>
        <w:pStyle w:val="body"/>
        <w:spacing w:after="0" w:line="240" w:lineRule="auto"/>
        <w:jc w:val="both"/>
        <w:rPr>
          <w:lang w:val="hu-HU"/>
        </w:rPr>
      </w:pPr>
      <w:r w:rsidRPr="00B91CFA">
        <w:rPr>
          <w:lang w:val="hu-HU"/>
        </w:rPr>
        <w:t xml:space="preserve">BSG </w:t>
      </w:r>
      <w:proofErr w:type="spellStart"/>
      <w:r w:rsidRPr="00B91CFA">
        <w:rPr>
          <w:lang w:val="hu-HU"/>
        </w:rPr>
        <w:t>understands</w:t>
      </w:r>
      <w:proofErr w:type="spellEnd"/>
      <w:r w:rsidRPr="00B91CFA">
        <w:rPr>
          <w:lang w:val="hu-HU"/>
        </w:rPr>
        <w:t xml:space="preserve"> </w:t>
      </w:r>
      <w:proofErr w:type="spellStart"/>
      <w:r w:rsidRPr="00B91CFA">
        <w:rPr>
          <w:lang w:val="hu-HU"/>
        </w:rPr>
        <w:t>that</w:t>
      </w:r>
      <w:proofErr w:type="spellEnd"/>
      <w:r w:rsidRPr="00B91CFA">
        <w:rPr>
          <w:lang w:val="hu-HU"/>
        </w:rPr>
        <w:t xml:space="preserve"> </w:t>
      </w:r>
      <w:proofErr w:type="spellStart"/>
      <w:r w:rsidRPr="00B91CFA">
        <w:rPr>
          <w:lang w:val="hu-HU"/>
        </w:rPr>
        <w:t>payment</w:t>
      </w:r>
      <w:proofErr w:type="spellEnd"/>
      <w:r w:rsidRPr="00B91CFA">
        <w:rPr>
          <w:lang w:val="hu-HU"/>
        </w:rPr>
        <w:t xml:space="preserve"> </w:t>
      </w:r>
      <w:proofErr w:type="spellStart"/>
      <w:r w:rsidRPr="00B91CFA">
        <w:rPr>
          <w:lang w:val="hu-HU"/>
        </w:rPr>
        <w:t>commitments</w:t>
      </w:r>
      <w:proofErr w:type="spellEnd"/>
      <w:r w:rsidRPr="00B91CFA">
        <w:rPr>
          <w:lang w:val="hu-HU"/>
        </w:rPr>
        <w:t xml:space="preserve"> </w:t>
      </w:r>
      <w:proofErr w:type="spellStart"/>
      <w:r w:rsidRPr="00B91CFA">
        <w:rPr>
          <w:lang w:val="hu-HU"/>
        </w:rPr>
        <w:t>were</w:t>
      </w:r>
      <w:proofErr w:type="spellEnd"/>
      <w:r w:rsidRPr="00B91CFA">
        <w:rPr>
          <w:lang w:val="hu-HU"/>
        </w:rPr>
        <w:t xml:space="preserve"> </w:t>
      </w:r>
      <w:proofErr w:type="spellStart"/>
      <w:r w:rsidRPr="00B91CFA">
        <w:rPr>
          <w:lang w:val="hu-HU"/>
        </w:rPr>
        <w:t>introduced</w:t>
      </w:r>
      <w:proofErr w:type="spellEnd"/>
      <w:r w:rsidRPr="00B91CFA">
        <w:rPr>
          <w:lang w:val="hu-HU"/>
        </w:rPr>
        <w:t xml:space="preserve"> </w:t>
      </w:r>
      <w:proofErr w:type="spellStart"/>
      <w:r w:rsidRPr="00B91CFA">
        <w:rPr>
          <w:lang w:val="hu-HU"/>
        </w:rPr>
        <w:t>into</w:t>
      </w:r>
      <w:proofErr w:type="spellEnd"/>
      <w:r w:rsidRPr="00B91CFA">
        <w:rPr>
          <w:lang w:val="hu-HU"/>
        </w:rPr>
        <w:t xml:space="preserve"> </w:t>
      </w:r>
      <w:proofErr w:type="spellStart"/>
      <w:r w:rsidRPr="00B91CFA">
        <w:rPr>
          <w:lang w:val="hu-HU"/>
        </w:rPr>
        <w:t>Directive</w:t>
      </w:r>
      <w:proofErr w:type="spellEnd"/>
      <w:r w:rsidRPr="00B91CFA">
        <w:rPr>
          <w:lang w:val="hu-HU"/>
        </w:rPr>
        <w:t xml:space="preserve"> 2014/49/EU </w:t>
      </w:r>
      <w:proofErr w:type="spellStart"/>
      <w:r w:rsidRPr="00B91CFA">
        <w:rPr>
          <w:lang w:val="hu-HU"/>
        </w:rPr>
        <w:t>to</w:t>
      </w:r>
      <w:proofErr w:type="spellEnd"/>
      <w:r w:rsidRPr="00B91CFA">
        <w:rPr>
          <w:lang w:val="hu-HU"/>
        </w:rPr>
        <w:t xml:space="preserve"> </w:t>
      </w:r>
      <w:proofErr w:type="spellStart"/>
      <w:r w:rsidRPr="00B91CFA">
        <w:rPr>
          <w:lang w:val="hu-HU"/>
        </w:rPr>
        <w:t>provide</w:t>
      </w:r>
      <w:proofErr w:type="spellEnd"/>
      <w:r w:rsidRPr="00B91CFA">
        <w:rPr>
          <w:lang w:val="hu-HU"/>
        </w:rPr>
        <w:t xml:space="preserve"> credit </w:t>
      </w:r>
      <w:proofErr w:type="spellStart"/>
      <w:r w:rsidRPr="00B91CFA">
        <w:rPr>
          <w:lang w:val="hu-HU"/>
        </w:rPr>
        <w:t>institutions</w:t>
      </w:r>
      <w:proofErr w:type="spellEnd"/>
      <w:r w:rsidRPr="00B91CFA">
        <w:rPr>
          <w:lang w:val="hu-HU"/>
        </w:rPr>
        <w:t xml:space="preserve"> </w:t>
      </w:r>
      <w:proofErr w:type="spellStart"/>
      <w:r w:rsidRPr="00B91CFA">
        <w:rPr>
          <w:lang w:val="hu-HU"/>
        </w:rPr>
        <w:t>with</w:t>
      </w:r>
      <w:proofErr w:type="spellEnd"/>
      <w:r w:rsidRPr="00B91CFA">
        <w:rPr>
          <w:lang w:val="hu-HU"/>
        </w:rPr>
        <w:t xml:space="preserve"> a </w:t>
      </w:r>
      <w:proofErr w:type="spellStart"/>
      <w:r w:rsidRPr="00B91CFA">
        <w:rPr>
          <w:lang w:val="hu-HU"/>
        </w:rPr>
        <w:t>degree</w:t>
      </w:r>
      <w:proofErr w:type="spellEnd"/>
      <w:r w:rsidRPr="00B91CFA">
        <w:rPr>
          <w:lang w:val="hu-HU"/>
        </w:rPr>
        <w:t xml:space="preserve"> of </w:t>
      </w:r>
      <w:proofErr w:type="spellStart"/>
      <w:r w:rsidRPr="00B91CFA">
        <w:rPr>
          <w:lang w:val="hu-HU"/>
        </w:rPr>
        <w:t>flexibility</w:t>
      </w:r>
      <w:proofErr w:type="spellEnd"/>
      <w:r w:rsidRPr="00B91CFA">
        <w:rPr>
          <w:lang w:val="hu-HU"/>
        </w:rPr>
        <w:t xml:space="preserve"> </w:t>
      </w:r>
      <w:proofErr w:type="spellStart"/>
      <w:r w:rsidRPr="00B91CFA">
        <w:rPr>
          <w:lang w:val="hu-HU"/>
        </w:rPr>
        <w:t>in</w:t>
      </w:r>
      <w:proofErr w:type="spellEnd"/>
      <w:r w:rsidRPr="00B91CFA">
        <w:rPr>
          <w:lang w:val="hu-HU"/>
        </w:rPr>
        <w:t xml:space="preserve"> </w:t>
      </w:r>
      <w:proofErr w:type="spellStart"/>
      <w:r w:rsidRPr="00B91CFA">
        <w:rPr>
          <w:lang w:val="hu-HU"/>
        </w:rPr>
        <w:t>reaching</w:t>
      </w:r>
      <w:proofErr w:type="spellEnd"/>
      <w:r w:rsidRPr="00B91CFA">
        <w:rPr>
          <w:lang w:val="hu-HU"/>
        </w:rPr>
        <w:t xml:space="preserve"> </w:t>
      </w:r>
      <w:proofErr w:type="spellStart"/>
      <w:r w:rsidRPr="00B91CFA">
        <w:rPr>
          <w:lang w:val="hu-HU"/>
        </w:rPr>
        <w:t>the</w:t>
      </w:r>
      <w:proofErr w:type="spellEnd"/>
      <w:r w:rsidRPr="00B91CFA">
        <w:rPr>
          <w:lang w:val="hu-HU"/>
        </w:rPr>
        <w:t xml:space="preserve"> </w:t>
      </w:r>
      <w:proofErr w:type="spellStart"/>
      <w:r w:rsidRPr="00B91CFA">
        <w:rPr>
          <w:lang w:val="hu-HU"/>
        </w:rPr>
        <w:t>target</w:t>
      </w:r>
      <w:proofErr w:type="spellEnd"/>
      <w:r w:rsidRPr="00B91CFA">
        <w:rPr>
          <w:lang w:val="hu-HU"/>
        </w:rPr>
        <w:t xml:space="preserve"> </w:t>
      </w:r>
      <w:proofErr w:type="spellStart"/>
      <w:r w:rsidRPr="00B91CFA">
        <w:rPr>
          <w:lang w:val="hu-HU"/>
        </w:rPr>
        <w:t>for</w:t>
      </w:r>
      <w:proofErr w:type="spellEnd"/>
      <w:r w:rsidRPr="00B91CFA">
        <w:rPr>
          <w:lang w:val="hu-HU"/>
        </w:rPr>
        <w:t xml:space="preserve"> </w:t>
      </w:r>
      <w:proofErr w:type="gramStart"/>
      <w:r w:rsidRPr="00B91CFA">
        <w:rPr>
          <w:lang w:val="hu-HU"/>
        </w:rPr>
        <w:t>ex</w:t>
      </w:r>
      <w:proofErr w:type="gramEnd"/>
      <w:r w:rsidRPr="00B91CFA">
        <w:rPr>
          <w:lang w:val="hu-HU"/>
        </w:rPr>
        <w:t xml:space="preserve"> ante </w:t>
      </w:r>
      <w:proofErr w:type="spellStart"/>
      <w:r w:rsidRPr="00B91CFA">
        <w:rPr>
          <w:lang w:val="hu-HU"/>
        </w:rPr>
        <w:t>financing</w:t>
      </w:r>
      <w:proofErr w:type="spellEnd"/>
      <w:r w:rsidRPr="00B91CFA">
        <w:rPr>
          <w:lang w:val="hu-HU"/>
        </w:rPr>
        <w:t xml:space="preserve">. BSG is of </w:t>
      </w:r>
      <w:proofErr w:type="spellStart"/>
      <w:r w:rsidRPr="00B91CFA">
        <w:rPr>
          <w:lang w:val="hu-HU"/>
        </w:rPr>
        <w:t>the</w:t>
      </w:r>
      <w:proofErr w:type="spellEnd"/>
      <w:r w:rsidRPr="00B91CFA">
        <w:rPr>
          <w:lang w:val="hu-HU"/>
        </w:rPr>
        <w:t xml:space="preserve"> </w:t>
      </w:r>
      <w:proofErr w:type="spellStart"/>
      <w:r w:rsidRPr="00B91CFA">
        <w:rPr>
          <w:lang w:val="hu-HU"/>
        </w:rPr>
        <w:t>view</w:t>
      </w:r>
      <w:proofErr w:type="spellEnd"/>
      <w:r w:rsidRPr="00B91CFA">
        <w:rPr>
          <w:lang w:val="hu-HU"/>
        </w:rPr>
        <w:t xml:space="preserve"> </w:t>
      </w:r>
      <w:proofErr w:type="spellStart"/>
      <w:r w:rsidRPr="00B91CFA">
        <w:rPr>
          <w:lang w:val="hu-HU"/>
        </w:rPr>
        <w:t>that</w:t>
      </w:r>
      <w:proofErr w:type="spellEnd"/>
      <w:r w:rsidRPr="00B91CFA">
        <w:rPr>
          <w:lang w:val="hu-HU"/>
        </w:rPr>
        <w:t xml:space="preserve"> </w:t>
      </w:r>
      <w:proofErr w:type="spellStart"/>
      <w:r w:rsidRPr="00B91CFA">
        <w:rPr>
          <w:lang w:val="hu-HU"/>
        </w:rPr>
        <w:t>the</w:t>
      </w:r>
      <w:proofErr w:type="spellEnd"/>
      <w:r w:rsidRPr="00B91CFA">
        <w:rPr>
          <w:lang w:val="hu-HU"/>
        </w:rPr>
        <w:t xml:space="preserve"> </w:t>
      </w:r>
      <w:proofErr w:type="spellStart"/>
      <w:r w:rsidRPr="00B91CFA">
        <w:rPr>
          <w:lang w:val="hu-HU"/>
        </w:rPr>
        <w:t>prudential</w:t>
      </w:r>
      <w:proofErr w:type="spellEnd"/>
      <w:r w:rsidRPr="00B91CFA">
        <w:rPr>
          <w:lang w:val="hu-HU"/>
        </w:rPr>
        <w:t xml:space="preserve"> </w:t>
      </w:r>
      <w:proofErr w:type="spellStart"/>
      <w:r w:rsidRPr="00B91CFA">
        <w:rPr>
          <w:lang w:val="hu-HU"/>
        </w:rPr>
        <w:t>treatment</w:t>
      </w:r>
      <w:proofErr w:type="spellEnd"/>
      <w:r w:rsidRPr="00B91CFA">
        <w:rPr>
          <w:lang w:val="hu-HU"/>
        </w:rPr>
        <w:t xml:space="preserve"> </w:t>
      </w:r>
      <w:proofErr w:type="spellStart"/>
      <w:r w:rsidRPr="00B91CFA">
        <w:rPr>
          <w:lang w:val="hu-HU"/>
        </w:rPr>
        <w:t>afforded</w:t>
      </w:r>
      <w:proofErr w:type="spellEnd"/>
      <w:r w:rsidRPr="00B91CFA">
        <w:rPr>
          <w:lang w:val="hu-HU"/>
        </w:rPr>
        <w:t xml:space="preserve"> </w:t>
      </w:r>
      <w:proofErr w:type="spellStart"/>
      <w:r w:rsidRPr="00B91CFA">
        <w:rPr>
          <w:lang w:val="hu-HU"/>
        </w:rPr>
        <w:t>to</w:t>
      </w:r>
      <w:proofErr w:type="spellEnd"/>
      <w:r w:rsidRPr="00B91CFA">
        <w:rPr>
          <w:lang w:val="hu-HU"/>
        </w:rPr>
        <w:t xml:space="preserve"> </w:t>
      </w:r>
      <w:proofErr w:type="spellStart"/>
      <w:r w:rsidRPr="00B91CFA">
        <w:rPr>
          <w:lang w:val="hu-HU"/>
        </w:rPr>
        <w:t>payment</w:t>
      </w:r>
      <w:proofErr w:type="spellEnd"/>
      <w:r w:rsidRPr="00B91CFA">
        <w:rPr>
          <w:lang w:val="hu-HU"/>
        </w:rPr>
        <w:t xml:space="preserve"> </w:t>
      </w:r>
      <w:proofErr w:type="spellStart"/>
      <w:r w:rsidRPr="00B91CFA">
        <w:rPr>
          <w:lang w:val="hu-HU"/>
        </w:rPr>
        <w:t>commitments</w:t>
      </w:r>
      <w:proofErr w:type="spellEnd"/>
      <w:r w:rsidRPr="00B91CFA">
        <w:rPr>
          <w:lang w:val="hu-HU"/>
        </w:rPr>
        <w:t xml:space="preserve"> </w:t>
      </w:r>
      <w:proofErr w:type="spellStart"/>
      <w:r w:rsidRPr="00B91CFA">
        <w:rPr>
          <w:lang w:val="hu-HU"/>
        </w:rPr>
        <w:t>should</w:t>
      </w:r>
      <w:proofErr w:type="spellEnd"/>
      <w:r w:rsidRPr="00B91CFA">
        <w:rPr>
          <w:lang w:val="hu-HU"/>
        </w:rPr>
        <w:t xml:space="preserve"> be </w:t>
      </w:r>
      <w:proofErr w:type="spellStart"/>
      <w:r w:rsidRPr="00B91CFA">
        <w:rPr>
          <w:lang w:val="hu-HU"/>
        </w:rPr>
        <w:t>consistent</w:t>
      </w:r>
      <w:proofErr w:type="spellEnd"/>
      <w:r w:rsidRPr="00B91CFA">
        <w:rPr>
          <w:lang w:val="hu-HU"/>
        </w:rPr>
        <w:t xml:space="preserve"> </w:t>
      </w:r>
      <w:proofErr w:type="spellStart"/>
      <w:r w:rsidRPr="00B91CFA">
        <w:rPr>
          <w:lang w:val="hu-HU"/>
        </w:rPr>
        <w:t>with</w:t>
      </w:r>
      <w:proofErr w:type="spellEnd"/>
      <w:r w:rsidRPr="00B91CFA">
        <w:rPr>
          <w:lang w:val="hu-HU"/>
        </w:rPr>
        <w:t xml:space="preserve"> </w:t>
      </w:r>
      <w:proofErr w:type="spellStart"/>
      <w:r w:rsidRPr="00B91CFA">
        <w:rPr>
          <w:lang w:val="hu-HU"/>
        </w:rPr>
        <w:t>this</w:t>
      </w:r>
      <w:proofErr w:type="spellEnd"/>
      <w:r w:rsidRPr="00B91CFA">
        <w:rPr>
          <w:lang w:val="hu-HU"/>
        </w:rPr>
        <w:t xml:space="preserve"> </w:t>
      </w:r>
      <w:proofErr w:type="spellStart"/>
      <w:r w:rsidRPr="00B91CFA">
        <w:rPr>
          <w:lang w:val="hu-HU"/>
        </w:rPr>
        <w:t>objective</w:t>
      </w:r>
      <w:proofErr w:type="spellEnd"/>
      <w:r w:rsidRPr="00B91CFA">
        <w:rPr>
          <w:lang w:val="hu-HU"/>
        </w:rPr>
        <w:t xml:space="preserve">. </w:t>
      </w:r>
      <w:proofErr w:type="spellStart"/>
      <w:r w:rsidRPr="00B91CFA">
        <w:rPr>
          <w:lang w:val="hu-HU"/>
        </w:rPr>
        <w:t>In</w:t>
      </w:r>
      <w:proofErr w:type="spellEnd"/>
      <w:r w:rsidRPr="00B91CFA">
        <w:rPr>
          <w:lang w:val="hu-HU"/>
        </w:rPr>
        <w:t xml:space="preserve"> </w:t>
      </w:r>
      <w:proofErr w:type="spellStart"/>
      <w:r w:rsidRPr="00B91CFA">
        <w:rPr>
          <w:lang w:val="hu-HU"/>
        </w:rPr>
        <w:t>particular</w:t>
      </w:r>
      <w:proofErr w:type="spellEnd"/>
      <w:r w:rsidRPr="00B91CFA">
        <w:rPr>
          <w:lang w:val="hu-HU"/>
        </w:rPr>
        <w:t xml:space="preserve">, BSG </w:t>
      </w:r>
      <w:proofErr w:type="spellStart"/>
      <w:r w:rsidRPr="00B91CFA">
        <w:rPr>
          <w:lang w:val="hu-HU"/>
        </w:rPr>
        <w:t>notes</w:t>
      </w:r>
      <w:proofErr w:type="spellEnd"/>
      <w:r w:rsidRPr="00B91CFA">
        <w:rPr>
          <w:lang w:val="hu-HU"/>
        </w:rPr>
        <w:t xml:space="preserve"> </w:t>
      </w:r>
      <w:proofErr w:type="spellStart"/>
      <w:r w:rsidRPr="00B91CFA">
        <w:rPr>
          <w:lang w:val="hu-HU"/>
        </w:rPr>
        <w:t>that</w:t>
      </w:r>
      <w:proofErr w:type="spellEnd"/>
      <w:r w:rsidRPr="00B91CFA">
        <w:rPr>
          <w:lang w:val="hu-HU"/>
        </w:rPr>
        <w:t xml:space="preserve"> </w:t>
      </w:r>
      <w:proofErr w:type="spellStart"/>
      <w:r w:rsidRPr="00B91CFA">
        <w:rPr>
          <w:lang w:val="hu-HU"/>
        </w:rPr>
        <w:t>payment</w:t>
      </w:r>
      <w:proofErr w:type="spellEnd"/>
      <w:r w:rsidRPr="00B91CFA">
        <w:rPr>
          <w:lang w:val="hu-HU"/>
        </w:rPr>
        <w:t xml:space="preserve"> </w:t>
      </w:r>
      <w:proofErr w:type="spellStart"/>
      <w:r w:rsidRPr="00B91CFA">
        <w:rPr>
          <w:lang w:val="hu-HU"/>
        </w:rPr>
        <w:t>commitments</w:t>
      </w:r>
      <w:proofErr w:type="spellEnd"/>
      <w:r w:rsidRPr="00B91CFA">
        <w:rPr>
          <w:lang w:val="hu-HU"/>
        </w:rPr>
        <w:t xml:space="preserve">, </w:t>
      </w:r>
      <w:proofErr w:type="spellStart"/>
      <w:r w:rsidRPr="00B91CFA">
        <w:rPr>
          <w:lang w:val="hu-HU"/>
        </w:rPr>
        <w:t>unlike</w:t>
      </w:r>
      <w:proofErr w:type="spellEnd"/>
      <w:r w:rsidRPr="00B91CFA">
        <w:rPr>
          <w:lang w:val="hu-HU"/>
        </w:rPr>
        <w:t xml:space="preserve"> cash, </w:t>
      </w:r>
      <w:proofErr w:type="spellStart"/>
      <w:r w:rsidRPr="00B91CFA">
        <w:rPr>
          <w:lang w:val="hu-HU"/>
        </w:rPr>
        <w:t>are</w:t>
      </w:r>
      <w:proofErr w:type="spellEnd"/>
      <w:r w:rsidRPr="00B91CFA">
        <w:rPr>
          <w:lang w:val="hu-HU"/>
        </w:rPr>
        <w:t xml:space="preserve"> </w:t>
      </w:r>
      <w:proofErr w:type="spellStart"/>
      <w:r w:rsidRPr="00B91CFA">
        <w:rPr>
          <w:lang w:val="hu-HU"/>
        </w:rPr>
        <w:t>subject</w:t>
      </w:r>
      <w:proofErr w:type="spellEnd"/>
      <w:r w:rsidRPr="00B91CFA">
        <w:rPr>
          <w:lang w:val="hu-HU"/>
        </w:rPr>
        <w:t xml:space="preserve"> </w:t>
      </w:r>
      <w:proofErr w:type="spellStart"/>
      <w:r w:rsidRPr="00B91CFA">
        <w:rPr>
          <w:lang w:val="hu-HU"/>
        </w:rPr>
        <w:t>to</w:t>
      </w:r>
      <w:proofErr w:type="spellEnd"/>
      <w:r w:rsidRPr="00B91CFA">
        <w:rPr>
          <w:lang w:val="hu-HU"/>
        </w:rPr>
        <w:t xml:space="preserve"> </w:t>
      </w:r>
      <w:proofErr w:type="spellStart"/>
      <w:r w:rsidRPr="00B91CFA">
        <w:rPr>
          <w:lang w:val="hu-HU"/>
        </w:rPr>
        <w:t>haircuts</w:t>
      </w:r>
      <w:proofErr w:type="spellEnd"/>
      <w:r w:rsidRPr="00B91CFA">
        <w:rPr>
          <w:lang w:val="hu-HU"/>
        </w:rPr>
        <w:t xml:space="preserve">. </w:t>
      </w:r>
      <w:proofErr w:type="spellStart"/>
      <w:r w:rsidRPr="00B91CFA">
        <w:rPr>
          <w:lang w:val="hu-HU"/>
        </w:rPr>
        <w:t>This</w:t>
      </w:r>
      <w:proofErr w:type="spellEnd"/>
      <w:r w:rsidRPr="00B91CFA">
        <w:rPr>
          <w:lang w:val="hu-HU"/>
        </w:rPr>
        <w:t xml:space="preserve"> </w:t>
      </w:r>
      <w:proofErr w:type="spellStart"/>
      <w:r w:rsidRPr="00B91CFA">
        <w:rPr>
          <w:lang w:val="hu-HU"/>
        </w:rPr>
        <w:t>feature</w:t>
      </w:r>
      <w:proofErr w:type="spellEnd"/>
      <w:r w:rsidRPr="00B91CFA">
        <w:rPr>
          <w:lang w:val="hu-HU"/>
        </w:rPr>
        <w:t xml:space="preserve"> </w:t>
      </w:r>
      <w:proofErr w:type="spellStart"/>
      <w:r w:rsidRPr="00B91CFA">
        <w:rPr>
          <w:lang w:val="hu-HU"/>
        </w:rPr>
        <w:t>needs</w:t>
      </w:r>
      <w:proofErr w:type="spellEnd"/>
      <w:r w:rsidRPr="00B91CFA">
        <w:rPr>
          <w:lang w:val="hu-HU"/>
        </w:rPr>
        <w:t xml:space="preserve"> </w:t>
      </w:r>
      <w:proofErr w:type="spellStart"/>
      <w:r w:rsidRPr="00B91CFA">
        <w:rPr>
          <w:lang w:val="hu-HU"/>
        </w:rPr>
        <w:t>to</w:t>
      </w:r>
      <w:proofErr w:type="spellEnd"/>
      <w:r w:rsidRPr="00B91CFA">
        <w:rPr>
          <w:lang w:val="hu-HU"/>
        </w:rPr>
        <w:t xml:space="preserve"> be </w:t>
      </w:r>
      <w:proofErr w:type="spellStart"/>
      <w:r w:rsidRPr="00B91CFA">
        <w:rPr>
          <w:lang w:val="hu-HU"/>
        </w:rPr>
        <w:t>factored</w:t>
      </w:r>
      <w:proofErr w:type="spellEnd"/>
      <w:r w:rsidRPr="00B91CFA">
        <w:rPr>
          <w:lang w:val="hu-HU"/>
        </w:rPr>
        <w:t xml:space="preserve"> </w:t>
      </w:r>
      <w:proofErr w:type="spellStart"/>
      <w:r w:rsidRPr="00B91CFA">
        <w:rPr>
          <w:lang w:val="hu-HU"/>
        </w:rPr>
        <w:t>into</w:t>
      </w:r>
      <w:proofErr w:type="spellEnd"/>
      <w:r w:rsidRPr="00B91CFA">
        <w:rPr>
          <w:lang w:val="hu-HU"/>
        </w:rPr>
        <w:t xml:space="preserve"> </w:t>
      </w:r>
      <w:proofErr w:type="spellStart"/>
      <w:r w:rsidRPr="00B91CFA">
        <w:rPr>
          <w:lang w:val="hu-HU"/>
        </w:rPr>
        <w:t>prudential</w:t>
      </w:r>
      <w:proofErr w:type="spellEnd"/>
      <w:r w:rsidRPr="00B91CFA">
        <w:rPr>
          <w:lang w:val="hu-HU"/>
        </w:rPr>
        <w:t xml:space="preserve"> </w:t>
      </w:r>
      <w:proofErr w:type="spellStart"/>
      <w:r w:rsidRPr="00B91CFA">
        <w:rPr>
          <w:lang w:val="hu-HU"/>
        </w:rPr>
        <w:t>requirements</w:t>
      </w:r>
      <w:proofErr w:type="spellEnd"/>
      <w:r w:rsidRPr="00B91CFA">
        <w:rPr>
          <w:lang w:val="hu-HU"/>
        </w:rPr>
        <w:t xml:space="preserve"> </w:t>
      </w:r>
      <w:proofErr w:type="spellStart"/>
      <w:r w:rsidRPr="00B91CFA">
        <w:rPr>
          <w:lang w:val="hu-HU"/>
        </w:rPr>
        <w:t>in</w:t>
      </w:r>
      <w:proofErr w:type="spellEnd"/>
      <w:r w:rsidRPr="00B91CFA">
        <w:rPr>
          <w:lang w:val="hu-HU"/>
        </w:rPr>
        <w:t xml:space="preserve"> </w:t>
      </w:r>
      <w:proofErr w:type="spellStart"/>
      <w:r w:rsidRPr="00B91CFA">
        <w:rPr>
          <w:lang w:val="hu-HU"/>
        </w:rPr>
        <w:t>such</w:t>
      </w:r>
      <w:proofErr w:type="spellEnd"/>
      <w:r w:rsidRPr="00B91CFA">
        <w:rPr>
          <w:lang w:val="hu-HU"/>
        </w:rPr>
        <w:t xml:space="preserve"> a </w:t>
      </w:r>
      <w:proofErr w:type="spellStart"/>
      <w:r w:rsidRPr="00B91CFA">
        <w:rPr>
          <w:lang w:val="hu-HU"/>
        </w:rPr>
        <w:t>way</w:t>
      </w:r>
      <w:proofErr w:type="spellEnd"/>
      <w:r w:rsidRPr="00B91CFA">
        <w:rPr>
          <w:lang w:val="hu-HU"/>
        </w:rPr>
        <w:t xml:space="preserve"> </w:t>
      </w:r>
      <w:proofErr w:type="spellStart"/>
      <w:r w:rsidRPr="00B91CFA">
        <w:rPr>
          <w:lang w:val="hu-HU"/>
        </w:rPr>
        <w:t>as</w:t>
      </w:r>
      <w:proofErr w:type="spellEnd"/>
      <w:r w:rsidRPr="00B91CFA">
        <w:rPr>
          <w:lang w:val="hu-HU"/>
        </w:rPr>
        <w:t xml:space="preserve"> </w:t>
      </w:r>
      <w:proofErr w:type="spellStart"/>
      <w:r w:rsidRPr="00B91CFA">
        <w:rPr>
          <w:lang w:val="hu-HU"/>
        </w:rPr>
        <w:t>not</w:t>
      </w:r>
      <w:proofErr w:type="spellEnd"/>
      <w:r w:rsidRPr="00B91CFA">
        <w:rPr>
          <w:lang w:val="hu-HU"/>
        </w:rPr>
        <w:t xml:space="preserve"> </w:t>
      </w:r>
      <w:proofErr w:type="spellStart"/>
      <w:r w:rsidRPr="00B91CFA">
        <w:rPr>
          <w:lang w:val="hu-HU"/>
        </w:rPr>
        <w:t>to</w:t>
      </w:r>
      <w:proofErr w:type="spellEnd"/>
      <w:r w:rsidRPr="00B91CFA">
        <w:rPr>
          <w:lang w:val="hu-HU"/>
        </w:rPr>
        <w:t xml:space="preserve"> </w:t>
      </w:r>
      <w:proofErr w:type="spellStart"/>
      <w:r w:rsidRPr="00B91CFA">
        <w:rPr>
          <w:lang w:val="hu-HU"/>
        </w:rPr>
        <w:t>give</w:t>
      </w:r>
      <w:proofErr w:type="spellEnd"/>
      <w:r w:rsidRPr="00B91CFA">
        <w:rPr>
          <w:lang w:val="hu-HU"/>
        </w:rPr>
        <w:t xml:space="preserve"> a </w:t>
      </w:r>
      <w:proofErr w:type="spellStart"/>
      <w:r w:rsidRPr="00B91CFA">
        <w:rPr>
          <w:lang w:val="hu-HU"/>
        </w:rPr>
        <w:t>preference</w:t>
      </w:r>
      <w:proofErr w:type="spellEnd"/>
      <w:r w:rsidRPr="00B91CFA">
        <w:rPr>
          <w:lang w:val="hu-HU"/>
        </w:rPr>
        <w:t xml:space="preserve"> </w:t>
      </w:r>
      <w:proofErr w:type="spellStart"/>
      <w:r w:rsidRPr="00B91CFA">
        <w:rPr>
          <w:lang w:val="hu-HU"/>
        </w:rPr>
        <w:t>to</w:t>
      </w:r>
      <w:proofErr w:type="spellEnd"/>
      <w:r w:rsidRPr="00B91CFA">
        <w:rPr>
          <w:lang w:val="hu-HU"/>
        </w:rPr>
        <w:t xml:space="preserve"> cash.</w:t>
      </w:r>
    </w:p>
    <w:p w:rsidR="00B91CFA" w:rsidRDefault="00B91CFA" w:rsidP="00947B0F">
      <w:pPr>
        <w:pStyle w:val="body"/>
      </w:pPr>
    </w:p>
    <w:p w:rsidR="00B91CFA" w:rsidRDefault="00B91CFA" w:rsidP="00B91CFA">
      <w:pPr>
        <w:pStyle w:val="body"/>
        <w:spacing w:after="0" w:line="240" w:lineRule="auto"/>
        <w:jc w:val="both"/>
      </w:pPr>
      <w:r w:rsidRPr="00244B97">
        <w:t>Submitted on behalf of the EBA Banking Stakeholder Group</w:t>
      </w:r>
    </w:p>
    <w:p w:rsidR="00B91CFA" w:rsidRPr="00B91CFA" w:rsidRDefault="00B91CFA" w:rsidP="00947B0F">
      <w:pPr>
        <w:pStyle w:val="body"/>
      </w:pPr>
    </w:p>
    <w:p w:rsidR="00947B0F" w:rsidRPr="00022D37" w:rsidRDefault="00433729" w:rsidP="00F77102">
      <w:pPr>
        <w:rPr>
          <w:i/>
        </w:rPr>
      </w:pPr>
      <w:r>
        <w:rPr>
          <w:i/>
        </w:rPr>
        <w:t>David T Llewellyn</w:t>
      </w:r>
    </w:p>
    <w:p w:rsidR="00947B0F" w:rsidRPr="00244B97" w:rsidRDefault="001337E9" w:rsidP="00F77102">
      <w:r>
        <w:t>Chair</w:t>
      </w:r>
    </w:p>
    <w:p w:rsidR="00D76E91" w:rsidRPr="00E00BB5" w:rsidRDefault="00D76E91" w:rsidP="00E00BB5">
      <w:bookmarkStart w:id="0" w:name="_GoBack"/>
      <w:bookmarkEnd w:id="0"/>
    </w:p>
    <w:sectPr w:rsidR="00D76E91" w:rsidRPr="00E00BB5" w:rsidSect="002F6CF0">
      <w:headerReference w:type="even" r:id="rId10"/>
      <w:headerReference w:type="default" r:id="rId11"/>
      <w:footerReference w:type="even" r:id="rId12"/>
      <w:footerReference w:type="default" r:id="rId13"/>
      <w:footerReference w:type="first" r:id="rId14"/>
      <w:pgSz w:w="11900" w:h="16840"/>
      <w:pgMar w:top="2268" w:right="1418" w:bottom="1134"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9E" w:rsidRDefault="002E2A9E" w:rsidP="00A00E34">
      <w:r>
        <w:separator/>
      </w:r>
    </w:p>
    <w:p w:rsidR="002E2A9E" w:rsidRDefault="002E2A9E"/>
  </w:endnote>
  <w:endnote w:type="continuationSeparator" w:id="0">
    <w:p w:rsidR="002E2A9E" w:rsidRDefault="002E2A9E" w:rsidP="00A00E34">
      <w:r>
        <w:continuationSeparator/>
      </w:r>
    </w:p>
    <w:p w:rsidR="002E2A9E" w:rsidRDefault="002E2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Meiryo"/>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Lucida Fax">
    <w:panose1 w:val="02060602050505020204"/>
    <w:charset w:val="00"/>
    <w:family w:val="roman"/>
    <w:pitch w:val="variable"/>
    <w:sig w:usb0="00000003" w:usb1="00000000" w:usb2="00000000" w:usb3="00000000" w:csb0="00000001" w:csb1="00000000"/>
  </w:font>
  <w:font w:name="Stag Sans Light">
    <w:altName w:val="Arial"/>
    <w:panose1 w:val="00000000000000000000"/>
    <w:charset w:val="00"/>
    <w:family w:val="swiss"/>
    <w:notTrueType/>
    <w:pitch w:val="variable"/>
    <w:sig w:usb0="00000001" w:usb1="00000000"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9" w:rsidRDefault="001337E9"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7E9" w:rsidRDefault="001337E9"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9" w:rsidRPr="003055C1" w:rsidRDefault="001337E9" w:rsidP="00C43FD9">
    <w:pPr>
      <w:pStyle w:val="Footer"/>
      <w:framePr w:wrap="around" w:vAnchor="text" w:hAnchor="margin" w:xAlign="right" w:y="1"/>
      <w:rPr>
        <w:rStyle w:val="PageNumber"/>
        <w:color w:val="1163A7"/>
      </w:rPr>
    </w:pPr>
    <w:r w:rsidRPr="003055C1">
      <w:rPr>
        <w:rStyle w:val="PageNumber"/>
        <w:color w:val="1163A7"/>
      </w:rPr>
      <w:fldChar w:fldCharType="begin"/>
    </w:r>
    <w:r w:rsidRPr="003055C1">
      <w:rPr>
        <w:rStyle w:val="PageNumber"/>
        <w:color w:val="1163A7"/>
      </w:rPr>
      <w:instrText xml:space="preserve">PAGE  </w:instrText>
    </w:r>
    <w:r w:rsidRPr="003055C1">
      <w:rPr>
        <w:rStyle w:val="PageNumber"/>
        <w:color w:val="1163A7"/>
      </w:rPr>
      <w:fldChar w:fldCharType="separate"/>
    </w:r>
    <w:r w:rsidR="00BE38EC">
      <w:rPr>
        <w:rStyle w:val="PageNumber"/>
        <w:noProof/>
        <w:color w:val="1163A7"/>
      </w:rPr>
      <w:t>5</w:t>
    </w:r>
    <w:r w:rsidRPr="003055C1">
      <w:rPr>
        <w:rStyle w:val="PageNumber"/>
        <w:color w:val="1163A7"/>
      </w:rPr>
      <w:fldChar w:fldCharType="end"/>
    </w:r>
  </w:p>
  <w:p w:rsidR="001337E9" w:rsidRDefault="001337E9" w:rsidP="003055C1">
    <w:pPr>
      <w:pStyle w:val="Footer"/>
      <w:pBdr>
        <w:top w:val="thickThinLargeGap" w:sz="24" w:space="1" w:color="1163A7"/>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9" w:rsidRDefault="001337E9" w:rsidP="002F6C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9E" w:rsidRPr="00DB5E8F" w:rsidRDefault="002E2A9E">
      <w:pPr>
        <w:rPr>
          <w:sz w:val="12"/>
          <w:szCs w:val="12"/>
        </w:rPr>
      </w:pPr>
      <w:r w:rsidRPr="00DB5E8F">
        <w:rPr>
          <w:sz w:val="12"/>
          <w:szCs w:val="12"/>
        </w:rPr>
        <w:separator/>
      </w:r>
    </w:p>
  </w:footnote>
  <w:footnote w:type="continuationSeparator" w:id="0">
    <w:p w:rsidR="002E2A9E" w:rsidRDefault="002E2A9E" w:rsidP="00A00E34">
      <w:r>
        <w:continuationSeparator/>
      </w:r>
    </w:p>
    <w:p w:rsidR="002E2A9E" w:rsidRDefault="002E2A9E"/>
  </w:footnote>
  <w:footnote w:type="continuationNotice" w:id="1">
    <w:p w:rsidR="002E2A9E" w:rsidRDefault="002E2A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E9" w:rsidRDefault="00BE38EC">
    <w:sdt>
      <w:sdtPr>
        <w:id w:val="1051503992"/>
        <w:temporary/>
        <w:showingPlcHdr/>
      </w:sdtPr>
      <w:sdtEndPr/>
      <w:sdtContent>
        <w:r w:rsidR="001337E9">
          <w:t>[Type text]</w:t>
        </w:r>
      </w:sdtContent>
    </w:sdt>
    <w:r w:rsidR="001337E9">
      <w:ptab w:relativeTo="margin" w:alignment="center" w:leader="none"/>
    </w:r>
    <w:sdt>
      <w:sdtPr>
        <w:id w:val="731575129"/>
        <w:temporary/>
        <w:showingPlcHdr/>
      </w:sdtPr>
      <w:sdtEndPr/>
      <w:sdtContent>
        <w:r w:rsidR="001337E9">
          <w:t>[Type text]</w:t>
        </w:r>
      </w:sdtContent>
    </w:sdt>
    <w:r w:rsidR="001337E9">
      <w:ptab w:relativeTo="margin" w:alignment="right" w:leader="none"/>
    </w:r>
    <w:sdt>
      <w:sdtPr>
        <w:id w:val="364179191"/>
        <w:temporary/>
        <w:showingPlcHdr/>
      </w:sdtPr>
      <w:sdtEndPr/>
      <w:sdtContent>
        <w:r w:rsidR="001337E9">
          <w:t>[Type text]</w:t>
        </w:r>
      </w:sdtContent>
    </w:sdt>
  </w:p>
  <w:p w:rsidR="001337E9" w:rsidRDefault="001337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C1" w:rsidRPr="003055C1" w:rsidRDefault="003055C1" w:rsidP="003055C1">
    <w:pPr>
      <w:pStyle w:val="body"/>
      <w:pBdr>
        <w:top w:val="thickThinLargeGap" w:sz="24" w:space="1" w:color="1163A7"/>
      </w:pBdr>
      <w:spacing w:before="120"/>
      <w:ind w:right="4528"/>
      <w:rPr>
        <w:rFonts w:asciiTheme="majorHAnsi" w:hAnsiTheme="majorHAnsi"/>
        <w:b/>
        <w:smallCaps/>
        <w:color w:val="1163A7"/>
        <w:spacing w:val="26"/>
        <w:sz w:val="32"/>
        <w:szCs w:val="40"/>
      </w:rPr>
    </w:pPr>
    <w:r w:rsidRPr="003055C1">
      <w:rPr>
        <w:rFonts w:asciiTheme="majorHAnsi" w:hAnsiTheme="majorHAnsi"/>
        <w:b/>
        <w:smallCaps/>
        <w:color w:val="1163A7"/>
        <w:spacing w:val="26"/>
        <w:sz w:val="32"/>
        <w:szCs w:val="40"/>
      </w:rPr>
      <w:t>Banking Stakeholder Group</w:t>
    </w:r>
  </w:p>
  <w:p w:rsidR="001337E9" w:rsidRPr="00F9452C" w:rsidRDefault="001337E9" w:rsidP="002C0DCF">
    <w:pPr>
      <w:pStyle w:val="Runningtitle"/>
    </w:pPr>
    <w:r>
      <w:rPr>
        <w:noProof/>
        <w:lang w:val="en-GB" w:eastAsia="zh-CN"/>
      </w:rPr>
      <w:drawing>
        <wp:anchor distT="0" distB="0" distL="114300" distR="114300" simplePos="0" relativeHeight="251658240" behindDoc="1" locked="0" layoutInCell="1" allowOverlap="1" wp14:anchorId="48AAD485" wp14:editId="5CA7C58F">
          <wp:simplePos x="0" y="0"/>
          <wp:positionH relativeFrom="column">
            <wp:posOffset>4350385</wp:posOffset>
          </wp:positionH>
          <wp:positionV relativeFrom="page">
            <wp:posOffset>467995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815DB"/>
    <w:multiLevelType w:val="hybridMultilevel"/>
    <w:tmpl w:val="5D4A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nsid w:val="33B438B8"/>
    <w:multiLevelType w:val="hybridMultilevel"/>
    <w:tmpl w:val="782E19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227369"/>
    <w:multiLevelType w:val="hybridMultilevel"/>
    <w:tmpl w:val="BB9CEEFC"/>
    <w:lvl w:ilvl="0" w:tplc="F0E6288E">
      <w:start w:val="1"/>
      <w:numFmt w:val="decimal"/>
      <w:pStyle w:val="numberedparagraph"/>
      <w:lvlText w:val="%1."/>
      <w:lvlJc w:val="left"/>
      <w:pPr>
        <w:tabs>
          <w:tab w:val="num" w:pos="284"/>
        </w:tabs>
        <w:ind w:left="284" w:hanging="28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B7F51"/>
    <w:multiLevelType w:val="hybridMultilevel"/>
    <w:tmpl w:val="F56AA2D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14"/>
  </w:num>
  <w:num w:numId="6">
    <w:abstractNumId w:val="1"/>
  </w:num>
  <w:num w:numId="7">
    <w:abstractNumId w:val="13"/>
  </w:num>
  <w:num w:numId="8">
    <w:abstractNumId w:val="11"/>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0"/>
  </w:num>
  <w:num w:numId="16">
    <w:abstractNumId w:val="4"/>
  </w:num>
  <w:num w:numId="17">
    <w:abstractNumId w:val="6"/>
  </w:num>
  <w:num w:numId="18">
    <w:abstractNumId w:val="5"/>
  </w:num>
  <w:num w:numId="19">
    <w:abstractNumId w:val="8"/>
  </w:num>
  <w:num w:numId="20">
    <w:abstractNumId w:val="11"/>
  </w:num>
  <w:num w:numId="21">
    <w:abstractNumId w:val="3"/>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9B"/>
    <w:rsid w:val="00001DC6"/>
    <w:rsid w:val="00003F50"/>
    <w:rsid w:val="00013281"/>
    <w:rsid w:val="00022AD7"/>
    <w:rsid w:val="00022D37"/>
    <w:rsid w:val="000231B7"/>
    <w:rsid w:val="0002773F"/>
    <w:rsid w:val="00027CA0"/>
    <w:rsid w:val="000300AB"/>
    <w:rsid w:val="00030D65"/>
    <w:rsid w:val="00037237"/>
    <w:rsid w:val="00046760"/>
    <w:rsid w:val="00060CC9"/>
    <w:rsid w:val="00060F40"/>
    <w:rsid w:val="00067151"/>
    <w:rsid w:val="0008394E"/>
    <w:rsid w:val="000843CD"/>
    <w:rsid w:val="000A1C81"/>
    <w:rsid w:val="000A3F3D"/>
    <w:rsid w:val="000B1645"/>
    <w:rsid w:val="000C3095"/>
    <w:rsid w:val="000C5A8A"/>
    <w:rsid w:val="000D1277"/>
    <w:rsid w:val="000D7A44"/>
    <w:rsid w:val="000E0C27"/>
    <w:rsid w:val="000E5CB5"/>
    <w:rsid w:val="000E6D15"/>
    <w:rsid w:val="000F2A76"/>
    <w:rsid w:val="000F6495"/>
    <w:rsid w:val="000F6FD8"/>
    <w:rsid w:val="0011517F"/>
    <w:rsid w:val="00121BB0"/>
    <w:rsid w:val="00130058"/>
    <w:rsid w:val="0013090C"/>
    <w:rsid w:val="00131C5D"/>
    <w:rsid w:val="001337E9"/>
    <w:rsid w:val="001349A9"/>
    <w:rsid w:val="00145D24"/>
    <w:rsid w:val="00152832"/>
    <w:rsid w:val="001600FC"/>
    <w:rsid w:val="00172007"/>
    <w:rsid w:val="0017446F"/>
    <w:rsid w:val="001834D4"/>
    <w:rsid w:val="00192287"/>
    <w:rsid w:val="00194B28"/>
    <w:rsid w:val="00197CE5"/>
    <w:rsid w:val="001A016C"/>
    <w:rsid w:val="001A2A81"/>
    <w:rsid w:val="001B08B6"/>
    <w:rsid w:val="001B2C0D"/>
    <w:rsid w:val="001B6017"/>
    <w:rsid w:val="001B7A0B"/>
    <w:rsid w:val="001B7EB3"/>
    <w:rsid w:val="001C1FD9"/>
    <w:rsid w:val="001C5BC2"/>
    <w:rsid w:val="001D0179"/>
    <w:rsid w:val="001E1188"/>
    <w:rsid w:val="001E3599"/>
    <w:rsid w:val="001E693E"/>
    <w:rsid w:val="001F1CB9"/>
    <w:rsid w:val="001F7501"/>
    <w:rsid w:val="00205878"/>
    <w:rsid w:val="00213D7B"/>
    <w:rsid w:val="00214DEC"/>
    <w:rsid w:val="00222788"/>
    <w:rsid w:val="00224761"/>
    <w:rsid w:val="00224A3F"/>
    <w:rsid w:val="002306C7"/>
    <w:rsid w:val="00241BD8"/>
    <w:rsid w:val="002434B0"/>
    <w:rsid w:val="00260405"/>
    <w:rsid w:val="0027418E"/>
    <w:rsid w:val="00290DA3"/>
    <w:rsid w:val="002A7575"/>
    <w:rsid w:val="002C0DCF"/>
    <w:rsid w:val="002D1867"/>
    <w:rsid w:val="002E2A9E"/>
    <w:rsid w:val="002F1B56"/>
    <w:rsid w:val="002F2009"/>
    <w:rsid w:val="002F6CF0"/>
    <w:rsid w:val="00300924"/>
    <w:rsid w:val="003025A8"/>
    <w:rsid w:val="003055C1"/>
    <w:rsid w:val="00305E35"/>
    <w:rsid w:val="003129B6"/>
    <w:rsid w:val="00314D6E"/>
    <w:rsid w:val="00320E57"/>
    <w:rsid w:val="003221EF"/>
    <w:rsid w:val="003248A2"/>
    <w:rsid w:val="0035477B"/>
    <w:rsid w:val="00372BEC"/>
    <w:rsid w:val="003819A3"/>
    <w:rsid w:val="00392385"/>
    <w:rsid w:val="00392A5D"/>
    <w:rsid w:val="00394732"/>
    <w:rsid w:val="003B5A82"/>
    <w:rsid w:val="003C5E2C"/>
    <w:rsid w:val="003C7253"/>
    <w:rsid w:val="003D7A72"/>
    <w:rsid w:val="003E39C7"/>
    <w:rsid w:val="00412567"/>
    <w:rsid w:val="004179F7"/>
    <w:rsid w:val="004205CD"/>
    <w:rsid w:val="00424530"/>
    <w:rsid w:val="00433729"/>
    <w:rsid w:val="0043577F"/>
    <w:rsid w:val="00441F85"/>
    <w:rsid w:val="004458CB"/>
    <w:rsid w:val="0045301B"/>
    <w:rsid w:val="00455E0E"/>
    <w:rsid w:val="004719B4"/>
    <w:rsid w:val="00471CA1"/>
    <w:rsid w:val="00471CCE"/>
    <w:rsid w:val="00481AC4"/>
    <w:rsid w:val="00482FB6"/>
    <w:rsid w:val="004A1F2A"/>
    <w:rsid w:val="004A5D8B"/>
    <w:rsid w:val="004B2FC0"/>
    <w:rsid w:val="004B458F"/>
    <w:rsid w:val="004B7784"/>
    <w:rsid w:val="004C1B19"/>
    <w:rsid w:val="004C1B2B"/>
    <w:rsid w:val="004C6392"/>
    <w:rsid w:val="004C6C79"/>
    <w:rsid w:val="004E3BC7"/>
    <w:rsid w:val="004E405B"/>
    <w:rsid w:val="004F0AB6"/>
    <w:rsid w:val="004F63DB"/>
    <w:rsid w:val="00501E29"/>
    <w:rsid w:val="005105EF"/>
    <w:rsid w:val="00523895"/>
    <w:rsid w:val="00531287"/>
    <w:rsid w:val="00534B69"/>
    <w:rsid w:val="005410AB"/>
    <w:rsid w:val="005425A2"/>
    <w:rsid w:val="00565691"/>
    <w:rsid w:val="00571BB6"/>
    <w:rsid w:val="00571D09"/>
    <w:rsid w:val="00575BA7"/>
    <w:rsid w:val="00582AA7"/>
    <w:rsid w:val="0058477C"/>
    <w:rsid w:val="005A4259"/>
    <w:rsid w:val="005B4E7C"/>
    <w:rsid w:val="005B5C09"/>
    <w:rsid w:val="005C498B"/>
    <w:rsid w:val="005C7100"/>
    <w:rsid w:val="005D4005"/>
    <w:rsid w:val="005D40D1"/>
    <w:rsid w:val="005F4955"/>
    <w:rsid w:val="00610305"/>
    <w:rsid w:val="00610419"/>
    <w:rsid w:val="00611DDB"/>
    <w:rsid w:val="00612C7B"/>
    <w:rsid w:val="006224C1"/>
    <w:rsid w:val="006269B7"/>
    <w:rsid w:val="00633DC7"/>
    <w:rsid w:val="00636E1D"/>
    <w:rsid w:val="006554C7"/>
    <w:rsid w:val="00663B0A"/>
    <w:rsid w:val="006641F8"/>
    <w:rsid w:val="00670254"/>
    <w:rsid w:val="006973AC"/>
    <w:rsid w:val="006C186D"/>
    <w:rsid w:val="006F445D"/>
    <w:rsid w:val="00703E4E"/>
    <w:rsid w:val="007071C6"/>
    <w:rsid w:val="00711E1C"/>
    <w:rsid w:val="00721FBA"/>
    <w:rsid w:val="00730352"/>
    <w:rsid w:val="00742839"/>
    <w:rsid w:val="00755505"/>
    <w:rsid w:val="0076316D"/>
    <w:rsid w:val="00772993"/>
    <w:rsid w:val="0077379B"/>
    <w:rsid w:val="007815FB"/>
    <w:rsid w:val="00781D80"/>
    <w:rsid w:val="007904AE"/>
    <w:rsid w:val="00791DF9"/>
    <w:rsid w:val="007A0054"/>
    <w:rsid w:val="007A44A6"/>
    <w:rsid w:val="007A5353"/>
    <w:rsid w:val="007B3D63"/>
    <w:rsid w:val="007C4A92"/>
    <w:rsid w:val="007C55D0"/>
    <w:rsid w:val="007D4DB1"/>
    <w:rsid w:val="0080734E"/>
    <w:rsid w:val="00813BAC"/>
    <w:rsid w:val="00813CD4"/>
    <w:rsid w:val="00821B9D"/>
    <w:rsid w:val="0084468C"/>
    <w:rsid w:val="00847035"/>
    <w:rsid w:val="008552A0"/>
    <w:rsid w:val="00865492"/>
    <w:rsid w:val="00867CB4"/>
    <w:rsid w:val="008708AB"/>
    <w:rsid w:val="00874ED5"/>
    <w:rsid w:val="008C5B82"/>
    <w:rsid w:val="008E1F18"/>
    <w:rsid w:val="008F3908"/>
    <w:rsid w:val="009014B6"/>
    <w:rsid w:val="00910967"/>
    <w:rsid w:val="00912882"/>
    <w:rsid w:val="00912895"/>
    <w:rsid w:val="009210DE"/>
    <w:rsid w:val="00936E72"/>
    <w:rsid w:val="00943B87"/>
    <w:rsid w:val="00947B0F"/>
    <w:rsid w:val="00953829"/>
    <w:rsid w:val="0096160F"/>
    <w:rsid w:val="00965B80"/>
    <w:rsid w:val="009C12C9"/>
    <w:rsid w:val="009C1CE7"/>
    <w:rsid w:val="009D55F7"/>
    <w:rsid w:val="009D5B2B"/>
    <w:rsid w:val="009E16CD"/>
    <w:rsid w:val="009E76BE"/>
    <w:rsid w:val="009E79BF"/>
    <w:rsid w:val="009F3FE6"/>
    <w:rsid w:val="009F53AF"/>
    <w:rsid w:val="00A00E34"/>
    <w:rsid w:val="00A10257"/>
    <w:rsid w:val="00A14332"/>
    <w:rsid w:val="00A27D88"/>
    <w:rsid w:val="00A304D0"/>
    <w:rsid w:val="00A40451"/>
    <w:rsid w:val="00A41E35"/>
    <w:rsid w:val="00A4607D"/>
    <w:rsid w:val="00A53EC9"/>
    <w:rsid w:val="00A70740"/>
    <w:rsid w:val="00A92440"/>
    <w:rsid w:val="00AB104D"/>
    <w:rsid w:val="00AD0C73"/>
    <w:rsid w:val="00AD2742"/>
    <w:rsid w:val="00AD6EC8"/>
    <w:rsid w:val="00AE1A2D"/>
    <w:rsid w:val="00AE3600"/>
    <w:rsid w:val="00AE5347"/>
    <w:rsid w:val="00AE55F6"/>
    <w:rsid w:val="00AE56DB"/>
    <w:rsid w:val="00B06BB7"/>
    <w:rsid w:val="00B13C87"/>
    <w:rsid w:val="00B17013"/>
    <w:rsid w:val="00B1710D"/>
    <w:rsid w:val="00B32510"/>
    <w:rsid w:val="00B36D5E"/>
    <w:rsid w:val="00B41CA3"/>
    <w:rsid w:val="00B420B7"/>
    <w:rsid w:val="00B526A8"/>
    <w:rsid w:val="00B55FAB"/>
    <w:rsid w:val="00B6734E"/>
    <w:rsid w:val="00B74983"/>
    <w:rsid w:val="00B83D9D"/>
    <w:rsid w:val="00B84529"/>
    <w:rsid w:val="00B91CFA"/>
    <w:rsid w:val="00B95FD0"/>
    <w:rsid w:val="00B96F7F"/>
    <w:rsid w:val="00BB125C"/>
    <w:rsid w:val="00BB2111"/>
    <w:rsid w:val="00BC7FD2"/>
    <w:rsid w:val="00BE38EC"/>
    <w:rsid w:val="00C03AE7"/>
    <w:rsid w:val="00C0467A"/>
    <w:rsid w:val="00C05D9D"/>
    <w:rsid w:val="00C07F35"/>
    <w:rsid w:val="00C23ED6"/>
    <w:rsid w:val="00C35592"/>
    <w:rsid w:val="00C356AF"/>
    <w:rsid w:val="00C41927"/>
    <w:rsid w:val="00C439D6"/>
    <w:rsid w:val="00C43FD9"/>
    <w:rsid w:val="00C44EB2"/>
    <w:rsid w:val="00C47E8F"/>
    <w:rsid w:val="00C50CEC"/>
    <w:rsid w:val="00C60915"/>
    <w:rsid w:val="00C73447"/>
    <w:rsid w:val="00C964B8"/>
    <w:rsid w:val="00CC0D86"/>
    <w:rsid w:val="00CE39FA"/>
    <w:rsid w:val="00D01670"/>
    <w:rsid w:val="00D152E7"/>
    <w:rsid w:val="00D21F91"/>
    <w:rsid w:val="00D30519"/>
    <w:rsid w:val="00D44360"/>
    <w:rsid w:val="00D46B91"/>
    <w:rsid w:val="00D549B9"/>
    <w:rsid w:val="00D557EE"/>
    <w:rsid w:val="00D56058"/>
    <w:rsid w:val="00D57F4B"/>
    <w:rsid w:val="00D63505"/>
    <w:rsid w:val="00D64AF0"/>
    <w:rsid w:val="00D656AD"/>
    <w:rsid w:val="00D76E91"/>
    <w:rsid w:val="00D85AFA"/>
    <w:rsid w:val="00D872D1"/>
    <w:rsid w:val="00DA2866"/>
    <w:rsid w:val="00DB4809"/>
    <w:rsid w:val="00DB5E8F"/>
    <w:rsid w:val="00DC7C3E"/>
    <w:rsid w:val="00DD030B"/>
    <w:rsid w:val="00DE2B87"/>
    <w:rsid w:val="00DE30E0"/>
    <w:rsid w:val="00DF784F"/>
    <w:rsid w:val="00E00BB5"/>
    <w:rsid w:val="00E175BC"/>
    <w:rsid w:val="00E22BCE"/>
    <w:rsid w:val="00E326FF"/>
    <w:rsid w:val="00E361B0"/>
    <w:rsid w:val="00E501B8"/>
    <w:rsid w:val="00E50891"/>
    <w:rsid w:val="00E56FF5"/>
    <w:rsid w:val="00E61257"/>
    <w:rsid w:val="00E62DB8"/>
    <w:rsid w:val="00E677EF"/>
    <w:rsid w:val="00E859DF"/>
    <w:rsid w:val="00E87041"/>
    <w:rsid w:val="00E95201"/>
    <w:rsid w:val="00EA1807"/>
    <w:rsid w:val="00EA4947"/>
    <w:rsid w:val="00EB5506"/>
    <w:rsid w:val="00EC0C41"/>
    <w:rsid w:val="00EC1594"/>
    <w:rsid w:val="00EE456B"/>
    <w:rsid w:val="00EE5886"/>
    <w:rsid w:val="00F00C37"/>
    <w:rsid w:val="00F034AC"/>
    <w:rsid w:val="00F045E9"/>
    <w:rsid w:val="00F11C3C"/>
    <w:rsid w:val="00F160D2"/>
    <w:rsid w:val="00F4748D"/>
    <w:rsid w:val="00F56730"/>
    <w:rsid w:val="00F612B3"/>
    <w:rsid w:val="00F62E26"/>
    <w:rsid w:val="00F62EE5"/>
    <w:rsid w:val="00F7064A"/>
    <w:rsid w:val="00F7249D"/>
    <w:rsid w:val="00F747AD"/>
    <w:rsid w:val="00F77102"/>
    <w:rsid w:val="00F942CA"/>
    <w:rsid w:val="00F9452C"/>
    <w:rsid w:val="00F94690"/>
    <w:rsid w:val="00FA6C13"/>
    <w:rsid w:val="00FA7225"/>
    <w:rsid w:val="00FB7206"/>
    <w:rsid w:val="00FC1D72"/>
    <w:rsid w:val="00FD0B51"/>
    <w:rsid w:val="00FD219D"/>
    <w:rsid w:val="00FD3867"/>
    <w:rsid w:val="00FE5577"/>
    <w:rsid w:val="00FF1D19"/>
    <w:rsid w:val="00FF318F"/>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semiHidden="0" w:uiPriority="0"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9B"/>
    <w:rPr>
      <w:rFonts w:ascii="Lucida Bright" w:hAnsi="Lucida Bright"/>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77379B"/>
    <w:pPr>
      <w:spacing w:before="240" w:after="240"/>
    </w:pPr>
    <w:rPr>
      <w:rFonts w:ascii="Lucida Sans" w:eastAsiaTheme="majorEastAsia" w:hAnsi="Lucida Sans" w:cstheme="majorBidi"/>
      <w:bCs/>
      <w:color w:val="2F5773" w:themeColor="text2"/>
      <w:sz w:val="32"/>
    </w:rPr>
  </w:style>
  <w:style w:type="paragraph" w:customStyle="1" w:styleId="body">
    <w:name w:val="body"/>
    <w:qFormat/>
    <w:rsid w:val="003055C1"/>
    <w:pPr>
      <w:spacing w:before="240" w:after="120" w:line="276" w:lineRule="auto"/>
    </w:pPr>
    <w:rPr>
      <w:rFonts w:ascii="Lucida Bright" w:hAnsi="Lucida Bright"/>
      <w:sz w:val="22"/>
      <w:lang w:val="en-GB"/>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77379B"/>
    <w:pPr>
      <w:pBdr>
        <w:bottom w:val="single" w:sz="8" w:space="4" w:color="2F5773" w:themeColor="accent1"/>
      </w:pBdr>
      <w:spacing w:after="300"/>
      <w:contextualSpacing/>
    </w:pPr>
    <w:rPr>
      <w:rFonts w:ascii="Lucida Fax" w:eastAsiaTheme="majorEastAsia" w:hAnsi="Lucida Fax" w:cstheme="majorBidi"/>
      <w:color w:val="2F5773" w:themeColor="text2"/>
      <w:spacing w:val="5"/>
      <w:kern w:val="28"/>
      <w:sz w:val="52"/>
      <w:szCs w:val="52"/>
    </w:rPr>
  </w:style>
  <w:style w:type="character" w:customStyle="1" w:styleId="TitleChar">
    <w:name w:val="Title Char"/>
    <w:basedOn w:val="DefaultParagraphFont"/>
    <w:link w:val="Title"/>
    <w:rsid w:val="0077379B"/>
    <w:rPr>
      <w:rFonts w:ascii="Lucida Fax" w:eastAsiaTheme="majorEastAsia" w:hAnsi="Lucida Fax"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77379B"/>
    <w:pPr>
      <w:numPr>
        <w:ilvl w:val="1"/>
      </w:numPr>
      <w:spacing w:before="120" w:after="120"/>
    </w:pPr>
    <w:rPr>
      <w:rFonts w:ascii="Lucida Bright" w:eastAsiaTheme="majorEastAsia" w:hAnsi="Lucida Bright" w:cstheme="majorBidi"/>
      <w:caps/>
      <w:color w:val="2F5773" w:themeColor="text2"/>
      <w:sz w:val="26"/>
      <w:szCs w:val="26"/>
      <w:lang w:val="en-GB"/>
    </w:rPr>
  </w:style>
  <w:style w:type="character" w:customStyle="1" w:styleId="SubtitleChar">
    <w:name w:val="Subtitle Char"/>
    <w:basedOn w:val="DefaultParagraphFont"/>
    <w:link w:val="Subtitle"/>
    <w:uiPriority w:val="11"/>
    <w:rsid w:val="0077379B"/>
    <w:rPr>
      <w:rFonts w:ascii="Lucida Bright" w:eastAsiaTheme="majorEastAsia" w:hAnsi="Lucida Bright" w:cstheme="majorBidi"/>
      <w:caps/>
      <w:color w:val="2F5773" w:themeColor="text2"/>
      <w:sz w:val="26"/>
      <w:szCs w:val="26"/>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Numberedparagraphcolour">
    <w:name w:val="Numbered paragraph colour"/>
    <w:basedOn w:val="numberedparagraph"/>
    <w:qFormat/>
    <w:rsid w:val="00F77102"/>
    <w:rPr>
      <w:color w:val="2F5773" w:themeColor="text2"/>
    </w:rPr>
  </w:style>
  <w:style w:type="paragraph" w:styleId="ListParagraph">
    <w:name w:val="List Paragraph"/>
    <w:basedOn w:val="Normal"/>
    <w:uiPriority w:val="99"/>
    <w:qFormat/>
    <w:rsid w:val="00D46B91"/>
    <w:pPr>
      <w:spacing w:after="200" w:line="276" w:lineRule="auto"/>
      <w:ind w:left="720"/>
      <w:contextualSpacing/>
    </w:pPr>
    <w:rPr>
      <w:rFonts w:ascii="Calibri" w:eastAsia="Calibri" w:hAnsi="Calibri" w:cs="Arial"/>
      <w:szCs w:val="22"/>
      <w:lang w:val="hu-HU"/>
    </w:rPr>
  </w:style>
  <w:style w:type="paragraph" w:customStyle="1" w:styleId="CTexto">
    <w:name w:val="C. Texto"/>
    <w:basedOn w:val="Normal"/>
    <w:uiPriority w:val="99"/>
    <w:rsid w:val="00D46B91"/>
    <w:pPr>
      <w:spacing w:before="60" w:after="120"/>
      <w:jc w:val="both"/>
    </w:pPr>
    <w:rPr>
      <w:rFonts w:ascii="Stag Sans Light" w:eastAsia="Batang" w:hAnsi="Stag Sans Light" w:cs="Stag Sans Light"/>
      <w:sz w:val="20"/>
      <w:szCs w:val="20"/>
      <w:lang w:val="en-GB" w:eastAsia="ko-KR"/>
    </w:rPr>
  </w:style>
  <w:style w:type="paragraph" w:customStyle="1" w:styleId="Default">
    <w:name w:val="Default"/>
    <w:rsid w:val="00B17013"/>
    <w:pPr>
      <w:autoSpaceDE w:val="0"/>
      <w:autoSpaceDN w:val="0"/>
      <w:adjustRightInd w:val="0"/>
    </w:pPr>
    <w:rPr>
      <w:rFonts w:ascii="Arial" w:eastAsia="Calibri" w:hAnsi="Arial" w:cs="Arial"/>
      <w:color w:val="000000"/>
      <w:lang w:val="hu-HU"/>
    </w:rPr>
  </w:style>
  <w:style w:type="character" w:styleId="CommentReference">
    <w:name w:val="annotation reference"/>
    <w:basedOn w:val="DefaultParagraphFont"/>
    <w:uiPriority w:val="99"/>
    <w:semiHidden/>
    <w:unhideWhenUsed/>
    <w:rsid w:val="007C4A92"/>
    <w:rPr>
      <w:sz w:val="16"/>
      <w:szCs w:val="16"/>
    </w:rPr>
  </w:style>
  <w:style w:type="paragraph" w:styleId="CommentText">
    <w:name w:val="annotation text"/>
    <w:basedOn w:val="Normal"/>
    <w:link w:val="CommentTextChar"/>
    <w:uiPriority w:val="99"/>
    <w:semiHidden/>
    <w:unhideWhenUsed/>
    <w:rsid w:val="007C4A92"/>
    <w:rPr>
      <w:sz w:val="20"/>
      <w:szCs w:val="20"/>
    </w:rPr>
  </w:style>
  <w:style w:type="character" w:customStyle="1" w:styleId="CommentTextChar">
    <w:name w:val="Comment Text Char"/>
    <w:basedOn w:val="DefaultParagraphFont"/>
    <w:link w:val="CommentText"/>
    <w:uiPriority w:val="99"/>
    <w:semiHidden/>
    <w:rsid w:val="007C4A92"/>
    <w:rPr>
      <w:rFonts w:ascii="Lucida Bright" w:hAnsi="Lucida Bright"/>
      <w:sz w:val="20"/>
      <w:szCs w:val="20"/>
    </w:rPr>
  </w:style>
  <w:style w:type="paragraph" w:styleId="CommentSubject">
    <w:name w:val="annotation subject"/>
    <w:basedOn w:val="CommentText"/>
    <w:next w:val="CommentText"/>
    <w:link w:val="CommentSubjectChar"/>
    <w:uiPriority w:val="99"/>
    <w:semiHidden/>
    <w:unhideWhenUsed/>
    <w:rsid w:val="007C4A92"/>
    <w:rPr>
      <w:b/>
      <w:bCs/>
    </w:rPr>
  </w:style>
  <w:style w:type="character" w:customStyle="1" w:styleId="CommentSubjectChar">
    <w:name w:val="Comment Subject Char"/>
    <w:basedOn w:val="CommentTextChar"/>
    <w:link w:val="CommentSubject"/>
    <w:uiPriority w:val="99"/>
    <w:semiHidden/>
    <w:rsid w:val="007C4A92"/>
    <w:rPr>
      <w:rFonts w:ascii="Lucida Bright" w:hAnsi="Lucida Brigh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semiHidden="0" w:uiPriority="0"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9B"/>
    <w:rPr>
      <w:rFonts w:ascii="Lucida Bright" w:hAnsi="Lucida Bright"/>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77379B"/>
    <w:pPr>
      <w:spacing w:before="240" w:after="240"/>
    </w:pPr>
    <w:rPr>
      <w:rFonts w:ascii="Lucida Sans" w:eastAsiaTheme="majorEastAsia" w:hAnsi="Lucida Sans" w:cstheme="majorBidi"/>
      <w:bCs/>
      <w:color w:val="2F5773" w:themeColor="text2"/>
      <w:sz w:val="32"/>
    </w:rPr>
  </w:style>
  <w:style w:type="paragraph" w:customStyle="1" w:styleId="body">
    <w:name w:val="body"/>
    <w:qFormat/>
    <w:rsid w:val="003055C1"/>
    <w:pPr>
      <w:spacing w:before="240" w:after="120" w:line="276" w:lineRule="auto"/>
    </w:pPr>
    <w:rPr>
      <w:rFonts w:ascii="Lucida Bright" w:hAnsi="Lucida Bright"/>
      <w:sz w:val="22"/>
      <w:lang w:val="en-GB"/>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77379B"/>
    <w:pPr>
      <w:pBdr>
        <w:bottom w:val="single" w:sz="8" w:space="4" w:color="2F5773" w:themeColor="accent1"/>
      </w:pBdr>
      <w:spacing w:after="300"/>
      <w:contextualSpacing/>
    </w:pPr>
    <w:rPr>
      <w:rFonts w:ascii="Lucida Fax" w:eastAsiaTheme="majorEastAsia" w:hAnsi="Lucida Fax" w:cstheme="majorBidi"/>
      <w:color w:val="2F5773" w:themeColor="text2"/>
      <w:spacing w:val="5"/>
      <w:kern w:val="28"/>
      <w:sz w:val="52"/>
      <w:szCs w:val="52"/>
    </w:rPr>
  </w:style>
  <w:style w:type="character" w:customStyle="1" w:styleId="TitleChar">
    <w:name w:val="Title Char"/>
    <w:basedOn w:val="DefaultParagraphFont"/>
    <w:link w:val="Title"/>
    <w:rsid w:val="0077379B"/>
    <w:rPr>
      <w:rFonts w:ascii="Lucida Fax" w:eastAsiaTheme="majorEastAsia" w:hAnsi="Lucida Fax"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77379B"/>
    <w:pPr>
      <w:numPr>
        <w:ilvl w:val="1"/>
      </w:numPr>
      <w:spacing w:before="120" w:after="120"/>
    </w:pPr>
    <w:rPr>
      <w:rFonts w:ascii="Lucida Bright" w:eastAsiaTheme="majorEastAsia" w:hAnsi="Lucida Bright" w:cstheme="majorBidi"/>
      <w:caps/>
      <w:color w:val="2F5773" w:themeColor="text2"/>
      <w:sz w:val="26"/>
      <w:szCs w:val="26"/>
      <w:lang w:val="en-GB"/>
    </w:rPr>
  </w:style>
  <w:style w:type="character" w:customStyle="1" w:styleId="SubtitleChar">
    <w:name w:val="Subtitle Char"/>
    <w:basedOn w:val="DefaultParagraphFont"/>
    <w:link w:val="Subtitle"/>
    <w:uiPriority w:val="11"/>
    <w:rsid w:val="0077379B"/>
    <w:rPr>
      <w:rFonts w:ascii="Lucida Bright" w:eastAsiaTheme="majorEastAsia" w:hAnsi="Lucida Bright" w:cstheme="majorBidi"/>
      <w:caps/>
      <w:color w:val="2F5773" w:themeColor="text2"/>
      <w:sz w:val="26"/>
      <w:szCs w:val="26"/>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Numberedparagraphcolour">
    <w:name w:val="Numbered paragraph colour"/>
    <w:basedOn w:val="numberedparagraph"/>
    <w:qFormat/>
    <w:rsid w:val="00F77102"/>
    <w:rPr>
      <w:color w:val="2F5773" w:themeColor="text2"/>
    </w:rPr>
  </w:style>
  <w:style w:type="paragraph" w:styleId="ListParagraph">
    <w:name w:val="List Paragraph"/>
    <w:basedOn w:val="Normal"/>
    <w:uiPriority w:val="99"/>
    <w:qFormat/>
    <w:rsid w:val="00D46B91"/>
    <w:pPr>
      <w:spacing w:after="200" w:line="276" w:lineRule="auto"/>
      <w:ind w:left="720"/>
      <w:contextualSpacing/>
    </w:pPr>
    <w:rPr>
      <w:rFonts w:ascii="Calibri" w:eastAsia="Calibri" w:hAnsi="Calibri" w:cs="Arial"/>
      <w:szCs w:val="22"/>
      <w:lang w:val="hu-HU"/>
    </w:rPr>
  </w:style>
  <w:style w:type="paragraph" w:customStyle="1" w:styleId="CTexto">
    <w:name w:val="C. Texto"/>
    <w:basedOn w:val="Normal"/>
    <w:uiPriority w:val="99"/>
    <w:rsid w:val="00D46B91"/>
    <w:pPr>
      <w:spacing w:before="60" w:after="120"/>
      <w:jc w:val="both"/>
    </w:pPr>
    <w:rPr>
      <w:rFonts w:ascii="Stag Sans Light" w:eastAsia="Batang" w:hAnsi="Stag Sans Light" w:cs="Stag Sans Light"/>
      <w:sz w:val="20"/>
      <w:szCs w:val="20"/>
      <w:lang w:val="en-GB" w:eastAsia="ko-KR"/>
    </w:rPr>
  </w:style>
  <w:style w:type="paragraph" w:customStyle="1" w:styleId="Default">
    <w:name w:val="Default"/>
    <w:rsid w:val="00B17013"/>
    <w:pPr>
      <w:autoSpaceDE w:val="0"/>
      <w:autoSpaceDN w:val="0"/>
      <w:adjustRightInd w:val="0"/>
    </w:pPr>
    <w:rPr>
      <w:rFonts w:ascii="Arial" w:eastAsia="Calibri" w:hAnsi="Arial" w:cs="Arial"/>
      <w:color w:val="000000"/>
      <w:lang w:val="hu-HU"/>
    </w:rPr>
  </w:style>
  <w:style w:type="character" w:styleId="CommentReference">
    <w:name w:val="annotation reference"/>
    <w:basedOn w:val="DefaultParagraphFont"/>
    <w:uiPriority w:val="99"/>
    <w:semiHidden/>
    <w:unhideWhenUsed/>
    <w:rsid w:val="007C4A92"/>
    <w:rPr>
      <w:sz w:val="16"/>
      <w:szCs w:val="16"/>
    </w:rPr>
  </w:style>
  <w:style w:type="paragraph" w:styleId="CommentText">
    <w:name w:val="annotation text"/>
    <w:basedOn w:val="Normal"/>
    <w:link w:val="CommentTextChar"/>
    <w:uiPriority w:val="99"/>
    <w:semiHidden/>
    <w:unhideWhenUsed/>
    <w:rsid w:val="007C4A92"/>
    <w:rPr>
      <w:sz w:val="20"/>
      <w:szCs w:val="20"/>
    </w:rPr>
  </w:style>
  <w:style w:type="character" w:customStyle="1" w:styleId="CommentTextChar">
    <w:name w:val="Comment Text Char"/>
    <w:basedOn w:val="DefaultParagraphFont"/>
    <w:link w:val="CommentText"/>
    <w:uiPriority w:val="99"/>
    <w:semiHidden/>
    <w:rsid w:val="007C4A92"/>
    <w:rPr>
      <w:rFonts w:ascii="Lucida Bright" w:hAnsi="Lucida Bright"/>
      <w:sz w:val="20"/>
      <w:szCs w:val="20"/>
    </w:rPr>
  </w:style>
  <w:style w:type="paragraph" w:styleId="CommentSubject">
    <w:name w:val="annotation subject"/>
    <w:basedOn w:val="CommentText"/>
    <w:next w:val="CommentText"/>
    <w:link w:val="CommentSubjectChar"/>
    <w:uiPriority w:val="99"/>
    <w:semiHidden/>
    <w:unhideWhenUsed/>
    <w:rsid w:val="007C4A92"/>
    <w:rPr>
      <w:b/>
      <w:bCs/>
    </w:rPr>
  </w:style>
  <w:style w:type="character" w:customStyle="1" w:styleId="CommentSubjectChar">
    <w:name w:val="Comment Subject Char"/>
    <w:basedOn w:val="CommentTextChar"/>
    <w:link w:val="CommentSubject"/>
    <w:uiPriority w:val="99"/>
    <w:semiHidden/>
    <w:rsid w:val="007C4A92"/>
    <w:rPr>
      <w:rFonts w:ascii="Lucida Bright" w:hAnsi="Lucida Br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118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985886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Temp\EBA%20BSG%20report%20template%20-%20201X-XX-XX%20BSG%20Opinion%20on%20EBA%20CP%20201X%20XX%20(2).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DD7E-4EC0-48BF-9DA0-D6020DAE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 BSG report template - 201X-XX-XX BSG Opinion on EBA CP 201X XX (2).dotx</Template>
  <TotalTime>20</TotalTime>
  <Pages>5</Pages>
  <Words>1476</Words>
  <Characters>8415</Characters>
  <Application>Microsoft Office Word</Application>
  <DocSecurity>0</DocSecurity>
  <Lines>70</Lines>
  <Paragraphs>19</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OP</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Staff/Research Student</cp:lastModifiedBy>
  <cp:revision>5</cp:revision>
  <cp:lastPrinted>2014-12-21T07:01:00Z</cp:lastPrinted>
  <dcterms:created xsi:type="dcterms:W3CDTF">2014-12-22T10:10:00Z</dcterms:created>
  <dcterms:modified xsi:type="dcterms:W3CDTF">2014-12-22T22:50:00Z</dcterms:modified>
</cp:coreProperties>
</file>