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F5B06" w14:textId="53F3CBB9" w:rsidR="00CD2D83" w:rsidRDefault="00F10D5D" w:rsidP="00A72F23">
      <w:pPr>
        <w:ind w:left="-709"/>
        <w:rPr>
          <w:rFonts w:cs="Arial"/>
          <w:b/>
        </w:rPr>
      </w:pPr>
      <w:r>
        <w:rPr>
          <w:noProof/>
          <w:lang w:eastAsia="fr-FR"/>
        </w:rPr>
        <w:drawing>
          <wp:inline distT="0" distB="0" distL="0" distR="0" wp14:anchorId="3C16FE10" wp14:editId="591D8B0C">
            <wp:extent cx="1447800" cy="1343025"/>
            <wp:effectExtent l="0" t="0" r="0" b="9525"/>
            <wp:docPr id="2" name="Image 2" descr="Logos_FBF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BF_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343025"/>
                    </a:xfrm>
                    <a:prstGeom prst="rect">
                      <a:avLst/>
                    </a:prstGeom>
                    <a:noFill/>
                    <a:ln>
                      <a:noFill/>
                    </a:ln>
                  </pic:spPr>
                </pic:pic>
              </a:graphicData>
            </a:graphic>
          </wp:inline>
        </w:drawing>
      </w:r>
    </w:p>
    <w:p w14:paraId="4ADB4A2E" w14:textId="77777777" w:rsidR="00CD2D83" w:rsidRPr="005D4468" w:rsidRDefault="00CD2D83" w:rsidP="005D4468">
      <w:pPr>
        <w:rPr>
          <w:rFonts w:cs="Arial"/>
        </w:rPr>
      </w:pPr>
    </w:p>
    <w:p w14:paraId="627D68FA" w14:textId="00313403" w:rsidR="005D4468" w:rsidRPr="00642586" w:rsidRDefault="005D4468" w:rsidP="005D4468">
      <w:pPr>
        <w:rPr>
          <w:rFonts w:cs="Arial"/>
          <w:sz w:val="16"/>
          <w:szCs w:val="16"/>
          <w:lang w:val="en-US"/>
        </w:rPr>
      </w:pPr>
      <w:r w:rsidRPr="00642586">
        <w:rPr>
          <w:rFonts w:cs="Arial"/>
          <w:sz w:val="16"/>
          <w:szCs w:val="16"/>
          <w:lang w:val="en-US"/>
        </w:rPr>
        <w:t>20140606</w:t>
      </w:r>
    </w:p>
    <w:p w14:paraId="5CBAFDAF" w14:textId="77777777" w:rsidR="00A72F23" w:rsidRPr="00642586" w:rsidRDefault="00A72F23" w:rsidP="005D4468">
      <w:pPr>
        <w:rPr>
          <w:rFonts w:cs="Arial"/>
          <w:lang w:val="en-US"/>
        </w:rPr>
      </w:pPr>
    </w:p>
    <w:p w14:paraId="5D64EF9A" w14:textId="77777777" w:rsidR="00A72F23" w:rsidRPr="005D4468" w:rsidRDefault="00A72F23" w:rsidP="00A72F23">
      <w:pPr>
        <w:ind w:left="-709"/>
        <w:jc w:val="center"/>
        <w:rPr>
          <w:rFonts w:cs="Arial"/>
          <w:lang w:val="en-US"/>
        </w:rPr>
      </w:pPr>
    </w:p>
    <w:p w14:paraId="2580274D" w14:textId="77777777" w:rsidR="005D4468" w:rsidRPr="005D4468" w:rsidRDefault="005D4468" w:rsidP="00A72F23">
      <w:pPr>
        <w:ind w:left="-709"/>
        <w:jc w:val="center"/>
        <w:rPr>
          <w:rFonts w:cs="Arial"/>
          <w:lang w:val="en-US"/>
        </w:rPr>
      </w:pPr>
    </w:p>
    <w:p w14:paraId="191C1EB7" w14:textId="143A9220" w:rsidR="009C3540" w:rsidRPr="005D4468" w:rsidRDefault="00A72F23" w:rsidP="00A72F23">
      <w:pPr>
        <w:ind w:left="-709"/>
        <w:jc w:val="center"/>
        <w:rPr>
          <w:rFonts w:cs="Arial"/>
          <w:sz w:val="24"/>
          <w:szCs w:val="24"/>
          <w:lang w:val="en-US"/>
        </w:rPr>
      </w:pPr>
      <w:r w:rsidRPr="005D4468">
        <w:rPr>
          <w:rFonts w:cs="Arial"/>
          <w:b/>
          <w:sz w:val="24"/>
          <w:szCs w:val="24"/>
          <w:lang w:val="en-US"/>
        </w:rPr>
        <w:t xml:space="preserve">FBF response to EBA consultation </w:t>
      </w:r>
      <w:r w:rsidR="005D4468" w:rsidRPr="005D4468">
        <w:rPr>
          <w:rFonts w:cs="Arial"/>
          <w:b/>
          <w:sz w:val="24"/>
          <w:szCs w:val="24"/>
          <w:lang w:val="en-US"/>
        </w:rPr>
        <w:t>on permissions for data waivers</w:t>
      </w:r>
    </w:p>
    <w:p w14:paraId="4FDBE031" w14:textId="77777777" w:rsidR="00F83D41" w:rsidRPr="00A72F23" w:rsidRDefault="00F83D41" w:rsidP="009C3540">
      <w:pPr>
        <w:jc w:val="both"/>
        <w:rPr>
          <w:rFonts w:cs="Arial"/>
          <w:lang w:val="en-US"/>
        </w:rPr>
      </w:pPr>
    </w:p>
    <w:p w14:paraId="26FCA341" w14:textId="77777777" w:rsidR="00A72F23" w:rsidRDefault="00A72F23" w:rsidP="009C3540">
      <w:pPr>
        <w:jc w:val="both"/>
        <w:rPr>
          <w:rFonts w:cs="Arial"/>
          <w:lang w:val="en-US"/>
        </w:rPr>
      </w:pPr>
    </w:p>
    <w:p w14:paraId="65BA591C" w14:textId="47FC8B23" w:rsidR="00A72F23" w:rsidRDefault="00A72F23" w:rsidP="005D4468">
      <w:pPr>
        <w:jc w:val="both"/>
        <w:rPr>
          <w:rFonts w:cs="Arial"/>
          <w:lang w:val="en-US"/>
        </w:rPr>
      </w:pPr>
      <w:r w:rsidRPr="00A72F23">
        <w:rPr>
          <w:rFonts w:cs="Arial"/>
          <w:lang w:val="en-US"/>
        </w:rPr>
        <w:t>The French Banking Federation (FBF) represents the interests of the banking industry in</w:t>
      </w:r>
      <w:r w:rsidR="005D4468">
        <w:rPr>
          <w:rFonts w:cs="Arial"/>
          <w:lang w:val="en-US"/>
        </w:rPr>
        <w:t xml:space="preserve"> </w:t>
      </w:r>
      <w:r w:rsidRPr="00A72F23">
        <w:rPr>
          <w:rFonts w:cs="Arial"/>
          <w:lang w:val="en-US"/>
        </w:rPr>
        <w:t>France. Its membership is composed of all credit institutions authorized as banks and doing business in France, i.e. more than 390 commercial, cooperative and mutual banks. FBF member banks have more than 38,000 permanent branches in France. They employ 370,000 people in France and around the world, and service 48 million customers.</w:t>
      </w:r>
    </w:p>
    <w:p w14:paraId="4DA84D00" w14:textId="77777777" w:rsidR="00A72F23" w:rsidRDefault="00A72F23" w:rsidP="005D4468">
      <w:pPr>
        <w:jc w:val="both"/>
        <w:rPr>
          <w:rFonts w:cs="Arial"/>
          <w:lang w:val="en-US"/>
        </w:rPr>
      </w:pPr>
    </w:p>
    <w:p w14:paraId="27C4303D" w14:textId="38626C87" w:rsidR="00052D23" w:rsidRDefault="00A72F23" w:rsidP="005D4468">
      <w:pPr>
        <w:jc w:val="both"/>
        <w:rPr>
          <w:rFonts w:cs="Arial"/>
          <w:lang w:val="en-US"/>
        </w:rPr>
      </w:pPr>
      <w:r w:rsidRPr="00A72F23">
        <w:rPr>
          <w:rFonts w:cs="Arial"/>
          <w:lang w:val="en-US"/>
        </w:rPr>
        <w:t xml:space="preserve">The French Banking Federation welcomes the opportunity to comment the draft RTS specifying conditions according to which competent authorities may permit institutions to use relevant data covering shorter time period (data waiver permission) with the reference EBA/CP/2014/02. We appreciate this disposal which encourages the migration of some institutions to the IRB approach. </w:t>
      </w:r>
      <w:r w:rsidR="00BB0A59">
        <w:rPr>
          <w:rFonts w:cs="Arial"/>
          <w:lang w:val="en-US"/>
        </w:rPr>
        <w:t>Nevertheless, we would like to</w:t>
      </w:r>
      <w:r w:rsidR="005D4468">
        <w:rPr>
          <w:rFonts w:cs="Arial"/>
          <w:lang w:val="en-US"/>
        </w:rPr>
        <w:t xml:space="preserve"> highlight the following point</w:t>
      </w:r>
      <w:r w:rsidR="00642586">
        <w:rPr>
          <w:rFonts w:cs="Arial"/>
          <w:lang w:val="en-US"/>
        </w:rPr>
        <w:t>s</w:t>
      </w:r>
      <w:r w:rsidR="005D4468">
        <w:rPr>
          <w:rFonts w:cs="Arial"/>
          <w:lang w:val="en-US"/>
        </w:rPr>
        <w:t>:</w:t>
      </w:r>
    </w:p>
    <w:p w14:paraId="70CDB59E" w14:textId="77777777" w:rsidR="00052D23" w:rsidRDefault="00052D23" w:rsidP="005D4468">
      <w:pPr>
        <w:jc w:val="both"/>
        <w:rPr>
          <w:rFonts w:cs="Arial"/>
          <w:lang w:val="en-US"/>
        </w:rPr>
      </w:pPr>
    </w:p>
    <w:p w14:paraId="1EBD544E" w14:textId="77777777" w:rsidR="00052D23" w:rsidRPr="00C4364D" w:rsidRDefault="00052D23" w:rsidP="005D4468">
      <w:pPr>
        <w:jc w:val="both"/>
        <w:rPr>
          <w:rFonts w:cs="Arial"/>
          <w:b/>
          <w:u w:val="single"/>
          <w:lang w:val="en-US"/>
        </w:rPr>
      </w:pPr>
      <w:r>
        <w:rPr>
          <w:rFonts w:cs="Arial"/>
          <w:b/>
          <w:u w:val="single"/>
          <w:lang w:val="en-US"/>
        </w:rPr>
        <w:t>T</w:t>
      </w:r>
      <w:r w:rsidRPr="00C4364D">
        <w:rPr>
          <w:rFonts w:cs="Arial"/>
          <w:b/>
          <w:u w:val="single"/>
          <w:lang w:val="en-US"/>
        </w:rPr>
        <w:t>he definition of institution</w:t>
      </w:r>
    </w:p>
    <w:p w14:paraId="71C1B447" w14:textId="77777777" w:rsidR="00052D23" w:rsidRDefault="00052D23" w:rsidP="005D4468">
      <w:pPr>
        <w:jc w:val="both"/>
        <w:rPr>
          <w:rFonts w:cs="Arial"/>
          <w:lang w:val="en-US"/>
        </w:rPr>
      </w:pPr>
    </w:p>
    <w:p w14:paraId="65A49678" w14:textId="2792E62B" w:rsidR="002C4FEC" w:rsidRPr="00A72F23" w:rsidRDefault="00052D23" w:rsidP="005D4468">
      <w:pPr>
        <w:jc w:val="both"/>
        <w:rPr>
          <w:rFonts w:cs="Arial"/>
          <w:lang w:val="en-US"/>
        </w:rPr>
      </w:pPr>
      <w:r w:rsidRPr="00A72F23">
        <w:rPr>
          <w:rFonts w:cs="Arial"/>
          <w:lang w:val="en-US"/>
        </w:rPr>
        <w:t>It</w:t>
      </w:r>
      <w:r w:rsidR="00A72F23" w:rsidRPr="00A72F23">
        <w:rPr>
          <w:rFonts w:cs="Arial"/>
          <w:lang w:val="en-US"/>
        </w:rPr>
        <w:t xml:space="preserve"> should be stressed that the draft RTS is not clear enough regarding the entity concerned by the data waiver permission. In the article 5 the use of the term "institution" is confusing and difficult to interpret. According to the FBF, it should be replaced by "parent company".</w:t>
      </w:r>
    </w:p>
    <w:p w14:paraId="49505166" w14:textId="77777777" w:rsidR="009C3540" w:rsidRPr="00A72F23" w:rsidRDefault="009C3540" w:rsidP="005D4468">
      <w:pPr>
        <w:jc w:val="both"/>
        <w:rPr>
          <w:rFonts w:cs="Arial"/>
          <w:lang w:val="en-US"/>
        </w:rPr>
      </w:pPr>
    </w:p>
    <w:p w14:paraId="63C3F046" w14:textId="4B28D9B1" w:rsidR="00052D23" w:rsidRPr="00052D23" w:rsidRDefault="00052D23" w:rsidP="005D4468">
      <w:pPr>
        <w:jc w:val="both"/>
        <w:rPr>
          <w:rFonts w:cs="Arial"/>
          <w:b/>
          <w:u w:val="single"/>
          <w:lang w:val="en-US"/>
        </w:rPr>
      </w:pPr>
      <w:r w:rsidRPr="00052D23">
        <w:rPr>
          <w:rFonts w:cs="Arial"/>
          <w:b/>
          <w:u w:val="single"/>
          <w:lang w:val="en-US"/>
        </w:rPr>
        <w:t>Conditions for eligibility of exposures</w:t>
      </w:r>
    </w:p>
    <w:p w14:paraId="6EE59CB2" w14:textId="77777777" w:rsidR="00052D23" w:rsidRPr="00052D23" w:rsidRDefault="00052D23" w:rsidP="005D4468">
      <w:pPr>
        <w:jc w:val="both"/>
        <w:rPr>
          <w:rFonts w:cs="Arial"/>
          <w:lang w:val="en-US"/>
        </w:rPr>
      </w:pPr>
    </w:p>
    <w:p w14:paraId="79B94EBF" w14:textId="1DBA3C9C" w:rsidR="00052D23" w:rsidRPr="00052D23" w:rsidRDefault="00052D23" w:rsidP="005D4468">
      <w:pPr>
        <w:jc w:val="both"/>
        <w:rPr>
          <w:rFonts w:cs="Arial"/>
          <w:lang w:val="en-US"/>
        </w:rPr>
      </w:pPr>
      <w:r w:rsidRPr="00052D23">
        <w:rPr>
          <w:rFonts w:cs="Arial"/>
          <w:lang w:val="en-US"/>
        </w:rPr>
        <w:t>We do not agree with paragraph 4 as it limits granting data waiver permissions to portfolios already existent at the time of the institutions’ initial IRB</w:t>
      </w:r>
      <w:r w:rsidR="005D4468">
        <w:rPr>
          <w:rFonts w:cs="Arial"/>
          <w:lang w:val="en-US"/>
        </w:rPr>
        <w:t>A approval and within a 5-years-</w:t>
      </w:r>
      <w:r w:rsidRPr="00052D23">
        <w:rPr>
          <w:rFonts w:cs="Arial"/>
          <w:lang w:val="en-US"/>
        </w:rPr>
        <w:t xml:space="preserve">time period after the institutions’ initial IRBA approval. We believe that data waiver permissions with respect to newly acquired portfolios are critical to allow for a timely integration into institutions’ IRBA rating systems. This would be in line with Article 148 CRR which requires banks to implement the IRBA for all exposures. </w:t>
      </w:r>
    </w:p>
    <w:p w14:paraId="550EFFC7" w14:textId="56F827D9" w:rsidR="00052D23" w:rsidRPr="00052D23" w:rsidRDefault="005D4468" w:rsidP="005D4468">
      <w:pPr>
        <w:jc w:val="both"/>
        <w:rPr>
          <w:rFonts w:cs="Arial"/>
          <w:lang w:val="en-US"/>
        </w:rPr>
      </w:pPr>
      <w:r>
        <w:rPr>
          <w:rFonts w:cs="Arial"/>
          <w:lang w:val="en-US"/>
        </w:rPr>
        <w:t>The 5-years-</w:t>
      </w:r>
      <w:r w:rsidR="00052D23" w:rsidRPr="00052D23">
        <w:rPr>
          <w:rFonts w:cs="Arial"/>
          <w:lang w:val="en-US"/>
        </w:rPr>
        <w:t>time limit is also ignoring the evolving nature o</w:t>
      </w:r>
      <w:r>
        <w:rPr>
          <w:rFonts w:cs="Arial"/>
          <w:lang w:val="en-US"/>
        </w:rPr>
        <w:t>f institutions’ internal organiz</w:t>
      </w:r>
      <w:r w:rsidR="00052D23" w:rsidRPr="00052D23">
        <w:rPr>
          <w:rFonts w:cs="Arial"/>
          <w:lang w:val="en-US"/>
        </w:rPr>
        <w:t>ations and IT systems, as well as permanent adaptations to markets evolutions or development strategies. It should always be possible for an institution facing disruption in data collection to apply for data waiver authorization (e.g. cha</w:t>
      </w:r>
      <w:r>
        <w:rPr>
          <w:rFonts w:cs="Arial"/>
          <w:lang w:val="en-US"/>
        </w:rPr>
        <w:t>nges in definition of default </w:t>
      </w:r>
      <w:r w:rsidR="00052D23" w:rsidRPr="00052D23">
        <w:rPr>
          <w:rFonts w:cs="Arial"/>
          <w:lang w:val="en-US"/>
        </w:rPr>
        <w:t>M&amp;A impacting heavily internal processes and organizations of merged entities, etc.).</w:t>
      </w:r>
    </w:p>
    <w:p w14:paraId="3B776204" w14:textId="77777777" w:rsidR="00052D23" w:rsidRPr="00052D23" w:rsidRDefault="00052D23" w:rsidP="005D4468">
      <w:pPr>
        <w:jc w:val="both"/>
        <w:rPr>
          <w:rFonts w:cs="Arial"/>
          <w:lang w:val="en-US"/>
        </w:rPr>
      </w:pPr>
    </w:p>
    <w:p w14:paraId="6DF7FC6E" w14:textId="7934392F" w:rsidR="00052D23" w:rsidRDefault="00052D23" w:rsidP="005D4468">
      <w:pPr>
        <w:jc w:val="both"/>
        <w:rPr>
          <w:rFonts w:cs="Arial"/>
          <w:b/>
          <w:u w:val="single"/>
          <w:lang w:val="en-US"/>
        </w:rPr>
      </w:pPr>
      <w:r w:rsidRPr="00052D23">
        <w:rPr>
          <w:rFonts w:cs="Arial"/>
          <w:b/>
          <w:u w:val="single"/>
          <w:lang w:val="en-US"/>
        </w:rPr>
        <w:t>Timing Conditions</w:t>
      </w:r>
    </w:p>
    <w:p w14:paraId="6382B0C4" w14:textId="77777777" w:rsidR="00052D23" w:rsidRPr="00052D23" w:rsidRDefault="00052D23" w:rsidP="005D4468">
      <w:pPr>
        <w:jc w:val="both"/>
        <w:rPr>
          <w:rFonts w:cs="Arial"/>
          <w:b/>
          <w:u w:val="single"/>
          <w:lang w:val="en-US"/>
        </w:rPr>
      </w:pPr>
    </w:p>
    <w:p w14:paraId="179687D8" w14:textId="6D8C1794" w:rsidR="00F10D5D" w:rsidRPr="00A72F23" w:rsidRDefault="00052D23" w:rsidP="005D4468">
      <w:pPr>
        <w:jc w:val="both"/>
        <w:rPr>
          <w:rFonts w:cs="Arial"/>
          <w:lang w:val="en-US"/>
        </w:rPr>
      </w:pPr>
      <w:r w:rsidRPr="00052D23">
        <w:rPr>
          <w:rFonts w:cs="Arial"/>
          <w:lang w:val="en-US"/>
        </w:rPr>
        <w:t>As already said above, this Article limits granting data waiver permissions to portfolios already existent at the time of the institutions’ initial IRB</w:t>
      </w:r>
      <w:r w:rsidR="005D4468">
        <w:rPr>
          <w:rFonts w:cs="Arial"/>
          <w:lang w:val="en-US"/>
        </w:rPr>
        <w:t>A approval and within a 5-years-</w:t>
      </w:r>
      <w:r w:rsidRPr="00052D23">
        <w:rPr>
          <w:rFonts w:cs="Arial"/>
          <w:lang w:val="en-US"/>
        </w:rPr>
        <w:t>time period after the institutions’ initial IRBA appr</w:t>
      </w:r>
      <w:bookmarkStart w:id="0" w:name="_GoBack"/>
      <w:bookmarkEnd w:id="0"/>
      <w:r w:rsidRPr="00052D23">
        <w:rPr>
          <w:rFonts w:cs="Arial"/>
          <w:lang w:val="en-US"/>
        </w:rPr>
        <w:t>oval. We believe that data waiver permissions with respect to newly acquired portfolios are critical to allow for a timely integration into institutions’ IRBA rating systems. This would be in line with Article 148 CRR which requires banks to implement the IRBA for all exposures.”</w:t>
      </w:r>
    </w:p>
    <w:p w14:paraId="04E62F88" w14:textId="77777777" w:rsidR="00F10D5D" w:rsidRPr="00A72F23" w:rsidRDefault="00F10D5D" w:rsidP="005D4468">
      <w:pPr>
        <w:jc w:val="both"/>
        <w:rPr>
          <w:rFonts w:cs="Arial"/>
          <w:lang w:val="en-US"/>
        </w:rPr>
      </w:pPr>
    </w:p>
    <w:p w14:paraId="0DBA3885" w14:textId="77777777" w:rsidR="00F10D5D" w:rsidRPr="00A72F23" w:rsidRDefault="00F10D5D" w:rsidP="005D4468">
      <w:pPr>
        <w:jc w:val="both"/>
        <w:rPr>
          <w:rFonts w:cs="Arial"/>
          <w:lang w:val="en-US"/>
        </w:rPr>
      </w:pPr>
    </w:p>
    <w:sectPr w:rsidR="00F10D5D" w:rsidRPr="00A72F23" w:rsidSect="00EF7CB9">
      <w:headerReference w:type="even" r:id="rId12"/>
      <w:headerReference w:type="default" r:id="rId13"/>
      <w:footerReference w:type="even" r:id="rId14"/>
      <w:footerReference w:type="default" r:id="rId15"/>
      <w:headerReference w:type="first" r:id="rId16"/>
      <w:footerReference w:type="first" r:id="rId17"/>
      <w:pgSz w:w="11906" w:h="16838"/>
      <w:pgMar w:top="567" w:right="141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308B" w14:textId="77777777" w:rsidR="0075575D" w:rsidRDefault="0075575D" w:rsidP="00EF7CB9">
      <w:r>
        <w:separator/>
      </w:r>
    </w:p>
  </w:endnote>
  <w:endnote w:type="continuationSeparator" w:id="0">
    <w:p w14:paraId="354D5FD4" w14:textId="77777777" w:rsidR="0075575D" w:rsidRDefault="0075575D" w:rsidP="00EF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241A" w14:textId="77777777" w:rsidR="00EF7CB9" w:rsidRDefault="00EF7C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1591"/>
      <w:docPartObj>
        <w:docPartGallery w:val="Page Numbers (Bottom of Page)"/>
        <w:docPartUnique/>
      </w:docPartObj>
    </w:sdtPr>
    <w:sdtEndPr/>
    <w:sdtContent>
      <w:p w14:paraId="26ACB982" w14:textId="27D00BB1" w:rsidR="00EF7CB9" w:rsidRDefault="00EF7CB9">
        <w:pPr>
          <w:pStyle w:val="Pieddepage"/>
          <w:jc w:val="right"/>
        </w:pPr>
        <w:r>
          <w:fldChar w:fldCharType="begin"/>
        </w:r>
        <w:r>
          <w:instrText>PAGE   \* MERGEFORMAT</w:instrText>
        </w:r>
        <w:r>
          <w:fldChar w:fldCharType="separate"/>
        </w:r>
        <w:r>
          <w:rPr>
            <w:noProof/>
          </w:rPr>
          <w:t>1</w:t>
        </w:r>
        <w:r>
          <w:fldChar w:fldCharType="end"/>
        </w:r>
      </w:p>
    </w:sdtContent>
  </w:sdt>
  <w:p w14:paraId="29E9EBE5" w14:textId="77777777" w:rsidR="00EF7CB9" w:rsidRDefault="00EF7C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0D3E" w14:textId="77777777" w:rsidR="00EF7CB9" w:rsidRDefault="00EF7C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D78B1" w14:textId="77777777" w:rsidR="0075575D" w:rsidRDefault="0075575D" w:rsidP="00EF7CB9">
      <w:r>
        <w:separator/>
      </w:r>
    </w:p>
  </w:footnote>
  <w:footnote w:type="continuationSeparator" w:id="0">
    <w:p w14:paraId="516AA6DC" w14:textId="77777777" w:rsidR="0075575D" w:rsidRDefault="0075575D" w:rsidP="00EF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34B7" w14:textId="77777777" w:rsidR="00EF7CB9" w:rsidRDefault="00EF7C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85EC" w14:textId="77777777" w:rsidR="00EF7CB9" w:rsidRDefault="00EF7C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E423" w14:textId="77777777" w:rsidR="00EF7CB9" w:rsidRDefault="00EF7C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052"/>
    <w:multiLevelType w:val="multilevel"/>
    <w:tmpl w:val="571C3A3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40"/>
    <w:rsid w:val="00027FA1"/>
    <w:rsid w:val="00034A68"/>
    <w:rsid w:val="00052D23"/>
    <w:rsid w:val="00060140"/>
    <w:rsid w:val="000E6EA8"/>
    <w:rsid w:val="00207358"/>
    <w:rsid w:val="002C4FEC"/>
    <w:rsid w:val="002E2B9A"/>
    <w:rsid w:val="003402EA"/>
    <w:rsid w:val="003F6009"/>
    <w:rsid w:val="005A34E4"/>
    <w:rsid w:val="005D4468"/>
    <w:rsid w:val="00642586"/>
    <w:rsid w:val="00670658"/>
    <w:rsid w:val="006B0407"/>
    <w:rsid w:val="006B7E9D"/>
    <w:rsid w:val="0075575D"/>
    <w:rsid w:val="00794046"/>
    <w:rsid w:val="007A798F"/>
    <w:rsid w:val="009C2492"/>
    <w:rsid w:val="009C3540"/>
    <w:rsid w:val="00A72F23"/>
    <w:rsid w:val="00A809B4"/>
    <w:rsid w:val="00BB0A59"/>
    <w:rsid w:val="00BF7209"/>
    <w:rsid w:val="00C0152D"/>
    <w:rsid w:val="00C4364D"/>
    <w:rsid w:val="00CD2D83"/>
    <w:rsid w:val="00DA0AD0"/>
    <w:rsid w:val="00DD70DC"/>
    <w:rsid w:val="00E41AF9"/>
    <w:rsid w:val="00EF7CB9"/>
    <w:rsid w:val="00F10D5D"/>
    <w:rsid w:val="00F76FB0"/>
    <w:rsid w:val="00F83D41"/>
    <w:rsid w:val="00F960DE"/>
    <w:rsid w:val="00FA6998"/>
    <w:rsid w:val="00FD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6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540"/>
    <w:rPr>
      <w:rFonts w:ascii="Tahoma" w:hAnsi="Tahoma" w:cs="Tahoma"/>
      <w:sz w:val="16"/>
      <w:szCs w:val="16"/>
    </w:rPr>
  </w:style>
  <w:style w:type="character" w:customStyle="1" w:styleId="TextedebullesCar">
    <w:name w:val="Texte de bulles Car"/>
    <w:basedOn w:val="Policepardfaut"/>
    <w:link w:val="Textedebulles"/>
    <w:uiPriority w:val="99"/>
    <w:semiHidden/>
    <w:rsid w:val="009C3540"/>
    <w:rPr>
      <w:rFonts w:ascii="Tahoma" w:hAnsi="Tahoma" w:cs="Tahoma"/>
      <w:sz w:val="16"/>
      <w:szCs w:val="16"/>
    </w:rPr>
  </w:style>
  <w:style w:type="paragraph" w:customStyle="1" w:styleId="Car1">
    <w:name w:val="Car1"/>
    <w:basedOn w:val="Normal"/>
    <w:autoRedefine/>
    <w:rsid w:val="00F10D5D"/>
    <w:pPr>
      <w:spacing w:after="160" w:line="240" w:lineRule="exact"/>
    </w:pPr>
    <w:rPr>
      <w:rFonts w:eastAsia="Times New Roman" w:cs="Times New Roman"/>
      <w:b/>
      <w:i/>
      <w:szCs w:val="20"/>
      <w:lang w:val="en-US"/>
    </w:rPr>
  </w:style>
  <w:style w:type="paragraph" w:styleId="Paragraphedeliste">
    <w:name w:val="List Paragraph"/>
    <w:basedOn w:val="Normal"/>
    <w:uiPriority w:val="34"/>
    <w:qFormat/>
    <w:rsid w:val="00F10D5D"/>
    <w:pPr>
      <w:ind w:left="720"/>
      <w:contextualSpacing/>
    </w:pPr>
  </w:style>
  <w:style w:type="paragraph" w:styleId="En-tte">
    <w:name w:val="header"/>
    <w:basedOn w:val="Normal"/>
    <w:link w:val="En-tteCar"/>
    <w:uiPriority w:val="99"/>
    <w:unhideWhenUsed/>
    <w:rsid w:val="00EF7CB9"/>
    <w:pPr>
      <w:tabs>
        <w:tab w:val="center" w:pos="4536"/>
        <w:tab w:val="right" w:pos="9072"/>
      </w:tabs>
    </w:pPr>
  </w:style>
  <w:style w:type="character" w:customStyle="1" w:styleId="En-tteCar">
    <w:name w:val="En-tête Car"/>
    <w:basedOn w:val="Policepardfaut"/>
    <w:link w:val="En-tte"/>
    <w:uiPriority w:val="99"/>
    <w:rsid w:val="00EF7CB9"/>
  </w:style>
  <w:style w:type="paragraph" w:styleId="Pieddepage">
    <w:name w:val="footer"/>
    <w:basedOn w:val="Normal"/>
    <w:link w:val="PieddepageCar"/>
    <w:uiPriority w:val="99"/>
    <w:unhideWhenUsed/>
    <w:rsid w:val="00EF7CB9"/>
    <w:pPr>
      <w:tabs>
        <w:tab w:val="center" w:pos="4536"/>
        <w:tab w:val="right" w:pos="9072"/>
      </w:tabs>
    </w:pPr>
  </w:style>
  <w:style w:type="character" w:customStyle="1" w:styleId="PieddepageCar">
    <w:name w:val="Pied de page Car"/>
    <w:basedOn w:val="Policepardfaut"/>
    <w:link w:val="Pieddepage"/>
    <w:uiPriority w:val="99"/>
    <w:rsid w:val="00EF7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6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540"/>
    <w:rPr>
      <w:rFonts w:ascii="Tahoma" w:hAnsi="Tahoma" w:cs="Tahoma"/>
      <w:sz w:val="16"/>
      <w:szCs w:val="16"/>
    </w:rPr>
  </w:style>
  <w:style w:type="character" w:customStyle="1" w:styleId="TextedebullesCar">
    <w:name w:val="Texte de bulles Car"/>
    <w:basedOn w:val="Policepardfaut"/>
    <w:link w:val="Textedebulles"/>
    <w:uiPriority w:val="99"/>
    <w:semiHidden/>
    <w:rsid w:val="009C3540"/>
    <w:rPr>
      <w:rFonts w:ascii="Tahoma" w:hAnsi="Tahoma" w:cs="Tahoma"/>
      <w:sz w:val="16"/>
      <w:szCs w:val="16"/>
    </w:rPr>
  </w:style>
  <w:style w:type="paragraph" w:customStyle="1" w:styleId="Car1">
    <w:name w:val="Car1"/>
    <w:basedOn w:val="Normal"/>
    <w:autoRedefine/>
    <w:rsid w:val="00F10D5D"/>
    <w:pPr>
      <w:spacing w:after="160" w:line="240" w:lineRule="exact"/>
    </w:pPr>
    <w:rPr>
      <w:rFonts w:eastAsia="Times New Roman" w:cs="Times New Roman"/>
      <w:b/>
      <w:i/>
      <w:szCs w:val="20"/>
      <w:lang w:val="en-US"/>
    </w:rPr>
  </w:style>
  <w:style w:type="paragraph" w:styleId="Paragraphedeliste">
    <w:name w:val="List Paragraph"/>
    <w:basedOn w:val="Normal"/>
    <w:uiPriority w:val="34"/>
    <w:qFormat/>
    <w:rsid w:val="00F10D5D"/>
    <w:pPr>
      <w:ind w:left="720"/>
      <w:contextualSpacing/>
    </w:pPr>
  </w:style>
  <w:style w:type="paragraph" w:styleId="En-tte">
    <w:name w:val="header"/>
    <w:basedOn w:val="Normal"/>
    <w:link w:val="En-tteCar"/>
    <w:uiPriority w:val="99"/>
    <w:unhideWhenUsed/>
    <w:rsid w:val="00EF7CB9"/>
    <w:pPr>
      <w:tabs>
        <w:tab w:val="center" w:pos="4536"/>
        <w:tab w:val="right" w:pos="9072"/>
      </w:tabs>
    </w:pPr>
  </w:style>
  <w:style w:type="character" w:customStyle="1" w:styleId="En-tteCar">
    <w:name w:val="En-tête Car"/>
    <w:basedOn w:val="Policepardfaut"/>
    <w:link w:val="En-tte"/>
    <w:uiPriority w:val="99"/>
    <w:rsid w:val="00EF7CB9"/>
  </w:style>
  <w:style w:type="paragraph" w:styleId="Pieddepage">
    <w:name w:val="footer"/>
    <w:basedOn w:val="Normal"/>
    <w:link w:val="PieddepageCar"/>
    <w:uiPriority w:val="99"/>
    <w:unhideWhenUsed/>
    <w:rsid w:val="00EF7CB9"/>
    <w:pPr>
      <w:tabs>
        <w:tab w:val="center" w:pos="4536"/>
        <w:tab w:val="right" w:pos="9072"/>
      </w:tabs>
    </w:pPr>
  </w:style>
  <w:style w:type="character" w:customStyle="1" w:styleId="PieddepageCar">
    <w:name w:val="Pied de page Car"/>
    <w:basedOn w:val="Policepardfaut"/>
    <w:link w:val="Pieddepage"/>
    <w:uiPriority w:val="99"/>
    <w:rsid w:val="00EF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ord" ma:contentTypeID="0x010100896746B94AD448DA9595984F75CF467B00F639680D17A84023BA35009370E9241D003D496CB9AE0F41C2AE48B80E243D54B70044934E26438EEA4EA25894286F4FB046" ma:contentTypeVersion="14" ma:contentTypeDescription="" ma:contentTypeScope="" ma:versionID="984270f01c796388fa28db7ba1506a03">
  <xsd:schema xmlns:xsd="http://www.w3.org/2001/XMLSchema" xmlns:xs="http://www.w3.org/2001/XMLSchema" xmlns:p="http://schemas.microsoft.com/office/2006/metadata/properties" xmlns:ns2="3F21E106-4697-4EF7-AC79-E5F91E58AAD5" xmlns:ns3="b41897d2-b08e-4354-b795-8ae97f1f208c" xmlns:ns4="http://schemas.microsoft.com/sharepoint/v3/fields" xmlns:ns5="d6334578-0bff-46b2-bfea-c68f83243705" targetNamespace="http://schemas.microsoft.com/office/2006/metadata/properties" ma:root="true" ma:fieldsID="758a5fe1b38af55e019d1b358b27b8ac" ns2:_="" ns3:_="" ns4:_="" ns5:_="">
    <xsd:import namespace="3F21E106-4697-4EF7-AC79-E5F91E58AAD5"/>
    <xsd:import namespace="b41897d2-b08e-4354-b795-8ae97f1f208c"/>
    <xsd:import namespace="http://schemas.microsoft.com/sharepoint/v3/fields"/>
    <xsd:import namespace="d6334578-0bff-46b2-bfea-c68f83243705"/>
    <xsd:element name="properties">
      <xsd:complexType>
        <xsd:sequence>
          <xsd:element name="documentManagement">
            <xsd:complexType>
              <xsd:all>
                <xsd:element ref="ns2:EXAKIS_Archive" minOccurs="0"/>
                <xsd:element ref="ns3:EXAKIS_Publication" minOccurs="0"/>
                <xsd:element ref="ns2:EXAKIS_Chrono" minOccurs="0"/>
                <xsd:element ref="ns2:EXAKIS_ChronoName" minOccurs="0"/>
                <xsd:element ref="ns2:EXAKIS_ChronoIndex" minOccurs="0"/>
                <xsd:element ref="ns3:FBF_Type" minOccurs="0"/>
                <xsd:element ref="ns3:FBF_Nature" minOccurs="0"/>
                <xsd:element ref="ns3:FBF_Theme" minOccurs="0"/>
                <xsd:element ref="ns3:FBF_Source" minOccurs="0"/>
                <xsd:element ref="ns4:FBF_Version" minOccurs="0"/>
                <xsd:element ref="ns4:FBF_Position" minOccurs="0"/>
                <xsd:element ref="ns4:FBF_Auteur" minOccurs="0"/>
                <xsd:element ref="ns5:FBF_DateCreation" minOccurs="0"/>
                <xsd:element ref="ns5:FBF_DateMod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1E106-4697-4EF7-AC79-E5F91E58AAD5" elementFormDefault="qualified">
    <xsd:import namespace="http://schemas.microsoft.com/office/2006/documentManagement/types"/>
    <xsd:import namespace="http://schemas.microsoft.com/office/infopath/2007/PartnerControls"/>
    <xsd:element name="EXAKIS_Archive" ma:index="8" nillable="true" ma:displayName="Archive" ma:default="0" ma:hidden="true" ma:internalName="EXAKIS_Archive">
      <xsd:simpleType>
        <xsd:restriction base="dms:Boolean"/>
      </xsd:simpleType>
    </xsd:element>
    <xsd:element name="EXAKIS_Chrono" ma:index="10" nillable="true" ma:displayName="Chrono" ma:default="0" ma:hidden="true" ma:internalName="EXAKIS_Chrono">
      <xsd:simpleType>
        <xsd:restriction base="dms:Boolean"/>
      </xsd:simpleType>
    </xsd:element>
    <xsd:element name="EXAKIS_ChronoName" ma:index="11" nillable="true" ma:displayName="Nom du document" ma:hidden="true" ma:internalName="EXAKIS_ChronoName" ma:readOnly="false">
      <xsd:simpleType>
        <xsd:restriction base="dms:Text">
          <xsd:maxLength value="255"/>
        </xsd:restriction>
      </xsd:simpleType>
    </xsd:element>
    <xsd:element name="EXAKIS_ChronoIndex" ma:index="12" nillable="true" ma:displayName="Index" ma:hidden="true" ma:internalName="EXAKIS_ChronoInde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897d2-b08e-4354-b795-8ae97f1f208c" elementFormDefault="qualified">
    <xsd:import namespace="http://schemas.microsoft.com/office/2006/documentManagement/types"/>
    <xsd:import namespace="http://schemas.microsoft.com/office/infopath/2007/PartnerControls"/>
    <xsd:element name="EXAKIS_Publication" ma:index="9" nillable="true" ma:displayName="Publication" ma:hidden="true" ma:list="{A98B8E78-8C79-4908-BA44-858914C0CE0C}" ma:internalName="EXAKIS_Publication" ma:showField="Title" ma:web="b41897d2-b08e-4354-b795-8ae97f1f208c">
      <xsd:complexType>
        <xsd:complexContent>
          <xsd:extension base="dms:MultiChoiceLookup">
            <xsd:sequence>
              <xsd:element name="Value" type="dms:Lookup" maxOccurs="unbounded" minOccurs="0" nillable="true"/>
            </xsd:sequence>
          </xsd:extension>
        </xsd:complexContent>
      </xsd:complexType>
    </xsd:element>
    <xsd:element name="FBF_Type" ma:index="13" nillable="true" ma:displayName="Type" ma:list="{18B8B637-48D1-49A7-A9EB-3B26B8823EBA}" ma:internalName="FBF_Type" ma:readOnly="false" ma:showField="Title" ma:web="b41897d2-b08e-4354-b795-8ae97f1f208c">
      <xsd:simpleType>
        <xsd:restriction base="dms:Lookup"/>
      </xsd:simpleType>
    </xsd:element>
    <xsd:element name="FBF_Nature" ma:index="14" nillable="true" ma:displayName="Destination" ma:list="{D6CDADE4-D63D-4FA5-A422-A4E9A4496AC4}" ma:internalName="FBF_Nature" ma:showField="Title" ma:web="b41897d2-b08e-4354-b795-8ae97f1f208c">
      <xsd:simpleType>
        <xsd:restriction base="dms:Lookup"/>
      </xsd:simpleType>
    </xsd:element>
    <xsd:element name="FBF_Theme" ma:index="15" nillable="true" ma:displayName="Thème" ma:list="{8A8832A0-3168-444E-8B4C-DB56E4A90183}" ma:internalName="FBF_Theme" ma:showField="Title" ma:web="b41897d2-b08e-4354-b795-8ae97f1f208c">
      <xsd:simpleType>
        <xsd:restriction base="dms:Lookup"/>
      </xsd:simpleType>
    </xsd:element>
    <xsd:element name="FBF_Source" ma:index="16" nillable="true" ma:displayName="Source" ma:list="{5E1F0D46-CB4C-4C6B-8FBD-62D61419EB21}" ma:internalName="FBF_Source" ma:readOnly="false" ma:showField="Title" ma:web="b41897d2-b08e-4354-b795-8ae97f1f208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FBF_Version" ma:index="17" nillable="true" ma:displayName="Version" ma:internalName="FBF_Version">
      <xsd:simpleType>
        <xsd:restriction base="dms:Text"/>
      </xsd:simpleType>
    </xsd:element>
    <xsd:element name="FBF_Position" ma:index="18" nillable="true" ma:displayName="Position" ma:internalName="FBF_Position">
      <xsd:simpleType>
        <xsd:restriction base="dms:Text"/>
      </xsd:simpleType>
    </xsd:element>
    <xsd:element name="FBF_Auteur" ma:index="19" nillable="true" ma:displayName="Auteur" ma:internalName="FBF_Auteu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34578-0bff-46b2-bfea-c68f83243705" elementFormDefault="qualified">
    <xsd:import namespace="http://schemas.microsoft.com/office/2006/documentManagement/types"/>
    <xsd:import namespace="http://schemas.microsoft.com/office/infopath/2007/PartnerControls"/>
    <xsd:element name="FBF_DateCreation" ma:index="20" nillable="true" ma:displayName="Date de création" ma:format="DateOnly" ma:hidden="true" ma:internalName="FBF_DateCreation" ma:readOnly="false">
      <xsd:simpleType>
        <xsd:restriction base="dms:DateTime"/>
      </xsd:simpleType>
    </xsd:element>
    <xsd:element name="FBF_DateModification" ma:index="21" nillable="true" ma:displayName="Date du document" ma:default="[today]" ma:format="DateOnly" ma:internalName="FBF_DateModif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ibellé"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BF_Source xmlns="b41897d2-b08e-4354-b795-8ae97f1f208c" xsi:nil="true"/>
    <FBF_Version xmlns="http://schemas.microsoft.com/sharepoint/v3/fields" xsi:nil="true"/>
    <FBF_DateCreation xmlns="d6334578-0bff-46b2-bfea-c68f83243705" xsi:nil="true"/>
    <EXAKIS_Chrono xmlns="3F21E106-4697-4EF7-AC79-E5F91E58AAD5">true</EXAKIS_Chrono>
    <EXAKIS_Publication xmlns="b41897d2-b08e-4354-b795-8ae97f1f208c"/>
    <FBF_Theme xmlns="b41897d2-b08e-4354-b795-8ae97f1f208c" xsi:nil="true"/>
    <EXAKIS_Archive xmlns="3F21E106-4697-4EF7-AC79-E5F91E58AAD5">false</EXAKIS_Archive>
    <FBF_DateModification xmlns="d6334578-0bff-46b2-bfea-c68f83243705">2013-02-18T23:00:00+00:00</FBF_DateModification>
    <FBF_Type xmlns="b41897d2-b08e-4354-b795-8ae97f1f208c" xsi:nil="true"/>
    <EXAKIS_ChronoIndex xmlns="3F21E106-4697-4EF7-AC79-E5F91E58AAD5" xsi:nil="true"/>
    <FBF_Auteur xmlns="http://schemas.microsoft.com/sharepoint/v3/fields">Corinne Cottin</FBF_Auteur>
    <FBF_Nature xmlns="b41897d2-b08e-4354-b795-8ae97f1f208c" xsi:nil="true"/>
    <FBF_Position xmlns="http://schemas.microsoft.com/sharepoint/v3/fields" xsi:nil="true"/>
    <EXAKIS_ChronoName xmlns="3F21E106-4697-4EF7-AC79-E5F91E58AAD5">CCP_Modèle de note</EXAKIS_ChronoName>
  </documentManagement>
</p:properties>
</file>

<file path=customXml/itemProps1.xml><?xml version="1.0" encoding="utf-8"?>
<ds:datastoreItem xmlns:ds="http://schemas.openxmlformats.org/officeDocument/2006/customXml" ds:itemID="{4C691210-DB88-4F0A-8948-DEA4F661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1E106-4697-4EF7-AC79-E5F91E58AAD5"/>
    <ds:schemaRef ds:uri="b41897d2-b08e-4354-b795-8ae97f1f208c"/>
    <ds:schemaRef ds:uri="http://schemas.microsoft.com/sharepoint/v3/fields"/>
    <ds:schemaRef ds:uri="d6334578-0bff-46b2-bfea-c68f83243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736C8-2FD5-4978-98B8-E1A40847072F}">
  <ds:schemaRefs>
    <ds:schemaRef ds:uri="http://schemas.microsoft.com/sharepoint/v3/contenttype/forms"/>
  </ds:schemaRefs>
</ds:datastoreItem>
</file>

<file path=customXml/itemProps3.xml><?xml version="1.0" encoding="utf-8"?>
<ds:datastoreItem xmlns:ds="http://schemas.openxmlformats.org/officeDocument/2006/customXml" ds:itemID="{38E045E2-AC9F-4786-977F-7102D3306900}">
  <ds:schemaRefs>
    <ds:schemaRef ds:uri="http://schemas.microsoft.com/office/2006/metadata/properties"/>
    <ds:schemaRef ds:uri="http://schemas.microsoft.com/office/infopath/2007/PartnerControls"/>
    <ds:schemaRef ds:uri="b41897d2-b08e-4354-b795-8ae97f1f208c"/>
    <ds:schemaRef ds:uri="http://schemas.microsoft.com/sharepoint/v3/fields"/>
    <ds:schemaRef ds:uri="d6334578-0bff-46b2-bfea-c68f83243705"/>
    <ds:schemaRef ds:uri="3F21E106-4697-4EF7-AC79-E5F91E58AAD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20130219_Modèle note CCP</vt:lpstr>
    </vt:vector>
  </TitlesOfParts>
  <Company>FBF</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20130219_Modèle note CCP</dc:title>
  <dc:creator>Astrid Delacour</dc:creator>
  <cp:lastModifiedBy>Quemon, Sarah</cp:lastModifiedBy>
  <cp:revision>3</cp:revision>
  <dcterms:created xsi:type="dcterms:W3CDTF">2014-06-06T13:46:00Z</dcterms:created>
  <dcterms:modified xsi:type="dcterms:W3CDTF">2014-06-06T15:09:00Z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0x010100896746B94AD448DA9595984F75CF467B00F639680D17A84023BA35009370E9241D003D496CB9AE0F41C2AE48B80E243D54B70044934E26438EEA4EA25894286F4FB046</vt:lpwstr>
  </property>
</Properties>
</file>