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BAB" w:rsidRDefault="00157BAB" w:rsidP="00E34A5F">
      <w:pPr>
        <w:spacing w:line="240" w:lineRule="auto"/>
        <w:rPr>
          <w:i/>
          <w:iCs/>
          <w:lang w:val="en-US"/>
        </w:rPr>
      </w:pPr>
    </w:p>
    <w:p w:rsidR="00E34A5F" w:rsidRDefault="00157BAB" w:rsidP="00E34A5F">
      <w:pPr>
        <w:spacing w:line="240" w:lineRule="auto"/>
        <w:rPr>
          <w:lang w:val="en-US"/>
        </w:rPr>
      </w:pPr>
      <w:r w:rsidRPr="00CA6F3F">
        <w:rPr>
          <w:b/>
          <w:iCs/>
          <w:u w:val="single"/>
          <w:lang w:val="en-US"/>
        </w:rPr>
        <w:t>Register of interest representatives</w:t>
      </w:r>
      <w:r w:rsidRPr="00683DD0">
        <w:rPr>
          <w:i/>
          <w:iCs/>
          <w:lang w:val="en-US"/>
        </w:rPr>
        <w:t xml:space="preserve"> - Crédit Agricole S.A</w:t>
      </w:r>
      <w:r w:rsidRPr="00683DD0">
        <w:rPr>
          <w:lang w:val="en-US"/>
        </w:rPr>
        <w:t>.: 35147251117-11</w:t>
      </w:r>
    </w:p>
    <w:p w:rsidR="00CA6F3F" w:rsidRPr="00CA6F3F" w:rsidRDefault="00CA6F3F" w:rsidP="00CA6F3F">
      <w:pPr>
        <w:spacing w:after="0" w:line="240" w:lineRule="auto"/>
        <w:rPr>
          <w:b/>
          <w:u w:val="single"/>
          <w:lang w:val="en-US"/>
        </w:rPr>
      </w:pPr>
      <w:r w:rsidRPr="00CA6F3F">
        <w:rPr>
          <w:b/>
          <w:u w:val="single"/>
          <w:lang w:val="en-US"/>
        </w:rPr>
        <w:t>Contact:</w:t>
      </w:r>
    </w:p>
    <w:p w:rsidR="00CA6F3F" w:rsidRPr="003875D5" w:rsidRDefault="00CA6F3F" w:rsidP="00CA6F3F">
      <w:pPr>
        <w:spacing w:after="0" w:line="240" w:lineRule="auto"/>
        <w:rPr>
          <w:lang w:val="en-US"/>
        </w:rPr>
      </w:pPr>
      <w:r w:rsidRPr="003875D5">
        <w:rPr>
          <w:lang w:val="en-US"/>
        </w:rPr>
        <w:t xml:space="preserve">François Galland - </w:t>
      </w:r>
      <w:hyperlink r:id="rId9" w:history="1">
        <w:r w:rsidRPr="003875D5">
          <w:rPr>
            <w:rStyle w:val="Lienhypertexte"/>
            <w:lang w:val="en-US"/>
          </w:rPr>
          <w:t>Francois.GALLAND@credit-agricole-sa.fr</w:t>
        </w:r>
      </w:hyperlink>
    </w:p>
    <w:p w:rsidR="00CA6F3F" w:rsidRDefault="00CA6F3F" w:rsidP="00CA6F3F">
      <w:pPr>
        <w:spacing w:after="0" w:line="240" w:lineRule="auto"/>
        <w:rPr>
          <w:lang w:val="en-US"/>
        </w:rPr>
      </w:pPr>
      <w:r>
        <w:rPr>
          <w:lang w:val="en-US"/>
        </w:rPr>
        <w:t>Head of</w:t>
      </w:r>
      <w:r w:rsidR="003875D5">
        <w:rPr>
          <w:lang w:val="en-US"/>
        </w:rPr>
        <w:t xml:space="preserve"> Group</w:t>
      </w:r>
      <w:bookmarkStart w:id="0" w:name="_GoBack"/>
      <w:bookmarkEnd w:id="0"/>
      <w:r>
        <w:rPr>
          <w:lang w:val="en-US"/>
        </w:rPr>
        <w:t xml:space="preserve"> Compensation &amp; Benefits</w:t>
      </w:r>
    </w:p>
    <w:p w:rsidR="00CA6F3F" w:rsidRPr="003875D5" w:rsidRDefault="00CA6F3F" w:rsidP="00CA6F3F">
      <w:pPr>
        <w:spacing w:after="0" w:line="240" w:lineRule="auto"/>
      </w:pPr>
      <w:r w:rsidRPr="003875D5">
        <w:t>Crédit Agricole S.A.</w:t>
      </w:r>
    </w:p>
    <w:p w:rsidR="00CA6F3F" w:rsidRPr="003875D5" w:rsidRDefault="00CA6F3F" w:rsidP="00E34A5F">
      <w:pPr>
        <w:spacing w:line="240" w:lineRule="auto"/>
      </w:pPr>
    </w:p>
    <w:p w:rsidR="00E34A5F" w:rsidRPr="003875D5" w:rsidRDefault="00E34A5F" w:rsidP="00DC18AE">
      <w:pPr>
        <w:spacing w:line="240" w:lineRule="auto"/>
        <w:ind w:firstLine="708"/>
        <w:jc w:val="center"/>
        <w:rPr>
          <w:rFonts w:cstheme="minorHAnsi"/>
          <w:b/>
          <w:color w:val="003399"/>
          <w:sz w:val="32"/>
          <w:szCs w:val="32"/>
          <w:u w:val="single"/>
        </w:rPr>
      </w:pPr>
      <w:r w:rsidRPr="003875D5">
        <w:rPr>
          <w:rFonts w:cstheme="minorHAnsi"/>
          <w:b/>
          <w:color w:val="003399"/>
          <w:sz w:val="32"/>
          <w:szCs w:val="32"/>
          <w:u w:val="single"/>
        </w:rPr>
        <w:t>Consultation paper </w:t>
      </w:r>
      <w:r w:rsidR="00CA6F3F" w:rsidRPr="003875D5">
        <w:rPr>
          <w:rFonts w:cstheme="minorHAnsi"/>
          <w:b/>
          <w:bCs/>
          <w:color w:val="003399"/>
          <w:sz w:val="32"/>
          <w:szCs w:val="32"/>
          <w:u w:val="single"/>
        </w:rPr>
        <w:t xml:space="preserve"> EBA/CP/2014/04</w:t>
      </w:r>
      <w:r w:rsidRPr="003875D5">
        <w:rPr>
          <w:rFonts w:cstheme="minorHAnsi"/>
          <w:b/>
          <w:color w:val="003399"/>
          <w:sz w:val="32"/>
          <w:szCs w:val="32"/>
          <w:u w:val="single"/>
        </w:rPr>
        <w:t>:</w:t>
      </w:r>
    </w:p>
    <w:p w:rsidR="00E34A5F" w:rsidRPr="00CA6F3F" w:rsidRDefault="00E34A5F" w:rsidP="00DC18AE">
      <w:pPr>
        <w:spacing w:line="240" w:lineRule="auto"/>
        <w:ind w:firstLine="708"/>
        <w:jc w:val="center"/>
        <w:rPr>
          <w:b/>
          <w:color w:val="003399"/>
          <w:sz w:val="32"/>
          <w:u w:val="single"/>
          <w:lang w:val="en-US"/>
        </w:rPr>
      </w:pPr>
      <w:r w:rsidRPr="00CA6F3F">
        <w:rPr>
          <w:b/>
          <w:color w:val="003399"/>
          <w:sz w:val="32"/>
          <w:u w:val="single"/>
          <w:lang w:val="en-US"/>
        </w:rPr>
        <w:t>“Draft guidelines on the remuneration benchmarking exercise”</w:t>
      </w:r>
    </w:p>
    <w:p w:rsidR="00E34A5F" w:rsidRDefault="00E34A5F" w:rsidP="00E34A5F">
      <w:pPr>
        <w:spacing w:line="240" w:lineRule="auto"/>
        <w:rPr>
          <w:lang w:val="en-US"/>
        </w:rPr>
      </w:pPr>
    </w:p>
    <w:p w:rsidR="00B4719E" w:rsidRPr="00B4719E" w:rsidRDefault="00B4719E" w:rsidP="00E34A5F">
      <w:pPr>
        <w:spacing w:line="240" w:lineRule="auto"/>
        <w:rPr>
          <w:b/>
          <w:sz w:val="24"/>
          <w:lang w:val="en-US"/>
        </w:rPr>
      </w:pPr>
      <w:r w:rsidRPr="00B4719E">
        <w:rPr>
          <w:b/>
          <w:sz w:val="24"/>
          <w:lang w:val="en-US"/>
        </w:rPr>
        <w:t>General Comment:</w:t>
      </w:r>
    </w:p>
    <w:p w:rsidR="00B728AE" w:rsidRDefault="00B728AE" w:rsidP="00E34A5F">
      <w:pPr>
        <w:spacing w:line="240" w:lineRule="auto"/>
        <w:rPr>
          <w:lang w:val="en-US"/>
        </w:rPr>
      </w:pPr>
      <w:r>
        <w:rPr>
          <w:lang w:val="en-US"/>
        </w:rPr>
        <w:t xml:space="preserve">We understand that </w:t>
      </w:r>
      <w:r w:rsidR="00B4719E">
        <w:rPr>
          <w:lang w:val="en-US"/>
        </w:rPr>
        <w:t xml:space="preserve">there will </w:t>
      </w:r>
      <w:r>
        <w:rPr>
          <w:lang w:val="en-US"/>
        </w:rPr>
        <w:t xml:space="preserve">now </w:t>
      </w:r>
      <w:r w:rsidR="00B4719E">
        <w:rPr>
          <w:lang w:val="en-US"/>
        </w:rPr>
        <w:t xml:space="preserve">be 4 </w:t>
      </w:r>
      <w:r>
        <w:rPr>
          <w:lang w:val="en-US"/>
        </w:rPr>
        <w:t xml:space="preserve">sets of information to be sent by institutions to </w:t>
      </w:r>
      <w:r w:rsidR="00B4719E">
        <w:rPr>
          <w:lang w:val="en-US"/>
        </w:rPr>
        <w:t>EBA</w:t>
      </w:r>
      <w:r w:rsidR="003F62B4" w:rsidRPr="003F62B4">
        <w:rPr>
          <w:lang w:val="en-US"/>
        </w:rPr>
        <w:t xml:space="preserve"> </w:t>
      </w:r>
      <w:r>
        <w:rPr>
          <w:lang w:val="en-US"/>
        </w:rPr>
        <w:t>for the purpose of benchmarking:</w:t>
      </w:r>
    </w:p>
    <w:p w:rsidR="00B728AE" w:rsidRDefault="00B728AE" w:rsidP="00B728AE">
      <w:pPr>
        <w:pStyle w:val="Paragraphedeliste"/>
        <w:numPr>
          <w:ilvl w:val="0"/>
          <w:numId w:val="10"/>
        </w:numPr>
        <w:spacing w:line="240" w:lineRule="auto"/>
        <w:rPr>
          <w:lang w:val="en-US"/>
        </w:rPr>
      </w:pPr>
      <w:r>
        <w:rPr>
          <w:lang w:val="en-US"/>
        </w:rPr>
        <w:t>Information on remuneration for all staff</w:t>
      </w:r>
    </w:p>
    <w:p w:rsidR="00B728AE" w:rsidRDefault="00B728AE" w:rsidP="00B728AE">
      <w:pPr>
        <w:pStyle w:val="Paragraphedeliste"/>
        <w:numPr>
          <w:ilvl w:val="0"/>
          <w:numId w:val="10"/>
        </w:numPr>
        <w:spacing w:line="240" w:lineRule="auto"/>
        <w:rPr>
          <w:lang w:val="en-US"/>
        </w:rPr>
      </w:pPr>
      <w:r>
        <w:rPr>
          <w:lang w:val="en-US"/>
        </w:rPr>
        <w:t>Information in remuneration for identified staff</w:t>
      </w:r>
    </w:p>
    <w:p w:rsidR="00B728AE" w:rsidRPr="00B728AE" w:rsidRDefault="00B728AE" w:rsidP="00B728AE">
      <w:pPr>
        <w:pStyle w:val="Paragraphedeliste"/>
        <w:numPr>
          <w:ilvl w:val="0"/>
          <w:numId w:val="10"/>
        </w:numPr>
        <w:spacing w:line="240" w:lineRule="auto"/>
        <w:rPr>
          <w:lang w:val="en-US"/>
        </w:rPr>
      </w:pPr>
      <w:r>
        <w:rPr>
          <w:lang w:val="en-US"/>
        </w:rPr>
        <w:t>Information on individuals remunerated EUR 1m or more</w:t>
      </w:r>
    </w:p>
    <w:p w:rsidR="00B728AE" w:rsidRPr="00B728AE" w:rsidRDefault="00B728AE" w:rsidP="00E34A5F">
      <w:pPr>
        <w:pStyle w:val="Paragraphedeliste"/>
        <w:numPr>
          <w:ilvl w:val="0"/>
          <w:numId w:val="10"/>
        </w:numPr>
        <w:spacing w:line="240" w:lineRule="auto"/>
        <w:rPr>
          <w:lang w:val="en-US"/>
        </w:rPr>
      </w:pPr>
      <w:r w:rsidRPr="00B728AE">
        <w:rPr>
          <w:lang w:val="en-US"/>
        </w:rPr>
        <w:t>High earners (both identified and non-identified staff)</w:t>
      </w:r>
    </w:p>
    <w:p w:rsidR="00B4719E" w:rsidRDefault="00B728AE" w:rsidP="00E34A5F">
      <w:pPr>
        <w:spacing w:line="240" w:lineRule="auto"/>
        <w:rPr>
          <w:lang w:val="en-US"/>
        </w:rPr>
      </w:pPr>
      <w:r>
        <w:rPr>
          <w:lang w:val="en-US"/>
        </w:rPr>
        <w:t>W</w:t>
      </w:r>
      <w:r w:rsidR="003F62B4">
        <w:rPr>
          <w:lang w:val="en-US"/>
        </w:rPr>
        <w:t xml:space="preserve">e notice that </w:t>
      </w:r>
      <w:r>
        <w:rPr>
          <w:lang w:val="en-US"/>
        </w:rPr>
        <w:t>perimeter of population (“all staff” VS “identified staff) and geography (EEA VS Worldwide) varies depending on the report.</w:t>
      </w:r>
      <w:r w:rsidR="009A0887">
        <w:rPr>
          <w:lang w:val="en-US"/>
        </w:rPr>
        <w:t xml:space="preserve"> We also notice that the information that should be provided is much more granular</w:t>
      </w:r>
      <w:r w:rsidR="00B20D59">
        <w:rPr>
          <w:lang w:val="en-US"/>
        </w:rPr>
        <w:t xml:space="preserve"> than in the 2012 and 2013 exercises</w:t>
      </w:r>
      <w:r w:rsidR="009A0887">
        <w:rPr>
          <w:lang w:val="en-US"/>
        </w:rPr>
        <w:t>, raising issues of confidentiality.</w:t>
      </w:r>
    </w:p>
    <w:p w:rsidR="00B728AE" w:rsidRDefault="009A0887" w:rsidP="00E34A5F">
      <w:pPr>
        <w:spacing w:line="240" w:lineRule="auto"/>
        <w:rPr>
          <w:lang w:val="en-US"/>
        </w:rPr>
      </w:pPr>
      <w:r>
        <w:rPr>
          <w:lang w:val="en-US"/>
        </w:rPr>
        <w:t>We therefore would like to express our concern regarding consistency of the information that will be provided, especially for high earners.</w:t>
      </w:r>
    </w:p>
    <w:p w:rsidR="00B728AE" w:rsidRDefault="00B728AE" w:rsidP="00E34A5F">
      <w:pPr>
        <w:spacing w:line="240" w:lineRule="auto"/>
        <w:rPr>
          <w:lang w:val="en-US"/>
        </w:rPr>
      </w:pPr>
    </w:p>
    <w:p w:rsidR="00E34A5F" w:rsidRDefault="00E34A5F" w:rsidP="00E34A5F">
      <w:pPr>
        <w:spacing w:line="240" w:lineRule="auto"/>
        <w:rPr>
          <w:lang w:val="en-US"/>
        </w:rPr>
      </w:pPr>
      <w:r>
        <w:rPr>
          <w:noProof/>
          <w:lang w:eastAsia="fr-FR"/>
        </w:rPr>
        <w:drawing>
          <wp:inline distT="0" distB="0" distL="0" distR="0">
            <wp:extent cx="6479540" cy="31429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9540" cy="314297"/>
                    </a:xfrm>
                    <a:prstGeom prst="rect">
                      <a:avLst/>
                    </a:prstGeom>
                    <a:noFill/>
                    <a:ln>
                      <a:noFill/>
                    </a:ln>
                  </pic:spPr>
                </pic:pic>
              </a:graphicData>
            </a:graphic>
          </wp:inline>
        </w:drawing>
      </w:r>
    </w:p>
    <w:p w:rsidR="00365FD6" w:rsidRDefault="00206006" w:rsidP="00206006">
      <w:pPr>
        <w:spacing w:line="240" w:lineRule="auto"/>
        <w:rPr>
          <w:lang w:val="en-US"/>
        </w:rPr>
      </w:pPr>
      <w:r w:rsidRPr="00206006">
        <w:rPr>
          <w:lang w:val="en-US"/>
        </w:rPr>
        <w:t>The scope of the guidelines is clear</w:t>
      </w:r>
      <w:r w:rsidR="00365FD6">
        <w:rPr>
          <w:lang w:val="en-US"/>
        </w:rPr>
        <w:t>.</w:t>
      </w:r>
    </w:p>
    <w:p w:rsidR="00206006" w:rsidRPr="00206006" w:rsidRDefault="00365FD6" w:rsidP="00206006">
      <w:pPr>
        <w:spacing w:line="240" w:lineRule="auto"/>
        <w:rPr>
          <w:lang w:val="en-US"/>
        </w:rPr>
      </w:pPr>
      <w:r>
        <w:rPr>
          <w:lang w:val="en-US"/>
        </w:rPr>
        <w:t>We notice that</w:t>
      </w:r>
      <w:r w:rsidR="00206006" w:rsidRPr="00206006">
        <w:rPr>
          <w:lang w:val="en-US"/>
        </w:rPr>
        <w:t xml:space="preserve"> the scope of </w:t>
      </w:r>
      <w:r>
        <w:rPr>
          <w:lang w:val="en-US"/>
        </w:rPr>
        <w:t>data</w:t>
      </w:r>
      <w:r w:rsidR="00206006" w:rsidRPr="00206006">
        <w:rPr>
          <w:lang w:val="en-US"/>
        </w:rPr>
        <w:t xml:space="preserve"> in Annex 1 for “all staff” goes beyond the CRD/CRR disclosure requirements.</w:t>
      </w:r>
      <w:r>
        <w:rPr>
          <w:lang w:val="en-US"/>
        </w:rPr>
        <w:br/>
      </w:r>
      <w:r w:rsidR="00206006" w:rsidRPr="00206006">
        <w:rPr>
          <w:lang w:val="en-US"/>
        </w:rPr>
        <w:t xml:space="preserve">Indeed, Article 75(1) of Directive 2013/36/EU states that competent authorities shall collect: </w:t>
      </w:r>
    </w:p>
    <w:p w:rsidR="00206006" w:rsidRPr="003B58D5" w:rsidRDefault="00206006" w:rsidP="003B58D5">
      <w:pPr>
        <w:pStyle w:val="Paragraphedeliste"/>
        <w:numPr>
          <w:ilvl w:val="0"/>
          <w:numId w:val="1"/>
        </w:numPr>
        <w:spacing w:line="240" w:lineRule="auto"/>
        <w:rPr>
          <w:lang w:val="en-US"/>
        </w:rPr>
      </w:pPr>
      <w:r w:rsidRPr="003B58D5">
        <w:rPr>
          <w:lang w:val="en-US"/>
        </w:rPr>
        <w:t xml:space="preserve">the information disclosed in accordance with the criteria for disclosure established in points (g), (h) and (i) of Article 450(1) of Regulation (EU) No 575/2013 and shall use it to benchmark remuneration trends and practices, and </w:t>
      </w:r>
    </w:p>
    <w:p w:rsidR="00206006" w:rsidRPr="003B58D5" w:rsidRDefault="00206006" w:rsidP="003B58D5">
      <w:pPr>
        <w:pStyle w:val="Paragraphedeliste"/>
        <w:numPr>
          <w:ilvl w:val="0"/>
          <w:numId w:val="1"/>
        </w:numPr>
        <w:spacing w:line="240" w:lineRule="auto"/>
        <w:rPr>
          <w:lang w:val="en-US"/>
        </w:rPr>
      </w:pPr>
      <w:r w:rsidRPr="003B58D5">
        <w:rPr>
          <w:lang w:val="en-US"/>
        </w:rPr>
        <w:t xml:space="preserve">information on the number of employees per institution that are remunerated EUR 1 million or more per financial year, in pay brackets of EUR 1 million, including their job responsibilities, the business area involved and the main elements of salary, bonus, long-term award and pension contribution. </w:t>
      </w:r>
    </w:p>
    <w:p w:rsidR="00365FD6" w:rsidRDefault="00206006" w:rsidP="00206006">
      <w:pPr>
        <w:spacing w:line="240" w:lineRule="auto"/>
        <w:rPr>
          <w:lang w:val="en-US"/>
        </w:rPr>
      </w:pPr>
      <w:r w:rsidRPr="00206006">
        <w:rPr>
          <w:lang w:val="en-US"/>
        </w:rPr>
        <w:t>EBA has never addressed the objectives and benefits of collecting re</w:t>
      </w:r>
      <w:r w:rsidR="00F9520C">
        <w:rPr>
          <w:lang w:val="en-US"/>
        </w:rPr>
        <w:t>muneration data for “all staff</w:t>
      </w:r>
      <w:r w:rsidR="006329D9">
        <w:rPr>
          <w:lang w:val="en-US"/>
        </w:rPr>
        <w:t>”</w:t>
      </w:r>
      <w:r w:rsidR="00F9520C">
        <w:rPr>
          <w:lang w:val="en-US"/>
        </w:rPr>
        <w:t xml:space="preserve"> and we do not see how it will allow stakeholder to have a better asses</w:t>
      </w:r>
      <w:r w:rsidR="001007FE">
        <w:rPr>
          <w:lang w:val="en-US"/>
        </w:rPr>
        <w:t>s</w:t>
      </w:r>
      <w:r w:rsidR="00F9520C">
        <w:rPr>
          <w:lang w:val="en-US"/>
        </w:rPr>
        <w:t xml:space="preserve"> on remuneration principles.</w:t>
      </w:r>
    </w:p>
    <w:p w:rsidR="00E34A5F" w:rsidRDefault="00E34A5F" w:rsidP="00E34A5F">
      <w:pPr>
        <w:spacing w:line="240" w:lineRule="auto"/>
        <w:rPr>
          <w:lang w:val="en-US"/>
        </w:rPr>
      </w:pPr>
      <w:r>
        <w:rPr>
          <w:noProof/>
          <w:lang w:eastAsia="fr-FR"/>
        </w:rPr>
        <w:lastRenderedPageBreak/>
        <w:drawing>
          <wp:inline distT="0" distB="0" distL="0" distR="0">
            <wp:extent cx="6479540" cy="543031"/>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9540" cy="543031"/>
                    </a:xfrm>
                    <a:prstGeom prst="rect">
                      <a:avLst/>
                    </a:prstGeom>
                    <a:noFill/>
                    <a:ln>
                      <a:noFill/>
                    </a:ln>
                  </pic:spPr>
                </pic:pic>
              </a:graphicData>
            </a:graphic>
          </wp:inline>
        </w:drawing>
      </w:r>
    </w:p>
    <w:p w:rsidR="00206006" w:rsidRDefault="00206006" w:rsidP="00206006">
      <w:pPr>
        <w:spacing w:line="240" w:lineRule="auto"/>
        <w:rPr>
          <w:lang w:val="en-US"/>
        </w:rPr>
      </w:pPr>
      <w:r w:rsidRPr="00206006">
        <w:rPr>
          <w:lang w:val="en-US"/>
        </w:rPr>
        <w:t>The scope of institutions to be included in the exercise is clear</w:t>
      </w:r>
      <w:r w:rsidR="00264453">
        <w:rPr>
          <w:lang w:val="en-US"/>
        </w:rPr>
        <w:t>.</w:t>
      </w:r>
      <w:r w:rsidR="00F9520C">
        <w:rPr>
          <w:lang w:val="en-US"/>
        </w:rPr>
        <w:br/>
      </w:r>
      <w:r w:rsidR="00264453">
        <w:rPr>
          <w:lang w:val="en-US"/>
        </w:rPr>
        <w:t xml:space="preserve">None of EEA subsidiaries </w:t>
      </w:r>
      <w:r w:rsidR="00F9520C">
        <w:rPr>
          <w:lang w:val="en-US"/>
        </w:rPr>
        <w:t xml:space="preserve">from an EEA institution </w:t>
      </w:r>
      <w:r w:rsidR="00264453">
        <w:rPr>
          <w:lang w:val="en-US"/>
        </w:rPr>
        <w:t>should be consulted directly by its local competent authority.</w:t>
      </w:r>
    </w:p>
    <w:p w:rsidR="00B20D59" w:rsidRDefault="00B20D59" w:rsidP="00206006">
      <w:pPr>
        <w:spacing w:line="240" w:lineRule="auto"/>
        <w:rPr>
          <w:lang w:val="en-US"/>
        </w:rPr>
      </w:pPr>
    </w:p>
    <w:p w:rsidR="00E34A5F" w:rsidRDefault="00E34A5F" w:rsidP="00E34A5F">
      <w:pPr>
        <w:spacing w:line="240" w:lineRule="auto"/>
        <w:rPr>
          <w:lang w:val="en-US"/>
        </w:rPr>
      </w:pPr>
      <w:r>
        <w:rPr>
          <w:noProof/>
          <w:lang w:eastAsia="fr-FR"/>
        </w:rPr>
        <w:drawing>
          <wp:inline distT="0" distB="0" distL="0" distR="0">
            <wp:extent cx="6479540" cy="32736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9540" cy="327364"/>
                    </a:xfrm>
                    <a:prstGeom prst="rect">
                      <a:avLst/>
                    </a:prstGeom>
                    <a:noFill/>
                    <a:ln>
                      <a:noFill/>
                    </a:ln>
                  </pic:spPr>
                </pic:pic>
              </a:graphicData>
            </a:graphic>
          </wp:inline>
        </w:drawing>
      </w:r>
    </w:p>
    <w:p w:rsidR="00E87A7C" w:rsidRDefault="00E87A7C" w:rsidP="00E34A5F">
      <w:pPr>
        <w:spacing w:line="240" w:lineRule="auto"/>
        <w:rPr>
          <w:lang w:val="en-US"/>
        </w:rPr>
      </w:pPr>
      <w:r w:rsidRPr="00E87A7C">
        <w:rPr>
          <w:lang w:val="en-US"/>
        </w:rPr>
        <w:t>The requirement to report at the highest consolidated level is welcome</w:t>
      </w:r>
      <w:r>
        <w:rPr>
          <w:lang w:val="en-US"/>
        </w:rPr>
        <w:t>.</w:t>
      </w:r>
      <w:r>
        <w:rPr>
          <w:lang w:val="en-US"/>
        </w:rPr>
        <w:br/>
        <w:t xml:space="preserve">EEA subsidiaries are consequently exempt </w:t>
      </w:r>
      <w:r w:rsidR="00913AAD">
        <w:rPr>
          <w:lang w:val="en-US"/>
        </w:rPr>
        <w:t>to realize this report even if, for annex 2 on “identified staff”, regulated perimeter between Group and subsidiaries might be different due to definition and application implemented by local competent authorities.</w:t>
      </w:r>
    </w:p>
    <w:p w:rsidR="00E34A5F" w:rsidRDefault="00E34A5F" w:rsidP="00E34A5F">
      <w:pPr>
        <w:spacing w:line="240" w:lineRule="auto"/>
        <w:rPr>
          <w:lang w:val="en-US"/>
        </w:rPr>
      </w:pPr>
    </w:p>
    <w:p w:rsidR="00E34A5F" w:rsidRPr="00E34A5F" w:rsidRDefault="00E34A5F" w:rsidP="00E34A5F">
      <w:pPr>
        <w:spacing w:line="240" w:lineRule="auto"/>
        <w:rPr>
          <w:lang w:val="en-US"/>
        </w:rPr>
      </w:pPr>
      <w:r>
        <w:rPr>
          <w:noProof/>
          <w:lang w:eastAsia="fr-FR"/>
        </w:rPr>
        <w:drawing>
          <wp:inline distT="0" distB="0" distL="0" distR="0">
            <wp:extent cx="6479540" cy="304787"/>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9540" cy="304787"/>
                    </a:xfrm>
                    <a:prstGeom prst="rect">
                      <a:avLst/>
                    </a:prstGeom>
                    <a:noFill/>
                    <a:ln>
                      <a:noFill/>
                    </a:ln>
                  </pic:spPr>
                </pic:pic>
              </a:graphicData>
            </a:graphic>
          </wp:inline>
        </w:drawing>
      </w:r>
    </w:p>
    <w:p w:rsidR="006329D9" w:rsidRPr="006329D9" w:rsidRDefault="006329D9" w:rsidP="006329D9">
      <w:pPr>
        <w:rPr>
          <w:lang w:val="en-US"/>
        </w:rPr>
      </w:pPr>
      <w:r>
        <w:rPr>
          <w:lang w:val="en-US"/>
        </w:rPr>
        <w:t xml:space="preserve">Information required is more extensive than set by </w:t>
      </w:r>
      <w:r w:rsidRPr="006329D9">
        <w:rPr>
          <w:lang w:val="en-US"/>
        </w:rPr>
        <w:t>Article 75(1) of Directive 2013/36/EU</w:t>
      </w:r>
      <w:r w:rsidR="000A58FC">
        <w:rPr>
          <w:lang w:val="en-US"/>
        </w:rPr>
        <w:t>.</w:t>
      </w:r>
      <w:r w:rsidR="000A58FC">
        <w:rPr>
          <w:lang w:val="en-US"/>
        </w:rPr>
        <w:br/>
        <w:t>Indeed, in annex 1 and 3</w:t>
      </w:r>
      <w:r>
        <w:rPr>
          <w:lang w:val="en-US"/>
        </w:rPr>
        <w:t>, required perimeter is not focus on “identified staff” but on “all staff” which is neither consistent nor practical compare to report on “identified staff” prepared currently made public by institutions.</w:t>
      </w:r>
    </w:p>
    <w:p w:rsidR="00E34A5F" w:rsidRDefault="00E34A5F" w:rsidP="00E34A5F">
      <w:pPr>
        <w:spacing w:line="240" w:lineRule="auto"/>
        <w:rPr>
          <w:lang w:val="en-US"/>
        </w:rPr>
      </w:pPr>
    </w:p>
    <w:p w:rsidR="00E34A5F" w:rsidRDefault="00E34A5F" w:rsidP="00E34A5F">
      <w:pPr>
        <w:spacing w:line="240" w:lineRule="auto"/>
        <w:rPr>
          <w:lang w:val="en-US"/>
        </w:rPr>
      </w:pPr>
      <w:r>
        <w:rPr>
          <w:noProof/>
          <w:lang w:eastAsia="fr-FR"/>
        </w:rPr>
        <w:drawing>
          <wp:inline distT="0" distB="0" distL="0" distR="0">
            <wp:extent cx="6479540" cy="1041503"/>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9540" cy="1041503"/>
                    </a:xfrm>
                    <a:prstGeom prst="rect">
                      <a:avLst/>
                    </a:prstGeom>
                    <a:noFill/>
                    <a:ln>
                      <a:noFill/>
                    </a:ln>
                  </pic:spPr>
                </pic:pic>
              </a:graphicData>
            </a:graphic>
          </wp:inline>
        </w:drawing>
      </w:r>
    </w:p>
    <w:p w:rsidR="001007FE" w:rsidRDefault="00206006" w:rsidP="00206006">
      <w:pPr>
        <w:spacing w:line="240" w:lineRule="auto"/>
        <w:rPr>
          <w:lang w:val="en-US"/>
        </w:rPr>
      </w:pPr>
      <w:r>
        <w:rPr>
          <w:lang w:val="en-US"/>
        </w:rPr>
        <w:t xml:space="preserve">Q5 : </w:t>
      </w:r>
    </w:p>
    <w:p w:rsidR="001007FE" w:rsidRDefault="001007FE" w:rsidP="00206006">
      <w:pPr>
        <w:spacing w:line="240" w:lineRule="auto"/>
        <w:rPr>
          <w:lang w:val="en-US"/>
        </w:rPr>
      </w:pPr>
      <w:r>
        <w:rPr>
          <w:lang w:val="en-US"/>
        </w:rPr>
        <w:t>Several comments:</w:t>
      </w:r>
    </w:p>
    <w:p w:rsidR="001007FE" w:rsidRDefault="001007FE" w:rsidP="001007FE">
      <w:pPr>
        <w:pStyle w:val="Paragraphedeliste"/>
        <w:numPr>
          <w:ilvl w:val="0"/>
          <w:numId w:val="9"/>
        </w:numPr>
        <w:spacing w:line="240" w:lineRule="auto"/>
        <w:rPr>
          <w:lang w:val="en-US"/>
        </w:rPr>
      </w:pPr>
      <w:r>
        <w:rPr>
          <w:lang w:val="en-US"/>
        </w:rPr>
        <w:t>Regarding perimeter, see comments on Q1 and Q4</w:t>
      </w:r>
    </w:p>
    <w:p w:rsidR="006D2572" w:rsidRDefault="001007FE" w:rsidP="001007FE">
      <w:pPr>
        <w:pStyle w:val="Paragraphedeliste"/>
        <w:numPr>
          <w:ilvl w:val="0"/>
          <w:numId w:val="9"/>
        </w:numPr>
        <w:spacing w:line="240" w:lineRule="auto"/>
        <w:rPr>
          <w:lang w:val="en-US"/>
        </w:rPr>
      </w:pPr>
      <w:r>
        <w:rPr>
          <w:lang w:val="en-US"/>
        </w:rPr>
        <w:t xml:space="preserve">Regarding breakdown by activities, </w:t>
      </w:r>
    </w:p>
    <w:p w:rsidR="001007FE" w:rsidRDefault="001007FE" w:rsidP="006D2572">
      <w:pPr>
        <w:pStyle w:val="Paragraphedeliste"/>
        <w:numPr>
          <w:ilvl w:val="1"/>
          <w:numId w:val="9"/>
        </w:numPr>
        <w:spacing w:line="240" w:lineRule="auto"/>
        <w:rPr>
          <w:lang w:val="en-US"/>
        </w:rPr>
      </w:pPr>
      <w:r>
        <w:rPr>
          <w:lang w:val="en-US"/>
        </w:rPr>
        <w:t xml:space="preserve">first, </w:t>
      </w:r>
      <w:r w:rsidRPr="001007FE">
        <w:rPr>
          <w:lang w:val="en-US"/>
        </w:rPr>
        <w:t>MB Supervisory function and MB Management function</w:t>
      </w:r>
      <w:r>
        <w:rPr>
          <w:lang w:val="en-US"/>
        </w:rPr>
        <w:t xml:space="preserve"> categories are not enough clear and might not be relevant: persons concerned could be in both categories and most of them do not received a remuneration but only attendance fees.</w:t>
      </w:r>
      <w:r w:rsidR="006D2572">
        <w:rPr>
          <w:lang w:val="en-US"/>
        </w:rPr>
        <w:t xml:space="preserve"> </w:t>
      </w:r>
    </w:p>
    <w:p w:rsidR="006D2572" w:rsidRDefault="006D2572" w:rsidP="006D2572">
      <w:pPr>
        <w:pStyle w:val="Paragraphedeliste"/>
        <w:numPr>
          <w:ilvl w:val="1"/>
          <w:numId w:val="9"/>
        </w:numPr>
        <w:spacing w:line="240" w:lineRule="auto"/>
        <w:rPr>
          <w:lang w:val="en-US"/>
        </w:rPr>
      </w:pPr>
      <w:r>
        <w:rPr>
          <w:lang w:val="en-US"/>
        </w:rPr>
        <w:t>Secondly, business categories are not enough clear because activities like private banking or lending could be reported in several categories. Moreover, such breakdown depends on choice of organization of each institution and comparison between institutions may not be consistent</w:t>
      </w:r>
      <w:r w:rsidR="00667786">
        <w:rPr>
          <w:lang w:val="en-US"/>
        </w:rPr>
        <w:t>.</w:t>
      </w:r>
    </w:p>
    <w:p w:rsidR="006D2572" w:rsidRDefault="006D2572" w:rsidP="00667786">
      <w:pPr>
        <w:pStyle w:val="Paragraphedeliste"/>
        <w:numPr>
          <w:ilvl w:val="1"/>
          <w:numId w:val="9"/>
        </w:numPr>
        <w:spacing w:line="240" w:lineRule="auto"/>
        <w:rPr>
          <w:lang w:val="en-US"/>
        </w:rPr>
      </w:pPr>
      <w:r>
        <w:rPr>
          <w:lang w:val="en-US"/>
        </w:rPr>
        <w:t>Thirdly, Asset management is governed by another directive than CRD4</w:t>
      </w:r>
      <w:r w:rsidR="00667786">
        <w:rPr>
          <w:lang w:val="en-US"/>
        </w:rPr>
        <w:t>. I</w:t>
      </w:r>
      <w:r w:rsidR="00667786" w:rsidRPr="00667786">
        <w:rPr>
          <w:lang w:val="en-US"/>
        </w:rPr>
        <w:t>t is therefore questionable to include</w:t>
      </w:r>
      <w:r w:rsidR="00667786">
        <w:rPr>
          <w:lang w:val="en-US"/>
        </w:rPr>
        <w:t xml:space="preserve"> it annex 1 and at least specification should include expected information (top management covered by CRD4?)</w:t>
      </w:r>
    </w:p>
    <w:p w:rsidR="006D2572" w:rsidRDefault="006D2572" w:rsidP="007B5F93">
      <w:pPr>
        <w:pStyle w:val="Paragraphedeliste"/>
        <w:numPr>
          <w:ilvl w:val="1"/>
          <w:numId w:val="9"/>
        </w:numPr>
        <w:spacing w:line="240" w:lineRule="auto"/>
        <w:rPr>
          <w:lang w:val="en-US"/>
        </w:rPr>
      </w:pPr>
      <w:r>
        <w:rPr>
          <w:lang w:val="en-US"/>
        </w:rPr>
        <w:t>Quarterly,</w:t>
      </w:r>
      <w:r w:rsidR="00667786">
        <w:rPr>
          <w:lang w:val="en-US"/>
        </w:rPr>
        <w:t xml:space="preserve"> information on control function, highly complicated data collect for institutions because it forced </w:t>
      </w:r>
      <w:r w:rsidR="007B5F93">
        <w:rPr>
          <w:lang w:val="en-US"/>
        </w:rPr>
        <w:t xml:space="preserve">them </w:t>
      </w:r>
      <w:r w:rsidR="00667786">
        <w:rPr>
          <w:lang w:val="en-US"/>
        </w:rPr>
        <w:t xml:space="preserve">to collect information no more by subsidiaries but by activities of each subsidiary.  </w:t>
      </w:r>
      <w:r w:rsidR="007B5F93">
        <w:rPr>
          <w:lang w:val="en-US"/>
        </w:rPr>
        <w:t xml:space="preserve">Due to that </w:t>
      </w:r>
      <w:r w:rsidR="007B5F93" w:rsidRPr="007B5F93">
        <w:rPr>
          <w:lang w:val="en-US"/>
        </w:rPr>
        <w:t>comparison between institutions may not be consistent</w:t>
      </w:r>
      <w:r w:rsidR="007B5F93">
        <w:rPr>
          <w:lang w:val="en-US"/>
        </w:rPr>
        <w:t>.</w:t>
      </w:r>
    </w:p>
    <w:p w:rsidR="001007FE" w:rsidRDefault="001007FE" w:rsidP="001007FE">
      <w:pPr>
        <w:pStyle w:val="Paragraphedeliste"/>
        <w:numPr>
          <w:ilvl w:val="0"/>
          <w:numId w:val="9"/>
        </w:numPr>
        <w:spacing w:line="240" w:lineRule="auto"/>
        <w:rPr>
          <w:lang w:val="en-US"/>
        </w:rPr>
      </w:pPr>
      <w:r>
        <w:rPr>
          <w:lang w:val="en-US"/>
        </w:rPr>
        <w:t xml:space="preserve">Regarding required detailed </w:t>
      </w:r>
      <w:r w:rsidRPr="00206006">
        <w:rPr>
          <w:lang w:val="en-US"/>
        </w:rPr>
        <w:t>information on remuneration</w:t>
      </w:r>
      <w:r>
        <w:rPr>
          <w:lang w:val="en-US"/>
        </w:rPr>
        <w:t xml:space="preserve">, </w:t>
      </w:r>
      <w:r w:rsidR="002F1879">
        <w:rPr>
          <w:lang w:val="en-US"/>
        </w:rPr>
        <w:t xml:space="preserve">it might be not relevant to include employer contribution, </w:t>
      </w:r>
    </w:p>
    <w:p w:rsidR="002F1879" w:rsidRDefault="002F1879" w:rsidP="002F1879">
      <w:pPr>
        <w:pStyle w:val="Paragraphedeliste"/>
        <w:numPr>
          <w:ilvl w:val="1"/>
          <w:numId w:val="9"/>
        </w:numPr>
        <w:spacing w:line="240" w:lineRule="auto"/>
        <w:rPr>
          <w:lang w:val="en-US"/>
        </w:rPr>
      </w:pPr>
      <w:r>
        <w:rPr>
          <w:lang w:val="en-US"/>
        </w:rPr>
        <w:t>Firstly, breakdown between mandatory and non-mandatory contributions complicate data collect for institutions.</w:t>
      </w:r>
    </w:p>
    <w:p w:rsidR="002F1879" w:rsidRPr="001007FE" w:rsidRDefault="002F1879" w:rsidP="00B038A6">
      <w:pPr>
        <w:pStyle w:val="Paragraphedeliste"/>
        <w:numPr>
          <w:ilvl w:val="1"/>
          <w:numId w:val="9"/>
        </w:numPr>
        <w:spacing w:line="240" w:lineRule="auto"/>
        <w:rPr>
          <w:lang w:val="en-US"/>
        </w:rPr>
      </w:pPr>
      <w:r>
        <w:rPr>
          <w:lang w:val="en-US"/>
        </w:rPr>
        <w:t>Secondly,</w:t>
      </w:r>
      <w:r w:rsidR="00B038A6">
        <w:rPr>
          <w:lang w:val="en-US"/>
        </w:rPr>
        <w:t xml:space="preserve"> employer contributions and specifically mandatory ones highly depend of local social security systems. </w:t>
      </w:r>
      <w:r w:rsidR="00B038A6" w:rsidRPr="00B038A6">
        <w:rPr>
          <w:lang w:val="en-US"/>
        </w:rPr>
        <w:t>Due to that comparison between institutions</w:t>
      </w:r>
      <w:r w:rsidR="00B038A6">
        <w:rPr>
          <w:lang w:val="en-US"/>
        </w:rPr>
        <w:t xml:space="preserve"> or subsidiaries of an institution </w:t>
      </w:r>
      <w:r w:rsidR="00B038A6" w:rsidRPr="00B038A6">
        <w:rPr>
          <w:lang w:val="en-US"/>
        </w:rPr>
        <w:t>may not be consistent</w:t>
      </w:r>
      <w:r w:rsidR="00B038A6">
        <w:rPr>
          <w:lang w:val="en-US"/>
        </w:rPr>
        <w:t>. Furthermore, non-mandatory contribution</w:t>
      </w:r>
      <w:r w:rsidR="00DE1E05">
        <w:rPr>
          <w:lang w:val="en-US"/>
        </w:rPr>
        <w:t>s</w:t>
      </w:r>
      <w:r w:rsidR="00B038A6">
        <w:rPr>
          <w:lang w:val="en-US"/>
        </w:rPr>
        <w:t xml:space="preserve"> for institutions or subsidiaries in country</w:t>
      </w:r>
      <w:r w:rsidR="00DE1E05">
        <w:rPr>
          <w:lang w:val="en-US"/>
        </w:rPr>
        <w:t xml:space="preserve"> with low national social security system compensate mandatory contributions for institutions or subsidiaries in country with high national social security system.</w:t>
      </w:r>
    </w:p>
    <w:p w:rsidR="00206006" w:rsidRPr="00206006" w:rsidRDefault="00206006" w:rsidP="00206006">
      <w:pPr>
        <w:spacing w:line="240" w:lineRule="auto"/>
        <w:rPr>
          <w:lang w:val="en-US"/>
        </w:rPr>
      </w:pPr>
      <w:r w:rsidRPr="00206006">
        <w:rPr>
          <w:lang w:val="en-US"/>
        </w:rPr>
        <w:t>Consequently, we suggest:</w:t>
      </w:r>
    </w:p>
    <w:p w:rsidR="00DE1E05" w:rsidRDefault="00DE1E05" w:rsidP="00206006">
      <w:pPr>
        <w:pStyle w:val="Paragraphedeliste"/>
        <w:numPr>
          <w:ilvl w:val="0"/>
          <w:numId w:val="5"/>
        </w:numPr>
        <w:spacing w:line="240" w:lineRule="auto"/>
        <w:rPr>
          <w:lang w:val="en-US"/>
        </w:rPr>
      </w:pPr>
      <w:r>
        <w:rPr>
          <w:lang w:val="en-US"/>
        </w:rPr>
        <w:t xml:space="preserve">To </w:t>
      </w:r>
      <w:r w:rsidR="00206006" w:rsidRPr="003B58D5">
        <w:rPr>
          <w:lang w:val="en-US"/>
        </w:rPr>
        <w:t>exclud</w:t>
      </w:r>
      <w:r>
        <w:rPr>
          <w:lang w:val="en-US"/>
        </w:rPr>
        <w:t>e</w:t>
      </w:r>
      <w:r w:rsidR="00206006" w:rsidRPr="003B58D5">
        <w:rPr>
          <w:lang w:val="en-US"/>
        </w:rPr>
        <w:t xml:space="preserve"> employer contributions </w:t>
      </w:r>
      <w:r>
        <w:rPr>
          <w:lang w:val="en-US"/>
        </w:rPr>
        <w:t>from required information</w:t>
      </w:r>
    </w:p>
    <w:p w:rsidR="00E34A5F" w:rsidRPr="00DE1E05" w:rsidRDefault="00DE1E05" w:rsidP="00206006">
      <w:pPr>
        <w:pStyle w:val="Paragraphedeliste"/>
        <w:numPr>
          <w:ilvl w:val="0"/>
          <w:numId w:val="5"/>
        </w:numPr>
        <w:spacing w:line="240" w:lineRule="auto"/>
        <w:rPr>
          <w:lang w:val="en-US"/>
        </w:rPr>
      </w:pPr>
      <w:r>
        <w:rPr>
          <w:lang w:val="en-US"/>
        </w:rPr>
        <w:t xml:space="preserve">To </w:t>
      </w:r>
      <w:r w:rsidRPr="00DE1E05">
        <w:rPr>
          <w:lang w:val="en-US"/>
        </w:rPr>
        <w:t>keep</w:t>
      </w:r>
      <w:r w:rsidR="00206006" w:rsidRPr="00DE1E05">
        <w:rPr>
          <w:lang w:val="en-US"/>
        </w:rPr>
        <w:t xml:space="preserve"> the breakdown of the preceding templates.</w:t>
      </w:r>
    </w:p>
    <w:p w:rsidR="00206006" w:rsidRDefault="00206006" w:rsidP="000A58FC">
      <w:pPr>
        <w:spacing w:line="240" w:lineRule="auto"/>
        <w:rPr>
          <w:lang w:val="en-US"/>
        </w:rPr>
      </w:pPr>
      <w:r>
        <w:rPr>
          <w:lang w:val="en-US"/>
        </w:rPr>
        <w:t xml:space="preserve">Q6 : </w:t>
      </w:r>
    </w:p>
    <w:p w:rsidR="000A58FC" w:rsidRDefault="000A58FC" w:rsidP="000A58FC">
      <w:pPr>
        <w:spacing w:line="240" w:lineRule="auto"/>
        <w:rPr>
          <w:lang w:val="en-US"/>
        </w:rPr>
      </w:pPr>
      <w:r>
        <w:rPr>
          <w:lang w:val="en-US"/>
        </w:rPr>
        <w:t>See comments on Q5 on breakdown by activities</w:t>
      </w:r>
    </w:p>
    <w:p w:rsidR="00FD6F39" w:rsidRDefault="00206006" w:rsidP="00FD6F39">
      <w:pPr>
        <w:spacing w:line="240" w:lineRule="auto"/>
        <w:rPr>
          <w:lang w:val="en-US"/>
        </w:rPr>
      </w:pPr>
      <w:r>
        <w:rPr>
          <w:lang w:val="en-US"/>
        </w:rPr>
        <w:t xml:space="preserve">Q7 : </w:t>
      </w:r>
    </w:p>
    <w:p w:rsidR="00FD6F39" w:rsidRDefault="00FD6F39" w:rsidP="00FD6F39">
      <w:pPr>
        <w:spacing w:line="240" w:lineRule="auto"/>
        <w:rPr>
          <w:lang w:val="en-US"/>
        </w:rPr>
      </w:pPr>
      <w:r>
        <w:rPr>
          <w:lang w:val="en-US"/>
        </w:rPr>
        <w:t>Several comments:</w:t>
      </w:r>
    </w:p>
    <w:p w:rsidR="00FD6F39" w:rsidRDefault="00FD6F39" w:rsidP="00FD6F39">
      <w:pPr>
        <w:pStyle w:val="Paragraphedeliste"/>
        <w:numPr>
          <w:ilvl w:val="0"/>
          <w:numId w:val="9"/>
        </w:numPr>
        <w:spacing w:line="240" w:lineRule="auto"/>
        <w:rPr>
          <w:lang w:val="en-US"/>
        </w:rPr>
      </w:pPr>
      <w:r>
        <w:rPr>
          <w:lang w:val="en-US"/>
        </w:rPr>
        <w:t>Regarding perimeter, see comments on Q1 and Q4</w:t>
      </w:r>
    </w:p>
    <w:p w:rsidR="00FD6F39" w:rsidRDefault="00FD6F39" w:rsidP="00FD6F39">
      <w:pPr>
        <w:pStyle w:val="Paragraphedeliste"/>
        <w:numPr>
          <w:ilvl w:val="0"/>
          <w:numId w:val="9"/>
        </w:numPr>
        <w:spacing w:line="240" w:lineRule="auto"/>
        <w:rPr>
          <w:lang w:val="en-US"/>
        </w:rPr>
      </w:pPr>
      <w:r>
        <w:rPr>
          <w:lang w:val="en-US"/>
        </w:rPr>
        <w:t>Regarding remuneration data, no specification precise elements included in remuneration used to define payment band (severance pay, employer contributions,…).</w:t>
      </w:r>
    </w:p>
    <w:p w:rsidR="00206006" w:rsidRDefault="00206006" w:rsidP="00206006">
      <w:pPr>
        <w:spacing w:line="240" w:lineRule="auto"/>
        <w:rPr>
          <w:lang w:val="en-US"/>
        </w:rPr>
      </w:pPr>
    </w:p>
    <w:p w:rsidR="00E34A5F" w:rsidRDefault="00E34A5F" w:rsidP="00E34A5F">
      <w:pPr>
        <w:spacing w:line="240" w:lineRule="auto"/>
        <w:rPr>
          <w:lang w:val="en-US"/>
        </w:rPr>
      </w:pPr>
      <w:r>
        <w:rPr>
          <w:noProof/>
          <w:lang w:eastAsia="fr-FR"/>
        </w:rPr>
        <w:drawing>
          <wp:inline distT="0" distB="0" distL="0" distR="0">
            <wp:extent cx="6479540" cy="528178"/>
            <wp:effectExtent l="0" t="0" r="0"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9540" cy="528178"/>
                    </a:xfrm>
                    <a:prstGeom prst="rect">
                      <a:avLst/>
                    </a:prstGeom>
                    <a:noFill/>
                    <a:ln>
                      <a:noFill/>
                    </a:ln>
                  </pic:spPr>
                </pic:pic>
              </a:graphicData>
            </a:graphic>
          </wp:inline>
        </w:drawing>
      </w:r>
    </w:p>
    <w:p w:rsidR="00E34A5F" w:rsidRPr="00E34A5F" w:rsidRDefault="00FD6F39" w:rsidP="00E34A5F">
      <w:pPr>
        <w:spacing w:line="240" w:lineRule="auto"/>
        <w:rPr>
          <w:lang w:val="en-US"/>
        </w:rPr>
      </w:pPr>
      <w:r>
        <w:rPr>
          <w:lang w:val="en-US"/>
        </w:rPr>
        <w:t>See comments on Q5 (</w:t>
      </w:r>
      <w:r w:rsidRPr="00FD6F39">
        <w:rPr>
          <w:lang w:val="en-US"/>
        </w:rPr>
        <w:t>detailed information on remuneration</w:t>
      </w:r>
      <w:r>
        <w:rPr>
          <w:lang w:val="en-US"/>
        </w:rPr>
        <w:t>) and on Q7 (remuneration data).</w:t>
      </w:r>
      <w:r w:rsidR="00716497">
        <w:rPr>
          <w:lang w:val="en-US"/>
        </w:rPr>
        <w:br/>
        <w:t>Regarding level of required information, amounts could be reported in million or kilo euros</w:t>
      </w:r>
      <w:r w:rsidR="00206006" w:rsidRPr="00206006">
        <w:rPr>
          <w:lang w:val="en-US"/>
        </w:rPr>
        <w:t>.</w:t>
      </w:r>
    </w:p>
    <w:p w:rsidR="00E34A5F" w:rsidRDefault="00E34A5F" w:rsidP="00E34A5F">
      <w:pPr>
        <w:spacing w:line="240" w:lineRule="auto"/>
        <w:rPr>
          <w:lang w:val="en-US"/>
        </w:rPr>
      </w:pPr>
      <w:r>
        <w:rPr>
          <w:noProof/>
          <w:lang w:eastAsia="fr-FR"/>
        </w:rPr>
        <w:drawing>
          <wp:inline distT="0" distB="0" distL="0" distR="0">
            <wp:extent cx="6479540" cy="53590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9540" cy="535902"/>
                    </a:xfrm>
                    <a:prstGeom prst="rect">
                      <a:avLst/>
                    </a:prstGeom>
                    <a:noFill/>
                    <a:ln>
                      <a:noFill/>
                    </a:ln>
                  </pic:spPr>
                </pic:pic>
              </a:graphicData>
            </a:graphic>
          </wp:inline>
        </w:drawing>
      </w:r>
    </w:p>
    <w:p w:rsidR="00E34A5F" w:rsidRDefault="00716497" w:rsidP="0043228C">
      <w:pPr>
        <w:spacing w:line="240" w:lineRule="auto"/>
        <w:rPr>
          <w:lang w:val="en-US"/>
        </w:rPr>
      </w:pPr>
      <w:r>
        <w:rPr>
          <w:lang w:val="en-US"/>
        </w:rPr>
        <w:t xml:space="preserve">It seems that 31 august 2014 </w:t>
      </w:r>
      <w:r w:rsidR="0043228C" w:rsidRPr="0043228C">
        <w:rPr>
          <w:lang w:val="en-US"/>
        </w:rPr>
        <w:t>deadline is not compatible with the 2-month “comply or explain” period given to local regulator after the publication of the guidelines translation.</w:t>
      </w:r>
      <w:r>
        <w:rPr>
          <w:lang w:val="en-US"/>
        </w:rPr>
        <w:br/>
      </w:r>
      <w:r w:rsidR="0043228C" w:rsidRPr="0043228C">
        <w:rPr>
          <w:lang w:val="en-US"/>
        </w:rPr>
        <w:t xml:space="preserve">Consequently, we suggest extending the deadline for data submission by </w:t>
      </w:r>
      <w:r w:rsidR="0043228C" w:rsidRPr="00DE31CF">
        <w:rPr>
          <w:u w:val="single"/>
          <w:lang w:val="en-US"/>
        </w:rPr>
        <w:t>the end of 2014</w:t>
      </w:r>
      <w:r w:rsidR="00DE31CF">
        <w:rPr>
          <w:u w:val="single"/>
          <w:lang w:val="en-US"/>
        </w:rPr>
        <w:t>.</w:t>
      </w:r>
    </w:p>
    <w:p w:rsidR="00E34A5F" w:rsidRDefault="00E34A5F" w:rsidP="00E34A5F">
      <w:pPr>
        <w:spacing w:line="240" w:lineRule="auto"/>
        <w:rPr>
          <w:lang w:val="en-US"/>
        </w:rPr>
      </w:pPr>
      <w:r>
        <w:rPr>
          <w:noProof/>
          <w:lang w:eastAsia="fr-FR"/>
        </w:rPr>
        <w:drawing>
          <wp:inline distT="0" distB="0" distL="0" distR="0">
            <wp:extent cx="6479540" cy="807808"/>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9540" cy="807808"/>
                    </a:xfrm>
                    <a:prstGeom prst="rect">
                      <a:avLst/>
                    </a:prstGeom>
                    <a:noFill/>
                    <a:ln>
                      <a:noFill/>
                    </a:ln>
                  </pic:spPr>
                </pic:pic>
              </a:graphicData>
            </a:graphic>
          </wp:inline>
        </w:drawing>
      </w:r>
    </w:p>
    <w:p w:rsidR="00E34A5F" w:rsidRDefault="00716497" w:rsidP="00E34A5F">
      <w:pPr>
        <w:spacing w:line="240" w:lineRule="auto"/>
        <w:rPr>
          <w:lang w:val="en-US"/>
        </w:rPr>
      </w:pPr>
      <w:r>
        <w:rPr>
          <w:lang w:val="en-US"/>
        </w:rPr>
        <w:t>Yes</w:t>
      </w:r>
    </w:p>
    <w:p w:rsidR="00E34A5F" w:rsidRPr="00E34A5F" w:rsidRDefault="00E34A5F" w:rsidP="00E34A5F">
      <w:pPr>
        <w:spacing w:line="240" w:lineRule="auto"/>
        <w:rPr>
          <w:lang w:val="en-US"/>
        </w:rPr>
      </w:pPr>
    </w:p>
    <w:p w:rsidR="00E34A5F" w:rsidRPr="00E34A5F" w:rsidRDefault="00E34A5F" w:rsidP="00E34A5F">
      <w:pPr>
        <w:spacing w:line="240" w:lineRule="auto"/>
        <w:rPr>
          <w:lang w:val="en-US"/>
        </w:rPr>
      </w:pPr>
    </w:p>
    <w:sectPr w:rsidR="00E34A5F" w:rsidRPr="00E34A5F" w:rsidSect="00206006">
      <w:headerReference w:type="default" r:id="rId18"/>
      <w:footerReference w:type="default" r:id="rId19"/>
      <w:pgSz w:w="11906" w:h="16838"/>
      <w:pgMar w:top="1701"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28A" w:rsidRDefault="00AA428A" w:rsidP="00E34A5F">
      <w:pPr>
        <w:spacing w:after="0" w:line="240" w:lineRule="auto"/>
      </w:pPr>
      <w:r>
        <w:separator/>
      </w:r>
    </w:p>
  </w:endnote>
  <w:endnote w:type="continuationSeparator" w:id="0">
    <w:p w:rsidR="00AA428A" w:rsidRDefault="00AA428A" w:rsidP="00E34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304267"/>
      <w:docPartObj>
        <w:docPartGallery w:val="Page Numbers (Bottom of Page)"/>
        <w:docPartUnique/>
      </w:docPartObj>
    </w:sdtPr>
    <w:sdtEndPr/>
    <w:sdtContent>
      <w:sdt>
        <w:sdtPr>
          <w:id w:val="860082579"/>
          <w:docPartObj>
            <w:docPartGallery w:val="Page Numbers (Top of Page)"/>
            <w:docPartUnique/>
          </w:docPartObj>
        </w:sdtPr>
        <w:sdtEndPr/>
        <w:sdtContent>
          <w:p w:rsidR="00FD6F39" w:rsidRDefault="00FD6F39">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AA428A">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A428A">
              <w:rPr>
                <w:b/>
                <w:bCs/>
                <w:noProof/>
              </w:rPr>
              <w:t>1</w:t>
            </w:r>
            <w:r>
              <w:rPr>
                <w:b/>
                <w:bCs/>
                <w:sz w:val="24"/>
                <w:szCs w:val="24"/>
              </w:rPr>
              <w:fldChar w:fldCharType="end"/>
            </w:r>
          </w:p>
        </w:sdtContent>
      </w:sdt>
    </w:sdtContent>
  </w:sdt>
  <w:p w:rsidR="00FD6F39" w:rsidRDefault="00FD6F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28A" w:rsidRDefault="00AA428A" w:rsidP="00E34A5F">
      <w:pPr>
        <w:spacing w:after="0" w:line="240" w:lineRule="auto"/>
      </w:pPr>
      <w:r>
        <w:separator/>
      </w:r>
    </w:p>
  </w:footnote>
  <w:footnote w:type="continuationSeparator" w:id="0">
    <w:p w:rsidR="00AA428A" w:rsidRDefault="00AA428A" w:rsidP="00E34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39" w:rsidRDefault="00FD6F39">
    <w:pPr>
      <w:pStyle w:val="En-tte"/>
    </w:pPr>
    <w:r>
      <w:rPr>
        <w:noProof/>
        <w:lang w:eastAsia="fr-FR"/>
      </w:rPr>
      <w:drawing>
        <wp:anchor distT="0" distB="0" distL="114300" distR="114300" simplePos="0" relativeHeight="251659264" behindDoc="0" locked="0" layoutInCell="1" allowOverlap="1" wp14:anchorId="112071B0" wp14:editId="24B62DE7">
          <wp:simplePos x="0" y="0"/>
          <wp:positionH relativeFrom="column">
            <wp:posOffset>-436880</wp:posOffset>
          </wp:positionH>
          <wp:positionV relativeFrom="paragraph">
            <wp:posOffset>-109220</wp:posOffset>
          </wp:positionV>
          <wp:extent cx="2588260" cy="862965"/>
          <wp:effectExtent l="0" t="0" r="2540" b="0"/>
          <wp:wrapNone/>
          <wp:docPr id="12" name="Image 12" descr="casa-2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sa-2l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260"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00157BAB">
      <w:tab/>
    </w:r>
    <w:r w:rsidR="00157BAB">
      <w:tab/>
      <w:t>06</w:t>
    </w:r>
    <w:r>
      <w:t>/05/2014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74A4"/>
    <w:multiLevelType w:val="hybridMultilevel"/>
    <w:tmpl w:val="1BF007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A630D9"/>
    <w:multiLevelType w:val="hybridMultilevel"/>
    <w:tmpl w:val="46F6A17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6A0E0E"/>
    <w:multiLevelType w:val="hybridMultilevel"/>
    <w:tmpl w:val="58343F8A"/>
    <w:lvl w:ilvl="0" w:tplc="ABAEC7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771FDF"/>
    <w:multiLevelType w:val="hybridMultilevel"/>
    <w:tmpl w:val="CD301E0E"/>
    <w:lvl w:ilvl="0" w:tplc="4BC8A9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423B7D"/>
    <w:multiLevelType w:val="hybridMultilevel"/>
    <w:tmpl w:val="436879C0"/>
    <w:lvl w:ilvl="0" w:tplc="BFF23D7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170308"/>
    <w:multiLevelType w:val="hybridMultilevel"/>
    <w:tmpl w:val="8E1EAD62"/>
    <w:lvl w:ilvl="0" w:tplc="BAACD21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F74D53"/>
    <w:multiLevelType w:val="hybridMultilevel"/>
    <w:tmpl w:val="9414321A"/>
    <w:lvl w:ilvl="0" w:tplc="200847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526A32"/>
    <w:multiLevelType w:val="hybridMultilevel"/>
    <w:tmpl w:val="349469CC"/>
    <w:lvl w:ilvl="0" w:tplc="F0F235FA">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E266F3B"/>
    <w:multiLevelType w:val="hybridMultilevel"/>
    <w:tmpl w:val="CFAC8A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6181927"/>
    <w:multiLevelType w:val="hybridMultilevel"/>
    <w:tmpl w:val="278C9C5E"/>
    <w:lvl w:ilvl="0" w:tplc="CBF4D118">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7"/>
  </w:num>
  <w:num w:numId="5">
    <w:abstractNumId w:val="0"/>
  </w:num>
  <w:num w:numId="6">
    <w:abstractNumId w:val="9"/>
  </w:num>
  <w:num w:numId="7">
    <w:abstractNumId w:val="2"/>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A5F"/>
    <w:rsid w:val="000A58FC"/>
    <w:rsid w:val="001007FE"/>
    <w:rsid w:val="00157BAB"/>
    <w:rsid w:val="001D04FF"/>
    <w:rsid w:val="00206006"/>
    <w:rsid w:val="00220642"/>
    <w:rsid w:val="00264453"/>
    <w:rsid w:val="002F1879"/>
    <w:rsid w:val="00365FD6"/>
    <w:rsid w:val="003875D5"/>
    <w:rsid w:val="003B58D5"/>
    <w:rsid w:val="003F62B4"/>
    <w:rsid w:val="0043228C"/>
    <w:rsid w:val="004B1CC7"/>
    <w:rsid w:val="006329D9"/>
    <w:rsid w:val="00667786"/>
    <w:rsid w:val="006D2572"/>
    <w:rsid w:val="00716497"/>
    <w:rsid w:val="00751700"/>
    <w:rsid w:val="007B5F93"/>
    <w:rsid w:val="008D00CE"/>
    <w:rsid w:val="00913AAD"/>
    <w:rsid w:val="009A0887"/>
    <w:rsid w:val="009A27BC"/>
    <w:rsid w:val="00AA428A"/>
    <w:rsid w:val="00B038A6"/>
    <w:rsid w:val="00B20D59"/>
    <w:rsid w:val="00B4719E"/>
    <w:rsid w:val="00B728AE"/>
    <w:rsid w:val="00CA6F3F"/>
    <w:rsid w:val="00DC18AE"/>
    <w:rsid w:val="00DE1E05"/>
    <w:rsid w:val="00DE31CF"/>
    <w:rsid w:val="00E34A5F"/>
    <w:rsid w:val="00E87A7C"/>
    <w:rsid w:val="00F01E82"/>
    <w:rsid w:val="00F9520C"/>
    <w:rsid w:val="00FD6F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0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4A5F"/>
    <w:pPr>
      <w:tabs>
        <w:tab w:val="center" w:pos="4536"/>
        <w:tab w:val="right" w:pos="9072"/>
      </w:tabs>
      <w:spacing w:after="0" w:line="240" w:lineRule="auto"/>
    </w:pPr>
  </w:style>
  <w:style w:type="character" w:customStyle="1" w:styleId="En-tteCar">
    <w:name w:val="En-tête Car"/>
    <w:basedOn w:val="Policepardfaut"/>
    <w:link w:val="En-tte"/>
    <w:uiPriority w:val="99"/>
    <w:rsid w:val="00E34A5F"/>
  </w:style>
  <w:style w:type="paragraph" w:styleId="Pieddepage">
    <w:name w:val="footer"/>
    <w:basedOn w:val="Normal"/>
    <w:link w:val="PieddepageCar"/>
    <w:uiPriority w:val="99"/>
    <w:unhideWhenUsed/>
    <w:rsid w:val="00E34A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4A5F"/>
  </w:style>
  <w:style w:type="paragraph" w:styleId="Textedebulles">
    <w:name w:val="Balloon Text"/>
    <w:basedOn w:val="Normal"/>
    <w:link w:val="TextedebullesCar"/>
    <w:uiPriority w:val="99"/>
    <w:semiHidden/>
    <w:unhideWhenUsed/>
    <w:rsid w:val="00E34A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4A5F"/>
    <w:rPr>
      <w:rFonts w:ascii="Tahoma" w:hAnsi="Tahoma" w:cs="Tahoma"/>
      <w:sz w:val="16"/>
      <w:szCs w:val="16"/>
    </w:rPr>
  </w:style>
  <w:style w:type="paragraph" w:styleId="Paragraphedeliste">
    <w:name w:val="List Paragraph"/>
    <w:basedOn w:val="Normal"/>
    <w:uiPriority w:val="34"/>
    <w:qFormat/>
    <w:rsid w:val="003B58D5"/>
    <w:pPr>
      <w:ind w:left="720"/>
      <w:contextualSpacing/>
    </w:pPr>
  </w:style>
  <w:style w:type="character" w:styleId="Lienhypertexte">
    <w:name w:val="Hyperlink"/>
    <w:basedOn w:val="Policepardfaut"/>
    <w:uiPriority w:val="99"/>
    <w:unhideWhenUsed/>
    <w:rsid w:val="00CA6F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0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4A5F"/>
    <w:pPr>
      <w:tabs>
        <w:tab w:val="center" w:pos="4536"/>
        <w:tab w:val="right" w:pos="9072"/>
      </w:tabs>
      <w:spacing w:after="0" w:line="240" w:lineRule="auto"/>
    </w:pPr>
  </w:style>
  <w:style w:type="character" w:customStyle="1" w:styleId="En-tteCar">
    <w:name w:val="En-tête Car"/>
    <w:basedOn w:val="Policepardfaut"/>
    <w:link w:val="En-tte"/>
    <w:uiPriority w:val="99"/>
    <w:rsid w:val="00E34A5F"/>
  </w:style>
  <w:style w:type="paragraph" w:styleId="Pieddepage">
    <w:name w:val="footer"/>
    <w:basedOn w:val="Normal"/>
    <w:link w:val="PieddepageCar"/>
    <w:uiPriority w:val="99"/>
    <w:unhideWhenUsed/>
    <w:rsid w:val="00E34A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4A5F"/>
  </w:style>
  <w:style w:type="paragraph" w:styleId="Textedebulles">
    <w:name w:val="Balloon Text"/>
    <w:basedOn w:val="Normal"/>
    <w:link w:val="TextedebullesCar"/>
    <w:uiPriority w:val="99"/>
    <w:semiHidden/>
    <w:unhideWhenUsed/>
    <w:rsid w:val="00E34A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4A5F"/>
    <w:rPr>
      <w:rFonts w:ascii="Tahoma" w:hAnsi="Tahoma" w:cs="Tahoma"/>
      <w:sz w:val="16"/>
      <w:szCs w:val="16"/>
    </w:rPr>
  </w:style>
  <w:style w:type="paragraph" w:styleId="Paragraphedeliste">
    <w:name w:val="List Paragraph"/>
    <w:basedOn w:val="Normal"/>
    <w:uiPriority w:val="34"/>
    <w:qFormat/>
    <w:rsid w:val="003B58D5"/>
    <w:pPr>
      <w:ind w:left="720"/>
      <w:contextualSpacing/>
    </w:pPr>
  </w:style>
  <w:style w:type="character" w:styleId="Lienhypertexte">
    <w:name w:val="Hyperlink"/>
    <w:basedOn w:val="Policepardfaut"/>
    <w:uiPriority w:val="99"/>
    <w:unhideWhenUsed/>
    <w:rsid w:val="00CA6F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rancois.GALLAND@credit-agricole-sa.fr" TargetMode="Externa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2AF61-1677-4A00-A721-37B2628A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4770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Crédit Agricole S.A</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Quentin</dc:creator>
  <cp:lastModifiedBy>POUCHOUS Anne</cp:lastModifiedBy>
  <cp:revision>3</cp:revision>
  <cp:lastPrinted>2014-05-02T09:44:00Z</cp:lastPrinted>
  <dcterms:created xsi:type="dcterms:W3CDTF">2014-05-06T13:22:00Z</dcterms:created>
  <dcterms:modified xsi:type="dcterms:W3CDTF">2014-05-06T13:22:00Z</dcterms:modified>
</cp:coreProperties>
</file>