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10" w:rsidRDefault="00A37A10" w:rsidP="009C7DDB">
      <w:pPr>
        <w:pStyle w:val="Default"/>
        <w:rPr>
          <w:rFonts w:ascii="Helv" w:hAnsi="Helv" w:cs="Helv"/>
          <w:b/>
          <w:color w:val="0070C0"/>
          <w:sz w:val="20"/>
          <w:szCs w:val="20"/>
          <w:lang w:val="en-GB"/>
        </w:rPr>
      </w:pPr>
      <w:bookmarkStart w:id="0" w:name="_GoBack"/>
      <w:bookmarkEnd w:id="0"/>
    </w:p>
    <w:p w:rsidR="00A37A10" w:rsidRPr="00A37A10" w:rsidRDefault="00A37A10" w:rsidP="00A37A10">
      <w:pPr>
        <w:jc w:val="both"/>
        <w:rPr>
          <w:rFonts w:ascii="Helv" w:hAnsi="Helv" w:cs="Helv"/>
          <w:color w:val="0070C0"/>
          <w:sz w:val="20"/>
          <w:szCs w:val="20"/>
          <w:lang w:val="en-GB"/>
        </w:rPr>
      </w:pPr>
      <w:r w:rsidRPr="00A37A10">
        <w:rPr>
          <w:rFonts w:ascii="Helv" w:hAnsi="Helv" w:cs="Helv"/>
          <w:color w:val="0070C0"/>
          <w:sz w:val="20"/>
          <w:szCs w:val="20"/>
          <w:lang w:val="en-GB"/>
        </w:rPr>
        <w:t>Dear Madam, Dear Sir,</w:t>
      </w:r>
    </w:p>
    <w:p w:rsidR="00A37A10" w:rsidRPr="00833A65" w:rsidRDefault="00A37A10" w:rsidP="00692170">
      <w:pPr>
        <w:jc w:val="both"/>
        <w:rPr>
          <w:rFonts w:ascii="Helv" w:hAnsi="Helv" w:cs="Helv"/>
          <w:color w:val="0070C0"/>
          <w:sz w:val="20"/>
          <w:szCs w:val="20"/>
          <w:lang w:val="en-GB"/>
        </w:rPr>
      </w:pPr>
      <w:r w:rsidRPr="00A37A10">
        <w:rPr>
          <w:rFonts w:ascii="Helv" w:hAnsi="Helv" w:cs="Helv"/>
          <w:color w:val="0070C0"/>
          <w:sz w:val="20"/>
          <w:szCs w:val="20"/>
          <w:lang w:val="en-GB"/>
        </w:rPr>
        <w:t xml:space="preserve">We welcome the opportunity to comment </w:t>
      </w:r>
      <w:r w:rsidR="00F8516F">
        <w:rPr>
          <w:rFonts w:ascii="Helv" w:hAnsi="Helv" w:cs="Helv"/>
          <w:color w:val="0070C0"/>
          <w:sz w:val="20"/>
          <w:szCs w:val="20"/>
          <w:lang w:val="en-GB"/>
        </w:rPr>
        <w:t xml:space="preserve">on </w:t>
      </w:r>
      <w:r w:rsidRPr="00A37A10">
        <w:rPr>
          <w:rFonts w:ascii="Helv" w:hAnsi="Helv" w:cs="Helv"/>
          <w:color w:val="0070C0"/>
          <w:sz w:val="20"/>
          <w:szCs w:val="20"/>
          <w:lang w:val="en-GB"/>
        </w:rPr>
        <w:t xml:space="preserve">draft Guidelines on the remuneration benchmarking exercise and draft Guidelines on the data collection exercise regarding high earners.  We fully support the EBA initiative to collect benchmarking data, </w:t>
      </w:r>
      <w:r w:rsidRPr="00E07DD5">
        <w:rPr>
          <w:rFonts w:ascii="Helv" w:hAnsi="Helv" w:cs="Helv"/>
          <w:color w:val="0070C0"/>
          <w:sz w:val="20"/>
          <w:szCs w:val="20"/>
          <w:lang w:val="en-GB"/>
        </w:rPr>
        <w:t>in order to ease convergence of banking institutions practices</w:t>
      </w:r>
      <w:r>
        <w:rPr>
          <w:rFonts w:ascii="Helv" w:hAnsi="Helv" w:cs="Helv"/>
          <w:b/>
          <w:color w:val="0070C0"/>
          <w:sz w:val="20"/>
          <w:szCs w:val="20"/>
          <w:lang w:val="en-GB"/>
        </w:rPr>
        <w:t xml:space="preserve"> </w:t>
      </w:r>
      <w:r w:rsidRPr="00A37A10">
        <w:rPr>
          <w:rFonts w:ascii="Helv" w:hAnsi="Helv" w:cs="Helv"/>
          <w:color w:val="0070C0"/>
          <w:sz w:val="20"/>
          <w:szCs w:val="20"/>
          <w:lang w:val="en-GB"/>
        </w:rPr>
        <w:t xml:space="preserve">and to </w:t>
      </w:r>
      <w:r w:rsidR="00655947">
        <w:rPr>
          <w:rFonts w:ascii="Helv" w:hAnsi="Helv" w:cs="Helv"/>
          <w:color w:val="0070C0"/>
          <w:sz w:val="20"/>
          <w:szCs w:val="20"/>
          <w:lang w:val="en-GB"/>
        </w:rPr>
        <w:t xml:space="preserve">update its </w:t>
      </w:r>
      <w:r w:rsidR="00655947" w:rsidRPr="00655947">
        <w:rPr>
          <w:rFonts w:ascii="Helv" w:hAnsi="Helv" w:cs="Helv"/>
          <w:color w:val="0070C0"/>
          <w:sz w:val="20"/>
          <w:szCs w:val="20"/>
          <w:lang w:val="en-GB"/>
        </w:rPr>
        <w:t>‘Guidelines on the remuneration benchmarking exercise’, which was originally published on 27 July 2012, following the changes to the reporting requirements set out in Regulation (EU) No 575/2013 and Directive 2013/36/EU.</w:t>
      </w:r>
    </w:p>
    <w:p w:rsidR="00655947" w:rsidRPr="00F8516F" w:rsidRDefault="0059106F" w:rsidP="00F8516F">
      <w:pPr>
        <w:jc w:val="both"/>
        <w:rPr>
          <w:rFonts w:ascii="Helv" w:hAnsi="Helv" w:cs="Helv"/>
          <w:color w:val="0070C0"/>
          <w:sz w:val="20"/>
          <w:szCs w:val="20"/>
          <w:lang w:val="en-GB"/>
        </w:rPr>
      </w:pPr>
      <w:r>
        <w:rPr>
          <w:rFonts w:ascii="Helv" w:hAnsi="Helv" w:cs="Helv"/>
          <w:color w:val="0070C0"/>
          <w:sz w:val="20"/>
          <w:szCs w:val="20"/>
          <w:lang w:val="en-GB"/>
        </w:rPr>
        <w:t>However</w:t>
      </w:r>
      <w:r w:rsidR="00F8516F">
        <w:rPr>
          <w:rFonts w:ascii="Helv" w:hAnsi="Helv" w:cs="Helv"/>
          <w:color w:val="0070C0"/>
          <w:sz w:val="20"/>
          <w:szCs w:val="20"/>
          <w:lang w:val="en-GB"/>
        </w:rPr>
        <w:t>, w</w:t>
      </w:r>
      <w:r w:rsidR="00655947" w:rsidRPr="00F8516F">
        <w:rPr>
          <w:rFonts w:ascii="Helv" w:hAnsi="Helv" w:cs="Helv"/>
          <w:color w:val="0070C0"/>
          <w:sz w:val="20"/>
          <w:szCs w:val="20"/>
          <w:lang w:val="en-GB"/>
        </w:rPr>
        <w:t xml:space="preserve">e do not consider that the changes to the Guidelines are limited to the adoption of changed requirements of the Regulation and Directive and to some additional clarifications, but </w:t>
      </w:r>
      <w:r w:rsidR="00E07DD5">
        <w:rPr>
          <w:rFonts w:ascii="Helv" w:hAnsi="Helv" w:cs="Helv"/>
          <w:color w:val="0070C0"/>
          <w:sz w:val="20"/>
          <w:szCs w:val="20"/>
          <w:lang w:val="en-GB"/>
        </w:rPr>
        <w:t xml:space="preserve">we </w:t>
      </w:r>
      <w:r w:rsidR="00655947" w:rsidRPr="00F8516F">
        <w:rPr>
          <w:rFonts w:ascii="Helv" w:hAnsi="Helv" w:cs="Helv"/>
          <w:color w:val="0070C0"/>
          <w:sz w:val="20"/>
          <w:szCs w:val="20"/>
          <w:lang w:val="en-GB"/>
        </w:rPr>
        <w:t xml:space="preserve">consider that the scope </w:t>
      </w:r>
      <w:r w:rsidR="00542F15">
        <w:rPr>
          <w:rFonts w:ascii="Helv" w:hAnsi="Helv" w:cs="Helv"/>
          <w:color w:val="0070C0"/>
          <w:sz w:val="20"/>
          <w:szCs w:val="20"/>
          <w:lang w:val="en-GB"/>
        </w:rPr>
        <w:t xml:space="preserve">and granularity </w:t>
      </w:r>
      <w:r w:rsidR="00655947" w:rsidRPr="00F8516F">
        <w:rPr>
          <w:rFonts w:ascii="Helv" w:hAnsi="Helv" w:cs="Helv"/>
          <w:color w:val="0070C0"/>
          <w:sz w:val="20"/>
          <w:szCs w:val="20"/>
          <w:lang w:val="en-GB"/>
        </w:rPr>
        <w:t xml:space="preserve">of the data collected is </w:t>
      </w:r>
      <w:r w:rsidR="00E07DD5">
        <w:rPr>
          <w:rFonts w:ascii="Helv" w:hAnsi="Helv" w:cs="Helv"/>
          <w:color w:val="0070C0"/>
          <w:sz w:val="20"/>
          <w:szCs w:val="20"/>
          <w:lang w:val="en-GB"/>
        </w:rPr>
        <w:t>significantly</w:t>
      </w:r>
      <w:r w:rsidR="00655947" w:rsidRPr="00F8516F">
        <w:rPr>
          <w:rFonts w:ascii="Helv" w:hAnsi="Helv" w:cs="Helv"/>
          <w:color w:val="0070C0"/>
          <w:sz w:val="20"/>
          <w:szCs w:val="20"/>
          <w:lang w:val="en-GB"/>
        </w:rPr>
        <w:t xml:space="preserve"> increas</w:t>
      </w:r>
      <w:r w:rsidR="00F8516F">
        <w:rPr>
          <w:rFonts w:ascii="Helv" w:hAnsi="Helv" w:cs="Helv"/>
          <w:color w:val="0070C0"/>
          <w:sz w:val="20"/>
          <w:szCs w:val="20"/>
          <w:lang w:val="en-GB"/>
        </w:rPr>
        <w:t>ing</w:t>
      </w:r>
      <w:r w:rsidR="00655947" w:rsidRPr="00F8516F">
        <w:rPr>
          <w:rFonts w:ascii="Helv" w:hAnsi="Helv" w:cs="Helv"/>
          <w:color w:val="0070C0"/>
          <w:sz w:val="20"/>
          <w:szCs w:val="20"/>
          <w:lang w:val="en-GB"/>
        </w:rPr>
        <w:t xml:space="preserve"> and </w:t>
      </w:r>
      <w:r w:rsidR="00E07DD5">
        <w:rPr>
          <w:rFonts w:ascii="Helv" w:hAnsi="Helv" w:cs="Helv"/>
          <w:color w:val="0070C0"/>
          <w:sz w:val="20"/>
          <w:szCs w:val="20"/>
          <w:lang w:val="en-GB"/>
        </w:rPr>
        <w:t>d</w:t>
      </w:r>
      <w:r w:rsidR="00655947" w:rsidRPr="00F8516F">
        <w:rPr>
          <w:rFonts w:ascii="Helv" w:hAnsi="Helv" w:cs="Helv"/>
          <w:color w:val="0070C0"/>
          <w:sz w:val="20"/>
          <w:szCs w:val="20"/>
          <w:lang w:val="en-GB"/>
        </w:rPr>
        <w:t>o</w:t>
      </w:r>
      <w:r w:rsidR="00E07DD5">
        <w:rPr>
          <w:rFonts w:ascii="Helv" w:hAnsi="Helv" w:cs="Helv"/>
          <w:color w:val="0070C0"/>
          <w:sz w:val="20"/>
          <w:szCs w:val="20"/>
          <w:lang w:val="en-GB"/>
        </w:rPr>
        <w:t>es</w:t>
      </w:r>
      <w:r w:rsidR="00655947" w:rsidRPr="00F8516F">
        <w:rPr>
          <w:rFonts w:ascii="Helv" w:hAnsi="Helv" w:cs="Helv"/>
          <w:color w:val="0070C0"/>
          <w:sz w:val="20"/>
          <w:szCs w:val="20"/>
          <w:lang w:val="en-GB"/>
        </w:rPr>
        <w:t xml:space="preserve"> not ensure higher quality of the information.</w:t>
      </w:r>
    </w:p>
    <w:p w:rsidR="00655947" w:rsidRDefault="00F57A89" w:rsidP="00A37A10">
      <w:pPr>
        <w:autoSpaceDE w:val="0"/>
        <w:autoSpaceDN w:val="0"/>
        <w:adjustRightInd w:val="0"/>
        <w:spacing w:after="0" w:line="240" w:lineRule="auto"/>
        <w:jc w:val="both"/>
        <w:rPr>
          <w:rFonts w:ascii="Helv" w:hAnsi="Helv" w:cs="Helv"/>
          <w:color w:val="0070C0"/>
          <w:sz w:val="20"/>
          <w:szCs w:val="20"/>
          <w:lang w:val="en-GB"/>
        </w:rPr>
      </w:pPr>
      <w:r>
        <w:rPr>
          <w:rFonts w:ascii="Helv" w:hAnsi="Helv" w:cs="Helv"/>
          <w:color w:val="0070C0"/>
          <w:sz w:val="20"/>
          <w:szCs w:val="20"/>
          <w:lang w:val="en-GB"/>
        </w:rPr>
        <w:t>W</w:t>
      </w:r>
      <w:r w:rsidR="00F8516F">
        <w:rPr>
          <w:rFonts w:ascii="Helv" w:hAnsi="Helv" w:cs="Helv"/>
          <w:color w:val="0070C0"/>
          <w:sz w:val="20"/>
          <w:szCs w:val="20"/>
          <w:lang w:val="en-GB"/>
        </w:rPr>
        <w:t xml:space="preserve">e would like to </w:t>
      </w:r>
      <w:r w:rsidR="00102F52">
        <w:rPr>
          <w:rFonts w:ascii="Helv" w:hAnsi="Helv" w:cs="Helv"/>
          <w:color w:val="0070C0"/>
          <w:sz w:val="20"/>
          <w:szCs w:val="20"/>
          <w:lang w:val="en-GB"/>
        </w:rPr>
        <w:t>draw your attention on some issues:</w:t>
      </w:r>
      <w:r w:rsidR="00F8516F" w:rsidRPr="00F8516F">
        <w:rPr>
          <w:rFonts w:ascii="Helv" w:hAnsi="Helv" w:cs="Helv"/>
          <w:color w:val="0070C0"/>
          <w:sz w:val="20"/>
          <w:szCs w:val="20"/>
          <w:lang w:val="en-GB"/>
        </w:rPr>
        <w:t xml:space="preserve"> </w:t>
      </w:r>
    </w:p>
    <w:p w:rsidR="00A37A10" w:rsidRPr="00A37A10" w:rsidRDefault="00A37A10" w:rsidP="009C7DDB">
      <w:pPr>
        <w:pStyle w:val="Default"/>
        <w:rPr>
          <w:rFonts w:ascii="Helv" w:hAnsi="Helv" w:cs="Helv"/>
          <w:b/>
          <w:color w:val="0070C0"/>
          <w:sz w:val="20"/>
          <w:szCs w:val="20"/>
          <w:lang w:val="en-US"/>
        </w:rPr>
      </w:pPr>
    </w:p>
    <w:p w:rsidR="00F8516F" w:rsidRPr="003C3236" w:rsidRDefault="00B254A1" w:rsidP="00F8516F">
      <w:pPr>
        <w:pStyle w:val="Default"/>
        <w:jc w:val="both"/>
        <w:rPr>
          <w:rFonts w:ascii="Helv" w:hAnsi="Helv" w:cs="Helv"/>
          <w:b/>
          <w:color w:val="0070C0"/>
          <w:sz w:val="20"/>
          <w:szCs w:val="20"/>
          <w:lang w:val="en-GB"/>
        </w:rPr>
      </w:pPr>
      <w:r w:rsidRPr="00446697">
        <w:rPr>
          <w:rFonts w:ascii="Helv" w:hAnsi="Helv" w:cs="Helv"/>
          <w:b/>
          <w:color w:val="0070C0"/>
          <w:sz w:val="20"/>
          <w:szCs w:val="20"/>
          <w:lang w:val="en-GB"/>
        </w:rPr>
        <w:t xml:space="preserve">1 – </w:t>
      </w:r>
      <w:r w:rsidR="00833A65" w:rsidRPr="00B254A1">
        <w:rPr>
          <w:rFonts w:ascii="Helv" w:hAnsi="Helv" w:cs="Helv"/>
          <w:b/>
          <w:color w:val="0070C0"/>
          <w:sz w:val="20"/>
          <w:szCs w:val="20"/>
          <w:lang w:val="en-GB"/>
        </w:rPr>
        <w:t xml:space="preserve">The </w:t>
      </w:r>
      <w:r w:rsidR="00692170">
        <w:rPr>
          <w:rFonts w:ascii="Helv" w:hAnsi="Helv" w:cs="Helv"/>
          <w:b/>
          <w:color w:val="0070C0"/>
          <w:sz w:val="20"/>
          <w:szCs w:val="20"/>
          <w:lang w:val="en-GB"/>
        </w:rPr>
        <w:t>scope of inquiry in Annex 1 for</w:t>
      </w:r>
      <w:r w:rsidR="00833A65" w:rsidRPr="00B254A1">
        <w:rPr>
          <w:rFonts w:ascii="Helv" w:hAnsi="Helv" w:cs="Helv"/>
          <w:b/>
          <w:color w:val="0070C0"/>
          <w:sz w:val="20"/>
          <w:szCs w:val="20"/>
          <w:lang w:val="en-GB"/>
        </w:rPr>
        <w:t xml:space="preserve"> “all staff” </w:t>
      </w:r>
      <w:r w:rsidR="003C3236" w:rsidRPr="003C3236">
        <w:rPr>
          <w:rFonts w:ascii="Helv" w:hAnsi="Helv" w:cs="Helv"/>
          <w:b/>
          <w:color w:val="0070C0"/>
          <w:sz w:val="20"/>
          <w:szCs w:val="20"/>
          <w:lang w:val="en-GB"/>
        </w:rPr>
        <w:t>goes</w:t>
      </w:r>
      <w:r w:rsidR="00E07DD5">
        <w:rPr>
          <w:rFonts w:ascii="Helv" w:hAnsi="Helv" w:cs="Helv"/>
          <w:b/>
          <w:color w:val="0070C0"/>
          <w:sz w:val="20"/>
          <w:szCs w:val="20"/>
          <w:lang w:val="en-GB"/>
        </w:rPr>
        <w:t xml:space="preserve"> far</w:t>
      </w:r>
      <w:r w:rsidR="003C3236" w:rsidRPr="003C3236">
        <w:rPr>
          <w:rFonts w:ascii="Helv" w:hAnsi="Helv" w:cs="Helv"/>
          <w:b/>
          <w:color w:val="0070C0"/>
          <w:sz w:val="20"/>
          <w:szCs w:val="20"/>
          <w:lang w:val="en-GB"/>
        </w:rPr>
        <w:t xml:space="preserve"> beyond the CRD/CRR disclosure requirements </w:t>
      </w:r>
      <w:r w:rsidR="00833A65" w:rsidRPr="003C3236">
        <w:rPr>
          <w:rFonts w:ascii="Helv" w:hAnsi="Helv" w:cs="Helv"/>
          <w:b/>
          <w:color w:val="0070C0"/>
          <w:sz w:val="20"/>
          <w:szCs w:val="20"/>
          <w:lang w:val="en-GB"/>
        </w:rPr>
        <w:t xml:space="preserve"> </w:t>
      </w:r>
    </w:p>
    <w:p w:rsidR="00446697" w:rsidRDefault="00446697" w:rsidP="00F8516F">
      <w:pPr>
        <w:pStyle w:val="Default"/>
        <w:jc w:val="both"/>
        <w:rPr>
          <w:rFonts w:ascii="Helv" w:hAnsi="Helv" w:cs="Helv"/>
          <w:b/>
          <w:color w:val="0070C0"/>
          <w:sz w:val="20"/>
          <w:szCs w:val="20"/>
          <w:lang w:val="en-GB"/>
        </w:rPr>
      </w:pPr>
    </w:p>
    <w:p w:rsidR="00F57A89" w:rsidRDefault="00F57A89" w:rsidP="00F57A89">
      <w:pPr>
        <w:jc w:val="both"/>
        <w:rPr>
          <w:rFonts w:ascii="Helv" w:hAnsi="Helv" w:cs="Helv"/>
          <w:color w:val="0070C0"/>
          <w:sz w:val="20"/>
          <w:szCs w:val="20"/>
          <w:lang w:val="en-GB"/>
        </w:rPr>
      </w:pPr>
      <w:r w:rsidRPr="00692170">
        <w:rPr>
          <w:rFonts w:ascii="Helv" w:hAnsi="Helv" w:cs="Helv"/>
          <w:color w:val="0070C0"/>
          <w:sz w:val="20"/>
          <w:szCs w:val="20"/>
          <w:lang w:val="en-GB"/>
        </w:rPr>
        <w:t xml:space="preserve">The purpose of these guidelines is to provide further details about the information to be submitted to the EBA regarding the benchmarking of remuneration trends and practices by competent authorities </w:t>
      </w:r>
      <w:r w:rsidRPr="00F57A89">
        <w:rPr>
          <w:rFonts w:ascii="Helv" w:hAnsi="Helv" w:cs="Helv"/>
          <w:b/>
          <w:color w:val="0070C0"/>
          <w:sz w:val="20"/>
          <w:szCs w:val="20"/>
          <w:lang w:val="en-GB"/>
        </w:rPr>
        <w:t>under Article 75(1) of Directive 2013/36/EU</w:t>
      </w:r>
      <w:r w:rsidRPr="00692170">
        <w:rPr>
          <w:rFonts w:ascii="Helv" w:hAnsi="Helv" w:cs="Helv"/>
          <w:color w:val="0070C0"/>
          <w:sz w:val="20"/>
          <w:szCs w:val="20"/>
          <w:lang w:val="en-GB"/>
        </w:rPr>
        <w:t xml:space="preserve">. </w:t>
      </w:r>
    </w:p>
    <w:p w:rsidR="0004528D" w:rsidRDefault="00446697" w:rsidP="00F8516F">
      <w:pPr>
        <w:pStyle w:val="Default"/>
        <w:jc w:val="both"/>
        <w:rPr>
          <w:rFonts w:ascii="Helv" w:hAnsi="Helv" w:cs="Helv"/>
          <w:color w:val="0070C0"/>
          <w:sz w:val="20"/>
          <w:szCs w:val="20"/>
          <w:lang w:val="en-GB"/>
        </w:rPr>
      </w:pPr>
      <w:r>
        <w:rPr>
          <w:rFonts w:ascii="Helv" w:hAnsi="Helv" w:cs="Helv"/>
          <w:color w:val="0070C0"/>
          <w:sz w:val="20"/>
          <w:szCs w:val="20"/>
          <w:lang w:val="en-GB"/>
        </w:rPr>
        <w:t>F</w:t>
      </w:r>
      <w:r w:rsidRPr="00446697">
        <w:rPr>
          <w:rFonts w:ascii="Helv" w:hAnsi="Helv" w:cs="Helv"/>
          <w:color w:val="0070C0"/>
          <w:sz w:val="20"/>
          <w:szCs w:val="20"/>
          <w:lang w:val="en-GB"/>
        </w:rPr>
        <w:t xml:space="preserve">rom a strictly legal point of view, </w:t>
      </w:r>
      <w:r w:rsidR="00E07DD5">
        <w:rPr>
          <w:rFonts w:ascii="Helv" w:hAnsi="Helv" w:cs="Helv"/>
          <w:color w:val="0070C0"/>
          <w:sz w:val="20"/>
          <w:szCs w:val="20"/>
          <w:lang w:val="en-GB"/>
        </w:rPr>
        <w:t>we would like to raise the question of</w:t>
      </w:r>
      <w:r w:rsidRPr="00446697">
        <w:rPr>
          <w:rFonts w:ascii="Helv" w:hAnsi="Helv" w:cs="Helv"/>
          <w:color w:val="0070C0"/>
          <w:sz w:val="20"/>
          <w:szCs w:val="20"/>
          <w:lang w:val="en-GB"/>
        </w:rPr>
        <w:t xml:space="preserve"> the legitimacy of such requests</w:t>
      </w:r>
      <w:r>
        <w:rPr>
          <w:rFonts w:ascii="Helv" w:hAnsi="Helv" w:cs="Helv"/>
          <w:color w:val="0070C0"/>
          <w:sz w:val="20"/>
          <w:szCs w:val="20"/>
          <w:lang w:val="en-GB"/>
        </w:rPr>
        <w:t xml:space="preserve">. Indeed, </w:t>
      </w:r>
      <w:r w:rsidR="00B254A1" w:rsidRPr="00B254A1">
        <w:rPr>
          <w:rFonts w:ascii="Helv" w:hAnsi="Helv" w:cs="Helv"/>
          <w:color w:val="0070C0"/>
          <w:sz w:val="20"/>
          <w:szCs w:val="20"/>
          <w:lang w:val="en-GB"/>
        </w:rPr>
        <w:t>Article 75(1) of Directive 2013/36/EU states</w:t>
      </w:r>
      <w:r w:rsidR="00F8516F">
        <w:rPr>
          <w:rFonts w:ascii="Helv" w:hAnsi="Helv" w:cs="Helv"/>
          <w:color w:val="0070C0"/>
          <w:sz w:val="20"/>
          <w:szCs w:val="20"/>
          <w:lang w:val="en-GB"/>
        </w:rPr>
        <w:t xml:space="preserve"> that c</w:t>
      </w:r>
      <w:r w:rsidR="00B254A1" w:rsidRPr="00B254A1">
        <w:rPr>
          <w:rFonts w:ascii="Helv" w:hAnsi="Helv" w:cs="Helv"/>
          <w:color w:val="0070C0"/>
          <w:sz w:val="20"/>
          <w:szCs w:val="20"/>
          <w:lang w:val="en-GB"/>
        </w:rPr>
        <w:t>omp</w:t>
      </w:r>
      <w:r w:rsidR="0004528D">
        <w:rPr>
          <w:rFonts w:ascii="Helv" w:hAnsi="Helv" w:cs="Helv"/>
          <w:color w:val="0070C0"/>
          <w:sz w:val="20"/>
          <w:szCs w:val="20"/>
          <w:lang w:val="en-GB"/>
        </w:rPr>
        <w:t xml:space="preserve">etent authorities shall collect: </w:t>
      </w:r>
    </w:p>
    <w:p w:rsidR="0004528D" w:rsidRDefault="00B254A1" w:rsidP="0004528D">
      <w:pPr>
        <w:pStyle w:val="Default"/>
        <w:numPr>
          <w:ilvl w:val="0"/>
          <w:numId w:val="5"/>
        </w:numPr>
        <w:jc w:val="both"/>
        <w:rPr>
          <w:rFonts w:ascii="Helv" w:hAnsi="Helv" w:cs="Helv"/>
          <w:color w:val="0070C0"/>
          <w:sz w:val="20"/>
          <w:szCs w:val="20"/>
          <w:lang w:val="en-GB"/>
        </w:rPr>
      </w:pPr>
      <w:r w:rsidRPr="0004528D">
        <w:rPr>
          <w:rFonts w:ascii="Helv" w:hAnsi="Helv" w:cs="Helv"/>
          <w:color w:val="0070C0"/>
          <w:sz w:val="20"/>
          <w:szCs w:val="20"/>
          <w:lang w:val="en-GB"/>
        </w:rPr>
        <w:t>the information disclosed in accordance with the criteria for disclosure established in points (g), (h) and (</w:t>
      </w:r>
      <w:proofErr w:type="spellStart"/>
      <w:r w:rsidRPr="0004528D">
        <w:rPr>
          <w:rFonts w:ascii="Helv" w:hAnsi="Helv" w:cs="Helv"/>
          <w:color w:val="0070C0"/>
          <w:sz w:val="20"/>
          <w:szCs w:val="20"/>
          <w:lang w:val="en-GB"/>
        </w:rPr>
        <w:t>i</w:t>
      </w:r>
      <w:proofErr w:type="spellEnd"/>
      <w:r w:rsidRPr="0004528D">
        <w:rPr>
          <w:rFonts w:ascii="Helv" w:hAnsi="Helv" w:cs="Helv"/>
          <w:color w:val="0070C0"/>
          <w:sz w:val="20"/>
          <w:szCs w:val="20"/>
          <w:lang w:val="en-GB"/>
        </w:rPr>
        <w:t>) of Article 450(1) of Regulation (EU) No 575/2013 and shall use it to benchmark re</w:t>
      </w:r>
      <w:r w:rsidR="0004528D" w:rsidRPr="0004528D">
        <w:rPr>
          <w:rFonts w:ascii="Helv" w:hAnsi="Helv" w:cs="Helv"/>
          <w:color w:val="0070C0"/>
          <w:sz w:val="20"/>
          <w:szCs w:val="20"/>
          <w:lang w:val="en-GB"/>
        </w:rPr>
        <w:t xml:space="preserve">muneration trends and practices, and </w:t>
      </w:r>
    </w:p>
    <w:p w:rsidR="0004528D" w:rsidRDefault="0004528D" w:rsidP="0004528D">
      <w:pPr>
        <w:pStyle w:val="Default"/>
        <w:numPr>
          <w:ilvl w:val="0"/>
          <w:numId w:val="5"/>
        </w:numPr>
        <w:jc w:val="both"/>
        <w:rPr>
          <w:rFonts w:ascii="Helv" w:hAnsi="Helv" w:cs="Helv"/>
          <w:color w:val="0070C0"/>
          <w:sz w:val="20"/>
          <w:szCs w:val="20"/>
          <w:lang w:val="en-GB"/>
        </w:rPr>
      </w:pPr>
      <w:r w:rsidRPr="0004528D">
        <w:rPr>
          <w:rFonts w:ascii="Helv" w:hAnsi="Helv" w:cs="Helv"/>
          <w:color w:val="0070C0"/>
          <w:sz w:val="20"/>
          <w:szCs w:val="20"/>
          <w:lang w:val="en-GB"/>
        </w:rPr>
        <w:t xml:space="preserve">information on the number of </w:t>
      </w:r>
      <w:r w:rsidR="00E07DD5">
        <w:rPr>
          <w:rFonts w:ascii="Helv" w:hAnsi="Helv" w:cs="Helv"/>
          <w:color w:val="0070C0"/>
          <w:sz w:val="20"/>
          <w:szCs w:val="20"/>
          <w:lang w:val="en-GB"/>
        </w:rPr>
        <w:t>employees</w:t>
      </w:r>
      <w:r w:rsidRPr="0004528D">
        <w:rPr>
          <w:rFonts w:ascii="Helv" w:hAnsi="Helv" w:cs="Helv"/>
          <w:color w:val="0070C0"/>
          <w:sz w:val="20"/>
          <w:szCs w:val="20"/>
          <w:lang w:val="en-GB"/>
        </w:rPr>
        <w:t xml:space="preserve"> per institution that are remunerated EUR 1 million or more per financial year, in pay brackets of EUR 1 million, including their job responsibilities, the business area involved and the main elements of salary, bonus, long-term award and pension contribution. </w:t>
      </w:r>
    </w:p>
    <w:p w:rsidR="0004528D" w:rsidRDefault="0004528D" w:rsidP="0004528D">
      <w:pPr>
        <w:pStyle w:val="Default"/>
        <w:ind w:left="360"/>
        <w:jc w:val="both"/>
        <w:rPr>
          <w:rFonts w:ascii="Helv" w:hAnsi="Helv" w:cs="Helv"/>
          <w:color w:val="0070C0"/>
          <w:sz w:val="20"/>
          <w:szCs w:val="20"/>
          <w:lang w:val="en-GB"/>
        </w:rPr>
      </w:pPr>
    </w:p>
    <w:p w:rsidR="00833A65" w:rsidRPr="00833A65" w:rsidRDefault="00655947" w:rsidP="00833A65">
      <w:pPr>
        <w:pStyle w:val="Default"/>
        <w:jc w:val="both"/>
        <w:rPr>
          <w:rFonts w:ascii="Helv" w:hAnsi="Helv" w:cs="Helv"/>
          <w:color w:val="0070C0"/>
          <w:sz w:val="20"/>
          <w:szCs w:val="20"/>
          <w:lang w:val="en-GB"/>
        </w:rPr>
      </w:pPr>
      <w:r w:rsidRPr="00F8516F">
        <w:rPr>
          <w:rFonts w:ascii="Helv" w:hAnsi="Helv" w:cs="Helv"/>
          <w:color w:val="0070C0"/>
          <w:sz w:val="20"/>
          <w:szCs w:val="20"/>
          <w:lang w:val="en-GB"/>
        </w:rPr>
        <w:t xml:space="preserve">However, EBA </w:t>
      </w:r>
      <w:r w:rsidR="00221932">
        <w:rPr>
          <w:rFonts w:ascii="Helv" w:hAnsi="Helv" w:cs="Helv"/>
          <w:color w:val="0070C0"/>
          <w:sz w:val="20"/>
          <w:szCs w:val="20"/>
          <w:lang w:val="en-GB"/>
        </w:rPr>
        <w:t xml:space="preserve">has never </w:t>
      </w:r>
      <w:r w:rsidRPr="00F8516F">
        <w:rPr>
          <w:rFonts w:ascii="Helv" w:hAnsi="Helv" w:cs="Helv"/>
          <w:color w:val="0070C0"/>
          <w:sz w:val="20"/>
          <w:szCs w:val="20"/>
          <w:lang w:val="en-GB"/>
        </w:rPr>
        <w:t>address</w:t>
      </w:r>
      <w:r w:rsidR="00221932">
        <w:rPr>
          <w:rFonts w:ascii="Helv" w:hAnsi="Helv" w:cs="Helv"/>
          <w:color w:val="0070C0"/>
          <w:sz w:val="20"/>
          <w:szCs w:val="20"/>
          <w:lang w:val="en-GB"/>
        </w:rPr>
        <w:t>ed</w:t>
      </w:r>
      <w:r w:rsidRPr="00F8516F">
        <w:rPr>
          <w:rFonts w:ascii="Helv" w:hAnsi="Helv" w:cs="Helv"/>
          <w:color w:val="0070C0"/>
          <w:sz w:val="20"/>
          <w:szCs w:val="20"/>
          <w:lang w:val="en-GB"/>
        </w:rPr>
        <w:t xml:space="preserve"> the objectives and benefits of collecting remuneration data for “all staff” which goes </w:t>
      </w:r>
      <w:r w:rsidR="00E07DD5">
        <w:rPr>
          <w:rFonts w:ascii="Helv" w:hAnsi="Helv" w:cs="Helv"/>
          <w:color w:val="0070C0"/>
          <w:sz w:val="20"/>
          <w:szCs w:val="20"/>
          <w:lang w:val="en-GB"/>
        </w:rPr>
        <w:t>far</w:t>
      </w:r>
      <w:r w:rsidRPr="00F8516F">
        <w:rPr>
          <w:rFonts w:ascii="Helv" w:hAnsi="Helv" w:cs="Helv"/>
          <w:color w:val="0070C0"/>
          <w:sz w:val="20"/>
          <w:szCs w:val="20"/>
          <w:lang w:val="en-GB"/>
        </w:rPr>
        <w:t xml:space="preserve"> beyond th</w:t>
      </w:r>
      <w:r w:rsidR="00F57A89">
        <w:rPr>
          <w:rFonts w:ascii="Helv" w:hAnsi="Helv" w:cs="Helv"/>
          <w:color w:val="0070C0"/>
          <w:sz w:val="20"/>
          <w:szCs w:val="20"/>
          <w:lang w:val="en-GB"/>
        </w:rPr>
        <w:t>ese</w:t>
      </w:r>
      <w:r w:rsidRPr="00F8516F">
        <w:rPr>
          <w:rFonts w:ascii="Helv" w:hAnsi="Helv" w:cs="Helv"/>
          <w:color w:val="0070C0"/>
          <w:sz w:val="20"/>
          <w:szCs w:val="20"/>
          <w:lang w:val="en-GB"/>
        </w:rPr>
        <w:t xml:space="preserve"> disclosure requirements</w:t>
      </w:r>
      <w:r w:rsidRPr="00692170">
        <w:rPr>
          <w:rFonts w:ascii="Helv" w:hAnsi="Helv" w:cs="Helv"/>
          <w:color w:val="0070C0"/>
          <w:sz w:val="20"/>
          <w:szCs w:val="20"/>
          <w:lang w:val="en-GB"/>
        </w:rPr>
        <w:t>.</w:t>
      </w:r>
      <w:r w:rsidRPr="00F8516F">
        <w:rPr>
          <w:rFonts w:ascii="Helv" w:hAnsi="Helv" w:cs="Helv"/>
          <w:color w:val="0070C0"/>
          <w:sz w:val="20"/>
          <w:szCs w:val="20"/>
          <w:lang w:val="en-GB"/>
        </w:rPr>
        <w:t xml:space="preserve"> </w:t>
      </w:r>
      <w:r w:rsidR="00833A65" w:rsidRPr="00A37A10">
        <w:rPr>
          <w:rFonts w:ascii="Helv" w:hAnsi="Helv" w:cs="Helv"/>
          <w:color w:val="0070C0"/>
          <w:sz w:val="20"/>
          <w:szCs w:val="20"/>
          <w:lang w:val="en-GB"/>
        </w:rPr>
        <w:t xml:space="preserve">Providing additional data on other employees’ compensation would neither </w:t>
      </w:r>
      <w:r w:rsidR="00542F15">
        <w:rPr>
          <w:rFonts w:ascii="Helv" w:hAnsi="Helv" w:cs="Helv"/>
          <w:color w:val="0070C0"/>
          <w:sz w:val="20"/>
          <w:szCs w:val="20"/>
          <w:lang w:val="en-GB"/>
        </w:rPr>
        <w:t>address</w:t>
      </w:r>
      <w:r w:rsidR="00833A65" w:rsidRPr="00A37A10">
        <w:rPr>
          <w:rFonts w:ascii="Helv" w:hAnsi="Helv" w:cs="Helv"/>
          <w:color w:val="0070C0"/>
          <w:sz w:val="20"/>
          <w:szCs w:val="20"/>
          <w:lang w:val="en-GB"/>
        </w:rPr>
        <w:t xml:space="preserve"> the Directive requirements, nor provide useful information to stakeholders which would allow them to better assess whether sound compensation principles have been put in place.</w:t>
      </w:r>
      <w:r w:rsidR="002458D6">
        <w:rPr>
          <w:rFonts w:ascii="Helv" w:hAnsi="Helv" w:cs="Helv"/>
          <w:color w:val="0070C0"/>
          <w:sz w:val="20"/>
          <w:szCs w:val="20"/>
          <w:lang w:val="en-GB"/>
        </w:rPr>
        <w:t xml:space="preserve"> The completion of Annex 1 creates additional costs for institutions, e</w:t>
      </w:r>
      <w:r w:rsidR="000A1286">
        <w:rPr>
          <w:rFonts w:ascii="Helv" w:hAnsi="Helv" w:cs="Helv"/>
          <w:color w:val="0070C0"/>
          <w:sz w:val="20"/>
          <w:szCs w:val="20"/>
          <w:lang w:val="en-GB"/>
        </w:rPr>
        <w:t>specially for large</w:t>
      </w:r>
      <w:r w:rsidR="002458D6">
        <w:rPr>
          <w:rFonts w:ascii="Helv" w:hAnsi="Helv" w:cs="Helv"/>
          <w:color w:val="0070C0"/>
          <w:sz w:val="20"/>
          <w:szCs w:val="20"/>
          <w:lang w:val="en-GB"/>
        </w:rPr>
        <w:t xml:space="preserve"> international banking groups</w:t>
      </w:r>
      <w:r w:rsidR="005C29FF">
        <w:rPr>
          <w:rFonts w:ascii="Helv" w:hAnsi="Helv" w:cs="Helv"/>
          <w:color w:val="0070C0"/>
          <w:sz w:val="20"/>
          <w:szCs w:val="20"/>
          <w:lang w:val="en-GB"/>
        </w:rPr>
        <w:t xml:space="preserve">, to the extent that the granularity of data requested is not readily available in the existing information systems on a group wide basis. The increased level of granularity will increase compliance costs, with no obvious benefits.  </w:t>
      </w:r>
    </w:p>
    <w:p w:rsidR="00833A65" w:rsidRDefault="00833A65" w:rsidP="00833A65">
      <w:pPr>
        <w:pStyle w:val="Default"/>
        <w:jc w:val="both"/>
        <w:rPr>
          <w:rFonts w:ascii="Helv" w:hAnsi="Helv" w:cs="Helv"/>
          <w:color w:val="0070C0"/>
          <w:sz w:val="20"/>
          <w:szCs w:val="20"/>
          <w:lang w:val="en-GB"/>
        </w:rPr>
      </w:pPr>
    </w:p>
    <w:p w:rsidR="00833A65" w:rsidRDefault="00833A65" w:rsidP="00A37A10">
      <w:pPr>
        <w:pStyle w:val="Default"/>
        <w:rPr>
          <w:rFonts w:ascii="Helv" w:hAnsi="Helv" w:cs="Helv"/>
          <w:color w:val="0070C0"/>
          <w:sz w:val="20"/>
          <w:szCs w:val="20"/>
          <w:lang w:val="en-GB"/>
        </w:rPr>
      </w:pPr>
    </w:p>
    <w:p w:rsidR="003C3236" w:rsidRPr="008A6033" w:rsidRDefault="003C3236" w:rsidP="003C3236">
      <w:pPr>
        <w:pStyle w:val="Default"/>
        <w:jc w:val="both"/>
        <w:rPr>
          <w:rFonts w:ascii="Helv" w:hAnsi="Helv" w:cs="Helv"/>
          <w:b/>
          <w:color w:val="0070C0"/>
          <w:sz w:val="20"/>
          <w:szCs w:val="20"/>
          <w:lang w:val="en-GB"/>
        </w:rPr>
      </w:pPr>
      <w:r>
        <w:rPr>
          <w:rFonts w:ascii="Helv" w:hAnsi="Helv" w:cs="Helv"/>
          <w:b/>
          <w:color w:val="0070C0"/>
          <w:sz w:val="20"/>
          <w:szCs w:val="20"/>
          <w:lang w:val="en-GB"/>
        </w:rPr>
        <w:t>2</w:t>
      </w:r>
      <w:r w:rsidRPr="008A6033">
        <w:rPr>
          <w:rFonts w:ascii="Helv" w:hAnsi="Helv" w:cs="Helv"/>
          <w:b/>
          <w:color w:val="0070C0"/>
          <w:sz w:val="20"/>
          <w:szCs w:val="20"/>
          <w:lang w:val="en-GB"/>
        </w:rPr>
        <w:t xml:space="preserve"> – </w:t>
      </w:r>
      <w:r>
        <w:rPr>
          <w:rFonts w:ascii="Helv" w:hAnsi="Helv" w:cs="Helv"/>
          <w:b/>
          <w:color w:val="0070C0"/>
          <w:sz w:val="20"/>
          <w:szCs w:val="20"/>
          <w:lang w:val="en-GB"/>
        </w:rPr>
        <w:t xml:space="preserve">In annex 1 for </w:t>
      </w:r>
      <w:r w:rsidR="00E07DD5">
        <w:rPr>
          <w:rFonts w:ascii="Helv" w:hAnsi="Helv" w:cs="Helv"/>
          <w:b/>
          <w:color w:val="0070C0"/>
          <w:sz w:val="20"/>
          <w:szCs w:val="20"/>
          <w:lang w:val="en-GB"/>
        </w:rPr>
        <w:t>“</w:t>
      </w:r>
      <w:r>
        <w:rPr>
          <w:rFonts w:ascii="Helv" w:hAnsi="Helv" w:cs="Helv"/>
          <w:b/>
          <w:color w:val="0070C0"/>
          <w:sz w:val="20"/>
          <w:szCs w:val="20"/>
          <w:lang w:val="en-GB"/>
        </w:rPr>
        <w:t>all</w:t>
      </w:r>
      <w:r w:rsidRPr="008A6033">
        <w:rPr>
          <w:rFonts w:ascii="Helv" w:hAnsi="Helv" w:cs="Helv"/>
          <w:b/>
          <w:color w:val="0070C0"/>
          <w:sz w:val="20"/>
          <w:szCs w:val="20"/>
          <w:lang w:val="en-GB"/>
        </w:rPr>
        <w:t xml:space="preserve"> staff</w:t>
      </w:r>
      <w:r w:rsidR="00E07DD5">
        <w:rPr>
          <w:rFonts w:ascii="Helv" w:hAnsi="Helv" w:cs="Helv"/>
          <w:b/>
          <w:color w:val="0070C0"/>
          <w:sz w:val="20"/>
          <w:szCs w:val="20"/>
          <w:lang w:val="en-GB"/>
        </w:rPr>
        <w:t>”</w:t>
      </w:r>
      <w:r w:rsidRPr="008A6033">
        <w:rPr>
          <w:rFonts w:ascii="Helv" w:hAnsi="Helv" w:cs="Helv"/>
          <w:b/>
          <w:color w:val="0070C0"/>
          <w:sz w:val="20"/>
          <w:szCs w:val="20"/>
          <w:lang w:val="en-GB"/>
        </w:rPr>
        <w:t xml:space="preserve">, excluding the mandatory contributions to social security and comparable national schemes addresses numerous technical and practical concerns. </w:t>
      </w:r>
    </w:p>
    <w:p w:rsidR="003C3236" w:rsidRDefault="003C3236" w:rsidP="003C3236">
      <w:pPr>
        <w:pStyle w:val="Default"/>
        <w:rPr>
          <w:rFonts w:ascii="Helv" w:hAnsi="Helv" w:cs="Helv"/>
          <w:color w:val="0070C0"/>
          <w:sz w:val="20"/>
          <w:szCs w:val="20"/>
          <w:lang w:val="en-GB"/>
        </w:rPr>
      </w:pPr>
    </w:p>
    <w:p w:rsidR="00E07DD5" w:rsidRDefault="00E07DD5" w:rsidP="003C3236">
      <w:pPr>
        <w:pStyle w:val="Default"/>
        <w:jc w:val="both"/>
        <w:rPr>
          <w:rFonts w:ascii="Helv" w:hAnsi="Helv" w:cs="Helv"/>
          <w:color w:val="0070C0"/>
          <w:sz w:val="20"/>
          <w:szCs w:val="20"/>
          <w:lang w:val="en-GB"/>
        </w:rPr>
      </w:pPr>
      <w:r>
        <w:rPr>
          <w:rFonts w:ascii="Helv" w:hAnsi="Helv" w:cs="Helv"/>
          <w:color w:val="0070C0"/>
          <w:sz w:val="20"/>
          <w:szCs w:val="20"/>
          <w:lang w:val="en-GB"/>
        </w:rPr>
        <w:t>Moreover, considering the nature of information on “all staff”</w:t>
      </w:r>
      <w:r w:rsidR="00E411AC">
        <w:rPr>
          <w:rFonts w:ascii="Helv" w:hAnsi="Helv" w:cs="Helv"/>
          <w:color w:val="0070C0"/>
          <w:sz w:val="20"/>
          <w:szCs w:val="20"/>
          <w:lang w:val="en-GB"/>
        </w:rPr>
        <w:t xml:space="preserve"> and the breakdown by activities</w:t>
      </w:r>
      <w:r>
        <w:rPr>
          <w:rFonts w:ascii="Helv" w:hAnsi="Helv" w:cs="Helv"/>
          <w:color w:val="0070C0"/>
          <w:sz w:val="20"/>
          <w:szCs w:val="20"/>
          <w:lang w:val="en-GB"/>
        </w:rPr>
        <w:t xml:space="preserve">, </w:t>
      </w:r>
      <w:r w:rsidR="003C3236" w:rsidRPr="00A37A10">
        <w:rPr>
          <w:rFonts w:ascii="Helv" w:hAnsi="Helv" w:cs="Helv"/>
          <w:color w:val="0070C0"/>
          <w:sz w:val="20"/>
          <w:szCs w:val="20"/>
          <w:lang w:val="en-GB"/>
        </w:rPr>
        <w:t xml:space="preserve">EBA </w:t>
      </w:r>
      <w:r>
        <w:rPr>
          <w:rFonts w:ascii="Helv" w:hAnsi="Helv" w:cs="Helv"/>
          <w:color w:val="0070C0"/>
          <w:sz w:val="20"/>
          <w:szCs w:val="20"/>
          <w:lang w:val="en-GB"/>
        </w:rPr>
        <w:t>requests</w:t>
      </w:r>
      <w:r w:rsidR="003C3236" w:rsidRPr="00A37A10">
        <w:rPr>
          <w:rFonts w:ascii="Helv" w:hAnsi="Helv" w:cs="Helv"/>
          <w:color w:val="0070C0"/>
          <w:sz w:val="20"/>
          <w:szCs w:val="20"/>
          <w:lang w:val="en-GB"/>
        </w:rPr>
        <w:t xml:space="preserve"> credit institutions to provide detailed information of all compensation awarded to employees </w:t>
      </w:r>
      <w:r w:rsidR="00D8145B">
        <w:rPr>
          <w:rFonts w:ascii="Helv" w:hAnsi="Helv" w:cs="Helv"/>
          <w:color w:val="0070C0"/>
          <w:sz w:val="20"/>
          <w:szCs w:val="20"/>
          <w:lang w:val="en-GB"/>
        </w:rPr>
        <w:t xml:space="preserve">on a </w:t>
      </w:r>
      <w:r w:rsidR="003C3236" w:rsidRPr="00A37A10">
        <w:rPr>
          <w:rFonts w:ascii="Helv" w:hAnsi="Helv" w:cs="Helv"/>
          <w:color w:val="0070C0"/>
          <w:sz w:val="20"/>
          <w:szCs w:val="20"/>
          <w:lang w:val="en-GB"/>
        </w:rPr>
        <w:t>worldwide</w:t>
      </w:r>
      <w:r w:rsidR="00D8145B">
        <w:rPr>
          <w:rFonts w:ascii="Helv" w:hAnsi="Helv" w:cs="Helv"/>
          <w:color w:val="0070C0"/>
          <w:sz w:val="20"/>
          <w:szCs w:val="20"/>
          <w:lang w:val="en-GB"/>
        </w:rPr>
        <w:t xml:space="preserve"> basis</w:t>
      </w:r>
      <w:r w:rsidR="003C3236" w:rsidRPr="00A37A10">
        <w:rPr>
          <w:rFonts w:ascii="Helv" w:hAnsi="Helv" w:cs="Helv"/>
          <w:color w:val="0070C0"/>
          <w:sz w:val="20"/>
          <w:szCs w:val="20"/>
          <w:lang w:val="en-GB"/>
        </w:rPr>
        <w:t xml:space="preserve">, excluding the mandatory contributions to social security and comparable national schemes. </w:t>
      </w:r>
    </w:p>
    <w:p w:rsidR="003C3236" w:rsidRPr="003C3236" w:rsidRDefault="00E07DD5" w:rsidP="003C3236">
      <w:pPr>
        <w:pStyle w:val="Default"/>
        <w:jc w:val="both"/>
        <w:rPr>
          <w:rFonts w:ascii="Helv" w:hAnsi="Helv" w:cs="Helv"/>
          <w:b/>
          <w:color w:val="0070C0"/>
          <w:sz w:val="20"/>
          <w:szCs w:val="20"/>
          <w:lang w:val="en-GB"/>
        </w:rPr>
      </w:pPr>
      <w:r>
        <w:rPr>
          <w:rFonts w:ascii="Helv" w:hAnsi="Helv" w:cs="Helv"/>
          <w:color w:val="0070C0"/>
          <w:sz w:val="20"/>
          <w:szCs w:val="20"/>
          <w:lang w:val="en-GB"/>
        </w:rPr>
        <w:t>As a</w:t>
      </w:r>
      <w:r w:rsidR="003C3236">
        <w:rPr>
          <w:rFonts w:ascii="Helv" w:hAnsi="Helv" w:cs="Helv"/>
          <w:color w:val="0070C0"/>
          <w:sz w:val="20"/>
          <w:szCs w:val="20"/>
          <w:lang w:val="en-GB"/>
        </w:rPr>
        <w:t>lready mentioned t</w:t>
      </w:r>
      <w:r w:rsidR="003C3236" w:rsidRPr="00D1250C">
        <w:rPr>
          <w:rFonts w:ascii="Helv" w:hAnsi="Helv" w:cs="Helv"/>
          <w:color w:val="0070C0"/>
          <w:sz w:val="20"/>
          <w:szCs w:val="20"/>
          <w:lang w:val="en-GB"/>
        </w:rPr>
        <w:t xml:space="preserve">o EBA in September 2012, </w:t>
      </w:r>
      <w:r w:rsidR="003C3236">
        <w:rPr>
          <w:rFonts w:ascii="Helv" w:hAnsi="Helv" w:cs="Helv"/>
          <w:color w:val="0070C0"/>
          <w:sz w:val="20"/>
          <w:szCs w:val="20"/>
          <w:lang w:val="en-GB"/>
        </w:rPr>
        <w:t xml:space="preserve">this request </w:t>
      </w:r>
      <w:r w:rsidR="003C3236" w:rsidRPr="00D1250C">
        <w:rPr>
          <w:rFonts w:ascii="Helv" w:hAnsi="Helv" w:cs="Helv"/>
          <w:color w:val="0070C0"/>
          <w:sz w:val="20"/>
          <w:szCs w:val="20"/>
          <w:lang w:val="en-GB"/>
        </w:rPr>
        <w:t xml:space="preserve">still </w:t>
      </w:r>
      <w:r w:rsidR="005C29FF">
        <w:rPr>
          <w:rFonts w:ascii="Helv" w:hAnsi="Helv" w:cs="Helv"/>
          <w:color w:val="0070C0"/>
          <w:sz w:val="20"/>
          <w:szCs w:val="20"/>
          <w:lang w:val="en-GB"/>
        </w:rPr>
        <w:t>poses</w:t>
      </w:r>
      <w:r w:rsidR="005C29FF" w:rsidRPr="00A37A10">
        <w:rPr>
          <w:rFonts w:ascii="Helv" w:hAnsi="Helv" w:cs="Helv"/>
          <w:color w:val="0070C0"/>
          <w:sz w:val="20"/>
          <w:szCs w:val="20"/>
          <w:lang w:val="en-GB"/>
        </w:rPr>
        <w:t xml:space="preserve"> </w:t>
      </w:r>
      <w:r w:rsidR="003C3236" w:rsidRPr="00A37A10">
        <w:rPr>
          <w:rFonts w:ascii="Helv" w:hAnsi="Helv" w:cs="Helv"/>
          <w:color w:val="0070C0"/>
          <w:sz w:val="20"/>
          <w:szCs w:val="20"/>
          <w:lang w:val="en-GB"/>
        </w:rPr>
        <w:t xml:space="preserve">numerous technical and practical concerns, especially for large international banking </w:t>
      </w:r>
      <w:r w:rsidR="005C29FF">
        <w:rPr>
          <w:rFonts w:ascii="Helv" w:hAnsi="Helv" w:cs="Helv"/>
          <w:color w:val="0070C0"/>
          <w:sz w:val="20"/>
          <w:szCs w:val="20"/>
          <w:lang w:val="en-GB"/>
        </w:rPr>
        <w:t xml:space="preserve">groups </w:t>
      </w:r>
      <w:r>
        <w:rPr>
          <w:rFonts w:ascii="Helv" w:hAnsi="Helv" w:cs="Helv"/>
          <w:color w:val="0070C0"/>
          <w:sz w:val="20"/>
          <w:szCs w:val="20"/>
          <w:lang w:val="en-GB"/>
        </w:rPr>
        <w:t>based in several countries</w:t>
      </w:r>
      <w:r w:rsidR="003C3236" w:rsidRPr="00833A65">
        <w:rPr>
          <w:rFonts w:ascii="Helv" w:hAnsi="Helv" w:cs="Helv"/>
          <w:color w:val="0070C0"/>
          <w:sz w:val="20"/>
          <w:szCs w:val="20"/>
          <w:lang w:val="en-GB"/>
        </w:rPr>
        <w:t xml:space="preserve">, and </w:t>
      </w:r>
      <w:r w:rsidR="003C3236">
        <w:rPr>
          <w:rFonts w:ascii="Helv" w:hAnsi="Helv" w:cs="Helv"/>
          <w:color w:val="0070C0"/>
          <w:sz w:val="20"/>
          <w:szCs w:val="20"/>
          <w:lang w:val="en-GB"/>
        </w:rPr>
        <w:t xml:space="preserve">in particular </w:t>
      </w:r>
      <w:r w:rsidR="003C3236" w:rsidRPr="00E07DD5">
        <w:rPr>
          <w:rFonts w:ascii="Helv" w:hAnsi="Helv" w:cs="Helv"/>
          <w:color w:val="0070C0"/>
          <w:sz w:val="20"/>
          <w:szCs w:val="20"/>
          <w:lang w:val="en-GB"/>
        </w:rPr>
        <w:t xml:space="preserve">with the new guidelines </w:t>
      </w:r>
      <w:r w:rsidR="00537CB0">
        <w:rPr>
          <w:rFonts w:ascii="Helv" w:hAnsi="Helv" w:cs="Helv"/>
          <w:color w:val="0070C0"/>
          <w:sz w:val="20"/>
          <w:szCs w:val="20"/>
          <w:lang w:val="en-GB"/>
        </w:rPr>
        <w:t>requesting</w:t>
      </w:r>
      <w:r w:rsidR="003C3236" w:rsidRPr="00E07DD5">
        <w:rPr>
          <w:rFonts w:ascii="Helv" w:hAnsi="Helv" w:cs="Helv"/>
          <w:color w:val="0070C0"/>
          <w:sz w:val="20"/>
          <w:szCs w:val="20"/>
          <w:lang w:val="en-GB"/>
        </w:rPr>
        <w:t xml:space="preserve"> a more granular </w:t>
      </w:r>
      <w:r w:rsidR="00537CB0">
        <w:rPr>
          <w:rFonts w:ascii="Helv" w:hAnsi="Helv" w:cs="Helv"/>
          <w:color w:val="0070C0"/>
          <w:sz w:val="20"/>
          <w:szCs w:val="20"/>
          <w:lang w:val="en-GB"/>
        </w:rPr>
        <w:t>breakdown of the remuneration data</w:t>
      </w:r>
      <w:r w:rsidR="003C3236" w:rsidRPr="00E07DD5">
        <w:rPr>
          <w:rFonts w:ascii="Helv" w:hAnsi="Helv" w:cs="Helv"/>
          <w:color w:val="0070C0"/>
          <w:sz w:val="20"/>
          <w:szCs w:val="20"/>
          <w:lang w:val="en-GB"/>
        </w:rPr>
        <w:t xml:space="preserve"> </w:t>
      </w:r>
      <w:r w:rsidR="00537CB0">
        <w:rPr>
          <w:rFonts w:ascii="Helv" w:hAnsi="Helv" w:cs="Helv"/>
          <w:color w:val="0070C0"/>
          <w:sz w:val="20"/>
          <w:szCs w:val="20"/>
          <w:lang w:val="en-GB"/>
        </w:rPr>
        <w:t>by</w:t>
      </w:r>
      <w:r w:rsidR="003C3236" w:rsidRPr="00E07DD5">
        <w:rPr>
          <w:rFonts w:ascii="Helv" w:hAnsi="Helv" w:cs="Helv"/>
          <w:color w:val="0070C0"/>
          <w:sz w:val="20"/>
          <w:szCs w:val="20"/>
          <w:lang w:val="en-GB"/>
        </w:rPr>
        <w:t xml:space="preserve"> activities</w:t>
      </w:r>
      <w:r w:rsidR="00D8145B">
        <w:rPr>
          <w:rFonts w:ascii="Helv" w:hAnsi="Helv" w:cs="Helv"/>
          <w:color w:val="0070C0"/>
          <w:sz w:val="20"/>
          <w:szCs w:val="20"/>
          <w:lang w:val="en-GB"/>
        </w:rPr>
        <w:t>/functions</w:t>
      </w:r>
      <w:r w:rsidR="003C3236" w:rsidRPr="00E07DD5">
        <w:rPr>
          <w:rFonts w:ascii="Helv" w:hAnsi="Helv" w:cs="Helv"/>
          <w:color w:val="0070C0"/>
          <w:sz w:val="20"/>
          <w:szCs w:val="20"/>
          <w:lang w:val="en-GB"/>
        </w:rPr>
        <w:t>:</w:t>
      </w:r>
    </w:p>
    <w:p w:rsidR="003C3236" w:rsidRPr="00537CB0" w:rsidRDefault="005C29FF" w:rsidP="003C3236">
      <w:pPr>
        <w:numPr>
          <w:ilvl w:val="0"/>
          <w:numId w:val="1"/>
        </w:numPr>
        <w:autoSpaceDE w:val="0"/>
        <w:autoSpaceDN w:val="0"/>
        <w:adjustRightInd w:val="0"/>
        <w:spacing w:after="0" w:line="240" w:lineRule="auto"/>
        <w:jc w:val="both"/>
        <w:rPr>
          <w:rFonts w:ascii="Helv" w:eastAsia="Calibri" w:hAnsi="Helv" w:cs="Helv"/>
          <w:color w:val="0070C0"/>
          <w:sz w:val="20"/>
          <w:szCs w:val="20"/>
          <w:lang w:val="en-US"/>
        </w:rPr>
      </w:pPr>
      <w:r>
        <w:rPr>
          <w:rFonts w:ascii="Helv" w:eastAsia="Calibri" w:hAnsi="Helv" w:cs="Helv"/>
          <w:color w:val="0070C0"/>
          <w:sz w:val="20"/>
          <w:szCs w:val="20"/>
          <w:lang w:val="en-GB"/>
        </w:rPr>
        <w:t>From a benchmarking perspective</w:t>
      </w:r>
      <w:r w:rsidR="003C3236" w:rsidRPr="00174C5E">
        <w:rPr>
          <w:rFonts w:ascii="Helv" w:eastAsia="Calibri" w:hAnsi="Helv" w:cs="Helv"/>
          <w:color w:val="0070C0"/>
          <w:sz w:val="20"/>
          <w:szCs w:val="20"/>
          <w:lang w:val="en-GB"/>
        </w:rPr>
        <w:t xml:space="preserve">, there will be major discrepancies due to national social security systems rather than to remuneration levels: institutions which are established </w:t>
      </w:r>
      <w:r>
        <w:rPr>
          <w:rFonts w:ascii="Helv" w:eastAsia="Calibri" w:hAnsi="Helv" w:cs="Helv"/>
          <w:color w:val="0070C0"/>
          <w:sz w:val="20"/>
          <w:szCs w:val="20"/>
          <w:lang w:val="en-GB"/>
        </w:rPr>
        <w:t>mainly</w:t>
      </w:r>
      <w:r w:rsidR="003C3236" w:rsidRPr="00174C5E">
        <w:rPr>
          <w:rFonts w:ascii="Helv" w:eastAsia="Calibri" w:hAnsi="Helv" w:cs="Helv"/>
          <w:color w:val="0070C0"/>
          <w:sz w:val="20"/>
          <w:szCs w:val="20"/>
          <w:lang w:val="en-GB"/>
        </w:rPr>
        <w:t xml:space="preserve"> in countries where the national social security systems are not much developed will tend in general to compensate the state system by voluntary contributions to company schemes </w:t>
      </w:r>
      <w:r w:rsidR="003C3236" w:rsidRPr="00174C5E">
        <w:rPr>
          <w:rFonts w:ascii="Helv" w:eastAsia="Calibri" w:hAnsi="Helv" w:cs="Helv"/>
          <w:color w:val="0070C0"/>
          <w:sz w:val="20"/>
          <w:szCs w:val="20"/>
          <w:lang w:val="en-GB"/>
        </w:rPr>
        <w:lastRenderedPageBreak/>
        <w:t xml:space="preserve">which will automatically increase the total compensation amounts disclosed in the annex I. On the contrary, the other institutions mainly set up in countries in which the mandatory contributions to social security systems are high will exclude from the total remuneration highest amounts of mandatory contributions and will disclose lowest amounts of total compensation. </w:t>
      </w:r>
    </w:p>
    <w:p w:rsidR="005B09BB" w:rsidRPr="006A1D61" w:rsidRDefault="000A1286" w:rsidP="005B09BB">
      <w:pPr>
        <w:numPr>
          <w:ilvl w:val="0"/>
          <w:numId w:val="1"/>
        </w:numPr>
        <w:autoSpaceDE w:val="0"/>
        <w:autoSpaceDN w:val="0"/>
        <w:adjustRightInd w:val="0"/>
        <w:spacing w:after="0" w:line="240" w:lineRule="auto"/>
        <w:jc w:val="both"/>
        <w:rPr>
          <w:rFonts w:ascii="Helv" w:eastAsia="Calibri" w:hAnsi="Helv" w:cs="Helv"/>
          <w:color w:val="0070C0"/>
          <w:sz w:val="20"/>
          <w:szCs w:val="20"/>
          <w:lang w:val="en-US"/>
        </w:rPr>
      </w:pPr>
      <w:r>
        <w:rPr>
          <w:rFonts w:ascii="Helv" w:eastAsia="Calibri" w:hAnsi="Helv" w:cs="Helv"/>
          <w:color w:val="0070C0"/>
          <w:sz w:val="20"/>
          <w:szCs w:val="20"/>
          <w:lang w:val="en-GB"/>
        </w:rPr>
        <w:t>The</w:t>
      </w:r>
      <w:r w:rsidR="00537CB0">
        <w:rPr>
          <w:rFonts w:ascii="Helv" w:eastAsia="Calibri" w:hAnsi="Helv" w:cs="Helv"/>
          <w:color w:val="0070C0"/>
          <w:sz w:val="20"/>
          <w:szCs w:val="20"/>
          <w:lang w:val="en-GB"/>
        </w:rPr>
        <w:t xml:space="preserve"> </w:t>
      </w:r>
      <w:r w:rsidR="005B09BB" w:rsidRPr="00174C5E">
        <w:rPr>
          <w:rFonts w:ascii="Helv" w:eastAsia="Calibri" w:hAnsi="Helv" w:cs="Helv"/>
          <w:color w:val="0070C0"/>
          <w:sz w:val="20"/>
          <w:szCs w:val="20"/>
          <w:lang w:val="en-US"/>
        </w:rPr>
        <w:t xml:space="preserve">breakdown among social charges between mandatory and </w:t>
      </w:r>
      <w:r w:rsidR="001E28B8">
        <w:rPr>
          <w:rFonts w:ascii="Helv" w:eastAsia="Calibri" w:hAnsi="Helv" w:cs="Helv"/>
          <w:color w:val="0070C0"/>
          <w:sz w:val="20"/>
          <w:szCs w:val="20"/>
          <w:lang w:val="en-US"/>
        </w:rPr>
        <w:t>company-wide schemes</w:t>
      </w:r>
      <w:r w:rsidR="005B09BB" w:rsidRPr="00174C5E">
        <w:rPr>
          <w:rFonts w:ascii="Helv" w:eastAsia="Calibri" w:hAnsi="Helv" w:cs="Helv"/>
          <w:color w:val="0070C0"/>
          <w:sz w:val="20"/>
          <w:szCs w:val="20"/>
          <w:lang w:val="en-US"/>
        </w:rPr>
        <w:t xml:space="preserve"> would require </w:t>
      </w:r>
      <w:r w:rsidR="005B09BB" w:rsidRPr="00174C5E">
        <w:rPr>
          <w:rFonts w:ascii="Helv" w:eastAsia="Calibri" w:hAnsi="Helv" w:cs="Helv"/>
          <w:color w:val="0070C0"/>
          <w:sz w:val="20"/>
          <w:szCs w:val="20"/>
          <w:lang w:val="en-GB"/>
        </w:rPr>
        <w:t>each legal entity in every country payroll department to complete these data</w:t>
      </w:r>
      <w:r w:rsidR="002A167C">
        <w:rPr>
          <w:rFonts w:ascii="Helv" w:eastAsia="Calibri" w:hAnsi="Helv" w:cs="Helv"/>
          <w:color w:val="0070C0"/>
          <w:sz w:val="20"/>
          <w:szCs w:val="20"/>
          <w:lang w:val="en-GB"/>
        </w:rPr>
        <w:t>, since the employer contributions tracked in the accounting systems do not distinguish between social security regimes and company schemes</w:t>
      </w:r>
      <w:r w:rsidR="005B09BB" w:rsidRPr="00174C5E">
        <w:rPr>
          <w:rFonts w:ascii="Helv" w:eastAsia="Calibri" w:hAnsi="Helv" w:cs="Helv"/>
          <w:color w:val="0070C0"/>
          <w:sz w:val="20"/>
          <w:szCs w:val="20"/>
          <w:lang w:val="en-GB"/>
        </w:rPr>
        <w:t xml:space="preserve">. </w:t>
      </w:r>
      <w:r>
        <w:rPr>
          <w:rFonts w:ascii="Helv" w:eastAsia="Calibri" w:hAnsi="Helv" w:cs="Helv"/>
          <w:color w:val="0070C0"/>
          <w:sz w:val="20"/>
          <w:szCs w:val="20"/>
          <w:lang w:val="en-GB"/>
        </w:rPr>
        <w:t xml:space="preserve">In a group context, this </w:t>
      </w:r>
      <w:r w:rsidR="00892FB7">
        <w:rPr>
          <w:rFonts w:ascii="Helv" w:eastAsia="Calibri" w:hAnsi="Helv" w:cs="Helv"/>
          <w:color w:val="0070C0"/>
          <w:sz w:val="20"/>
          <w:szCs w:val="20"/>
          <w:lang w:val="en-GB"/>
        </w:rPr>
        <w:t>may</w:t>
      </w:r>
      <w:r>
        <w:rPr>
          <w:rFonts w:ascii="Helv" w:eastAsia="Calibri" w:hAnsi="Helv" w:cs="Helv"/>
          <w:color w:val="0070C0"/>
          <w:sz w:val="20"/>
          <w:szCs w:val="20"/>
          <w:lang w:val="en-GB"/>
        </w:rPr>
        <w:t xml:space="preserve"> require requesting data from hundred</w:t>
      </w:r>
      <w:r w:rsidR="00892FB7">
        <w:rPr>
          <w:rFonts w:ascii="Helv" w:eastAsia="Calibri" w:hAnsi="Helv" w:cs="Helv"/>
          <w:color w:val="0070C0"/>
          <w:sz w:val="20"/>
          <w:szCs w:val="20"/>
          <w:lang w:val="en-GB"/>
        </w:rPr>
        <w:t>s of</w:t>
      </w:r>
      <w:r>
        <w:rPr>
          <w:rFonts w:ascii="Helv" w:eastAsia="Calibri" w:hAnsi="Helv" w:cs="Helv"/>
          <w:color w:val="0070C0"/>
          <w:sz w:val="20"/>
          <w:szCs w:val="20"/>
          <w:lang w:val="en-GB"/>
        </w:rPr>
        <w:t xml:space="preserve"> entities. </w:t>
      </w:r>
      <w:r w:rsidR="005B09BB" w:rsidRPr="00174C5E">
        <w:rPr>
          <w:rFonts w:ascii="Helv" w:eastAsia="Calibri" w:hAnsi="Helv" w:cs="Helv"/>
          <w:color w:val="0070C0"/>
          <w:sz w:val="20"/>
          <w:szCs w:val="20"/>
          <w:lang w:val="en-GB"/>
        </w:rPr>
        <w:t xml:space="preserve">This appears to be disproportionate costs and efforts. </w:t>
      </w:r>
    </w:p>
    <w:p w:rsidR="00B04ECD" w:rsidRPr="006A1D61" w:rsidRDefault="001E28B8" w:rsidP="006A1D61">
      <w:pPr>
        <w:numPr>
          <w:ilvl w:val="0"/>
          <w:numId w:val="1"/>
        </w:numPr>
        <w:autoSpaceDE w:val="0"/>
        <w:autoSpaceDN w:val="0"/>
        <w:adjustRightInd w:val="0"/>
        <w:spacing w:after="0" w:line="240" w:lineRule="auto"/>
        <w:jc w:val="both"/>
        <w:rPr>
          <w:rFonts w:ascii="Helv" w:eastAsia="Calibri" w:hAnsi="Helv" w:cs="Helv"/>
          <w:color w:val="0070C0"/>
          <w:sz w:val="20"/>
          <w:szCs w:val="20"/>
          <w:lang w:val="en-GB"/>
        </w:rPr>
      </w:pPr>
      <w:r>
        <w:rPr>
          <w:rFonts w:ascii="Helv" w:eastAsia="Calibri" w:hAnsi="Helv" w:cs="Helv"/>
          <w:color w:val="0070C0"/>
          <w:sz w:val="20"/>
          <w:szCs w:val="20"/>
          <w:lang w:val="en-GB"/>
        </w:rPr>
        <w:t xml:space="preserve">As mentioned in </w:t>
      </w:r>
      <w:r w:rsidR="000A1286">
        <w:rPr>
          <w:rFonts w:ascii="Helv" w:eastAsia="Calibri" w:hAnsi="Helv" w:cs="Helv"/>
          <w:color w:val="0070C0"/>
          <w:sz w:val="20"/>
          <w:szCs w:val="20"/>
          <w:lang w:val="en-GB"/>
        </w:rPr>
        <w:t xml:space="preserve">paragraph 11 of </w:t>
      </w:r>
      <w:r>
        <w:rPr>
          <w:rFonts w:ascii="Helv" w:eastAsia="Calibri" w:hAnsi="Helv" w:cs="Helv"/>
          <w:color w:val="0070C0"/>
          <w:sz w:val="20"/>
          <w:szCs w:val="20"/>
          <w:lang w:val="en-GB"/>
        </w:rPr>
        <w:t>CEBS guidelines of</w:t>
      </w:r>
      <w:r w:rsidR="000A1286">
        <w:rPr>
          <w:rFonts w:ascii="Helv" w:eastAsia="Calibri" w:hAnsi="Helv" w:cs="Helv"/>
          <w:color w:val="0070C0"/>
          <w:sz w:val="20"/>
          <w:szCs w:val="20"/>
          <w:lang w:val="en-GB"/>
        </w:rPr>
        <w:t xml:space="preserve"> December 2010, </w:t>
      </w:r>
      <w:r w:rsidR="00051975">
        <w:rPr>
          <w:rFonts w:ascii="Helv" w:eastAsia="Calibri" w:hAnsi="Helv" w:cs="Helv"/>
          <w:color w:val="0070C0"/>
          <w:sz w:val="20"/>
          <w:szCs w:val="20"/>
          <w:lang w:val="en-GB"/>
        </w:rPr>
        <w:t>a</w:t>
      </w:r>
      <w:r w:rsidR="003B7B17" w:rsidRPr="006A1D61">
        <w:rPr>
          <w:rFonts w:ascii="Helv" w:eastAsia="Calibri" w:hAnsi="Helv" w:cs="Helv"/>
          <w:color w:val="0070C0"/>
          <w:sz w:val="20"/>
          <w:szCs w:val="20"/>
          <w:lang w:val="en-GB"/>
        </w:rPr>
        <w:t>ncillary payments or</w:t>
      </w:r>
    </w:p>
    <w:p w:rsidR="00537CB0" w:rsidRPr="00174C5E" w:rsidRDefault="003B7B17" w:rsidP="005B09BB">
      <w:pPr>
        <w:autoSpaceDE w:val="0"/>
        <w:autoSpaceDN w:val="0"/>
        <w:adjustRightInd w:val="0"/>
        <w:spacing w:after="0" w:line="240" w:lineRule="auto"/>
        <w:ind w:left="720"/>
        <w:jc w:val="both"/>
        <w:rPr>
          <w:rFonts w:ascii="Helv" w:eastAsia="Calibri" w:hAnsi="Helv" w:cs="Helv"/>
          <w:color w:val="0070C0"/>
          <w:sz w:val="20"/>
          <w:szCs w:val="20"/>
          <w:lang w:val="en-US"/>
        </w:rPr>
      </w:pPr>
      <w:proofErr w:type="gramStart"/>
      <w:r w:rsidRPr="006A1D61">
        <w:rPr>
          <w:rFonts w:ascii="Helv" w:eastAsia="Calibri" w:hAnsi="Helv" w:cs="Helv"/>
          <w:color w:val="0070C0"/>
          <w:sz w:val="20"/>
          <w:szCs w:val="20"/>
          <w:lang w:val="en-GB"/>
        </w:rPr>
        <w:t>benefits</w:t>
      </w:r>
      <w:proofErr w:type="gramEnd"/>
      <w:r w:rsidRPr="006A1D61">
        <w:rPr>
          <w:rFonts w:ascii="Helv" w:eastAsia="Calibri" w:hAnsi="Helv" w:cs="Helv"/>
          <w:color w:val="0070C0"/>
          <w:sz w:val="20"/>
          <w:szCs w:val="20"/>
          <w:lang w:val="en-GB"/>
        </w:rPr>
        <w:t xml:space="preserve"> that are part of a general, non-discretionary, institution-wide policy</w:t>
      </w:r>
      <w:r w:rsidR="00051975">
        <w:rPr>
          <w:rFonts w:ascii="Helv" w:eastAsia="Calibri" w:hAnsi="Helv" w:cs="Helv"/>
          <w:color w:val="0070C0"/>
          <w:sz w:val="20"/>
          <w:szCs w:val="20"/>
          <w:lang w:val="en-GB"/>
        </w:rPr>
        <w:t xml:space="preserve"> (i.e. company-wide pension or health care schemes)</w:t>
      </w:r>
      <w:r w:rsidRPr="006A1D61">
        <w:rPr>
          <w:rFonts w:ascii="Helv" w:eastAsia="Calibri" w:hAnsi="Helv" w:cs="Helv"/>
          <w:color w:val="0070C0"/>
          <w:sz w:val="20"/>
          <w:szCs w:val="20"/>
          <w:lang w:val="en-GB"/>
        </w:rPr>
        <w:t xml:space="preserve"> </w:t>
      </w:r>
      <w:r w:rsidR="00051975">
        <w:rPr>
          <w:rFonts w:ascii="Helv" w:eastAsia="Calibri" w:hAnsi="Helv" w:cs="Helv"/>
          <w:color w:val="0070C0"/>
          <w:sz w:val="20"/>
          <w:szCs w:val="20"/>
          <w:lang w:val="en-GB"/>
        </w:rPr>
        <w:t>pose no incentive effects in terms of risk taking. They will generally be implemented in order to compensate insufficient coverage under national social security regimes. As such, it is not obvious why such data is required under the remuneration benchmarking exercise.</w:t>
      </w:r>
    </w:p>
    <w:p w:rsidR="003C3236" w:rsidRPr="00833A65" w:rsidRDefault="003C3236" w:rsidP="003C3236">
      <w:pPr>
        <w:pStyle w:val="Default"/>
        <w:rPr>
          <w:rFonts w:ascii="Helv" w:hAnsi="Helv" w:cs="Helv"/>
          <w:color w:val="0070C0"/>
          <w:sz w:val="20"/>
          <w:szCs w:val="20"/>
          <w:lang w:val="en-US"/>
        </w:rPr>
      </w:pPr>
    </w:p>
    <w:p w:rsidR="00537CB0" w:rsidRDefault="00537CB0" w:rsidP="003C3236">
      <w:pPr>
        <w:pStyle w:val="Default"/>
        <w:jc w:val="both"/>
        <w:rPr>
          <w:rFonts w:ascii="Helv" w:hAnsi="Helv" w:cs="Helv"/>
          <w:color w:val="0070C0"/>
          <w:sz w:val="20"/>
          <w:szCs w:val="20"/>
          <w:lang w:val="en-US"/>
        </w:rPr>
      </w:pPr>
      <w:r>
        <w:rPr>
          <w:rFonts w:ascii="Helv" w:hAnsi="Helv" w:cs="Helv"/>
          <w:color w:val="0070C0"/>
          <w:sz w:val="20"/>
          <w:szCs w:val="20"/>
          <w:lang w:val="en-US"/>
        </w:rPr>
        <w:t xml:space="preserve">Consequently, </w:t>
      </w:r>
      <w:r w:rsidR="003A6A9D">
        <w:rPr>
          <w:rFonts w:ascii="Helv" w:hAnsi="Helv" w:cs="Helv"/>
          <w:color w:val="0070C0"/>
          <w:sz w:val="20"/>
          <w:szCs w:val="20"/>
          <w:lang w:val="en-US"/>
        </w:rPr>
        <w:t xml:space="preserve">for simplification purposes, </w:t>
      </w:r>
      <w:r>
        <w:rPr>
          <w:rFonts w:ascii="Helv" w:hAnsi="Helv" w:cs="Helv"/>
          <w:color w:val="0070C0"/>
          <w:sz w:val="20"/>
          <w:szCs w:val="20"/>
          <w:lang w:val="en-US"/>
        </w:rPr>
        <w:t>w</w:t>
      </w:r>
      <w:r w:rsidR="003C3236">
        <w:rPr>
          <w:rFonts w:ascii="Helv" w:hAnsi="Helv" w:cs="Helv"/>
          <w:color w:val="0070C0"/>
          <w:sz w:val="20"/>
          <w:szCs w:val="20"/>
          <w:lang w:val="en-US"/>
        </w:rPr>
        <w:t>e suggest</w:t>
      </w:r>
      <w:r w:rsidR="003A6A9D">
        <w:rPr>
          <w:rFonts w:ascii="Helv" w:hAnsi="Helv" w:cs="Helv"/>
          <w:color w:val="0070C0"/>
          <w:sz w:val="20"/>
          <w:szCs w:val="20"/>
          <w:lang w:val="en-US"/>
        </w:rPr>
        <w:t xml:space="preserve"> that the reporting requirements should exclude employer contributions to non-discretionary institution wide retirement and benefits schemes</w:t>
      </w:r>
      <w:r w:rsidR="002A167C">
        <w:rPr>
          <w:rFonts w:ascii="Helv" w:hAnsi="Helv" w:cs="Helv"/>
          <w:color w:val="0070C0"/>
          <w:sz w:val="20"/>
          <w:szCs w:val="20"/>
          <w:lang w:val="en-US"/>
        </w:rPr>
        <w:t xml:space="preserve"> as such data is not readily available in a group context</w:t>
      </w:r>
      <w:r w:rsidR="003A6A9D">
        <w:rPr>
          <w:rFonts w:ascii="Helv" w:hAnsi="Helv" w:cs="Helv"/>
          <w:color w:val="0070C0"/>
          <w:sz w:val="20"/>
          <w:szCs w:val="20"/>
          <w:lang w:val="en-US"/>
        </w:rPr>
        <w:t>.</w:t>
      </w:r>
      <w:r w:rsidR="003C3236">
        <w:rPr>
          <w:rFonts w:ascii="Helv" w:hAnsi="Helv" w:cs="Helv"/>
          <w:color w:val="0070C0"/>
          <w:sz w:val="20"/>
          <w:szCs w:val="20"/>
          <w:lang w:val="en-US"/>
        </w:rPr>
        <w:t xml:space="preserve"> </w:t>
      </w:r>
    </w:p>
    <w:p w:rsidR="003C3236" w:rsidRDefault="003C3236" w:rsidP="003C3236">
      <w:pPr>
        <w:pStyle w:val="Default"/>
        <w:rPr>
          <w:rFonts w:ascii="Helv" w:hAnsi="Helv" w:cs="Helv"/>
          <w:color w:val="0070C0"/>
          <w:sz w:val="20"/>
          <w:szCs w:val="20"/>
          <w:lang w:val="en-GB"/>
        </w:rPr>
      </w:pPr>
    </w:p>
    <w:p w:rsidR="005355EE" w:rsidRDefault="005355EE" w:rsidP="00375A94">
      <w:pPr>
        <w:pStyle w:val="Default"/>
        <w:jc w:val="both"/>
        <w:rPr>
          <w:rFonts w:ascii="Helv" w:hAnsi="Helv" w:cs="Helv"/>
          <w:color w:val="0070C0"/>
          <w:sz w:val="20"/>
          <w:szCs w:val="20"/>
          <w:lang w:val="en-US"/>
        </w:rPr>
      </w:pPr>
      <w:r>
        <w:rPr>
          <w:rFonts w:ascii="Helv" w:hAnsi="Helv" w:cs="Helv"/>
          <w:b/>
          <w:color w:val="0070C0"/>
          <w:sz w:val="20"/>
          <w:szCs w:val="20"/>
          <w:lang w:val="en-GB"/>
        </w:rPr>
        <w:t>3</w:t>
      </w:r>
      <w:r w:rsidRPr="00174C5E">
        <w:rPr>
          <w:rFonts w:ascii="Helv" w:hAnsi="Helv" w:cs="Helv"/>
          <w:b/>
          <w:color w:val="0070C0"/>
          <w:sz w:val="20"/>
          <w:szCs w:val="20"/>
          <w:lang w:val="en-GB"/>
        </w:rPr>
        <w:t xml:space="preserve"> – </w:t>
      </w:r>
      <w:r>
        <w:rPr>
          <w:rFonts w:ascii="Helv" w:hAnsi="Helv" w:cs="Helv"/>
          <w:b/>
          <w:color w:val="0070C0"/>
          <w:sz w:val="20"/>
          <w:szCs w:val="20"/>
          <w:lang w:val="en-GB"/>
        </w:rPr>
        <w:t xml:space="preserve">Data requested </w:t>
      </w:r>
      <w:r w:rsidRPr="00174C5E">
        <w:rPr>
          <w:rFonts w:ascii="Helv" w:hAnsi="Helv" w:cs="Helv"/>
          <w:b/>
          <w:color w:val="0070C0"/>
          <w:sz w:val="20"/>
          <w:szCs w:val="20"/>
          <w:lang w:val="en-GB"/>
        </w:rPr>
        <w:t>are becoming too granular and less confidential</w:t>
      </w:r>
    </w:p>
    <w:p w:rsidR="005355EE" w:rsidRDefault="005355EE" w:rsidP="00375A94">
      <w:pPr>
        <w:pStyle w:val="Default"/>
        <w:jc w:val="both"/>
        <w:rPr>
          <w:rFonts w:ascii="Helv" w:hAnsi="Helv" w:cs="Helv"/>
          <w:color w:val="0070C0"/>
          <w:sz w:val="20"/>
          <w:szCs w:val="20"/>
          <w:lang w:val="en-US"/>
        </w:rPr>
      </w:pPr>
    </w:p>
    <w:p w:rsidR="00823225" w:rsidRDefault="00375A94" w:rsidP="00375A94">
      <w:pPr>
        <w:pStyle w:val="Default"/>
        <w:jc w:val="both"/>
        <w:rPr>
          <w:rFonts w:ascii="Helv" w:hAnsi="Helv" w:cs="Helv"/>
          <w:color w:val="0070C0"/>
          <w:sz w:val="20"/>
          <w:szCs w:val="20"/>
          <w:lang w:val="en-US"/>
        </w:rPr>
      </w:pPr>
      <w:r>
        <w:rPr>
          <w:rFonts w:ascii="Helv" w:hAnsi="Helv" w:cs="Helv"/>
          <w:color w:val="0070C0"/>
          <w:sz w:val="20"/>
          <w:szCs w:val="20"/>
          <w:lang w:val="en-US"/>
        </w:rPr>
        <w:t xml:space="preserve">Moreover, we would like to point out another major concern regarding the level of granularity/breakdown requested in the annex 1 and 2 of these guidelines. Indeed, the breakdown between members of the supervisory functions and management functions with the inclusion of </w:t>
      </w:r>
      <w:r w:rsidRPr="00AA7EC4">
        <w:rPr>
          <w:rFonts w:ascii="Helv" w:hAnsi="Helv" w:cs="Helv"/>
          <w:color w:val="0070C0"/>
          <w:sz w:val="20"/>
          <w:szCs w:val="20"/>
          <w:lang w:val="en-US"/>
        </w:rPr>
        <w:t>non-executive and executive directors of any board in the scope of consolidation</w:t>
      </w:r>
      <w:r w:rsidRPr="00AA7EC4">
        <w:rPr>
          <w:lang w:val="en-US"/>
        </w:rPr>
        <w:t xml:space="preserve"> </w:t>
      </w:r>
      <w:r>
        <w:rPr>
          <w:rFonts w:ascii="Helv" w:hAnsi="Helv" w:cs="Helv"/>
          <w:color w:val="0070C0"/>
          <w:sz w:val="20"/>
          <w:szCs w:val="20"/>
          <w:lang w:val="en-US"/>
        </w:rPr>
        <w:t xml:space="preserve">add another level of complexity in particular for the annex 1 in so far as, as from now, it is not an information followed up neither in our HR/accounting systems at group level nor in HR/accounting systems at local level. </w:t>
      </w:r>
      <w:r w:rsidR="00BE60E9">
        <w:rPr>
          <w:rFonts w:ascii="Helv" w:hAnsi="Helv" w:cs="Helv"/>
          <w:color w:val="0070C0"/>
          <w:sz w:val="20"/>
          <w:szCs w:val="20"/>
          <w:lang w:val="en-US"/>
        </w:rPr>
        <w:t xml:space="preserve">Within large international banking groups, the number of separate legal entities, and so the number of boards </w:t>
      </w:r>
      <w:r w:rsidR="00F00B04">
        <w:rPr>
          <w:rFonts w:ascii="Helv" w:hAnsi="Helv" w:cs="Helv"/>
          <w:color w:val="0070C0"/>
          <w:sz w:val="20"/>
          <w:szCs w:val="20"/>
          <w:lang w:val="en-US"/>
        </w:rPr>
        <w:t>with</w:t>
      </w:r>
      <w:r w:rsidR="00BE60E9">
        <w:rPr>
          <w:rFonts w:ascii="Helv" w:hAnsi="Helv" w:cs="Helv"/>
          <w:color w:val="0070C0"/>
          <w:sz w:val="20"/>
          <w:szCs w:val="20"/>
          <w:lang w:val="en-US"/>
        </w:rPr>
        <w:t>in the scope of consolidation may amount to several hundred</w:t>
      </w:r>
      <w:r w:rsidR="00F00B04">
        <w:rPr>
          <w:rFonts w:ascii="Helv" w:hAnsi="Helv" w:cs="Helv"/>
          <w:color w:val="0070C0"/>
          <w:sz w:val="20"/>
          <w:szCs w:val="20"/>
          <w:lang w:val="en-US"/>
        </w:rPr>
        <w:t xml:space="preserve">. The process of distinguishing precise remuneration data for each board member within the group will be operationally very time consuming and burdensome. This breakdown will also result in meaningless data which cannot be used for benchmarking purposes. For example, for some groups the remuneration data for the management function of the whole group will be mixed with data for </w:t>
      </w:r>
      <w:r w:rsidR="00EE3D13">
        <w:rPr>
          <w:rFonts w:ascii="Helv" w:hAnsi="Helv" w:cs="Helv"/>
          <w:color w:val="0070C0"/>
          <w:sz w:val="20"/>
          <w:szCs w:val="20"/>
          <w:lang w:val="en-US"/>
        </w:rPr>
        <w:t xml:space="preserve">the management function of </w:t>
      </w:r>
      <w:r w:rsidR="00F00B04">
        <w:rPr>
          <w:rFonts w:ascii="Helv" w:hAnsi="Helv" w:cs="Helv"/>
          <w:color w:val="0070C0"/>
          <w:sz w:val="20"/>
          <w:szCs w:val="20"/>
          <w:lang w:val="en-US"/>
        </w:rPr>
        <w:t>some very small entities</w:t>
      </w:r>
      <w:r w:rsidR="00EE3D13">
        <w:rPr>
          <w:rFonts w:ascii="Helv" w:hAnsi="Helv" w:cs="Helv"/>
          <w:color w:val="0070C0"/>
          <w:sz w:val="20"/>
          <w:szCs w:val="20"/>
          <w:lang w:val="en-US"/>
        </w:rPr>
        <w:t xml:space="preserve">, also </w:t>
      </w:r>
      <w:r w:rsidR="00F00B04">
        <w:rPr>
          <w:rFonts w:ascii="Helv" w:hAnsi="Helv" w:cs="Helv"/>
          <w:color w:val="0070C0"/>
          <w:sz w:val="20"/>
          <w:szCs w:val="20"/>
          <w:lang w:val="en-US"/>
        </w:rPr>
        <w:t xml:space="preserve">sometimes in very low income countries (i.e. Africa) and so the </w:t>
      </w:r>
      <w:r w:rsidR="00EE3D13">
        <w:rPr>
          <w:rFonts w:ascii="Helv" w:hAnsi="Helv" w:cs="Helv"/>
          <w:color w:val="0070C0"/>
          <w:sz w:val="20"/>
          <w:szCs w:val="20"/>
          <w:lang w:val="en-US"/>
        </w:rPr>
        <w:t xml:space="preserve">total data for such functions will be diluted and meaningless. </w:t>
      </w:r>
      <w:r w:rsidR="00F00B04">
        <w:rPr>
          <w:rFonts w:ascii="Helv" w:hAnsi="Helv" w:cs="Helv"/>
          <w:color w:val="0070C0"/>
          <w:sz w:val="20"/>
          <w:szCs w:val="20"/>
          <w:lang w:val="en-US"/>
        </w:rPr>
        <w:t xml:space="preserve">    </w:t>
      </w:r>
    </w:p>
    <w:p w:rsidR="00823225" w:rsidRDefault="00823225" w:rsidP="00375A94">
      <w:pPr>
        <w:pStyle w:val="Default"/>
        <w:jc w:val="both"/>
        <w:rPr>
          <w:rFonts w:ascii="Helv" w:hAnsi="Helv" w:cs="Helv"/>
          <w:color w:val="0070C0"/>
          <w:sz w:val="20"/>
          <w:szCs w:val="20"/>
          <w:lang w:val="en-US"/>
        </w:rPr>
      </w:pPr>
    </w:p>
    <w:p w:rsidR="005355EE" w:rsidRDefault="00B254A1" w:rsidP="00B254A1">
      <w:pPr>
        <w:pStyle w:val="Default"/>
        <w:jc w:val="both"/>
        <w:rPr>
          <w:rFonts w:ascii="Helv" w:hAnsi="Helv" w:cs="Helv"/>
          <w:color w:val="0070C0"/>
          <w:sz w:val="20"/>
          <w:szCs w:val="20"/>
          <w:lang w:val="en-US"/>
        </w:rPr>
      </w:pPr>
      <w:r w:rsidRPr="00F8516F">
        <w:rPr>
          <w:rFonts w:ascii="Helv" w:hAnsi="Helv" w:cs="Helv"/>
          <w:color w:val="0070C0"/>
          <w:sz w:val="20"/>
          <w:szCs w:val="20"/>
          <w:lang w:val="en-GB"/>
        </w:rPr>
        <w:t>T</w:t>
      </w:r>
      <w:r w:rsidR="00655947" w:rsidRPr="00F8516F">
        <w:rPr>
          <w:rFonts w:ascii="Helv" w:hAnsi="Helv" w:cs="Helv"/>
          <w:color w:val="0070C0"/>
          <w:sz w:val="20"/>
          <w:szCs w:val="20"/>
          <w:lang w:val="en-GB"/>
        </w:rPr>
        <w:t xml:space="preserve">he templates have been revised, by introducing a more granular </w:t>
      </w:r>
      <w:r w:rsidR="00A730D3">
        <w:rPr>
          <w:rFonts w:ascii="Helv" w:hAnsi="Helv" w:cs="Helv"/>
          <w:color w:val="0070C0"/>
          <w:sz w:val="20"/>
          <w:szCs w:val="20"/>
          <w:lang w:val="en-GB"/>
        </w:rPr>
        <w:t>breakdown</w:t>
      </w:r>
      <w:r w:rsidR="00655947" w:rsidRPr="00F8516F">
        <w:rPr>
          <w:rFonts w:ascii="Helv" w:hAnsi="Helv" w:cs="Helv"/>
          <w:color w:val="0070C0"/>
          <w:sz w:val="20"/>
          <w:szCs w:val="20"/>
          <w:lang w:val="en-GB"/>
        </w:rPr>
        <w:t xml:space="preserve"> </w:t>
      </w:r>
      <w:r w:rsidR="00A730D3" w:rsidRPr="00F8516F">
        <w:rPr>
          <w:rFonts w:ascii="Helv" w:hAnsi="Helv" w:cs="Helv"/>
          <w:color w:val="0070C0"/>
          <w:sz w:val="20"/>
          <w:szCs w:val="20"/>
          <w:lang w:val="en-GB"/>
        </w:rPr>
        <w:t xml:space="preserve">of remuneration </w:t>
      </w:r>
      <w:r w:rsidR="00A730D3">
        <w:rPr>
          <w:rFonts w:ascii="Helv" w:hAnsi="Helv" w:cs="Helv"/>
          <w:color w:val="0070C0"/>
          <w:sz w:val="20"/>
          <w:szCs w:val="20"/>
          <w:lang w:val="en-GB"/>
        </w:rPr>
        <w:t xml:space="preserve">data collected by </w:t>
      </w:r>
      <w:r w:rsidR="00A730D3" w:rsidRPr="00F8516F">
        <w:rPr>
          <w:rFonts w:ascii="Helv" w:hAnsi="Helv" w:cs="Helv"/>
          <w:color w:val="0070C0"/>
          <w:sz w:val="20"/>
          <w:szCs w:val="20"/>
          <w:lang w:val="en-GB"/>
        </w:rPr>
        <w:t>different business areas</w:t>
      </w:r>
      <w:r w:rsidR="00A730D3">
        <w:rPr>
          <w:rFonts w:ascii="Helv" w:hAnsi="Helv" w:cs="Helv"/>
          <w:color w:val="0070C0"/>
          <w:sz w:val="20"/>
          <w:szCs w:val="20"/>
          <w:lang w:val="en-GB"/>
        </w:rPr>
        <w:t xml:space="preserve">, </w:t>
      </w:r>
      <w:r w:rsidR="00A730D3" w:rsidRPr="00F8516F">
        <w:rPr>
          <w:rFonts w:ascii="Helv" w:hAnsi="Helv" w:cs="Helv"/>
          <w:color w:val="0070C0"/>
          <w:sz w:val="20"/>
          <w:szCs w:val="20"/>
          <w:lang w:val="en-GB"/>
        </w:rPr>
        <w:t>control and corporate functions</w:t>
      </w:r>
      <w:r w:rsidR="00655947" w:rsidRPr="00F8516F">
        <w:rPr>
          <w:rFonts w:ascii="Helv" w:hAnsi="Helv" w:cs="Helv"/>
          <w:color w:val="0070C0"/>
          <w:sz w:val="20"/>
          <w:szCs w:val="20"/>
          <w:lang w:val="en-GB"/>
        </w:rPr>
        <w:t xml:space="preserve">, </w:t>
      </w:r>
      <w:r w:rsidR="002C158F">
        <w:rPr>
          <w:rFonts w:ascii="Helv" w:hAnsi="Helv" w:cs="Helv"/>
          <w:color w:val="0070C0"/>
          <w:sz w:val="20"/>
          <w:szCs w:val="20"/>
          <w:lang w:val="en-GB"/>
        </w:rPr>
        <w:t>that</w:t>
      </w:r>
      <w:r w:rsidR="00655947" w:rsidRPr="00F8516F">
        <w:rPr>
          <w:rFonts w:ascii="Helv" w:hAnsi="Helv" w:cs="Helv"/>
          <w:color w:val="0070C0"/>
          <w:sz w:val="20"/>
          <w:szCs w:val="20"/>
          <w:lang w:val="en-GB"/>
        </w:rPr>
        <w:t xml:space="preserve"> were </w:t>
      </w:r>
      <w:r w:rsidR="002C158F">
        <w:rPr>
          <w:rFonts w:ascii="Helv" w:hAnsi="Helv" w:cs="Helv"/>
          <w:color w:val="0070C0"/>
          <w:sz w:val="20"/>
          <w:szCs w:val="20"/>
          <w:lang w:val="en-GB"/>
        </w:rPr>
        <w:t xml:space="preserve">previously </w:t>
      </w:r>
      <w:r w:rsidR="00655947" w:rsidRPr="00F8516F">
        <w:rPr>
          <w:rFonts w:ascii="Helv" w:hAnsi="Helv" w:cs="Helv"/>
          <w:color w:val="0070C0"/>
          <w:sz w:val="20"/>
          <w:szCs w:val="20"/>
          <w:lang w:val="en-GB"/>
        </w:rPr>
        <w:t xml:space="preserve">included in the ‘All other’ functions </w:t>
      </w:r>
      <w:r w:rsidR="00A730D3">
        <w:rPr>
          <w:rFonts w:ascii="Helv" w:hAnsi="Helv" w:cs="Helv"/>
          <w:color w:val="0070C0"/>
          <w:sz w:val="20"/>
          <w:szCs w:val="20"/>
          <w:lang w:val="en-GB"/>
        </w:rPr>
        <w:t>column</w:t>
      </w:r>
      <w:r w:rsidR="00655947" w:rsidRPr="00F8516F">
        <w:rPr>
          <w:rFonts w:ascii="Helv" w:hAnsi="Helv" w:cs="Helv"/>
          <w:color w:val="0070C0"/>
          <w:sz w:val="20"/>
          <w:szCs w:val="20"/>
          <w:lang w:val="en-GB"/>
        </w:rPr>
        <w:t xml:space="preserve"> </w:t>
      </w:r>
      <w:r w:rsidR="00A730D3">
        <w:rPr>
          <w:rFonts w:ascii="Helv" w:hAnsi="Helv" w:cs="Helv"/>
          <w:color w:val="0070C0"/>
          <w:sz w:val="20"/>
          <w:szCs w:val="20"/>
          <w:lang w:val="en-GB"/>
        </w:rPr>
        <w:t xml:space="preserve">in </w:t>
      </w:r>
      <w:r w:rsidR="00655947" w:rsidRPr="00F8516F">
        <w:rPr>
          <w:rFonts w:ascii="Helv" w:hAnsi="Helv" w:cs="Helv"/>
          <w:color w:val="0070C0"/>
          <w:sz w:val="20"/>
          <w:szCs w:val="20"/>
          <w:lang w:val="en-GB"/>
        </w:rPr>
        <w:t xml:space="preserve">the </w:t>
      </w:r>
      <w:r w:rsidR="00A730D3">
        <w:rPr>
          <w:rFonts w:ascii="Helv" w:hAnsi="Helv" w:cs="Helv"/>
          <w:color w:val="0070C0"/>
          <w:sz w:val="20"/>
          <w:szCs w:val="20"/>
          <w:lang w:val="en-GB"/>
        </w:rPr>
        <w:t xml:space="preserve">preceding </w:t>
      </w:r>
      <w:r w:rsidR="00655947" w:rsidRPr="00F8516F">
        <w:rPr>
          <w:rFonts w:ascii="Helv" w:hAnsi="Helv" w:cs="Helv"/>
          <w:color w:val="0070C0"/>
          <w:sz w:val="20"/>
          <w:szCs w:val="20"/>
          <w:lang w:val="en-GB"/>
        </w:rPr>
        <w:t>template</w:t>
      </w:r>
      <w:r w:rsidR="002C158F">
        <w:rPr>
          <w:rFonts w:ascii="Helv" w:hAnsi="Helv" w:cs="Helv"/>
          <w:color w:val="0070C0"/>
          <w:sz w:val="20"/>
          <w:szCs w:val="20"/>
          <w:lang w:val="en-GB"/>
        </w:rPr>
        <w:t>s</w:t>
      </w:r>
      <w:r w:rsidR="00655947" w:rsidRPr="00F8516F">
        <w:rPr>
          <w:rFonts w:ascii="Helv" w:hAnsi="Helv" w:cs="Helv"/>
          <w:color w:val="0070C0"/>
          <w:sz w:val="20"/>
          <w:szCs w:val="20"/>
          <w:lang w:val="en-GB"/>
        </w:rPr>
        <w:t>.</w:t>
      </w:r>
      <w:r w:rsidR="00446697">
        <w:rPr>
          <w:rFonts w:ascii="Helv" w:hAnsi="Helv" w:cs="Helv"/>
          <w:color w:val="0070C0"/>
          <w:sz w:val="20"/>
          <w:szCs w:val="20"/>
          <w:lang w:val="en-GB"/>
        </w:rPr>
        <w:t xml:space="preserve"> </w:t>
      </w:r>
      <w:r w:rsidR="00A730D3">
        <w:rPr>
          <w:rFonts w:ascii="Helv" w:hAnsi="Helv" w:cs="Helv"/>
          <w:color w:val="0070C0"/>
          <w:sz w:val="20"/>
          <w:szCs w:val="20"/>
          <w:lang w:val="en-GB"/>
        </w:rPr>
        <w:t>According to internal organisation of European institutions, t</w:t>
      </w:r>
      <w:r w:rsidR="00F8516F" w:rsidRPr="00F8516F">
        <w:rPr>
          <w:rFonts w:ascii="Helv" w:hAnsi="Helv" w:cs="Helv"/>
          <w:color w:val="0070C0"/>
          <w:sz w:val="20"/>
          <w:szCs w:val="20"/>
          <w:lang w:val="en-GB"/>
        </w:rPr>
        <w:t xml:space="preserve">his level of granularity in activities is not </w:t>
      </w:r>
      <w:r w:rsidR="00446697">
        <w:rPr>
          <w:rFonts w:ascii="Helv" w:hAnsi="Helv" w:cs="Helv"/>
          <w:color w:val="0070C0"/>
          <w:sz w:val="20"/>
          <w:szCs w:val="20"/>
          <w:lang w:val="en-GB"/>
        </w:rPr>
        <w:t xml:space="preserve">the same between </w:t>
      </w:r>
      <w:r w:rsidR="00D8706C">
        <w:rPr>
          <w:rFonts w:ascii="Helv" w:hAnsi="Helv" w:cs="Helv"/>
          <w:color w:val="0070C0"/>
          <w:sz w:val="20"/>
          <w:szCs w:val="20"/>
          <w:lang w:val="en-GB"/>
        </w:rPr>
        <w:t xml:space="preserve">European </w:t>
      </w:r>
      <w:r w:rsidR="00446697">
        <w:rPr>
          <w:rFonts w:ascii="Helv" w:hAnsi="Helv" w:cs="Helv"/>
          <w:color w:val="0070C0"/>
          <w:sz w:val="20"/>
          <w:szCs w:val="20"/>
          <w:lang w:val="en-GB"/>
        </w:rPr>
        <w:t>banks a</w:t>
      </w:r>
      <w:r w:rsidR="00F8516F" w:rsidRPr="00F8516F">
        <w:rPr>
          <w:rFonts w:ascii="Helv" w:hAnsi="Helv" w:cs="Helv"/>
          <w:color w:val="0070C0"/>
          <w:sz w:val="20"/>
          <w:szCs w:val="20"/>
          <w:lang w:val="en-GB"/>
        </w:rPr>
        <w:t>nd will not ease comparison and consistenc</w:t>
      </w:r>
      <w:r w:rsidR="00537CB0">
        <w:rPr>
          <w:rFonts w:ascii="Helv" w:hAnsi="Helv" w:cs="Helv"/>
          <w:color w:val="0070C0"/>
          <w:sz w:val="20"/>
          <w:szCs w:val="20"/>
          <w:lang w:val="en-GB"/>
        </w:rPr>
        <w:t>y</w:t>
      </w:r>
      <w:r w:rsidR="00D8706C">
        <w:rPr>
          <w:rFonts w:ascii="Helv" w:hAnsi="Helv" w:cs="Helv"/>
          <w:color w:val="0070C0"/>
          <w:sz w:val="20"/>
          <w:szCs w:val="20"/>
          <w:lang w:val="en-GB"/>
        </w:rPr>
        <w:t xml:space="preserve"> of remuneration data collected</w:t>
      </w:r>
      <w:r w:rsidR="00F8516F" w:rsidRPr="00F8516F">
        <w:rPr>
          <w:rFonts w:ascii="Helv" w:hAnsi="Helv" w:cs="Helv"/>
          <w:color w:val="0070C0"/>
          <w:sz w:val="20"/>
          <w:szCs w:val="20"/>
          <w:lang w:val="en-GB"/>
        </w:rPr>
        <w:t>.</w:t>
      </w:r>
      <w:r w:rsidR="002C158F">
        <w:rPr>
          <w:rFonts w:ascii="Helv" w:hAnsi="Helv" w:cs="Helv"/>
          <w:color w:val="0070C0"/>
          <w:sz w:val="20"/>
          <w:szCs w:val="20"/>
          <w:lang w:val="en-GB"/>
        </w:rPr>
        <w:t xml:space="preserve"> Finally, due to this finest granularity level, it would lead to disclose in some cases remuneration data</w:t>
      </w:r>
      <w:r w:rsidR="00D8706C">
        <w:rPr>
          <w:rFonts w:ascii="Helv" w:hAnsi="Helv" w:cs="Helv"/>
          <w:color w:val="0070C0"/>
          <w:sz w:val="20"/>
          <w:szCs w:val="20"/>
          <w:lang w:val="en-GB"/>
        </w:rPr>
        <w:t xml:space="preserve"> by individuals</w:t>
      </w:r>
      <w:r w:rsidR="002C158F">
        <w:rPr>
          <w:rFonts w:ascii="Helv" w:hAnsi="Helv" w:cs="Helv"/>
          <w:color w:val="0070C0"/>
          <w:sz w:val="20"/>
          <w:szCs w:val="20"/>
          <w:lang w:val="en-GB"/>
        </w:rPr>
        <w:t>.</w:t>
      </w:r>
      <w:r w:rsidR="005355EE" w:rsidRPr="005355EE">
        <w:rPr>
          <w:rFonts w:ascii="Helv" w:hAnsi="Helv" w:cs="Helv"/>
          <w:color w:val="0070C0"/>
          <w:sz w:val="20"/>
          <w:szCs w:val="20"/>
          <w:lang w:val="en-US"/>
        </w:rPr>
        <w:t xml:space="preserve"> </w:t>
      </w:r>
    </w:p>
    <w:p w:rsidR="005355EE" w:rsidRDefault="005355EE" w:rsidP="00B254A1">
      <w:pPr>
        <w:pStyle w:val="Default"/>
        <w:jc w:val="both"/>
        <w:rPr>
          <w:rFonts w:ascii="Helv" w:hAnsi="Helv" w:cs="Helv"/>
          <w:color w:val="0070C0"/>
          <w:sz w:val="20"/>
          <w:szCs w:val="20"/>
          <w:lang w:val="en-US"/>
        </w:rPr>
      </w:pPr>
    </w:p>
    <w:p w:rsidR="00F8516F" w:rsidRPr="00F8516F" w:rsidRDefault="005355EE" w:rsidP="00B254A1">
      <w:pPr>
        <w:pStyle w:val="Default"/>
        <w:jc w:val="both"/>
        <w:rPr>
          <w:rFonts w:ascii="Helv" w:hAnsi="Helv" w:cs="Helv"/>
          <w:color w:val="0070C0"/>
          <w:sz w:val="20"/>
          <w:szCs w:val="20"/>
          <w:lang w:val="en-GB"/>
        </w:rPr>
      </w:pPr>
      <w:r>
        <w:rPr>
          <w:rFonts w:ascii="Helv" w:hAnsi="Helv" w:cs="Helv"/>
          <w:color w:val="0070C0"/>
          <w:sz w:val="20"/>
          <w:szCs w:val="20"/>
          <w:lang w:val="en-US"/>
        </w:rPr>
        <w:t>In addition, in a consolidated group context, the head office will not have readily available information for “all staff” in all of its subsidiaries broken down to such a level of granularity (i.e. control functions, corporate functions, etc.)</w:t>
      </w:r>
      <w:r w:rsidR="00B04ECD">
        <w:rPr>
          <w:rFonts w:ascii="Helv" w:hAnsi="Helv" w:cs="Helv"/>
          <w:color w:val="0070C0"/>
          <w:sz w:val="20"/>
          <w:szCs w:val="20"/>
          <w:lang w:val="en-US"/>
        </w:rPr>
        <w:t>, so the suggested breakdown will increase reporting costs</w:t>
      </w:r>
      <w:r>
        <w:rPr>
          <w:rFonts w:ascii="Helv" w:hAnsi="Helv" w:cs="Helv"/>
          <w:color w:val="0070C0"/>
          <w:sz w:val="20"/>
          <w:szCs w:val="20"/>
          <w:lang w:val="en-US"/>
        </w:rPr>
        <w:t>.</w:t>
      </w:r>
    </w:p>
    <w:p w:rsidR="00174C5E" w:rsidRDefault="00174C5E" w:rsidP="00174C5E">
      <w:pPr>
        <w:pStyle w:val="Default"/>
        <w:rPr>
          <w:rFonts w:ascii="Helv" w:hAnsi="Helv" w:cs="Helv"/>
          <w:color w:val="0070C0"/>
          <w:sz w:val="20"/>
          <w:szCs w:val="20"/>
          <w:lang w:val="en-GB"/>
        </w:rPr>
      </w:pPr>
    </w:p>
    <w:p w:rsidR="005355EE" w:rsidRDefault="005355EE" w:rsidP="005355EE">
      <w:pPr>
        <w:pStyle w:val="Default"/>
        <w:jc w:val="both"/>
        <w:rPr>
          <w:rFonts w:ascii="Helv" w:hAnsi="Helv" w:cs="Helv"/>
          <w:color w:val="0070C0"/>
          <w:sz w:val="20"/>
          <w:szCs w:val="20"/>
          <w:lang w:val="en-US"/>
        </w:rPr>
      </w:pPr>
      <w:r>
        <w:rPr>
          <w:rFonts w:ascii="Helv" w:hAnsi="Helv" w:cs="Helv"/>
          <w:color w:val="0070C0"/>
          <w:sz w:val="20"/>
          <w:szCs w:val="20"/>
          <w:lang w:val="en-US"/>
        </w:rPr>
        <w:t>Consequently, we would suggest keeping the</w:t>
      </w:r>
      <w:r w:rsidR="00B04ECD">
        <w:rPr>
          <w:rFonts w:ascii="Helv" w:hAnsi="Helv" w:cs="Helv"/>
          <w:color w:val="0070C0"/>
          <w:sz w:val="20"/>
          <w:szCs w:val="20"/>
          <w:lang w:val="en-US"/>
        </w:rPr>
        <w:t xml:space="preserve"> same</w:t>
      </w:r>
      <w:r>
        <w:rPr>
          <w:rFonts w:ascii="Helv" w:hAnsi="Helv" w:cs="Helv"/>
          <w:color w:val="0070C0"/>
          <w:sz w:val="20"/>
          <w:szCs w:val="20"/>
          <w:lang w:val="en-US"/>
        </w:rPr>
        <w:t xml:space="preserve"> breakdown </w:t>
      </w:r>
      <w:r w:rsidR="009E0965">
        <w:rPr>
          <w:rFonts w:ascii="Helv" w:hAnsi="Helv" w:cs="Helv"/>
          <w:color w:val="0070C0"/>
          <w:sz w:val="20"/>
          <w:szCs w:val="20"/>
          <w:lang w:val="en-US"/>
        </w:rPr>
        <w:t>by business area</w:t>
      </w:r>
      <w:r w:rsidR="00B04ECD">
        <w:rPr>
          <w:rFonts w:ascii="Helv" w:hAnsi="Helv" w:cs="Helv"/>
          <w:color w:val="0070C0"/>
          <w:sz w:val="20"/>
          <w:szCs w:val="20"/>
          <w:lang w:val="en-US"/>
        </w:rPr>
        <w:t xml:space="preserve"> as requested in the previous </w:t>
      </w:r>
      <w:r>
        <w:rPr>
          <w:rFonts w:ascii="Helv" w:hAnsi="Helv" w:cs="Helv"/>
          <w:color w:val="0070C0"/>
          <w:sz w:val="20"/>
          <w:szCs w:val="20"/>
          <w:lang w:val="en-US"/>
        </w:rPr>
        <w:t>benchmarking exercise</w:t>
      </w:r>
      <w:r w:rsidR="00B04ECD">
        <w:rPr>
          <w:rFonts w:ascii="Helv" w:hAnsi="Helv" w:cs="Helv"/>
          <w:color w:val="0070C0"/>
          <w:sz w:val="20"/>
          <w:szCs w:val="20"/>
          <w:lang w:val="en-US"/>
        </w:rPr>
        <w:t>s</w:t>
      </w:r>
      <w:r w:rsidR="009E0965">
        <w:rPr>
          <w:rFonts w:ascii="Helv" w:hAnsi="Helv" w:cs="Helv"/>
          <w:color w:val="0070C0"/>
          <w:sz w:val="20"/>
          <w:szCs w:val="20"/>
          <w:lang w:val="en-US"/>
        </w:rPr>
        <w:t>,</w:t>
      </w:r>
      <w:r>
        <w:rPr>
          <w:rFonts w:ascii="Helv" w:hAnsi="Helv" w:cs="Helv"/>
          <w:color w:val="0070C0"/>
          <w:sz w:val="20"/>
          <w:szCs w:val="20"/>
          <w:lang w:val="en-US"/>
        </w:rPr>
        <w:t xml:space="preserve"> </w:t>
      </w:r>
      <w:r w:rsidR="009E0965">
        <w:rPr>
          <w:rFonts w:ascii="Helv" w:hAnsi="Helv" w:cs="Helv"/>
          <w:color w:val="0070C0"/>
          <w:sz w:val="20"/>
          <w:szCs w:val="20"/>
          <w:lang w:val="en-US"/>
        </w:rPr>
        <w:t>which</w:t>
      </w:r>
      <w:r>
        <w:rPr>
          <w:rFonts w:ascii="Helv" w:hAnsi="Helv" w:cs="Helv"/>
          <w:color w:val="0070C0"/>
          <w:sz w:val="20"/>
          <w:szCs w:val="20"/>
          <w:lang w:val="en-US"/>
        </w:rPr>
        <w:t xml:space="preserve"> </w:t>
      </w:r>
      <w:r w:rsidR="009E0965">
        <w:rPr>
          <w:rFonts w:ascii="Helv" w:hAnsi="Helv" w:cs="Helv"/>
          <w:color w:val="0070C0"/>
          <w:sz w:val="20"/>
          <w:szCs w:val="20"/>
          <w:lang w:val="en-US"/>
        </w:rPr>
        <w:t>is</w:t>
      </w:r>
      <w:r>
        <w:rPr>
          <w:rFonts w:ascii="Helv" w:hAnsi="Helv" w:cs="Helv"/>
          <w:color w:val="0070C0"/>
          <w:sz w:val="20"/>
          <w:szCs w:val="20"/>
          <w:lang w:val="en-US"/>
        </w:rPr>
        <w:t xml:space="preserve"> consistent</w:t>
      </w:r>
      <w:r w:rsidR="009E0965">
        <w:rPr>
          <w:rFonts w:ascii="Helv" w:hAnsi="Helv" w:cs="Helv"/>
          <w:color w:val="0070C0"/>
          <w:sz w:val="20"/>
          <w:szCs w:val="20"/>
          <w:lang w:val="en-US"/>
        </w:rPr>
        <w:t xml:space="preserve"> with the</w:t>
      </w:r>
      <w:r>
        <w:rPr>
          <w:rFonts w:ascii="Helv" w:hAnsi="Helv" w:cs="Helv"/>
          <w:color w:val="0070C0"/>
          <w:sz w:val="20"/>
          <w:szCs w:val="20"/>
          <w:lang w:val="en-US"/>
        </w:rPr>
        <w:t xml:space="preserve"> breakd</w:t>
      </w:r>
      <w:r w:rsidR="009E0965">
        <w:rPr>
          <w:rFonts w:ascii="Helv" w:hAnsi="Helv" w:cs="Helv"/>
          <w:color w:val="0070C0"/>
          <w:sz w:val="20"/>
          <w:szCs w:val="20"/>
          <w:lang w:val="en-US"/>
        </w:rPr>
        <w:t>own a</w:t>
      </w:r>
      <w:r>
        <w:rPr>
          <w:rFonts w:ascii="Helv" w:hAnsi="Helv" w:cs="Helv"/>
          <w:color w:val="0070C0"/>
          <w:sz w:val="20"/>
          <w:szCs w:val="20"/>
          <w:lang w:val="en-US"/>
        </w:rPr>
        <w:t>pplied by the majority of European banking institutions (Investment banking, retail banking, asset management, and others). For the reasons set out above, only the data for the Supervisory function and Management function at the highest level of consolidation should be reported separately.</w:t>
      </w:r>
    </w:p>
    <w:p w:rsidR="00174C5E" w:rsidRPr="00A37A10" w:rsidRDefault="00174C5E" w:rsidP="00174C5E">
      <w:pPr>
        <w:pStyle w:val="Default"/>
        <w:jc w:val="both"/>
        <w:rPr>
          <w:rFonts w:ascii="Helv" w:hAnsi="Helv" w:cs="Helv"/>
          <w:color w:val="0070C0"/>
          <w:sz w:val="20"/>
          <w:szCs w:val="20"/>
          <w:lang w:val="en-GB"/>
        </w:rPr>
      </w:pPr>
      <w:r>
        <w:rPr>
          <w:rFonts w:ascii="Helv" w:hAnsi="Helv" w:cs="Helv"/>
          <w:color w:val="0070C0"/>
          <w:sz w:val="20"/>
          <w:szCs w:val="20"/>
          <w:lang w:val="en-GB"/>
        </w:rPr>
        <w:t xml:space="preserve">Indeed, the more detail </w:t>
      </w:r>
      <w:r w:rsidR="00C44EAF">
        <w:rPr>
          <w:rFonts w:ascii="Helv" w:hAnsi="Helv" w:cs="Helv"/>
          <w:color w:val="0070C0"/>
          <w:sz w:val="20"/>
          <w:szCs w:val="20"/>
          <w:lang w:val="en-GB"/>
        </w:rPr>
        <w:t xml:space="preserve">required in terms of </w:t>
      </w:r>
      <w:r>
        <w:rPr>
          <w:rFonts w:ascii="Helv" w:hAnsi="Helv" w:cs="Helv"/>
          <w:color w:val="0070C0"/>
          <w:sz w:val="20"/>
          <w:szCs w:val="20"/>
          <w:lang w:val="en-GB"/>
        </w:rPr>
        <w:t>activities and information, the more we increase the risk of dis</w:t>
      </w:r>
      <w:r w:rsidR="00A730D3">
        <w:rPr>
          <w:rFonts w:ascii="Helv" w:hAnsi="Helv" w:cs="Helv"/>
          <w:color w:val="0070C0"/>
          <w:sz w:val="20"/>
          <w:szCs w:val="20"/>
          <w:lang w:val="en-GB"/>
        </w:rPr>
        <w:t>crepancies</w:t>
      </w:r>
      <w:r>
        <w:rPr>
          <w:rFonts w:ascii="Helv" w:hAnsi="Helv" w:cs="Helv"/>
          <w:color w:val="0070C0"/>
          <w:sz w:val="20"/>
          <w:szCs w:val="20"/>
          <w:lang w:val="en-GB"/>
        </w:rPr>
        <w:t xml:space="preserve"> between banks and the less comparison</w:t>
      </w:r>
      <w:r w:rsidR="00A730D3">
        <w:rPr>
          <w:rFonts w:ascii="Helv" w:hAnsi="Helv" w:cs="Helv"/>
          <w:color w:val="0070C0"/>
          <w:sz w:val="20"/>
          <w:szCs w:val="20"/>
          <w:lang w:val="en-GB"/>
        </w:rPr>
        <w:t xml:space="preserve"> is</w:t>
      </w:r>
      <w:r>
        <w:rPr>
          <w:rFonts w:ascii="Helv" w:hAnsi="Helv" w:cs="Helv"/>
          <w:color w:val="0070C0"/>
          <w:sz w:val="20"/>
          <w:szCs w:val="20"/>
          <w:lang w:val="en-GB"/>
        </w:rPr>
        <w:t xml:space="preserve"> relevant. </w:t>
      </w:r>
      <w:r w:rsidR="002C158F">
        <w:rPr>
          <w:rFonts w:ascii="Helv" w:hAnsi="Helv" w:cs="Helv"/>
          <w:color w:val="0070C0"/>
          <w:sz w:val="20"/>
          <w:szCs w:val="20"/>
          <w:lang w:val="en-GB"/>
        </w:rPr>
        <w:t>This comment is applicable both to the remuneration benchmarking and data collection on high earners.</w:t>
      </w:r>
    </w:p>
    <w:p w:rsidR="00B254A1" w:rsidRDefault="00B254A1" w:rsidP="00B254A1">
      <w:pPr>
        <w:pStyle w:val="Default"/>
        <w:jc w:val="both"/>
        <w:rPr>
          <w:spacing w:val="-4"/>
          <w:w w:val="105"/>
          <w:sz w:val="22"/>
          <w:szCs w:val="22"/>
          <w:lang w:val="en-US"/>
        </w:rPr>
      </w:pPr>
    </w:p>
    <w:p w:rsidR="00C23F63" w:rsidRDefault="00C23F63" w:rsidP="00B254A1">
      <w:pPr>
        <w:pStyle w:val="Default"/>
        <w:jc w:val="both"/>
        <w:rPr>
          <w:spacing w:val="-4"/>
          <w:w w:val="105"/>
          <w:sz w:val="22"/>
          <w:szCs w:val="22"/>
          <w:lang w:val="en-US"/>
        </w:rPr>
      </w:pPr>
    </w:p>
    <w:p w:rsidR="00A37A10" w:rsidRPr="00D8706C" w:rsidRDefault="00D8706C" w:rsidP="009C7DDB">
      <w:pPr>
        <w:pStyle w:val="Default"/>
        <w:rPr>
          <w:rFonts w:ascii="Helv" w:hAnsi="Helv" w:cs="Helv"/>
          <w:b/>
          <w:color w:val="0070C0"/>
          <w:sz w:val="20"/>
          <w:szCs w:val="20"/>
          <w:lang w:val="en-GB"/>
        </w:rPr>
      </w:pPr>
      <w:r w:rsidRPr="00D8706C">
        <w:rPr>
          <w:rFonts w:ascii="Helv" w:hAnsi="Helv" w:cs="Helv"/>
          <w:b/>
          <w:color w:val="0070C0"/>
          <w:sz w:val="20"/>
          <w:szCs w:val="20"/>
          <w:lang w:val="en-GB"/>
        </w:rPr>
        <w:lastRenderedPageBreak/>
        <w:t>4- Data collection on high Earners</w:t>
      </w:r>
    </w:p>
    <w:p w:rsidR="006A1D61" w:rsidRDefault="006A1D61" w:rsidP="00D8706C">
      <w:pPr>
        <w:jc w:val="both"/>
        <w:rPr>
          <w:rFonts w:ascii="Helv" w:hAnsi="Helv" w:cs="Helv"/>
          <w:color w:val="0070C0"/>
          <w:sz w:val="20"/>
          <w:szCs w:val="20"/>
          <w:lang w:val="en-GB"/>
        </w:rPr>
      </w:pPr>
    </w:p>
    <w:p w:rsidR="00D8706C" w:rsidRDefault="00D8706C" w:rsidP="00D8706C">
      <w:pPr>
        <w:jc w:val="both"/>
        <w:rPr>
          <w:rFonts w:ascii="Helv" w:hAnsi="Helv" w:cs="Helv"/>
          <w:color w:val="0070C0"/>
          <w:sz w:val="20"/>
          <w:szCs w:val="20"/>
          <w:lang w:val="en-US"/>
        </w:rPr>
      </w:pPr>
      <w:r>
        <w:rPr>
          <w:rFonts w:ascii="Helv" w:hAnsi="Helv" w:cs="Helv"/>
          <w:color w:val="0070C0"/>
          <w:sz w:val="20"/>
          <w:szCs w:val="20"/>
          <w:lang w:val="en-GB"/>
        </w:rPr>
        <w:t>We understand that t</w:t>
      </w:r>
      <w:r w:rsidRPr="00F918A2">
        <w:rPr>
          <w:rFonts w:ascii="Helv" w:hAnsi="Helv" w:cs="Helv"/>
          <w:color w:val="0070C0"/>
          <w:sz w:val="20"/>
          <w:szCs w:val="20"/>
          <w:lang w:val="en-GB"/>
        </w:rPr>
        <w:t xml:space="preserve">hese guidelines facilitate the </w:t>
      </w:r>
      <w:r w:rsidRPr="0092636B">
        <w:rPr>
          <w:rFonts w:ascii="Helv" w:hAnsi="Helv" w:cs="Helv"/>
          <w:color w:val="0070C0"/>
          <w:sz w:val="20"/>
          <w:szCs w:val="20"/>
          <w:lang w:val="en-GB"/>
        </w:rPr>
        <w:t>implementation of Article 75 (3) of Directive 2013/36/EU1</w:t>
      </w:r>
      <w:r w:rsidRPr="00F918A2">
        <w:rPr>
          <w:rFonts w:ascii="Helv" w:hAnsi="Helv" w:cs="Helv"/>
          <w:color w:val="0070C0"/>
          <w:sz w:val="20"/>
          <w:szCs w:val="20"/>
          <w:lang w:val="en-GB"/>
        </w:rPr>
        <w:t xml:space="preserve"> </w:t>
      </w:r>
      <w:r>
        <w:rPr>
          <w:rFonts w:ascii="Helv" w:hAnsi="Helv" w:cs="Helv"/>
          <w:color w:val="0070C0"/>
          <w:sz w:val="20"/>
          <w:szCs w:val="20"/>
          <w:lang w:val="en-GB"/>
        </w:rPr>
        <w:t xml:space="preserve">stating that </w:t>
      </w:r>
      <w:r w:rsidRPr="00F918A2">
        <w:rPr>
          <w:rFonts w:ascii="Helv" w:hAnsi="Helv" w:cs="Helv"/>
          <w:color w:val="0070C0"/>
          <w:sz w:val="20"/>
          <w:szCs w:val="20"/>
          <w:lang w:val="en-US"/>
        </w:rPr>
        <w:t xml:space="preserve">competent authorities shall collect information on the number of natural persons per institution </w:t>
      </w:r>
      <w:r w:rsidRPr="00806973">
        <w:rPr>
          <w:rFonts w:ascii="Helv" w:hAnsi="Helv" w:cs="Helv"/>
          <w:color w:val="0070C0"/>
          <w:sz w:val="20"/>
          <w:szCs w:val="20"/>
          <w:lang w:val="en-US"/>
        </w:rPr>
        <w:t xml:space="preserve">that are remunerated EUR 1 million or more per financial year, in pay brackets of EUR 1 million, including their job responsibilities, the business area involved and the main elements of salary, bonus, long-term award and pension contribution. </w:t>
      </w:r>
    </w:p>
    <w:p w:rsidR="00D8706C" w:rsidRDefault="00D8706C" w:rsidP="00D8706C">
      <w:pPr>
        <w:jc w:val="both"/>
        <w:rPr>
          <w:rFonts w:ascii="Helv" w:hAnsi="Helv" w:cs="Helv"/>
          <w:color w:val="0070C0"/>
          <w:sz w:val="20"/>
          <w:szCs w:val="20"/>
          <w:lang w:val="en-GB"/>
        </w:rPr>
      </w:pPr>
      <w:r>
        <w:rPr>
          <w:rFonts w:ascii="Helv" w:hAnsi="Helv" w:cs="Helv"/>
          <w:color w:val="0070C0"/>
          <w:sz w:val="20"/>
          <w:szCs w:val="20"/>
          <w:lang w:val="en-GB"/>
        </w:rPr>
        <w:t xml:space="preserve">However, we consider that the remuneration data already collected in the preceding templates on data collection for high earners already complied with the provisions of the article 75 (3) of the Directive CRD4 and that remuneration data for those among high earners who are also Material Risk Takers are already disclosed in the new templates of the appendix </w:t>
      </w:r>
      <w:r w:rsidR="00731EE1">
        <w:rPr>
          <w:rFonts w:ascii="Helv" w:hAnsi="Helv" w:cs="Helv"/>
          <w:color w:val="0070C0"/>
          <w:sz w:val="20"/>
          <w:szCs w:val="20"/>
          <w:lang w:val="en-GB"/>
        </w:rPr>
        <w:t>2</w:t>
      </w:r>
      <w:r>
        <w:rPr>
          <w:rFonts w:ascii="Helv" w:hAnsi="Helv" w:cs="Helv"/>
          <w:color w:val="0070C0"/>
          <w:sz w:val="20"/>
          <w:szCs w:val="20"/>
          <w:lang w:val="en-GB"/>
        </w:rPr>
        <w:t xml:space="preserve"> of benchmarking exercise. </w:t>
      </w:r>
    </w:p>
    <w:p w:rsidR="00731EE1" w:rsidRDefault="00731EE1" w:rsidP="00D8706C">
      <w:pPr>
        <w:pStyle w:val="Default"/>
        <w:jc w:val="both"/>
        <w:rPr>
          <w:rFonts w:ascii="Helv" w:hAnsi="Helv" w:cs="Helv"/>
          <w:color w:val="0070C0"/>
          <w:sz w:val="20"/>
          <w:szCs w:val="20"/>
          <w:lang w:val="en-GB"/>
        </w:rPr>
      </w:pPr>
    </w:p>
    <w:p w:rsidR="00D8706C" w:rsidRPr="00F8516F" w:rsidRDefault="00D8706C" w:rsidP="00D8706C">
      <w:pPr>
        <w:pStyle w:val="Default"/>
        <w:jc w:val="both"/>
        <w:rPr>
          <w:rFonts w:ascii="Helv" w:hAnsi="Helv" w:cs="Helv"/>
          <w:color w:val="0070C0"/>
          <w:sz w:val="20"/>
          <w:szCs w:val="20"/>
          <w:lang w:val="en-GB"/>
        </w:rPr>
      </w:pPr>
      <w:r>
        <w:rPr>
          <w:rFonts w:ascii="Helv" w:hAnsi="Helv" w:cs="Helv"/>
          <w:color w:val="0070C0"/>
          <w:sz w:val="20"/>
          <w:szCs w:val="20"/>
          <w:lang w:val="en-GB"/>
        </w:rPr>
        <w:t xml:space="preserve">Moreover, according to what has been </w:t>
      </w:r>
      <w:r w:rsidR="00731EE1">
        <w:rPr>
          <w:rFonts w:ascii="Helv" w:hAnsi="Helv" w:cs="Helv"/>
          <w:color w:val="0070C0"/>
          <w:sz w:val="20"/>
          <w:szCs w:val="20"/>
          <w:lang w:val="en-GB"/>
        </w:rPr>
        <w:t xml:space="preserve">previously </w:t>
      </w:r>
      <w:r>
        <w:rPr>
          <w:rFonts w:ascii="Helv" w:hAnsi="Helv" w:cs="Helv"/>
          <w:color w:val="0070C0"/>
          <w:sz w:val="20"/>
          <w:szCs w:val="20"/>
          <w:lang w:val="en-GB"/>
        </w:rPr>
        <w:t xml:space="preserve">indicated, we consider that the granularity level of the information requested does not make any sense for the purpose of this data collection and </w:t>
      </w:r>
      <w:r w:rsidRPr="00F8516F">
        <w:rPr>
          <w:rFonts w:ascii="Helv" w:hAnsi="Helv" w:cs="Helv"/>
          <w:color w:val="0070C0"/>
          <w:sz w:val="20"/>
          <w:szCs w:val="20"/>
          <w:lang w:val="en-GB"/>
        </w:rPr>
        <w:t>will not ease comparison</w:t>
      </w:r>
      <w:r>
        <w:rPr>
          <w:rFonts w:ascii="Helv" w:hAnsi="Helv" w:cs="Helv"/>
          <w:color w:val="0070C0"/>
          <w:sz w:val="20"/>
          <w:szCs w:val="20"/>
          <w:lang w:val="en-GB"/>
        </w:rPr>
        <w:t>s</w:t>
      </w:r>
      <w:r w:rsidRPr="00F8516F">
        <w:rPr>
          <w:rFonts w:ascii="Helv" w:hAnsi="Helv" w:cs="Helv"/>
          <w:color w:val="0070C0"/>
          <w:sz w:val="20"/>
          <w:szCs w:val="20"/>
          <w:lang w:val="en-GB"/>
        </w:rPr>
        <w:t xml:space="preserve"> and consistenc</w:t>
      </w:r>
      <w:r>
        <w:rPr>
          <w:rFonts w:ascii="Helv" w:hAnsi="Helv" w:cs="Helv"/>
          <w:color w:val="0070C0"/>
          <w:sz w:val="20"/>
          <w:szCs w:val="20"/>
          <w:lang w:val="en-GB"/>
        </w:rPr>
        <w:t>y of the remuneration data between institutions</w:t>
      </w:r>
      <w:r w:rsidRPr="00F8516F">
        <w:rPr>
          <w:rFonts w:ascii="Helv" w:hAnsi="Helv" w:cs="Helv"/>
          <w:color w:val="0070C0"/>
          <w:sz w:val="20"/>
          <w:szCs w:val="20"/>
          <w:lang w:val="en-GB"/>
        </w:rPr>
        <w:t>.</w:t>
      </w:r>
    </w:p>
    <w:p w:rsidR="00D8706C" w:rsidRDefault="00D8706C" w:rsidP="00D8706C">
      <w:pPr>
        <w:pStyle w:val="Default"/>
        <w:rPr>
          <w:rFonts w:ascii="Helv" w:hAnsi="Helv" w:cs="Helv"/>
          <w:color w:val="0070C0"/>
          <w:sz w:val="20"/>
          <w:szCs w:val="20"/>
          <w:lang w:val="en-GB"/>
        </w:rPr>
      </w:pPr>
    </w:p>
    <w:p w:rsidR="00D8706C" w:rsidRPr="00A37A10" w:rsidRDefault="00D8706C" w:rsidP="00D8706C">
      <w:pPr>
        <w:pStyle w:val="Default"/>
        <w:jc w:val="both"/>
        <w:rPr>
          <w:rFonts w:ascii="Helv" w:hAnsi="Helv" w:cs="Helv"/>
          <w:color w:val="0070C0"/>
          <w:sz w:val="20"/>
          <w:szCs w:val="20"/>
          <w:lang w:val="en-GB"/>
        </w:rPr>
      </w:pPr>
      <w:r>
        <w:rPr>
          <w:rFonts w:ascii="Helv" w:hAnsi="Helv" w:cs="Helv"/>
          <w:color w:val="0070C0"/>
          <w:sz w:val="20"/>
          <w:szCs w:val="20"/>
          <w:lang w:val="en-GB"/>
        </w:rPr>
        <w:t>Consequently, we suggest keeping the templates used in the past for data collection on high earners which already provide clear and transparent breakdowns, by EEA member states and by activities</w:t>
      </w:r>
      <w:r w:rsidR="00375A94">
        <w:rPr>
          <w:rFonts w:ascii="Helv" w:hAnsi="Helv" w:cs="Helv"/>
          <w:color w:val="0070C0"/>
          <w:sz w:val="20"/>
          <w:szCs w:val="20"/>
          <w:lang w:val="en-GB"/>
        </w:rPr>
        <w:t>: the</w:t>
      </w:r>
      <w:r>
        <w:rPr>
          <w:rFonts w:ascii="Helv" w:hAnsi="Helv" w:cs="Helv"/>
          <w:color w:val="0070C0"/>
          <w:sz w:val="20"/>
          <w:szCs w:val="20"/>
          <w:lang w:val="en-GB"/>
        </w:rPr>
        <w:t xml:space="preserve"> number of High earner employees, among them the number of regulated employees, the details of their fixed, variable remuneration, discretionary pension contributions and the part of their variable remuneration subject to deferral. For the purpose of this data collection, we do not consider that it is necessary to provide more detailed information concerning these employees.</w:t>
      </w:r>
    </w:p>
    <w:p w:rsidR="00D8706C" w:rsidRDefault="00D8706C" w:rsidP="009C7DDB">
      <w:pPr>
        <w:pStyle w:val="Default"/>
        <w:rPr>
          <w:rFonts w:ascii="Helv" w:hAnsi="Helv" w:cs="Helv"/>
          <w:color w:val="0070C0"/>
          <w:sz w:val="20"/>
          <w:szCs w:val="20"/>
          <w:lang w:val="en-GB"/>
        </w:rPr>
      </w:pPr>
    </w:p>
    <w:p w:rsidR="00602211" w:rsidRPr="00A37A10" w:rsidRDefault="00602211" w:rsidP="009C7DDB">
      <w:pPr>
        <w:pStyle w:val="Default"/>
        <w:rPr>
          <w:rFonts w:ascii="Helv" w:hAnsi="Helv" w:cs="Helv"/>
          <w:color w:val="0070C0"/>
          <w:sz w:val="20"/>
          <w:szCs w:val="20"/>
          <w:lang w:val="en-GB"/>
        </w:rPr>
      </w:pPr>
    </w:p>
    <w:p w:rsidR="00A37A10" w:rsidRPr="00102F52" w:rsidRDefault="00D8706C" w:rsidP="009C7DDB">
      <w:pPr>
        <w:pStyle w:val="Default"/>
        <w:rPr>
          <w:rFonts w:ascii="Helv" w:hAnsi="Helv" w:cs="Helv"/>
          <w:b/>
          <w:color w:val="0070C0"/>
          <w:sz w:val="20"/>
          <w:szCs w:val="20"/>
          <w:lang w:val="en-GB"/>
        </w:rPr>
      </w:pPr>
      <w:r>
        <w:rPr>
          <w:rFonts w:ascii="Helv" w:hAnsi="Helv" w:cs="Helv"/>
          <w:b/>
          <w:color w:val="0070C0"/>
          <w:sz w:val="20"/>
          <w:szCs w:val="20"/>
          <w:lang w:val="en-GB"/>
        </w:rPr>
        <w:t>5</w:t>
      </w:r>
      <w:r w:rsidR="00A37A10" w:rsidRPr="00102F52">
        <w:rPr>
          <w:rFonts w:ascii="Helv" w:hAnsi="Helv" w:cs="Helv"/>
          <w:b/>
          <w:color w:val="0070C0"/>
          <w:sz w:val="20"/>
          <w:szCs w:val="20"/>
          <w:lang w:val="en-GB"/>
        </w:rPr>
        <w:t xml:space="preserve"> – </w:t>
      </w:r>
      <w:r w:rsidR="008A6033" w:rsidRPr="00102F52">
        <w:rPr>
          <w:rFonts w:ascii="Helv" w:hAnsi="Helv" w:cs="Helv"/>
          <w:b/>
          <w:color w:val="0070C0"/>
          <w:sz w:val="20"/>
          <w:szCs w:val="20"/>
          <w:lang w:val="en-GB"/>
        </w:rPr>
        <w:t>Implementation date</w:t>
      </w:r>
      <w:r w:rsidR="00A37A10" w:rsidRPr="00102F52">
        <w:rPr>
          <w:rFonts w:ascii="Helv" w:hAnsi="Helv" w:cs="Helv"/>
          <w:b/>
          <w:color w:val="0070C0"/>
          <w:sz w:val="20"/>
          <w:szCs w:val="20"/>
          <w:lang w:val="en-GB"/>
        </w:rPr>
        <w:t xml:space="preserve"> </w:t>
      </w:r>
    </w:p>
    <w:p w:rsidR="001612CA" w:rsidRDefault="001612CA" w:rsidP="00B254A1">
      <w:pPr>
        <w:widowControl w:val="0"/>
        <w:kinsoku w:val="0"/>
        <w:spacing w:before="216" w:after="0"/>
        <w:ind w:right="72"/>
        <w:jc w:val="both"/>
        <w:rPr>
          <w:rFonts w:ascii="Helv" w:hAnsi="Helv" w:cs="Helv"/>
          <w:color w:val="0070C0"/>
          <w:sz w:val="20"/>
          <w:szCs w:val="20"/>
          <w:lang w:val="en-GB"/>
        </w:rPr>
      </w:pPr>
      <w:r>
        <w:rPr>
          <w:rFonts w:ascii="Helv" w:hAnsi="Helv" w:cs="Helv"/>
          <w:color w:val="0070C0"/>
          <w:sz w:val="20"/>
          <w:szCs w:val="20"/>
          <w:lang w:val="en-GB"/>
        </w:rPr>
        <w:t xml:space="preserve">You </w:t>
      </w:r>
      <w:r w:rsidR="005D286D">
        <w:rPr>
          <w:rFonts w:ascii="Helv" w:hAnsi="Helv" w:cs="Helv"/>
          <w:color w:val="0070C0"/>
          <w:sz w:val="20"/>
          <w:szCs w:val="20"/>
          <w:lang w:val="en-GB"/>
        </w:rPr>
        <w:t>point out</w:t>
      </w:r>
      <w:r w:rsidR="002C158F">
        <w:rPr>
          <w:rFonts w:ascii="Helv" w:hAnsi="Helv" w:cs="Helv"/>
          <w:color w:val="0070C0"/>
          <w:sz w:val="20"/>
          <w:szCs w:val="20"/>
          <w:lang w:val="en-GB"/>
        </w:rPr>
        <w:t xml:space="preserve"> </w:t>
      </w:r>
      <w:r>
        <w:rPr>
          <w:rFonts w:ascii="Helv" w:hAnsi="Helv" w:cs="Helv"/>
          <w:color w:val="0070C0"/>
          <w:sz w:val="20"/>
          <w:szCs w:val="20"/>
          <w:lang w:val="en-GB"/>
        </w:rPr>
        <w:t>that d</w:t>
      </w:r>
      <w:r w:rsidRPr="001612CA">
        <w:rPr>
          <w:rFonts w:ascii="Helv" w:hAnsi="Helv" w:cs="Helv"/>
          <w:color w:val="0070C0"/>
          <w:sz w:val="20"/>
          <w:szCs w:val="20"/>
          <w:lang w:val="en-GB"/>
        </w:rPr>
        <w:t>ata relating to the performance year 2013 should be submitted by the institutions to competent authorities by 31 August 2014</w:t>
      </w:r>
      <w:r w:rsidR="00537CB0">
        <w:rPr>
          <w:rFonts w:ascii="Helv" w:hAnsi="Helv" w:cs="Helv"/>
          <w:color w:val="0070C0"/>
          <w:sz w:val="20"/>
          <w:szCs w:val="20"/>
          <w:lang w:val="en-GB"/>
        </w:rPr>
        <w:t>.</w:t>
      </w:r>
    </w:p>
    <w:p w:rsidR="00D1250C" w:rsidRDefault="00375A94" w:rsidP="002C158F">
      <w:pPr>
        <w:widowControl w:val="0"/>
        <w:kinsoku w:val="0"/>
        <w:spacing w:before="216" w:after="0"/>
        <w:ind w:right="72"/>
        <w:jc w:val="both"/>
        <w:rPr>
          <w:rFonts w:ascii="Calibri" w:hAnsi="Calibri" w:cs="Calibri"/>
          <w:lang w:val="en-US"/>
        </w:rPr>
      </w:pPr>
      <w:r>
        <w:rPr>
          <w:rFonts w:ascii="Helv" w:hAnsi="Helv" w:cs="Helv"/>
          <w:color w:val="0070C0"/>
          <w:sz w:val="20"/>
          <w:szCs w:val="20"/>
          <w:lang w:val="en-GB"/>
        </w:rPr>
        <w:t>I</w:t>
      </w:r>
      <w:r w:rsidR="001612CA">
        <w:rPr>
          <w:rFonts w:ascii="Helv" w:hAnsi="Helv" w:cs="Helv"/>
          <w:color w:val="0070C0"/>
          <w:sz w:val="20"/>
          <w:szCs w:val="20"/>
          <w:lang w:val="en-GB"/>
        </w:rPr>
        <w:t xml:space="preserve">t </w:t>
      </w:r>
      <w:r w:rsidR="00221932">
        <w:rPr>
          <w:rFonts w:ascii="Helv" w:hAnsi="Helv" w:cs="Helv"/>
          <w:color w:val="0070C0"/>
          <w:sz w:val="20"/>
          <w:szCs w:val="20"/>
          <w:lang w:val="en-GB"/>
        </w:rPr>
        <w:t>seems that this deadline is not compatible with the 2-month “comply or explain” period</w:t>
      </w:r>
      <w:r>
        <w:rPr>
          <w:rFonts w:ascii="Helv" w:hAnsi="Helv" w:cs="Helv"/>
          <w:color w:val="0070C0"/>
          <w:sz w:val="20"/>
          <w:szCs w:val="20"/>
          <w:lang w:val="en-GB"/>
        </w:rPr>
        <w:t xml:space="preserve"> given to local regulator after the publication of the guidelines translation</w:t>
      </w:r>
      <w:r w:rsidR="001612CA">
        <w:rPr>
          <w:rFonts w:ascii="Helv" w:hAnsi="Helv" w:cs="Helv"/>
          <w:color w:val="0070C0"/>
          <w:sz w:val="20"/>
          <w:szCs w:val="20"/>
          <w:lang w:val="en-GB"/>
        </w:rPr>
        <w:t xml:space="preserve">. </w:t>
      </w:r>
      <w:r w:rsidR="002C158F">
        <w:rPr>
          <w:rFonts w:ascii="Helv" w:hAnsi="Helv" w:cs="Helv"/>
          <w:color w:val="0070C0"/>
          <w:sz w:val="20"/>
          <w:szCs w:val="20"/>
          <w:lang w:val="en-GB"/>
        </w:rPr>
        <w:t xml:space="preserve">Consequently, we suggest extending the deadline for </w:t>
      </w:r>
      <w:r>
        <w:rPr>
          <w:rFonts w:ascii="Helv" w:hAnsi="Helv" w:cs="Helv"/>
          <w:color w:val="0070C0"/>
          <w:sz w:val="20"/>
          <w:szCs w:val="20"/>
          <w:lang w:val="en-GB"/>
        </w:rPr>
        <w:t xml:space="preserve">data </w:t>
      </w:r>
      <w:r w:rsidR="002C158F">
        <w:rPr>
          <w:rFonts w:ascii="Helv" w:hAnsi="Helv" w:cs="Helv"/>
          <w:color w:val="0070C0"/>
          <w:sz w:val="20"/>
          <w:szCs w:val="20"/>
          <w:lang w:val="en-GB"/>
        </w:rPr>
        <w:t>submission by the end of 2014.</w:t>
      </w:r>
    </w:p>
    <w:p w:rsidR="00A37A10" w:rsidRDefault="00A37A10" w:rsidP="009C7DDB">
      <w:pPr>
        <w:pStyle w:val="Default"/>
        <w:rPr>
          <w:sz w:val="28"/>
          <w:szCs w:val="28"/>
          <w:lang w:val="en-US"/>
        </w:rPr>
      </w:pPr>
    </w:p>
    <w:p w:rsidR="00A37A10" w:rsidRDefault="00A37A10" w:rsidP="009C7DDB">
      <w:pPr>
        <w:pStyle w:val="Default"/>
        <w:rPr>
          <w:sz w:val="28"/>
          <w:szCs w:val="28"/>
          <w:lang w:val="en-US"/>
        </w:rPr>
      </w:pPr>
    </w:p>
    <w:p w:rsidR="00F57A89" w:rsidRDefault="00F57A89" w:rsidP="009C7DDB">
      <w:pPr>
        <w:pStyle w:val="Default"/>
        <w:rPr>
          <w:sz w:val="28"/>
          <w:szCs w:val="28"/>
          <w:lang w:val="en-US"/>
        </w:rPr>
      </w:pPr>
    </w:p>
    <w:p w:rsidR="00F57A89" w:rsidRDefault="00F57A89" w:rsidP="009C7DDB">
      <w:pPr>
        <w:pStyle w:val="Default"/>
        <w:rPr>
          <w:sz w:val="28"/>
          <w:szCs w:val="28"/>
          <w:lang w:val="en-US"/>
        </w:rPr>
      </w:pPr>
    </w:p>
    <w:p w:rsidR="001D5E7A" w:rsidRPr="00B441CF" w:rsidRDefault="001D5E7A" w:rsidP="00B441CF">
      <w:pPr>
        <w:rPr>
          <w:lang w:val="en-US"/>
        </w:rPr>
      </w:pPr>
    </w:p>
    <w:sectPr w:rsidR="001D5E7A" w:rsidRPr="00B441CF" w:rsidSect="00E06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69D6"/>
    <w:multiLevelType w:val="singleLevel"/>
    <w:tmpl w:val="6C7D88A4"/>
    <w:lvl w:ilvl="0">
      <w:start w:val="8"/>
      <w:numFmt w:val="decimal"/>
      <w:lvlText w:val="%1."/>
      <w:lvlJc w:val="left"/>
      <w:pPr>
        <w:tabs>
          <w:tab w:val="num" w:pos="288"/>
        </w:tabs>
        <w:ind w:left="216"/>
      </w:pPr>
      <w:rPr>
        <w:rFonts w:ascii="Calibri" w:hAnsi="Calibri" w:cs="Calibri"/>
        <w:snapToGrid/>
        <w:color w:val="005495"/>
        <w:spacing w:val="6"/>
        <w:w w:val="105"/>
        <w:sz w:val="28"/>
        <w:szCs w:val="28"/>
      </w:rPr>
    </w:lvl>
  </w:abstractNum>
  <w:abstractNum w:abstractNumId="1">
    <w:nsid w:val="251716C6"/>
    <w:multiLevelType w:val="hybridMultilevel"/>
    <w:tmpl w:val="3F4A8B3A"/>
    <w:lvl w:ilvl="0" w:tplc="F56A78BE">
      <w:numFmt w:val="bullet"/>
      <w:lvlText w:val="-"/>
      <w:lvlJc w:val="left"/>
      <w:pPr>
        <w:ind w:left="720" w:hanging="360"/>
      </w:pPr>
      <w:rPr>
        <w:rFonts w:ascii="Helv" w:eastAsia="Calibri"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DA144C"/>
    <w:multiLevelType w:val="singleLevel"/>
    <w:tmpl w:val="6C7D88A4"/>
    <w:lvl w:ilvl="0">
      <w:start w:val="8"/>
      <w:numFmt w:val="decimal"/>
      <w:lvlText w:val="%1."/>
      <w:lvlJc w:val="left"/>
      <w:pPr>
        <w:tabs>
          <w:tab w:val="num" w:pos="288"/>
        </w:tabs>
        <w:ind w:left="216"/>
      </w:pPr>
      <w:rPr>
        <w:rFonts w:ascii="Calibri" w:hAnsi="Calibri" w:cs="Calibri"/>
        <w:snapToGrid/>
        <w:color w:val="005495"/>
        <w:spacing w:val="6"/>
        <w:w w:val="105"/>
        <w:sz w:val="28"/>
        <w:szCs w:val="28"/>
      </w:rPr>
    </w:lvl>
  </w:abstractNum>
  <w:abstractNum w:abstractNumId="3">
    <w:nsid w:val="77E14DB1"/>
    <w:multiLevelType w:val="hybridMultilevel"/>
    <w:tmpl w:val="8C424318"/>
    <w:lvl w:ilvl="0" w:tplc="40F8B760">
      <w:start w:val="1"/>
      <w:numFmt w:val="bullet"/>
      <w:lvlText w:val="-"/>
      <w:lvlJc w:val="left"/>
      <w:pPr>
        <w:ind w:left="720" w:hanging="360"/>
      </w:pPr>
      <w:rPr>
        <w:rFonts w:ascii="Helv" w:eastAsiaTheme="minorHAnsi"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831025"/>
    <w:multiLevelType w:val="hybridMultilevel"/>
    <w:tmpl w:val="EE4A16C0"/>
    <w:lvl w:ilvl="0" w:tplc="2940CDAC">
      <w:start w:val="4"/>
      <w:numFmt w:val="bullet"/>
      <w:lvlText w:val="-"/>
      <w:lvlJc w:val="left"/>
      <w:pPr>
        <w:ind w:left="720" w:hanging="360"/>
      </w:pPr>
      <w:rPr>
        <w:rFonts w:ascii="Helv" w:eastAsiaTheme="minorHAnsi" w:hAnsi="Helv" w:cs="Helv"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numFmt w:val="decimal"/>
        <w:lvlText w:val="%1."/>
        <w:lvlJc w:val="left"/>
        <w:pPr>
          <w:tabs>
            <w:tab w:val="num" w:pos="432"/>
          </w:tabs>
          <w:ind w:left="216"/>
        </w:pPr>
        <w:rPr>
          <w:rFonts w:ascii="Calibri" w:hAnsi="Calibri" w:cs="Calibri"/>
          <w:snapToGrid/>
          <w:color w:val="005495"/>
          <w:spacing w:val="14"/>
          <w:w w:val="105"/>
          <w:sz w:val="28"/>
          <w:szCs w:val="28"/>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DB"/>
    <w:rsid w:val="0004528D"/>
    <w:rsid w:val="00051975"/>
    <w:rsid w:val="000A1286"/>
    <w:rsid w:val="000B25B8"/>
    <w:rsid w:val="00102F52"/>
    <w:rsid w:val="00155E73"/>
    <w:rsid w:val="001612CA"/>
    <w:rsid w:val="00166EAF"/>
    <w:rsid w:val="00174C5E"/>
    <w:rsid w:val="001D5E7A"/>
    <w:rsid w:val="001E28B8"/>
    <w:rsid w:val="00221932"/>
    <w:rsid w:val="002458D6"/>
    <w:rsid w:val="002773D9"/>
    <w:rsid w:val="00296A38"/>
    <w:rsid w:val="002A167C"/>
    <w:rsid w:val="002C158F"/>
    <w:rsid w:val="002F00A2"/>
    <w:rsid w:val="002F355A"/>
    <w:rsid w:val="00375A94"/>
    <w:rsid w:val="003A5F76"/>
    <w:rsid w:val="003A6A9D"/>
    <w:rsid w:val="003B667D"/>
    <w:rsid w:val="003B7B17"/>
    <w:rsid w:val="003C3236"/>
    <w:rsid w:val="003E7BD6"/>
    <w:rsid w:val="00446697"/>
    <w:rsid w:val="00487F85"/>
    <w:rsid w:val="005355EE"/>
    <w:rsid w:val="00537CB0"/>
    <w:rsid w:val="00542F15"/>
    <w:rsid w:val="005431F7"/>
    <w:rsid w:val="00583597"/>
    <w:rsid w:val="0059106F"/>
    <w:rsid w:val="00591F0D"/>
    <w:rsid w:val="005B09BB"/>
    <w:rsid w:val="005C29FF"/>
    <w:rsid w:val="005D286D"/>
    <w:rsid w:val="00602211"/>
    <w:rsid w:val="00611E6F"/>
    <w:rsid w:val="00655947"/>
    <w:rsid w:val="006914A4"/>
    <w:rsid w:val="00692170"/>
    <w:rsid w:val="006A1D61"/>
    <w:rsid w:val="006B554B"/>
    <w:rsid w:val="006D3BEE"/>
    <w:rsid w:val="006E2B0C"/>
    <w:rsid w:val="00731EE1"/>
    <w:rsid w:val="007B470E"/>
    <w:rsid w:val="007E4FD5"/>
    <w:rsid w:val="007F441D"/>
    <w:rsid w:val="00823225"/>
    <w:rsid w:val="00833A65"/>
    <w:rsid w:val="00837606"/>
    <w:rsid w:val="00841029"/>
    <w:rsid w:val="00892FB7"/>
    <w:rsid w:val="008A6033"/>
    <w:rsid w:val="009068EC"/>
    <w:rsid w:val="009B4901"/>
    <w:rsid w:val="009C7DDB"/>
    <w:rsid w:val="009E0965"/>
    <w:rsid w:val="00A36160"/>
    <w:rsid w:val="00A37A10"/>
    <w:rsid w:val="00A50EA4"/>
    <w:rsid w:val="00A730D3"/>
    <w:rsid w:val="00A75597"/>
    <w:rsid w:val="00B04ECD"/>
    <w:rsid w:val="00B254A1"/>
    <w:rsid w:val="00B441CF"/>
    <w:rsid w:val="00BD57EF"/>
    <w:rsid w:val="00BE60E9"/>
    <w:rsid w:val="00C23F63"/>
    <w:rsid w:val="00C44EAF"/>
    <w:rsid w:val="00C813C7"/>
    <w:rsid w:val="00CB4758"/>
    <w:rsid w:val="00CC1944"/>
    <w:rsid w:val="00CD31FE"/>
    <w:rsid w:val="00CD3B74"/>
    <w:rsid w:val="00CE3207"/>
    <w:rsid w:val="00D1250C"/>
    <w:rsid w:val="00D8145B"/>
    <w:rsid w:val="00D8706C"/>
    <w:rsid w:val="00E06FE6"/>
    <w:rsid w:val="00E07DD5"/>
    <w:rsid w:val="00E12859"/>
    <w:rsid w:val="00E411AC"/>
    <w:rsid w:val="00E55566"/>
    <w:rsid w:val="00E66142"/>
    <w:rsid w:val="00EE3D13"/>
    <w:rsid w:val="00F00B04"/>
    <w:rsid w:val="00F57A89"/>
    <w:rsid w:val="00F8516F"/>
    <w:rsid w:val="00FB35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C7DDB"/>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8A6033"/>
    <w:pPr>
      <w:ind w:left="720"/>
      <w:contextualSpacing/>
    </w:pPr>
  </w:style>
  <w:style w:type="character" w:styleId="Marquedecommentaire">
    <w:name w:val="annotation reference"/>
    <w:basedOn w:val="Policepardfaut"/>
    <w:uiPriority w:val="99"/>
    <w:semiHidden/>
    <w:unhideWhenUsed/>
    <w:rsid w:val="001612CA"/>
    <w:rPr>
      <w:sz w:val="16"/>
      <w:szCs w:val="16"/>
    </w:rPr>
  </w:style>
  <w:style w:type="paragraph" w:styleId="Commentaire">
    <w:name w:val="annotation text"/>
    <w:basedOn w:val="Normal"/>
    <w:link w:val="CommentaireCar"/>
    <w:uiPriority w:val="99"/>
    <w:semiHidden/>
    <w:unhideWhenUsed/>
    <w:rsid w:val="001612CA"/>
    <w:pPr>
      <w:spacing w:line="240" w:lineRule="auto"/>
    </w:pPr>
    <w:rPr>
      <w:sz w:val="20"/>
      <w:szCs w:val="20"/>
    </w:rPr>
  </w:style>
  <w:style w:type="character" w:customStyle="1" w:styleId="CommentaireCar">
    <w:name w:val="Commentaire Car"/>
    <w:basedOn w:val="Policepardfaut"/>
    <w:link w:val="Commentaire"/>
    <w:uiPriority w:val="99"/>
    <w:semiHidden/>
    <w:rsid w:val="001612CA"/>
    <w:rPr>
      <w:sz w:val="20"/>
      <w:szCs w:val="20"/>
    </w:rPr>
  </w:style>
  <w:style w:type="paragraph" w:styleId="Objetducommentaire">
    <w:name w:val="annotation subject"/>
    <w:basedOn w:val="Commentaire"/>
    <w:next w:val="Commentaire"/>
    <w:link w:val="ObjetducommentaireCar"/>
    <w:uiPriority w:val="99"/>
    <w:semiHidden/>
    <w:unhideWhenUsed/>
    <w:rsid w:val="001612CA"/>
    <w:rPr>
      <w:b/>
      <w:bCs/>
    </w:rPr>
  </w:style>
  <w:style w:type="character" w:customStyle="1" w:styleId="ObjetducommentaireCar">
    <w:name w:val="Objet du commentaire Car"/>
    <w:basedOn w:val="CommentaireCar"/>
    <w:link w:val="Objetducommentaire"/>
    <w:uiPriority w:val="99"/>
    <w:semiHidden/>
    <w:rsid w:val="001612CA"/>
    <w:rPr>
      <w:b/>
      <w:bCs/>
      <w:sz w:val="20"/>
      <w:szCs w:val="20"/>
    </w:rPr>
  </w:style>
  <w:style w:type="paragraph" w:styleId="Textedebulles">
    <w:name w:val="Balloon Text"/>
    <w:basedOn w:val="Normal"/>
    <w:link w:val="TextedebullesCar"/>
    <w:uiPriority w:val="99"/>
    <w:semiHidden/>
    <w:unhideWhenUsed/>
    <w:rsid w:val="001612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12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C7DDB"/>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8A6033"/>
    <w:pPr>
      <w:ind w:left="720"/>
      <w:contextualSpacing/>
    </w:pPr>
  </w:style>
  <w:style w:type="character" w:styleId="Marquedecommentaire">
    <w:name w:val="annotation reference"/>
    <w:basedOn w:val="Policepardfaut"/>
    <w:uiPriority w:val="99"/>
    <w:semiHidden/>
    <w:unhideWhenUsed/>
    <w:rsid w:val="001612CA"/>
    <w:rPr>
      <w:sz w:val="16"/>
      <w:szCs w:val="16"/>
    </w:rPr>
  </w:style>
  <w:style w:type="paragraph" w:styleId="Commentaire">
    <w:name w:val="annotation text"/>
    <w:basedOn w:val="Normal"/>
    <w:link w:val="CommentaireCar"/>
    <w:uiPriority w:val="99"/>
    <w:semiHidden/>
    <w:unhideWhenUsed/>
    <w:rsid w:val="001612CA"/>
    <w:pPr>
      <w:spacing w:line="240" w:lineRule="auto"/>
    </w:pPr>
    <w:rPr>
      <w:sz w:val="20"/>
      <w:szCs w:val="20"/>
    </w:rPr>
  </w:style>
  <w:style w:type="character" w:customStyle="1" w:styleId="CommentaireCar">
    <w:name w:val="Commentaire Car"/>
    <w:basedOn w:val="Policepardfaut"/>
    <w:link w:val="Commentaire"/>
    <w:uiPriority w:val="99"/>
    <w:semiHidden/>
    <w:rsid w:val="001612CA"/>
    <w:rPr>
      <w:sz w:val="20"/>
      <w:szCs w:val="20"/>
    </w:rPr>
  </w:style>
  <w:style w:type="paragraph" w:styleId="Objetducommentaire">
    <w:name w:val="annotation subject"/>
    <w:basedOn w:val="Commentaire"/>
    <w:next w:val="Commentaire"/>
    <w:link w:val="ObjetducommentaireCar"/>
    <w:uiPriority w:val="99"/>
    <w:semiHidden/>
    <w:unhideWhenUsed/>
    <w:rsid w:val="001612CA"/>
    <w:rPr>
      <w:b/>
      <w:bCs/>
    </w:rPr>
  </w:style>
  <w:style w:type="character" w:customStyle="1" w:styleId="ObjetducommentaireCar">
    <w:name w:val="Objet du commentaire Car"/>
    <w:basedOn w:val="CommentaireCar"/>
    <w:link w:val="Objetducommentaire"/>
    <w:uiPriority w:val="99"/>
    <w:semiHidden/>
    <w:rsid w:val="001612CA"/>
    <w:rPr>
      <w:b/>
      <w:bCs/>
      <w:sz w:val="20"/>
      <w:szCs w:val="20"/>
    </w:rPr>
  </w:style>
  <w:style w:type="paragraph" w:styleId="Textedebulles">
    <w:name w:val="Balloon Text"/>
    <w:basedOn w:val="Normal"/>
    <w:link w:val="TextedebullesCar"/>
    <w:uiPriority w:val="99"/>
    <w:semiHidden/>
    <w:unhideWhenUsed/>
    <w:rsid w:val="001612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1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9116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BNP Paribas</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196661</dc:creator>
  <cp:lastModifiedBy>Béatrice Layan</cp:lastModifiedBy>
  <cp:revision>2</cp:revision>
  <dcterms:created xsi:type="dcterms:W3CDTF">2014-05-05T13:43:00Z</dcterms:created>
  <dcterms:modified xsi:type="dcterms:W3CDTF">2014-05-05T13:43:00Z</dcterms:modified>
</cp:coreProperties>
</file>