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Borders>
          <w:top w:val="nil"/>
          <w:left w:val="nil"/>
          <w:bottom w:val="nil"/>
          <w:right w:val="nil"/>
        </w:tblBorders>
        <w:tblLayout w:type="fixed"/>
        <w:tblLook w:val="0000" w:firstRow="0" w:lastRow="0" w:firstColumn="0" w:lastColumn="0" w:noHBand="0" w:noVBand="0"/>
      </w:tblPr>
      <w:tblGrid>
        <w:gridCol w:w="8746"/>
      </w:tblGrid>
      <w:tr w:rsidR="004C60BF" w:rsidRPr="00226167">
        <w:trPr>
          <w:trHeight w:val="550"/>
        </w:trPr>
        <w:tc>
          <w:tcPr>
            <w:tcW w:w="8746" w:type="dxa"/>
          </w:tcPr>
          <w:p w:rsidR="004C60BF" w:rsidRPr="004C60BF" w:rsidRDefault="00BC6944" w:rsidP="00C64086">
            <w:pPr>
              <w:pStyle w:val="Default"/>
              <w:jc w:val="both"/>
              <w:rPr>
                <w:sz w:val="32"/>
                <w:szCs w:val="32"/>
                <w:lang w:val="en-US"/>
              </w:rPr>
            </w:pPr>
            <w:bookmarkStart w:id="0" w:name="_GoBack"/>
            <w:bookmarkEnd w:id="0"/>
            <w:r>
              <w:rPr>
                <w:b/>
                <w:color w:val="0070C0"/>
                <w:sz w:val="32"/>
                <w:szCs w:val="32"/>
                <w:lang w:val="en-US"/>
              </w:rPr>
              <w:t>EBA/</w:t>
            </w:r>
            <w:r w:rsidR="004C60BF">
              <w:rPr>
                <w:b/>
                <w:color w:val="0070C0"/>
                <w:sz w:val="32"/>
                <w:szCs w:val="32"/>
                <w:lang w:val="en-US"/>
              </w:rPr>
              <w:t>D</w:t>
            </w:r>
            <w:r>
              <w:rPr>
                <w:b/>
                <w:color w:val="0070C0"/>
                <w:sz w:val="32"/>
                <w:szCs w:val="32"/>
                <w:lang w:val="en-US"/>
              </w:rPr>
              <w:t>P/201</w:t>
            </w:r>
            <w:r w:rsidR="004C60BF">
              <w:rPr>
                <w:b/>
                <w:color w:val="0070C0"/>
                <w:sz w:val="32"/>
                <w:szCs w:val="32"/>
                <w:lang w:val="en-US"/>
              </w:rPr>
              <w:t>4</w:t>
            </w:r>
            <w:r>
              <w:rPr>
                <w:b/>
                <w:color w:val="0070C0"/>
                <w:sz w:val="32"/>
                <w:szCs w:val="32"/>
                <w:lang w:val="en-US"/>
              </w:rPr>
              <w:t>/</w:t>
            </w:r>
            <w:r w:rsidR="004C60BF">
              <w:rPr>
                <w:b/>
                <w:color w:val="0070C0"/>
                <w:sz w:val="32"/>
                <w:szCs w:val="32"/>
                <w:lang w:val="en-US"/>
              </w:rPr>
              <w:t>01</w:t>
            </w:r>
            <w:r>
              <w:rPr>
                <w:b/>
                <w:color w:val="0070C0"/>
                <w:sz w:val="32"/>
                <w:szCs w:val="32"/>
                <w:lang w:val="en-US"/>
              </w:rPr>
              <w:t>: D</w:t>
            </w:r>
            <w:r w:rsidR="004C60BF">
              <w:rPr>
                <w:b/>
                <w:color w:val="0070C0"/>
                <w:sz w:val="32"/>
                <w:szCs w:val="32"/>
                <w:lang w:val="en-US"/>
              </w:rPr>
              <w:t xml:space="preserve">iscussion Paper </w:t>
            </w:r>
            <w:r w:rsidR="004C60BF">
              <w:rPr>
                <w:color w:val="2E5673"/>
                <w:sz w:val="32"/>
                <w:szCs w:val="32"/>
                <w:lang w:val="en-US"/>
              </w:rPr>
              <w:t>on</w:t>
            </w:r>
            <w:r w:rsidR="004C60BF" w:rsidRPr="004C60BF">
              <w:rPr>
                <w:color w:val="2E5673"/>
                <w:sz w:val="32"/>
                <w:szCs w:val="32"/>
                <w:lang w:val="en-US"/>
              </w:rPr>
              <w:t xml:space="preserve"> the impact on the volatility of own funds of the revised IAS 19 and the deduction of defined pension assets from own funds under Article 519 of the Capital Requirements Regulation (CRR) </w:t>
            </w:r>
          </w:p>
        </w:tc>
      </w:tr>
    </w:tbl>
    <w:p w:rsidR="005B5361" w:rsidRDefault="005B5361">
      <w:pPr>
        <w:jc w:val="both"/>
        <w:rPr>
          <w:b/>
          <w:color w:val="0070C0"/>
          <w:sz w:val="24"/>
          <w:lang w:val="en-US"/>
        </w:rPr>
      </w:pPr>
    </w:p>
    <w:p w:rsidR="005B5361" w:rsidRDefault="00BC6944" w:rsidP="009D61F6">
      <w:pPr>
        <w:jc w:val="both"/>
        <w:rPr>
          <w:b/>
          <w:color w:val="000000"/>
          <w:sz w:val="24"/>
          <w:lang w:val="en-US"/>
        </w:rPr>
      </w:pPr>
      <w:r w:rsidRPr="0058303C">
        <w:rPr>
          <w:b/>
          <w:color w:val="FFC000"/>
          <w:sz w:val="28"/>
          <w:lang w:val="en-US"/>
        </w:rPr>
        <w:t xml:space="preserve">Banking Stakeholder Group </w:t>
      </w:r>
      <w:r w:rsidR="0087663D" w:rsidRPr="0058303C">
        <w:rPr>
          <w:b/>
          <w:color w:val="FFC000"/>
          <w:sz w:val="28"/>
          <w:lang w:val="en-US"/>
        </w:rPr>
        <w:t>Submission</w:t>
      </w:r>
      <w:r w:rsidR="004C60BF" w:rsidRPr="0058303C">
        <w:rPr>
          <w:b/>
          <w:color w:val="FFC000"/>
          <w:sz w:val="28"/>
          <w:lang w:val="en-US"/>
        </w:rPr>
        <w:t xml:space="preserve"> </w:t>
      </w:r>
    </w:p>
    <w:p w:rsidR="005B5361" w:rsidRDefault="005B5361">
      <w:pPr>
        <w:jc w:val="both"/>
        <w:rPr>
          <w:b/>
          <w:color w:val="002060"/>
          <w:sz w:val="24"/>
          <w:lang w:val="en-US"/>
        </w:rPr>
      </w:pPr>
    </w:p>
    <w:p w:rsidR="005B5361" w:rsidRDefault="005B5361">
      <w:pPr>
        <w:ind w:left="6379"/>
        <w:jc w:val="both"/>
        <w:rPr>
          <w:sz w:val="18"/>
          <w:szCs w:val="18"/>
          <w:lang w:val="en-US"/>
        </w:rPr>
      </w:pPr>
    </w:p>
    <w:p w:rsidR="005B5361" w:rsidRDefault="005B5361">
      <w:pPr>
        <w:jc w:val="both"/>
        <w:rPr>
          <w:b/>
          <w:color w:val="0070C0"/>
          <w:sz w:val="24"/>
          <w:lang w:val="en-US"/>
        </w:rPr>
      </w:pPr>
    </w:p>
    <w:p w:rsidR="005B5361" w:rsidRDefault="0087663D">
      <w:pPr>
        <w:jc w:val="both"/>
        <w:rPr>
          <w:b/>
          <w:color w:val="0066CC"/>
          <w:sz w:val="24"/>
          <w:lang w:val="en-US"/>
        </w:rPr>
      </w:pPr>
      <w:r w:rsidRPr="004165C8">
        <w:rPr>
          <w:b/>
          <w:color w:val="0066CC"/>
          <w:sz w:val="24"/>
          <w:lang w:val="en-US"/>
        </w:rPr>
        <w:t>GENERAL COMMENTS</w:t>
      </w:r>
    </w:p>
    <w:p w:rsidR="00BC6944" w:rsidRPr="00BB0ECE" w:rsidRDefault="00BC6944" w:rsidP="00C64086">
      <w:pPr>
        <w:jc w:val="both"/>
        <w:rPr>
          <w:rFonts w:ascii="Calibri" w:hAnsi="Calibri"/>
          <w:sz w:val="24"/>
          <w:szCs w:val="22"/>
          <w:lang w:val="en-US"/>
        </w:rPr>
      </w:pPr>
    </w:p>
    <w:p w:rsidR="005B5361" w:rsidRPr="00695CBD" w:rsidRDefault="00695CBD" w:rsidP="00695CBD">
      <w:pPr>
        <w:spacing w:line="360" w:lineRule="atLeast"/>
        <w:jc w:val="both"/>
        <w:rPr>
          <w:rFonts w:ascii="Calibri" w:hAnsi="Calibri"/>
          <w:sz w:val="26"/>
          <w:szCs w:val="26"/>
          <w:lang w:val="en-US"/>
        </w:rPr>
      </w:pPr>
      <w:r w:rsidRPr="00695CBD">
        <w:rPr>
          <w:rFonts w:ascii="Calibri" w:hAnsi="Calibri"/>
          <w:sz w:val="26"/>
          <w:szCs w:val="26"/>
          <w:lang w:val="en-US"/>
        </w:rPr>
        <w:t>The</w:t>
      </w:r>
      <w:r w:rsidR="00656DCE" w:rsidRPr="00695CBD">
        <w:rPr>
          <w:rFonts w:ascii="Calibri" w:hAnsi="Calibri"/>
          <w:sz w:val="26"/>
          <w:szCs w:val="26"/>
          <w:lang w:val="en-US"/>
        </w:rPr>
        <w:t xml:space="preserve"> Discussion Paper </w:t>
      </w:r>
      <w:r w:rsidR="009D61F6" w:rsidRPr="00695CBD">
        <w:rPr>
          <w:rFonts w:ascii="Calibri" w:hAnsi="Calibri"/>
          <w:sz w:val="26"/>
          <w:szCs w:val="26"/>
          <w:lang w:val="en-US"/>
        </w:rPr>
        <w:t>meets</w:t>
      </w:r>
      <w:r w:rsidR="00656DCE" w:rsidRPr="00695CBD">
        <w:rPr>
          <w:rFonts w:ascii="Calibri" w:hAnsi="Calibri"/>
          <w:sz w:val="26"/>
          <w:szCs w:val="26"/>
          <w:lang w:val="en-US"/>
        </w:rPr>
        <w:t xml:space="preserve"> the mandate of Article 519 of Regulation (EU) No. 575/2013 (Capital Requirements Regulation-CRR) that gives the EBA the obligation to prepare a report on whether the revised International Accounting Standard 19 Employee Benefits</w:t>
      </w:r>
      <w:r w:rsidR="009D61F6" w:rsidRPr="00695CBD">
        <w:rPr>
          <w:rFonts w:ascii="Calibri" w:hAnsi="Calibri"/>
          <w:sz w:val="26"/>
          <w:szCs w:val="26"/>
          <w:lang w:val="en-US"/>
        </w:rPr>
        <w:t>,</w:t>
      </w:r>
      <w:r w:rsidR="00656DCE" w:rsidRPr="00695CBD">
        <w:rPr>
          <w:rFonts w:ascii="Calibri" w:hAnsi="Calibri"/>
          <w:sz w:val="26"/>
          <w:szCs w:val="26"/>
          <w:lang w:val="en-US"/>
        </w:rPr>
        <w:t xml:space="preserve"> in conjunction with the deductio</w:t>
      </w:r>
      <w:r w:rsidR="0091743A" w:rsidRPr="00695CBD">
        <w:rPr>
          <w:rFonts w:ascii="Calibri" w:hAnsi="Calibri"/>
          <w:sz w:val="26"/>
          <w:szCs w:val="26"/>
          <w:lang w:val="en-US"/>
        </w:rPr>
        <w:t>n of net pension assets from Common Equity</w:t>
      </w:r>
      <w:r w:rsidR="00656DCE" w:rsidRPr="00695CBD">
        <w:rPr>
          <w:rFonts w:ascii="Calibri" w:hAnsi="Calibri"/>
          <w:sz w:val="26"/>
          <w:szCs w:val="26"/>
          <w:lang w:val="en-US"/>
        </w:rPr>
        <w:t xml:space="preserve"> Tier</w:t>
      </w:r>
      <w:r w:rsidR="0091743A" w:rsidRPr="00695CBD">
        <w:rPr>
          <w:rFonts w:ascii="Calibri" w:hAnsi="Calibri"/>
          <w:sz w:val="26"/>
          <w:szCs w:val="26"/>
          <w:lang w:val="en-US"/>
        </w:rPr>
        <w:t xml:space="preserve"> (CET)</w:t>
      </w:r>
      <w:r w:rsidR="00656DCE" w:rsidRPr="00695CBD">
        <w:rPr>
          <w:rFonts w:ascii="Calibri" w:hAnsi="Calibri"/>
          <w:sz w:val="26"/>
          <w:szCs w:val="26"/>
          <w:lang w:val="en-US"/>
        </w:rPr>
        <w:t xml:space="preserve"> 1 capital as set out in Article 36(1)(e)</w:t>
      </w:r>
      <w:r w:rsidR="009D61F6" w:rsidRPr="00695CBD">
        <w:rPr>
          <w:rFonts w:ascii="Calibri" w:hAnsi="Calibri"/>
          <w:sz w:val="26"/>
          <w:szCs w:val="26"/>
          <w:lang w:val="en-US"/>
        </w:rPr>
        <w:t>,</w:t>
      </w:r>
      <w:r w:rsidR="00656DCE" w:rsidRPr="00695CBD">
        <w:rPr>
          <w:rFonts w:ascii="Calibri" w:hAnsi="Calibri"/>
          <w:sz w:val="26"/>
          <w:szCs w:val="26"/>
          <w:lang w:val="en-US"/>
        </w:rPr>
        <w:t xml:space="preserve"> lead</w:t>
      </w:r>
      <w:r w:rsidR="009D61F6" w:rsidRPr="00695CBD">
        <w:rPr>
          <w:rFonts w:ascii="Calibri" w:hAnsi="Calibri"/>
          <w:sz w:val="26"/>
          <w:szCs w:val="26"/>
          <w:lang w:val="en-US"/>
        </w:rPr>
        <w:t>s</w:t>
      </w:r>
      <w:r w:rsidR="00656DCE" w:rsidRPr="00695CBD">
        <w:rPr>
          <w:rFonts w:ascii="Calibri" w:hAnsi="Calibri"/>
          <w:sz w:val="26"/>
          <w:szCs w:val="26"/>
          <w:lang w:val="en-US"/>
        </w:rPr>
        <w:t xml:space="preserve"> to undue volatility of </w:t>
      </w:r>
      <w:r w:rsidR="00663BD9" w:rsidRPr="00695CBD">
        <w:rPr>
          <w:rFonts w:ascii="Calibri" w:hAnsi="Calibri"/>
          <w:sz w:val="26"/>
          <w:szCs w:val="26"/>
          <w:lang w:val="en-US"/>
        </w:rPr>
        <w:t>institutions</w:t>
      </w:r>
      <w:r w:rsidR="009D61F6" w:rsidRPr="00695CBD">
        <w:rPr>
          <w:rFonts w:ascii="Calibri" w:hAnsi="Calibri"/>
          <w:sz w:val="26"/>
          <w:szCs w:val="26"/>
          <w:lang w:val="en-US"/>
        </w:rPr>
        <w:t>’</w:t>
      </w:r>
      <w:r w:rsidR="00656DCE" w:rsidRPr="00695CBD">
        <w:rPr>
          <w:rFonts w:ascii="Calibri" w:hAnsi="Calibri"/>
          <w:sz w:val="26"/>
          <w:szCs w:val="26"/>
          <w:lang w:val="en-US"/>
        </w:rPr>
        <w:t xml:space="preserve"> own funds.</w:t>
      </w:r>
      <w:r w:rsidR="00663BD9" w:rsidRPr="00695CBD">
        <w:rPr>
          <w:rFonts w:ascii="Calibri" w:hAnsi="Calibri"/>
          <w:sz w:val="26"/>
          <w:szCs w:val="26"/>
          <w:lang w:val="en-US"/>
        </w:rPr>
        <w:t xml:space="preserve"> </w:t>
      </w:r>
    </w:p>
    <w:p w:rsidR="005B5361" w:rsidRPr="00695CBD" w:rsidRDefault="005B5361" w:rsidP="00695CBD">
      <w:pPr>
        <w:spacing w:line="360" w:lineRule="atLeast"/>
        <w:jc w:val="both"/>
        <w:rPr>
          <w:rFonts w:ascii="Calibri" w:hAnsi="Calibri"/>
          <w:sz w:val="26"/>
          <w:szCs w:val="26"/>
          <w:lang w:val="en-US"/>
        </w:rPr>
      </w:pPr>
    </w:p>
    <w:p w:rsidR="005B5361" w:rsidRPr="00695CBD" w:rsidRDefault="00DC03C5" w:rsidP="00695CBD">
      <w:pPr>
        <w:spacing w:line="360" w:lineRule="atLeast"/>
        <w:jc w:val="both"/>
        <w:rPr>
          <w:rFonts w:ascii="Calibri" w:hAnsi="Calibri"/>
          <w:sz w:val="26"/>
          <w:szCs w:val="26"/>
          <w:lang w:val="en-US"/>
        </w:rPr>
      </w:pPr>
      <w:r w:rsidRPr="00695CBD">
        <w:rPr>
          <w:rFonts w:ascii="Calibri" w:hAnsi="Calibri"/>
          <w:sz w:val="26"/>
          <w:szCs w:val="26"/>
          <w:lang w:val="en-US"/>
        </w:rPr>
        <w:t xml:space="preserve">On the one </w:t>
      </w:r>
      <w:r w:rsidR="007C6B6C" w:rsidRPr="00695CBD">
        <w:rPr>
          <w:rFonts w:ascii="Calibri" w:hAnsi="Calibri"/>
          <w:sz w:val="26"/>
          <w:szCs w:val="26"/>
          <w:lang w:val="en-US"/>
        </w:rPr>
        <w:t>hand</w:t>
      </w:r>
      <w:r w:rsidR="00E76346" w:rsidRPr="00695CBD">
        <w:rPr>
          <w:rFonts w:ascii="Calibri" w:hAnsi="Calibri"/>
          <w:sz w:val="26"/>
          <w:szCs w:val="26"/>
          <w:lang w:val="en-US"/>
        </w:rPr>
        <w:t>,</w:t>
      </w:r>
      <w:r w:rsidR="007C6B6C" w:rsidRPr="00695CBD">
        <w:rPr>
          <w:rFonts w:ascii="Calibri" w:hAnsi="Calibri"/>
          <w:sz w:val="26"/>
          <w:szCs w:val="26"/>
          <w:lang w:val="en-US"/>
        </w:rPr>
        <w:t xml:space="preserve"> the changes in</w:t>
      </w:r>
      <w:r w:rsidRPr="00695CBD">
        <w:rPr>
          <w:rFonts w:ascii="Calibri" w:hAnsi="Calibri"/>
          <w:sz w:val="26"/>
          <w:szCs w:val="26"/>
          <w:lang w:val="en-US"/>
        </w:rPr>
        <w:t xml:space="preserve"> IAS </w:t>
      </w:r>
      <w:r w:rsidR="00164EB2" w:rsidRPr="00695CBD">
        <w:rPr>
          <w:rFonts w:ascii="Calibri" w:hAnsi="Calibri"/>
          <w:sz w:val="26"/>
          <w:szCs w:val="26"/>
          <w:lang w:val="en-US"/>
        </w:rPr>
        <w:t>19 lead to a</w:t>
      </w:r>
      <w:r w:rsidRPr="00695CBD">
        <w:rPr>
          <w:rFonts w:ascii="Calibri" w:hAnsi="Calibri"/>
          <w:sz w:val="26"/>
          <w:szCs w:val="26"/>
          <w:lang w:val="en-US"/>
        </w:rPr>
        <w:t xml:space="preserve"> more accurate measurement of the liability for pension obligation</w:t>
      </w:r>
      <w:r w:rsidR="007C6B6C" w:rsidRPr="00695CBD">
        <w:rPr>
          <w:rFonts w:ascii="Calibri" w:hAnsi="Calibri"/>
          <w:sz w:val="26"/>
          <w:szCs w:val="26"/>
          <w:lang w:val="en-US"/>
        </w:rPr>
        <w:t>s</w:t>
      </w:r>
      <w:r w:rsidR="00131CBD" w:rsidRPr="00695CBD">
        <w:rPr>
          <w:rFonts w:ascii="Calibri" w:hAnsi="Calibri"/>
          <w:sz w:val="26"/>
          <w:szCs w:val="26"/>
          <w:lang w:val="en-US"/>
        </w:rPr>
        <w:t xml:space="preserve"> in defined benefit plans, which are</w:t>
      </w:r>
      <w:r w:rsidR="00164EB2" w:rsidRPr="00695CBD">
        <w:rPr>
          <w:rFonts w:ascii="Calibri" w:hAnsi="Calibri"/>
          <w:sz w:val="26"/>
          <w:szCs w:val="26"/>
          <w:lang w:val="en-US"/>
        </w:rPr>
        <w:t xml:space="preserve"> presented in</w:t>
      </w:r>
      <w:r w:rsidRPr="00695CBD">
        <w:rPr>
          <w:rFonts w:ascii="Calibri" w:hAnsi="Calibri"/>
          <w:sz w:val="26"/>
          <w:szCs w:val="26"/>
          <w:lang w:val="en-US"/>
        </w:rPr>
        <w:t xml:space="preserve"> the balance sheet net of the related</w:t>
      </w:r>
      <w:r w:rsidR="007C6B6C" w:rsidRPr="00695CBD">
        <w:rPr>
          <w:rFonts w:ascii="Calibri" w:hAnsi="Calibri"/>
          <w:sz w:val="26"/>
          <w:szCs w:val="26"/>
          <w:lang w:val="en-US"/>
        </w:rPr>
        <w:t xml:space="preserve"> plan</w:t>
      </w:r>
      <w:r w:rsidRPr="00695CBD">
        <w:rPr>
          <w:rFonts w:ascii="Calibri" w:hAnsi="Calibri"/>
          <w:sz w:val="26"/>
          <w:szCs w:val="26"/>
          <w:lang w:val="en-US"/>
        </w:rPr>
        <w:t xml:space="preserve"> assets</w:t>
      </w:r>
      <w:r w:rsidR="007C6B6C" w:rsidRPr="00695CBD">
        <w:rPr>
          <w:rFonts w:ascii="Calibri" w:hAnsi="Calibri"/>
          <w:sz w:val="26"/>
          <w:szCs w:val="26"/>
          <w:lang w:val="en-US"/>
        </w:rPr>
        <w:t xml:space="preserve"> as a net liability or otherwise as a net asset. On the other hand, in the case of </w:t>
      </w:r>
      <w:r w:rsidR="00E76346" w:rsidRPr="00695CBD">
        <w:rPr>
          <w:rFonts w:ascii="Calibri" w:hAnsi="Calibri"/>
          <w:sz w:val="26"/>
          <w:szCs w:val="26"/>
          <w:lang w:val="en-US"/>
        </w:rPr>
        <w:t xml:space="preserve">a </w:t>
      </w:r>
      <w:r w:rsidR="007C6B6C" w:rsidRPr="00695CBD">
        <w:rPr>
          <w:rFonts w:ascii="Calibri" w:hAnsi="Calibri"/>
          <w:sz w:val="26"/>
          <w:szCs w:val="26"/>
          <w:lang w:val="en-US"/>
        </w:rPr>
        <w:t>net asset for pension obligations, this item is to be deducted fr</w:t>
      </w:r>
      <w:r w:rsidR="0091743A" w:rsidRPr="00695CBD">
        <w:rPr>
          <w:rFonts w:ascii="Calibri" w:hAnsi="Calibri"/>
          <w:sz w:val="26"/>
          <w:szCs w:val="26"/>
          <w:lang w:val="en-US"/>
        </w:rPr>
        <w:t>om CET</w:t>
      </w:r>
      <w:r w:rsidR="007C6B6C" w:rsidRPr="00695CBD">
        <w:rPr>
          <w:rFonts w:ascii="Calibri" w:hAnsi="Calibri"/>
          <w:sz w:val="26"/>
          <w:szCs w:val="26"/>
          <w:lang w:val="en-US"/>
        </w:rPr>
        <w:t xml:space="preserve"> 1 capital, which could be decreased with the </w:t>
      </w:r>
      <w:r w:rsidR="00247264" w:rsidRPr="00695CBD">
        <w:rPr>
          <w:rFonts w:ascii="Calibri" w:hAnsi="Calibri"/>
          <w:sz w:val="26"/>
          <w:szCs w:val="26"/>
          <w:lang w:val="en-US"/>
        </w:rPr>
        <w:t xml:space="preserve">possible </w:t>
      </w:r>
      <w:r w:rsidR="007C6B6C" w:rsidRPr="00695CBD">
        <w:rPr>
          <w:rFonts w:ascii="Calibri" w:hAnsi="Calibri"/>
          <w:sz w:val="26"/>
          <w:szCs w:val="26"/>
          <w:lang w:val="en-US"/>
        </w:rPr>
        <w:t>result of a</w:t>
      </w:r>
      <w:r w:rsidR="00247264" w:rsidRPr="00695CBD">
        <w:rPr>
          <w:rFonts w:ascii="Calibri" w:hAnsi="Calibri"/>
          <w:sz w:val="26"/>
          <w:szCs w:val="26"/>
          <w:lang w:val="en-US"/>
        </w:rPr>
        <w:t>n</w:t>
      </w:r>
      <w:r w:rsidR="007C6B6C" w:rsidRPr="00695CBD">
        <w:rPr>
          <w:rFonts w:ascii="Calibri" w:hAnsi="Calibri"/>
          <w:sz w:val="26"/>
          <w:szCs w:val="26"/>
          <w:lang w:val="en-US"/>
        </w:rPr>
        <w:t xml:space="preserve"> </w:t>
      </w:r>
      <w:r w:rsidR="00247264" w:rsidRPr="00695CBD">
        <w:rPr>
          <w:rFonts w:ascii="Calibri" w:hAnsi="Calibri"/>
          <w:sz w:val="26"/>
          <w:szCs w:val="26"/>
          <w:lang w:val="en-US"/>
        </w:rPr>
        <w:t>“</w:t>
      </w:r>
      <w:r w:rsidR="007C6B6C" w:rsidRPr="00695CBD">
        <w:rPr>
          <w:rFonts w:ascii="Calibri" w:hAnsi="Calibri"/>
          <w:sz w:val="26"/>
          <w:szCs w:val="26"/>
          <w:lang w:val="en-US"/>
        </w:rPr>
        <w:t>undue volatility</w:t>
      </w:r>
      <w:r w:rsidR="00247264" w:rsidRPr="00695CBD">
        <w:rPr>
          <w:rFonts w:ascii="Calibri" w:hAnsi="Calibri"/>
          <w:sz w:val="26"/>
          <w:szCs w:val="26"/>
          <w:lang w:val="en-US"/>
        </w:rPr>
        <w:t>”</w:t>
      </w:r>
      <w:r w:rsidR="00164EB2" w:rsidRPr="00695CBD">
        <w:rPr>
          <w:rFonts w:ascii="Calibri" w:hAnsi="Calibri"/>
          <w:sz w:val="26"/>
          <w:szCs w:val="26"/>
          <w:lang w:val="en-US"/>
        </w:rPr>
        <w:t xml:space="preserve"> derived from the changes described</w:t>
      </w:r>
      <w:r w:rsidR="007C6B6C" w:rsidRPr="00695CBD">
        <w:rPr>
          <w:rFonts w:ascii="Calibri" w:hAnsi="Calibri"/>
          <w:sz w:val="26"/>
          <w:szCs w:val="26"/>
          <w:lang w:val="en-US"/>
        </w:rPr>
        <w:t xml:space="preserve">. The amount of the changes </w:t>
      </w:r>
      <w:r w:rsidR="00E76346" w:rsidRPr="00695CBD">
        <w:rPr>
          <w:rFonts w:ascii="Calibri" w:hAnsi="Calibri"/>
          <w:sz w:val="26"/>
          <w:szCs w:val="26"/>
          <w:lang w:val="en-US"/>
        </w:rPr>
        <w:t>in</w:t>
      </w:r>
      <w:r w:rsidR="007C6B6C" w:rsidRPr="00695CBD">
        <w:rPr>
          <w:rFonts w:ascii="Calibri" w:hAnsi="Calibri"/>
          <w:sz w:val="26"/>
          <w:szCs w:val="26"/>
          <w:lang w:val="en-US"/>
        </w:rPr>
        <w:t xml:space="preserve"> the net asset item depends on the acc</w:t>
      </w:r>
      <w:r w:rsidR="00247264" w:rsidRPr="00695CBD">
        <w:rPr>
          <w:rFonts w:ascii="Calibri" w:hAnsi="Calibri"/>
          <w:sz w:val="26"/>
          <w:szCs w:val="26"/>
          <w:lang w:val="en-US"/>
        </w:rPr>
        <w:t>ounting policies followed by each</w:t>
      </w:r>
      <w:r w:rsidR="00164EB2" w:rsidRPr="00695CBD">
        <w:rPr>
          <w:rFonts w:ascii="Calibri" w:hAnsi="Calibri"/>
          <w:sz w:val="26"/>
          <w:szCs w:val="26"/>
          <w:lang w:val="en-US"/>
        </w:rPr>
        <w:t xml:space="preserve"> institution before</w:t>
      </w:r>
      <w:r w:rsidR="00247264" w:rsidRPr="00695CBD">
        <w:rPr>
          <w:rFonts w:ascii="Calibri" w:hAnsi="Calibri"/>
          <w:sz w:val="26"/>
          <w:szCs w:val="26"/>
          <w:lang w:val="en-US"/>
        </w:rPr>
        <w:t xml:space="preserve"> the application of the amendments from the IAS.</w:t>
      </w:r>
    </w:p>
    <w:p w:rsidR="005B5361" w:rsidRPr="00695CBD" w:rsidRDefault="005B5361" w:rsidP="00695CBD">
      <w:pPr>
        <w:spacing w:line="360" w:lineRule="atLeast"/>
        <w:jc w:val="both"/>
        <w:rPr>
          <w:rFonts w:ascii="Calibri" w:hAnsi="Calibri"/>
          <w:sz w:val="26"/>
          <w:szCs w:val="26"/>
          <w:lang w:val="en-US"/>
        </w:rPr>
      </w:pPr>
    </w:p>
    <w:p w:rsidR="005B5361" w:rsidRPr="00695CBD" w:rsidRDefault="00BC6944" w:rsidP="00695CBD">
      <w:pPr>
        <w:spacing w:line="360" w:lineRule="atLeast"/>
        <w:jc w:val="both"/>
        <w:rPr>
          <w:rFonts w:ascii="Calibri" w:hAnsi="Calibri"/>
          <w:sz w:val="26"/>
          <w:szCs w:val="26"/>
          <w:lang w:val="en-US"/>
        </w:rPr>
      </w:pPr>
      <w:r w:rsidRPr="00695CBD">
        <w:rPr>
          <w:rFonts w:ascii="Calibri" w:hAnsi="Calibri"/>
          <w:sz w:val="26"/>
          <w:szCs w:val="26"/>
          <w:lang w:val="en-US"/>
        </w:rPr>
        <w:t xml:space="preserve">The Banking Stakeholder Group (BSG) welcomes </w:t>
      </w:r>
      <w:r w:rsidR="00663BD9" w:rsidRPr="00695CBD">
        <w:rPr>
          <w:rFonts w:ascii="Calibri" w:hAnsi="Calibri"/>
          <w:sz w:val="26"/>
          <w:szCs w:val="26"/>
          <w:lang w:val="en-US"/>
        </w:rPr>
        <w:t xml:space="preserve">the </w:t>
      </w:r>
      <w:r w:rsidR="00E66B23" w:rsidRPr="00695CBD">
        <w:rPr>
          <w:rFonts w:ascii="Calibri" w:hAnsi="Calibri"/>
          <w:sz w:val="26"/>
          <w:szCs w:val="26"/>
          <w:lang w:val="en-US"/>
        </w:rPr>
        <w:t>Discussion Paper</w:t>
      </w:r>
      <w:r w:rsidR="00663BD9" w:rsidRPr="00695CBD">
        <w:rPr>
          <w:rFonts w:ascii="Calibri" w:hAnsi="Calibri"/>
          <w:sz w:val="26"/>
          <w:szCs w:val="26"/>
          <w:lang w:val="en-US"/>
        </w:rPr>
        <w:t xml:space="preserve"> </w:t>
      </w:r>
      <w:r w:rsidR="00164EB2" w:rsidRPr="00695CBD">
        <w:rPr>
          <w:rFonts w:ascii="Calibri" w:hAnsi="Calibri"/>
          <w:sz w:val="26"/>
          <w:szCs w:val="26"/>
          <w:lang w:val="en-US"/>
        </w:rPr>
        <w:t>as a valid</w:t>
      </w:r>
      <w:r w:rsidR="009D61F6" w:rsidRPr="00695CBD">
        <w:rPr>
          <w:rFonts w:ascii="Calibri" w:hAnsi="Calibri"/>
          <w:sz w:val="26"/>
          <w:szCs w:val="26"/>
          <w:lang w:val="en-US"/>
        </w:rPr>
        <w:t xml:space="preserve"> and useful</w:t>
      </w:r>
      <w:r w:rsidR="00663BD9" w:rsidRPr="00695CBD">
        <w:rPr>
          <w:rFonts w:ascii="Calibri" w:hAnsi="Calibri"/>
          <w:sz w:val="26"/>
          <w:szCs w:val="26"/>
          <w:lang w:val="en-US"/>
        </w:rPr>
        <w:t xml:space="preserve"> exercise of assessment of the changes that both</w:t>
      </w:r>
      <w:r w:rsidR="00164EB2" w:rsidRPr="00695CBD">
        <w:rPr>
          <w:rFonts w:ascii="Calibri" w:hAnsi="Calibri"/>
          <w:sz w:val="26"/>
          <w:szCs w:val="26"/>
          <w:lang w:val="en-US"/>
        </w:rPr>
        <w:t xml:space="preserve"> the</w:t>
      </w:r>
      <w:r w:rsidR="00663BD9" w:rsidRPr="00695CBD">
        <w:rPr>
          <w:rFonts w:ascii="Calibri" w:hAnsi="Calibri"/>
          <w:sz w:val="26"/>
          <w:szCs w:val="26"/>
          <w:lang w:val="en-US"/>
        </w:rPr>
        <w:t xml:space="preserve"> CRR and the revised IAS 19 could induce in the equity of institutions with the new accounting standards. The revision of IAS 19 </w:t>
      </w:r>
      <w:r w:rsidR="0096552F" w:rsidRPr="00695CBD">
        <w:rPr>
          <w:rFonts w:ascii="Calibri" w:hAnsi="Calibri"/>
          <w:sz w:val="26"/>
          <w:szCs w:val="26"/>
          <w:lang w:val="en-US"/>
        </w:rPr>
        <w:t>is</w:t>
      </w:r>
      <w:r w:rsidR="00663BD9" w:rsidRPr="00695CBD">
        <w:rPr>
          <w:rFonts w:ascii="Calibri" w:hAnsi="Calibri"/>
          <w:sz w:val="26"/>
          <w:szCs w:val="26"/>
          <w:lang w:val="en-US"/>
        </w:rPr>
        <w:t xml:space="preserve"> effective for annual periods begin</w:t>
      </w:r>
      <w:r w:rsidR="00DC03C5" w:rsidRPr="00695CBD">
        <w:rPr>
          <w:rFonts w:ascii="Calibri" w:hAnsi="Calibri"/>
          <w:sz w:val="26"/>
          <w:szCs w:val="26"/>
          <w:lang w:val="en-US"/>
        </w:rPr>
        <w:t>ning on or after 1 Januar</w:t>
      </w:r>
      <w:r w:rsidR="00247264" w:rsidRPr="00695CBD">
        <w:rPr>
          <w:rFonts w:ascii="Calibri" w:hAnsi="Calibri"/>
          <w:sz w:val="26"/>
          <w:szCs w:val="26"/>
          <w:lang w:val="en-US"/>
        </w:rPr>
        <w:t>y 2013, and fo</w:t>
      </w:r>
      <w:r w:rsidR="00164EB2" w:rsidRPr="00695CBD">
        <w:rPr>
          <w:rFonts w:ascii="Calibri" w:hAnsi="Calibri"/>
          <w:sz w:val="26"/>
          <w:szCs w:val="26"/>
          <w:lang w:val="en-US"/>
        </w:rPr>
        <w:t>r that reason those</w:t>
      </w:r>
      <w:r w:rsidR="00247264" w:rsidRPr="00695CBD">
        <w:rPr>
          <w:rFonts w:ascii="Calibri" w:hAnsi="Calibri"/>
          <w:sz w:val="26"/>
          <w:szCs w:val="26"/>
          <w:lang w:val="en-US"/>
        </w:rPr>
        <w:t xml:space="preserve"> changes are already in force</w:t>
      </w:r>
      <w:r w:rsidR="00DC03C5" w:rsidRPr="00695CBD">
        <w:rPr>
          <w:rFonts w:ascii="Calibri" w:hAnsi="Calibri"/>
          <w:sz w:val="26"/>
          <w:szCs w:val="26"/>
          <w:lang w:val="en-US"/>
        </w:rPr>
        <w:t xml:space="preserve"> when the institutions apply the provisions of the CRR.</w:t>
      </w:r>
    </w:p>
    <w:p w:rsidR="005B5361" w:rsidRPr="00695CBD" w:rsidRDefault="005B5361" w:rsidP="00695CBD">
      <w:pPr>
        <w:spacing w:line="360" w:lineRule="atLeast"/>
        <w:jc w:val="both"/>
        <w:rPr>
          <w:rFonts w:ascii="Calibri" w:hAnsi="Calibri"/>
          <w:sz w:val="26"/>
          <w:szCs w:val="26"/>
          <w:lang w:val="en-US"/>
        </w:rPr>
      </w:pPr>
    </w:p>
    <w:p w:rsidR="005B5361" w:rsidRPr="00695CBD" w:rsidRDefault="00DC03C5" w:rsidP="00695CBD">
      <w:pPr>
        <w:spacing w:line="360" w:lineRule="atLeast"/>
        <w:jc w:val="both"/>
        <w:rPr>
          <w:rFonts w:ascii="Calibri" w:hAnsi="Calibri"/>
          <w:sz w:val="26"/>
          <w:szCs w:val="26"/>
          <w:lang w:val="en-US"/>
        </w:rPr>
      </w:pPr>
      <w:r w:rsidRPr="00695CBD">
        <w:rPr>
          <w:rFonts w:ascii="Calibri" w:hAnsi="Calibri"/>
          <w:sz w:val="26"/>
          <w:szCs w:val="26"/>
          <w:lang w:val="en-US"/>
        </w:rPr>
        <w:t>The</w:t>
      </w:r>
      <w:r w:rsidR="00247264" w:rsidRPr="00695CBD">
        <w:rPr>
          <w:rFonts w:ascii="Calibri" w:hAnsi="Calibri"/>
          <w:sz w:val="26"/>
          <w:szCs w:val="26"/>
          <w:lang w:val="en-US"/>
        </w:rPr>
        <w:t xml:space="preserve"> main</w:t>
      </w:r>
      <w:r w:rsidRPr="00695CBD">
        <w:rPr>
          <w:rFonts w:ascii="Calibri" w:hAnsi="Calibri"/>
          <w:sz w:val="26"/>
          <w:szCs w:val="26"/>
          <w:lang w:val="en-US"/>
        </w:rPr>
        <w:t xml:space="preserve"> changes </w:t>
      </w:r>
      <w:r w:rsidR="005A6778" w:rsidRPr="00695CBD">
        <w:rPr>
          <w:rFonts w:ascii="Calibri" w:hAnsi="Calibri"/>
          <w:sz w:val="26"/>
          <w:szCs w:val="26"/>
          <w:lang w:val="en-US"/>
        </w:rPr>
        <w:t>i</w:t>
      </w:r>
      <w:r w:rsidRPr="00695CBD">
        <w:rPr>
          <w:rFonts w:ascii="Calibri" w:hAnsi="Calibri"/>
          <w:sz w:val="26"/>
          <w:szCs w:val="26"/>
          <w:lang w:val="en-US"/>
        </w:rPr>
        <w:t xml:space="preserve">n IAS 19 </w:t>
      </w:r>
      <w:r w:rsidR="00247264" w:rsidRPr="00695CBD">
        <w:rPr>
          <w:rFonts w:ascii="Calibri" w:hAnsi="Calibri"/>
          <w:sz w:val="26"/>
          <w:szCs w:val="26"/>
          <w:lang w:val="en-US"/>
        </w:rPr>
        <w:t>are the following:</w:t>
      </w:r>
    </w:p>
    <w:p w:rsidR="005B5361" w:rsidRPr="00695CBD" w:rsidRDefault="005B5361" w:rsidP="00695CBD">
      <w:pPr>
        <w:spacing w:line="360" w:lineRule="atLeast"/>
        <w:jc w:val="both"/>
        <w:rPr>
          <w:rFonts w:ascii="Calibri" w:hAnsi="Calibri"/>
          <w:sz w:val="26"/>
          <w:szCs w:val="26"/>
          <w:lang w:val="en-US"/>
        </w:rPr>
      </w:pPr>
    </w:p>
    <w:p w:rsidR="005B5361" w:rsidRPr="00695CBD" w:rsidRDefault="00247264" w:rsidP="00695CBD">
      <w:pPr>
        <w:numPr>
          <w:ilvl w:val="0"/>
          <w:numId w:val="5"/>
        </w:numPr>
        <w:spacing w:line="360" w:lineRule="atLeast"/>
        <w:jc w:val="both"/>
        <w:rPr>
          <w:rFonts w:ascii="Calibri" w:hAnsi="Calibri"/>
          <w:sz w:val="26"/>
          <w:szCs w:val="26"/>
          <w:lang w:val="en-US"/>
        </w:rPr>
      </w:pPr>
      <w:r w:rsidRPr="00695CBD">
        <w:rPr>
          <w:rFonts w:ascii="Calibri" w:hAnsi="Calibri"/>
          <w:sz w:val="26"/>
          <w:szCs w:val="26"/>
          <w:lang w:val="en-US"/>
        </w:rPr>
        <w:t xml:space="preserve">The </w:t>
      </w:r>
      <w:r w:rsidR="00F24F3A" w:rsidRPr="00695CBD">
        <w:rPr>
          <w:rFonts w:ascii="Calibri" w:hAnsi="Calibri"/>
          <w:sz w:val="26"/>
          <w:szCs w:val="26"/>
          <w:lang w:val="en-US"/>
        </w:rPr>
        <w:t>measurement of the liability for pension plans should be stated as accurately as possible, removing t</w:t>
      </w:r>
      <w:r w:rsidR="0054578A" w:rsidRPr="00695CBD">
        <w:rPr>
          <w:rFonts w:ascii="Calibri" w:hAnsi="Calibri"/>
          <w:sz w:val="26"/>
          <w:szCs w:val="26"/>
          <w:lang w:val="en-US"/>
        </w:rPr>
        <w:t>he so called ‘corridor approach’</w:t>
      </w:r>
      <w:r w:rsidR="00F24F3A" w:rsidRPr="00695CBD">
        <w:rPr>
          <w:rFonts w:ascii="Calibri" w:hAnsi="Calibri"/>
          <w:sz w:val="26"/>
          <w:szCs w:val="26"/>
          <w:lang w:val="en-US"/>
        </w:rPr>
        <w:t xml:space="preserve"> that allows </w:t>
      </w:r>
      <w:r w:rsidR="005A6778" w:rsidRPr="00695CBD">
        <w:rPr>
          <w:rFonts w:ascii="Calibri" w:hAnsi="Calibri"/>
          <w:sz w:val="26"/>
          <w:szCs w:val="26"/>
          <w:lang w:val="en-US"/>
        </w:rPr>
        <w:t xml:space="preserve">the </w:t>
      </w:r>
      <w:r w:rsidR="00DC07FF" w:rsidRPr="00695CBD">
        <w:rPr>
          <w:rFonts w:ascii="Calibri" w:hAnsi="Calibri"/>
          <w:sz w:val="26"/>
          <w:szCs w:val="26"/>
          <w:lang w:val="en-US"/>
        </w:rPr>
        <w:t>recogni</w:t>
      </w:r>
      <w:r w:rsidR="005A6778" w:rsidRPr="00695CBD">
        <w:rPr>
          <w:rFonts w:ascii="Calibri" w:hAnsi="Calibri"/>
          <w:sz w:val="26"/>
          <w:szCs w:val="26"/>
          <w:lang w:val="en-US"/>
        </w:rPr>
        <w:t>tion</w:t>
      </w:r>
      <w:r w:rsidR="00F24F3A" w:rsidRPr="00695CBD">
        <w:rPr>
          <w:rFonts w:ascii="Calibri" w:hAnsi="Calibri"/>
          <w:sz w:val="26"/>
          <w:szCs w:val="26"/>
          <w:lang w:val="en-US"/>
        </w:rPr>
        <w:t xml:space="preserve"> only </w:t>
      </w:r>
      <w:r w:rsidR="005A6778" w:rsidRPr="00695CBD">
        <w:rPr>
          <w:rFonts w:ascii="Calibri" w:hAnsi="Calibri"/>
          <w:sz w:val="26"/>
          <w:szCs w:val="26"/>
          <w:lang w:val="en-US"/>
        </w:rPr>
        <w:t xml:space="preserve">of </w:t>
      </w:r>
      <w:r w:rsidR="00F24F3A" w:rsidRPr="00695CBD">
        <w:rPr>
          <w:rFonts w:ascii="Calibri" w:hAnsi="Calibri"/>
          <w:sz w:val="26"/>
          <w:szCs w:val="26"/>
          <w:lang w:val="en-US"/>
        </w:rPr>
        <w:t>the actuarial gains and losses exceeding a</w:t>
      </w:r>
      <w:r w:rsidR="0054578A" w:rsidRPr="00695CBD">
        <w:rPr>
          <w:rFonts w:ascii="Calibri" w:hAnsi="Calibri"/>
          <w:sz w:val="26"/>
          <w:szCs w:val="26"/>
          <w:lang w:val="en-US"/>
        </w:rPr>
        <w:t xml:space="preserve"> range of </w:t>
      </w:r>
      <w:r w:rsidR="005A6778" w:rsidRPr="00695CBD">
        <w:rPr>
          <w:rFonts w:ascii="Calibri" w:hAnsi="Calibri"/>
          <w:sz w:val="26"/>
          <w:szCs w:val="26"/>
          <w:lang w:val="en-US"/>
        </w:rPr>
        <w:t>between</w:t>
      </w:r>
      <w:r w:rsidR="00F24F3A" w:rsidRPr="00695CBD">
        <w:rPr>
          <w:rFonts w:ascii="Calibri" w:hAnsi="Calibri"/>
          <w:sz w:val="26"/>
          <w:szCs w:val="26"/>
          <w:lang w:val="en-US"/>
        </w:rPr>
        <w:t xml:space="preserve"> 10 per cent </w:t>
      </w:r>
      <w:r w:rsidR="0054578A" w:rsidRPr="00695CBD">
        <w:rPr>
          <w:rFonts w:ascii="Calibri" w:hAnsi="Calibri"/>
          <w:sz w:val="26"/>
          <w:szCs w:val="26"/>
          <w:lang w:val="en-US"/>
        </w:rPr>
        <w:t xml:space="preserve">above or below </w:t>
      </w:r>
      <w:r w:rsidR="00F24F3A" w:rsidRPr="00695CBD">
        <w:rPr>
          <w:rFonts w:ascii="Calibri" w:hAnsi="Calibri"/>
          <w:sz w:val="26"/>
          <w:szCs w:val="26"/>
          <w:lang w:val="en-US"/>
        </w:rPr>
        <w:t>the estimated value of the liability.</w:t>
      </w:r>
    </w:p>
    <w:p w:rsidR="005B5361" w:rsidRPr="00695CBD" w:rsidRDefault="00247264" w:rsidP="00695CBD">
      <w:pPr>
        <w:numPr>
          <w:ilvl w:val="0"/>
          <w:numId w:val="5"/>
        </w:numPr>
        <w:spacing w:line="360" w:lineRule="atLeast"/>
        <w:jc w:val="both"/>
        <w:rPr>
          <w:rFonts w:ascii="Calibri" w:hAnsi="Calibri"/>
          <w:sz w:val="26"/>
          <w:szCs w:val="26"/>
          <w:lang w:val="en-US"/>
        </w:rPr>
      </w:pPr>
      <w:r w:rsidRPr="00695CBD">
        <w:rPr>
          <w:rFonts w:ascii="Calibri" w:hAnsi="Calibri"/>
          <w:sz w:val="26"/>
          <w:szCs w:val="26"/>
          <w:lang w:val="en-US"/>
        </w:rPr>
        <w:lastRenderedPageBreak/>
        <w:t xml:space="preserve">Actuarial gains and losses are required to be </w:t>
      </w:r>
      <w:r w:rsidR="00DC07FF" w:rsidRPr="00695CBD">
        <w:rPr>
          <w:rFonts w:ascii="Calibri" w:hAnsi="Calibri"/>
          <w:sz w:val="26"/>
          <w:szCs w:val="26"/>
          <w:lang w:val="en-US"/>
        </w:rPr>
        <w:t>recognis</w:t>
      </w:r>
      <w:r w:rsidRPr="00695CBD">
        <w:rPr>
          <w:rFonts w:ascii="Calibri" w:hAnsi="Calibri"/>
          <w:sz w:val="26"/>
          <w:szCs w:val="26"/>
          <w:lang w:val="en-US"/>
        </w:rPr>
        <w:t>ed</w:t>
      </w:r>
      <w:r w:rsidR="00F24F3A" w:rsidRPr="00695CBD">
        <w:rPr>
          <w:rFonts w:ascii="Calibri" w:hAnsi="Calibri"/>
          <w:sz w:val="26"/>
          <w:szCs w:val="26"/>
          <w:lang w:val="en-US"/>
        </w:rPr>
        <w:t xml:space="preserve"> immediately</w:t>
      </w:r>
      <w:r w:rsidRPr="00695CBD">
        <w:rPr>
          <w:rFonts w:ascii="Calibri" w:hAnsi="Calibri"/>
          <w:sz w:val="26"/>
          <w:szCs w:val="26"/>
          <w:lang w:val="en-US"/>
        </w:rPr>
        <w:t xml:space="preserve"> in other comprehensive income, being excluded </w:t>
      </w:r>
      <w:r w:rsidR="00313BE1" w:rsidRPr="00695CBD">
        <w:rPr>
          <w:rFonts w:ascii="Calibri" w:hAnsi="Calibri"/>
          <w:sz w:val="26"/>
          <w:szCs w:val="26"/>
          <w:lang w:val="en-US"/>
        </w:rPr>
        <w:t xml:space="preserve">permanently </w:t>
      </w:r>
      <w:r w:rsidRPr="00695CBD">
        <w:rPr>
          <w:rFonts w:ascii="Calibri" w:hAnsi="Calibri"/>
          <w:sz w:val="26"/>
          <w:szCs w:val="26"/>
          <w:lang w:val="en-US"/>
        </w:rPr>
        <w:t xml:space="preserve">from profit and loss. </w:t>
      </w:r>
      <w:r w:rsidR="00226167" w:rsidRPr="00695CBD">
        <w:rPr>
          <w:rFonts w:ascii="Calibri" w:hAnsi="Calibri"/>
          <w:sz w:val="26"/>
          <w:szCs w:val="26"/>
          <w:lang w:val="en-US"/>
        </w:rPr>
        <w:t xml:space="preserve">That means that all the subsequent adjustments of the initial estimation </w:t>
      </w:r>
      <w:r w:rsidR="005C5144" w:rsidRPr="00695CBD">
        <w:rPr>
          <w:rFonts w:ascii="Calibri" w:hAnsi="Calibri"/>
          <w:sz w:val="26"/>
          <w:szCs w:val="26"/>
          <w:lang w:val="en-US"/>
        </w:rPr>
        <w:t>are recognised</w:t>
      </w:r>
      <w:r w:rsidR="00226167" w:rsidRPr="00695CBD">
        <w:rPr>
          <w:rFonts w:ascii="Calibri" w:hAnsi="Calibri"/>
          <w:sz w:val="26"/>
          <w:szCs w:val="26"/>
          <w:lang w:val="en-US"/>
        </w:rPr>
        <w:t xml:space="preserve"> as additions or deductions of the amount of equity of the institution without modifying the balance of the profit and loss account of the year.</w:t>
      </w:r>
    </w:p>
    <w:p w:rsidR="005B5361" w:rsidRPr="00695CBD" w:rsidRDefault="00247264" w:rsidP="00695CBD">
      <w:pPr>
        <w:numPr>
          <w:ilvl w:val="0"/>
          <w:numId w:val="5"/>
        </w:numPr>
        <w:spacing w:line="360" w:lineRule="atLeast"/>
        <w:jc w:val="both"/>
        <w:rPr>
          <w:rFonts w:ascii="Calibri" w:hAnsi="Calibri"/>
          <w:sz w:val="26"/>
          <w:szCs w:val="26"/>
          <w:lang w:val="en-US"/>
        </w:rPr>
      </w:pPr>
      <w:r w:rsidRPr="00695CBD">
        <w:rPr>
          <w:rFonts w:ascii="Calibri" w:hAnsi="Calibri"/>
          <w:sz w:val="26"/>
          <w:szCs w:val="26"/>
          <w:lang w:val="en-US"/>
        </w:rPr>
        <w:t xml:space="preserve">Expected returns on plan assets will no longer be </w:t>
      </w:r>
      <w:r w:rsidR="00DC07FF" w:rsidRPr="00695CBD">
        <w:rPr>
          <w:rFonts w:ascii="Calibri" w:hAnsi="Calibri"/>
          <w:sz w:val="26"/>
          <w:szCs w:val="26"/>
          <w:lang w:val="en-US"/>
        </w:rPr>
        <w:t>recognis</w:t>
      </w:r>
      <w:r w:rsidRPr="00695CBD">
        <w:rPr>
          <w:rFonts w:ascii="Calibri" w:hAnsi="Calibri"/>
          <w:sz w:val="26"/>
          <w:szCs w:val="26"/>
          <w:lang w:val="en-US"/>
        </w:rPr>
        <w:t xml:space="preserve">ed in </w:t>
      </w:r>
      <w:r w:rsidR="009D61F6" w:rsidRPr="00695CBD">
        <w:rPr>
          <w:rFonts w:ascii="Calibri" w:hAnsi="Calibri"/>
          <w:sz w:val="26"/>
          <w:szCs w:val="26"/>
          <w:lang w:val="en-US"/>
        </w:rPr>
        <w:t xml:space="preserve">institutions’ </w:t>
      </w:r>
      <w:r w:rsidRPr="00695CBD">
        <w:rPr>
          <w:rFonts w:ascii="Calibri" w:hAnsi="Calibri"/>
          <w:sz w:val="26"/>
          <w:szCs w:val="26"/>
          <w:lang w:val="en-US"/>
        </w:rPr>
        <w:t>profit and loss</w:t>
      </w:r>
      <w:r w:rsidR="009D61F6" w:rsidRPr="00695CBD">
        <w:rPr>
          <w:rFonts w:ascii="Calibri" w:hAnsi="Calibri"/>
          <w:sz w:val="26"/>
          <w:szCs w:val="26"/>
          <w:lang w:val="en-US"/>
        </w:rPr>
        <w:t xml:space="preserve"> accounts</w:t>
      </w:r>
      <w:r w:rsidRPr="00695CBD">
        <w:rPr>
          <w:rFonts w:ascii="Calibri" w:hAnsi="Calibri"/>
          <w:sz w:val="26"/>
          <w:szCs w:val="26"/>
          <w:lang w:val="en-US"/>
        </w:rPr>
        <w:t>.</w:t>
      </w:r>
    </w:p>
    <w:p w:rsidR="005B5361" w:rsidRPr="00695CBD" w:rsidRDefault="00247264" w:rsidP="00695CBD">
      <w:pPr>
        <w:numPr>
          <w:ilvl w:val="0"/>
          <w:numId w:val="5"/>
        </w:numPr>
        <w:spacing w:line="360" w:lineRule="atLeast"/>
        <w:jc w:val="both"/>
        <w:rPr>
          <w:rFonts w:ascii="Calibri" w:hAnsi="Calibri"/>
          <w:sz w:val="26"/>
          <w:szCs w:val="26"/>
          <w:lang w:val="en-US"/>
        </w:rPr>
      </w:pPr>
      <w:r w:rsidRPr="00695CBD">
        <w:rPr>
          <w:rFonts w:ascii="Calibri" w:hAnsi="Calibri"/>
          <w:sz w:val="26"/>
          <w:szCs w:val="26"/>
          <w:lang w:val="en-US"/>
        </w:rPr>
        <w:t xml:space="preserve">Unvested past service </w:t>
      </w:r>
      <w:r w:rsidR="009D61F6" w:rsidRPr="00695CBD">
        <w:rPr>
          <w:rFonts w:ascii="Calibri" w:hAnsi="Calibri"/>
          <w:sz w:val="26"/>
          <w:szCs w:val="26"/>
          <w:lang w:val="en-US"/>
        </w:rPr>
        <w:t xml:space="preserve">costs </w:t>
      </w:r>
      <w:r w:rsidR="00F24F3A" w:rsidRPr="00695CBD">
        <w:rPr>
          <w:rFonts w:ascii="Calibri" w:hAnsi="Calibri"/>
          <w:sz w:val="26"/>
          <w:szCs w:val="26"/>
          <w:lang w:val="en-US"/>
        </w:rPr>
        <w:t xml:space="preserve">can no longer be deferred and </w:t>
      </w:r>
      <w:r w:rsidR="00DC07FF" w:rsidRPr="00695CBD">
        <w:rPr>
          <w:rFonts w:ascii="Calibri" w:hAnsi="Calibri"/>
          <w:sz w:val="26"/>
          <w:szCs w:val="26"/>
          <w:lang w:val="en-US"/>
        </w:rPr>
        <w:t>recognis</w:t>
      </w:r>
      <w:r w:rsidR="00F24F3A" w:rsidRPr="00695CBD">
        <w:rPr>
          <w:rFonts w:ascii="Calibri" w:hAnsi="Calibri"/>
          <w:sz w:val="26"/>
          <w:szCs w:val="26"/>
          <w:lang w:val="en-US"/>
        </w:rPr>
        <w:t>ed over the future vesting period, being charged to profit and loss when the corresponding event occurs.</w:t>
      </w:r>
    </w:p>
    <w:p w:rsidR="005B5361" w:rsidRPr="00695CBD" w:rsidRDefault="005B5361" w:rsidP="00695CBD">
      <w:pPr>
        <w:spacing w:line="360" w:lineRule="atLeast"/>
        <w:jc w:val="both"/>
        <w:rPr>
          <w:rFonts w:ascii="Calibri" w:hAnsi="Calibri"/>
          <w:sz w:val="26"/>
          <w:szCs w:val="26"/>
          <w:lang w:val="en-US"/>
        </w:rPr>
      </w:pPr>
    </w:p>
    <w:p w:rsidR="005B5361" w:rsidRPr="00695CBD" w:rsidRDefault="00313BE1" w:rsidP="00695CBD">
      <w:pPr>
        <w:pStyle w:val="ListParagraph1"/>
        <w:spacing w:line="360" w:lineRule="atLeast"/>
        <w:ind w:left="0"/>
        <w:jc w:val="both"/>
        <w:rPr>
          <w:rFonts w:ascii="Calibri" w:hAnsi="Calibri"/>
          <w:sz w:val="26"/>
          <w:szCs w:val="26"/>
          <w:lang w:val="en-US"/>
        </w:rPr>
      </w:pPr>
      <w:r w:rsidRPr="00695CBD">
        <w:rPr>
          <w:rFonts w:ascii="Calibri" w:hAnsi="Calibri"/>
          <w:sz w:val="26"/>
          <w:szCs w:val="26"/>
          <w:lang w:val="en-US"/>
        </w:rPr>
        <w:t>From th</w:t>
      </w:r>
      <w:r w:rsidR="00C1592A" w:rsidRPr="00695CBD">
        <w:rPr>
          <w:rFonts w:ascii="Calibri" w:hAnsi="Calibri"/>
          <w:sz w:val="26"/>
          <w:szCs w:val="26"/>
          <w:lang w:val="en-US"/>
        </w:rPr>
        <w:t>e</w:t>
      </w:r>
      <w:r w:rsidRPr="00695CBD">
        <w:rPr>
          <w:rFonts w:ascii="Calibri" w:hAnsi="Calibri"/>
          <w:sz w:val="26"/>
          <w:szCs w:val="26"/>
          <w:lang w:val="en-US"/>
        </w:rPr>
        <w:t xml:space="preserve"> changes</w:t>
      </w:r>
      <w:r w:rsidR="00C1592A" w:rsidRPr="00695CBD">
        <w:rPr>
          <w:rFonts w:ascii="Calibri" w:hAnsi="Calibri"/>
          <w:sz w:val="26"/>
          <w:szCs w:val="26"/>
          <w:lang w:val="en-US"/>
        </w:rPr>
        <w:t xml:space="preserve"> mentioned,</w:t>
      </w:r>
      <w:r w:rsidRPr="00695CBD">
        <w:rPr>
          <w:rFonts w:ascii="Calibri" w:hAnsi="Calibri"/>
          <w:sz w:val="26"/>
          <w:szCs w:val="26"/>
          <w:lang w:val="en-US"/>
        </w:rPr>
        <w:t xml:space="preserve"> the most important impact</w:t>
      </w:r>
      <w:r w:rsidR="0054578A" w:rsidRPr="00695CBD">
        <w:rPr>
          <w:rFonts w:ascii="Calibri" w:hAnsi="Calibri"/>
          <w:sz w:val="26"/>
          <w:szCs w:val="26"/>
          <w:lang w:val="en-US"/>
        </w:rPr>
        <w:t xml:space="preserve"> </w:t>
      </w:r>
      <w:r w:rsidR="009D61F6" w:rsidRPr="00695CBD">
        <w:rPr>
          <w:rFonts w:ascii="Calibri" w:hAnsi="Calibri"/>
          <w:sz w:val="26"/>
          <w:szCs w:val="26"/>
          <w:lang w:val="en-US"/>
        </w:rPr>
        <w:t>on</w:t>
      </w:r>
      <w:r w:rsidR="0054578A" w:rsidRPr="00695CBD">
        <w:rPr>
          <w:rFonts w:ascii="Calibri" w:hAnsi="Calibri"/>
          <w:sz w:val="26"/>
          <w:szCs w:val="26"/>
          <w:lang w:val="en-US"/>
        </w:rPr>
        <w:t xml:space="preserve"> the equity of institutions</w:t>
      </w:r>
      <w:r w:rsidRPr="00695CBD">
        <w:rPr>
          <w:rFonts w:ascii="Calibri" w:hAnsi="Calibri"/>
          <w:sz w:val="26"/>
          <w:szCs w:val="26"/>
          <w:lang w:val="en-US"/>
        </w:rPr>
        <w:t xml:space="preserve"> is expected </w:t>
      </w:r>
      <w:r w:rsidR="009D61F6" w:rsidRPr="00695CBD">
        <w:rPr>
          <w:rFonts w:ascii="Calibri" w:hAnsi="Calibri"/>
          <w:sz w:val="26"/>
          <w:szCs w:val="26"/>
          <w:lang w:val="en-US"/>
        </w:rPr>
        <w:t xml:space="preserve">to be </w:t>
      </w:r>
      <w:r w:rsidRPr="00695CBD">
        <w:rPr>
          <w:rFonts w:ascii="Calibri" w:hAnsi="Calibri"/>
          <w:sz w:val="26"/>
          <w:szCs w:val="26"/>
          <w:lang w:val="en-US"/>
        </w:rPr>
        <w:t>from the first and second bullets</w:t>
      </w:r>
      <w:r w:rsidR="00EF387E" w:rsidRPr="00695CBD">
        <w:rPr>
          <w:rFonts w:ascii="Calibri" w:hAnsi="Calibri"/>
          <w:sz w:val="26"/>
          <w:szCs w:val="26"/>
          <w:lang w:val="en-US"/>
        </w:rPr>
        <w:t xml:space="preserve"> above</w:t>
      </w:r>
      <w:r w:rsidR="009D61F6" w:rsidRPr="00695CBD">
        <w:rPr>
          <w:rFonts w:ascii="Calibri" w:hAnsi="Calibri"/>
          <w:sz w:val="26"/>
          <w:szCs w:val="26"/>
          <w:lang w:val="en-US"/>
        </w:rPr>
        <w:t>: this is</w:t>
      </w:r>
      <w:r w:rsidRPr="00695CBD">
        <w:rPr>
          <w:rFonts w:ascii="Calibri" w:hAnsi="Calibri"/>
          <w:sz w:val="26"/>
          <w:szCs w:val="26"/>
          <w:lang w:val="en-US"/>
        </w:rPr>
        <w:t xml:space="preserve"> because the institutions concerned tend to use the </w:t>
      </w:r>
      <w:r w:rsidR="0054578A" w:rsidRPr="00695CBD">
        <w:rPr>
          <w:rFonts w:ascii="Calibri" w:hAnsi="Calibri"/>
          <w:sz w:val="26"/>
          <w:szCs w:val="26"/>
          <w:lang w:val="en-US"/>
        </w:rPr>
        <w:t>‘</w:t>
      </w:r>
      <w:r w:rsidRPr="00695CBD">
        <w:rPr>
          <w:rFonts w:ascii="Calibri" w:hAnsi="Calibri"/>
          <w:sz w:val="26"/>
          <w:szCs w:val="26"/>
          <w:lang w:val="en-US"/>
        </w:rPr>
        <w:t>corridor approach</w:t>
      </w:r>
      <w:r w:rsidR="0054578A" w:rsidRPr="00695CBD">
        <w:rPr>
          <w:rFonts w:ascii="Calibri" w:hAnsi="Calibri"/>
          <w:sz w:val="26"/>
          <w:szCs w:val="26"/>
          <w:lang w:val="en-US"/>
        </w:rPr>
        <w:t>’</w:t>
      </w:r>
      <w:r w:rsidRPr="00695CBD">
        <w:rPr>
          <w:rFonts w:ascii="Calibri" w:hAnsi="Calibri"/>
          <w:sz w:val="26"/>
          <w:szCs w:val="26"/>
          <w:lang w:val="en-US"/>
        </w:rPr>
        <w:t xml:space="preserve"> </w:t>
      </w:r>
      <w:r w:rsidR="00C63A3D" w:rsidRPr="00695CBD">
        <w:rPr>
          <w:rFonts w:ascii="Calibri" w:hAnsi="Calibri"/>
          <w:sz w:val="26"/>
          <w:szCs w:val="26"/>
          <w:lang w:val="en-US"/>
        </w:rPr>
        <w:t>that generally allows for no</w:t>
      </w:r>
      <w:r w:rsidR="00236E46" w:rsidRPr="00695CBD">
        <w:rPr>
          <w:rFonts w:ascii="Calibri" w:hAnsi="Calibri"/>
          <w:sz w:val="26"/>
          <w:szCs w:val="26"/>
          <w:lang w:val="en-US"/>
        </w:rPr>
        <w:t>n</w:t>
      </w:r>
      <w:r w:rsidR="009D61F6" w:rsidRPr="00695CBD">
        <w:rPr>
          <w:rFonts w:ascii="Calibri" w:hAnsi="Calibri"/>
          <w:sz w:val="26"/>
          <w:szCs w:val="26"/>
          <w:lang w:val="en-US"/>
        </w:rPr>
        <w:t>-</w:t>
      </w:r>
      <w:r w:rsidR="00C63A3D" w:rsidRPr="00695CBD">
        <w:rPr>
          <w:rFonts w:ascii="Calibri" w:hAnsi="Calibri"/>
          <w:sz w:val="26"/>
          <w:szCs w:val="26"/>
          <w:lang w:val="en-US"/>
        </w:rPr>
        <w:t>recogni</w:t>
      </w:r>
      <w:r w:rsidR="00236E46" w:rsidRPr="00695CBD">
        <w:rPr>
          <w:rFonts w:ascii="Calibri" w:hAnsi="Calibri"/>
          <w:sz w:val="26"/>
          <w:szCs w:val="26"/>
          <w:lang w:val="en-US"/>
        </w:rPr>
        <w:t>tion</w:t>
      </w:r>
      <w:r w:rsidR="00C63A3D" w:rsidRPr="00695CBD">
        <w:rPr>
          <w:rFonts w:ascii="Calibri" w:hAnsi="Calibri"/>
          <w:sz w:val="26"/>
          <w:szCs w:val="26"/>
          <w:lang w:val="en-US"/>
        </w:rPr>
        <w:t xml:space="preserve"> </w:t>
      </w:r>
      <w:r w:rsidR="00222264" w:rsidRPr="00695CBD">
        <w:rPr>
          <w:rFonts w:ascii="Calibri" w:hAnsi="Calibri"/>
          <w:sz w:val="26"/>
          <w:szCs w:val="26"/>
          <w:lang w:val="en-US"/>
        </w:rPr>
        <w:t>of the deviations if the</w:t>
      </w:r>
      <w:r w:rsidR="009D61F6" w:rsidRPr="00695CBD">
        <w:rPr>
          <w:rFonts w:ascii="Calibri" w:hAnsi="Calibri"/>
          <w:sz w:val="26"/>
          <w:szCs w:val="26"/>
          <w:lang w:val="en-US"/>
        </w:rPr>
        <w:t>y</w:t>
      </w:r>
      <w:r w:rsidR="00222264" w:rsidRPr="00695CBD">
        <w:rPr>
          <w:rFonts w:ascii="Calibri" w:hAnsi="Calibri"/>
          <w:sz w:val="26"/>
          <w:szCs w:val="26"/>
          <w:lang w:val="en-US"/>
        </w:rPr>
        <w:t xml:space="preserve"> are </w:t>
      </w:r>
      <w:r w:rsidR="009D61F6" w:rsidRPr="00695CBD">
        <w:rPr>
          <w:rFonts w:ascii="Calibri" w:hAnsi="Calibri"/>
          <w:sz w:val="26"/>
          <w:szCs w:val="26"/>
          <w:lang w:val="en-US"/>
        </w:rPr>
        <w:t>with</w:t>
      </w:r>
      <w:r w:rsidR="00222264" w:rsidRPr="00695CBD">
        <w:rPr>
          <w:rFonts w:ascii="Calibri" w:hAnsi="Calibri"/>
          <w:sz w:val="26"/>
          <w:szCs w:val="26"/>
          <w:lang w:val="en-US"/>
        </w:rPr>
        <w:t>in the range of plus/minus 10 per cent of the “true” value, and if the deviation is out of this range allow for</w:t>
      </w:r>
      <w:r w:rsidR="00236E46" w:rsidRPr="00695CBD">
        <w:rPr>
          <w:rFonts w:ascii="Calibri" w:hAnsi="Calibri"/>
          <w:sz w:val="26"/>
          <w:szCs w:val="26"/>
          <w:lang w:val="en-US"/>
        </w:rPr>
        <w:t xml:space="preserve"> the</w:t>
      </w:r>
      <w:r w:rsidR="00C63A3D" w:rsidRPr="00695CBD">
        <w:rPr>
          <w:rFonts w:ascii="Calibri" w:hAnsi="Calibri"/>
          <w:sz w:val="26"/>
          <w:szCs w:val="26"/>
          <w:lang w:val="en-US"/>
        </w:rPr>
        <w:t xml:space="preserve"> distribut</w:t>
      </w:r>
      <w:r w:rsidR="00236E46" w:rsidRPr="00695CBD">
        <w:rPr>
          <w:rFonts w:ascii="Calibri" w:hAnsi="Calibri"/>
          <w:sz w:val="26"/>
          <w:szCs w:val="26"/>
          <w:lang w:val="en-US"/>
        </w:rPr>
        <w:t>ion of</w:t>
      </w:r>
      <w:r w:rsidR="00C63A3D" w:rsidRPr="00695CBD">
        <w:rPr>
          <w:rFonts w:ascii="Calibri" w:hAnsi="Calibri"/>
          <w:sz w:val="26"/>
          <w:szCs w:val="26"/>
          <w:lang w:val="en-US"/>
        </w:rPr>
        <w:t xml:space="preserve"> the effect o</w:t>
      </w:r>
      <w:r w:rsidR="009D61F6" w:rsidRPr="00695CBD">
        <w:rPr>
          <w:rFonts w:ascii="Calibri" w:hAnsi="Calibri"/>
          <w:sz w:val="26"/>
          <w:szCs w:val="26"/>
          <w:lang w:val="en-US"/>
        </w:rPr>
        <w:t>n</w:t>
      </w:r>
      <w:r w:rsidR="00C63A3D" w:rsidRPr="00695CBD">
        <w:rPr>
          <w:rFonts w:ascii="Calibri" w:hAnsi="Calibri"/>
          <w:sz w:val="26"/>
          <w:szCs w:val="26"/>
          <w:lang w:val="en-US"/>
        </w:rPr>
        <w:t xml:space="preserve"> the liability </w:t>
      </w:r>
      <w:r w:rsidR="00222264" w:rsidRPr="00695CBD">
        <w:rPr>
          <w:rFonts w:ascii="Calibri" w:hAnsi="Calibri"/>
          <w:sz w:val="26"/>
          <w:szCs w:val="26"/>
          <w:lang w:val="en-US"/>
        </w:rPr>
        <w:t>in subsequent</w:t>
      </w:r>
      <w:r w:rsidR="00C63A3D" w:rsidRPr="00695CBD">
        <w:rPr>
          <w:rFonts w:ascii="Calibri" w:hAnsi="Calibri"/>
          <w:sz w:val="26"/>
          <w:szCs w:val="26"/>
          <w:lang w:val="en-US"/>
        </w:rPr>
        <w:t xml:space="preserve"> periods.</w:t>
      </w:r>
      <w:r w:rsidR="0054578A" w:rsidRPr="00695CBD">
        <w:rPr>
          <w:rFonts w:ascii="Calibri" w:hAnsi="Calibri"/>
          <w:sz w:val="26"/>
          <w:szCs w:val="26"/>
          <w:lang w:val="en-US"/>
        </w:rPr>
        <w:t xml:space="preserve"> So, actuarial gains and losses are</w:t>
      </w:r>
      <w:r w:rsidR="009D61F6" w:rsidRPr="00695CBD">
        <w:rPr>
          <w:rFonts w:ascii="Calibri" w:hAnsi="Calibri"/>
          <w:sz w:val="26"/>
          <w:szCs w:val="26"/>
          <w:lang w:val="en-US"/>
        </w:rPr>
        <w:t xml:space="preserve"> in some way</w:t>
      </w:r>
      <w:r w:rsidR="0054578A" w:rsidRPr="00695CBD">
        <w:rPr>
          <w:rFonts w:ascii="Calibri" w:hAnsi="Calibri"/>
          <w:sz w:val="26"/>
          <w:szCs w:val="26"/>
          <w:lang w:val="en-US"/>
        </w:rPr>
        <w:t xml:space="preserve"> managed by controlling the amount </w:t>
      </w:r>
      <w:r w:rsidR="009D61F6" w:rsidRPr="00695CBD">
        <w:rPr>
          <w:rFonts w:ascii="Calibri" w:hAnsi="Calibri"/>
          <w:sz w:val="26"/>
          <w:szCs w:val="26"/>
          <w:lang w:val="en-US"/>
        </w:rPr>
        <w:t xml:space="preserve">that is </w:t>
      </w:r>
      <w:r w:rsidR="00DC07FF" w:rsidRPr="00695CBD">
        <w:rPr>
          <w:rFonts w:ascii="Calibri" w:hAnsi="Calibri"/>
          <w:sz w:val="26"/>
          <w:szCs w:val="26"/>
          <w:lang w:val="en-US"/>
        </w:rPr>
        <w:t>recognis</w:t>
      </w:r>
      <w:r w:rsidR="0054578A" w:rsidRPr="00695CBD">
        <w:rPr>
          <w:rFonts w:ascii="Calibri" w:hAnsi="Calibri"/>
          <w:sz w:val="26"/>
          <w:szCs w:val="26"/>
          <w:lang w:val="en-US"/>
        </w:rPr>
        <w:t xml:space="preserve">ed and the timing of </w:t>
      </w:r>
      <w:r w:rsidR="009D61F6" w:rsidRPr="00695CBD">
        <w:rPr>
          <w:rFonts w:ascii="Calibri" w:hAnsi="Calibri"/>
          <w:sz w:val="26"/>
          <w:szCs w:val="26"/>
          <w:lang w:val="en-US"/>
        </w:rPr>
        <w:t xml:space="preserve">the </w:t>
      </w:r>
      <w:r w:rsidR="0054578A" w:rsidRPr="00695CBD">
        <w:rPr>
          <w:rFonts w:ascii="Calibri" w:hAnsi="Calibri"/>
          <w:sz w:val="26"/>
          <w:szCs w:val="26"/>
          <w:lang w:val="en-US"/>
        </w:rPr>
        <w:t>recognition.</w:t>
      </w:r>
    </w:p>
    <w:p w:rsidR="005B5361" w:rsidRPr="00695CBD" w:rsidRDefault="005B5361" w:rsidP="00695CBD">
      <w:pPr>
        <w:pStyle w:val="ListParagraph1"/>
        <w:spacing w:line="360" w:lineRule="atLeast"/>
        <w:ind w:left="0"/>
        <w:jc w:val="both"/>
        <w:rPr>
          <w:rFonts w:ascii="Calibri" w:hAnsi="Calibri"/>
          <w:sz w:val="26"/>
          <w:szCs w:val="26"/>
          <w:lang w:val="en-US"/>
        </w:rPr>
      </w:pPr>
    </w:p>
    <w:p w:rsidR="005B5361" w:rsidRPr="00695CBD" w:rsidRDefault="00D91CC0" w:rsidP="00695CBD">
      <w:pPr>
        <w:pStyle w:val="ListParagraph1"/>
        <w:spacing w:line="360" w:lineRule="atLeast"/>
        <w:ind w:left="0"/>
        <w:jc w:val="both"/>
        <w:rPr>
          <w:rFonts w:ascii="Calibri" w:hAnsi="Calibri"/>
          <w:sz w:val="26"/>
          <w:szCs w:val="26"/>
          <w:lang w:val="en-US"/>
        </w:rPr>
      </w:pPr>
      <w:r w:rsidRPr="00695CBD">
        <w:rPr>
          <w:rFonts w:ascii="Calibri" w:hAnsi="Calibri"/>
          <w:sz w:val="26"/>
          <w:szCs w:val="26"/>
          <w:lang w:val="en-US"/>
        </w:rPr>
        <w:t>Actuarial gains and losses are produced by:</w:t>
      </w:r>
    </w:p>
    <w:p w:rsidR="005B5361" w:rsidRPr="00695CBD" w:rsidRDefault="00D91CC0" w:rsidP="00695CBD">
      <w:pPr>
        <w:pStyle w:val="ListParagraph1"/>
        <w:spacing w:line="360" w:lineRule="atLeast"/>
        <w:ind w:left="0"/>
        <w:jc w:val="both"/>
        <w:rPr>
          <w:rFonts w:ascii="Calibri" w:hAnsi="Calibri"/>
          <w:sz w:val="26"/>
          <w:szCs w:val="26"/>
          <w:lang w:val="en-US"/>
        </w:rPr>
      </w:pPr>
      <w:r w:rsidRPr="00695CBD">
        <w:rPr>
          <w:rFonts w:ascii="Calibri" w:hAnsi="Calibri"/>
          <w:sz w:val="26"/>
          <w:szCs w:val="26"/>
          <w:lang w:val="en-US"/>
        </w:rPr>
        <w:t xml:space="preserve"> </w:t>
      </w:r>
    </w:p>
    <w:p w:rsidR="005B5361" w:rsidRPr="00695CBD" w:rsidRDefault="00D91CC0" w:rsidP="00695CBD">
      <w:pPr>
        <w:pStyle w:val="ListParagraph1"/>
        <w:numPr>
          <w:ilvl w:val="0"/>
          <w:numId w:val="6"/>
        </w:numPr>
        <w:spacing w:line="360" w:lineRule="atLeast"/>
        <w:jc w:val="both"/>
        <w:rPr>
          <w:rFonts w:ascii="Calibri" w:hAnsi="Calibri"/>
          <w:sz w:val="26"/>
          <w:szCs w:val="26"/>
          <w:lang w:val="en-US"/>
        </w:rPr>
      </w:pPr>
      <w:r w:rsidRPr="00695CBD">
        <w:rPr>
          <w:rFonts w:ascii="Calibri" w:hAnsi="Calibri"/>
          <w:sz w:val="26"/>
          <w:szCs w:val="26"/>
          <w:lang w:val="en-US"/>
        </w:rPr>
        <w:t>change</w:t>
      </w:r>
      <w:r w:rsidR="0087089B" w:rsidRPr="00695CBD">
        <w:rPr>
          <w:rFonts w:ascii="Calibri" w:hAnsi="Calibri"/>
          <w:sz w:val="26"/>
          <w:szCs w:val="26"/>
          <w:lang w:val="en-US"/>
        </w:rPr>
        <w:t>s in actuarial assumptions, being</w:t>
      </w:r>
      <w:r w:rsidRPr="00695CBD">
        <w:rPr>
          <w:rFonts w:ascii="Calibri" w:hAnsi="Calibri"/>
          <w:sz w:val="26"/>
          <w:szCs w:val="26"/>
          <w:lang w:val="en-US"/>
        </w:rPr>
        <w:t xml:space="preserve"> the set of demographic (staff turnover or mortality) and financial (salary increases, changes in state benefits or in the medical costs) variables used to determine the liability for pensions of an institution;</w:t>
      </w:r>
    </w:p>
    <w:p w:rsidR="005B5361" w:rsidRPr="00695CBD" w:rsidRDefault="005B5361" w:rsidP="00695CBD">
      <w:pPr>
        <w:pStyle w:val="ListParagraph1"/>
        <w:spacing w:line="360" w:lineRule="atLeast"/>
        <w:jc w:val="both"/>
        <w:rPr>
          <w:rFonts w:ascii="Calibri" w:hAnsi="Calibri"/>
          <w:sz w:val="26"/>
          <w:szCs w:val="26"/>
          <w:lang w:val="en-US"/>
        </w:rPr>
      </w:pPr>
    </w:p>
    <w:p w:rsidR="005B5361" w:rsidRPr="00695CBD" w:rsidRDefault="00D91CC0" w:rsidP="00695CBD">
      <w:pPr>
        <w:pStyle w:val="ListParagraph1"/>
        <w:numPr>
          <w:ilvl w:val="0"/>
          <w:numId w:val="6"/>
        </w:numPr>
        <w:spacing w:line="360" w:lineRule="atLeast"/>
        <w:ind w:left="709" w:hanging="345"/>
        <w:jc w:val="both"/>
        <w:rPr>
          <w:rFonts w:ascii="Calibri" w:hAnsi="Calibri"/>
          <w:sz w:val="26"/>
          <w:szCs w:val="26"/>
          <w:lang w:val="en-US"/>
        </w:rPr>
      </w:pPr>
      <w:r w:rsidRPr="00695CBD">
        <w:rPr>
          <w:rFonts w:ascii="Calibri" w:hAnsi="Calibri"/>
          <w:sz w:val="26"/>
          <w:szCs w:val="26"/>
          <w:lang w:val="en-US"/>
        </w:rPr>
        <w:t>experience adjustments (the effects of differences between the previous actuarial assumptions and what has actually occurred)</w:t>
      </w:r>
    </w:p>
    <w:p w:rsidR="005B5361" w:rsidRPr="00695CBD" w:rsidRDefault="005B5361" w:rsidP="00695CBD">
      <w:pPr>
        <w:pStyle w:val="ListParagraph1"/>
        <w:spacing w:line="360" w:lineRule="atLeast"/>
        <w:ind w:left="0"/>
        <w:jc w:val="both"/>
        <w:rPr>
          <w:rFonts w:ascii="Calibri" w:hAnsi="Calibri"/>
          <w:sz w:val="26"/>
          <w:szCs w:val="26"/>
          <w:lang w:val="en-US"/>
        </w:rPr>
      </w:pPr>
    </w:p>
    <w:p w:rsidR="005B5361" w:rsidRPr="00695CBD" w:rsidRDefault="00131CBD" w:rsidP="00695CBD">
      <w:pPr>
        <w:pStyle w:val="ListParagraph1"/>
        <w:spacing w:line="360" w:lineRule="atLeast"/>
        <w:ind w:left="0"/>
        <w:jc w:val="both"/>
        <w:rPr>
          <w:rFonts w:ascii="Calibri" w:hAnsi="Calibri"/>
          <w:sz w:val="26"/>
          <w:szCs w:val="26"/>
          <w:lang w:val="en-US"/>
        </w:rPr>
      </w:pPr>
      <w:r w:rsidRPr="00695CBD">
        <w:rPr>
          <w:rFonts w:ascii="Calibri" w:hAnsi="Calibri"/>
          <w:sz w:val="26"/>
          <w:szCs w:val="26"/>
          <w:lang w:val="en-US"/>
        </w:rPr>
        <w:t>In most cases the funds from pension liabilities are invested in assets (plan assets that comprise assets held by pension plans and qualifying insurance policies). For financial reporting purposes</w:t>
      </w:r>
      <w:r w:rsidR="009D61F6" w:rsidRPr="00695CBD">
        <w:rPr>
          <w:rFonts w:ascii="Calibri" w:hAnsi="Calibri"/>
          <w:sz w:val="26"/>
          <w:szCs w:val="26"/>
          <w:lang w:val="en-US"/>
        </w:rPr>
        <w:t>,</w:t>
      </w:r>
      <w:r w:rsidRPr="00695CBD">
        <w:rPr>
          <w:rFonts w:ascii="Calibri" w:hAnsi="Calibri"/>
          <w:sz w:val="26"/>
          <w:szCs w:val="26"/>
          <w:lang w:val="en-US"/>
        </w:rPr>
        <w:t xml:space="preserve"> liabilities for pensions and plan assets are presented </w:t>
      </w:r>
      <w:r w:rsidR="00420F8C" w:rsidRPr="00695CBD">
        <w:rPr>
          <w:rFonts w:ascii="Calibri" w:hAnsi="Calibri"/>
          <w:sz w:val="26"/>
          <w:szCs w:val="26"/>
          <w:lang w:val="en-US"/>
        </w:rPr>
        <w:t xml:space="preserve">net, so giving a net asset (if the amount of assets is higher than the liabilities) or a net liability (in the opposite case). </w:t>
      </w:r>
    </w:p>
    <w:p w:rsidR="005B5361" w:rsidRPr="00695CBD" w:rsidRDefault="005B5361" w:rsidP="00695CBD">
      <w:pPr>
        <w:pStyle w:val="ListParagraph1"/>
        <w:spacing w:line="360" w:lineRule="atLeast"/>
        <w:ind w:left="0"/>
        <w:jc w:val="both"/>
        <w:rPr>
          <w:rFonts w:ascii="Calibri" w:hAnsi="Calibri"/>
          <w:sz w:val="26"/>
          <w:szCs w:val="26"/>
          <w:lang w:val="en-US"/>
        </w:rPr>
      </w:pPr>
    </w:p>
    <w:p w:rsidR="005B5361" w:rsidRPr="00695CBD" w:rsidRDefault="00420F8C" w:rsidP="00695CBD">
      <w:pPr>
        <w:pStyle w:val="ListParagraph1"/>
        <w:spacing w:line="360" w:lineRule="atLeast"/>
        <w:ind w:left="0"/>
        <w:jc w:val="both"/>
        <w:rPr>
          <w:rFonts w:ascii="Calibri" w:hAnsi="Calibri"/>
          <w:sz w:val="26"/>
          <w:szCs w:val="26"/>
          <w:lang w:val="en-US"/>
        </w:rPr>
      </w:pPr>
      <w:r w:rsidRPr="00695CBD">
        <w:rPr>
          <w:rFonts w:ascii="Calibri" w:hAnsi="Calibri"/>
          <w:sz w:val="26"/>
          <w:szCs w:val="26"/>
          <w:lang w:val="en-US"/>
        </w:rPr>
        <w:lastRenderedPageBreak/>
        <w:t>For regulatory purposes, considering that the plan assets are not available</w:t>
      </w:r>
      <w:r w:rsidR="00250D85" w:rsidRPr="00695CBD">
        <w:rPr>
          <w:rFonts w:ascii="Calibri" w:hAnsi="Calibri"/>
          <w:sz w:val="26"/>
          <w:szCs w:val="26"/>
          <w:lang w:val="en-US"/>
        </w:rPr>
        <w:t xml:space="preserve"> to pay debts from depositors (i.e.</w:t>
      </w:r>
      <w:r w:rsidRPr="00695CBD">
        <w:rPr>
          <w:rFonts w:ascii="Calibri" w:hAnsi="Calibri"/>
          <w:sz w:val="26"/>
          <w:szCs w:val="26"/>
          <w:lang w:val="en-US"/>
        </w:rPr>
        <w:t xml:space="preserve"> to pay other debts than those</w:t>
      </w:r>
      <w:r w:rsidR="00250D85" w:rsidRPr="00695CBD">
        <w:rPr>
          <w:rFonts w:ascii="Calibri" w:hAnsi="Calibri"/>
          <w:sz w:val="26"/>
          <w:szCs w:val="26"/>
          <w:lang w:val="en-US"/>
        </w:rPr>
        <w:t xml:space="preserve"> covered by the pension schemes)</w:t>
      </w:r>
      <w:r w:rsidRPr="00695CBD">
        <w:rPr>
          <w:rFonts w:ascii="Calibri" w:hAnsi="Calibri"/>
          <w:sz w:val="26"/>
          <w:szCs w:val="26"/>
          <w:lang w:val="en-US"/>
        </w:rPr>
        <w:t xml:space="preserve"> the amount of net assets is deducted from the C</w:t>
      </w:r>
      <w:r w:rsidR="0091743A" w:rsidRPr="00695CBD">
        <w:rPr>
          <w:rFonts w:ascii="Calibri" w:hAnsi="Calibri"/>
          <w:sz w:val="26"/>
          <w:szCs w:val="26"/>
          <w:lang w:val="en-US"/>
        </w:rPr>
        <w:t>E</w:t>
      </w:r>
      <w:r w:rsidRPr="00695CBD">
        <w:rPr>
          <w:rFonts w:ascii="Calibri" w:hAnsi="Calibri"/>
          <w:sz w:val="26"/>
          <w:szCs w:val="26"/>
          <w:lang w:val="en-US"/>
        </w:rPr>
        <w:t xml:space="preserve">T1 capital, according to </w:t>
      </w:r>
      <w:r w:rsidR="00693454" w:rsidRPr="00695CBD">
        <w:rPr>
          <w:rFonts w:ascii="Calibri" w:hAnsi="Calibri"/>
          <w:sz w:val="26"/>
          <w:szCs w:val="26"/>
          <w:lang w:val="en-US"/>
        </w:rPr>
        <w:t>Article 36(1)(e) of the CRR.</w:t>
      </w:r>
    </w:p>
    <w:p w:rsidR="005B5361" w:rsidRPr="00695CBD" w:rsidRDefault="005B5361" w:rsidP="00695CBD">
      <w:pPr>
        <w:pStyle w:val="ListParagraph1"/>
        <w:spacing w:line="360" w:lineRule="atLeast"/>
        <w:ind w:left="0"/>
        <w:jc w:val="both"/>
        <w:rPr>
          <w:rFonts w:ascii="Calibri" w:hAnsi="Calibri"/>
          <w:sz w:val="26"/>
          <w:szCs w:val="26"/>
          <w:lang w:val="en-US"/>
        </w:rPr>
      </w:pPr>
    </w:p>
    <w:p w:rsidR="005B5361" w:rsidRPr="00695CBD" w:rsidRDefault="00693454" w:rsidP="00695CBD">
      <w:pPr>
        <w:pStyle w:val="ListParagraph1"/>
        <w:spacing w:line="360" w:lineRule="atLeast"/>
        <w:ind w:left="0"/>
        <w:jc w:val="both"/>
        <w:rPr>
          <w:rFonts w:ascii="Calibri" w:hAnsi="Calibri"/>
          <w:sz w:val="26"/>
          <w:szCs w:val="26"/>
          <w:lang w:val="en-US"/>
        </w:rPr>
      </w:pPr>
      <w:r w:rsidRPr="00695CBD">
        <w:rPr>
          <w:rFonts w:ascii="Calibri" w:hAnsi="Calibri"/>
          <w:sz w:val="26"/>
          <w:szCs w:val="26"/>
          <w:lang w:val="en-US"/>
        </w:rPr>
        <w:t>In order to mitiga</w:t>
      </w:r>
      <w:r w:rsidR="0091743A" w:rsidRPr="00695CBD">
        <w:rPr>
          <w:rFonts w:ascii="Calibri" w:hAnsi="Calibri"/>
          <w:sz w:val="26"/>
          <w:szCs w:val="26"/>
          <w:lang w:val="en-US"/>
        </w:rPr>
        <w:t>te the possible effects of those</w:t>
      </w:r>
      <w:r w:rsidRPr="00695CBD">
        <w:rPr>
          <w:rFonts w:ascii="Calibri" w:hAnsi="Calibri"/>
          <w:sz w:val="26"/>
          <w:szCs w:val="26"/>
          <w:lang w:val="en-US"/>
        </w:rPr>
        <w:t xml:space="preserve"> deduction</w:t>
      </w:r>
      <w:r w:rsidR="00AA1ACA" w:rsidRPr="00695CBD">
        <w:rPr>
          <w:rFonts w:ascii="Calibri" w:hAnsi="Calibri"/>
          <w:sz w:val="26"/>
          <w:szCs w:val="26"/>
          <w:lang w:val="en-US"/>
        </w:rPr>
        <w:t>s</w:t>
      </w:r>
      <w:r w:rsidRPr="00695CBD">
        <w:rPr>
          <w:rFonts w:ascii="Calibri" w:hAnsi="Calibri"/>
          <w:sz w:val="26"/>
          <w:szCs w:val="26"/>
          <w:lang w:val="en-US"/>
        </w:rPr>
        <w:t xml:space="preserve"> in the institutions affected, </w:t>
      </w:r>
      <w:r w:rsidR="00CB0859" w:rsidRPr="00695CBD">
        <w:rPr>
          <w:rFonts w:ascii="Calibri" w:hAnsi="Calibri"/>
          <w:sz w:val="26"/>
          <w:szCs w:val="26"/>
          <w:lang w:val="en-US"/>
        </w:rPr>
        <w:t xml:space="preserve">Article 473 of the </w:t>
      </w:r>
      <w:r w:rsidRPr="00695CBD">
        <w:rPr>
          <w:rFonts w:ascii="Calibri" w:hAnsi="Calibri"/>
          <w:sz w:val="26"/>
          <w:szCs w:val="26"/>
          <w:lang w:val="en-US"/>
        </w:rPr>
        <w:t>CRR es</w:t>
      </w:r>
      <w:r w:rsidR="0091743A" w:rsidRPr="00695CBD">
        <w:rPr>
          <w:rFonts w:ascii="Calibri" w:hAnsi="Calibri"/>
          <w:sz w:val="26"/>
          <w:szCs w:val="26"/>
          <w:lang w:val="en-US"/>
        </w:rPr>
        <w:t>tablishes a transitional period when the Member States could allow for</w:t>
      </w:r>
      <w:r w:rsidR="00AA1ACA" w:rsidRPr="00695CBD">
        <w:rPr>
          <w:rFonts w:ascii="Calibri" w:hAnsi="Calibri"/>
          <w:sz w:val="26"/>
          <w:szCs w:val="26"/>
          <w:lang w:val="en-US"/>
        </w:rPr>
        <w:t xml:space="preserve"> the </w:t>
      </w:r>
      <w:r w:rsidR="0091743A" w:rsidRPr="00695CBD">
        <w:rPr>
          <w:rFonts w:ascii="Calibri" w:hAnsi="Calibri"/>
          <w:sz w:val="26"/>
          <w:szCs w:val="26"/>
          <w:lang w:val="en-US"/>
        </w:rPr>
        <w:t xml:space="preserve">deduction of only a portion of the total amount of net plan assets, being from a minimum </w:t>
      </w:r>
      <w:r w:rsidR="00C149D5" w:rsidRPr="00695CBD">
        <w:rPr>
          <w:rFonts w:ascii="Calibri" w:hAnsi="Calibri"/>
          <w:sz w:val="26"/>
          <w:szCs w:val="26"/>
          <w:lang w:val="en-US"/>
        </w:rPr>
        <w:t>of 0</w:t>
      </w:r>
      <w:r w:rsidR="0091743A" w:rsidRPr="00695CBD">
        <w:rPr>
          <w:rFonts w:ascii="Calibri" w:hAnsi="Calibri"/>
          <w:sz w:val="26"/>
          <w:szCs w:val="26"/>
          <w:lang w:val="en-US"/>
        </w:rPr>
        <w:t xml:space="preserve"> per cent in 2014 to a minimum </w:t>
      </w:r>
      <w:r w:rsidR="00C149D5" w:rsidRPr="00695CBD">
        <w:rPr>
          <w:rFonts w:ascii="Calibri" w:hAnsi="Calibri"/>
          <w:sz w:val="26"/>
          <w:szCs w:val="26"/>
          <w:lang w:val="en-US"/>
        </w:rPr>
        <w:t xml:space="preserve">of 80 per cent in 2018. After the 31th of December </w:t>
      </w:r>
      <w:r w:rsidR="0091743A" w:rsidRPr="00695CBD">
        <w:rPr>
          <w:rFonts w:ascii="Calibri" w:hAnsi="Calibri"/>
          <w:sz w:val="26"/>
          <w:szCs w:val="26"/>
          <w:lang w:val="en-US"/>
        </w:rPr>
        <w:t xml:space="preserve">2018 the </w:t>
      </w:r>
      <w:r w:rsidR="00AA1ACA" w:rsidRPr="00695CBD">
        <w:rPr>
          <w:rFonts w:ascii="Calibri" w:hAnsi="Calibri"/>
          <w:sz w:val="26"/>
          <w:szCs w:val="26"/>
          <w:lang w:val="en-US"/>
        </w:rPr>
        <w:t xml:space="preserve">total </w:t>
      </w:r>
      <w:r w:rsidR="0091743A" w:rsidRPr="00695CBD">
        <w:rPr>
          <w:rFonts w:ascii="Calibri" w:hAnsi="Calibri"/>
          <w:sz w:val="26"/>
          <w:szCs w:val="26"/>
          <w:lang w:val="en-US"/>
        </w:rPr>
        <w:t>amount of net plan assets is to be deducted from CET 1.</w:t>
      </w:r>
    </w:p>
    <w:p w:rsidR="005B5361" w:rsidRPr="00695CBD" w:rsidRDefault="005B5361" w:rsidP="00695CBD">
      <w:pPr>
        <w:pStyle w:val="ListParagraph1"/>
        <w:spacing w:line="360" w:lineRule="atLeast"/>
        <w:ind w:left="0"/>
        <w:jc w:val="both"/>
        <w:rPr>
          <w:rFonts w:ascii="Calibri" w:hAnsi="Calibri"/>
          <w:sz w:val="26"/>
          <w:szCs w:val="26"/>
          <w:lang w:val="en-US"/>
        </w:rPr>
      </w:pPr>
    </w:p>
    <w:p w:rsidR="005B5361" w:rsidRPr="00695CBD" w:rsidRDefault="00CB0859" w:rsidP="00695CBD">
      <w:pPr>
        <w:pStyle w:val="ListParagraph1"/>
        <w:spacing w:line="360" w:lineRule="atLeast"/>
        <w:ind w:left="0"/>
        <w:jc w:val="both"/>
        <w:rPr>
          <w:rFonts w:ascii="Calibri" w:hAnsi="Calibri"/>
          <w:sz w:val="26"/>
          <w:szCs w:val="26"/>
          <w:lang w:val="en-US"/>
        </w:rPr>
      </w:pPr>
      <w:r w:rsidRPr="00695CBD">
        <w:rPr>
          <w:rFonts w:ascii="Calibri" w:hAnsi="Calibri"/>
          <w:sz w:val="26"/>
          <w:szCs w:val="26"/>
          <w:lang w:val="en-US"/>
        </w:rPr>
        <w:t>There are transitional provisions available to Member States in other parts of the CRR, such as</w:t>
      </w:r>
      <w:r w:rsidR="00AA1ACA" w:rsidRPr="00695CBD">
        <w:rPr>
          <w:rFonts w:ascii="Calibri" w:hAnsi="Calibri"/>
          <w:sz w:val="26"/>
          <w:szCs w:val="26"/>
          <w:lang w:val="en-US"/>
        </w:rPr>
        <w:t xml:space="preserve"> </w:t>
      </w:r>
      <w:r w:rsidRPr="00695CBD">
        <w:rPr>
          <w:rFonts w:ascii="Calibri" w:hAnsi="Calibri"/>
          <w:sz w:val="26"/>
          <w:szCs w:val="26"/>
          <w:lang w:val="en-US"/>
        </w:rPr>
        <w:t xml:space="preserve"> Articles 469(1)(a)-(b), 472(7), 478 and 481. Therefore</w:t>
      </w:r>
      <w:r w:rsidR="001C690E" w:rsidRPr="00695CBD">
        <w:rPr>
          <w:rFonts w:ascii="Calibri" w:hAnsi="Calibri"/>
          <w:sz w:val="26"/>
          <w:szCs w:val="26"/>
          <w:lang w:val="en-US"/>
        </w:rPr>
        <w:t xml:space="preserve"> the Member States can develop a policy in order to minimize the effect of the transition to the new IAS 19 if institutions need to reach progressively the final goal, so mitigating for regulatory purposes the “undue volatility” observed in the accounts.</w:t>
      </w:r>
      <w:r w:rsidRPr="00695CBD">
        <w:rPr>
          <w:rFonts w:ascii="Calibri" w:hAnsi="Calibri"/>
          <w:sz w:val="26"/>
          <w:szCs w:val="26"/>
          <w:lang w:val="en-US"/>
        </w:rPr>
        <w:t xml:space="preserve"> </w:t>
      </w:r>
      <w:r w:rsidR="003042EB" w:rsidRPr="00695CBD">
        <w:rPr>
          <w:rFonts w:ascii="Calibri" w:hAnsi="Calibri"/>
          <w:sz w:val="26"/>
          <w:szCs w:val="26"/>
          <w:lang w:val="en-US"/>
        </w:rPr>
        <w:t>BSG welcomes this degree of freedom and urges member countries to make full use of it.</w:t>
      </w:r>
    </w:p>
    <w:p w:rsidR="00CB0859" w:rsidRDefault="00CB0859" w:rsidP="00695CBD">
      <w:pPr>
        <w:pStyle w:val="ListParagraph1"/>
        <w:spacing w:line="360" w:lineRule="atLeast"/>
        <w:ind w:left="0"/>
        <w:jc w:val="both"/>
        <w:rPr>
          <w:sz w:val="20"/>
          <w:szCs w:val="20"/>
          <w:lang w:val="en-US"/>
        </w:rPr>
      </w:pPr>
    </w:p>
    <w:p w:rsidR="005B5361" w:rsidRDefault="00F17E92" w:rsidP="00695CBD">
      <w:pPr>
        <w:pStyle w:val="ListParagraph1"/>
        <w:spacing w:line="360" w:lineRule="atLeast"/>
        <w:ind w:left="0"/>
        <w:jc w:val="both"/>
        <w:rPr>
          <w:b/>
          <w:color w:val="0066CC"/>
          <w:sz w:val="24"/>
          <w:lang w:val="en-US"/>
        </w:rPr>
      </w:pPr>
      <w:r w:rsidRPr="004165C8">
        <w:rPr>
          <w:b/>
          <w:color w:val="0066CC"/>
          <w:sz w:val="24"/>
          <w:lang w:val="en-US"/>
        </w:rPr>
        <w:t>QUESTIONS</w:t>
      </w:r>
    </w:p>
    <w:p w:rsidR="00BC6944" w:rsidRDefault="00BC6944" w:rsidP="00695CBD">
      <w:pPr>
        <w:pStyle w:val="ListParagraph1"/>
        <w:spacing w:line="360" w:lineRule="atLeast"/>
        <w:jc w:val="both"/>
        <w:rPr>
          <w:b/>
          <w:color w:val="0070C0"/>
          <w:sz w:val="24"/>
          <w:lang w:val="en-US"/>
        </w:rPr>
      </w:pPr>
    </w:p>
    <w:p w:rsidR="005B5361" w:rsidRDefault="005B5361" w:rsidP="00695CBD">
      <w:pPr>
        <w:pStyle w:val="Default"/>
        <w:spacing w:line="360" w:lineRule="atLeast"/>
        <w:jc w:val="both"/>
        <w:rPr>
          <w:color w:val="0066CC"/>
          <w:lang w:val="en-US"/>
        </w:rPr>
      </w:pPr>
    </w:p>
    <w:p w:rsidR="005B5361" w:rsidRPr="00695CBD" w:rsidRDefault="004165C8" w:rsidP="00695CBD">
      <w:pPr>
        <w:pStyle w:val="Default"/>
        <w:numPr>
          <w:ilvl w:val="1"/>
          <w:numId w:val="3"/>
        </w:numPr>
        <w:tabs>
          <w:tab w:val="clear" w:pos="1440"/>
        </w:tabs>
        <w:spacing w:after="296" w:line="360" w:lineRule="atLeast"/>
        <w:ind w:left="364"/>
        <w:rPr>
          <w:color w:val="0066CC"/>
          <w:sz w:val="26"/>
          <w:szCs w:val="26"/>
          <w:lang w:val="en-US"/>
        </w:rPr>
      </w:pPr>
      <w:r w:rsidRPr="00695CBD">
        <w:rPr>
          <w:color w:val="0066CC"/>
          <w:sz w:val="26"/>
          <w:szCs w:val="26"/>
          <w:lang w:val="en-US"/>
        </w:rPr>
        <w:t xml:space="preserve">Is the scope of the report appropriate? Are there additional elements to include in the scope of the report based on this mandate? </w:t>
      </w:r>
    </w:p>
    <w:p w:rsidR="005B5361" w:rsidRPr="00695CBD" w:rsidRDefault="004165C8" w:rsidP="00695CBD">
      <w:pPr>
        <w:pStyle w:val="Default"/>
        <w:spacing w:after="296" w:line="360" w:lineRule="atLeast"/>
        <w:ind w:left="364"/>
        <w:jc w:val="both"/>
        <w:rPr>
          <w:color w:val="auto"/>
          <w:sz w:val="26"/>
          <w:szCs w:val="26"/>
          <w:lang w:val="en-US"/>
        </w:rPr>
      </w:pPr>
      <w:r w:rsidRPr="00695CBD">
        <w:rPr>
          <w:color w:val="auto"/>
          <w:sz w:val="26"/>
          <w:szCs w:val="26"/>
          <w:lang w:val="en-US"/>
        </w:rPr>
        <w:t xml:space="preserve">The analysis seems to be complete as it provides an assessment of the impact of the implementation of the revised IAS 19 Employee Benefits </w:t>
      </w:r>
      <w:r w:rsidR="009D61F6" w:rsidRPr="00695CBD">
        <w:rPr>
          <w:color w:val="auto"/>
          <w:sz w:val="26"/>
          <w:szCs w:val="26"/>
          <w:lang w:val="en-US"/>
        </w:rPr>
        <w:t>on</w:t>
      </w:r>
      <w:r w:rsidRPr="00695CBD">
        <w:rPr>
          <w:color w:val="auto"/>
          <w:sz w:val="26"/>
          <w:szCs w:val="26"/>
          <w:lang w:val="en-US"/>
        </w:rPr>
        <w:t xml:space="preserve"> the </w:t>
      </w:r>
      <w:r w:rsidR="00A50645" w:rsidRPr="00695CBD">
        <w:rPr>
          <w:color w:val="auto"/>
          <w:sz w:val="26"/>
          <w:szCs w:val="26"/>
          <w:lang w:val="en-US"/>
        </w:rPr>
        <w:t>volatility of own funds of banks, taking in</w:t>
      </w:r>
      <w:r w:rsidR="00C323BE" w:rsidRPr="00695CBD">
        <w:rPr>
          <w:color w:val="auto"/>
          <w:sz w:val="26"/>
          <w:szCs w:val="26"/>
          <w:lang w:val="en-US"/>
        </w:rPr>
        <w:t>to</w:t>
      </w:r>
      <w:r w:rsidR="00A50645" w:rsidRPr="00695CBD">
        <w:rPr>
          <w:color w:val="auto"/>
          <w:sz w:val="26"/>
          <w:szCs w:val="26"/>
          <w:lang w:val="en-US"/>
        </w:rPr>
        <w:t xml:space="preserve"> account the actual accounting practices of those institutions as well as the main regulations in force across the different</w:t>
      </w:r>
      <w:r w:rsidR="00053063" w:rsidRPr="00695CBD">
        <w:rPr>
          <w:color w:val="auto"/>
          <w:sz w:val="26"/>
          <w:szCs w:val="26"/>
          <w:lang w:val="en-US"/>
        </w:rPr>
        <w:t xml:space="preserve"> Member States</w:t>
      </w:r>
      <w:r w:rsidR="00A50645" w:rsidRPr="00695CBD">
        <w:rPr>
          <w:color w:val="auto"/>
          <w:sz w:val="26"/>
          <w:szCs w:val="26"/>
          <w:lang w:val="en-US"/>
        </w:rPr>
        <w:t xml:space="preserve">. </w:t>
      </w:r>
    </w:p>
    <w:p w:rsidR="005B5361" w:rsidRPr="00695CBD" w:rsidRDefault="004165C8" w:rsidP="00695CBD">
      <w:pPr>
        <w:pStyle w:val="Default"/>
        <w:numPr>
          <w:ilvl w:val="1"/>
          <w:numId w:val="3"/>
        </w:numPr>
        <w:tabs>
          <w:tab w:val="clear" w:pos="1440"/>
        </w:tabs>
        <w:spacing w:after="296" w:line="360" w:lineRule="atLeast"/>
        <w:ind w:left="284"/>
        <w:rPr>
          <w:color w:val="0066CC"/>
          <w:sz w:val="26"/>
          <w:szCs w:val="26"/>
          <w:lang w:val="en-US"/>
        </w:rPr>
      </w:pPr>
      <w:r w:rsidRPr="00695CBD">
        <w:rPr>
          <w:color w:val="0066CC"/>
          <w:sz w:val="26"/>
          <w:szCs w:val="26"/>
          <w:lang w:val="en-US"/>
        </w:rPr>
        <w:t xml:space="preserve">Do you agree with the proposed methodology for the objective of the report? Please indicate whether additional areas need to be considered. </w:t>
      </w:r>
    </w:p>
    <w:p w:rsidR="005B5361" w:rsidRPr="00695CBD" w:rsidRDefault="00A50645" w:rsidP="00695CBD">
      <w:pPr>
        <w:pStyle w:val="Default"/>
        <w:spacing w:after="296" w:line="360" w:lineRule="atLeast"/>
        <w:ind w:left="284"/>
        <w:jc w:val="both"/>
        <w:rPr>
          <w:color w:val="auto"/>
          <w:sz w:val="26"/>
          <w:szCs w:val="26"/>
          <w:lang w:val="en-US"/>
        </w:rPr>
      </w:pPr>
      <w:r w:rsidRPr="00695CBD">
        <w:rPr>
          <w:color w:val="auto"/>
          <w:sz w:val="26"/>
          <w:szCs w:val="26"/>
          <w:lang w:val="en-US"/>
        </w:rPr>
        <w:t xml:space="preserve">The methodology followed includes: 1) a qualitative assessment of the relevant changes triggered by the new prudential and accounting requirements; 2) a quantitative assessment of the impact of these changes </w:t>
      </w:r>
      <w:r w:rsidR="009D61F6" w:rsidRPr="00695CBD">
        <w:rPr>
          <w:color w:val="auto"/>
          <w:sz w:val="26"/>
          <w:szCs w:val="26"/>
          <w:lang w:val="en-US"/>
        </w:rPr>
        <w:t>on</w:t>
      </w:r>
      <w:r w:rsidRPr="00695CBD">
        <w:rPr>
          <w:color w:val="auto"/>
          <w:sz w:val="26"/>
          <w:szCs w:val="26"/>
          <w:lang w:val="en-US"/>
        </w:rPr>
        <w:t xml:space="preserve"> the volatility of </w:t>
      </w:r>
      <w:r w:rsidR="00053063" w:rsidRPr="00695CBD">
        <w:rPr>
          <w:color w:val="auto"/>
          <w:sz w:val="26"/>
          <w:szCs w:val="26"/>
          <w:lang w:val="en-US"/>
        </w:rPr>
        <w:t>own funds both in th</w:t>
      </w:r>
      <w:r w:rsidR="00AD6BC6" w:rsidRPr="00695CBD">
        <w:rPr>
          <w:color w:val="auto"/>
          <w:sz w:val="26"/>
          <w:szCs w:val="26"/>
          <w:lang w:val="en-US"/>
        </w:rPr>
        <w:t>e initial application and in</w:t>
      </w:r>
      <w:r w:rsidR="00053063" w:rsidRPr="00695CBD">
        <w:rPr>
          <w:color w:val="auto"/>
          <w:sz w:val="26"/>
          <w:szCs w:val="26"/>
          <w:lang w:val="en-US"/>
        </w:rPr>
        <w:t xml:space="preserve"> subsequent years, using a broad sample of cases from major institutions and Member States, and 3) a discussion of the </w:t>
      </w:r>
      <w:r w:rsidR="00053063" w:rsidRPr="00695CBD">
        <w:rPr>
          <w:color w:val="auto"/>
          <w:sz w:val="26"/>
          <w:szCs w:val="26"/>
          <w:lang w:val="en-US"/>
        </w:rPr>
        <w:lastRenderedPageBreak/>
        <w:t>impact on the volatility from future changes in the assumptions used to perform the analysis as well as from additional related factors that give rise to volatility.</w:t>
      </w:r>
    </w:p>
    <w:p w:rsidR="005B5361" w:rsidRPr="00695CBD" w:rsidRDefault="00053063" w:rsidP="00695CBD">
      <w:pPr>
        <w:pStyle w:val="Default"/>
        <w:spacing w:after="296" w:line="360" w:lineRule="atLeast"/>
        <w:ind w:left="284"/>
        <w:jc w:val="both"/>
        <w:rPr>
          <w:color w:val="auto"/>
          <w:sz w:val="26"/>
          <w:szCs w:val="26"/>
          <w:lang w:val="en-US"/>
        </w:rPr>
      </w:pPr>
      <w:r w:rsidRPr="00695CBD">
        <w:rPr>
          <w:color w:val="auto"/>
          <w:sz w:val="26"/>
          <w:szCs w:val="26"/>
          <w:lang w:val="en-US"/>
        </w:rPr>
        <w:t>However, point 2) above has been made following a retrospective approach. The institutions contacted have provided</w:t>
      </w:r>
      <w:r w:rsidR="00C7444D" w:rsidRPr="00695CBD">
        <w:rPr>
          <w:color w:val="auto"/>
          <w:sz w:val="26"/>
          <w:szCs w:val="26"/>
          <w:lang w:val="en-US"/>
        </w:rPr>
        <w:t xml:space="preserve"> </w:t>
      </w:r>
      <w:r w:rsidRPr="00695CBD">
        <w:rPr>
          <w:color w:val="auto"/>
          <w:sz w:val="26"/>
          <w:szCs w:val="26"/>
          <w:lang w:val="en-US"/>
        </w:rPr>
        <w:t>a historical analysis of the changes as if they were in force for the period 2010-2012, so simulating the effects of the new accounting standards in the financial statements of previous period</w:t>
      </w:r>
      <w:r w:rsidR="007F479F" w:rsidRPr="00695CBD">
        <w:rPr>
          <w:color w:val="auto"/>
          <w:sz w:val="26"/>
          <w:szCs w:val="26"/>
          <w:lang w:val="en-US"/>
        </w:rPr>
        <w:t xml:space="preserve">s. Although the economic and time restrictions to </w:t>
      </w:r>
      <w:r w:rsidR="00C7444D" w:rsidRPr="00695CBD">
        <w:rPr>
          <w:color w:val="auto"/>
          <w:sz w:val="26"/>
          <w:szCs w:val="26"/>
          <w:lang w:val="en-US"/>
        </w:rPr>
        <w:t>perform</w:t>
      </w:r>
      <w:r w:rsidR="007F479F" w:rsidRPr="00695CBD">
        <w:rPr>
          <w:color w:val="auto"/>
          <w:sz w:val="26"/>
          <w:szCs w:val="26"/>
          <w:lang w:val="en-US"/>
        </w:rPr>
        <w:t xml:space="preserve"> the study could explain </w:t>
      </w:r>
      <w:r w:rsidR="00004603" w:rsidRPr="00695CBD">
        <w:rPr>
          <w:color w:val="auto"/>
          <w:sz w:val="26"/>
          <w:szCs w:val="26"/>
          <w:lang w:val="en-US"/>
        </w:rPr>
        <w:t xml:space="preserve">the use of </w:t>
      </w:r>
      <w:r w:rsidR="007F479F" w:rsidRPr="00695CBD">
        <w:rPr>
          <w:color w:val="auto"/>
          <w:sz w:val="26"/>
          <w:szCs w:val="26"/>
          <w:lang w:val="en-US"/>
        </w:rPr>
        <w:t xml:space="preserve">this methodology, the validity of this “retro-simulation” technique </w:t>
      </w:r>
      <w:r w:rsidR="00004603" w:rsidRPr="00695CBD">
        <w:rPr>
          <w:color w:val="auto"/>
          <w:sz w:val="26"/>
          <w:szCs w:val="26"/>
          <w:lang w:val="en-US"/>
        </w:rPr>
        <w:t xml:space="preserve">to forecast the future </w:t>
      </w:r>
      <w:r w:rsidR="007F479F" w:rsidRPr="00695CBD">
        <w:rPr>
          <w:color w:val="auto"/>
          <w:sz w:val="26"/>
          <w:szCs w:val="26"/>
          <w:lang w:val="en-US"/>
        </w:rPr>
        <w:t xml:space="preserve">is </w:t>
      </w:r>
      <w:r w:rsidR="00004603" w:rsidRPr="00695CBD">
        <w:rPr>
          <w:color w:val="auto"/>
          <w:sz w:val="26"/>
          <w:szCs w:val="26"/>
          <w:lang w:val="en-US"/>
        </w:rPr>
        <w:t>subject</w:t>
      </w:r>
      <w:r w:rsidR="007F479F" w:rsidRPr="00695CBD">
        <w:rPr>
          <w:color w:val="auto"/>
          <w:sz w:val="26"/>
          <w:szCs w:val="26"/>
          <w:lang w:val="en-US"/>
        </w:rPr>
        <w:t xml:space="preserve"> to the </w:t>
      </w:r>
      <w:r w:rsidR="00560688" w:rsidRPr="00695CBD">
        <w:rPr>
          <w:color w:val="auto"/>
          <w:sz w:val="26"/>
          <w:szCs w:val="26"/>
          <w:lang w:val="en-US"/>
        </w:rPr>
        <w:t>maintenance</w:t>
      </w:r>
      <w:r w:rsidR="007F479F" w:rsidRPr="00695CBD">
        <w:rPr>
          <w:color w:val="auto"/>
          <w:sz w:val="26"/>
          <w:szCs w:val="26"/>
          <w:lang w:val="en-US"/>
        </w:rPr>
        <w:t xml:space="preserve"> </w:t>
      </w:r>
      <w:r w:rsidR="00560688" w:rsidRPr="00695CBD">
        <w:rPr>
          <w:color w:val="auto"/>
          <w:sz w:val="26"/>
          <w:szCs w:val="26"/>
          <w:lang w:val="en-US"/>
        </w:rPr>
        <w:t xml:space="preserve">of past economic </w:t>
      </w:r>
      <w:r w:rsidR="00004603" w:rsidRPr="00695CBD">
        <w:rPr>
          <w:color w:val="auto"/>
          <w:sz w:val="26"/>
          <w:szCs w:val="26"/>
          <w:lang w:val="en-US"/>
        </w:rPr>
        <w:t>parameters</w:t>
      </w:r>
      <w:r w:rsidR="007F479F" w:rsidRPr="00695CBD">
        <w:rPr>
          <w:color w:val="auto"/>
          <w:sz w:val="26"/>
          <w:szCs w:val="26"/>
          <w:lang w:val="en-US"/>
        </w:rPr>
        <w:t xml:space="preserve"> in the f</w:t>
      </w:r>
      <w:r w:rsidR="00AD6BC6" w:rsidRPr="00695CBD">
        <w:rPr>
          <w:color w:val="auto"/>
          <w:sz w:val="26"/>
          <w:szCs w:val="26"/>
          <w:lang w:val="en-US"/>
        </w:rPr>
        <w:t>uture, including the</w:t>
      </w:r>
      <w:r w:rsidR="00560688" w:rsidRPr="00695CBD">
        <w:rPr>
          <w:color w:val="auto"/>
          <w:sz w:val="26"/>
          <w:szCs w:val="26"/>
          <w:lang w:val="en-US"/>
        </w:rPr>
        <w:t xml:space="preserve"> </w:t>
      </w:r>
      <w:r w:rsidR="005C4F12" w:rsidRPr="00695CBD">
        <w:rPr>
          <w:color w:val="auto"/>
          <w:sz w:val="26"/>
          <w:szCs w:val="26"/>
          <w:lang w:val="en-US"/>
        </w:rPr>
        <w:t>i</w:t>
      </w:r>
      <w:r w:rsidR="00560688" w:rsidRPr="00695CBD">
        <w:rPr>
          <w:color w:val="auto"/>
          <w:sz w:val="26"/>
          <w:szCs w:val="26"/>
          <w:lang w:val="en-US"/>
        </w:rPr>
        <w:t>tems of</w:t>
      </w:r>
      <w:r w:rsidR="000D42B4" w:rsidRPr="00695CBD">
        <w:rPr>
          <w:color w:val="auto"/>
          <w:sz w:val="26"/>
          <w:szCs w:val="26"/>
          <w:lang w:val="en-US"/>
        </w:rPr>
        <w:t xml:space="preserve"> income </w:t>
      </w:r>
      <w:r w:rsidR="00560688" w:rsidRPr="00695CBD">
        <w:rPr>
          <w:color w:val="auto"/>
          <w:sz w:val="26"/>
          <w:szCs w:val="26"/>
          <w:lang w:val="en-US"/>
        </w:rPr>
        <w:t>and expenses</w:t>
      </w:r>
      <w:r w:rsidR="000D42B4" w:rsidRPr="00695CBD">
        <w:rPr>
          <w:color w:val="auto"/>
          <w:sz w:val="26"/>
          <w:szCs w:val="26"/>
          <w:lang w:val="en-US"/>
        </w:rPr>
        <w:t xml:space="preserve"> a</w:t>
      </w:r>
      <w:r w:rsidR="00560688" w:rsidRPr="00695CBD">
        <w:rPr>
          <w:color w:val="auto"/>
          <w:sz w:val="26"/>
          <w:szCs w:val="26"/>
          <w:lang w:val="en-US"/>
        </w:rPr>
        <w:t xml:space="preserve">nd the </w:t>
      </w:r>
      <w:r w:rsidR="00AD6BC6" w:rsidRPr="00695CBD">
        <w:rPr>
          <w:color w:val="auto"/>
          <w:sz w:val="26"/>
          <w:szCs w:val="26"/>
          <w:lang w:val="en-US"/>
        </w:rPr>
        <w:t>relative weight</w:t>
      </w:r>
      <w:r w:rsidR="007F479F" w:rsidRPr="00695CBD">
        <w:rPr>
          <w:color w:val="auto"/>
          <w:sz w:val="26"/>
          <w:szCs w:val="26"/>
          <w:lang w:val="en-US"/>
        </w:rPr>
        <w:t xml:space="preserve"> of the</w:t>
      </w:r>
      <w:r w:rsidR="00560688" w:rsidRPr="00695CBD">
        <w:rPr>
          <w:color w:val="auto"/>
          <w:sz w:val="26"/>
          <w:szCs w:val="26"/>
          <w:lang w:val="en-US"/>
        </w:rPr>
        <w:t xml:space="preserve"> other </w:t>
      </w:r>
      <w:r w:rsidR="005C4F12" w:rsidRPr="00695CBD">
        <w:rPr>
          <w:color w:val="auto"/>
          <w:sz w:val="26"/>
          <w:szCs w:val="26"/>
          <w:lang w:val="en-US"/>
        </w:rPr>
        <w:t>pressures</w:t>
      </w:r>
      <w:r w:rsidR="007F479F" w:rsidRPr="00695CBD">
        <w:rPr>
          <w:color w:val="auto"/>
          <w:sz w:val="26"/>
          <w:szCs w:val="26"/>
          <w:lang w:val="en-US"/>
        </w:rPr>
        <w:t xml:space="preserve"> </w:t>
      </w:r>
      <w:r w:rsidR="00560688" w:rsidRPr="00695CBD">
        <w:rPr>
          <w:color w:val="auto"/>
          <w:sz w:val="26"/>
          <w:szCs w:val="26"/>
          <w:lang w:val="en-US"/>
        </w:rPr>
        <w:t>on</w:t>
      </w:r>
      <w:r w:rsidR="007F479F" w:rsidRPr="00695CBD">
        <w:rPr>
          <w:color w:val="auto"/>
          <w:sz w:val="26"/>
          <w:szCs w:val="26"/>
          <w:lang w:val="en-US"/>
        </w:rPr>
        <w:t xml:space="preserve"> the </w:t>
      </w:r>
      <w:r w:rsidR="00560688" w:rsidRPr="00695CBD">
        <w:rPr>
          <w:color w:val="auto"/>
          <w:sz w:val="26"/>
          <w:szCs w:val="26"/>
          <w:lang w:val="en-US"/>
        </w:rPr>
        <w:t xml:space="preserve">institution’s </w:t>
      </w:r>
      <w:r w:rsidR="007F479F" w:rsidRPr="00695CBD">
        <w:rPr>
          <w:color w:val="auto"/>
          <w:sz w:val="26"/>
          <w:szCs w:val="26"/>
          <w:lang w:val="en-US"/>
        </w:rPr>
        <w:t>equity</w:t>
      </w:r>
      <w:r w:rsidR="00560688" w:rsidRPr="00695CBD">
        <w:rPr>
          <w:color w:val="auto"/>
          <w:sz w:val="26"/>
          <w:szCs w:val="26"/>
          <w:lang w:val="en-US"/>
        </w:rPr>
        <w:t xml:space="preserve"> as well as </w:t>
      </w:r>
      <w:r w:rsidR="007F479F" w:rsidRPr="00695CBD">
        <w:rPr>
          <w:color w:val="auto"/>
          <w:sz w:val="26"/>
          <w:szCs w:val="26"/>
          <w:lang w:val="en-US"/>
        </w:rPr>
        <w:t>the actuarial and financial assumptions</w:t>
      </w:r>
      <w:r w:rsidR="000D42B4" w:rsidRPr="00695CBD">
        <w:rPr>
          <w:color w:val="auto"/>
          <w:sz w:val="26"/>
          <w:szCs w:val="26"/>
          <w:lang w:val="en-US"/>
        </w:rPr>
        <w:t xml:space="preserve"> made</w:t>
      </w:r>
      <w:r w:rsidR="007F479F" w:rsidRPr="00695CBD">
        <w:rPr>
          <w:color w:val="auto"/>
          <w:sz w:val="26"/>
          <w:szCs w:val="26"/>
          <w:lang w:val="en-US"/>
        </w:rPr>
        <w:t>.</w:t>
      </w:r>
      <w:r w:rsidR="005C4F12" w:rsidRPr="00695CBD">
        <w:rPr>
          <w:color w:val="auto"/>
          <w:sz w:val="26"/>
          <w:szCs w:val="26"/>
          <w:lang w:val="en-US"/>
        </w:rPr>
        <w:t xml:space="preserve"> In other words, if the simulation results are to represent an accurate scenario for 2014-16 in forecasts of the effects of accounting for pension plans for these years, the economic scenario for these years needs to be the same as in the sample period used for the simulations (2012-14).  There is no guarantee that this will be the case and hence there is a significant margin of error.</w:t>
      </w:r>
    </w:p>
    <w:p w:rsidR="005B5361" w:rsidRPr="00695CBD" w:rsidRDefault="004165C8" w:rsidP="00695CBD">
      <w:pPr>
        <w:pStyle w:val="Default"/>
        <w:numPr>
          <w:ilvl w:val="1"/>
          <w:numId w:val="3"/>
        </w:numPr>
        <w:tabs>
          <w:tab w:val="clear" w:pos="1440"/>
        </w:tabs>
        <w:spacing w:after="296" w:line="360" w:lineRule="atLeast"/>
        <w:ind w:left="284" w:hanging="284"/>
        <w:rPr>
          <w:color w:val="0066CC"/>
          <w:sz w:val="26"/>
          <w:szCs w:val="26"/>
          <w:lang w:val="en-US"/>
        </w:rPr>
      </w:pPr>
      <w:r w:rsidRPr="00695CBD">
        <w:rPr>
          <w:color w:val="0066CC"/>
          <w:sz w:val="26"/>
          <w:szCs w:val="26"/>
          <w:lang w:val="en-US"/>
        </w:rPr>
        <w:t xml:space="preserve">Do you agree with the identified prudential requirements relevant to the scope of the report? Are there additional elements to include in the analysis of the prudential requirements? </w:t>
      </w:r>
    </w:p>
    <w:p w:rsidR="005B5361" w:rsidRPr="00695CBD" w:rsidRDefault="00AD6BC6" w:rsidP="00695CBD">
      <w:pPr>
        <w:pStyle w:val="Default"/>
        <w:spacing w:after="296" w:line="360" w:lineRule="atLeast"/>
        <w:ind w:left="284"/>
        <w:jc w:val="both"/>
        <w:rPr>
          <w:color w:val="auto"/>
          <w:sz w:val="26"/>
          <w:szCs w:val="26"/>
          <w:lang w:val="en-US"/>
        </w:rPr>
      </w:pPr>
      <w:r w:rsidRPr="00695CBD">
        <w:rPr>
          <w:color w:val="auto"/>
          <w:sz w:val="26"/>
          <w:szCs w:val="26"/>
          <w:lang w:val="en-US"/>
        </w:rPr>
        <w:t>The analysis is complete (for entities</w:t>
      </w:r>
      <w:r w:rsidR="00DC07FF" w:rsidRPr="00695CBD">
        <w:rPr>
          <w:color w:val="auto"/>
          <w:sz w:val="26"/>
          <w:szCs w:val="26"/>
          <w:lang w:val="en-US"/>
        </w:rPr>
        <w:t xml:space="preserve"> applying the ‘corridor approach’</w:t>
      </w:r>
      <w:r w:rsidRPr="00695CBD">
        <w:rPr>
          <w:color w:val="auto"/>
          <w:sz w:val="26"/>
          <w:szCs w:val="26"/>
          <w:lang w:val="en-US"/>
        </w:rPr>
        <w:t xml:space="preserve"> in jurisdictions where the deduction of net assets was not mandatory</w:t>
      </w:r>
      <w:r w:rsidR="00DC07FF" w:rsidRPr="00695CBD">
        <w:rPr>
          <w:color w:val="auto"/>
          <w:sz w:val="26"/>
          <w:szCs w:val="26"/>
          <w:lang w:val="en-US"/>
        </w:rPr>
        <w:t xml:space="preserve"> the impact of the new requirements may be significant). Nevertheless, those Member States concerned may use discretion</w:t>
      </w:r>
      <w:r w:rsidR="008B168B" w:rsidRPr="00695CBD">
        <w:rPr>
          <w:color w:val="auto"/>
          <w:sz w:val="26"/>
          <w:szCs w:val="26"/>
          <w:lang w:val="en-US"/>
        </w:rPr>
        <w:t xml:space="preserve"> regarding</w:t>
      </w:r>
      <w:r w:rsidR="00DC07FF" w:rsidRPr="00695CBD">
        <w:rPr>
          <w:color w:val="auto"/>
          <w:sz w:val="26"/>
          <w:szCs w:val="26"/>
          <w:lang w:val="en-US"/>
        </w:rPr>
        <w:t xml:space="preserve"> the possibility </w:t>
      </w:r>
      <w:r w:rsidR="008B168B" w:rsidRPr="00695CBD">
        <w:rPr>
          <w:color w:val="auto"/>
          <w:sz w:val="26"/>
          <w:szCs w:val="26"/>
          <w:lang w:val="en-US"/>
        </w:rPr>
        <w:t>of</w:t>
      </w:r>
      <w:r w:rsidR="00DC07FF" w:rsidRPr="00695CBD">
        <w:rPr>
          <w:color w:val="auto"/>
          <w:sz w:val="26"/>
          <w:szCs w:val="26"/>
          <w:lang w:val="en-US"/>
        </w:rPr>
        <w:t xml:space="preserve"> phas</w:t>
      </w:r>
      <w:r w:rsidR="008B168B" w:rsidRPr="00695CBD">
        <w:rPr>
          <w:color w:val="auto"/>
          <w:sz w:val="26"/>
          <w:szCs w:val="26"/>
          <w:lang w:val="en-US"/>
        </w:rPr>
        <w:t>ing</w:t>
      </w:r>
      <w:r w:rsidR="00DC07FF" w:rsidRPr="00695CBD">
        <w:rPr>
          <w:color w:val="auto"/>
          <w:sz w:val="26"/>
          <w:szCs w:val="26"/>
          <w:lang w:val="en-US"/>
        </w:rPr>
        <w:t xml:space="preserve"> in and phas</w:t>
      </w:r>
      <w:r w:rsidR="008B168B" w:rsidRPr="00695CBD">
        <w:rPr>
          <w:color w:val="auto"/>
          <w:sz w:val="26"/>
          <w:szCs w:val="26"/>
          <w:lang w:val="en-US"/>
        </w:rPr>
        <w:t>ing</w:t>
      </w:r>
      <w:r w:rsidR="00DC07FF" w:rsidRPr="00695CBD">
        <w:rPr>
          <w:color w:val="auto"/>
          <w:sz w:val="26"/>
          <w:szCs w:val="26"/>
          <w:lang w:val="en-US"/>
        </w:rPr>
        <w:t xml:space="preserve"> out the changes</w:t>
      </w:r>
      <w:r w:rsidR="008B168B" w:rsidRPr="00695CBD">
        <w:rPr>
          <w:color w:val="auto"/>
          <w:sz w:val="26"/>
          <w:szCs w:val="26"/>
          <w:lang w:val="en-US"/>
        </w:rPr>
        <w:t xml:space="preserve"> so as</w:t>
      </w:r>
      <w:r w:rsidR="006B550E" w:rsidRPr="00695CBD">
        <w:rPr>
          <w:color w:val="auto"/>
          <w:sz w:val="26"/>
          <w:szCs w:val="26"/>
          <w:lang w:val="en-US"/>
        </w:rPr>
        <w:t xml:space="preserve"> to mitigate the impact, as</w:t>
      </w:r>
      <w:r w:rsidR="00DC07FF" w:rsidRPr="00695CBD">
        <w:rPr>
          <w:color w:val="auto"/>
          <w:sz w:val="26"/>
          <w:szCs w:val="26"/>
          <w:lang w:val="en-US"/>
        </w:rPr>
        <w:t xml:space="preserve"> offered by the transitional provisions in the </w:t>
      </w:r>
      <w:r w:rsidR="006B550E" w:rsidRPr="00695CBD">
        <w:rPr>
          <w:color w:val="auto"/>
          <w:sz w:val="26"/>
          <w:szCs w:val="26"/>
          <w:lang w:val="en-US"/>
        </w:rPr>
        <w:t>CRR</w:t>
      </w:r>
      <w:r w:rsidR="00DC07FF" w:rsidRPr="00695CBD">
        <w:rPr>
          <w:color w:val="auto"/>
          <w:sz w:val="26"/>
          <w:szCs w:val="26"/>
          <w:lang w:val="en-US"/>
        </w:rPr>
        <w:t>.</w:t>
      </w:r>
    </w:p>
    <w:p w:rsidR="005B5361" w:rsidRPr="00695CBD" w:rsidRDefault="004165C8" w:rsidP="00695CBD">
      <w:pPr>
        <w:pStyle w:val="Default"/>
        <w:numPr>
          <w:ilvl w:val="1"/>
          <w:numId w:val="3"/>
        </w:numPr>
        <w:tabs>
          <w:tab w:val="clear" w:pos="1440"/>
        </w:tabs>
        <w:spacing w:after="296" w:line="360" w:lineRule="atLeast"/>
        <w:ind w:left="284" w:hanging="284"/>
        <w:jc w:val="both"/>
        <w:rPr>
          <w:color w:val="0066CC"/>
          <w:sz w:val="26"/>
          <w:szCs w:val="26"/>
          <w:lang w:val="en-US"/>
        </w:rPr>
      </w:pPr>
      <w:r w:rsidRPr="00695CBD">
        <w:rPr>
          <w:color w:val="0066CC"/>
          <w:sz w:val="26"/>
          <w:szCs w:val="26"/>
          <w:lang w:val="en-US"/>
        </w:rPr>
        <w:t xml:space="preserve">Do you agree that the main drivers of the change in the amount of net defined benefit pension funds would be items for which a corresponding gain or loss is recognised on own funds (such as actuarial gains and losses)? </w:t>
      </w:r>
    </w:p>
    <w:p w:rsidR="005B5361" w:rsidRPr="00695CBD" w:rsidRDefault="00DC07FF" w:rsidP="00695CBD">
      <w:pPr>
        <w:pStyle w:val="Default"/>
        <w:spacing w:after="296" w:line="360" w:lineRule="atLeast"/>
        <w:ind w:left="284"/>
        <w:jc w:val="both"/>
        <w:rPr>
          <w:color w:val="auto"/>
          <w:sz w:val="26"/>
          <w:szCs w:val="26"/>
          <w:lang w:val="en-US"/>
        </w:rPr>
      </w:pPr>
      <w:r w:rsidRPr="00695CBD">
        <w:rPr>
          <w:color w:val="auto"/>
          <w:sz w:val="26"/>
          <w:szCs w:val="26"/>
          <w:lang w:val="en-US"/>
        </w:rPr>
        <w:t>According to the analysis made, this is the main driver of the change</w:t>
      </w:r>
      <w:r w:rsidR="008B168B" w:rsidRPr="00695CBD">
        <w:rPr>
          <w:color w:val="auto"/>
          <w:sz w:val="26"/>
          <w:szCs w:val="26"/>
          <w:lang w:val="en-US"/>
        </w:rPr>
        <w:t>.  However,</w:t>
      </w:r>
      <w:r w:rsidR="006B550E" w:rsidRPr="00695CBD">
        <w:rPr>
          <w:color w:val="auto"/>
          <w:sz w:val="26"/>
          <w:szCs w:val="26"/>
          <w:lang w:val="en-US"/>
        </w:rPr>
        <w:t xml:space="preserve"> the amount of</w:t>
      </w:r>
      <w:r w:rsidRPr="00695CBD">
        <w:rPr>
          <w:color w:val="auto"/>
          <w:sz w:val="26"/>
          <w:szCs w:val="26"/>
          <w:lang w:val="en-US"/>
        </w:rPr>
        <w:t xml:space="preserve"> the gains or</w:t>
      </w:r>
      <w:r w:rsidR="006B550E" w:rsidRPr="00695CBD">
        <w:rPr>
          <w:color w:val="auto"/>
          <w:sz w:val="26"/>
          <w:szCs w:val="26"/>
          <w:lang w:val="en-US"/>
        </w:rPr>
        <w:t xml:space="preserve"> losses to </w:t>
      </w:r>
      <w:r w:rsidR="004F23CA" w:rsidRPr="00695CBD">
        <w:rPr>
          <w:color w:val="auto"/>
          <w:sz w:val="26"/>
          <w:szCs w:val="26"/>
          <w:lang w:val="en-US"/>
        </w:rPr>
        <w:t xml:space="preserve">be </w:t>
      </w:r>
      <w:r w:rsidR="006B550E" w:rsidRPr="00695CBD">
        <w:rPr>
          <w:color w:val="auto"/>
          <w:sz w:val="26"/>
          <w:szCs w:val="26"/>
          <w:lang w:val="en-US"/>
        </w:rPr>
        <w:t>recognise</w:t>
      </w:r>
      <w:r w:rsidR="004F23CA" w:rsidRPr="00695CBD">
        <w:rPr>
          <w:color w:val="auto"/>
          <w:sz w:val="26"/>
          <w:szCs w:val="26"/>
          <w:lang w:val="en-US"/>
        </w:rPr>
        <w:t>d</w:t>
      </w:r>
      <w:r w:rsidR="006B550E" w:rsidRPr="00695CBD">
        <w:rPr>
          <w:color w:val="auto"/>
          <w:sz w:val="26"/>
          <w:szCs w:val="26"/>
          <w:lang w:val="en-US"/>
        </w:rPr>
        <w:t xml:space="preserve"> in own funds is closely</w:t>
      </w:r>
      <w:r w:rsidRPr="00695CBD">
        <w:rPr>
          <w:color w:val="auto"/>
          <w:sz w:val="26"/>
          <w:szCs w:val="26"/>
          <w:lang w:val="en-US"/>
        </w:rPr>
        <w:t xml:space="preserve"> related </w:t>
      </w:r>
      <w:r w:rsidR="004F23CA" w:rsidRPr="00695CBD">
        <w:rPr>
          <w:color w:val="auto"/>
          <w:sz w:val="26"/>
          <w:szCs w:val="26"/>
          <w:lang w:val="en-US"/>
        </w:rPr>
        <w:t>to</w:t>
      </w:r>
      <w:r w:rsidRPr="00695CBD">
        <w:rPr>
          <w:color w:val="auto"/>
          <w:sz w:val="26"/>
          <w:szCs w:val="26"/>
          <w:lang w:val="en-US"/>
        </w:rPr>
        <w:t xml:space="preserve"> the previous option for the ‘corridor approach’</w:t>
      </w:r>
      <w:r w:rsidR="006B550E" w:rsidRPr="00695CBD">
        <w:rPr>
          <w:color w:val="auto"/>
          <w:sz w:val="26"/>
          <w:szCs w:val="26"/>
          <w:lang w:val="en-US"/>
        </w:rPr>
        <w:t>, because the institutions have already a deficit/surplus to deduct/add to  own funds.</w:t>
      </w:r>
    </w:p>
    <w:p w:rsidR="005B5361" w:rsidRPr="00695CBD" w:rsidRDefault="006B550E" w:rsidP="00695CBD">
      <w:pPr>
        <w:pStyle w:val="Default"/>
        <w:spacing w:after="296" w:line="360" w:lineRule="atLeast"/>
        <w:ind w:left="284"/>
        <w:jc w:val="both"/>
        <w:rPr>
          <w:color w:val="auto"/>
          <w:sz w:val="26"/>
          <w:szCs w:val="26"/>
          <w:lang w:val="en-US"/>
        </w:rPr>
      </w:pPr>
      <w:r w:rsidRPr="00695CBD">
        <w:rPr>
          <w:color w:val="auto"/>
          <w:sz w:val="26"/>
          <w:szCs w:val="26"/>
          <w:lang w:val="en-US"/>
        </w:rPr>
        <w:lastRenderedPageBreak/>
        <w:t>From an accounting point of view, the recognition of actuarial gains and losses is now a transfer between liabilities and equity</w:t>
      </w:r>
      <w:r w:rsidR="00FA3574" w:rsidRPr="00695CBD">
        <w:rPr>
          <w:color w:val="auto"/>
          <w:sz w:val="26"/>
          <w:szCs w:val="26"/>
          <w:lang w:val="en-US"/>
        </w:rPr>
        <w:t xml:space="preserve"> (OCI)</w:t>
      </w:r>
      <w:r w:rsidRPr="00695CBD">
        <w:rPr>
          <w:color w:val="auto"/>
          <w:sz w:val="26"/>
          <w:szCs w:val="26"/>
          <w:lang w:val="en-US"/>
        </w:rPr>
        <w:t xml:space="preserve">: when there is a deficit of pension provision the liability increases with a </w:t>
      </w:r>
      <w:r w:rsidR="00FA3574" w:rsidRPr="00695CBD">
        <w:rPr>
          <w:color w:val="auto"/>
          <w:sz w:val="26"/>
          <w:szCs w:val="26"/>
          <w:lang w:val="en-US"/>
        </w:rPr>
        <w:t xml:space="preserve">charge </w:t>
      </w:r>
      <w:r w:rsidR="00C03D55" w:rsidRPr="00695CBD">
        <w:rPr>
          <w:color w:val="auto"/>
          <w:sz w:val="26"/>
          <w:szCs w:val="26"/>
          <w:lang w:val="en-US"/>
        </w:rPr>
        <w:t>to</w:t>
      </w:r>
      <w:r w:rsidR="00FA3574" w:rsidRPr="00695CBD">
        <w:rPr>
          <w:color w:val="auto"/>
          <w:sz w:val="26"/>
          <w:szCs w:val="26"/>
          <w:lang w:val="en-US"/>
        </w:rPr>
        <w:t xml:space="preserve"> equity, and when there is a surplus of provision the liability decreases producing an increase in equity.</w:t>
      </w:r>
    </w:p>
    <w:p w:rsidR="005B5361" w:rsidRPr="00695CBD" w:rsidRDefault="004165C8" w:rsidP="00695CBD">
      <w:pPr>
        <w:pStyle w:val="Default"/>
        <w:numPr>
          <w:ilvl w:val="1"/>
          <w:numId w:val="3"/>
        </w:numPr>
        <w:tabs>
          <w:tab w:val="clear" w:pos="1440"/>
        </w:tabs>
        <w:spacing w:line="360" w:lineRule="atLeast"/>
        <w:ind w:left="284" w:hanging="284"/>
        <w:rPr>
          <w:color w:val="0066CC"/>
          <w:sz w:val="26"/>
          <w:szCs w:val="26"/>
          <w:lang w:val="en-US"/>
        </w:rPr>
      </w:pPr>
      <w:r w:rsidRPr="00695CBD">
        <w:rPr>
          <w:color w:val="0066CC"/>
          <w:sz w:val="26"/>
          <w:szCs w:val="26"/>
          <w:lang w:val="en-US"/>
        </w:rPr>
        <w:t xml:space="preserve">Do you agree with the analysis performed on the amendments to IAS 19? Do you agree that the changes in IAS 19 relevant to the scope of this report are the immediate recognition of actuarial gains and losses and past services costs? </w:t>
      </w:r>
    </w:p>
    <w:p w:rsidR="005B5361" w:rsidRPr="00695CBD" w:rsidRDefault="004165C8" w:rsidP="00695CBD">
      <w:pPr>
        <w:pStyle w:val="Default"/>
        <w:spacing w:line="360" w:lineRule="atLeast"/>
        <w:ind w:left="284"/>
        <w:rPr>
          <w:color w:val="0066CC"/>
          <w:sz w:val="26"/>
          <w:szCs w:val="26"/>
          <w:lang w:val="en-US"/>
        </w:rPr>
      </w:pPr>
      <w:r w:rsidRPr="00695CBD">
        <w:rPr>
          <w:color w:val="0066CC"/>
          <w:sz w:val="26"/>
          <w:szCs w:val="26"/>
          <w:lang w:val="en-US"/>
        </w:rPr>
        <w:t xml:space="preserve">Please provide input on additional changes in IAS 19 that need to be taken into consideration in assessing the impact on own funds at initial application and application in subsequent periods under the scope of the report. </w:t>
      </w:r>
    </w:p>
    <w:p w:rsidR="005B5361" w:rsidRPr="00695CBD" w:rsidRDefault="005B5361" w:rsidP="00695CBD">
      <w:pPr>
        <w:pStyle w:val="Default"/>
        <w:spacing w:line="360" w:lineRule="atLeast"/>
        <w:ind w:left="284"/>
        <w:jc w:val="both"/>
        <w:rPr>
          <w:color w:val="0066CC"/>
          <w:sz w:val="26"/>
          <w:szCs w:val="26"/>
          <w:lang w:val="en-US"/>
        </w:rPr>
      </w:pPr>
    </w:p>
    <w:p w:rsidR="005B5361" w:rsidRPr="00695CBD" w:rsidRDefault="00FA3574" w:rsidP="00695CBD">
      <w:pPr>
        <w:pStyle w:val="Default"/>
        <w:spacing w:line="360" w:lineRule="atLeast"/>
        <w:ind w:left="284"/>
        <w:jc w:val="both"/>
        <w:rPr>
          <w:color w:val="auto"/>
          <w:sz w:val="26"/>
          <w:szCs w:val="26"/>
          <w:lang w:val="en-US"/>
        </w:rPr>
      </w:pPr>
      <w:r w:rsidRPr="00695CBD">
        <w:rPr>
          <w:color w:val="auto"/>
          <w:sz w:val="26"/>
          <w:szCs w:val="26"/>
          <w:lang w:val="en-US"/>
        </w:rPr>
        <w:t>Mandatory immediate recognition of actuarial gains and losses and unvested past service cost</w:t>
      </w:r>
      <w:r w:rsidR="008B168B" w:rsidRPr="00695CBD">
        <w:rPr>
          <w:color w:val="auto"/>
          <w:sz w:val="26"/>
          <w:szCs w:val="26"/>
          <w:lang w:val="en-US"/>
        </w:rPr>
        <w:t>s</w:t>
      </w:r>
      <w:r w:rsidR="00A364A4" w:rsidRPr="00695CBD">
        <w:rPr>
          <w:color w:val="auto"/>
          <w:sz w:val="26"/>
          <w:szCs w:val="26"/>
          <w:lang w:val="en-US"/>
        </w:rPr>
        <w:t xml:space="preserve"> from the initial application of the new standard</w:t>
      </w:r>
      <w:r w:rsidRPr="00695CBD">
        <w:rPr>
          <w:color w:val="auto"/>
          <w:sz w:val="26"/>
          <w:szCs w:val="26"/>
          <w:lang w:val="en-US"/>
        </w:rPr>
        <w:t xml:space="preserve"> are the primary causes of the volatility in the first year of application of IAS 19. In subsequent years the first cause remains and the volatility will be mainly dependent o</w:t>
      </w:r>
      <w:r w:rsidR="007F535E" w:rsidRPr="00695CBD">
        <w:rPr>
          <w:color w:val="auto"/>
          <w:sz w:val="26"/>
          <w:szCs w:val="26"/>
          <w:lang w:val="en-US"/>
        </w:rPr>
        <w:t>n</w:t>
      </w:r>
      <w:r w:rsidRPr="00695CBD">
        <w:rPr>
          <w:color w:val="auto"/>
          <w:sz w:val="26"/>
          <w:szCs w:val="26"/>
          <w:lang w:val="en-US"/>
        </w:rPr>
        <w:t xml:space="preserve"> the evolution of the actuarial assumptions both demographic and financial.</w:t>
      </w:r>
      <w:r w:rsidR="00A364A4" w:rsidRPr="00695CBD">
        <w:rPr>
          <w:color w:val="auto"/>
          <w:sz w:val="26"/>
          <w:szCs w:val="26"/>
          <w:lang w:val="en-US"/>
        </w:rPr>
        <w:t xml:space="preserve"> This is the ‘natural’ volatility of the provision for pensions, which is unavoidable (see below, Question 8).</w:t>
      </w:r>
    </w:p>
    <w:p w:rsidR="005B5361" w:rsidRPr="00695CBD" w:rsidRDefault="005B5361" w:rsidP="00695CBD">
      <w:pPr>
        <w:pStyle w:val="Default"/>
        <w:spacing w:line="360" w:lineRule="atLeast"/>
        <w:ind w:left="426"/>
        <w:jc w:val="both"/>
        <w:rPr>
          <w:color w:val="0066CC"/>
          <w:sz w:val="26"/>
          <w:szCs w:val="26"/>
          <w:lang w:val="en-US"/>
        </w:rPr>
      </w:pPr>
    </w:p>
    <w:p w:rsidR="005B5361" w:rsidRPr="00695CBD" w:rsidRDefault="004165C8" w:rsidP="00695CBD">
      <w:pPr>
        <w:pStyle w:val="Default"/>
        <w:numPr>
          <w:ilvl w:val="1"/>
          <w:numId w:val="3"/>
        </w:numPr>
        <w:tabs>
          <w:tab w:val="clear" w:pos="1440"/>
        </w:tabs>
        <w:spacing w:after="298" w:line="360" w:lineRule="atLeast"/>
        <w:ind w:left="284" w:hanging="284"/>
        <w:jc w:val="both"/>
        <w:rPr>
          <w:color w:val="0066CC"/>
          <w:sz w:val="26"/>
          <w:szCs w:val="26"/>
          <w:lang w:val="en-US"/>
        </w:rPr>
      </w:pPr>
      <w:r w:rsidRPr="00695CBD">
        <w:rPr>
          <w:color w:val="0066CC"/>
          <w:sz w:val="26"/>
          <w:szCs w:val="26"/>
          <w:lang w:val="en-US"/>
        </w:rPr>
        <w:t xml:space="preserve">Do you agree with the analysis performed for the changes of IAS 19 that are not expected to have an impact on own funds with regards to the scope of this report? </w:t>
      </w:r>
    </w:p>
    <w:p w:rsidR="005B5361" w:rsidRPr="00695CBD" w:rsidRDefault="00A364A4" w:rsidP="00695CBD">
      <w:pPr>
        <w:pStyle w:val="Default"/>
        <w:spacing w:after="298" w:line="360" w:lineRule="atLeast"/>
        <w:ind w:left="284"/>
        <w:jc w:val="both"/>
        <w:rPr>
          <w:color w:val="auto"/>
          <w:sz w:val="26"/>
          <w:szCs w:val="26"/>
          <w:lang w:val="en-US"/>
        </w:rPr>
      </w:pPr>
      <w:r w:rsidRPr="00695CBD">
        <w:rPr>
          <w:color w:val="auto"/>
          <w:sz w:val="26"/>
          <w:szCs w:val="26"/>
          <w:lang w:val="en-US"/>
        </w:rPr>
        <w:t>Yes, the analysis seems to be complete. The other changes do not affect the amount of the pension provisions or the net asset position of the plan.</w:t>
      </w:r>
    </w:p>
    <w:p w:rsidR="005B5361" w:rsidRPr="00695CBD" w:rsidRDefault="004165C8" w:rsidP="00695CBD">
      <w:pPr>
        <w:pStyle w:val="Default"/>
        <w:numPr>
          <w:ilvl w:val="1"/>
          <w:numId w:val="3"/>
        </w:numPr>
        <w:tabs>
          <w:tab w:val="clear" w:pos="1440"/>
        </w:tabs>
        <w:spacing w:after="298" w:line="360" w:lineRule="atLeast"/>
        <w:ind w:left="284" w:hanging="284"/>
        <w:jc w:val="both"/>
        <w:rPr>
          <w:color w:val="0066CC"/>
          <w:sz w:val="26"/>
          <w:szCs w:val="26"/>
          <w:lang w:val="en-US"/>
        </w:rPr>
      </w:pPr>
      <w:r w:rsidRPr="00695CBD">
        <w:rPr>
          <w:color w:val="0066CC"/>
          <w:sz w:val="26"/>
          <w:szCs w:val="26"/>
          <w:lang w:val="en-US"/>
        </w:rPr>
        <w:t>Do you agree with the methodology of the analysis performed and the interpretation of the qualitative and quantitative data? Please provide additional data that need</w:t>
      </w:r>
      <w:r w:rsidR="00E80CF1" w:rsidRPr="00695CBD">
        <w:rPr>
          <w:color w:val="0066CC"/>
          <w:sz w:val="26"/>
          <w:szCs w:val="26"/>
          <w:lang w:val="en-US"/>
        </w:rPr>
        <w:t>s</w:t>
      </w:r>
      <w:r w:rsidRPr="00695CBD">
        <w:rPr>
          <w:color w:val="0066CC"/>
          <w:sz w:val="26"/>
          <w:szCs w:val="26"/>
          <w:lang w:val="en-US"/>
        </w:rPr>
        <w:t xml:space="preserve"> to be taken into account. </w:t>
      </w:r>
    </w:p>
    <w:p w:rsidR="005B5361" w:rsidRPr="00695CBD" w:rsidRDefault="00A364A4" w:rsidP="00695CBD">
      <w:pPr>
        <w:pStyle w:val="Default"/>
        <w:spacing w:after="298" w:line="360" w:lineRule="atLeast"/>
        <w:ind w:left="284"/>
        <w:jc w:val="both"/>
        <w:rPr>
          <w:color w:val="auto"/>
          <w:sz w:val="26"/>
          <w:szCs w:val="26"/>
          <w:lang w:val="en-US"/>
        </w:rPr>
      </w:pPr>
      <w:r w:rsidRPr="00695CBD">
        <w:rPr>
          <w:color w:val="auto"/>
          <w:sz w:val="26"/>
          <w:szCs w:val="26"/>
          <w:lang w:val="en-US"/>
        </w:rPr>
        <w:t>While we broadly agree with the methodology used, we want to distinguish the validity of the analysis performed for the</w:t>
      </w:r>
      <w:r w:rsidR="00816AC8" w:rsidRPr="00695CBD">
        <w:rPr>
          <w:color w:val="auto"/>
          <w:sz w:val="26"/>
          <w:szCs w:val="26"/>
          <w:lang w:val="en-US"/>
        </w:rPr>
        <w:t xml:space="preserve"> effects in the</w:t>
      </w:r>
      <w:r w:rsidRPr="00695CBD">
        <w:rPr>
          <w:color w:val="auto"/>
          <w:sz w:val="26"/>
          <w:szCs w:val="26"/>
          <w:lang w:val="en-US"/>
        </w:rPr>
        <w:t xml:space="preserve"> initial application of the changes and </w:t>
      </w:r>
      <w:r w:rsidR="000750FE" w:rsidRPr="00695CBD">
        <w:rPr>
          <w:color w:val="auto"/>
          <w:sz w:val="26"/>
          <w:szCs w:val="26"/>
          <w:lang w:val="en-US"/>
        </w:rPr>
        <w:t>for</w:t>
      </w:r>
      <w:r w:rsidRPr="00695CBD">
        <w:rPr>
          <w:color w:val="auto"/>
          <w:sz w:val="26"/>
          <w:szCs w:val="26"/>
          <w:lang w:val="en-US"/>
        </w:rPr>
        <w:t xml:space="preserve"> s</w:t>
      </w:r>
      <w:r w:rsidR="00816AC8" w:rsidRPr="00695CBD">
        <w:rPr>
          <w:color w:val="auto"/>
          <w:sz w:val="26"/>
          <w:szCs w:val="26"/>
          <w:lang w:val="en-US"/>
        </w:rPr>
        <w:t>ubsequent periods.</w:t>
      </w:r>
    </w:p>
    <w:p w:rsidR="005B5361" w:rsidRPr="00695CBD" w:rsidRDefault="00816AC8" w:rsidP="00695CBD">
      <w:pPr>
        <w:pStyle w:val="Default"/>
        <w:spacing w:after="298" w:line="360" w:lineRule="atLeast"/>
        <w:ind w:left="284"/>
        <w:jc w:val="both"/>
        <w:rPr>
          <w:color w:val="auto"/>
          <w:sz w:val="26"/>
          <w:szCs w:val="26"/>
          <w:lang w:val="en-US"/>
        </w:rPr>
      </w:pPr>
      <w:r w:rsidRPr="00695CBD">
        <w:rPr>
          <w:color w:val="auto"/>
          <w:sz w:val="26"/>
          <w:szCs w:val="26"/>
          <w:lang w:val="en-US"/>
        </w:rPr>
        <w:t>Regarding the effect in the initial application, the sample of 51 European institutions in 20 countries is enough to extract valid inferences on the expected changes in own funds and in the CET 1. Only 11 out of those 51 banks have a possible higher effect (i.e. more than 50 bps in CET1 ratio) from the initial application of the revised IAS 19, and in most cases the problem</w:t>
      </w:r>
      <w:r w:rsidR="008B168B" w:rsidRPr="00695CBD">
        <w:rPr>
          <w:color w:val="auto"/>
          <w:sz w:val="26"/>
          <w:szCs w:val="26"/>
          <w:lang w:val="en-US"/>
        </w:rPr>
        <w:t xml:space="preserve"> derives from</w:t>
      </w:r>
      <w:r w:rsidRPr="00695CBD">
        <w:rPr>
          <w:color w:val="auto"/>
          <w:sz w:val="26"/>
          <w:szCs w:val="26"/>
          <w:lang w:val="en-US"/>
        </w:rPr>
        <w:t xml:space="preserve"> the </w:t>
      </w:r>
      <w:r w:rsidRPr="00695CBD">
        <w:rPr>
          <w:color w:val="auto"/>
          <w:sz w:val="26"/>
          <w:szCs w:val="26"/>
          <w:lang w:val="en-US"/>
        </w:rPr>
        <w:lastRenderedPageBreak/>
        <w:t xml:space="preserve">previous use of the ‘corridor approach’. In some of these cases </w:t>
      </w:r>
      <w:r w:rsidR="000750FE" w:rsidRPr="00695CBD">
        <w:rPr>
          <w:color w:val="auto"/>
          <w:sz w:val="26"/>
          <w:szCs w:val="26"/>
          <w:lang w:val="en-US"/>
        </w:rPr>
        <w:t xml:space="preserve">it </w:t>
      </w:r>
      <w:r w:rsidRPr="00695CBD">
        <w:rPr>
          <w:color w:val="auto"/>
          <w:sz w:val="26"/>
          <w:szCs w:val="26"/>
          <w:lang w:val="en-US"/>
        </w:rPr>
        <w:t xml:space="preserve">will be </w:t>
      </w:r>
      <w:r w:rsidR="001A22D0" w:rsidRPr="00695CBD">
        <w:rPr>
          <w:color w:val="auto"/>
          <w:sz w:val="26"/>
          <w:szCs w:val="26"/>
          <w:lang w:val="en-US"/>
        </w:rPr>
        <w:t>plausible</w:t>
      </w:r>
      <w:r w:rsidR="008B168B" w:rsidRPr="00695CBD">
        <w:rPr>
          <w:color w:val="auto"/>
          <w:sz w:val="26"/>
          <w:szCs w:val="26"/>
          <w:lang w:val="en-US"/>
        </w:rPr>
        <w:t xml:space="preserve"> for</w:t>
      </w:r>
      <w:r w:rsidR="001A22D0" w:rsidRPr="00695CBD">
        <w:rPr>
          <w:color w:val="auto"/>
          <w:sz w:val="26"/>
          <w:szCs w:val="26"/>
          <w:lang w:val="en-US"/>
        </w:rPr>
        <w:t xml:space="preserve"> the Member States </w:t>
      </w:r>
      <w:r w:rsidR="008B168B" w:rsidRPr="00695CBD">
        <w:rPr>
          <w:color w:val="auto"/>
          <w:sz w:val="26"/>
          <w:szCs w:val="26"/>
          <w:lang w:val="en-US"/>
        </w:rPr>
        <w:t>to use</w:t>
      </w:r>
      <w:r w:rsidR="001A22D0" w:rsidRPr="00695CBD">
        <w:rPr>
          <w:color w:val="auto"/>
          <w:sz w:val="26"/>
          <w:szCs w:val="26"/>
          <w:lang w:val="en-US"/>
        </w:rPr>
        <w:t xml:space="preserve"> the possibility </w:t>
      </w:r>
      <w:r w:rsidR="008B168B" w:rsidRPr="00695CBD">
        <w:rPr>
          <w:color w:val="auto"/>
          <w:sz w:val="26"/>
          <w:szCs w:val="26"/>
          <w:lang w:val="en-US"/>
        </w:rPr>
        <w:t>of</w:t>
      </w:r>
      <w:r w:rsidR="001A22D0" w:rsidRPr="00695CBD">
        <w:rPr>
          <w:color w:val="auto"/>
          <w:sz w:val="26"/>
          <w:szCs w:val="26"/>
          <w:lang w:val="en-US"/>
        </w:rPr>
        <w:t xml:space="preserve"> </w:t>
      </w:r>
      <w:r w:rsidR="005C5144" w:rsidRPr="00695CBD">
        <w:rPr>
          <w:color w:val="auto"/>
          <w:sz w:val="26"/>
          <w:szCs w:val="26"/>
          <w:lang w:val="en-US"/>
        </w:rPr>
        <w:t>deferring</w:t>
      </w:r>
      <w:r w:rsidR="001A22D0" w:rsidRPr="00695CBD">
        <w:rPr>
          <w:color w:val="auto"/>
          <w:sz w:val="26"/>
          <w:szCs w:val="26"/>
          <w:lang w:val="en-US"/>
        </w:rPr>
        <w:t xml:space="preserve"> the recognition in CET 1 of those changes).</w:t>
      </w:r>
    </w:p>
    <w:p w:rsidR="005B5361" w:rsidRPr="00695CBD" w:rsidRDefault="001A22D0" w:rsidP="00695CBD">
      <w:pPr>
        <w:pStyle w:val="Default"/>
        <w:spacing w:after="298" w:line="360" w:lineRule="atLeast"/>
        <w:ind w:left="284"/>
        <w:jc w:val="both"/>
        <w:rPr>
          <w:color w:val="auto"/>
          <w:sz w:val="26"/>
          <w:szCs w:val="26"/>
          <w:lang w:val="en-US"/>
        </w:rPr>
      </w:pPr>
      <w:r w:rsidRPr="00695CBD">
        <w:rPr>
          <w:color w:val="auto"/>
          <w:sz w:val="26"/>
          <w:szCs w:val="26"/>
          <w:lang w:val="en-US"/>
        </w:rPr>
        <w:t xml:space="preserve">The </w:t>
      </w:r>
      <w:r w:rsidR="00F26882" w:rsidRPr="00695CBD">
        <w:rPr>
          <w:color w:val="auto"/>
          <w:sz w:val="26"/>
          <w:szCs w:val="26"/>
          <w:lang w:val="en-US"/>
        </w:rPr>
        <w:t>analysis of the subsequent</w:t>
      </w:r>
      <w:r w:rsidRPr="00695CBD">
        <w:rPr>
          <w:color w:val="auto"/>
          <w:sz w:val="26"/>
          <w:szCs w:val="26"/>
          <w:lang w:val="en-US"/>
        </w:rPr>
        <w:t xml:space="preserve"> impact</w:t>
      </w:r>
      <w:r w:rsidR="00F26882" w:rsidRPr="00695CBD">
        <w:rPr>
          <w:color w:val="auto"/>
          <w:sz w:val="26"/>
          <w:szCs w:val="26"/>
          <w:lang w:val="en-US"/>
        </w:rPr>
        <w:t>s</w:t>
      </w:r>
      <w:r w:rsidRPr="00695CBD">
        <w:rPr>
          <w:color w:val="auto"/>
          <w:sz w:val="26"/>
          <w:szCs w:val="26"/>
          <w:lang w:val="en-US"/>
        </w:rPr>
        <w:t xml:space="preserve"> is made in the </w:t>
      </w:r>
      <w:r w:rsidR="00E66B23" w:rsidRPr="00695CBD">
        <w:rPr>
          <w:color w:val="auto"/>
          <w:sz w:val="26"/>
          <w:szCs w:val="26"/>
          <w:lang w:val="en-US"/>
        </w:rPr>
        <w:t>Discussion Paper</w:t>
      </w:r>
      <w:r w:rsidRPr="00695CBD">
        <w:rPr>
          <w:color w:val="auto"/>
          <w:sz w:val="26"/>
          <w:szCs w:val="26"/>
          <w:lang w:val="en-US"/>
        </w:rPr>
        <w:t xml:space="preserve"> by simulating the effect of the changes as </w:t>
      </w:r>
      <w:r w:rsidR="004079BA" w:rsidRPr="00695CBD">
        <w:rPr>
          <w:color w:val="auto"/>
          <w:sz w:val="26"/>
          <w:szCs w:val="26"/>
          <w:lang w:val="en-US"/>
        </w:rPr>
        <w:t xml:space="preserve">if </w:t>
      </w:r>
      <w:r w:rsidRPr="00695CBD">
        <w:rPr>
          <w:color w:val="auto"/>
          <w:sz w:val="26"/>
          <w:szCs w:val="26"/>
          <w:lang w:val="en-US"/>
        </w:rPr>
        <w:t>it w</w:t>
      </w:r>
      <w:r w:rsidR="004079BA" w:rsidRPr="00695CBD">
        <w:rPr>
          <w:color w:val="auto"/>
          <w:sz w:val="26"/>
          <w:szCs w:val="26"/>
          <w:lang w:val="en-US"/>
        </w:rPr>
        <w:t>as</w:t>
      </w:r>
      <w:r w:rsidRPr="00695CBD">
        <w:rPr>
          <w:color w:val="auto"/>
          <w:sz w:val="26"/>
          <w:szCs w:val="26"/>
          <w:lang w:val="en-US"/>
        </w:rPr>
        <w:t xml:space="preserve"> applied in 2010, estimating the CET1 ratios under that simulation and comparing them with the actual observed ratios in</w:t>
      </w:r>
      <w:r w:rsidR="00F26882" w:rsidRPr="00695CBD">
        <w:rPr>
          <w:color w:val="auto"/>
          <w:sz w:val="26"/>
          <w:szCs w:val="26"/>
          <w:lang w:val="en-US"/>
        </w:rPr>
        <w:t xml:space="preserve"> 2010,</w:t>
      </w:r>
      <w:r w:rsidRPr="00695CBD">
        <w:rPr>
          <w:color w:val="auto"/>
          <w:sz w:val="26"/>
          <w:szCs w:val="26"/>
          <w:lang w:val="en-US"/>
        </w:rPr>
        <w:t xml:space="preserve"> 2011 and 2012. In other words, EBA has performed a retro-simulation. The results are just a proxy to measure the volatility that the changes will induce </w:t>
      </w:r>
      <w:r w:rsidR="005C5144" w:rsidRPr="00695CBD">
        <w:rPr>
          <w:color w:val="auto"/>
          <w:sz w:val="26"/>
          <w:szCs w:val="26"/>
          <w:lang w:val="en-US"/>
        </w:rPr>
        <w:t>in own</w:t>
      </w:r>
      <w:r w:rsidRPr="00695CBD">
        <w:rPr>
          <w:color w:val="auto"/>
          <w:sz w:val="26"/>
          <w:szCs w:val="26"/>
          <w:lang w:val="en-US"/>
        </w:rPr>
        <w:t xml:space="preserve"> funds and </w:t>
      </w:r>
      <w:r w:rsidR="00841B7F" w:rsidRPr="00695CBD">
        <w:rPr>
          <w:color w:val="auto"/>
          <w:sz w:val="26"/>
          <w:szCs w:val="26"/>
          <w:lang w:val="en-US"/>
        </w:rPr>
        <w:t xml:space="preserve">the </w:t>
      </w:r>
      <w:r w:rsidRPr="00695CBD">
        <w:rPr>
          <w:color w:val="auto"/>
          <w:sz w:val="26"/>
          <w:szCs w:val="26"/>
          <w:lang w:val="en-US"/>
        </w:rPr>
        <w:t xml:space="preserve">corresponding ratios in 2014 and afterwards. </w:t>
      </w:r>
    </w:p>
    <w:p w:rsidR="005B5361" w:rsidRPr="00695CBD" w:rsidRDefault="00F26882" w:rsidP="00695CBD">
      <w:pPr>
        <w:pStyle w:val="Default"/>
        <w:spacing w:after="298" w:line="360" w:lineRule="atLeast"/>
        <w:ind w:left="284"/>
        <w:jc w:val="both"/>
        <w:rPr>
          <w:color w:val="auto"/>
          <w:sz w:val="26"/>
          <w:szCs w:val="26"/>
          <w:lang w:val="en-US"/>
        </w:rPr>
      </w:pPr>
      <w:r w:rsidRPr="00695CBD">
        <w:rPr>
          <w:color w:val="auto"/>
          <w:sz w:val="26"/>
          <w:szCs w:val="26"/>
          <w:lang w:val="en-US"/>
        </w:rPr>
        <w:t>We accept the methodology and the results but we note that future behavior could be different depending on the economic</w:t>
      </w:r>
      <w:r w:rsidR="004079BA" w:rsidRPr="00695CBD">
        <w:rPr>
          <w:color w:val="auto"/>
          <w:sz w:val="26"/>
          <w:szCs w:val="26"/>
          <w:lang w:val="en-US"/>
        </w:rPr>
        <w:t xml:space="preserve"> industry</w:t>
      </w:r>
      <w:r w:rsidRPr="00695CBD">
        <w:rPr>
          <w:color w:val="auto"/>
          <w:sz w:val="26"/>
          <w:szCs w:val="26"/>
          <w:lang w:val="en-US"/>
        </w:rPr>
        <w:t xml:space="preserve">, demographic and financial factors that need to be taken </w:t>
      </w:r>
      <w:r w:rsidR="004079BA" w:rsidRPr="00695CBD">
        <w:rPr>
          <w:color w:val="auto"/>
          <w:sz w:val="26"/>
          <w:szCs w:val="26"/>
          <w:lang w:val="en-US"/>
        </w:rPr>
        <w:t>into</w:t>
      </w:r>
      <w:r w:rsidRPr="00695CBD">
        <w:rPr>
          <w:color w:val="auto"/>
          <w:sz w:val="26"/>
          <w:szCs w:val="26"/>
          <w:lang w:val="en-US"/>
        </w:rPr>
        <w:t xml:space="preserve"> account for the estimation of the pension liability. If the future behaves in a different way tha</w:t>
      </w:r>
      <w:r w:rsidR="004079BA" w:rsidRPr="00695CBD">
        <w:rPr>
          <w:color w:val="auto"/>
          <w:sz w:val="26"/>
          <w:szCs w:val="26"/>
          <w:lang w:val="en-US"/>
        </w:rPr>
        <w:t>n</w:t>
      </w:r>
      <w:r w:rsidRPr="00695CBD">
        <w:rPr>
          <w:color w:val="auto"/>
          <w:sz w:val="26"/>
          <w:szCs w:val="26"/>
          <w:lang w:val="en-US"/>
        </w:rPr>
        <w:t xml:space="preserve"> the past, the volatility will </w:t>
      </w:r>
      <w:r w:rsidR="008B168B" w:rsidRPr="00695CBD">
        <w:rPr>
          <w:color w:val="auto"/>
          <w:sz w:val="26"/>
          <w:szCs w:val="26"/>
          <w:lang w:val="en-US"/>
        </w:rPr>
        <w:t>be different from</w:t>
      </w:r>
      <w:r w:rsidRPr="00695CBD">
        <w:rPr>
          <w:color w:val="auto"/>
          <w:sz w:val="26"/>
          <w:szCs w:val="26"/>
          <w:lang w:val="en-US"/>
        </w:rPr>
        <w:t xml:space="preserve"> the results obtained</w:t>
      </w:r>
      <w:r w:rsidR="008B168B" w:rsidRPr="00695CBD">
        <w:rPr>
          <w:color w:val="auto"/>
          <w:sz w:val="26"/>
          <w:szCs w:val="26"/>
          <w:lang w:val="en-US"/>
        </w:rPr>
        <w:t xml:space="preserve"> in the simulation exercise</w:t>
      </w:r>
      <w:r w:rsidRPr="00695CBD">
        <w:rPr>
          <w:color w:val="auto"/>
          <w:sz w:val="26"/>
          <w:szCs w:val="26"/>
          <w:lang w:val="en-US"/>
        </w:rPr>
        <w:t>.</w:t>
      </w:r>
    </w:p>
    <w:p w:rsidR="005B5361" w:rsidRPr="00695CBD" w:rsidRDefault="00F26882" w:rsidP="00695CBD">
      <w:pPr>
        <w:pStyle w:val="Default"/>
        <w:spacing w:after="298" w:line="360" w:lineRule="atLeast"/>
        <w:ind w:left="284"/>
        <w:jc w:val="both"/>
        <w:rPr>
          <w:color w:val="auto"/>
          <w:sz w:val="26"/>
          <w:szCs w:val="26"/>
          <w:lang w:val="en-US"/>
        </w:rPr>
      </w:pPr>
      <w:r w:rsidRPr="00695CBD">
        <w:rPr>
          <w:color w:val="auto"/>
          <w:sz w:val="26"/>
          <w:szCs w:val="26"/>
          <w:lang w:val="en-US"/>
        </w:rPr>
        <w:t>With these limitations, the methodology followed is reasonable and the conclusions reached could represent a picture of the expected volatility in own funds from institutions across the EU. In this case the effect</w:t>
      </w:r>
      <w:r w:rsidR="00386BC1" w:rsidRPr="00695CBD">
        <w:rPr>
          <w:color w:val="auto"/>
          <w:sz w:val="26"/>
          <w:szCs w:val="26"/>
          <w:lang w:val="en-US"/>
        </w:rPr>
        <w:t xml:space="preserve"> </w:t>
      </w:r>
      <w:r w:rsidR="008B168B" w:rsidRPr="00695CBD">
        <w:rPr>
          <w:color w:val="auto"/>
          <w:sz w:val="26"/>
          <w:szCs w:val="26"/>
          <w:lang w:val="en-US"/>
        </w:rPr>
        <w:t>on</w:t>
      </w:r>
      <w:r w:rsidR="00386BC1" w:rsidRPr="00695CBD">
        <w:rPr>
          <w:color w:val="auto"/>
          <w:sz w:val="26"/>
          <w:szCs w:val="26"/>
          <w:lang w:val="en-US"/>
        </w:rPr>
        <w:t xml:space="preserve"> CET 1 ratio volatility</w:t>
      </w:r>
      <w:r w:rsidRPr="00695CBD">
        <w:rPr>
          <w:color w:val="auto"/>
          <w:sz w:val="26"/>
          <w:szCs w:val="26"/>
          <w:lang w:val="en-US"/>
        </w:rPr>
        <w:t xml:space="preserve"> is considered low for 34 out of the 51 institutions in the sample and important for t</w:t>
      </w:r>
      <w:r w:rsidR="00386BC1" w:rsidRPr="00695CBD">
        <w:rPr>
          <w:color w:val="auto"/>
          <w:sz w:val="26"/>
          <w:szCs w:val="26"/>
          <w:lang w:val="en-US"/>
        </w:rPr>
        <w:t>he rest, medium for 10 and high for the other 7 institutions.</w:t>
      </w:r>
      <w:r w:rsidRPr="00695CBD">
        <w:rPr>
          <w:color w:val="auto"/>
          <w:sz w:val="26"/>
          <w:szCs w:val="26"/>
          <w:lang w:val="en-US"/>
        </w:rPr>
        <w:t xml:space="preserve"> </w:t>
      </w:r>
      <w:r w:rsidR="00222264" w:rsidRPr="00695CBD">
        <w:rPr>
          <w:color w:val="auto"/>
          <w:sz w:val="26"/>
          <w:szCs w:val="26"/>
          <w:lang w:val="en-US"/>
        </w:rPr>
        <w:t>I</w:t>
      </w:r>
      <w:r w:rsidR="00386BC1" w:rsidRPr="00695CBD">
        <w:rPr>
          <w:color w:val="auto"/>
          <w:sz w:val="26"/>
          <w:szCs w:val="26"/>
          <w:lang w:val="en-US"/>
        </w:rPr>
        <w:t xml:space="preserve">n this case the </w:t>
      </w:r>
      <w:r w:rsidR="00E66B23" w:rsidRPr="00695CBD">
        <w:rPr>
          <w:color w:val="auto"/>
          <w:sz w:val="26"/>
          <w:szCs w:val="26"/>
          <w:lang w:val="en-US"/>
        </w:rPr>
        <w:t>Discussion Paper</w:t>
      </w:r>
      <w:r w:rsidR="00386BC1" w:rsidRPr="00695CBD">
        <w:rPr>
          <w:color w:val="auto"/>
          <w:sz w:val="26"/>
          <w:szCs w:val="26"/>
          <w:lang w:val="en-US"/>
        </w:rPr>
        <w:t xml:space="preserve"> call</w:t>
      </w:r>
      <w:r w:rsidR="00677A59" w:rsidRPr="00695CBD">
        <w:rPr>
          <w:color w:val="auto"/>
          <w:sz w:val="26"/>
          <w:szCs w:val="26"/>
          <w:lang w:val="en-US"/>
        </w:rPr>
        <w:t>s</w:t>
      </w:r>
      <w:r w:rsidR="00222264" w:rsidRPr="00695CBD">
        <w:rPr>
          <w:color w:val="auto"/>
          <w:sz w:val="26"/>
          <w:szCs w:val="26"/>
          <w:lang w:val="en-US"/>
        </w:rPr>
        <w:t xml:space="preserve"> </w:t>
      </w:r>
      <w:r w:rsidR="00386BC1" w:rsidRPr="00695CBD">
        <w:rPr>
          <w:color w:val="auto"/>
          <w:sz w:val="26"/>
          <w:szCs w:val="26"/>
          <w:lang w:val="en-US"/>
        </w:rPr>
        <w:t>for application of national transitional measures</w:t>
      </w:r>
      <w:r w:rsidR="00222264" w:rsidRPr="00695CBD">
        <w:rPr>
          <w:color w:val="auto"/>
          <w:sz w:val="26"/>
          <w:szCs w:val="26"/>
          <w:lang w:val="en-US"/>
        </w:rPr>
        <w:t>, especially in extreme cases</w:t>
      </w:r>
      <w:r w:rsidR="008B168B" w:rsidRPr="00695CBD">
        <w:rPr>
          <w:color w:val="auto"/>
          <w:sz w:val="26"/>
          <w:szCs w:val="26"/>
          <w:lang w:val="en-US"/>
        </w:rPr>
        <w:t>.  BSG welcomes this element of flexibility and urges national authorities to make full use of it when appropriate.</w:t>
      </w:r>
    </w:p>
    <w:p w:rsidR="005B5361" w:rsidRPr="00695CBD" w:rsidRDefault="004165C8" w:rsidP="00695CBD">
      <w:pPr>
        <w:pStyle w:val="Default"/>
        <w:spacing w:line="360" w:lineRule="atLeast"/>
        <w:ind w:left="426" w:hanging="426"/>
        <w:jc w:val="both"/>
        <w:rPr>
          <w:color w:val="0066CC"/>
          <w:sz w:val="26"/>
          <w:szCs w:val="26"/>
          <w:lang w:val="en-US"/>
        </w:rPr>
      </w:pPr>
      <w:r w:rsidRPr="00695CBD">
        <w:rPr>
          <w:color w:val="0066CC"/>
          <w:sz w:val="26"/>
          <w:szCs w:val="26"/>
          <w:lang w:val="en-US"/>
        </w:rPr>
        <w:t xml:space="preserve">8. </w:t>
      </w:r>
      <w:r w:rsidRPr="00695CBD">
        <w:rPr>
          <w:color w:val="0066CC"/>
          <w:sz w:val="26"/>
          <w:szCs w:val="26"/>
          <w:lang w:val="en-US"/>
        </w:rPr>
        <w:tab/>
        <w:t xml:space="preserve">Do you agree with the elements included in the additional qualitative assessment for the possible developments that could impact the volatility of own funds? </w:t>
      </w:r>
    </w:p>
    <w:p w:rsidR="005B5361" w:rsidRPr="00695CBD" w:rsidRDefault="005B5361" w:rsidP="00695CBD">
      <w:pPr>
        <w:pStyle w:val="Default"/>
        <w:spacing w:line="360" w:lineRule="atLeast"/>
        <w:jc w:val="both"/>
        <w:rPr>
          <w:color w:val="0066CC"/>
          <w:sz w:val="26"/>
          <w:szCs w:val="26"/>
          <w:lang w:val="en-US"/>
        </w:rPr>
      </w:pPr>
    </w:p>
    <w:p w:rsidR="005B5361" w:rsidRPr="00695CBD" w:rsidRDefault="004165C8" w:rsidP="00695CBD">
      <w:pPr>
        <w:pStyle w:val="Default"/>
        <w:spacing w:line="360" w:lineRule="atLeast"/>
        <w:ind w:left="426"/>
        <w:jc w:val="both"/>
        <w:rPr>
          <w:color w:val="0066CC"/>
          <w:sz w:val="26"/>
          <w:szCs w:val="26"/>
          <w:lang w:val="en-US"/>
        </w:rPr>
      </w:pPr>
      <w:r w:rsidRPr="00695CBD">
        <w:rPr>
          <w:color w:val="0066CC"/>
          <w:sz w:val="26"/>
          <w:szCs w:val="26"/>
          <w:lang w:val="en-US"/>
        </w:rPr>
        <w:t xml:space="preserve">Do you have any particular consideration with regard to the impact of the discount rates used for the measurement of the defined pension plans under the requirements of the revised IAS 19? Is there any difference compared to the previous IAS 19? </w:t>
      </w:r>
    </w:p>
    <w:p w:rsidR="005B5361" w:rsidRPr="00695CBD" w:rsidRDefault="005B5361" w:rsidP="00695CBD">
      <w:pPr>
        <w:pStyle w:val="Default"/>
        <w:spacing w:line="360" w:lineRule="atLeast"/>
        <w:ind w:left="426"/>
        <w:jc w:val="both"/>
        <w:rPr>
          <w:color w:val="0066CC"/>
          <w:sz w:val="26"/>
          <w:szCs w:val="26"/>
          <w:lang w:val="en-US"/>
        </w:rPr>
      </w:pPr>
    </w:p>
    <w:p w:rsidR="005B5361" w:rsidRPr="00695CBD" w:rsidRDefault="00386BC1" w:rsidP="00695CBD">
      <w:pPr>
        <w:pStyle w:val="Default"/>
        <w:spacing w:line="360" w:lineRule="atLeast"/>
        <w:ind w:left="426"/>
        <w:jc w:val="both"/>
        <w:rPr>
          <w:color w:val="auto"/>
          <w:sz w:val="26"/>
          <w:szCs w:val="26"/>
          <w:lang w:val="en-US"/>
        </w:rPr>
      </w:pPr>
      <w:r w:rsidRPr="00695CBD">
        <w:rPr>
          <w:color w:val="auto"/>
          <w:sz w:val="26"/>
          <w:szCs w:val="26"/>
          <w:lang w:val="en-US"/>
        </w:rPr>
        <w:t>In this part o</w:t>
      </w:r>
      <w:r w:rsidR="00451BFE" w:rsidRPr="00695CBD">
        <w:rPr>
          <w:color w:val="auto"/>
          <w:sz w:val="26"/>
          <w:szCs w:val="26"/>
          <w:lang w:val="en-US"/>
        </w:rPr>
        <w:t>f</w:t>
      </w:r>
      <w:r w:rsidRPr="00695CBD">
        <w:rPr>
          <w:color w:val="auto"/>
          <w:sz w:val="26"/>
          <w:szCs w:val="26"/>
          <w:lang w:val="en-US"/>
        </w:rPr>
        <w:t xml:space="preserve"> the </w:t>
      </w:r>
      <w:r w:rsidR="00E66B23" w:rsidRPr="00695CBD">
        <w:rPr>
          <w:color w:val="auto"/>
          <w:sz w:val="26"/>
          <w:szCs w:val="26"/>
          <w:lang w:val="en-US"/>
        </w:rPr>
        <w:t>Discussion Paper</w:t>
      </w:r>
      <w:r w:rsidRPr="00695CBD">
        <w:rPr>
          <w:color w:val="auto"/>
          <w:sz w:val="26"/>
          <w:szCs w:val="26"/>
          <w:lang w:val="en-US"/>
        </w:rPr>
        <w:t xml:space="preserve"> the consideration of the effect of the </w:t>
      </w:r>
      <w:r w:rsidR="00CA1A4E" w:rsidRPr="00695CBD">
        <w:rPr>
          <w:color w:val="auto"/>
          <w:sz w:val="26"/>
          <w:szCs w:val="26"/>
          <w:lang w:val="en-US"/>
        </w:rPr>
        <w:t xml:space="preserve">revised </w:t>
      </w:r>
      <w:r w:rsidRPr="00695CBD">
        <w:rPr>
          <w:color w:val="auto"/>
          <w:sz w:val="26"/>
          <w:szCs w:val="26"/>
          <w:lang w:val="en-US"/>
        </w:rPr>
        <w:t xml:space="preserve">IAS 19 </w:t>
      </w:r>
      <w:r w:rsidR="00CA1A4E" w:rsidRPr="00695CBD">
        <w:rPr>
          <w:color w:val="auto"/>
          <w:sz w:val="26"/>
          <w:szCs w:val="26"/>
          <w:lang w:val="en-US"/>
        </w:rPr>
        <w:t>is particularly valuable</w:t>
      </w:r>
      <w:r w:rsidRPr="00695CBD">
        <w:rPr>
          <w:color w:val="auto"/>
          <w:sz w:val="26"/>
          <w:szCs w:val="26"/>
          <w:lang w:val="en-US"/>
        </w:rPr>
        <w:t xml:space="preserve"> in the amount of the pension liabilities, disregarding if this balance is</w:t>
      </w:r>
      <w:r w:rsidR="008B168B" w:rsidRPr="00695CBD">
        <w:rPr>
          <w:color w:val="auto"/>
          <w:sz w:val="26"/>
          <w:szCs w:val="26"/>
          <w:lang w:val="en-US"/>
        </w:rPr>
        <w:t>, or is not,</w:t>
      </w:r>
      <w:r w:rsidRPr="00695CBD">
        <w:rPr>
          <w:color w:val="auto"/>
          <w:sz w:val="26"/>
          <w:szCs w:val="26"/>
          <w:lang w:val="en-US"/>
        </w:rPr>
        <w:t xml:space="preserve"> to be covered by assets. The conclusion is that the main source of volatility of net pension assets is the change in the</w:t>
      </w:r>
      <w:r w:rsidR="00004603" w:rsidRPr="00695CBD">
        <w:rPr>
          <w:color w:val="auto"/>
          <w:sz w:val="26"/>
          <w:szCs w:val="26"/>
          <w:lang w:val="en-US"/>
        </w:rPr>
        <w:t xml:space="preserve"> underlying</w:t>
      </w:r>
      <w:r w:rsidR="000D42B4" w:rsidRPr="00695CBD">
        <w:rPr>
          <w:color w:val="auto"/>
          <w:sz w:val="26"/>
          <w:szCs w:val="26"/>
          <w:lang w:val="en-US"/>
        </w:rPr>
        <w:t xml:space="preserve"> </w:t>
      </w:r>
      <w:r w:rsidRPr="00695CBD">
        <w:rPr>
          <w:color w:val="auto"/>
          <w:sz w:val="26"/>
          <w:szCs w:val="26"/>
          <w:lang w:val="en-US"/>
        </w:rPr>
        <w:t xml:space="preserve">provision, which in turn is due to </w:t>
      </w:r>
      <w:r w:rsidR="003D31F9" w:rsidRPr="00695CBD">
        <w:rPr>
          <w:color w:val="auto"/>
          <w:sz w:val="26"/>
          <w:szCs w:val="26"/>
          <w:lang w:val="en-US"/>
        </w:rPr>
        <w:t>changes in actuarial assumptions</w:t>
      </w:r>
      <w:r w:rsidRPr="00695CBD">
        <w:rPr>
          <w:color w:val="auto"/>
          <w:sz w:val="26"/>
          <w:szCs w:val="26"/>
          <w:lang w:val="en-US"/>
        </w:rPr>
        <w:t>.</w:t>
      </w:r>
      <w:r w:rsidR="000D42B4" w:rsidRPr="00695CBD">
        <w:rPr>
          <w:color w:val="auto"/>
          <w:sz w:val="26"/>
          <w:szCs w:val="26"/>
          <w:lang w:val="en-US"/>
        </w:rPr>
        <w:t xml:space="preserve">   </w:t>
      </w:r>
    </w:p>
    <w:p w:rsidR="005B5361" w:rsidRPr="00695CBD" w:rsidRDefault="005B5361" w:rsidP="00695CBD">
      <w:pPr>
        <w:pStyle w:val="Default"/>
        <w:spacing w:line="360" w:lineRule="atLeast"/>
        <w:ind w:left="426"/>
        <w:jc w:val="both"/>
        <w:rPr>
          <w:color w:val="auto"/>
          <w:sz w:val="26"/>
          <w:szCs w:val="26"/>
          <w:lang w:val="en-US"/>
        </w:rPr>
      </w:pPr>
    </w:p>
    <w:p w:rsidR="005B5361" w:rsidRPr="00695CBD" w:rsidRDefault="003D31F9" w:rsidP="00695CBD">
      <w:pPr>
        <w:pStyle w:val="Default"/>
        <w:spacing w:line="360" w:lineRule="atLeast"/>
        <w:ind w:left="426"/>
        <w:jc w:val="both"/>
        <w:rPr>
          <w:color w:val="auto"/>
          <w:sz w:val="26"/>
          <w:szCs w:val="26"/>
          <w:lang w:val="en-US"/>
        </w:rPr>
      </w:pPr>
      <w:r w:rsidRPr="00695CBD">
        <w:rPr>
          <w:color w:val="auto"/>
          <w:sz w:val="26"/>
          <w:szCs w:val="26"/>
          <w:lang w:val="en-US"/>
        </w:rPr>
        <w:t>On the other hand, this part recognise</w:t>
      </w:r>
      <w:r w:rsidR="00B72EAF" w:rsidRPr="00695CBD">
        <w:rPr>
          <w:color w:val="auto"/>
          <w:sz w:val="26"/>
          <w:szCs w:val="26"/>
          <w:lang w:val="en-US"/>
        </w:rPr>
        <w:t>s</w:t>
      </w:r>
      <w:r w:rsidRPr="00695CBD">
        <w:rPr>
          <w:color w:val="auto"/>
          <w:sz w:val="26"/>
          <w:szCs w:val="26"/>
          <w:lang w:val="en-US"/>
        </w:rPr>
        <w:t xml:space="preserve"> that there are</w:t>
      </w:r>
      <w:r w:rsidR="008B168B" w:rsidRPr="00695CBD">
        <w:rPr>
          <w:color w:val="auto"/>
          <w:sz w:val="26"/>
          <w:szCs w:val="26"/>
          <w:lang w:val="en-US"/>
        </w:rPr>
        <w:t xml:space="preserve"> both</w:t>
      </w:r>
      <w:r w:rsidRPr="00695CBD">
        <w:rPr>
          <w:color w:val="auto"/>
          <w:sz w:val="26"/>
          <w:szCs w:val="26"/>
          <w:lang w:val="en-US"/>
        </w:rPr>
        <w:t xml:space="preserve"> internal and external factors that could modify the liability and are not directly related </w:t>
      </w:r>
      <w:r w:rsidR="00B72EAF" w:rsidRPr="00695CBD">
        <w:rPr>
          <w:color w:val="auto"/>
          <w:sz w:val="26"/>
          <w:szCs w:val="26"/>
          <w:lang w:val="en-US"/>
        </w:rPr>
        <w:t>to</w:t>
      </w:r>
      <w:r w:rsidRPr="00695CBD">
        <w:rPr>
          <w:color w:val="auto"/>
          <w:sz w:val="26"/>
          <w:szCs w:val="26"/>
          <w:lang w:val="en-US"/>
        </w:rPr>
        <w:t xml:space="preserve"> the new prudential and accounting rules, and in this way the macroeconomic environment and other factors can lead to changes in actuarial assumptions that affect the liability for pensions.</w:t>
      </w:r>
    </w:p>
    <w:p w:rsidR="005B5361" w:rsidRPr="00695CBD" w:rsidRDefault="005B5361" w:rsidP="00695CBD">
      <w:pPr>
        <w:pStyle w:val="Default"/>
        <w:spacing w:line="360" w:lineRule="atLeast"/>
        <w:ind w:left="426"/>
        <w:jc w:val="both"/>
        <w:rPr>
          <w:color w:val="auto"/>
          <w:sz w:val="26"/>
          <w:szCs w:val="26"/>
          <w:lang w:val="en-US"/>
        </w:rPr>
      </w:pPr>
    </w:p>
    <w:p w:rsidR="005B5361" w:rsidRPr="00695CBD" w:rsidRDefault="003D31F9" w:rsidP="00695CBD">
      <w:pPr>
        <w:pStyle w:val="Default"/>
        <w:spacing w:line="360" w:lineRule="atLeast"/>
        <w:ind w:left="426"/>
        <w:jc w:val="both"/>
        <w:rPr>
          <w:color w:val="auto"/>
          <w:sz w:val="26"/>
          <w:szCs w:val="26"/>
          <w:lang w:val="en-US"/>
        </w:rPr>
      </w:pPr>
      <w:r w:rsidRPr="00695CBD">
        <w:rPr>
          <w:color w:val="auto"/>
          <w:sz w:val="26"/>
          <w:szCs w:val="26"/>
          <w:lang w:val="en-US"/>
        </w:rPr>
        <w:t xml:space="preserve">Regarding the discount rates we consider that the analysis is reasonable but the </w:t>
      </w:r>
      <w:r w:rsidR="00E66B23" w:rsidRPr="00695CBD">
        <w:rPr>
          <w:color w:val="auto"/>
          <w:sz w:val="26"/>
          <w:szCs w:val="26"/>
          <w:lang w:val="en-US"/>
        </w:rPr>
        <w:t>Discussion Paper</w:t>
      </w:r>
      <w:r w:rsidRPr="00695CBD">
        <w:rPr>
          <w:color w:val="auto"/>
          <w:sz w:val="26"/>
          <w:szCs w:val="26"/>
          <w:lang w:val="en-US"/>
        </w:rPr>
        <w:t xml:space="preserve"> needs to </w:t>
      </w:r>
      <w:r w:rsidR="00B72EAF" w:rsidRPr="00695CBD">
        <w:rPr>
          <w:color w:val="auto"/>
          <w:sz w:val="26"/>
          <w:szCs w:val="26"/>
          <w:lang w:val="en-US"/>
        </w:rPr>
        <w:t>take into consideration</w:t>
      </w:r>
      <w:r w:rsidRPr="00695CBD">
        <w:rPr>
          <w:color w:val="auto"/>
          <w:sz w:val="26"/>
          <w:szCs w:val="26"/>
          <w:lang w:val="en-US"/>
        </w:rPr>
        <w:t xml:space="preserve"> that the volatility in own funds is produced only</w:t>
      </w:r>
      <w:r w:rsidR="00B72EAF" w:rsidRPr="00695CBD">
        <w:rPr>
          <w:color w:val="auto"/>
          <w:sz w:val="26"/>
          <w:szCs w:val="26"/>
          <w:lang w:val="en-US"/>
        </w:rPr>
        <w:t xml:space="preserve"> by</w:t>
      </w:r>
      <w:r w:rsidRPr="00695CBD">
        <w:rPr>
          <w:color w:val="auto"/>
          <w:sz w:val="26"/>
          <w:szCs w:val="26"/>
          <w:lang w:val="en-US"/>
        </w:rPr>
        <w:t xml:space="preserve"> the application </w:t>
      </w:r>
      <w:r w:rsidR="00B72EAF" w:rsidRPr="00695CBD">
        <w:rPr>
          <w:color w:val="auto"/>
          <w:sz w:val="26"/>
          <w:szCs w:val="26"/>
          <w:lang w:val="en-US"/>
        </w:rPr>
        <w:t>of</w:t>
      </w:r>
      <w:r w:rsidRPr="00695CBD">
        <w:rPr>
          <w:color w:val="auto"/>
          <w:sz w:val="26"/>
          <w:szCs w:val="26"/>
          <w:lang w:val="en-US"/>
        </w:rPr>
        <w:t xml:space="preserve"> the discount rate to the net plan assets, and for thi</w:t>
      </w:r>
      <w:r w:rsidR="00E86C7D" w:rsidRPr="00695CBD">
        <w:rPr>
          <w:color w:val="auto"/>
          <w:sz w:val="26"/>
          <w:szCs w:val="26"/>
          <w:lang w:val="en-US"/>
        </w:rPr>
        <w:t xml:space="preserve">s </w:t>
      </w:r>
      <w:r w:rsidR="00B72EAF" w:rsidRPr="00695CBD">
        <w:rPr>
          <w:color w:val="auto"/>
          <w:sz w:val="26"/>
          <w:szCs w:val="26"/>
          <w:lang w:val="en-US"/>
        </w:rPr>
        <w:t>reason</w:t>
      </w:r>
      <w:r w:rsidR="00E86C7D" w:rsidRPr="00695CBD">
        <w:rPr>
          <w:color w:val="auto"/>
          <w:sz w:val="26"/>
          <w:szCs w:val="26"/>
          <w:lang w:val="en-US"/>
        </w:rPr>
        <w:t xml:space="preserve"> the </w:t>
      </w:r>
      <w:r w:rsidR="00B72EAF" w:rsidRPr="00695CBD">
        <w:rPr>
          <w:color w:val="auto"/>
          <w:sz w:val="26"/>
          <w:szCs w:val="26"/>
          <w:lang w:val="en-US"/>
        </w:rPr>
        <w:t>analysis</w:t>
      </w:r>
      <w:r w:rsidR="00E86C7D" w:rsidRPr="00695CBD">
        <w:rPr>
          <w:color w:val="auto"/>
          <w:sz w:val="26"/>
          <w:szCs w:val="26"/>
          <w:lang w:val="en-US"/>
        </w:rPr>
        <w:t xml:space="preserve"> should mix the effect of the changes in the return o</w:t>
      </w:r>
      <w:r w:rsidR="00B72EAF" w:rsidRPr="00695CBD">
        <w:rPr>
          <w:color w:val="auto"/>
          <w:sz w:val="26"/>
          <w:szCs w:val="26"/>
          <w:lang w:val="en-US"/>
        </w:rPr>
        <w:t>n</w:t>
      </w:r>
      <w:r w:rsidR="00E86C7D" w:rsidRPr="00695CBD">
        <w:rPr>
          <w:color w:val="auto"/>
          <w:sz w:val="26"/>
          <w:szCs w:val="26"/>
          <w:lang w:val="en-US"/>
        </w:rPr>
        <w:t xml:space="preserve"> assets with the modification of the discount rate used to evaluate the liability.</w:t>
      </w:r>
      <w:r w:rsidRPr="00695CBD">
        <w:rPr>
          <w:color w:val="auto"/>
          <w:sz w:val="26"/>
          <w:szCs w:val="26"/>
          <w:lang w:val="en-US"/>
        </w:rPr>
        <w:t xml:space="preserve"> </w:t>
      </w:r>
    </w:p>
    <w:p w:rsidR="00695CBD" w:rsidRDefault="00695CBD" w:rsidP="00695CBD">
      <w:pPr>
        <w:pStyle w:val="ListParagraph1"/>
        <w:spacing w:line="360" w:lineRule="atLeast"/>
        <w:ind w:left="0"/>
        <w:jc w:val="both"/>
        <w:rPr>
          <w:rFonts w:ascii="Calibri" w:hAnsi="Calibri"/>
          <w:sz w:val="26"/>
          <w:szCs w:val="26"/>
          <w:lang w:val="en-US"/>
        </w:rPr>
      </w:pPr>
    </w:p>
    <w:p w:rsidR="00695CBD" w:rsidRDefault="00695CBD" w:rsidP="00695CBD">
      <w:pPr>
        <w:pStyle w:val="ListParagraph1"/>
        <w:spacing w:line="360" w:lineRule="atLeast"/>
        <w:ind w:left="0"/>
        <w:jc w:val="both"/>
        <w:rPr>
          <w:rFonts w:ascii="Calibri" w:hAnsi="Calibri"/>
          <w:sz w:val="26"/>
          <w:szCs w:val="26"/>
          <w:lang w:val="en-US"/>
        </w:rPr>
      </w:pPr>
    </w:p>
    <w:p w:rsidR="00D73164" w:rsidRPr="00695CBD" w:rsidRDefault="00D73164" w:rsidP="00695CBD">
      <w:pPr>
        <w:pStyle w:val="ListParagraph1"/>
        <w:spacing w:line="360" w:lineRule="atLeast"/>
        <w:ind w:left="0"/>
        <w:jc w:val="both"/>
        <w:rPr>
          <w:rFonts w:ascii="Calibri" w:hAnsi="Calibri"/>
          <w:b/>
          <w:bCs/>
          <w:sz w:val="26"/>
          <w:szCs w:val="26"/>
          <w:lang w:val="en-US"/>
        </w:rPr>
      </w:pPr>
      <w:r w:rsidRPr="00695CBD">
        <w:rPr>
          <w:rFonts w:ascii="Calibri" w:hAnsi="Calibri"/>
          <w:b/>
          <w:bCs/>
          <w:sz w:val="26"/>
          <w:szCs w:val="26"/>
          <w:lang w:val="en-US"/>
        </w:rPr>
        <w:t>Submitted on behalf of the EBA Banking Stakeholder Group</w:t>
      </w:r>
    </w:p>
    <w:p w:rsidR="00D73164" w:rsidRPr="00695CBD" w:rsidRDefault="00D73164" w:rsidP="00695CBD">
      <w:pPr>
        <w:pStyle w:val="ListParagraph1"/>
        <w:spacing w:line="360" w:lineRule="atLeast"/>
        <w:ind w:left="0"/>
        <w:jc w:val="both"/>
        <w:rPr>
          <w:rFonts w:ascii="Calibri" w:hAnsi="Calibri"/>
          <w:b/>
          <w:bCs/>
          <w:sz w:val="26"/>
          <w:szCs w:val="26"/>
          <w:lang w:val="en-US"/>
        </w:rPr>
      </w:pPr>
      <w:r w:rsidRPr="00695CBD">
        <w:rPr>
          <w:rFonts w:ascii="Calibri" w:hAnsi="Calibri"/>
          <w:b/>
          <w:bCs/>
          <w:sz w:val="26"/>
          <w:szCs w:val="26"/>
          <w:lang w:val="en-US"/>
        </w:rPr>
        <w:t>David T Llewellyn,</w:t>
      </w:r>
    </w:p>
    <w:p w:rsidR="00D73164" w:rsidRPr="00695CBD" w:rsidRDefault="00D73164" w:rsidP="00695CBD">
      <w:pPr>
        <w:pStyle w:val="ListParagraph1"/>
        <w:spacing w:line="360" w:lineRule="atLeast"/>
        <w:ind w:left="0"/>
        <w:jc w:val="both"/>
        <w:rPr>
          <w:rFonts w:ascii="Calibri" w:hAnsi="Calibri"/>
          <w:b/>
          <w:bCs/>
          <w:sz w:val="26"/>
          <w:szCs w:val="26"/>
          <w:lang w:val="en-US"/>
        </w:rPr>
      </w:pPr>
      <w:r w:rsidRPr="00695CBD">
        <w:rPr>
          <w:rFonts w:ascii="Calibri" w:hAnsi="Calibri"/>
          <w:b/>
          <w:bCs/>
          <w:sz w:val="26"/>
          <w:szCs w:val="26"/>
          <w:lang w:val="en-US"/>
        </w:rPr>
        <w:t>Chair,</w:t>
      </w:r>
    </w:p>
    <w:p w:rsidR="005B5361" w:rsidRPr="00695CBD" w:rsidRDefault="00695CBD" w:rsidP="00695CBD">
      <w:pPr>
        <w:spacing w:line="360" w:lineRule="atLeast"/>
        <w:jc w:val="both"/>
        <w:rPr>
          <w:rFonts w:ascii="Calibri" w:hAnsi="Calibri"/>
          <w:b/>
          <w:bCs/>
          <w:sz w:val="26"/>
          <w:szCs w:val="26"/>
          <w:lang w:val="en-US"/>
        </w:rPr>
      </w:pPr>
      <w:r w:rsidRPr="00695CBD">
        <w:rPr>
          <w:rFonts w:ascii="Calibri" w:hAnsi="Calibri"/>
          <w:b/>
          <w:bCs/>
          <w:sz w:val="26"/>
          <w:szCs w:val="26"/>
          <w:lang w:val="en-US"/>
        </w:rPr>
        <w:t>10</w:t>
      </w:r>
      <w:r w:rsidR="008B168B" w:rsidRPr="00695CBD">
        <w:rPr>
          <w:rFonts w:ascii="Calibri" w:hAnsi="Calibri"/>
          <w:b/>
          <w:bCs/>
          <w:sz w:val="26"/>
          <w:szCs w:val="26"/>
          <w:lang w:val="en-US"/>
        </w:rPr>
        <w:t>th</w:t>
      </w:r>
      <w:r w:rsidR="00A364A4" w:rsidRPr="00695CBD">
        <w:rPr>
          <w:rFonts w:ascii="Calibri" w:hAnsi="Calibri"/>
          <w:b/>
          <w:bCs/>
          <w:sz w:val="26"/>
          <w:szCs w:val="26"/>
          <w:lang w:val="en-US"/>
        </w:rPr>
        <w:t xml:space="preserve"> April 2014</w:t>
      </w:r>
    </w:p>
    <w:sectPr w:rsidR="005B5361" w:rsidRPr="00695CBD" w:rsidSect="003E108E">
      <w:pgSz w:w="11906" w:h="16838"/>
      <w:pgMar w:top="1417" w:right="1417" w:bottom="1417" w:left="1417" w:header="708" w:footer="708" w:gutter="0"/>
      <w:cols w:space="708"/>
      <w:docGrid w:linePitch="36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2F62B10C" w15:done="0"/>
  <w15:commentEx w15:paraId="6506A399"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80BA4" w:rsidRDefault="00B80BA4" w:rsidP="00B667AC">
      <w:r>
        <w:separator/>
      </w:r>
    </w:p>
  </w:endnote>
  <w:endnote w:type="continuationSeparator" w:id="0">
    <w:p w:rsidR="00B80BA4" w:rsidRDefault="00B80BA4" w:rsidP="00B667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80BA4" w:rsidRDefault="00B80BA4" w:rsidP="00B667AC">
      <w:r>
        <w:separator/>
      </w:r>
    </w:p>
  </w:footnote>
  <w:footnote w:type="continuationSeparator" w:id="0">
    <w:p w:rsidR="00B80BA4" w:rsidRDefault="00B80BA4" w:rsidP="00B667A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A23D4E"/>
    <w:multiLevelType w:val="hybridMultilevel"/>
    <w:tmpl w:val="201E879A"/>
    <w:lvl w:ilvl="0" w:tplc="08090001">
      <w:start w:val="1"/>
      <w:numFmt w:val="bullet"/>
      <w:lvlText w:val=""/>
      <w:lvlJc w:val="left"/>
      <w:pPr>
        <w:ind w:left="1065" w:hanging="705"/>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1">
    <w:nsid w:val="1B9D1030"/>
    <w:multiLevelType w:val="hybridMultilevel"/>
    <w:tmpl w:val="5E8EF1C2"/>
    <w:lvl w:ilvl="0" w:tplc="04090001">
      <w:start w:val="1"/>
      <w:numFmt w:val="bullet"/>
      <w:lvlText w:val=""/>
      <w:lvlJc w:val="left"/>
      <w:pPr>
        <w:ind w:left="720" w:hanging="360"/>
      </w:pPr>
      <w:rPr>
        <w:rFonts w:ascii="Symbol" w:hAnsi="Symbol" w:hint="default"/>
      </w:rPr>
    </w:lvl>
    <w:lvl w:ilvl="1" w:tplc="08070019">
      <w:start w:val="1"/>
      <w:numFmt w:val="decimal"/>
      <w:lvlText w:val="%2."/>
      <w:lvlJc w:val="left"/>
      <w:pPr>
        <w:tabs>
          <w:tab w:val="num" w:pos="1440"/>
        </w:tabs>
        <w:ind w:left="1440" w:hanging="360"/>
      </w:pPr>
    </w:lvl>
    <w:lvl w:ilvl="2" w:tplc="0807001B">
      <w:start w:val="1"/>
      <w:numFmt w:val="decimal"/>
      <w:lvlText w:val="%3."/>
      <w:lvlJc w:val="left"/>
      <w:pPr>
        <w:tabs>
          <w:tab w:val="num" w:pos="2160"/>
        </w:tabs>
        <w:ind w:left="2160" w:hanging="360"/>
      </w:pPr>
    </w:lvl>
    <w:lvl w:ilvl="3" w:tplc="0807000F">
      <w:start w:val="1"/>
      <w:numFmt w:val="decimal"/>
      <w:lvlText w:val="%4."/>
      <w:lvlJc w:val="left"/>
      <w:pPr>
        <w:tabs>
          <w:tab w:val="num" w:pos="2880"/>
        </w:tabs>
        <w:ind w:left="2880" w:hanging="360"/>
      </w:pPr>
    </w:lvl>
    <w:lvl w:ilvl="4" w:tplc="08070019">
      <w:start w:val="1"/>
      <w:numFmt w:val="decimal"/>
      <w:lvlText w:val="%5."/>
      <w:lvlJc w:val="left"/>
      <w:pPr>
        <w:tabs>
          <w:tab w:val="num" w:pos="3600"/>
        </w:tabs>
        <w:ind w:left="3600" w:hanging="360"/>
      </w:pPr>
    </w:lvl>
    <w:lvl w:ilvl="5" w:tplc="0807001B">
      <w:start w:val="1"/>
      <w:numFmt w:val="decimal"/>
      <w:lvlText w:val="%6."/>
      <w:lvlJc w:val="left"/>
      <w:pPr>
        <w:tabs>
          <w:tab w:val="num" w:pos="4320"/>
        </w:tabs>
        <w:ind w:left="4320" w:hanging="360"/>
      </w:pPr>
    </w:lvl>
    <w:lvl w:ilvl="6" w:tplc="0807000F">
      <w:start w:val="1"/>
      <w:numFmt w:val="decimal"/>
      <w:lvlText w:val="%7."/>
      <w:lvlJc w:val="left"/>
      <w:pPr>
        <w:tabs>
          <w:tab w:val="num" w:pos="5040"/>
        </w:tabs>
        <w:ind w:left="5040" w:hanging="360"/>
      </w:pPr>
    </w:lvl>
    <w:lvl w:ilvl="7" w:tplc="08070019">
      <w:start w:val="1"/>
      <w:numFmt w:val="decimal"/>
      <w:lvlText w:val="%8."/>
      <w:lvlJc w:val="left"/>
      <w:pPr>
        <w:tabs>
          <w:tab w:val="num" w:pos="5760"/>
        </w:tabs>
        <w:ind w:left="5760" w:hanging="360"/>
      </w:pPr>
    </w:lvl>
    <w:lvl w:ilvl="8" w:tplc="0807001B">
      <w:start w:val="1"/>
      <w:numFmt w:val="decimal"/>
      <w:lvlText w:val="%9."/>
      <w:lvlJc w:val="left"/>
      <w:pPr>
        <w:tabs>
          <w:tab w:val="num" w:pos="6480"/>
        </w:tabs>
        <w:ind w:left="6480" w:hanging="360"/>
      </w:pPr>
    </w:lvl>
  </w:abstractNum>
  <w:abstractNum w:abstractNumId="2">
    <w:nsid w:val="28E2266A"/>
    <w:multiLevelType w:val="hybridMultilevel"/>
    <w:tmpl w:val="B8AC318A"/>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nsid w:val="45174B12"/>
    <w:multiLevelType w:val="hybridMultilevel"/>
    <w:tmpl w:val="887A25F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6C3E4A89"/>
    <w:multiLevelType w:val="hybridMultilevel"/>
    <w:tmpl w:val="3D9CFBC0"/>
    <w:lvl w:ilvl="0" w:tplc="04090011">
      <w:start w:val="1"/>
      <w:numFmt w:val="decimal"/>
      <w:lvlText w:val="%1)"/>
      <w:lvlJc w:val="left"/>
      <w:pPr>
        <w:ind w:left="720" w:hanging="360"/>
      </w:pPr>
      <w:rPr>
        <w:rFonts w:cs="Times New Roman"/>
      </w:rPr>
    </w:lvl>
    <w:lvl w:ilvl="1" w:tplc="08070019">
      <w:start w:val="1"/>
      <w:numFmt w:val="decimal"/>
      <w:lvlText w:val="%2."/>
      <w:lvlJc w:val="left"/>
      <w:pPr>
        <w:tabs>
          <w:tab w:val="num" w:pos="1440"/>
        </w:tabs>
        <w:ind w:left="1440" w:hanging="360"/>
      </w:pPr>
    </w:lvl>
    <w:lvl w:ilvl="2" w:tplc="0807001B">
      <w:start w:val="1"/>
      <w:numFmt w:val="decimal"/>
      <w:lvlText w:val="%3."/>
      <w:lvlJc w:val="left"/>
      <w:pPr>
        <w:tabs>
          <w:tab w:val="num" w:pos="2160"/>
        </w:tabs>
        <w:ind w:left="2160" w:hanging="360"/>
      </w:pPr>
    </w:lvl>
    <w:lvl w:ilvl="3" w:tplc="0807000F">
      <w:start w:val="1"/>
      <w:numFmt w:val="decimal"/>
      <w:lvlText w:val="%4."/>
      <w:lvlJc w:val="left"/>
      <w:pPr>
        <w:tabs>
          <w:tab w:val="num" w:pos="2880"/>
        </w:tabs>
        <w:ind w:left="2880" w:hanging="360"/>
      </w:pPr>
    </w:lvl>
    <w:lvl w:ilvl="4" w:tplc="08070019">
      <w:start w:val="1"/>
      <w:numFmt w:val="decimal"/>
      <w:lvlText w:val="%5."/>
      <w:lvlJc w:val="left"/>
      <w:pPr>
        <w:tabs>
          <w:tab w:val="num" w:pos="3600"/>
        </w:tabs>
        <w:ind w:left="3600" w:hanging="360"/>
      </w:pPr>
    </w:lvl>
    <w:lvl w:ilvl="5" w:tplc="0807001B">
      <w:start w:val="1"/>
      <w:numFmt w:val="decimal"/>
      <w:lvlText w:val="%6."/>
      <w:lvlJc w:val="left"/>
      <w:pPr>
        <w:tabs>
          <w:tab w:val="num" w:pos="4320"/>
        </w:tabs>
        <w:ind w:left="4320" w:hanging="360"/>
      </w:pPr>
    </w:lvl>
    <w:lvl w:ilvl="6" w:tplc="0807000F">
      <w:start w:val="1"/>
      <w:numFmt w:val="decimal"/>
      <w:lvlText w:val="%7."/>
      <w:lvlJc w:val="left"/>
      <w:pPr>
        <w:tabs>
          <w:tab w:val="num" w:pos="5040"/>
        </w:tabs>
        <w:ind w:left="5040" w:hanging="360"/>
      </w:pPr>
    </w:lvl>
    <w:lvl w:ilvl="7" w:tplc="08070019">
      <w:start w:val="1"/>
      <w:numFmt w:val="decimal"/>
      <w:lvlText w:val="%8."/>
      <w:lvlJc w:val="left"/>
      <w:pPr>
        <w:tabs>
          <w:tab w:val="num" w:pos="5760"/>
        </w:tabs>
        <w:ind w:left="5760" w:hanging="360"/>
      </w:pPr>
    </w:lvl>
    <w:lvl w:ilvl="8" w:tplc="0807001B">
      <w:start w:val="1"/>
      <w:numFmt w:val="decimal"/>
      <w:lvlText w:val="%9."/>
      <w:lvlJc w:val="left"/>
      <w:pPr>
        <w:tabs>
          <w:tab w:val="num" w:pos="6480"/>
        </w:tabs>
        <w:ind w:left="6480" w:hanging="360"/>
      </w:pPr>
    </w:lvl>
  </w:abstractNum>
  <w:abstractNum w:abstractNumId="5">
    <w:nsid w:val="7D02091A"/>
    <w:multiLevelType w:val="hybridMultilevel"/>
    <w:tmpl w:val="973A28AC"/>
    <w:lvl w:ilvl="0" w:tplc="04090001">
      <w:start w:val="1"/>
      <w:numFmt w:val="bullet"/>
      <w:lvlText w:val=""/>
      <w:lvlJc w:val="left"/>
      <w:pPr>
        <w:ind w:left="720" w:hanging="360"/>
      </w:pPr>
      <w:rPr>
        <w:rFonts w:ascii="Symbol" w:hAnsi="Symbol" w:hint="default"/>
      </w:rPr>
    </w:lvl>
    <w:lvl w:ilvl="1" w:tplc="08070019">
      <w:start w:val="1"/>
      <w:numFmt w:val="decimal"/>
      <w:lvlText w:val="%2."/>
      <w:lvlJc w:val="left"/>
      <w:pPr>
        <w:tabs>
          <w:tab w:val="num" w:pos="1440"/>
        </w:tabs>
        <w:ind w:left="1440" w:hanging="360"/>
      </w:pPr>
    </w:lvl>
    <w:lvl w:ilvl="2" w:tplc="0807001B">
      <w:start w:val="1"/>
      <w:numFmt w:val="decimal"/>
      <w:lvlText w:val="%3."/>
      <w:lvlJc w:val="left"/>
      <w:pPr>
        <w:tabs>
          <w:tab w:val="num" w:pos="2160"/>
        </w:tabs>
        <w:ind w:left="2160" w:hanging="360"/>
      </w:pPr>
    </w:lvl>
    <w:lvl w:ilvl="3" w:tplc="0807000F">
      <w:start w:val="1"/>
      <w:numFmt w:val="decimal"/>
      <w:lvlText w:val="%4."/>
      <w:lvlJc w:val="left"/>
      <w:pPr>
        <w:tabs>
          <w:tab w:val="num" w:pos="2880"/>
        </w:tabs>
        <w:ind w:left="2880" w:hanging="360"/>
      </w:pPr>
    </w:lvl>
    <w:lvl w:ilvl="4" w:tplc="08070019">
      <w:start w:val="1"/>
      <w:numFmt w:val="decimal"/>
      <w:lvlText w:val="%5."/>
      <w:lvlJc w:val="left"/>
      <w:pPr>
        <w:tabs>
          <w:tab w:val="num" w:pos="3600"/>
        </w:tabs>
        <w:ind w:left="3600" w:hanging="360"/>
      </w:pPr>
    </w:lvl>
    <w:lvl w:ilvl="5" w:tplc="0807001B">
      <w:start w:val="1"/>
      <w:numFmt w:val="decimal"/>
      <w:lvlText w:val="%6."/>
      <w:lvlJc w:val="left"/>
      <w:pPr>
        <w:tabs>
          <w:tab w:val="num" w:pos="4320"/>
        </w:tabs>
        <w:ind w:left="4320" w:hanging="360"/>
      </w:pPr>
    </w:lvl>
    <w:lvl w:ilvl="6" w:tplc="0807000F">
      <w:start w:val="1"/>
      <w:numFmt w:val="decimal"/>
      <w:lvlText w:val="%7."/>
      <w:lvlJc w:val="left"/>
      <w:pPr>
        <w:tabs>
          <w:tab w:val="num" w:pos="5040"/>
        </w:tabs>
        <w:ind w:left="5040" w:hanging="360"/>
      </w:pPr>
    </w:lvl>
    <w:lvl w:ilvl="7" w:tplc="08070019">
      <w:start w:val="1"/>
      <w:numFmt w:val="decimal"/>
      <w:lvlText w:val="%8."/>
      <w:lvlJc w:val="left"/>
      <w:pPr>
        <w:tabs>
          <w:tab w:val="num" w:pos="5760"/>
        </w:tabs>
        <w:ind w:left="5760" w:hanging="360"/>
      </w:pPr>
    </w:lvl>
    <w:lvl w:ilvl="8" w:tplc="0807001B">
      <w:start w:val="1"/>
      <w:numFmt w:val="decimal"/>
      <w:lvlText w:val="%9."/>
      <w:lvlJc w:val="left"/>
      <w:pPr>
        <w:tabs>
          <w:tab w:val="num" w:pos="6480"/>
        </w:tabs>
        <w:ind w:left="6480" w:hanging="360"/>
      </w:pPr>
    </w:lvl>
  </w:abstractNum>
  <w:num w:numId="1">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num>
  <w:num w:numId="6">
    <w:abstractNumId w:val="2"/>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HP">
    <w15:presenceInfo w15:providerId="None" w15:userId="HP"/>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08"/>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C6944"/>
    <w:rsid w:val="00004603"/>
    <w:rsid w:val="00053063"/>
    <w:rsid w:val="000750FE"/>
    <w:rsid w:val="000A1773"/>
    <w:rsid w:val="000D42B4"/>
    <w:rsid w:val="000E57EF"/>
    <w:rsid w:val="001116EF"/>
    <w:rsid w:val="00131CBD"/>
    <w:rsid w:val="00164EB2"/>
    <w:rsid w:val="001A22D0"/>
    <w:rsid w:val="001A7C19"/>
    <w:rsid w:val="001C690E"/>
    <w:rsid w:val="001E53FA"/>
    <w:rsid w:val="00222264"/>
    <w:rsid w:val="00226167"/>
    <w:rsid w:val="00236C71"/>
    <w:rsid w:val="00236E46"/>
    <w:rsid w:val="00247264"/>
    <w:rsid w:val="00250D85"/>
    <w:rsid w:val="00300FD9"/>
    <w:rsid w:val="003042EB"/>
    <w:rsid w:val="00313BE1"/>
    <w:rsid w:val="00386BC1"/>
    <w:rsid w:val="00390A7E"/>
    <w:rsid w:val="003D31F9"/>
    <w:rsid w:val="003E108E"/>
    <w:rsid w:val="004079BA"/>
    <w:rsid w:val="004165C8"/>
    <w:rsid w:val="00420F8C"/>
    <w:rsid w:val="00451BFE"/>
    <w:rsid w:val="004C38CE"/>
    <w:rsid w:val="004C60BF"/>
    <w:rsid w:val="004E1DD6"/>
    <w:rsid w:val="004F23CA"/>
    <w:rsid w:val="0054578A"/>
    <w:rsid w:val="0055021D"/>
    <w:rsid w:val="00560688"/>
    <w:rsid w:val="00571CA8"/>
    <w:rsid w:val="0058303C"/>
    <w:rsid w:val="005A6778"/>
    <w:rsid w:val="005B5361"/>
    <w:rsid w:val="005C4F12"/>
    <w:rsid w:val="005C5144"/>
    <w:rsid w:val="00656DCE"/>
    <w:rsid w:val="00663BD9"/>
    <w:rsid w:val="00677A59"/>
    <w:rsid w:val="00683C66"/>
    <w:rsid w:val="00693454"/>
    <w:rsid w:val="00695CBD"/>
    <w:rsid w:val="006B550E"/>
    <w:rsid w:val="007107E6"/>
    <w:rsid w:val="00710F30"/>
    <w:rsid w:val="00734CDB"/>
    <w:rsid w:val="00756028"/>
    <w:rsid w:val="007A3909"/>
    <w:rsid w:val="007C6B6C"/>
    <w:rsid w:val="007F479F"/>
    <w:rsid w:val="007F535E"/>
    <w:rsid w:val="00816AC8"/>
    <w:rsid w:val="00822F84"/>
    <w:rsid w:val="0083591D"/>
    <w:rsid w:val="00841B7F"/>
    <w:rsid w:val="00842A57"/>
    <w:rsid w:val="008451C9"/>
    <w:rsid w:val="0087089B"/>
    <w:rsid w:val="008745AF"/>
    <w:rsid w:val="0087663D"/>
    <w:rsid w:val="008B168B"/>
    <w:rsid w:val="008C169E"/>
    <w:rsid w:val="0091743A"/>
    <w:rsid w:val="0096552F"/>
    <w:rsid w:val="009A05D8"/>
    <w:rsid w:val="009D61F6"/>
    <w:rsid w:val="009F50B9"/>
    <w:rsid w:val="00A364A4"/>
    <w:rsid w:val="00A50645"/>
    <w:rsid w:val="00A63430"/>
    <w:rsid w:val="00A80DC9"/>
    <w:rsid w:val="00A87C99"/>
    <w:rsid w:val="00A92D83"/>
    <w:rsid w:val="00AA1ACA"/>
    <w:rsid w:val="00AD6BC6"/>
    <w:rsid w:val="00AE7678"/>
    <w:rsid w:val="00B24550"/>
    <w:rsid w:val="00B667AC"/>
    <w:rsid w:val="00B72EAF"/>
    <w:rsid w:val="00B80BA4"/>
    <w:rsid w:val="00B907E8"/>
    <w:rsid w:val="00BB0ECE"/>
    <w:rsid w:val="00BC6944"/>
    <w:rsid w:val="00C03D55"/>
    <w:rsid w:val="00C1155A"/>
    <w:rsid w:val="00C149D5"/>
    <w:rsid w:val="00C1592A"/>
    <w:rsid w:val="00C323BE"/>
    <w:rsid w:val="00C5098E"/>
    <w:rsid w:val="00C63A3D"/>
    <w:rsid w:val="00C64086"/>
    <w:rsid w:val="00C7444D"/>
    <w:rsid w:val="00CA1A4E"/>
    <w:rsid w:val="00CB0859"/>
    <w:rsid w:val="00CB1F7A"/>
    <w:rsid w:val="00CE4423"/>
    <w:rsid w:val="00D03050"/>
    <w:rsid w:val="00D63621"/>
    <w:rsid w:val="00D73164"/>
    <w:rsid w:val="00D91CC0"/>
    <w:rsid w:val="00DB3502"/>
    <w:rsid w:val="00DB5A87"/>
    <w:rsid w:val="00DC03C5"/>
    <w:rsid w:val="00DC07FF"/>
    <w:rsid w:val="00E26AB4"/>
    <w:rsid w:val="00E5600A"/>
    <w:rsid w:val="00E572AB"/>
    <w:rsid w:val="00E66B23"/>
    <w:rsid w:val="00E76346"/>
    <w:rsid w:val="00E80CF1"/>
    <w:rsid w:val="00E86C7D"/>
    <w:rsid w:val="00EC672F"/>
    <w:rsid w:val="00ED592E"/>
    <w:rsid w:val="00EF387E"/>
    <w:rsid w:val="00F17E92"/>
    <w:rsid w:val="00F24F3A"/>
    <w:rsid w:val="00F26882"/>
    <w:rsid w:val="00FA3574"/>
    <w:rsid w:val="00FD4D0A"/>
    <w:rsid w:val="00FD4F07"/>
    <w:rsid w:val="00FE409A"/>
  </w:rsids>
  <m:mathPr>
    <m:mathFont m:val="Cambria Math"/>
    <m:brkBin m:val="before"/>
    <m:brkBinSub m:val="--"/>
    <m:smallFrac m:val="0"/>
    <m:dispDef/>
    <m:lMargin m:val="0"/>
    <m:rMargin m:val="0"/>
    <m:defJc m:val="centerGroup"/>
    <m:wrapIndent m:val="1440"/>
    <m:intLim m:val="subSup"/>
    <m:naryLim m:val="undOvr"/>
  </m:mathPr>
  <w:themeFontLang w:val="es-E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Arial"/>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C6944"/>
    <w:rPr>
      <w:rFonts w:ascii="Arial" w:eastAsia="Times New Roman" w:hAnsi="Arial" w:cs="Times New Roman"/>
      <w:sz w:val="22"/>
      <w:szCs w:val="24"/>
      <w:lang w:val="de-CH"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istParagraph1">
    <w:name w:val="List Paragraph1"/>
    <w:basedOn w:val="Normal"/>
    <w:rsid w:val="00BC6944"/>
    <w:pPr>
      <w:ind w:left="720"/>
      <w:contextualSpacing/>
    </w:pPr>
  </w:style>
  <w:style w:type="paragraph" w:styleId="ListParagraph">
    <w:name w:val="List Paragraph"/>
    <w:basedOn w:val="Normal"/>
    <w:uiPriority w:val="34"/>
    <w:qFormat/>
    <w:rsid w:val="009A05D8"/>
    <w:pPr>
      <w:ind w:left="720"/>
      <w:contextualSpacing/>
    </w:pPr>
  </w:style>
  <w:style w:type="paragraph" w:styleId="BalloonText">
    <w:name w:val="Balloon Text"/>
    <w:basedOn w:val="Normal"/>
    <w:link w:val="BalloonTextChar"/>
    <w:uiPriority w:val="99"/>
    <w:semiHidden/>
    <w:unhideWhenUsed/>
    <w:rsid w:val="009A05D8"/>
    <w:rPr>
      <w:rFonts w:ascii="Tahoma" w:hAnsi="Tahoma" w:cs="Tahoma"/>
      <w:sz w:val="16"/>
      <w:szCs w:val="16"/>
    </w:rPr>
  </w:style>
  <w:style w:type="character" w:customStyle="1" w:styleId="BalloonTextChar">
    <w:name w:val="Balloon Text Char"/>
    <w:link w:val="BalloonText"/>
    <w:uiPriority w:val="99"/>
    <w:semiHidden/>
    <w:rsid w:val="009A05D8"/>
    <w:rPr>
      <w:rFonts w:ascii="Tahoma" w:eastAsia="Times New Roman" w:hAnsi="Tahoma" w:cs="Tahoma"/>
      <w:sz w:val="16"/>
      <w:szCs w:val="16"/>
      <w:lang w:val="de-CH"/>
    </w:rPr>
  </w:style>
  <w:style w:type="paragraph" w:styleId="Header">
    <w:name w:val="header"/>
    <w:basedOn w:val="Normal"/>
    <w:link w:val="HeaderChar"/>
    <w:uiPriority w:val="99"/>
    <w:unhideWhenUsed/>
    <w:rsid w:val="00B667AC"/>
    <w:pPr>
      <w:tabs>
        <w:tab w:val="center" w:pos="4513"/>
        <w:tab w:val="right" w:pos="9026"/>
      </w:tabs>
    </w:pPr>
  </w:style>
  <w:style w:type="character" w:customStyle="1" w:styleId="HeaderChar">
    <w:name w:val="Header Char"/>
    <w:link w:val="Header"/>
    <w:uiPriority w:val="99"/>
    <w:rsid w:val="00B667AC"/>
    <w:rPr>
      <w:rFonts w:ascii="Arial" w:eastAsia="Times New Roman" w:hAnsi="Arial" w:cs="Times New Roman"/>
      <w:sz w:val="22"/>
      <w:szCs w:val="24"/>
      <w:lang w:val="de-CH" w:eastAsia="en-US"/>
    </w:rPr>
  </w:style>
  <w:style w:type="paragraph" w:styleId="Footer">
    <w:name w:val="footer"/>
    <w:basedOn w:val="Normal"/>
    <w:link w:val="FooterChar"/>
    <w:uiPriority w:val="99"/>
    <w:unhideWhenUsed/>
    <w:rsid w:val="00B667AC"/>
    <w:pPr>
      <w:tabs>
        <w:tab w:val="center" w:pos="4513"/>
        <w:tab w:val="right" w:pos="9026"/>
      </w:tabs>
    </w:pPr>
  </w:style>
  <w:style w:type="character" w:customStyle="1" w:styleId="FooterChar">
    <w:name w:val="Footer Char"/>
    <w:link w:val="Footer"/>
    <w:uiPriority w:val="99"/>
    <w:rsid w:val="00B667AC"/>
    <w:rPr>
      <w:rFonts w:ascii="Arial" w:eastAsia="Times New Roman" w:hAnsi="Arial" w:cs="Times New Roman"/>
      <w:sz w:val="22"/>
      <w:szCs w:val="24"/>
      <w:lang w:val="de-CH" w:eastAsia="en-US"/>
    </w:rPr>
  </w:style>
  <w:style w:type="paragraph" w:customStyle="1" w:styleId="Default">
    <w:name w:val="Default"/>
    <w:rsid w:val="004C60BF"/>
    <w:pPr>
      <w:autoSpaceDE w:val="0"/>
      <w:autoSpaceDN w:val="0"/>
      <w:adjustRightInd w:val="0"/>
    </w:pPr>
    <w:rPr>
      <w:rFonts w:cs="Calibri"/>
      <w:color w:val="000000"/>
      <w:sz w:val="24"/>
      <w:szCs w:val="24"/>
    </w:rPr>
  </w:style>
  <w:style w:type="character" w:styleId="CommentReference">
    <w:name w:val="annotation reference"/>
    <w:uiPriority w:val="99"/>
    <w:semiHidden/>
    <w:unhideWhenUsed/>
    <w:rsid w:val="004079BA"/>
    <w:rPr>
      <w:sz w:val="16"/>
      <w:szCs w:val="16"/>
    </w:rPr>
  </w:style>
  <w:style w:type="paragraph" w:styleId="CommentText">
    <w:name w:val="annotation text"/>
    <w:basedOn w:val="Normal"/>
    <w:link w:val="CommentTextChar"/>
    <w:uiPriority w:val="99"/>
    <w:semiHidden/>
    <w:unhideWhenUsed/>
    <w:rsid w:val="004079BA"/>
    <w:rPr>
      <w:sz w:val="20"/>
      <w:szCs w:val="20"/>
    </w:rPr>
  </w:style>
  <w:style w:type="character" w:customStyle="1" w:styleId="CommentTextChar">
    <w:name w:val="Comment Text Char"/>
    <w:link w:val="CommentText"/>
    <w:uiPriority w:val="99"/>
    <w:semiHidden/>
    <w:rsid w:val="004079BA"/>
    <w:rPr>
      <w:rFonts w:ascii="Arial" w:eastAsia="Times New Roman" w:hAnsi="Arial" w:cs="Times New Roman"/>
      <w:lang w:val="de-CH" w:eastAsia="en-US"/>
    </w:rPr>
  </w:style>
  <w:style w:type="paragraph" w:styleId="CommentSubject">
    <w:name w:val="annotation subject"/>
    <w:basedOn w:val="CommentText"/>
    <w:next w:val="CommentText"/>
    <w:link w:val="CommentSubjectChar"/>
    <w:uiPriority w:val="99"/>
    <w:semiHidden/>
    <w:unhideWhenUsed/>
    <w:rsid w:val="004079BA"/>
    <w:rPr>
      <w:b/>
      <w:bCs/>
    </w:rPr>
  </w:style>
  <w:style w:type="character" w:customStyle="1" w:styleId="CommentSubjectChar">
    <w:name w:val="Comment Subject Char"/>
    <w:link w:val="CommentSubject"/>
    <w:uiPriority w:val="99"/>
    <w:semiHidden/>
    <w:rsid w:val="004079BA"/>
    <w:rPr>
      <w:rFonts w:ascii="Arial" w:eastAsia="Times New Roman" w:hAnsi="Arial" w:cs="Times New Roman"/>
      <w:b/>
      <w:bCs/>
      <w:lang w:val="de-CH"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Arial"/>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C6944"/>
    <w:rPr>
      <w:rFonts w:ascii="Arial" w:eastAsia="Times New Roman" w:hAnsi="Arial" w:cs="Times New Roman"/>
      <w:sz w:val="22"/>
      <w:szCs w:val="24"/>
      <w:lang w:val="de-CH"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istParagraph1">
    <w:name w:val="List Paragraph1"/>
    <w:basedOn w:val="Normal"/>
    <w:rsid w:val="00BC6944"/>
    <w:pPr>
      <w:ind w:left="720"/>
      <w:contextualSpacing/>
    </w:pPr>
  </w:style>
  <w:style w:type="paragraph" w:styleId="ListParagraph">
    <w:name w:val="List Paragraph"/>
    <w:basedOn w:val="Normal"/>
    <w:uiPriority w:val="34"/>
    <w:qFormat/>
    <w:rsid w:val="009A05D8"/>
    <w:pPr>
      <w:ind w:left="720"/>
      <w:contextualSpacing/>
    </w:pPr>
  </w:style>
  <w:style w:type="paragraph" w:styleId="BalloonText">
    <w:name w:val="Balloon Text"/>
    <w:basedOn w:val="Normal"/>
    <w:link w:val="BalloonTextChar"/>
    <w:uiPriority w:val="99"/>
    <w:semiHidden/>
    <w:unhideWhenUsed/>
    <w:rsid w:val="009A05D8"/>
    <w:rPr>
      <w:rFonts w:ascii="Tahoma" w:hAnsi="Tahoma" w:cs="Tahoma"/>
      <w:sz w:val="16"/>
      <w:szCs w:val="16"/>
    </w:rPr>
  </w:style>
  <w:style w:type="character" w:customStyle="1" w:styleId="BalloonTextChar">
    <w:name w:val="Balloon Text Char"/>
    <w:link w:val="BalloonText"/>
    <w:uiPriority w:val="99"/>
    <w:semiHidden/>
    <w:rsid w:val="009A05D8"/>
    <w:rPr>
      <w:rFonts w:ascii="Tahoma" w:eastAsia="Times New Roman" w:hAnsi="Tahoma" w:cs="Tahoma"/>
      <w:sz w:val="16"/>
      <w:szCs w:val="16"/>
      <w:lang w:val="de-CH"/>
    </w:rPr>
  </w:style>
  <w:style w:type="paragraph" w:styleId="Header">
    <w:name w:val="header"/>
    <w:basedOn w:val="Normal"/>
    <w:link w:val="HeaderChar"/>
    <w:uiPriority w:val="99"/>
    <w:unhideWhenUsed/>
    <w:rsid w:val="00B667AC"/>
    <w:pPr>
      <w:tabs>
        <w:tab w:val="center" w:pos="4513"/>
        <w:tab w:val="right" w:pos="9026"/>
      </w:tabs>
    </w:pPr>
  </w:style>
  <w:style w:type="character" w:customStyle="1" w:styleId="HeaderChar">
    <w:name w:val="Header Char"/>
    <w:link w:val="Header"/>
    <w:uiPriority w:val="99"/>
    <w:rsid w:val="00B667AC"/>
    <w:rPr>
      <w:rFonts w:ascii="Arial" w:eastAsia="Times New Roman" w:hAnsi="Arial" w:cs="Times New Roman"/>
      <w:sz w:val="22"/>
      <w:szCs w:val="24"/>
      <w:lang w:val="de-CH" w:eastAsia="en-US"/>
    </w:rPr>
  </w:style>
  <w:style w:type="paragraph" w:styleId="Footer">
    <w:name w:val="footer"/>
    <w:basedOn w:val="Normal"/>
    <w:link w:val="FooterChar"/>
    <w:uiPriority w:val="99"/>
    <w:unhideWhenUsed/>
    <w:rsid w:val="00B667AC"/>
    <w:pPr>
      <w:tabs>
        <w:tab w:val="center" w:pos="4513"/>
        <w:tab w:val="right" w:pos="9026"/>
      </w:tabs>
    </w:pPr>
  </w:style>
  <w:style w:type="character" w:customStyle="1" w:styleId="FooterChar">
    <w:name w:val="Footer Char"/>
    <w:link w:val="Footer"/>
    <w:uiPriority w:val="99"/>
    <w:rsid w:val="00B667AC"/>
    <w:rPr>
      <w:rFonts w:ascii="Arial" w:eastAsia="Times New Roman" w:hAnsi="Arial" w:cs="Times New Roman"/>
      <w:sz w:val="22"/>
      <w:szCs w:val="24"/>
      <w:lang w:val="de-CH" w:eastAsia="en-US"/>
    </w:rPr>
  </w:style>
  <w:style w:type="paragraph" w:customStyle="1" w:styleId="Default">
    <w:name w:val="Default"/>
    <w:rsid w:val="004C60BF"/>
    <w:pPr>
      <w:autoSpaceDE w:val="0"/>
      <w:autoSpaceDN w:val="0"/>
      <w:adjustRightInd w:val="0"/>
    </w:pPr>
    <w:rPr>
      <w:rFonts w:cs="Calibri"/>
      <w:color w:val="000000"/>
      <w:sz w:val="24"/>
      <w:szCs w:val="24"/>
    </w:rPr>
  </w:style>
  <w:style w:type="character" w:styleId="CommentReference">
    <w:name w:val="annotation reference"/>
    <w:uiPriority w:val="99"/>
    <w:semiHidden/>
    <w:unhideWhenUsed/>
    <w:rsid w:val="004079BA"/>
    <w:rPr>
      <w:sz w:val="16"/>
      <w:szCs w:val="16"/>
    </w:rPr>
  </w:style>
  <w:style w:type="paragraph" w:styleId="CommentText">
    <w:name w:val="annotation text"/>
    <w:basedOn w:val="Normal"/>
    <w:link w:val="CommentTextChar"/>
    <w:uiPriority w:val="99"/>
    <w:semiHidden/>
    <w:unhideWhenUsed/>
    <w:rsid w:val="004079BA"/>
    <w:rPr>
      <w:sz w:val="20"/>
      <w:szCs w:val="20"/>
    </w:rPr>
  </w:style>
  <w:style w:type="character" w:customStyle="1" w:styleId="CommentTextChar">
    <w:name w:val="Comment Text Char"/>
    <w:link w:val="CommentText"/>
    <w:uiPriority w:val="99"/>
    <w:semiHidden/>
    <w:rsid w:val="004079BA"/>
    <w:rPr>
      <w:rFonts w:ascii="Arial" w:eastAsia="Times New Roman" w:hAnsi="Arial" w:cs="Times New Roman"/>
      <w:lang w:val="de-CH" w:eastAsia="en-US"/>
    </w:rPr>
  </w:style>
  <w:style w:type="paragraph" w:styleId="CommentSubject">
    <w:name w:val="annotation subject"/>
    <w:basedOn w:val="CommentText"/>
    <w:next w:val="CommentText"/>
    <w:link w:val="CommentSubjectChar"/>
    <w:uiPriority w:val="99"/>
    <w:semiHidden/>
    <w:unhideWhenUsed/>
    <w:rsid w:val="004079BA"/>
    <w:rPr>
      <w:b/>
      <w:bCs/>
    </w:rPr>
  </w:style>
  <w:style w:type="character" w:customStyle="1" w:styleId="CommentSubjectChar">
    <w:name w:val="Comment Subject Char"/>
    <w:link w:val="CommentSubject"/>
    <w:uiPriority w:val="99"/>
    <w:semiHidden/>
    <w:rsid w:val="004079BA"/>
    <w:rPr>
      <w:rFonts w:ascii="Arial" w:eastAsia="Times New Roman" w:hAnsi="Arial" w:cs="Times New Roman"/>
      <w:b/>
      <w:bCs/>
      <w:lang w:val="de-CH"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67335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microsoft.com/office/2011/relationships/people" Target="peop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microsoft.com/office/2011/relationships/commentsExtended" Target="commentsExtended.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2182</Words>
  <Characters>12444</Characters>
  <Application>Microsoft Office Word</Application>
  <DocSecurity>4</DocSecurity>
  <Lines>103</Lines>
  <Paragraphs>29</Paragraphs>
  <ScaleCrop>false</ScaleCrop>
  <HeadingPairs>
    <vt:vector size="6" baseType="variant">
      <vt:variant>
        <vt:lpstr>Title</vt:lpstr>
      </vt:variant>
      <vt:variant>
        <vt:i4>1</vt:i4>
      </vt:variant>
      <vt:variant>
        <vt:lpstr>Título</vt:lpstr>
      </vt:variant>
      <vt:variant>
        <vt:i4>1</vt:i4>
      </vt:variant>
      <vt:variant>
        <vt:lpstr>Cím</vt:lpstr>
      </vt:variant>
      <vt:variant>
        <vt:i4>1</vt:i4>
      </vt:variant>
    </vt:vector>
  </HeadingPairs>
  <TitlesOfParts>
    <vt:vector size="3" baseType="lpstr">
      <vt:lpstr/>
      <vt:lpstr/>
      <vt:lpstr/>
    </vt:vector>
  </TitlesOfParts>
  <Company>Magyar Takarékszövetkezeti Bank Zrt</Company>
  <LinksUpToDate>false</LinksUpToDate>
  <CharactersWithSpaces>14597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Szőke Magdolna</dc:creator>
  <cp:lastModifiedBy>Staff/Research Student</cp:lastModifiedBy>
  <cp:revision>2</cp:revision>
  <cp:lastPrinted>2014-04-10T09:01:00Z</cp:lastPrinted>
  <dcterms:created xsi:type="dcterms:W3CDTF">2014-04-10T13:41:00Z</dcterms:created>
  <dcterms:modified xsi:type="dcterms:W3CDTF">2014-04-10T13:41:00Z</dcterms:modified>
</cp:coreProperties>
</file>