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655" w:rsidRPr="00B6584F" w:rsidRDefault="00B6584F" w:rsidP="007C2655">
      <w:pPr>
        <w:spacing w:after="0" w:line="240" w:lineRule="auto"/>
        <w:rPr>
          <w:rFonts w:ascii="Segoe UI Light" w:eastAsia="Times New Roman" w:hAnsi="Segoe UI Light"/>
        </w:rPr>
      </w:pPr>
      <w:r w:rsidRPr="00B6584F">
        <w:rPr>
          <w:rFonts w:ascii="Segoe UI Light" w:eastAsia="Times New Roman" w:hAnsi="Segoe UI Light"/>
        </w:rPr>
        <w:t>Allianz Global Investors</w:t>
      </w:r>
    </w:p>
    <w:p w:rsidR="007C2655" w:rsidRPr="00B6584F" w:rsidRDefault="00B6584F" w:rsidP="007C2655">
      <w:pPr>
        <w:spacing w:after="0" w:line="240" w:lineRule="auto"/>
        <w:rPr>
          <w:rFonts w:ascii="Segoe UI Light" w:eastAsia="Times New Roman" w:hAnsi="Segoe UI Light"/>
        </w:rPr>
      </w:pPr>
      <w:proofErr w:type="spellStart"/>
      <w:r w:rsidRPr="00B6584F">
        <w:rPr>
          <w:rFonts w:ascii="Segoe UI Light" w:eastAsia="Times New Roman" w:hAnsi="Segoe UI Light"/>
        </w:rPr>
        <w:t>Seidlstrasse</w:t>
      </w:r>
      <w:proofErr w:type="spellEnd"/>
      <w:r w:rsidRPr="00B6584F">
        <w:rPr>
          <w:rFonts w:ascii="Segoe UI Light" w:eastAsia="Times New Roman" w:hAnsi="Segoe UI Light"/>
        </w:rPr>
        <w:t xml:space="preserve"> 24 -24a</w:t>
      </w:r>
    </w:p>
    <w:p w:rsidR="00B6584F" w:rsidRPr="00B6584F" w:rsidRDefault="00B6584F" w:rsidP="007C2655">
      <w:pPr>
        <w:spacing w:after="0" w:line="240" w:lineRule="auto"/>
        <w:rPr>
          <w:rFonts w:ascii="Segoe UI Light" w:eastAsia="Times New Roman" w:hAnsi="Segoe UI Light"/>
        </w:rPr>
      </w:pPr>
      <w:r w:rsidRPr="00B6584F">
        <w:rPr>
          <w:rFonts w:ascii="Segoe UI Light" w:eastAsia="Times New Roman" w:hAnsi="Segoe UI Light"/>
        </w:rPr>
        <w:t>80335 Munich</w:t>
      </w:r>
    </w:p>
    <w:p w:rsidR="002922B6" w:rsidRPr="00B6584F" w:rsidRDefault="00B6584F" w:rsidP="00880A45">
      <w:pPr>
        <w:spacing w:after="0" w:line="240" w:lineRule="auto"/>
        <w:rPr>
          <w:rFonts w:ascii="Segoe UI Light" w:eastAsia="Times New Roman" w:hAnsi="Segoe UI Light"/>
        </w:rPr>
      </w:pPr>
      <w:r w:rsidRPr="00B6584F">
        <w:rPr>
          <w:rFonts w:ascii="Segoe UI Light" w:eastAsia="Times New Roman" w:hAnsi="Segoe UI Light"/>
        </w:rPr>
        <w:t>Germany</w:t>
      </w:r>
    </w:p>
    <w:p w:rsidR="007C2655" w:rsidRDefault="007C2655" w:rsidP="00880A45">
      <w:pPr>
        <w:spacing w:after="0" w:line="240" w:lineRule="auto"/>
        <w:rPr>
          <w:rFonts w:ascii="Segoe UI Light" w:eastAsia="Times New Roman" w:hAnsi="Segoe UI Light"/>
          <w:color w:val="FF0000"/>
          <w:sz w:val="20"/>
          <w:szCs w:val="20"/>
        </w:rPr>
      </w:pPr>
    </w:p>
    <w:p w:rsidR="007C2655" w:rsidRDefault="007C2655" w:rsidP="00880A45">
      <w:pPr>
        <w:spacing w:after="0" w:line="240" w:lineRule="auto"/>
        <w:rPr>
          <w:rFonts w:ascii="Segoe UI Light" w:eastAsia="Times New Roman" w:hAnsi="Segoe UI Light"/>
          <w:color w:val="FF0000"/>
          <w:sz w:val="20"/>
          <w:szCs w:val="20"/>
        </w:rPr>
      </w:pPr>
    </w:p>
    <w:p w:rsidR="007C2655" w:rsidRPr="007C2655" w:rsidRDefault="007C2655" w:rsidP="00880A45">
      <w:pPr>
        <w:spacing w:after="0" w:line="240" w:lineRule="auto"/>
        <w:rPr>
          <w:rFonts w:ascii="Segoe UI Light" w:eastAsia="Times New Roman" w:hAnsi="Segoe UI Light"/>
          <w:sz w:val="20"/>
          <w:szCs w:val="20"/>
        </w:rPr>
      </w:pPr>
      <w:bookmarkStart w:id="0" w:name="_GoBack"/>
      <w:bookmarkEnd w:id="0"/>
    </w:p>
    <w:p w:rsidR="007C2655" w:rsidRPr="007C2655" w:rsidRDefault="007C2655" w:rsidP="00880A45">
      <w:pPr>
        <w:spacing w:after="0" w:line="240" w:lineRule="auto"/>
        <w:rPr>
          <w:rFonts w:ascii="Segoe UI Light" w:eastAsia="Times New Roman" w:hAnsi="Segoe UI Light"/>
          <w:sz w:val="20"/>
          <w:szCs w:val="20"/>
        </w:rPr>
      </w:pPr>
      <w:r w:rsidRPr="007C2655">
        <w:rPr>
          <w:rFonts w:ascii="Segoe UI Light" w:eastAsia="Times New Roman" w:hAnsi="Segoe UI Light"/>
          <w:sz w:val="20"/>
          <w:szCs w:val="20"/>
        </w:rPr>
        <w:t>20 March 2014</w:t>
      </w:r>
    </w:p>
    <w:p w:rsidR="007C2655" w:rsidRDefault="007C2655" w:rsidP="00880A45">
      <w:pPr>
        <w:spacing w:after="0" w:line="240" w:lineRule="auto"/>
        <w:rPr>
          <w:rFonts w:ascii="Segoe UI Light" w:eastAsia="Times New Roman" w:hAnsi="Segoe UI Light"/>
          <w:sz w:val="20"/>
          <w:szCs w:val="20"/>
        </w:rPr>
      </w:pPr>
    </w:p>
    <w:p w:rsidR="002922B6" w:rsidRDefault="002922B6" w:rsidP="00880A45">
      <w:pPr>
        <w:spacing w:after="0" w:line="240" w:lineRule="auto"/>
        <w:rPr>
          <w:rFonts w:ascii="Segoe UI Light" w:eastAsia="Times New Roman" w:hAnsi="Segoe UI Light"/>
          <w:sz w:val="20"/>
          <w:szCs w:val="20"/>
        </w:rPr>
      </w:pPr>
      <w:r w:rsidRPr="002922B6">
        <w:rPr>
          <w:rFonts w:ascii="Segoe UI Light" w:eastAsia="Times New Roman" w:hAnsi="Segoe UI Light"/>
          <w:b/>
          <w:sz w:val="20"/>
          <w:szCs w:val="20"/>
        </w:rPr>
        <w:t>Response to EBA Consultation Paper</w:t>
      </w:r>
      <w:r>
        <w:rPr>
          <w:rFonts w:ascii="Segoe UI Light" w:eastAsia="Times New Roman" w:hAnsi="Segoe UI Light"/>
          <w:sz w:val="20"/>
          <w:szCs w:val="20"/>
        </w:rPr>
        <w:t>: Draft guidelines on disclosure of encumbered and unencumbered assets</w:t>
      </w:r>
    </w:p>
    <w:p w:rsidR="002922B6" w:rsidRPr="002C025B" w:rsidRDefault="002922B6" w:rsidP="00880A45">
      <w:pPr>
        <w:spacing w:after="0" w:line="240" w:lineRule="auto"/>
        <w:rPr>
          <w:rFonts w:ascii="Segoe UI Light" w:eastAsia="Times New Roman" w:hAnsi="Segoe UI Light"/>
          <w:sz w:val="20"/>
          <w:szCs w:val="20"/>
        </w:rPr>
      </w:pPr>
    </w:p>
    <w:p w:rsidR="007C406B" w:rsidRPr="002C025B" w:rsidRDefault="007C406B" w:rsidP="007C406B">
      <w:pPr>
        <w:rPr>
          <w:rFonts w:ascii="Segoe UI Light" w:eastAsia="Times New Roman" w:hAnsi="Segoe UI Light"/>
        </w:rPr>
      </w:pPr>
      <w:r w:rsidRPr="002C025B">
        <w:rPr>
          <w:rFonts w:ascii="Segoe UI Light" w:eastAsia="Times New Roman" w:hAnsi="Segoe UI Light"/>
        </w:rPr>
        <w:t>Dear Sirs,</w:t>
      </w:r>
    </w:p>
    <w:p w:rsidR="007C406B" w:rsidRPr="00B6584F" w:rsidRDefault="00B6584F" w:rsidP="00B8018C">
      <w:pPr>
        <w:spacing w:line="240" w:lineRule="auto"/>
        <w:rPr>
          <w:rFonts w:ascii="Segoe UI Light" w:eastAsia="Times New Roman" w:hAnsi="Segoe UI Light"/>
        </w:rPr>
      </w:pPr>
      <w:r w:rsidRPr="00B6584F">
        <w:rPr>
          <w:rFonts w:ascii="Segoe UI Light" w:eastAsia="Times New Roman" w:hAnsi="Segoe UI Light"/>
          <w:sz w:val="20"/>
          <w:szCs w:val="20"/>
        </w:rPr>
        <w:t>Allianz Global Investors</w:t>
      </w:r>
      <w:r w:rsidR="00B5489F" w:rsidRPr="00B6584F">
        <w:rPr>
          <w:rFonts w:ascii="Segoe UI Light" w:eastAsia="Times New Roman" w:hAnsi="Segoe UI Light"/>
          <w:sz w:val="20"/>
          <w:szCs w:val="20"/>
        </w:rPr>
        <w:t xml:space="preserve"> </w:t>
      </w:r>
      <w:r w:rsidR="007C406B" w:rsidRPr="00B6584F">
        <w:rPr>
          <w:rFonts w:ascii="Segoe UI Light" w:eastAsia="Times New Roman" w:hAnsi="Segoe UI Light"/>
          <w:sz w:val="20"/>
          <w:szCs w:val="20"/>
        </w:rPr>
        <w:t>welcomes</w:t>
      </w:r>
      <w:r w:rsidR="007C406B" w:rsidRPr="00C83024">
        <w:rPr>
          <w:rFonts w:ascii="Segoe UI Light" w:eastAsia="Times New Roman" w:hAnsi="Segoe UI Light"/>
        </w:rPr>
        <w:t xml:space="preserve"> the opportunity to comment on the EBA’s consultation paper on encumb</w:t>
      </w:r>
      <w:r w:rsidR="00BD0273" w:rsidRPr="00C83024">
        <w:rPr>
          <w:rFonts w:ascii="Segoe UI Light" w:eastAsia="Times New Roman" w:hAnsi="Segoe UI Light"/>
        </w:rPr>
        <w:t xml:space="preserve">ered and </w:t>
      </w:r>
      <w:r w:rsidR="00BD0273" w:rsidRPr="00B6584F">
        <w:rPr>
          <w:rFonts w:ascii="Segoe UI Light" w:eastAsia="Times New Roman" w:hAnsi="Segoe UI Light"/>
        </w:rPr>
        <w:t>unencumbered assets</w:t>
      </w:r>
      <w:r w:rsidR="007C406B" w:rsidRPr="00B6584F">
        <w:rPr>
          <w:rFonts w:ascii="Segoe UI Light" w:eastAsia="Times New Roman" w:hAnsi="Segoe UI Light"/>
        </w:rPr>
        <w:t>.</w:t>
      </w:r>
      <w:r w:rsidR="007C406B" w:rsidRPr="00B6584F">
        <w:rPr>
          <w:rFonts w:ascii="Segoe UI Light" w:eastAsia="Times New Roman" w:hAnsi="Segoe UI Light"/>
          <w:sz w:val="20"/>
          <w:szCs w:val="20"/>
        </w:rPr>
        <w:t xml:space="preserve"> </w:t>
      </w:r>
      <w:r w:rsidRPr="00B6584F">
        <w:rPr>
          <w:rFonts w:ascii="Segoe UI Light" w:eastAsia="Times New Roman" w:hAnsi="Segoe UI Light"/>
        </w:rPr>
        <w:t>We are an active investment manager servicing both institutional and retail clients around the world. Our business is diversified across equity, fixed-income and multi-asset strategies and diversified by region</w:t>
      </w:r>
    </w:p>
    <w:p w:rsidR="007C406B" w:rsidRPr="002C025B" w:rsidRDefault="007C406B" w:rsidP="00B8018C">
      <w:pPr>
        <w:spacing w:line="240" w:lineRule="auto"/>
        <w:rPr>
          <w:rFonts w:ascii="Segoe UI Light" w:eastAsia="Times New Roman" w:hAnsi="Segoe UI Light"/>
        </w:rPr>
      </w:pPr>
      <w:r w:rsidRPr="002C025B">
        <w:rPr>
          <w:rFonts w:ascii="Segoe UI Light" w:eastAsia="Times New Roman" w:hAnsi="Segoe UI Light"/>
        </w:rPr>
        <w:t xml:space="preserve">As an unsecured lender to financial institutions in both short term and long term securities and </w:t>
      </w:r>
      <w:r w:rsidR="00240DC7" w:rsidRPr="002C025B">
        <w:rPr>
          <w:rFonts w:ascii="Segoe UI Light" w:eastAsia="Times New Roman" w:hAnsi="Segoe UI Light"/>
        </w:rPr>
        <w:t>across</w:t>
      </w:r>
      <w:r w:rsidRPr="002C025B">
        <w:rPr>
          <w:rFonts w:ascii="Segoe UI Light" w:eastAsia="Times New Roman" w:hAnsi="Segoe UI Light"/>
        </w:rPr>
        <w:t xml:space="preserve"> the capital structure, we welcome initiatives that attempt to increase the transparency </w:t>
      </w:r>
      <w:r w:rsidR="009A04D4" w:rsidRPr="002C025B">
        <w:rPr>
          <w:rFonts w:ascii="Segoe UI Light" w:eastAsia="Times New Roman" w:hAnsi="Segoe UI Light"/>
        </w:rPr>
        <w:t>disclosures by financial institutions.</w:t>
      </w:r>
      <w:r w:rsidRPr="002C025B">
        <w:rPr>
          <w:rFonts w:ascii="Segoe UI Light" w:eastAsia="Times New Roman" w:hAnsi="Segoe UI Light"/>
        </w:rPr>
        <w:t xml:space="preserve"> We strongly believe </w:t>
      </w:r>
      <w:r w:rsidR="004028FA" w:rsidRPr="002C025B">
        <w:rPr>
          <w:rFonts w:ascii="Segoe UI Light" w:eastAsia="Times New Roman" w:hAnsi="Segoe UI Light"/>
        </w:rPr>
        <w:t xml:space="preserve">that </w:t>
      </w:r>
      <w:r w:rsidRPr="002C025B">
        <w:rPr>
          <w:rFonts w:ascii="Segoe UI Light" w:eastAsia="Times New Roman" w:hAnsi="Segoe UI Light"/>
        </w:rPr>
        <w:t xml:space="preserve">transparency must go hand in hand with the increasing burden </w:t>
      </w:r>
      <w:r w:rsidR="009A04D4" w:rsidRPr="002C025B">
        <w:rPr>
          <w:rFonts w:ascii="Segoe UI Light" w:eastAsia="Times New Roman" w:hAnsi="Segoe UI Light"/>
        </w:rPr>
        <w:t xml:space="preserve">being placed </w:t>
      </w:r>
      <w:r w:rsidRPr="002C025B">
        <w:rPr>
          <w:rFonts w:ascii="Segoe UI Light" w:eastAsia="Times New Roman" w:hAnsi="Segoe UI Light"/>
        </w:rPr>
        <w:t xml:space="preserve">on unsecured creditors </w:t>
      </w:r>
      <w:r w:rsidR="006E7473" w:rsidRPr="002C025B">
        <w:rPr>
          <w:rFonts w:ascii="Segoe UI Light" w:eastAsia="Times New Roman" w:hAnsi="Segoe UI Light"/>
        </w:rPr>
        <w:t>who will be asked</w:t>
      </w:r>
      <w:r w:rsidRPr="002C025B">
        <w:rPr>
          <w:rFonts w:ascii="Segoe UI Light" w:eastAsia="Times New Roman" w:hAnsi="Segoe UI Light"/>
        </w:rPr>
        <w:t xml:space="preserve"> to shoulder the cost of</w:t>
      </w:r>
      <w:r w:rsidR="00B774CA" w:rsidRPr="002C025B">
        <w:rPr>
          <w:rFonts w:ascii="Segoe UI Light" w:eastAsia="Times New Roman" w:hAnsi="Segoe UI Light"/>
        </w:rPr>
        <w:t xml:space="preserve"> the failure of an institution in the future. </w:t>
      </w:r>
      <w:r w:rsidRPr="002C025B">
        <w:rPr>
          <w:rFonts w:ascii="Segoe UI Light" w:eastAsia="Times New Roman" w:hAnsi="Segoe UI Light"/>
        </w:rPr>
        <w:t>Detailed, timely information not only on earnings performance</w:t>
      </w:r>
      <w:r w:rsidR="006E6E07" w:rsidRPr="002C025B">
        <w:rPr>
          <w:rFonts w:ascii="Segoe UI Light" w:eastAsia="Times New Roman" w:hAnsi="Segoe UI Light"/>
        </w:rPr>
        <w:t>, but also on balance sheet</w:t>
      </w:r>
      <w:r w:rsidRPr="002C025B">
        <w:rPr>
          <w:rFonts w:ascii="Segoe UI Light" w:eastAsia="Times New Roman" w:hAnsi="Segoe UI Light"/>
        </w:rPr>
        <w:t xml:space="preserve"> composition and regulatory metrics will be critical </w:t>
      </w:r>
      <w:r w:rsidR="00BC0970" w:rsidRPr="002C025B">
        <w:rPr>
          <w:rFonts w:ascii="Segoe UI Light" w:eastAsia="Times New Roman" w:hAnsi="Segoe UI Light"/>
        </w:rPr>
        <w:t>tools for investors in</w:t>
      </w:r>
      <w:r w:rsidRPr="002C025B">
        <w:rPr>
          <w:rFonts w:ascii="Segoe UI Light" w:eastAsia="Times New Roman" w:hAnsi="Segoe UI Light"/>
        </w:rPr>
        <w:t xml:space="preserve"> identifying </w:t>
      </w:r>
      <w:r w:rsidR="009A04D4" w:rsidRPr="002C025B">
        <w:rPr>
          <w:rFonts w:ascii="Segoe UI Light" w:eastAsia="Times New Roman" w:hAnsi="Segoe UI Light"/>
        </w:rPr>
        <w:t xml:space="preserve">the appropriate cost of financing and capital for </w:t>
      </w:r>
      <w:r w:rsidRPr="002C025B">
        <w:rPr>
          <w:rFonts w:ascii="Segoe UI Light" w:eastAsia="Times New Roman" w:hAnsi="Segoe UI Light"/>
        </w:rPr>
        <w:t xml:space="preserve">institutions that may be deemed non-viable in </w:t>
      </w:r>
      <w:r w:rsidR="008A0474" w:rsidRPr="002C025B">
        <w:rPr>
          <w:rFonts w:ascii="Segoe UI Light" w:eastAsia="Times New Roman" w:hAnsi="Segoe UI Light"/>
        </w:rPr>
        <w:t>the future. More s</w:t>
      </w:r>
      <w:r w:rsidRPr="002C025B">
        <w:rPr>
          <w:rFonts w:ascii="Segoe UI Light" w:eastAsia="Times New Roman" w:hAnsi="Segoe UI Light"/>
        </w:rPr>
        <w:t xml:space="preserve">ymmetry of information between regulators on one side and private, unsecured creditors on the other is a necessary prerequisite for the new resolution system to function as intended. </w:t>
      </w:r>
    </w:p>
    <w:p w:rsidR="007C406B" w:rsidRPr="002C025B" w:rsidRDefault="00DB516F" w:rsidP="00B8018C">
      <w:pPr>
        <w:spacing w:line="240" w:lineRule="auto"/>
        <w:rPr>
          <w:rFonts w:ascii="Segoe UI Light" w:eastAsia="Times New Roman" w:hAnsi="Segoe UI Light"/>
        </w:rPr>
      </w:pPr>
      <w:r w:rsidRPr="002C025B">
        <w:rPr>
          <w:rFonts w:ascii="Segoe UI Light" w:eastAsia="Times New Roman" w:hAnsi="Segoe UI Light"/>
        </w:rPr>
        <w:t xml:space="preserve">Given </w:t>
      </w:r>
      <w:r w:rsidR="007C406B" w:rsidRPr="002C025B">
        <w:rPr>
          <w:rFonts w:ascii="Segoe UI Light" w:eastAsia="Times New Roman" w:hAnsi="Segoe UI Light"/>
        </w:rPr>
        <w:t>thi</w:t>
      </w:r>
      <w:r w:rsidR="00BD0273" w:rsidRPr="002C025B">
        <w:rPr>
          <w:rFonts w:ascii="Segoe UI Light" w:eastAsia="Times New Roman" w:hAnsi="Segoe UI Light"/>
        </w:rPr>
        <w:t xml:space="preserve">s backdrop </w:t>
      </w:r>
      <w:r w:rsidR="000D207B" w:rsidRPr="002C025B">
        <w:rPr>
          <w:rFonts w:ascii="Segoe UI Light" w:eastAsia="Times New Roman" w:hAnsi="Segoe UI Light"/>
        </w:rPr>
        <w:t xml:space="preserve">we </w:t>
      </w:r>
      <w:r w:rsidR="00BD0273" w:rsidRPr="002C025B">
        <w:rPr>
          <w:rFonts w:ascii="Segoe UI Light" w:eastAsia="Times New Roman" w:hAnsi="Segoe UI Light"/>
        </w:rPr>
        <w:t xml:space="preserve">find several aspects of the </w:t>
      </w:r>
      <w:r w:rsidR="007C406B" w:rsidRPr="002C025B">
        <w:rPr>
          <w:rFonts w:ascii="Segoe UI Light" w:eastAsia="Times New Roman" w:hAnsi="Segoe UI Light"/>
        </w:rPr>
        <w:t>consultation paper</w:t>
      </w:r>
      <w:r w:rsidR="00BD0273" w:rsidRPr="002C025B">
        <w:rPr>
          <w:rFonts w:ascii="Segoe UI Light" w:eastAsia="Times New Roman" w:hAnsi="Segoe UI Light"/>
        </w:rPr>
        <w:t xml:space="preserve"> </w:t>
      </w:r>
      <w:r w:rsidR="008661DA" w:rsidRPr="002C025B">
        <w:rPr>
          <w:rFonts w:ascii="Segoe UI Light" w:eastAsia="Times New Roman" w:hAnsi="Segoe UI Light"/>
        </w:rPr>
        <w:t>raise significant concerns</w:t>
      </w:r>
      <w:r w:rsidR="000D207B" w:rsidRPr="002C025B">
        <w:rPr>
          <w:rFonts w:ascii="Segoe UI Light" w:eastAsia="Times New Roman" w:hAnsi="Segoe UI Light"/>
        </w:rPr>
        <w:t xml:space="preserve"> – specifically the recommendation to </w:t>
      </w:r>
      <w:r w:rsidR="00B64180" w:rsidRPr="002C025B">
        <w:rPr>
          <w:rFonts w:ascii="Segoe UI Light" w:eastAsia="Times New Roman" w:hAnsi="Segoe UI Light"/>
        </w:rPr>
        <w:t>classify</w:t>
      </w:r>
      <w:r w:rsidR="000D207B" w:rsidRPr="002C025B">
        <w:rPr>
          <w:rFonts w:ascii="Segoe UI Light" w:eastAsia="Times New Roman" w:hAnsi="Segoe UI Light"/>
        </w:rPr>
        <w:t xml:space="preserve"> </w:t>
      </w:r>
      <w:r w:rsidR="00A124F5" w:rsidRPr="002C025B">
        <w:rPr>
          <w:rFonts w:ascii="Segoe UI Light" w:eastAsia="Times New Roman" w:hAnsi="Segoe UI Light"/>
        </w:rPr>
        <w:t xml:space="preserve">as unencumbered </w:t>
      </w:r>
      <w:r w:rsidR="007C406B" w:rsidRPr="002C025B">
        <w:rPr>
          <w:rFonts w:ascii="Segoe UI Light" w:eastAsia="Times New Roman" w:hAnsi="Segoe UI Light"/>
        </w:rPr>
        <w:t xml:space="preserve">assets </w:t>
      </w:r>
      <w:r w:rsidR="00B64180" w:rsidRPr="002C025B">
        <w:rPr>
          <w:rFonts w:ascii="Segoe UI Light" w:eastAsia="Times New Roman" w:hAnsi="Segoe UI Light"/>
        </w:rPr>
        <w:t>legally pledged</w:t>
      </w:r>
      <w:r w:rsidR="007C406B" w:rsidRPr="002C025B">
        <w:rPr>
          <w:rFonts w:ascii="Segoe UI Light" w:eastAsia="Times New Roman" w:hAnsi="Segoe UI Light"/>
        </w:rPr>
        <w:t xml:space="preserve"> </w:t>
      </w:r>
      <w:r w:rsidR="008661DA" w:rsidRPr="002C025B">
        <w:rPr>
          <w:rFonts w:ascii="Segoe UI Light" w:eastAsia="Times New Roman" w:hAnsi="Segoe UI Light"/>
        </w:rPr>
        <w:t xml:space="preserve">to central banks </w:t>
      </w:r>
      <w:r w:rsidR="007C406B" w:rsidRPr="002C025B">
        <w:rPr>
          <w:rFonts w:ascii="Segoe UI Light" w:eastAsia="Times New Roman" w:hAnsi="Segoe UI Light"/>
        </w:rPr>
        <w:t>for</w:t>
      </w:r>
      <w:r w:rsidR="00A124F5" w:rsidRPr="002C025B">
        <w:rPr>
          <w:rFonts w:ascii="Segoe UI Light" w:eastAsia="Times New Roman" w:hAnsi="Segoe UI Light"/>
        </w:rPr>
        <w:t xml:space="preserve"> emergency </w:t>
      </w:r>
      <w:r w:rsidR="00B64180" w:rsidRPr="002C025B">
        <w:rPr>
          <w:rFonts w:ascii="Segoe UI Light" w:eastAsia="Times New Roman" w:hAnsi="Segoe UI Light"/>
        </w:rPr>
        <w:t xml:space="preserve">funding </w:t>
      </w:r>
      <w:r w:rsidR="007C406B" w:rsidRPr="002C025B">
        <w:rPr>
          <w:rFonts w:ascii="Segoe UI Light" w:eastAsia="Times New Roman" w:hAnsi="Segoe UI Light"/>
        </w:rPr>
        <w:t>and t</w:t>
      </w:r>
      <w:r w:rsidR="001469E9" w:rsidRPr="002C025B">
        <w:rPr>
          <w:rFonts w:ascii="Segoe UI Light" w:eastAsia="Times New Roman" w:hAnsi="Segoe UI Light"/>
        </w:rPr>
        <w:t>he introduction of smoothing mechanisms</w:t>
      </w:r>
      <w:r w:rsidR="00EC5FC7" w:rsidRPr="002C025B">
        <w:rPr>
          <w:rFonts w:ascii="Segoe UI Light" w:eastAsia="Times New Roman" w:hAnsi="Segoe UI Light"/>
        </w:rPr>
        <w:t xml:space="preserve"> and timing delays</w:t>
      </w:r>
      <w:r w:rsidR="001469E9" w:rsidRPr="002C025B">
        <w:rPr>
          <w:rFonts w:ascii="Segoe UI Light" w:eastAsia="Times New Roman" w:hAnsi="Segoe UI Light"/>
        </w:rPr>
        <w:t xml:space="preserve"> that</w:t>
      </w:r>
      <w:r w:rsidR="00EC5FC7" w:rsidRPr="002C025B">
        <w:rPr>
          <w:rFonts w:ascii="Segoe UI Light" w:eastAsia="Times New Roman" w:hAnsi="Segoe UI Light"/>
        </w:rPr>
        <w:t xml:space="preserve"> will prevent </w:t>
      </w:r>
      <w:r w:rsidR="001469E9" w:rsidRPr="002C025B">
        <w:rPr>
          <w:rFonts w:ascii="Segoe UI Light" w:eastAsia="Times New Roman" w:hAnsi="Segoe UI Light"/>
        </w:rPr>
        <w:t xml:space="preserve">market participants </w:t>
      </w:r>
      <w:r w:rsidR="00EC5FC7" w:rsidRPr="002C025B">
        <w:rPr>
          <w:rFonts w:ascii="Segoe UI Light" w:eastAsia="Times New Roman" w:hAnsi="Segoe UI Light"/>
        </w:rPr>
        <w:t>from</w:t>
      </w:r>
      <w:r w:rsidR="001469E9" w:rsidRPr="002C025B">
        <w:rPr>
          <w:rFonts w:ascii="Segoe UI Light" w:eastAsia="Times New Roman" w:hAnsi="Segoe UI Light"/>
        </w:rPr>
        <w:t xml:space="preserve"> </w:t>
      </w:r>
      <w:r w:rsidR="008138E1" w:rsidRPr="002C025B">
        <w:rPr>
          <w:rFonts w:ascii="Segoe UI Light" w:eastAsia="Times New Roman" w:hAnsi="Segoe UI Light"/>
        </w:rPr>
        <w:t>reviewing</w:t>
      </w:r>
      <w:r w:rsidR="001469E9" w:rsidRPr="002C025B">
        <w:rPr>
          <w:rFonts w:ascii="Segoe UI Light" w:eastAsia="Times New Roman" w:hAnsi="Segoe UI Light"/>
        </w:rPr>
        <w:t xml:space="preserve"> accurate asset encumbrance </w:t>
      </w:r>
      <w:r w:rsidR="00A124F5" w:rsidRPr="002C025B">
        <w:rPr>
          <w:rFonts w:ascii="Segoe UI Light" w:eastAsia="Times New Roman" w:hAnsi="Segoe UI Light"/>
        </w:rPr>
        <w:t>information</w:t>
      </w:r>
      <w:r w:rsidR="001469E9" w:rsidRPr="002C025B">
        <w:rPr>
          <w:rFonts w:ascii="Segoe UI Light" w:eastAsia="Times New Roman" w:hAnsi="Segoe UI Light"/>
        </w:rPr>
        <w:t xml:space="preserve"> on a timely basis.</w:t>
      </w:r>
      <w:r w:rsidR="007C406B" w:rsidRPr="002C025B">
        <w:rPr>
          <w:rFonts w:ascii="Segoe UI Light" w:eastAsia="Times New Roman" w:hAnsi="Segoe UI Light"/>
        </w:rPr>
        <w:t xml:space="preserve"> We find the former to be particularly concerning as </w:t>
      </w:r>
      <w:r w:rsidR="008138E1" w:rsidRPr="002C025B">
        <w:rPr>
          <w:rFonts w:ascii="Segoe UI Light" w:eastAsia="Times New Roman" w:hAnsi="Segoe UI Light"/>
        </w:rPr>
        <w:t xml:space="preserve">it effectively proposes that investors </w:t>
      </w:r>
      <w:r w:rsidR="007C406B" w:rsidRPr="002C025B">
        <w:rPr>
          <w:rFonts w:ascii="Segoe UI Light" w:eastAsia="Times New Roman" w:hAnsi="Segoe UI Light"/>
        </w:rPr>
        <w:t>continue to lend blind</w:t>
      </w:r>
      <w:r w:rsidR="00340541" w:rsidRPr="002C025B">
        <w:rPr>
          <w:rFonts w:ascii="Segoe UI Light" w:eastAsia="Times New Roman" w:hAnsi="Segoe UI Light"/>
        </w:rPr>
        <w:t>ly</w:t>
      </w:r>
      <w:r w:rsidR="007C406B" w:rsidRPr="002C025B">
        <w:rPr>
          <w:rFonts w:ascii="Segoe UI Light" w:eastAsia="Times New Roman" w:hAnsi="Segoe UI Light"/>
        </w:rPr>
        <w:t xml:space="preserve"> on an unsecured basis to </w:t>
      </w:r>
      <w:r w:rsidR="00340541" w:rsidRPr="002C025B">
        <w:rPr>
          <w:rFonts w:ascii="Segoe UI Light" w:eastAsia="Times New Roman" w:hAnsi="Segoe UI Light"/>
        </w:rPr>
        <w:t>stressed</w:t>
      </w:r>
      <w:r w:rsidR="007C406B" w:rsidRPr="002C025B">
        <w:rPr>
          <w:rFonts w:ascii="Segoe UI Light" w:eastAsia="Times New Roman" w:hAnsi="Segoe UI Light"/>
        </w:rPr>
        <w:t xml:space="preserve"> financial institution</w:t>
      </w:r>
      <w:r w:rsidR="00340541" w:rsidRPr="002C025B">
        <w:rPr>
          <w:rFonts w:ascii="Segoe UI Light" w:eastAsia="Times New Roman" w:hAnsi="Segoe UI Light"/>
        </w:rPr>
        <w:t>s while regulators</w:t>
      </w:r>
      <w:r w:rsidR="00D26EB3" w:rsidRPr="002C025B">
        <w:rPr>
          <w:rFonts w:ascii="Segoe UI Light" w:eastAsia="Times New Roman" w:hAnsi="Segoe UI Light"/>
        </w:rPr>
        <w:t xml:space="preserve"> with greater access to current information</w:t>
      </w:r>
      <w:r w:rsidR="00340541" w:rsidRPr="002C025B">
        <w:rPr>
          <w:rFonts w:ascii="Segoe UI Light" w:eastAsia="Times New Roman" w:hAnsi="Segoe UI Light"/>
        </w:rPr>
        <w:t xml:space="preserve"> would remain</w:t>
      </w:r>
      <w:r w:rsidR="007C406B" w:rsidRPr="002C025B">
        <w:rPr>
          <w:rFonts w:ascii="Segoe UI Light" w:eastAsia="Times New Roman" w:hAnsi="Segoe UI Light"/>
        </w:rPr>
        <w:t xml:space="preserve"> fully secured</w:t>
      </w:r>
      <w:r w:rsidR="005034C9" w:rsidRPr="002C025B">
        <w:rPr>
          <w:rFonts w:ascii="Segoe UI Light" w:eastAsia="Times New Roman" w:hAnsi="Segoe UI Light"/>
        </w:rPr>
        <w:t xml:space="preserve">. This information asymmetry </w:t>
      </w:r>
      <w:r w:rsidR="004773BB" w:rsidRPr="002C025B">
        <w:rPr>
          <w:rFonts w:ascii="Segoe UI Light" w:eastAsia="Times New Roman" w:hAnsi="Segoe UI Light"/>
        </w:rPr>
        <w:t>might spur investors</w:t>
      </w:r>
      <w:r w:rsidR="007C406B" w:rsidRPr="002C025B">
        <w:rPr>
          <w:rFonts w:ascii="Segoe UI Light" w:eastAsia="Times New Roman" w:hAnsi="Segoe UI Light"/>
        </w:rPr>
        <w:t xml:space="preserve"> to pre-empt regulatory action by withdrawing credit</w:t>
      </w:r>
      <w:r w:rsidR="005034C9" w:rsidRPr="002C025B">
        <w:rPr>
          <w:rFonts w:ascii="Segoe UI Light" w:eastAsia="Times New Roman" w:hAnsi="Segoe UI Light"/>
        </w:rPr>
        <w:t xml:space="preserve"> </w:t>
      </w:r>
      <w:r w:rsidR="00D26EB3" w:rsidRPr="002C025B">
        <w:rPr>
          <w:rFonts w:ascii="Segoe UI Light" w:eastAsia="Times New Roman" w:hAnsi="Segoe UI Light"/>
        </w:rPr>
        <w:t>earlier in times of stress</w:t>
      </w:r>
      <w:r w:rsidR="007C406B" w:rsidRPr="002C025B">
        <w:rPr>
          <w:rFonts w:ascii="Segoe UI Light" w:eastAsia="Times New Roman" w:hAnsi="Segoe UI Light"/>
        </w:rPr>
        <w:t xml:space="preserve">, lest </w:t>
      </w:r>
      <w:r w:rsidR="001F3AFB" w:rsidRPr="002C025B">
        <w:rPr>
          <w:rFonts w:ascii="Segoe UI Light" w:eastAsia="Times New Roman" w:hAnsi="Segoe UI Light"/>
        </w:rPr>
        <w:t>they</w:t>
      </w:r>
      <w:r w:rsidR="007C406B" w:rsidRPr="002C025B">
        <w:rPr>
          <w:rFonts w:ascii="Segoe UI Light" w:eastAsia="Times New Roman" w:hAnsi="Segoe UI Light"/>
        </w:rPr>
        <w:t xml:space="preserve"> get caught in a resolution of an organization</w:t>
      </w:r>
      <w:r w:rsidR="00AD3440" w:rsidRPr="002C025B">
        <w:rPr>
          <w:rFonts w:ascii="Segoe UI Light" w:eastAsia="Times New Roman" w:hAnsi="Segoe UI Light"/>
        </w:rPr>
        <w:t xml:space="preserve"> and</w:t>
      </w:r>
      <w:r w:rsidR="007C406B" w:rsidRPr="002C025B">
        <w:rPr>
          <w:rFonts w:ascii="Segoe UI Light" w:eastAsia="Times New Roman" w:hAnsi="Segoe UI Light"/>
        </w:rPr>
        <w:t xml:space="preserve"> all </w:t>
      </w:r>
      <w:r w:rsidR="001F3AFB" w:rsidRPr="002C025B">
        <w:rPr>
          <w:rFonts w:ascii="Segoe UI Light" w:eastAsia="Times New Roman" w:hAnsi="Segoe UI Light"/>
        </w:rPr>
        <w:t>of its</w:t>
      </w:r>
      <w:r w:rsidR="007C406B" w:rsidRPr="002C025B">
        <w:rPr>
          <w:rFonts w:ascii="Segoe UI Light" w:eastAsia="Times New Roman" w:hAnsi="Segoe UI Light"/>
        </w:rPr>
        <w:t xml:space="preserve"> associated economic consequences. </w:t>
      </w:r>
      <w:r w:rsidR="00A869C2" w:rsidRPr="002C025B">
        <w:rPr>
          <w:rFonts w:ascii="Segoe UI Light" w:eastAsia="Times New Roman" w:hAnsi="Segoe UI Light"/>
        </w:rPr>
        <w:t>The l</w:t>
      </w:r>
      <w:r w:rsidR="004C053B" w:rsidRPr="002C025B">
        <w:rPr>
          <w:rFonts w:ascii="Segoe UI Light" w:hAnsi="Segoe UI Light"/>
        </w:rPr>
        <w:t xml:space="preserve">ack of disclosure </w:t>
      </w:r>
      <w:r w:rsidR="00DC08E4" w:rsidRPr="002C025B">
        <w:rPr>
          <w:rFonts w:ascii="Segoe UI Light" w:hAnsi="Segoe UI Light"/>
        </w:rPr>
        <w:t xml:space="preserve">could </w:t>
      </w:r>
      <w:r w:rsidR="00AD3440" w:rsidRPr="002C025B">
        <w:rPr>
          <w:rFonts w:ascii="Segoe UI Light" w:hAnsi="Segoe UI Light"/>
        </w:rPr>
        <w:t>prove</w:t>
      </w:r>
      <w:r w:rsidR="004C053B" w:rsidRPr="002C025B">
        <w:rPr>
          <w:rFonts w:ascii="Segoe UI Light" w:hAnsi="Segoe UI Light"/>
        </w:rPr>
        <w:t xml:space="preserve"> even more destabilizing than </w:t>
      </w:r>
      <w:r w:rsidR="00DC08E4" w:rsidRPr="002C025B">
        <w:rPr>
          <w:rFonts w:ascii="Segoe UI Light" w:hAnsi="Segoe UI Light"/>
        </w:rPr>
        <w:t>full disclosure of</w:t>
      </w:r>
      <w:r w:rsidR="004C053B" w:rsidRPr="002C025B">
        <w:rPr>
          <w:rFonts w:ascii="Segoe UI Light" w:hAnsi="Segoe UI Light"/>
        </w:rPr>
        <w:t xml:space="preserve"> bank ELA usage</w:t>
      </w:r>
      <w:r w:rsidR="00DC08E4" w:rsidRPr="002C025B">
        <w:rPr>
          <w:rFonts w:ascii="Segoe UI Light" w:hAnsi="Segoe UI Light"/>
        </w:rPr>
        <w:t xml:space="preserve"> as investors </w:t>
      </w:r>
      <w:r w:rsidR="009E3C39" w:rsidRPr="002C025B">
        <w:rPr>
          <w:rFonts w:ascii="Segoe UI Light" w:hAnsi="Segoe UI Light"/>
        </w:rPr>
        <w:t xml:space="preserve">would likely </w:t>
      </w:r>
      <w:r w:rsidR="00DC08E4" w:rsidRPr="002C025B">
        <w:rPr>
          <w:rFonts w:ascii="Segoe UI Light" w:hAnsi="Segoe UI Light"/>
        </w:rPr>
        <w:t>“assume the worst” absent complete information</w:t>
      </w:r>
      <w:r w:rsidR="004C053B" w:rsidRPr="002C025B">
        <w:rPr>
          <w:rFonts w:ascii="Segoe UI Light" w:hAnsi="Segoe UI Light"/>
        </w:rPr>
        <w:t xml:space="preserve">. </w:t>
      </w:r>
    </w:p>
    <w:p w:rsidR="007C406B" w:rsidRPr="002C025B" w:rsidRDefault="007C406B" w:rsidP="00B8018C">
      <w:pPr>
        <w:spacing w:line="240" w:lineRule="auto"/>
        <w:rPr>
          <w:rFonts w:ascii="Segoe UI Light" w:eastAsia="Times New Roman" w:hAnsi="Segoe UI Light"/>
        </w:rPr>
      </w:pPr>
      <w:r w:rsidRPr="002C025B">
        <w:rPr>
          <w:rFonts w:ascii="Segoe UI Light" w:eastAsia="Times New Roman" w:hAnsi="Segoe UI Light"/>
        </w:rPr>
        <w:t>Please find below a full list of our</w:t>
      </w:r>
      <w:r w:rsidR="00324E7E" w:rsidRPr="002C025B">
        <w:rPr>
          <w:rFonts w:ascii="Segoe UI Light" w:eastAsia="Times New Roman" w:hAnsi="Segoe UI Light"/>
        </w:rPr>
        <w:t xml:space="preserve"> comments which relate to the questions for consultation:</w:t>
      </w:r>
    </w:p>
    <w:p w:rsidR="00223593" w:rsidRPr="002C025B" w:rsidRDefault="00E72028" w:rsidP="00F863BF">
      <w:pPr>
        <w:pStyle w:val="Paragraphedeliste"/>
        <w:numPr>
          <w:ilvl w:val="0"/>
          <w:numId w:val="1"/>
        </w:numPr>
        <w:spacing w:after="240"/>
        <w:rPr>
          <w:rFonts w:ascii="Segoe UI Light" w:hAnsi="Segoe UI Light"/>
          <w:sz w:val="24"/>
          <w:szCs w:val="24"/>
        </w:rPr>
      </w:pPr>
      <w:r w:rsidRPr="002C025B">
        <w:rPr>
          <w:rFonts w:ascii="Segoe UI Light" w:hAnsi="Segoe UI Light"/>
          <w:b/>
          <w:bCs/>
        </w:rPr>
        <w:t>Emergency Liquidity Assistanc</w:t>
      </w:r>
      <w:r w:rsidRPr="002C025B">
        <w:rPr>
          <w:rFonts w:ascii="Segoe UI Light" w:hAnsi="Segoe UI Light"/>
          <w:b/>
        </w:rPr>
        <w:t>e</w:t>
      </w:r>
      <w:r w:rsidRPr="002C025B">
        <w:rPr>
          <w:rFonts w:ascii="Segoe UI Light" w:hAnsi="Segoe UI Light"/>
        </w:rPr>
        <w:t>: The proposal states that “</w:t>
      </w:r>
      <w:r w:rsidR="00106B42" w:rsidRPr="002C025B">
        <w:rPr>
          <w:rFonts w:ascii="Segoe UI Light" w:hAnsi="Segoe UI Light"/>
        </w:rPr>
        <w:t xml:space="preserve">in public disclosures </w:t>
      </w:r>
      <w:r w:rsidRPr="002C025B">
        <w:rPr>
          <w:rFonts w:ascii="Segoe UI Light" w:hAnsi="Segoe UI Light"/>
        </w:rPr>
        <w:t xml:space="preserve">assets and matching liabilities encumbered to central banks </w:t>
      </w:r>
      <w:r w:rsidR="0059558D" w:rsidRPr="002C025B">
        <w:rPr>
          <w:rFonts w:ascii="Segoe UI Light" w:hAnsi="Segoe UI Light"/>
        </w:rPr>
        <w:t xml:space="preserve">via ELA </w:t>
      </w:r>
      <w:r w:rsidRPr="002C025B">
        <w:rPr>
          <w:rFonts w:ascii="Segoe UI Light" w:hAnsi="Segoe UI Light"/>
        </w:rPr>
        <w:t xml:space="preserve">shall be reported as </w:t>
      </w:r>
      <w:r w:rsidRPr="002C025B">
        <w:rPr>
          <w:rFonts w:ascii="Segoe UI Light" w:hAnsi="Segoe UI Light"/>
        </w:rPr>
        <w:lastRenderedPageBreak/>
        <w:t>unencumbered</w:t>
      </w:r>
      <w:r w:rsidR="00106B42" w:rsidRPr="002C025B">
        <w:rPr>
          <w:rFonts w:ascii="Segoe UI Light" w:hAnsi="Segoe UI Light"/>
        </w:rPr>
        <w:t>.</w:t>
      </w:r>
      <w:r w:rsidR="009D6EAD" w:rsidRPr="002C025B">
        <w:rPr>
          <w:rFonts w:ascii="Segoe UI Light" w:hAnsi="Segoe UI Light"/>
        </w:rPr>
        <w:t>”</w:t>
      </w:r>
      <w:r w:rsidR="00E90AE8" w:rsidRPr="002C025B">
        <w:rPr>
          <w:rStyle w:val="Appelnotedebasdep"/>
          <w:rFonts w:ascii="Segoe UI Light" w:hAnsi="Segoe UI Light"/>
        </w:rPr>
        <w:footnoteReference w:id="1"/>
      </w:r>
      <w:r w:rsidR="00106B42" w:rsidRPr="002C025B">
        <w:rPr>
          <w:rFonts w:ascii="Segoe UI Light" w:hAnsi="Segoe UI Light"/>
        </w:rPr>
        <w:t xml:space="preserve"> </w:t>
      </w:r>
      <w:r w:rsidR="00EC74C9" w:rsidRPr="002C025B">
        <w:rPr>
          <w:rFonts w:ascii="Segoe UI Light" w:hAnsi="Segoe UI Light"/>
        </w:rPr>
        <w:t>While we support the ESRB recommendation that the amount of (emergency) liquidity assistance given by central banks should not be reported, t</w:t>
      </w:r>
      <w:r w:rsidR="00106B42" w:rsidRPr="002C025B">
        <w:rPr>
          <w:rFonts w:ascii="Segoe UI Light" w:hAnsi="Segoe UI Light"/>
        </w:rPr>
        <w:t>h</w:t>
      </w:r>
      <w:r w:rsidR="00891347" w:rsidRPr="002C025B">
        <w:rPr>
          <w:rFonts w:ascii="Segoe UI Light" w:hAnsi="Segoe UI Light"/>
        </w:rPr>
        <w:t>e proposed</w:t>
      </w:r>
      <w:r w:rsidR="00106B42" w:rsidRPr="002C025B">
        <w:rPr>
          <w:rFonts w:ascii="Segoe UI Light" w:hAnsi="Segoe UI Light"/>
        </w:rPr>
        <w:t xml:space="preserve"> </w:t>
      </w:r>
      <w:r w:rsidR="009B0593" w:rsidRPr="002C025B">
        <w:rPr>
          <w:rFonts w:ascii="Segoe UI Light" w:hAnsi="Segoe UI Light"/>
        </w:rPr>
        <w:t xml:space="preserve">misrepresentation </w:t>
      </w:r>
      <w:r w:rsidR="00106B42" w:rsidRPr="002C025B">
        <w:rPr>
          <w:rFonts w:ascii="Segoe UI Light" w:hAnsi="Segoe UI Light"/>
        </w:rPr>
        <w:t xml:space="preserve">is factually incorrect and </w:t>
      </w:r>
      <w:r w:rsidR="004C053B" w:rsidRPr="002C025B">
        <w:rPr>
          <w:rFonts w:ascii="Segoe UI Light" w:hAnsi="Segoe UI Light"/>
        </w:rPr>
        <w:t>could be subject to legal and accounting challenges</w:t>
      </w:r>
      <w:r w:rsidR="00C26DEE" w:rsidRPr="002C025B">
        <w:rPr>
          <w:rFonts w:ascii="Segoe UI Light" w:hAnsi="Segoe UI Light"/>
        </w:rPr>
        <w:t xml:space="preserve">, particularly from </w:t>
      </w:r>
      <w:r w:rsidR="003D4BBD" w:rsidRPr="002C025B">
        <w:rPr>
          <w:rFonts w:ascii="Segoe UI Light" w:hAnsi="Segoe UI Light"/>
        </w:rPr>
        <w:t xml:space="preserve">international </w:t>
      </w:r>
      <w:r w:rsidR="00C26DEE" w:rsidRPr="002C025B">
        <w:rPr>
          <w:rFonts w:ascii="Segoe UI Light" w:hAnsi="Segoe UI Light"/>
        </w:rPr>
        <w:t>investors</w:t>
      </w:r>
      <w:r w:rsidR="00813DC0" w:rsidRPr="002C025B">
        <w:rPr>
          <w:rFonts w:ascii="Segoe UI Light" w:hAnsi="Segoe UI Light"/>
        </w:rPr>
        <w:t xml:space="preserve"> and/or regulators (e.g., SEC for banks issuing in the US)</w:t>
      </w:r>
      <w:r w:rsidR="00D47EFE" w:rsidRPr="002C025B">
        <w:rPr>
          <w:rFonts w:ascii="Segoe UI Light" w:hAnsi="Segoe UI Light"/>
        </w:rPr>
        <w:t xml:space="preserve"> and</w:t>
      </w:r>
      <w:r w:rsidR="00BC3BD8" w:rsidRPr="002C025B">
        <w:rPr>
          <w:rFonts w:ascii="Segoe UI Light" w:hAnsi="Segoe UI Light"/>
        </w:rPr>
        <w:t xml:space="preserve"> it would represent a reduction </w:t>
      </w:r>
      <w:r w:rsidR="00395477" w:rsidRPr="002C025B">
        <w:rPr>
          <w:rFonts w:ascii="Segoe UI Light" w:hAnsi="Segoe UI Light"/>
        </w:rPr>
        <w:t xml:space="preserve">in the level of transparency currently available to investors. </w:t>
      </w:r>
      <w:r w:rsidR="00D33EAA" w:rsidRPr="002C025B">
        <w:rPr>
          <w:rFonts w:ascii="Segoe UI Light" w:hAnsi="Segoe UI Light"/>
        </w:rPr>
        <w:t>In the extreme, such an approach coul</w:t>
      </w:r>
      <w:r w:rsidR="00872D9F" w:rsidRPr="002C025B">
        <w:rPr>
          <w:rFonts w:ascii="Segoe UI Light" w:hAnsi="Segoe UI Light"/>
        </w:rPr>
        <w:t>d result in public disclosures that</w:t>
      </w:r>
      <w:r w:rsidR="00D33EAA" w:rsidRPr="002C025B">
        <w:rPr>
          <w:rFonts w:ascii="Segoe UI Light" w:hAnsi="Segoe UI Light"/>
        </w:rPr>
        <w:t xml:space="preserve"> show </w:t>
      </w:r>
      <w:r w:rsidR="00AF2790" w:rsidRPr="002C025B">
        <w:rPr>
          <w:rFonts w:ascii="Segoe UI Light" w:hAnsi="Segoe UI Light"/>
        </w:rPr>
        <w:t xml:space="preserve">available collateral levels increasing at stressed </w:t>
      </w:r>
      <w:r w:rsidR="00D33EAA" w:rsidRPr="002C025B">
        <w:rPr>
          <w:rFonts w:ascii="Segoe UI Light" w:hAnsi="Segoe UI Light"/>
        </w:rPr>
        <w:t>banks as the</w:t>
      </w:r>
      <w:r w:rsidR="00E70995" w:rsidRPr="002C025B">
        <w:rPr>
          <w:rFonts w:ascii="Segoe UI Light" w:hAnsi="Segoe UI Light"/>
        </w:rPr>
        <w:t>y lose m</w:t>
      </w:r>
      <w:r w:rsidR="00FA68B2" w:rsidRPr="002C025B">
        <w:rPr>
          <w:rFonts w:ascii="Segoe UI Light" w:hAnsi="Segoe UI Light"/>
        </w:rPr>
        <w:t>arket access because the assets pledged for ELA would be shown as unencumbered, while those pledged to market counterparties remain encumbered</w:t>
      </w:r>
      <w:r w:rsidR="00F35AF2" w:rsidRPr="002C025B">
        <w:rPr>
          <w:rFonts w:ascii="Segoe UI Light" w:hAnsi="Segoe UI Light"/>
        </w:rPr>
        <w:t xml:space="preserve"> (e.g., the more a bank relies on ELA, the more “liquid” its balance sheet will appear in public disclosures)</w:t>
      </w:r>
      <w:r w:rsidR="00FA68B2" w:rsidRPr="002C025B">
        <w:rPr>
          <w:rFonts w:ascii="Segoe UI Light" w:hAnsi="Segoe UI Light"/>
        </w:rPr>
        <w:t>.</w:t>
      </w:r>
      <w:r w:rsidR="00EC4216" w:rsidRPr="002C025B">
        <w:rPr>
          <w:rFonts w:ascii="Segoe UI Light" w:hAnsi="Segoe UI Light"/>
        </w:rPr>
        <w:t xml:space="preserve"> </w:t>
      </w:r>
      <w:r w:rsidR="00891347" w:rsidRPr="002C025B">
        <w:rPr>
          <w:rFonts w:ascii="Segoe UI Light" w:hAnsi="Segoe UI Light"/>
        </w:rPr>
        <w:t>Rather than requiring banks to misrepresent encumbered assets as unencumbered, we would recommend that banks provide no information about the encumbrance levels of certain assets at all, namely those assets that private investors would not normally accept as collateral (e.g., fixed assets)</w:t>
      </w:r>
      <w:r w:rsidR="00341C5D" w:rsidRPr="002C025B">
        <w:rPr>
          <w:rFonts w:ascii="Segoe UI Light" w:hAnsi="Segoe UI Light"/>
          <w:sz w:val="24"/>
          <w:szCs w:val="24"/>
        </w:rPr>
        <w:t xml:space="preserve">. </w:t>
      </w:r>
      <w:r w:rsidR="003C594F" w:rsidRPr="002C025B">
        <w:rPr>
          <w:rFonts w:ascii="Segoe UI Light" w:hAnsi="Segoe UI Light"/>
        </w:rPr>
        <w:t xml:space="preserve">At a minimum, it is </w:t>
      </w:r>
      <w:r w:rsidR="00635102" w:rsidRPr="002C025B">
        <w:rPr>
          <w:rFonts w:ascii="Segoe UI Light" w:hAnsi="Segoe UI Light"/>
        </w:rPr>
        <w:t>critical</w:t>
      </w:r>
      <w:r w:rsidR="003C594F" w:rsidRPr="002C025B">
        <w:rPr>
          <w:rFonts w:ascii="Segoe UI Light" w:hAnsi="Segoe UI Light"/>
        </w:rPr>
        <w:t xml:space="preserve"> for investors to </w:t>
      </w:r>
      <w:r w:rsidR="00AE6A24" w:rsidRPr="002C025B">
        <w:rPr>
          <w:rFonts w:ascii="Segoe UI Light" w:hAnsi="Segoe UI Light"/>
        </w:rPr>
        <w:t xml:space="preserve">have an accurate understanding of </w:t>
      </w:r>
      <w:r w:rsidR="003C594F" w:rsidRPr="002C025B">
        <w:rPr>
          <w:rFonts w:ascii="Segoe UI Light" w:hAnsi="Segoe UI Light"/>
        </w:rPr>
        <w:t>the amount of available collateral in bank</w:t>
      </w:r>
      <w:r w:rsidR="00AE6A24" w:rsidRPr="002C025B">
        <w:rPr>
          <w:rFonts w:ascii="Segoe UI Light" w:hAnsi="Segoe UI Light"/>
        </w:rPr>
        <w:t>s</w:t>
      </w:r>
      <w:r w:rsidR="003C594F" w:rsidRPr="002C025B">
        <w:rPr>
          <w:rFonts w:ascii="Segoe UI Light" w:hAnsi="Segoe UI Light"/>
        </w:rPr>
        <w:t xml:space="preserve">’ </w:t>
      </w:r>
      <w:r w:rsidR="00116A71" w:rsidRPr="002C025B">
        <w:rPr>
          <w:rFonts w:ascii="Segoe UI Light" w:hAnsi="Segoe UI Light"/>
        </w:rPr>
        <w:t xml:space="preserve">securities </w:t>
      </w:r>
      <w:r w:rsidR="003C594F" w:rsidRPr="002C025B">
        <w:rPr>
          <w:rFonts w:ascii="Segoe UI Light" w:hAnsi="Segoe UI Light"/>
        </w:rPr>
        <w:t>portfoli</w:t>
      </w:r>
      <w:r w:rsidR="00AE6A24" w:rsidRPr="002C025B">
        <w:rPr>
          <w:rFonts w:ascii="Segoe UI Light" w:hAnsi="Segoe UI Light"/>
        </w:rPr>
        <w:t>os</w:t>
      </w:r>
      <w:r w:rsidR="00C172C3" w:rsidRPr="002C025B">
        <w:rPr>
          <w:rFonts w:ascii="Segoe UI Light" w:hAnsi="Segoe UI Light"/>
        </w:rPr>
        <w:t xml:space="preserve">. </w:t>
      </w:r>
      <w:r w:rsidR="00B62520" w:rsidRPr="002C025B">
        <w:rPr>
          <w:rFonts w:ascii="Segoe UI Light" w:hAnsi="Segoe UI Light"/>
        </w:rPr>
        <w:t>Debt and equity s</w:t>
      </w:r>
      <w:r w:rsidR="001907A5" w:rsidRPr="002C025B">
        <w:rPr>
          <w:rFonts w:ascii="Segoe UI Light" w:hAnsi="Segoe UI Light"/>
        </w:rPr>
        <w:t xml:space="preserve">ecurities pledged for ELA funding </w:t>
      </w:r>
      <w:r w:rsidR="004D268F" w:rsidRPr="002C025B">
        <w:rPr>
          <w:rFonts w:ascii="Segoe UI Light" w:hAnsi="Segoe UI Light"/>
        </w:rPr>
        <w:t xml:space="preserve">in Template B </w:t>
      </w:r>
      <w:r w:rsidR="001907A5" w:rsidRPr="002C025B">
        <w:rPr>
          <w:rFonts w:ascii="Segoe UI Light" w:hAnsi="Segoe UI Light"/>
        </w:rPr>
        <w:t xml:space="preserve">should be </w:t>
      </w:r>
      <w:r w:rsidR="006B6A8B" w:rsidRPr="002C025B">
        <w:rPr>
          <w:rFonts w:ascii="Segoe UI Light" w:hAnsi="Segoe UI Light"/>
        </w:rPr>
        <w:t>reported</w:t>
      </w:r>
      <w:r w:rsidR="001907A5" w:rsidRPr="002C025B">
        <w:rPr>
          <w:rFonts w:ascii="Segoe UI Light" w:hAnsi="Segoe UI Light"/>
        </w:rPr>
        <w:t xml:space="preserve"> as encumbe</w:t>
      </w:r>
      <w:r w:rsidR="006B6A8B" w:rsidRPr="002C025B">
        <w:rPr>
          <w:rFonts w:ascii="Segoe UI Light" w:hAnsi="Segoe UI Light"/>
        </w:rPr>
        <w:t>red and unavailable in public disclosures, even if the source of that encumbrance is not disclosed</w:t>
      </w:r>
      <w:r w:rsidR="00116A71" w:rsidRPr="002C025B">
        <w:rPr>
          <w:rFonts w:ascii="Segoe UI Light" w:hAnsi="Segoe UI Light"/>
        </w:rPr>
        <w:t xml:space="preserve"> in Template C</w:t>
      </w:r>
      <w:r w:rsidR="001407AD" w:rsidRPr="002C025B">
        <w:rPr>
          <w:rFonts w:ascii="Segoe UI Light" w:hAnsi="Segoe UI Light"/>
        </w:rPr>
        <w:t>.</w:t>
      </w:r>
      <w:r w:rsidR="00223593" w:rsidRPr="002C025B">
        <w:rPr>
          <w:rFonts w:ascii="Segoe UI Light" w:hAnsi="Segoe UI Light"/>
        </w:rPr>
        <w:t xml:space="preserve"> (</w:t>
      </w:r>
      <w:r w:rsidR="00223593" w:rsidRPr="002C025B">
        <w:rPr>
          <w:rFonts w:ascii="Segoe UI Light" w:hAnsi="Segoe UI Light"/>
          <w:i/>
        </w:rPr>
        <w:t>This response relates to consultation questions 3,</w:t>
      </w:r>
      <w:r w:rsidR="00C64256" w:rsidRPr="002C025B">
        <w:rPr>
          <w:rFonts w:ascii="Segoe UI Light" w:hAnsi="Segoe UI Light"/>
          <w:i/>
        </w:rPr>
        <w:t>4,5,6</w:t>
      </w:r>
      <w:r w:rsidR="00503095" w:rsidRPr="002C025B">
        <w:rPr>
          <w:rFonts w:ascii="Segoe UI Light" w:hAnsi="Segoe UI Light"/>
          <w:i/>
        </w:rPr>
        <w:t>, 8</w:t>
      </w:r>
      <w:r w:rsidR="00C64256" w:rsidRPr="002C025B">
        <w:rPr>
          <w:rFonts w:ascii="Segoe UI Light" w:hAnsi="Segoe UI Light"/>
        </w:rPr>
        <w:t>)</w:t>
      </w:r>
    </w:p>
    <w:p w:rsidR="009016F2" w:rsidRPr="002C025B" w:rsidRDefault="009016F2" w:rsidP="00F863BF">
      <w:pPr>
        <w:pStyle w:val="Paragraphedeliste"/>
        <w:numPr>
          <w:ilvl w:val="0"/>
          <w:numId w:val="1"/>
        </w:numPr>
        <w:spacing w:after="240"/>
        <w:rPr>
          <w:rFonts w:ascii="Segoe UI Light" w:hAnsi="Segoe UI Light"/>
        </w:rPr>
      </w:pPr>
      <w:r w:rsidRPr="002C025B">
        <w:rPr>
          <w:rFonts w:ascii="Segoe UI Light" w:hAnsi="Segoe UI Light"/>
          <w:b/>
          <w:bCs/>
        </w:rPr>
        <w:t>Granularity of disclosure</w:t>
      </w:r>
      <w:r w:rsidRPr="002C025B">
        <w:rPr>
          <w:rFonts w:ascii="Segoe UI Light" w:hAnsi="Segoe UI Light"/>
        </w:rPr>
        <w:t xml:space="preserve">: </w:t>
      </w:r>
      <w:r w:rsidR="00804C27" w:rsidRPr="002C025B">
        <w:rPr>
          <w:rFonts w:ascii="Segoe UI Light" w:hAnsi="Segoe UI Light"/>
        </w:rPr>
        <w:t>Investors almost universally</w:t>
      </w:r>
      <w:r w:rsidR="00E46A31" w:rsidRPr="002C025B">
        <w:rPr>
          <w:rFonts w:ascii="Segoe UI Light" w:hAnsi="Segoe UI Light"/>
        </w:rPr>
        <w:t xml:space="preserve"> </w:t>
      </w:r>
      <w:r w:rsidR="001A358B" w:rsidRPr="002C025B">
        <w:rPr>
          <w:rFonts w:ascii="Segoe UI Light" w:hAnsi="Segoe UI Light"/>
        </w:rPr>
        <w:t xml:space="preserve">prefer more-granular disclosure. </w:t>
      </w:r>
      <w:r w:rsidRPr="002C025B">
        <w:rPr>
          <w:rFonts w:ascii="Segoe UI Light" w:hAnsi="Segoe UI Light"/>
        </w:rPr>
        <w:t>The Enhanced D</w:t>
      </w:r>
      <w:r w:rsidR="00B5489F" w:rsidRPr="002C025B">
        <w:rPr>
          <w:rFonts w:ascii="Segoe UI Light" w:hAnsi="Segoe UI Light"/>
        </w:rPr>
        <w:t xml:space="preserve">isclosure Task Force, of which </w:t>
      </w:r>
      <w:r w:rsidR="00B6584F" w:rsidRPr="00B6584F">
        <w:rPr>
          <w:rFonts w:ascii="Segoe UI Light" w:hAnsi="Segoe UI Light"/>
        </w:rPr>
        <w:t>Allianz Global Investors</w:t>
      </w:r>
      <w:r w:rsidR="00B5489F" w:rsidRPr="00EA6FEC">
        <w:rPr>
          <w:rFonts w:ascii="Segoe UI Light" w:hAnsi="Segoe UI Light"/>
          <w:color w:val="FF0000"/>
        </w:rPr>
        <w:t xml:space="preserve"> </w:t>
      </w:r>
      <w:r w:rsidRPr="002C025B">
        <w:rPr>
          <w:rFonts w:ascii="Segoe UI Light" w:hAnsi="Segoe UI Light"/>
        </w:rPr>
        <w:t>is a member, has recommended a more-granular breakout of encumb</w:t>
      </w:r>
      <w:r w:rsidR="00032239" w:rsidRPr="002C025B">
        <w:rPr>
          <w:rFonts w:ascii="Segoe UI Light" w:hAnsi="Segoe UI Light"/>
        </w:rPr>
        <w:t>ered and unencumbered assets by balance sheet ca</w:t>
      </w:r>
      <w:r w:rsidR="002B04F9" w:rsidRPr="002C025B">
        <w:rPr>
          <w:rFonts w:ascii="Segoe UI Light" w:hAnsi="Segoe UI Light"/>
        </w:rPr>
        <w:t xml:space="preserve">tegory, including breakouts for cash &amp; equivalents, sovereigns, other investment securities, derivatives, loans and other assets. </w:t>
      </w:r>
      <w:r w:rsidRPr="002C025B">
        <w:rPr>
          <w:rFonts w:ascii="Segoe UI Light" w:hAnsi="Segoe UI Light"/>
        </w:rPr>
        <w:t xml:space="preserve"> </w:t>
      </w:r>
      <w:r w:rsidR="00CC3A5F" w:rsidRPr="002C025B">
        <w:rPr>
          <w:rFonts w:ascii="Segoe UI Light" w:hAnsi="Segoe UI Light"/>
        </w:rPr>
        <w:t xml:space="preserve">In terms of disclosure about the quality of encumbered and unencumbered assets, investors would find it useful to distinguish between “investment grade” and “below investment grade” debt securities. </w:t>
      </w:r>
      <w:r w:rsidR="002B04F9" w:rsidRPr="002C025B">
        <w:rPr>
          <w:rFonts w:ascii="Segoe UI Light" w:hAnsi="Segoe UI Light"/>
        </w:rPr>
        <w:t>This information is cr</w:t>
      </w:r>
      <w:r w:rsidR="00BD7BDA" w:rsidRPr="002C025B">
        <w:rPr>
          <w:rFonts w:ascii="Segoe UI Light" w:hAnsi="Segoe UI Light"/>
        </w:rPr>
        <w:t xml:space="preserve">ucial for investors considering unsecured investments in a bank because </w:t>
      </w:r>
      <w:r w:rsidR="004D268F" w:rsidRPr="002C025B">
        <w:rPr>
          <w:rFonts w:ascii="Segoe UI Light" w:hAnsi="Segoe UI Light"/>
        </w:rPr>
        <w:t>the</w:t>
      </w:r>
      <w:r w:rsidR="00BD7BDA" w:rsidRPr="002C025B">
        <w:rPr>
          <w:rFonts w:ascii="Segoe UI Light" w:hAnsi="Segoe UI Light"/>
        </w:rPr>
        <w:t xml:space="preserve"> encumbrance</w:t>
      </w:r>
      <w:r w:rsidR="004D268F" w:rsidRPr="002C025B">
        <w:rPr>
          <w:rFonts w:ascii="Segoe UI Light" w:hAnsi="Segoe UI Light"/>
        </w:rPr>
        <w:t xml:space="preserve"> of the balance sheet</w:t>
      </w:r>
      <w:r w:rsidR="00BD7BDA" w:rsidRPr="002C025B">
        <w:rPr>
          <w:rFonts w:ascii="Segoe UI Light" w:hAnsi="Segoe UI Light"/>
        </w:rPr>
        <w:t xml:space="preserve"> directly impacts recovery rates in the event of a default</w:t>
      </w:r>
      <w:r w:rsidR="00F2566C" w:rsidRPr="002C025B">
        <w:rPr>
          <w:rFonts w:ascii="Segoe UI Light" w:hAnsi="Segoe UI Light"/>
        </w:rPr>
        <w:t xml:space="preserve"> and there are marked differences in the liquidity and </w:t>
      </w:r>
      <w:r w:rsidR="00E46A31" w:rsidRPr="002C025B">
        <w:rPr>
          <w:rFonts w:ascii="Segoe UI Light" w:hAnsi="Segoe UI Light"/>
        </w:rPr>
        <w:t>secondary marketability of each of the balance sheet categories requested.</w:t>
      </w:r>
      <w:r w:rsidR="00804C27" w:rsidRPr="002C025B">
        <w:rPr>
          <w:rFonts w:ascii="Segoe UI Light" w:hAnsi="Segoe UI Light"/>
        </w:rPr>
        <w:t xml:space="preserve"> </w:t>
      </w:r>
      <w:r w:rsidR="00CC3A5F" w:rsidRPr="002C025B">
        <w:rPr>
          <w:rFonts w:ascii="Segoe UI Light" w:hAnsi="Segoe UI Light"/>
        </w:rPr>
        <w:t>(</w:t>
      </w:r>
      <w:r w:rsidR="00CC3A5F" w:rsidRPr="002C025B">
        <w:rPr>
          <w:rFonts w:ascii="Segoe UI Light" w:hAnsi="Segoe UI Light"/>
          <w:i/>
        </w:rPr>
        <w:t>This response relates to consultation questions 1 &amp; 2</w:t>
      </w:r>
      <w:r w:rsidR="00CC3A5F" w:rsidRPr="002C025B">
        <w:rPr>
          <w:rFonts w:ascii="Segoe UI Light" w:hAnsi="Segoe UI Light"/>
        </w:rPr>
        <w:t>)</w:t>
      </w:r>
    </w:p>
    <w:p w:rsidR="004F503B" w:rsidRPr="002C025B" w:rsidRDefault="008E6D4F" w:rsidP="00F863BF">
      <w:pPr>
        <w:pStyle w:val="Paragraphedeliste"/>
        <w:numPr>
          <w:ilvl w:val="0"/>
          <w:numId w:val="1"/>
        </w:numPr>
        <w:spacing w:after="240"/>
        <w:rPr>
          <w:rFonts w:ascii="Segoe UI Light" w:hAnsi="Segoe UI Light"/>
        </w:rPr>
      </w:pPr>
      <w:r w:rsidRPr="002C025B">
        <w:rPr>
          <w:rFonts w:ascii="Segoe UI Light" w:hAnsi="Segoe UI Light"/>
          <w:b/>
          <w:bCs/>
        </w:rPr>
        <w:t>Timing of disclosure</w:t>
      </w:r>
      <w:r w:rsidRPr="002C025B">
        <w:rPr>
          <w:rFonts w:ascii="Segoe UI Light" w:hAnsi="Segoe UI Light"/>
        </w:rPr>
        <w:t xml:space="preserve">: </w:t>
      </w:r>
      <w:r w:rsidR="003C2DD2" w:rsidRPr="002C025B">
        <w:rPr>
          <w:rFonts w:ascii="Segoe UI Light" w:hAnsi="Segoe UI Light"/>
        </w:rPr>
        <w:t xml:space="preserve">The Enhanced Disclosure Task Force </w:t>
      </w:r>
      <w:r w:rsidR="00941953" w:rsidRPr="002C025B">
        <w:rPr>
          <w:rFonts w:ascii="Segoe UI Light" w:hAnsi="Segoe UI Light"/>
        </w:rPr>
        <w:t>recommends disclosure of all relevant financial information at the same time</w:t>
      </w:r>
      <w:r w:rsidR="005F4A85" w:rsidRPr="002C025B">
        <w:rPr>
          <w:rFonts w:ascii="Segoe UI Light" w:hAnsi="Segoe UI Light"/>
        </w:rPr>
        <w:t>. D</w:t>
      </w:r>
      <w:r w:rsidR="00DC64C4" w:rsidRPr="002C025B">
        <w:rPr>
          <w:rFonts w:ascii="Segoe UI Light" w:hAnsi="Segoe UI Light"/>
        </w:rPr>
        <w:t>isclosures on asset encumbrance should be no exception</w:t>
      </w:r>
      <w:r w:rsidR="00941953" w:rsidRPr="002C025B">
        <w:rPr>
          <w:rFonts w:ascii="Segoe UI Light" w:hAnsi="Segoe UI Light"/>
        </w:rPr>
        <w:t xml:space="preserve">. </w:t>
      </w:r>
      <w:r w:rsidR="00E36B9A" w:rsidRPr="002C025B">
        <w:rPr>
          <w:rFonts w:ascii="Segoe UI Light" w:hAnsi="Segoe UI Light"/>
        </w:rPr>
        <w:t xml:space="preserve">Toward that end, we would encourage banks to provide information on asset encumbrance in conjunction with regular financial reporting, ideally on a quarterly basis, and there should be clear criteria </w:t>
      </w:r>
      <w:r w:rsidR="005E1A5A" w:rsidRPr="002C025B">
        <w:rPr>
          <w:rFonts w:ascii="Segoe UI Light" w:hAnsi="Segoe UI Light"/>
        </w:rPr>
        <w:t>that define when</w:t>
      </w:r>
      <w:r w:rsidR="00350D64" w:rsidRPr="002C025B">
        <w:rPr>
          <w:rFonts w:ascii="Segoe UI Light" w:hAnsi="Segoe UI Light"/>
        </w:rPr>
        <w:t xml:space="preserve"> a time delay of up to six months is appropriate. In periods without significant sys</w:t>
      </w:r>
      <w:r w:rsidR="009513CB" w:rsidRPr="002C025B">
        <w:rPr>
          <w:rFonts w:ascii="Segoe UI Light" w:hAnsi="Segoe UI Light"/>
        </w:rPr>
        <w:t xml:space="preserve">temic distress, complete disclosure of asset encumbrance information should be provided </w:t>
      </w:r>
      <w:r w:rsidR="004F503B" w:rsidRPr="002C025B">
        <w:rPr>
          <w:rFonts w:ascii="Segoe UI Light" w:hAnsi="Segoe UI Light"/>
        </w:rPr>
        <w:t xml:space="preserve">immediately, even if that provides a means for the market to identify institutions that are experiencing </w:t>
      </w:r>
      <w:r w:rsidR="009E3F00" w:rsidRPr="002C025B">
        <w:rPr>
          <w:rFonts w:ascii="Segoe UI Light" w:hAnsi="Segoe UI Light"/>
        </w:rPr>
        <w:t xml:space="preserve">specific </w:t>
      </w:r>
      <w:r w:rsidR="009E3F00" w:rsidRPr="00303417">
        <w:rPr>
          <w:rFonts w:ascii="Segoe UI Light" w:hAnsi="Segoe UI Light"/>
        </w:rPr>
        <w:t>idiosyncratic c</w:t>
      </w:r>
      <w:r w:rsidR="00282659" w:rsidRPr="00303417">
        <w:rPr>
          <w:rFonts w:ascii="Segoe UI Light" w:hAnsi="Segoe UI Light"/>
        </w:rPr>
        <w:t xml:space="preserve">hallenges. For example, the </w:t>
      </w:r>
      <w:r w:rsidR="00282659" w:rsidRPr="00303417">
        <w:rPr>
          <w:rFonts w:ascii="Segoe UI Light" w:hAnsi="Segoe UI Light"/>
        </w:rPr>
        <w:lastRenderedPageBreak/>
        <w:t xml:space="preserve">EBA, </w:t>
      </w:r>
      <w:r w:rsidR="002F5791" w:rsidRPr="00303417">
        <w:rPr>
          <w:rFonts w:ascii="Segoe UI Light" w:hAnsi="Segoe UI Light"/>
        </w:rPr>
        <w:t>ESRB</w:t>
      </w:r>
      <w:r w:rsidR="00282659" w:rsidRPr="00303417">
        <w:rPr>
          <w:rFonts w:ascii="Segoe UI Light" w:hAnsi="Segoe UI Light"/>
        </w:rPr>
        <w:t xml:space="preserve"> or national regulators</w:t>
      </w:r>
      <w:r w:rsidR="002F5791" w:rsidRPr="00303417">
        <w:rPr>
          <w:rFonts w:ascii="Segoe UI Light" w:hAnsi="Segoe UI Light"/>
        </w:rPr>
        <w:t xml:space="preserve"> </w:t>
      </w:r>
      <w:r w:rsidR="009E3F00" w:rsidRPr="00303417">
        <w:rPr>
          <w:rFonts w:ascii="Segoe UI Light" w:hAnsi="Segoe UI Light"/>
        </w:rPr>
        <w:t xml:space="preserve">could </w:t>
      </w:r>
      <w:r w:rsidR="00E95953" w:rsidRPr="00303417">
        <w:rPr>
          <w:rFonts w:ascii="Segoe UI Light" w:hAnsi="Segoe UI Light"/>
        </w:rPr>
        <w:t>designate whether there are systemic risks in a particul</w:t>
      </w:r>
      <w:r w:rsidR="003C4632" w:rsidRPr="00303417">
        <w:rPr>
          <w:rFonts w:ascii="Segoe UI Light" w:hAnsi="Segoe UI Light"/>
        </w:rPr>
        <w:t xml:space="preserve">ar country on a quarterly basis and banks operating in that country would be allowed to delay asset encumbrance reporting </w:t>
      </w:r>
      <w:r w:rsidR="005F4A85" w:rsidRPr="00303417">
        <w:rPr>
          <w:rFonts w:ascii="Segoe UI Light" w:hAnsi="Segoe UI Light"/>
        </w:rPr>
        <w:t xml:space="preserve">that quarter </w:t>
      </w:r>
      <w:r w:rsidR="003C4632" w:rsidRPr="00303417">
        <w:rPr>
          <w:rFonts w:ascii="Segoe UI Light" w:hAnsi="Segoe UI Light"/>
        </w:rPr>
        <w:t xml:space="preserve">for up to six months; however, if no such systemic risks are </w:t>
      </w:r>
      <w:r w:rsidR="00362AC1" w:rsidRPr="00303417">
        <w:rPr>
          <w:rFonts w:ascii="Segoe UI Light" w:hAnsi="Segoe UI Light"/>
        </w:rPr>
        <w:t>present then</w:t>
      </w:r>
      <w:r w:rsidR="005355AD" w:rsidRPr="00303417">
        <w:rPr>
          <w:rFonts w:ascii="Segoe UI Light" w:hAnsi="Segoe UI Light"/>
        </w:rPr>
        <w:t xml:space="preserve"> all banks should be required to provide their asset encumbrance disclosures in conjunction with regular financial reporting</w:t>
      </w:r>
      <w:r w:rsidR="00B8018C" w:rsidRPr="00303417">
        <w:rPr>
          <w:rFonts w:ascii="Segoe UI Light" w:hAnsi="Segoe UI Light"/>
        </w:rPr>
        <w:t>.</w:t>
      </w:r>
      <w:r w:rsidR="005355AD" w:rsidRPr="00303417">
        <w:rPr>
          <w:rFonts w:ascii="Segoe UI Light" w:hAnsi="Segoe UI Light"/>
        </w:rPr>
        <w:t xml:space="preserve"> (</w:t>
      </w:r>
      <w:r w:rsidR="005355AD" w:rsidRPr="00303417">
        <w:rPr>
          <w:rFonts w:ascii="Segoe UI Light" w:hAnsi="Segoe UI Light"/>
          <w:i/>
        </w:rPr>
        <w:t xml:space="preserve">This </w:t>
      </w:r>
      <w:r w:rsidR="005355AD" w:rsidRPr="002C025B">
        <w:rPr>
          <w:rFonts w:ascii="Segoe UI Light" w:hAnsi="Segoe UI Light"/>
          <w:i/>
        </w:rPr>
        <w:t>response relates to consultation question 9</w:t>
      </w:r>
      <w:r w:rsidR="005355AD" w:rsidRPr="002C025B">
        <w:rPr>
          <w:rFonts w:ascii="Segoe UI Light" w:hAnsi="Segoe UI Light"/>
        </w:rPr>
        <w:t>)</w:t>
      </w:r>
    </w:p>
    <w:p w:rsidR="00E6038E" w:rsidRPr="002C025B" w:rsidRDefault="00A60B1B" w:rsidP="00F863BF">
      <w:pPr>
        <w:pStyle w:val="Paragraphedeliste"/>
        <w:numPr>
          <w:ilvl w:val="0"/>
          <w:numId w:val="1"/>
        </w:numPr>
        <w:spacing w:after="240"/>
        <w:rPr>
          <w:rFonts w:ascii="Segoe UI Light" w:hAnsi="Segoe UI Light"/>
        </w:rPr>
      </w:pPr>
      <w:r w:rsidRPr="002C025B">
        <w:rPr>
          <w:rFonts w:ascii="Segoe UI Light" w:hAnsi="Segoe UI Light"/>
          <w:b/>
          <w:bCs/>
        </w:rPr>
        <w:t>Sources of encumbrance</w:t>
      </w:r>
      <w:r w:rsidRPr="002C025B">
        <w:rPr>
          <w:rFonts w:ascii="Segoe UI Light" w:hAnsi="Segoe UI Light"/>
        </w:rPr>
        <w:t xml:space="preserve">: </w:t>
      </w:r>
      <w:r w:rsidR="007D42D9" w:rsidRPr="002C025B">
        <w:rPr>
          <w:rFonts w:ascii="Segoe UI Light" w:hAnsi="Segoe UI Light"/>
        </w:rPr>
        <w:t xml:space="preserve">Template C presents valuable information on sources of encumbrance that is critical </w:t>
      </w:r>
      <w:r w:rsidR="002B11F4" w:rsidRPr="002C025B">
        <w:rPr>
          <w:rFonts w:ascii="Segoe UI Light" w:hAnsi="Segoe UI Light"/>
        </w:rPr>
        <w:t>to</w:t>
      </w:r>
      <w:r w:rsidR="007D42D9" w:rsidRPr="002C025B">
        <w:rPr>
          <w:rFonts w:ascii="Segoe UI Light" w:hAnsi="Segoe UI Light"/>
        </w:rPr>
        <w:t xml:space="preserve"> </w:t>
      </w:r>
      <w:r w:rsidR="001407AD" w:rsidRPr="002C025B">
        <w:rPr>
          <w:rFonts w:ascii="Segoe UI Light" w:hAnsi="Segoe UI Light"/>
        </w:rPr>
        <w:t xml:space="preserve">analysts’ </w:t>
      </w:r>
      <w:r w:rsidR="007D42D9" w:rsidRPr="002C025B">
        <w:rPr>
          <w:rFonts w:ascii="Segoe UI Light" w:hAnsi="Segoe UI Light"/>
        </w:rPr>
        <w:t xml:space="preserve">understanding </w:t>
      </w:r>
      <w:r w:rsidR="001407AD" w:rsidRPr="002C025B">
        <w:rPr>
          <w:rFonts w:ascii="Segoe UI Light" w:hAnsi="Segoe UI Light"/>
        </w:rPr>
        <w:t xml:space="preserve">of the </w:t>
      </w:r>
      <w:r w:rsidR="00ED2C0C" w:rsidRPr="002C025B">
        <w:rPr>
          <w:rFonts w:ascii="Segoe UI Light" w:hAnsi="Segoe UI Light"/>
        </w:rPr>
        <w:t xml:space="preserve">institution’s </w:t>
      </w:r>
      <w:r w:rsidR="007D42D9" w:rsidRPr="002C025B">
        <w:rPr>
          <w:rFonts w:ascii="Segoe UI Light" w:hAnsi="Segoe UI Light"/>
        </w:rPr>
        <w:t>business model and</w:t>
      </w:r>
      <w:r w:rsidR="00ED2C0C" w:rsidRPr="002C025B">
        <w:rPr>
          <w:rFonts w:ascii="Segoe UI Light" w:hAnsi="Segoe UI Light"/>
        </w:rPr>
        <w:t xml:space="preserve"> the</w:t>
      </w:r>
      <w:r w:rsidR="007D42D9" w:rsidRPr="002C025B">
        <w:rPr>
          <w:rFonts w:ascii="Segoe UI Light" w:hAnsi="Segoe UI Light"/>
        </w:rPr>
        <w:t xml:space="preserve"> funding choices that </w:t>
      </w:r>
      <w:r w:rsidR="00ED2C0C" w:rsidRPr="002C025B">
        <w:rPr>
          <w:rFonts w:ascii="Segoe UI Light" w:hAnsi="Segoe UI Light"/>
        </w:rPr>
        <w:t>affect</w:t>
      </w:r>
      <w:r w:rsidR="007D42D9" w:rsidRPr="002C025B">
        <w:rPr>
          <w:rFonts w:ascii="Segoe UI Light" w:hAnsi="Segoe UI Light"/>
        </w:rPr>
        <w:t xml:space="preserve"> its balance sheet. An open narrative as propose</w:t>
      </w:r>
      <w:r w:rsidR="00225086" w:rsidRPr="002C025B">
        <w:rPr>
          <w:rFonts w:ascii="Segoe UI Light" w:hAnsi="Segoe UI Light"/>
        </w:rPr>
        <w:t>d</w:t>
      </w:r>
      <w:r w:rsidR="007D42D9" w:rsidRPr="002C025B">
        <w:rPr>
          <w:rFonts w:ascii="Segoe UI Light" w:hAnsi="Segoe UI Light"/>
        </w:rPr>
        <w:t xml:space="preserve"> in Template D would not only reduce comparability</w:t>
      </w:r>
      <w:r w:rsidR="004E7C78" w:rsidRPr="002C025B">
        <w:rPr>
          <w:rFonts w:ascii="Segoe UI Light" w:hAnsi="Segoe UI Light"/>
        </w:rPr>
        <w:t xml:space="preserve"> over time and</w:t>
      </w:r>
      <w:r w:rsidR="007D42D9" w:rsidRPr="002C025B">
        <w:rPr>
          <w:rFonts w:ascii="Segoe UI Light" w:hAnsi="Segoe UI Light"/>
        </w:rPr>
        <w:t xml:space="preserve"> across institutions</w:t>
      </w:r>
      <w:r w:rsidR="00225086" w:rsidRPr="002C025B">
        <w:rPr>
          <w:rFonts w:ascii="Segoe UI Light" w:hAnsi="Segoe UI Light"/>
        </w:rPr>
        <w:t>,</w:t>
      </w:r>
      <w:r w:rsidR="007D42D9" w:rsidRPr="002C025B">
        <w:rPr>
          <w:rFonts w:ascii="Segoe UI Light" w:hAnsi="Segoe UI Light"/>
        </w:rPr>
        <w:t xml:space="preserve"> but could be</w:t>
      </w:r>
      <w:r w:rsidR="002B11F4" w:rsidRPr="002C025B">
        <w:rPr>
          <w:rFonts w:ascii="Segoe UI Light" w:hAnsi="Segoe UI Light"/>
        </w:rPr>
        <w:t xml:space="preserve"> </w:t>
      </w:r>
      <w:r w:rsidR="007D42D9" w:rsidRPr="002C025B">
        <w:rPr>
          <w:rFonts w:ascii="Segoe UI Light" w:hAnsi="Segoe UI Light"/>
        </w:rPr>
        <w:t>le</w:t>
      </w:r>
      <w:r w:rsidR="002B11F4" w:rsidRPr="002C025B">
        <w:rPr>
          <w:rFonts w:ascii="Segoe UI Light" w:hAnsi="Segoe UI Light"/>
        </w:rPr>
        <w:t>ss comprehensive</w:t>
      </w:r>
      <w:r w:rsidR="007D42D9" w:rsidRPr="002C025B">
        <w:rPr>
          <w:rFonts w:ascii="Segoe UI Light" w:hAnsi="Segoe UI Light"/>
        </w:rPr>
        <w:t xml:space="preserve"> if institution</w:t>
      </w:r>
      <w:r w:rsidR="00225086" w:rsidRPr="002C025B">
        <w:rPr>
          <w:rFonts w:ascii="Segoe UI Light" w:hAnsi="Segoe UI Light"/>
        </w:rPr>
        <w:t>s</w:t>
      </w:r>
      <w:r w:rsidR="007D42D9" w:rsidRPr="002C025B">
        <w:rPr>
          <w:rFonts w:ascii="Segoe UI Light" w:hAnsi="Segoe UI Light"/>
        </w:rPr>
        <w:t xml:space="preserve"> were to emphasize </w:t>
      </w:r>
      <w:r w:rsidR="00225086" w:rsidRPr="002C025B">
        <w:rPr>
          <w:rFonts w:ascii="Segoe UI Light" w:hAnsi="Segoe UI Light"/>
        </w:rPr>
        <w:t>certain</w:t>
      </w:r>
      <w:r w:rsidR="007D42D9" w:rsidRPr="002C025B">
        <w:rPr>
          <w:rFonts w:ascii="Segoe UI Light" w:hAnsi="Segoe UI Light"/>
        </w:rPr>
        <w:t xml:space="preserve"> form</w:t>
      </w:r>
      <w:r w:rsidR="00225086" w:rsidRPr="002C025B">
        <w:rPr>
          <w:rFonts w:ascii="Segoe UI Light" w:hAnsi="Segoe UI Light"/>
        </w:rPr>
        <w:t>s</w:t>
      </w:r>
      <w:r w:rsidR="007D42D9" w:rsidRPr="002C025B">
        <w:rPr>
          <w:rFonts w:ascii="Segoe UI Light" w:hAnsi="Segoe UI Light"/>
        </w:rPr>
        <w:t xml:space="preserve"> of </w:t>
      </w:r>
      <w:r w:rsidR="00225086" w:rsidRPr="002C025B">
        <w:rPr>
          <w:rFonts w:ascii="Segoe UI Light" w:hAnsi="Segoe UI Light"/>
        </w:rPr>
        <w:t xml:space="preserve">encumbrance at the expense of </w:t>
      </w:r>
      <w:r w:rsidR="007D42D9" w:rsidRPr="002C025B">
        <w:rPr>
          <w:rFonts w:ascii="Segoe UI Light" w:hAnsi="Segoe UI Light"/>
        </w:rPr>
        <w:t>other</w:t>
      </w:r>
      <w:r w:rsidR="00225086" w:rsidRPr="002C025B">
        <w:rPr>
          <w:rFonts w:ascii="Segoe UI Light" w:hAnsi="Segoe UI Light"/>
        </w:rPr>
        <w:t>s</w:t>
      </w:r>
      <w:r w:rsidR="007D42D9" w:rsidRPr="002C025B">
        <w:rPr>
          <w:rFonts w:ascii="Segoe UI Light" w:hAnsi="Segoe UI Light"/>
        </w:rPr>
        <w:t xml:space="preserve">. </w:t>
      </w:r>
      <w:r w:rsidR="003948CF" w:rsidRPr="002C025B">
        <w:rPr>
          <w:rFonts w:ascii="Segoe UI Light" w:hAnsi="Segoe UI Light"/>
        </w:rPr>
        <w:t>We believe that the proposed grouping of liability line items would not</w:t>
      </w:r>
      <w:r w:rsidR="003948CF">
        <w:rPr>
          <w:rFonts w:ascii="Segoe UI Light" w:hAnsi="Segoe UI Light"/>
        </w:rPr>
        <w:t xml:space="preserve"> necessarily </w:t>
      </w:r>
      <w:r w:rsidR="003948CF" w:rsidRPr="002C025B">
        <w:rPr>
          <w:rFonts w:ascii="Segoe UI Light" w:hAnsi="Segoe UI Light"/>
        </w:rPr>
        <w:t xml:space="preserve">enable market participants to identify encumbrance related to specific transactions such as ELA. </w:t>
      </w:r>
      <w:r w:rsidR="00E6038E" w:rsidRPr="002C025B">
        <w:rPr>
          <w:rFonts w:ascii="Segoe UI Light" w:hAnsi="Segoe UI Light"/>
        </w:rPr>
        <w:t>(</w:t>
      </w:r>
      <w:r w:rsidR="00E6038E" w:rsidRPr="002C025B">
        <w:rPr>
          <w:rFonts w:ascii="Segoe UI Light" w:hAnsi="Segoe UI Light"/>
          <w:i/>
        </w:rPr>
        <w:t>This response relates to consultation question 6</w:t>
      </w:r>
      <w:r w:rsidR="00E6038E" w:rsidRPr="002C025B">
        <w:rPr>
          <w:rFonts w:ascii="Segoe UI Light" w:hAnsi="Segoe UI Light"/>
        </w:rPr>
        <w:t>)</w:t>
      </w:r>
    </w:p>
    <w:p w:rsidR="001E19AC" w:rsidRPr="002C025B" w:rsidRDefault="001E19AC" w:rsidP="00F863BF">
      <w:pPr>
        <w:pStyle w:val="Paragraphedeliste"/>
        <w:numPr>
          <w:ilvl w:val="0"/>
          <w:numId w:val="1"/>
        </w:numPr>
        <w:spacing w:after="240"/>
        <w:rPr>
          <w:rFonts w:ascii="Segoe UI Light" w:hAnsi="Segoe UI Light"/>
        </w:rPr>
      </w:pPr>
      <w:r w:rsidRPr="002C025B">
        <w:rPr>
          <w:rFonts w:ascii="Segoe UI Light" w:hAnsi="Segoe UI Light"/>
          <w:b/>
          <w:bCs/>
        </w:rPr>
        <w:t>Balance sheet reconciliation</w:t>
      </w:r>
      <w:r w:rsidRPr="002C025B">
        <w:rPr>
          <w:rFonts w:ascii="Segoe UI Light" w:hAnsi="Segoe UI Light"/>
        </w:rPr>
        <w:t>: Reconciliation to balance sheet statements is important for debt and equity investors and reporting of median values is unlikely to tie to quarter-end financial statements. As a result we would suggest that banks report both median and end-of-period balances for asset encumbrance disclosures</w:t>
      </w:r>
      <w:r w:rsidR="00B8018C" w:rsidRPr="002C025B">
        <w:rPr>
          <w:rFonts w:ascii="Segoe UI Light" w:hAnsi="Segoe UI Light"/>
        </w:rPr>
        <w:t>.</w:t>
      </w:r>
      <w:r w:rsidRPr="002C025B">
        <w:rPr>
          <w:rFonts w:ascii="Segoe UI Light" w:hAnsi="Segoe UI Light"/>
        </w:rPr>
        <w:t xml:space="preserve"> (</w:t>
      </w:r>
      <w:r w:rsidRPr="002C025B">
        <w:rPr>
          <w:rFonts w:ascii="Segoe UI Light" w:hAnsi="Segoe UI Light"/>
          <w:i/>
        </w:rPr>
        <w:t>This response relates to consultation question 7</w:t>
      </w:r>
      <w:r w:rsidRPr="002C025B">
        <w:rPr>
          <w:rFonts w:ascii="Segoe UI Light" w:hAnsi="Segoe UI Light"/>
        </w:rPr>
        <w:t>)</w:t>
      </w:r>
    </w:p>
    <w:p w:rsidR="008E6D4F" w:rsidRPr="002C025B" w:rsidRDefault="008E6D4F" w:rsidP="00F863BF">
      <w:pPr>
        <w:pStyle w:val="Paragraphedeliste"/>
        <w:numPr>
          <w:ilvl w:val="0"/>
          <w:numId w:val="1"/>
        </w:numPr>
        <w:spacing w:after="240"/>
        <w:rPr>
          <w:rFonts w:ascii="Segoe UI Light" w:hAnsi="Segoe UI Light"/>
        </w:rPr>
      </w:pPr>
      <w:r w:rsidRPr="002C025B">
        <w:rPr>
          <w:rFonts w:ascii="Segoe UI Light" w:hAnsi="Segoe UI Light"/>
          <w:b/>
          <w:bCs/>
        </w:rPr>
        <w:t>Implementation date</w:t>
      </w:r>
      <w:r w:rsidRPr="002C025B">
        <w:rPr>
          <w:rFonts w:ascii="Segoe UI Light" w:hAnsi="Segoe UI Light"/>
        </w:rPr>
        <w:t xml:space="preserve">: </w:t>
      </w:r>
      <w:r w:rsidR="003B65E3" w:rsidRPr="002C025B">
        <w:rPr>
          <w:rFonts w:ascii="Segoe UI Light" w:hAnsi="Segoe UI Light"/>
        </w:rPr>
        <w:t>Asset encumbrance is a critical area of interest for investors at present and w</w:t>
      </w:r>
      <w:r w:rsidR="00071510" w:rsidRPr="002C025B">
        <w:rPr>
          <w:rFonts w:ascii="Segoe UI Light" w:hAnsi="Segoe UI Light"/>
        </w:rPr>
        <w:t>e</w:t>
      </w:r>
      <w:r w:rsidR="003B65E3" w:rsidRPr="002C025B">
        <w:rPr>
          <w:rFonts w:ascii="Segoe UI Light" w:hAnsi="Segoe UI Light"/>
        </w:rPr>
        <w:t xml:space="preserve"> would encourage the EBA to accelerate the finalization and implementation dates for the proposed </w:t>
      </w:r>
      <w:r w:rsidR="00071510" w:rsidRPr="002C025B">
        <w:rPr>
          <w:rFonts w:ascii="Segoe UI Light" w:hAnsi="Segoe UI Light"/>
        </w:rPr>
        <w:t>t</w:t>
      </w:r>
      <w:r w:rsidR="00503095" w:rsidRPr="002C025B">
        <w:rPr>
          <w:rFonts w:ascii="Segoe UI Light" w:hAnsi="Segoe UI Light"/>
        </w:rPr>
        <w:t xml:space="preserve">echnical standards with effective dates no later than </w:t>
      </w:r>
      <w:r w:rsidRPr="002C025B">
        <w:rPr>
          <w:rFonts w:ascii="Segoe UI Light" w:hAnsi="Segoe UI Light"/>
        </w:rPr>
        <w:t>2016</w:t>
      </w:r>
      <w:r w:rsidR="003B65E3" w:rsidRPr="002C025B">
        <w:rPr>
          <w:rFonts w:ascii="Segoe UI Light" w:hAnsi="Segoe UI Light"/>
        </w:rPr>
        <w:t xml:space="preserve">. </w:t>
      </w:r>
    </w:p>
    <w:p w:rsidR="007C406B" w:rsidRPr="002C025B" w:rsidRDefault="007C406B" w:rsidP="007C406B">
      <w:pPr>
        <w:rPr>
          <w:rFonts w:ascii="Segoe UI Light" w:eastAsia="Times New Roman" w:hAnsi="Segoe UI Light"/>
        </w:rPr>
      </w:pPr>
    </w:p>
    <w:p w:rsidR="00F36F7C" w:rsidRDefault="007C406B">
      <w:pPr>
        <w:rPr>
          <w:rFonts w:ascii="Segoe UI Light" w:eastAsia="Times New Roman" w:hAnsi="Segoe UI Light"/>
        </w:rPr>
      </w:pPr>
      <w:r w:rsidRPr="002C025B">
        <w:rPr>
          <w:rFonts w:ascii="Segoe UI Light" w:eastAsia="Times New Roman" w:hAnsi="Segoe UI Light"/>
        </w:rPr>
        <w:t xml:space="preserve">We would greatly appreciate </w:t>
      </w:r>
      <w:r w:rsidR="008D51CA" w:rsidRPr="002C025B">
        <w:rPr>
          <w:rFonts w:ascii="Segoe UI Light" w:eastAsia="Times New Roman" w:hAnsi="Segoe UI Light"/>
        </w:rPr>
        <w:t xml:space="preserve">your </w:t>
      </w:r>
      <w:r w:rsidRPr="002C025B">
        <w:rPr>
          <w:rFonts w:ascii="Segoe UI Light" w:eastAsia="Times New Roman" w:hAnsi="Segoe UI Light"/>
        </w:rPr>
        <w:t>considering our comments.</w:t>
      </w:r>
    </w:p>
    <w:p w:rsidR="00F863BF" w:rsidRPr="002C025B" w:rsidRDefault="00F863BF">
      <w:pPr>
        <w:rPr>
          <w:rFonts w:ascii="Segoe UI Light" w:eastAsia="Times New Roman" w:hAnsi="Segoe UI Light"/>
        </w:rPr>
      </w:pPr>
    </w:p>
    <w:p w:rsidR="00B01B28" w:rsidRPr="002C025B" w:rsidRDefault="00B01B28">
      <w:pPr>
        <w:rPr>
          <w:rFonts w:ascii="Segoe UI Light" w:eastAsia="Times New Roman" w:hAnsi="Segoe UI Light"/>
        </w:rPr>
      </w:pPr>
    </w:p>
    <w:p w:rsidR="00B01B28" w:rsidRPr="00B6584F" w:rsidRDefault="00B6584F" w:rsidP="00B01B28">
      <w:pPr>
        <w:spacing w:after="0"/>
        <w:rPr>
          <w:rFonts w:ascii="Segoe UI Light" w:eastAsia="Times New Roman" w:hAnsi="Segoe UI Light"/>
        </w:rPr>
      </w:pPr>
      <w:r w:rsidRPr="00B6584F">
        <w:rPr>
          <w:rFonts w:ascii="Segoe UI Light" w:eastAsia="Times New Roman" w:hAnsi="Segoe UI Light"/>
        </w:rPr>
        <w:t>Franck Dixmier</w:t>
      </w:r>
    </w:p>
    <w:p w:rsidR="00D13683" w:rsidRPr="00B6584F" w:rsidRDefault="00B6584F" w:rsidP="00562ADC">
      <w:pPr>
        <w:spacing w:after="0"/>
        <w:rPr>
          <w:rFonts w:ascii="Segoe UI Light" w:eastAsia="Times New Roman" w:hAnsi="Segoe UI Light"/>
        </w:rPr>
      </w:pPr>
      <w:r w:rsidRPr="00B6584F">
        <w:rPr>
          <w:rFonts w:ascii="Segoe UI Light" w:eastAsia="Times New Roman" w:hAnsi="Segoe UI Light"/>
        </w:rPr>
        <w:t>Chief Investment Officer Fixed Income Europe</w:t>
      </w:r>
    </w:p>
    <w:p w:rsidR="00B01B28" w:rsidRPr="00B6584F" w:rsidRDefault="00B6584F" w:rsidP="00751AC6">
      <w:pPr>
        <w:spacing w:after="0"/>
        <w:rPr>
          <w:rFonts w:ascii="Segoe UI Light" w:eastAsia="Times New Roman" w:hAnsi="Segoe UI Light"/>
        </w:rPr>
      </w:pPr>
      <w:r w:rsidRPr="00B6584F">
        <w:rPr>
          <w:rFonts w:ascii="Segoe UI Light" w:eastAsia="Times New Roman" w:hAnsi="Segoe UI Light"/>
        </w:rPr>
        <w:t>Allianz Global Investors</w:t>
      </w:r>
    </w:p>
    <w:sectPr w:rsidR="00B01B28" w:rsidRPr="00B658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57" w:rsidRDefault="00291757" w:rsidP="007C406B">
      <w:pPr>
        <w:spacing w:after="0" w:line="240" w:lineRule="auto"/>
      </w:pPr>
      <w:r>
        <w:separator/>
      </w:r>
    </w:p>
  </w:endnote>
  <w:endnote w:type="continuationSeparator" w:id="0">
    <w:p w:rsidR="00291757" w:rsidRDefault="00291757" w:rsidP="007C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B" w:rsidRDefault="007C406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B" w:rsidRDefault="007C406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B" w:rsidRDefault="007C40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57" w:rsidRDefault="00291757" w:rsidP="007C406B">
      <w:pPr>
        <w:spacing w:after="0" w:line="240" w:lineRule="auto"/>
      </w:pPr>
      <w:r>
        <w:separator/>
      </w:r>
    </w:p>
  </w:footnote>
  <w:footnote w:type="continuationSeparator" w:id="0">
    <w:p w:rsidR="00291757" w:rsidRDefault="00291757" w:rsidP="007C406B">
      <w:pPr>
        <w:spacing w:after="0" w:line="240" w:lineRule="auto"/>
      </w:pPr>
      <w:r>
        <w:continuationSeparator/>
      </w:r>
    </w:p>
  </w:footnote>
  <w:footnote w:id="1">
    <w:p w:rsidR="00E90AE8" w:rsidRPr="006376E4" w:rsidRDefault="00E90AE8">
      <w:pPr>
        <w:pStyle w:val="Notedebasdepage"/>
        <w:rPr>
          <w:sz w:val="18"/>
          <w:szCs w:val="18"/>
        </w:rPr>
      </w:pPr>
      <w:r w:rsidRPr="006376E4">
        <w:rPr>
          <w:rStyle w:val="Appelnotedebasdep"/>
          <w:sz w:val="18"/>
          <w:szCs w:val="18"/>
        </w:rPr>
        <w:footnoteRef/>
      </w:r>
      <w:r w:rsidRPr="006376E4">
        <w:rPr>
          <w:sz w:val="18"/>
          <w:szCs w:val="18"/>
        </w:rPr>
        <w:t xml:space="preserve"> Cons</w:t>
      </w:r>
      <w:r w:rsidR="00187554" w:rsidRPr="006376E4">
        <w:rPr>
          <w:sz w:val="18"/>
          <w:szCs w:val="18"/>
        </w:rPr>
        <w:t xml:space="preserve">ultation paper (p.12) states that “Institutions should not disclose […] the amount of emergency liquidity assistance (ELA) provided by central banks, which means that in public disclosures assets and matching liabilities encumbered to central banks via ELA shall be reported as unencumbered, </w:t>
      </w:r>
      <w:r w:rsidR="00187554" w:rsidRPr="006376E4">
        <w:rPr>
          <w:i/>
          <w:sz w:val="18"/>
          <w:szCs w:val="18"/>
        </w:rPr>
        <w:t>such that the sum of encumbered assets corresponds to the institutions’ total assets on balance sheet</w:t>
      </w:r>
      <w:r w:rsidRPr="006376E4">
        <w:rPr>
          <w:i/>
          <w:sz w:val="18"/>
          <w:szCs w:val="18"/>
        </w:rPr>
        <w:t>s</w:t>
      </w:r>
      <w:r w:rsidR="00AC1E30" w:rsidRPr="006376E4">
        <w:rPr>
          <w:sz w:val="18"/>
          <w:szCs w:val="18"/>
        </w:rPr>
        <w:t>;” In addition to the considerations outlined above, the ita</w:t>
      </w:r>
      <w:r w:rsidR="005E03DC" w:rsidRPr="006376E4">
        <w:rPr>
          <w:sz w:val="18"/>
          <w:szCs w:val="18"/>
        </w:rPr>
        <w:t>licized statement should be clarified, perha</w:t>
      </w:r>
      <w:r w:rsidR="00F83BED" w:rsidRPr="006376E4">
        <w:rPr>
          <w:sz w:val="18"/>
          <w:szCs w:val="18"/>
        </w:rPr>
        <w:t xml:space="preserve">ps by expanding to include “encumbered </w:t>
      </w:r>
      <w:r w:rsidR="005E03DC" w:rsidRPr="006376E4">
        <w:rPr>
          <w:sz w:val="18"/>
          <w:szCs w:val="18"/>
          <w:u w:val="single"/>
        </w:rPr>
        <w:t>and unencumbered</w:t>
      </w:r>
      <w:r w:rsidR="005E03DC" w:rsidRPr="006376E4">
        <w:rPr>
          <w:sz w:val="18"/>
          <w:szCs w:val="18"/>
        </w:rPr>
        <w:t xml:space="preserve"> assets”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B" w:rsidRDefault="007C406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B" w:rsidRDefault="007C406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B" w:rsidRDefault="007C406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F1C16"/>
    <w:multiLevelType w:val="hybridMultilevel"/>
    <w:tmpl w:val="0EC4F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6B"/>
    <w:rsid w:val="00032239"/>
    <w:rsid w:val="000460A0"/>
    <w:rsid w:val="00071510"/>
    <w:rsid w:val="000A1669"/>
    <w:rsid w:val="000B530F"/>
    <w:rsid w:val="000D207B"/>
    <w:rsid w:val="000E662F"/>
    <w:rsid w:val="000E7922"/>
    <w:rsid w:val="000F2C25"/>
    <w:rsid w:val="00106B42"/>
    <w:rsid w:val="00116A71"/>
    <w:rsid w:val="001407AD"/>
    <w:rsid w:val="001469E9"/>
    <w:rsid w:val="00187554"/>
    <w:rsid w:val="001907A5"/>
    <w:rsid w:val="001A358B"/>
    <w:rsid w:val="001B6407"/>
    <w:rsid w:val="001D47B0"/>
    <w:rsid w:val="001E19AC"/>
    <w:rsid w:val="001F3AFB"/>
    <w:rsid w:val="00223593"/>
    <w:rsid w:val="00225086"/>
    <w:rsid w:val="00232BFB"/>
    <w:rsid w:val="00237AFB"/>
    <w:rsid w:val="00240DC7"/>
    <w:rsid w:val="002442E9"/>
    <w:rsid w:val="002537AC"/>
    <w:rsid w:val="002773E7"/>
    <w:rsid w:val="00282659"/>
    <w:rsid w:val="002838A5"/>
    <w:rsid w:val="00291757"/>
    <w:rsid w:val="002922B6"/>
    <w:rsid w:val="002B04F9"/>
    <w:rsid w:val="002B11F4"/>
    <w:rsid w:val="002C025B"/>
    <w:rsid w:val="002C4869"/>
    <w:rsid w:val="002E47C6"/>
    <w:rsid w:val="002F5791"/>
    <w:rsid w:val="00302E70"/>
    <w:rsid w:val="00303417"/>
    <w:rsid w:val="00324E7E"/>
    <w:rsid w:val="00340541"/>
    <w:rsid w:val="00341C5D"/>
    <w:rsid w:val="00350D64"/>
    <w:rsid w:val="00362AC1"/>
    <w:rsid w:val="00371D30"/>
    <w:rsid w:val="003948CF"/>
    <w:rsid w:val="00395477"/>
    <w:rsid w:val="003B65E3"/>
    <w:rsid w:val="003B66D0"/>
    <w:rsid w:val="003C2DD2"/>
    <w:rsid w:val="003C4632"/>
    <w:rsid w:val="003C594F"/>
    <w:rsid w:val="003C606C"/>
    <w:rsid w:val="003D4BBD"/>
    <w:rsid w:val="00402235"/>
    <w:rsid w:val="004028FA"/>
    <w:rsid w:val="004773BB"/>
    <w:rsid w:val="004A115B"/>
    <w:rsid w:val="004C053B"/>
    <w:rsid w:val="004D268F"/>
    <w:rsid w:val="004D2B4D"/>
    <w:rsid w:val="004E3488"/>
    <w:rsid w:val="004E7C78"/>
    <w:rsid w:val="004F503B"/>
    <w:rsid w:val="00503095"/>
    <w:rsid w:val="005034C9"/>
    <w:rsid w:val="005355AD"/>
    <w:rsid w:val="00562ADC"/>
    <w:rsid w:val="00594E84"/>
    <w:rsid w:val="0059558D"/>
    <w:rsid w:val="005C481F"/>
    <w:rsid w:val="005C7BB7"/>
    <w:rsid w:val="005E03DC"/>
    <w:rsid w:val="005E1A5A"/>
    <w:rsid w:val="005F4A85"/>
    <w:rsid w:val="00635102"/>
    <w:rsid w:val="006376E4"/>
    <w:rsid w:val="006B2CE0"/>
    <w:rsid w:val="006B6A8B"/>
    <w:rsid w:val="006C51D8"/>
    <w:rsid w:val="006E6E07"/>
    <w:rsid w:val="006E7473"/>
    <w:rsid w:val="0072649D"/>
    <w:rsid w:val="00751AC6"/>
    <w:rsid w:val="00770BF4"/>
    <w:rsid w:val="00794E7E"/>
    <w:rsid w:val="007A1C38"/>
    <w:rsid w:val="007C2655"/>
    <w:rsid w:val="007C406B"/>
    <w:rsid w:val="007D42D9"/>
    <w:rsid w:val="00804C27"/>
    <w:rsid w:val="008138E1"/>
    <w:rsid w:val="00813DC0"/>
    <w:rsid w:val="008238F2"/>
    <w:rsid w:val="0085191C"/>
    <w:rsid w:val="008578FD"/>
    <w:rsid w:val="008661DA"/>
    <w:rsid w:val="00872D9F"/>
    <w:rsid w:val="00880A45"/>
    <w:rsid w:val="00891347"/>
    <w:rsid w:val="008A0474"/>
    <w:rsid w:val="008D51CA"/>
    <w:rsid w:val="008E6D4F"/>
    <w:rsid w:val="009016F2"/>
    <w:rsid w:val="00932705"/>
    <w:rsid w:val="00934CE5"/>
    <w:rsid w:val="009400EA"/>
    <w:rsid w:val="00941953"/>
    <w:rsid w:val="009513CB"/>
    <w:rsid w:val="00976DCC"/>
    <w:rsid w:val="0098243F"/>
    <w:rsid w:val="009A04D4"/>
    <w:rsid w:val="009B0593"/>
    <w:rsid w:val="009D6EAD"/>
    <w:rsid w:val="009E3C39"/>
    <w:rsid w:val="009E3F00"/>
    <w:rsid w:val="00A124F5"/>
    <w:rsid w:val="00A42213"/>
    <w:rsid w:val="00A446A0"/>
    <w:rsid w:val="00A60B1B"/>
    <w:rsid w:val="00A869C2"/>
    <w:rsid w:val="00A86B62"/>
    <w:rsid w:val="00AC1E30"/>
    <w:rsid w:val="00AD3440"/>
    <w:rsid w:val="00AE6A24"/>
    <w:rsid w:val="00AF24DA"/>
    <w:rsid w:val="00AF2790"/>
    <w:rsid w:val="00AF2C10"/>
    <w:rsid w:val="00AF5018"/>
    <w:rsid w:val="00B01B28"/>
    <w:rsid w:val="00B311FB"/>
    <w:rsid w:val="00B353E0"/>
    <w:rsid w:val="00B5489F"/>
    <w:rsid w:val="00B62520"/>
    <w:rsid w:val="00B64180"/>
    <w:rsid w:val="00B6584F"/>
    <w:rsid w:val="00B774CA"/>
    <w:rsid w:val="00B8018C"/>
    <w:rsid w:val="00B84DC1"/>
    <w:rsid w:val="00BB656C"/>
    <w:rsid w:val="00BC0970"/>
    <w:rsid w:val="00BC3BD8"/>
    <w:rsid w:val="00BD0273"/>
    <w:rsid w:val="00BD7BDA"/>
    <w:rsid w:val="00BE4C1A"/>
    <w:rsid w:val="00C172C3"/>
    <w:rsid w:val="00C26DEE"/>
    <w:rsid w:val="00C64256"/>
    <w:rsid w:val="00C83024"/>
    <w:rsid w:val="00CB7D2C"/>
    <w:rsid w:val="00CC3A5F"/>
    <w:rsid w:val="00CF5D31"/>
    <w:rsid w:val="00D13683"/>
    <w:rsid w:val="00D17E22"/>
    <w:rsid w:val="00D26EB3"/>
    <w:rsid w:val="00D33EAA"/>
    <w:rsid w:val="00D47EFE"/>
    <w:rsid w:val="00DB516F"/>
    <w:rsid w:val="00DC08E4"/>
    <w:rsid w:val="00DC64C4"/>
    <w:rsid w:val="00E36B9A"/>
    <w:rsid w:val="00E46A31"/>
    <w:rsid w:val="00E5482A"/>
    <w:rsid w:val="00E6038E"/>
    <w:rsid w:val="00E70995"/>
    <w:rsid w:val="00E72028"/>
    <w:rsid w:val="00E72737"/>
    <w:rsid w:val="00E75842"/>
    <w:rsid w:val="00E90AE8"/>
    <w:rsid w:val="00E95953"/>
    <w:rsid w:val="00EA6FEC"/>
    <w:rsid w:val="00EC4216"/>
    <w:rsid w:val="00EC5FC7"/>
    <w:rsid w:val="00EC74C9"/>
    <w:rsid w:val="00ED2C0C"/>
    <w:rsid w:val="00EF0FAE"/>
    <w:rsid w:val="00F2566C"/>
    <w:rsid w:val="00F35AF2"/>
    <w:rsid w:val="00F36F7C"/>
    <w:rsid w:val="00F723ED"/>
    <w:rsid w:val="00F83BED"/>
    <w:rsid w:val="00F863BF"/>
    <w:rsid w:val="00FA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406B"/>
    <w:pPr>
      <w:tabs>
        <w:tab w:val="center" w:pos="4680"/>
        <w:tab w:val="right" w:pos="9360"/>
      </w:tabs>
      <w:spacing w:after="0" w:line="240" w:lineRule="auto"/>
    </w:pPr>
  </w:style>
  <w:style w:type="character" w:customStyle="1" w:styleId="En-tteCar">
    <w:name w:val="En-tête Car"/>
    <w:basedOn w:val="Policepardfaut"/>
    <w:link w:val="En-tte"/>
    <w:uiPriority w:val="99"/>
    <w:rsid w:val="007C406B"/>
  </w:style>
  <w:style w:type="paragraph" w:styleId="Pieddepage">
    <w:name w:val="footer"/>
    <w:basedOn w:val="Normal"/>
    <w:link w:val="PieddepageCar"/>
    <w:uiPriority w:val="99"/>
    <w:unhideWhenUsed/>
    <w:rsid w:val="007C406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C406B"/>
  </w:style>
  <w:style w:type="paragraph" w:styleId="Paragraphedeliste">
    <w:name w:val="List Paragraph"/>
    <w:basedOn w:val="Normal"/>
    <w:uiPriority w:val="34"/>
    <w:qFormat/>
    <w:rsid w:val="008E6D4F"/>
    <w:pPr>
      <w:spacing w:after="0" w:line="240" w:lineRule="auto"/>
      <w:ind w:left="720"/>
    </w:pPr>
    <w:rPr>
      <w:rFonts w:ascii="Calibri" w:hAnsi="Calibri" w:cs="Times New Roman"/>
    </w:rPr>
  </w:style>
  <w:style w:type="character" w:styleId="Marquedecommentaire">
    <w:name w:val="annotation reference"/>
    <w:basedOn w:val="Policepardfaut"/>
    <w:uiPriority w:val="99"/>
    <w:semiHidden/>
    <w:unhideWhenUsed/>
    <w:rsid w:val="00AF5018"/>
    <w:rPr>
      <w:sz w:val="16"/>
      <w:szCs w:val="16"/>
    </w:rPr>
  </w:style>
  <w:style w:type="paragraph" w:styleId="Commentaire">
    <w:name w:val="annotation text"/>
    <w:basedOn w:val="Normal"/>
    <w:link w:val="CommentaireCar"/>
    <w:uiPriority w:val="99"/>
    <w:semiHidden/>
    <w:unhideWhenUsed/>
    <w:rsid w:val="00AF5018"/>
    <w:pPr>
      <w:spacing w:line="240" w:lineRule="auto"/>
    </w:pPr>
    <w:rPr>
      <w:sz w:val="20"/>
      <w:szCs w:val="20"/>
    </w:rPr>
  </w:style>
  <w:style w:type="character" w:customStyle="1" w:styleId="CommentaireCar">
    <w:name w:val="Commentaire Car"/>
    <w:basedOn w:val="Policepardfaut"/>
    <w:link w:val="Commentaire"/>
    <w:uiPriority w:val="99"/>
    <w:semiHidden/>
    <w:rsid w:val="00AF5018"/>
    <w:rPr>
      <w:sz w:val="20"/>
      <w:szCs w:val="20"/>
    </w:rPr>
  </w:style>
  <w:style w:type="paragraph" w:styleId="Objetducommentaire">
    <w:name w:val="annotation subject"/>
    <w:basedOn w:val="Commentaire"/>
    <w:next w:val="Commentaire"/>
    <w:link w:val="ObjetducommentaireCar"/>
    <w:uiPriority w:val="99"/>
    <w:semiHidden/>
    <w:unhideWhenUsed/>
    <w:rsid w:val="00AF5018"/>
    <w:rPr>
      <w:b/>
      <w:bCs/>
    </w:rPr>
  </w:style>
  <w:style w:type="character" w:customStyle="1" w:styleId="ObjetducommentaireCar">
    <w:name w:val="Objet du commentaire Car"/>
    <w:basedOn w:val="CommentaireCar"/>
    <w:link w:val="Objetducommentaire"/>
    <w:uiPriority w:val="99"/>
    <w:semiHidden/>
    <w:rsid w:val="00AF5018"/>
    <w:rPr>
      <w:b/>
      <w:bCs/>
      <w:sz w:val="20"/>
      <w:szCs w:val="20"/>
    </w:rPr>
  </w:style>
  <w:style w:type="paragraph" w:styleId="Textedebulles">
    <w:name w:val="Balloon Text"/>
    <w:basedOn w:val="Normal"/>
    <w:link w:val="TextedebullesCar"/>
    <w:uiPriority w:val="99"/>
    <w:semiHidden/>
    <w:unhideWhenUsed/>
    <w:rsid w:val="00AF50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018"/>
    <w:rPr>
      <w:rFonts w:ascii="Tahoma" w:hAnsi="Tahoma" w:cs="Tahoma"/>
      <w:sz w:val="16"/>
      <w:szCs w:val="16"/>
    </w:rPr>
  </w:style>
  <w:style w:type="paragraph" w:styleId="Notedebasdepage">
    <w:name w:val="footnote text"/>
    <w:basedOn w:val="Normal"/>
    <w:link w:val="NotedebasdepageCar"/>
    <w:uiPriority w:val="99"/>
    <w:semiHidden/>
    <w:unhideWhenUsed/>
    <w:rsid w:val="00E90A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0AE8"/>
    <w:rPr>
      <w:sz w:val="20"/>
      <w:szCs w:val="20"/>
    </w:rPr>
  </w:style>
  <w:style w:type="character" w:styleId="Appelnotedebasdep">
    <w:name w:val="footnote reference"/>
    <w:basedOn w:val="Policepardfaut"/>
    <w:uiPriority w:val="99"/>
    <w:semiHidden/>
    <w:unhideWhenUsed/>
    <w:rsid w:val="00E90A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406B"/>
    <w:pPr>
      <w:tabs>
        <w:tab w:val="center" w:pos="4680"/>
        <w:tab w:val="right" w:pos="9360"/>
      </w:tabs>
      <w:spacing w:after="0" w:line="240" w:lineRule="auto"/>
    </w:pPr>
  </w:style>
  <w:style w:type="character" w:customStyle="1" w:styleId="En-tteCar">
    <w:name w:val="En-tête Car"/>
    <w:basedOn w:val="Policepardfaut"/>
    <w:link w:val="En-tte"/>
    <w:uiPriority w:val="99"/>
    <w:rsid w:val="007C406B"/>
  </w:style>
  <w:style w:type="paragraph" w:styleId="Pieddepage">
    <w:name w:val="footer"/>
    <w:basedOn w:val="Normal"/>
    <w:link w:val="PieddepageCar"/>
    <w:uiPriority w:val="99"/>
    <w:unhideWhenUsed/>
    <w:rsid w:val="007C406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C406B"/>
  </w:style>
  <w:style w:type="paragraph" w:styleId="Paragraphedeliste">
    <w:name w:val="List Paragraph"/>
    <w:basedOn w:val="Normal"/>
    <w:uiPriority w:val="34"/>
    <w:qFormat/>
    <w:rsid w:val="008E6D4F"/>
    <w:pPr>
      <w:spacing w:after="0" w:line="240" w:lineRule="auto"/>
      <w:ind w:left="720"/>
    </w:pPr>
    <w:rPr>
      <w:rFonts w:ascii="Calibri" w:hAnsi="Calibri" w:cs="Times New Roman"/>
    </w:rPr>
  </w:style>
  <w:style w:type="character" w:styleId="Marquedecommentaire">
    <w:name w:val="annotation reference"/>
    <w:basedOn w:val="Policepardfaut"/>
    <w:uiPriority w:val="99"/>
    <w:semiHidden/>
    <w:unhideWhenUsed/>
    <w:rsid w:val="00AF5018"/>
    <w:rPr>
      <w:sz w:val="16"/>
      <w:szCs w:val="16"/>
    </w:rPr>
  </w:style>
  <w:style w:type="paragraph" w:styleId="Commentaire">
    <w:name w:val="annotation text"/>
    <w:basedOn w:val="Normal"/>
    <w:link w:val="CommentaireCar"/>
    <w:uiPriority w:val="99"/>
    <w:semiHidden/>
    <w:unhideWhenUsed/>
    <w:rsid w:val="00AF5018"/>
    <w:pPr>
      <w:spacing w:line="240" w:lineRule="auto"/>
    </w:pPr>
    <w:rPr>
      <w:sz w:val="20"/>
      <w:szCs w:val="20"/>
    </w:rPr>
  </w:style>
  <w:style w:type="character" w:customStyle="1" w:styleId="CommentaireCar">
    <w:name w:val="Commentaire Car"/>
    <w:basedOn w:val="Policepardfaut"/>
    <w:link w:val="Commentaire"/>
    <w:uiPriority w:val="99"/>
    <w:semiHidden/>
    <w:rsid w:val="00AF5018"/>
    <w:rPr>
      <w:sz w:val="20"/>
      <w:szCs w:val="20"/>
    </w:rPr>
  </w:style>
  <w:style w:type="paragraph" w:styleId="Objetducommentaire">
    <w:name w:val="annotation subject"/>
    <w:basedOn w:val="Commentaire"/>
    <w:next w:val="Commentaire"/>
    <w:link w:val="ObjetducommentaireCar"/>
    <w:uiPriority w:val="99"/>
    <w:semiHidden/>
    <w:unhideWhenUsed/>
    <w:rsid w:val="00AF5018"/>
    <w:rPr>
      <w:b/>
      <w:bCs/>
    </w:rPr>
  </w:style>
  <w:style w:type="character" w:customStyle="1" w:styleId="ObjetducommentaireCar">
    <w:name w:val="Objet du commentaire Car"/>
    <w:basedOn w:val="CommentaireCar"/>
    <w:link w:val="Objetducommentaire"/>
    <w:uiPriority w:val="99"/>
    <w:semiHidden/>
    <w:rsid w:val="00AF5018"/>
    <w:rPr>
      <w:b/>
      <w:bCs/>
      <w:sz w:val="20"/>
      <w:szCs w:val="20"/>
    </w:rPr>
  </w:style>
  <w:style w:type="paragraph" w:styleId="Textedebulles">
    <w:name w:val="Balloon Text"/>
    <w:basedOn w:val="Normal"/>
    <w:link w:val="TextedebullesCar"/>
    <w:uiPriority w:val="99"/>
    <w:semiHidden/>
    <w:unhideWhenUsed/>
    <w:rsid w:val="00AF50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018"/>
    <w:rPr>
      <w:rFonts w:ascii="Tahoma" w:hAnsi="Tahoma" w:cs="Tahoma"/>
      <w:sz w:val="16"/>
      <w:szCs w:val="16"/>
    </w:rPr>
  </w:style>
  <w:style w:type="paragraph" w:styleId="Notedebasdepage">
    <w:name w:val="footnote text"/>
    <w:basedOn w:val="Normal"/>
    <w:link w:val="NotedebasdepageCar"/>
    <w:uiPriority w:val="99"/>
    <w:semiHidden/>
    <w:unhideWhenUsed/>
    <w:rsid w:val="00E90A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0AE8"/>
    <w:rPr>
      <w:sz w:val="20"/>
      <w:szCs w:val="20"/>
    </w:rPr>
  </w:style>
  <w:style w:type="character" w:styleId="Appelnotedebasdep">
    <w:name w:val="footnote reference"/>
    <w:basedOn w:val="Policepardfaut"/>
    <w:uiPriority w:val="99"/>
    <w:semiHidden/>
    <w:unhideWhenUsed/>
    <w:rsid w:val="00E90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1013">
      <w:bodyDiv w:val="1"/>
      <w:marLeft w:val="0"/>
      <w:marRight w:val="0"/>
      <w:marTop w:val="0"/>
      <w:marBottom w:val="0"/>
      <w:divBdr>
        <w:top w:val="none" w:sz="0" w:space="0" w:color="auto"/>
        <w:left w:val="none" w:sz="0" w:space="0" w:color="auto"/>
        <w:bottom w:val="none" w:sz="0" w:space="0" w:color="auto"/>
        <w:right w:val="none" w:sz="0" w:space="0" w:color="auto"/>
      </w:divBdr>
    </w:div>
    <w:div w:id="183634179">
      <w:bodyDiv w:val="1"/>
      <w:marLeft w:val="0"/>
      <w:marRight w:val="0"/>
      <w:marTop w:val="0"/>
      <w:marBottom w:val="0"/>
      <w:divBdr>
        <w:top w:val="none" w:sz="0" w:space="0" w:color="auto"/>
        <w:left w:val="none" w:sz="0" w:space="0" w:color="auto"/>
        <w:bottom w:val="none" w:sz="0" w:space="0" w:color="auto"/>
        <w:right w:val="none" w:sz="0" w:space="0" w:color="auto"/>
      </w:divBdr>
    </w:div>
    <w:div w:id="19333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E0A8-8F1A-4740-9187-B02B9774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6793</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ALLIANZ GLOBAL INVESTORS FRANCE</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Del</dc:creator>
  <cp:lastModifiedBy>DIXMIER Franck</cp:lastModifiedBy>
  <cp:revision>2</cp:revision>
  <cp:lastPrinted>2014-03-20T17:19:00Z</cp:lastPrinted>
  <dcterms:created xsi:type="dcterms:W3CDTF">2014-03-20T17:27:00Z</dcterms:created>
  <dcterms:modified xsi:type="dcterms:W3CDTF">2014-03-20T17:27:00Z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_DOC_ID">
    <vt:lpwstr>2166b4f4-c93f-4a33-8bab-5ed251b9c191</vt:lpwstr>
  </property>
</Properties>
</file>