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1AA" w:rsidRDefault="000D31AA"/>
    <w:p w:rsidR="000D31AA" w:rsidRDefault="000D31AA"/>
    <w:tbl>
      <w:tblPr>
        <w:tblW w:w="0" w:type="auto"/>
        <w:tblLayout w:type="fixed"/>
        <w:tblCellMar>
          <w:left w:w="70" w:type="dxa"/>
          <w:right w:w="70" w:type="dxa"/>
        </w:tblCellMar>
        <w:tblLook w:val="0000" w:firstRow="0" w:lastRow="0" w:firstColumn="0" w:lastColumn="0" w:noHBand="0" w:noVBand="0"/>
      </w:tblPr>
      <w:tblGrid>
        <w:gridCol w:w="5102"/>
        <w:gridCol w:w="4649"/>
      </w:tblGrid>
      <w:tr w:rsidR="0057267D" w:rsidRPr="00F37D86" w:rsidTr="00D364F4">
        <w:trPr>
          <w:trHeight w:hRule="exact" w:val="3600"/>
        </w:trPr>
        <w:tc>
          <w:tcPr>
            <w:tcW w:w="5102" w:type="dxa"/>
          </w:tcPr>
          <w:p w:rsidR="0057267D" w:rsidRDefault="0057267D" w:rsidP="0015547B">
            <w:pPr>
              <w:rPr>
                <w:b/>
                <w:sz w:val="32"/>
                <w:szCs w:val="32"/>
                <w:lang w:val="fi-FI"/>
              </w:rPr>
            </w:pPr>
          </w:p>
          <w:p w:rsidR="000D31AA" w:rsidRPr="002D1FBA" w:rsidRDefault="002D1FBA" w:rsidP="0015547B">
            <w:pPr>
              <w:rPr>
                <w:sz w:val="24"/>
                <w:szCs w:val="24"/>
                <w:lang w:val="fi-FI"/>
              </w:rPr>
            </w:pPr>
            <w:r w:rsidRPr="002D1FBA">
              <w:rPr>
                <w:sz w:val="24"/>
                <w:szCs w:val="24"/>
                <w:lang w:val="fi-FI"/>
              </w:rPr>
              <w:t>European Banking Authority (EBA)</w:t>
            </w:r>
          </w:p>
        </w:tc>
        <w:tc>
          <w:tcPr>
            <w:tcW w:w="4649" w:type="dxa"/>
          </w:tcPr>
          <w:p w:rsidR="0057267D" w:rsidRPr="00D364F4" w:rsidRDefault="0057267D" w:rsidP="00D364F4">
            <w:pPr>
              <w:spacing w:line="220" w:lineRule="atLeast"/>
              <w:jc w:val="right"/>
              <w:rPr>
                <w:b/>
                <w:bCs/>
                <w:color w:val="000000"/>
                <w:sz w:val="6"/>
                <w:szCs w:val="6"/>
                <w:lang w:val="fi-FI"/>
              </w:rPr>
            </w:pPr>
          </w:p>
          <w:p w:rsidR="0057267D" w:rsidRPr="00D364F4" w:rsidRDefault="0057267D" w:rsidP="00D364F4">
            <w:pPr>
              <w:spacing w:line="220" w:lineRule="atLeast"/>
              <w:jc w:val="right"/>
              <w:rPr>
                <w:b/>
                <w:bCs/>
                <w:color w:val="000000"/>
                <w:sz w:val="6"/>
                <w:szCs w:val="6"/>
                <w:lang w:val="fi-FI"/>
              </w:rPr>
            </w:pPr>
          </w:p>
          <w:p w:rsidR="0057267D" w:rsidRPr="00D364F4" w:rsidRDefault="0057267D" w:rsidP="00D364F4">
            <w:pPr>
              <w:spacing w:line="220" w:lineRule="atLeast"/>
              <w:jc w:val="right"/>
              <w:rPr>
                <w:b/>
                <w:bCs/>
                <w:color w:val="000000"/>
                <w:sz w:val="6"/>
                <w:szCs w:val="6"/>
                <w:lang w:val="fi-FI"/>
              </w:rPr>
            </w:pPr>
          </w:p>
          <w:p w:rsidR="0057267D" w:rsidRPr="00D364F4" w:rsidRDefault="0057267D" w:rsidP="00D364F4">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57267D" w:rsidRPr="00D364F4" w:rsidRDefault="0057267D" w:rsidP="00D364F4">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57267D" w:rsidRPr="00D364F4" w:rsidRDefault="0057267D" w:rsidP="00D364F4">
            <w:pPr>
              <w:spacing w:line="260" w:lineRule="atLeast"/>
              <w:jc w:val="right"/>
              <w:rPr>
                <w:color w:val="000000"/>
                <w:sz w:val="18"/>
                <w:szCs w:val="18"/>
              </w:rPr>
            </w:pPr>
            <w:r w:rsidRPr="00D364F4">
              <w:rPr>
                <w:noProof/>
                <w:color w:val="000000"/>
                <w:sz w:val="18"/>
                <w:szCs w:val="18"/>
              </w:rPr>
              <w:t>Wiedner Hauptstraße 63 | P.O. Box 320</w:t>
            </w:r>
          </w:p>
          <w:p w:rsidR="0057267D" w:rsidRPr="00A36A4E" w:rsidRDefault="0057267D" w:rsidP="00D364F4">
            <w:pPr>
              <w:spacing w:line="260" w:lineRule="atLeast"/>
              <w:jc w:val="right"/>
              <w:rPr>
                <w:color w:val="000000"/>
                <w:sz w:val="18"/>
                <w:szCs w:val="18"/>
                <w:lang w:val="it-IT"/>
              </w:rPr>
            </w:pPr>
            <w:r w:rsidRPr="00A36A4E">
              <w:rPr>
                <w:noProof/>
                <w:color w:val="000000"/>
                <w:sz w:val="18"/>
                <w:szCs w:val="18"/>
                <w:lang w:val="it-IT"/>
              </w:rPr>
              <w:t>1045 Vienna</w:t>
            </w:r>
          </w:p>
          <w:p w:rsidR="0057267D" w:rsidRPr="00A36A4E" w:rsidRDefault="0057267D" w:rsidP="00D364F4">
            <w:pPr>
              <w:spacing w:line="260" w:lineRule="atLeast"/>
              <w:jc w:val="right"/>
              <w:rPr>
                <w:color w:val="000000"/>
                <w:sz w:val="18"/>
                <w:szCs w:val="18"/>
                <w:lang w:val="it-IT"/>
              </w:rPr>
            </w:pPr>
            <w:r w:rsidRPr="00A36A4E">
              <w:rPr>
                <w:noProof/>
                <w:color w:val="000000"/>
                <w:sz w:val="18"/>
                <w:szCs w:val="18"/>
                <w:lang w:val="it-IT"/>
              </w:rPr>
              <w:t>T +43 (0)5 90 900-DW | F +43 (0)5 90 900-272</w:t>
            </w:r>
          </w:p>
          <w:p w:rsidR="0057267D" w:rsidRPr="00A36A4E" w:rsidRDefault="0057267D" w:rsidP="00D364F4">
            <w:pPr>
              <w:spacing w:line="260" w:lineRule="atLeast"/>
              <w:jc w:val="right"/>
              <w:rPr>
                <w:color w:val="000000"/>
                <w:sz w:val="18"/>
                <w:szCs w:val="18"/>
                <w:lang w:val="it-IT"/>
              </w:rPr>
            </w:pPr>
            <w:r w:rsidRPr="00A36A4E">
              <w:rPr>
                <w:noProof/>
                <w:color w:val="000000"/>
                <w:sz w:val="18"/>
                <w:szCs w:val="18"/>
                <w:lang w:val="it-IT"/>
              </w:rPr>
              <w:t>E  bsbv@wko.at</w:t>
            </w:r>
          </w:p>
          <w:p w:rsidR="0057267D" w:rsidRPr="00D364F4" w:rsidRDefault="0057267D" w:rsidP="00D364F4">
            <w:pPr>
              <w:spacing w:line="260" w:lineRule="atLeast"/>
              <w:jc w:val="right"/>
              <w:rPr>
                <w:lang w:val="en-GB"/>
              </w:rPr>
            </w:pPr>
            <w:r w:rsidRPr="00D364F4">
              <w:rPr>
                <w:noProof/>
                <w:color w:val="000000"/>
                <w:sz w:val="18"/>
                <w:szCs w:val="18"/>
                <w:lang w:val="en-GB"/>
              </w:rPr>
              <w:t>W  http://wko.at/bsbv</w:t>
            </w:r>
          </w:p>
        </w:tc>
      </w:tr>
    </w:tbl>
    <w:p w:rsidR="0057267D" w:rsidRPr="00C21BF0" w:rsidRDefault="0057267D">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57267D" w:rsidRPr="00044A71" w:rsidRDefault="0057267D">
      <w:pPr>
        <w:tabs>
          <w:tab w:val="left" w:pos="2892"/>
          <w:tab w:val="left" w:pos="5783"/>
          <w:tab w:val="left" w:pos="7655"/>
        </w:tabs>
        <w:rPr>
          <w:color w:val="000000"/>
          <w:lang w:val="en-GB"/>
        </w:rPr>
      </w:pPr>
      <w:r w:rsidRPr="00C21BF0">
        <w:rPr>
          <w:color w:val="000000"/>
          <w:lang w:val="en-GB"/>
        </w:rPr>
        <w:tab/>
      </w:r>
      <w:r w:rsidRPr="00C21BF0">
        <w:rPr>
          <w:noProof/>
          <w:color w:val="000000"/>
          <w:lang w:val="en-GB"/>
        </w:rPr>
        <w:t>BSBV</w:t>
      </w:r>
      <w:r w:rsidR="002D1FBA">
        <w:rPr>
          <w:noProof/>
          <w:color w:val="000000"/>
          <w:lang w:val="en-GB"/>
        </w:rPr>
        <w:t xml:space="preserve"> 115/Dr.Egger</w:t>
      </w:r>
      <w:r w:rsidR="00F0546D">
        <w:rPr>
          <w:noProof/>
          <w:color w:val="000000"/>
          <w:lang w:val="en-GB"/>
        </w:rPr>
        <w:tab/>
        <w:t>3137</w:t>
      </w:r>
      <w:r w:rsidR="001A022C">
        <w:rPr>
          <w:color w:val="000000"/>
          <w:lang w:val="en-GB"/>
        </w:rPr>
        <w:t xml:space="preserve">                     </w:t>
      </w:r>
      <w:r w:rsidR="002D1FBA">
        <w:rPr>
          <w:color w:val="000000"/>
          <w:lang w:val="en-GB"/>
        </w:rPr>
        <w:t>20 December</w:t>
      </w:r>
      <w:r w:rsidR="00B3719D">
        <w:rPr>
          <w:color w:val="000000"/>
          <w:vertAlign w:val="superscript"/>
          <w:lang w:val="en-GB"/>
        </w:rPr>
        <w:t xml:space="preserve"> </w:t>
      </w:r>
      <w:r w:rsidR="0015547B">
        <w:rPr>
          <w:color w:val="000000"/>
          <w:lang w:val="en-GB"/>
        </w:rPr>
        <w:t>2013</w:t>
      </w:r>
      <w:r>
        <w:rPr>
          <w:color w:val="000000"/>
          <w:lang w:val="en-GB"/>
        </w:rPr>
        <w:t xml:space="preserve"> </w:t>
      </w:r>
    </w:p>
    <w:p w:rsidR="0057267D" w:rsidRPr="00044A71" w:rsidRDefault="0057267D">
      <w:pPr>
        <w:rPr>
          <w:color w:val="000000"/>
          <w:lang w:val="en-GB"/>
        </w:rPr>
      </w:pPr>
    </w:p>
    <w:p w:rsidR="0057267D" w:rsidRPr="00D82226" w:rsidRDefault="0057267D">
      <w:pPr>
        <w:rPr>
          <w:color w:val="000000"/>
          <w:sz w:val="24"/>
          <w:szCs w:val="24"/>
          <w:lang w:val="en-GB"/>
        </w:rPr>
      </w:pPr>
    </w:p>
    <w:p w:rsidR="00FA0E31" w:rsidRPr="00FA0E31" w:rsidRDefault="00F37D86" w:rsidP="00FA0E31">
      <w:pPr>
        <w:spacing w:line="240" w:lineRule="auto"/>
        <w:rPr>
          <w:rFonts w:cs="Arial"/>
          <w:b/>
          <w:color w:val="000000"/>
          <w:lang w:val="en-GB" w:eastAsia="en-US"/>
        </w:rPr>
      </w:pPr>
      <w:r w:rsidRPr="00F37D86">
        <w:rPr>
          <w:rFonts w:cs="Arial"/>
          <w:b/>
          <w:color w:val="000000"/>
          <w:lang w:val="en-GB" w:eastAsia="en-US"/>
        </w:rPr>
        <w:t xml:space="preserve">EBA </w:t>
      </w:r>
      <w:r w:rsidR="002D1FBA">
        <w:rPr>
          <w:rFonts w:cs="Arial"/>
          <w:b/>
          <w:color w:val="000000"/>
          <w:lang w:val="en-GB" w:eastAsia="en-US"/>
        </w:rPr>
        <w:t xml:space="preserve">Consultation </w:t>
      </w:r>
      <w:r w:rsidR="00FA0E31" w:rsidRPr="00FA0E31">
        <w:rPr>
          <w:rFonts w:cs="Arial"/>
          <w:b/>
          <w:color w:val="000000"/>
          <w:lang w:val="en-GB" w:eastAsia="en-US"/>
        </w:rPr>
        <w:t xml:space="preserve">on </w:t>
      </w:r>
    </w:p>
    <w:p w:rsidR="00C35324" w:rsidRDefault="00FA0E31" w:rsidP="00FA0E31">
      <w:pPr>
        <w:pStyle w:val="Listenabsatz"/>
        <w:numPr>
          <w:ilvl w:val="0"/>
          <w:numId w:val="9"/>
        </w:numPr>
        <w:spacing w:line="240" w:lineRule="auto"/>
        <w:rPr>
          <w:rFonts w:cs="Arial"/>
          <w:b/>
          <w:color w:val="000000"/>
          <w:lang w:val="en-GB" w:eastAsia="en-US"/>
        </w:rPr>
      </w:pPr>
      <w:r w:rsidRPr="00FA0E31">
        <w:rPr>
          <w:rFonts w:cs="Arial"/>
          <w:b/>
          <w:color w:val="000000"/>
          <w:lang w:val="en-GB" w:eastAsia="en-US"/>
        </w:rPr>
        <w:t xml:space="preserve">Draft ITS </w:t>
      </w:r>
      <w:proofErr w:type="spellStart"/>
      <w:r w:rsidRPr="00FA0E31">
        <w:rPr>
          <w:rFonts w:cs="Arial"/>
          <w:b/>
          <w:color w:val="000000"/>
          <w:lang w:val="en-GB" w:eastAsia="en-US"/>
        </w:rPr>
        <w:t>on</w:t>
      </w:r>
      <w:proofErr w:type="spellEnd"/>
      <w:r w:rsidRPr="00FA0E31">
        <w:rPr>
          <w:rFonts w:cs="Arial"/>
          <w:b/>
          <w:color w:val="000000"/>
          <w:lang w:val="en-GB" w:eastAsia="en-US"/>
        </w:rPr>
        <w:t xml:space="preserve"> currencies for which the justified demand for liquid assets exceeds the availability of those assets under Art. 419 (4) of the CRR</w:t>
      </w:r>
      <w:r w:rsidR="00C35324">
        <w:rPr>
          <w:rFonts w:cs="Arial"/>
          <w:b/>
          <w:color w:val="000000"/>
          <w:lang w:val="en-GB" w:eastAsia="en-US"/>
        </w:rPr>
        <w:t xml:space="preserve"> </w:t>
      </w:r>
      <w:r w:rsidR="00C35324">
        <w:rPr>
          <w:rFonts w:cs="Arial"/>
          <w:b/>
          <w:color w:val="000000"/>
          <w:lang w:val="en-GB" w:eastAsia="en-US"/>
        </w:rPr>
        <w:t>(EBA CP 2013 38)</w:t>
      </w:r>
      <w:r w:rsidRPr="00FA0E31">
        <w:rPr>
          <w:rFonts w:cs="Arial"/>
          <w:b/>
          <w:color w:val="000000"/>
          <w:lang w:val="en-GB" w:eastAsia="en-US"/>
        </w:rPr>
        <w:t xml:space="preserve">, </w:t>
      </w:r>
    </w:p>
    <w:p w:rsidR="00FA0E31" w:rsidRPr="00FA0E31" w:rsidRDefault="00FA0E31" w:rsidP="00C35324">
      <w:pPr>
        <w:pStyle w:val="Listenabsatz"/>
        <w:spacing w:line="240" w:lineRule="auto"/>
        <w:rPr>
          <w:rFonts w:cs="Arial"/>
          <w:b/>
          <w:color w:val="000000"/>
          <w:lang w:val="en-GB" w:eastAsia="en-US"/>
        </w:rPr>
      </w:pPr>
      <w:proofErr w:type="gramStart"/>
      <w:r w:rsidRPr="00FA0E31">
        <w:rPr>
          <w:rFonts w:cs="Arial"/>
          <w:b/>
          <w:color w:val="000000"/>
          <w:lang w:val="en-GB" w:eastAsia="en-US"/>
        </w:rPr>
        <w:t>and</w:t>
      </w:r>
      <w:proofErr w:type="gramEnd"/>
      <w:r w:rsidR="00C35324">
        <w:rPr>
          <w:rFonts w:cs="Arial"/>
          <w:b/>
          <w:color w:val="000000"/>
          <w:lang w:val="en-GB" w:eastAsia="en-US"/>
        </w:rPr>
        <w:t xml:space="preserve"> on</w:t>
      </w:r>
    </w:p>
    <w:p w:rsidR="00FA0E31" w:rsidRPr="00FA0E31" w:rsidRDefault="00FA0E31" w:rsidP="00FA0E31">
      <w:pPr>
        <w:pStyle w:val="Listenabsatz"/>
        <w:numPr>
          <w:ilvl w:val="0"/>
          <w:numId w:val="9"/>
        </w:numPr>
        <w:spacing w:line="240" w:lineRule="auto"/>
        <w:rPr>
          <w:rFonts w:cs="Arial"/>
          <w:b/>
          <w:color w:val="000000"/>
          <w:lang w:val="en-GB" w:eastAsia="en-US"/>
        </w:rPr>
      </w:pPr>
      <w:r w:rsidRPr="00FA0E31">
        <w:rPr>
          <w:rFonts w:cs="Arial"/>
          <w:b/>
          <w:color w:val="000000"/>
          <w:lang w:val="en-GB" w:eastAsia="en-US"/>
        </w:rPr>
        <w:t>Draft RTS on derogations for currencies with constraints on the availability of liquid assets under Article 419(5) of the CRR</w:t>
      </w:r>
      <w:r w:rsidR="00C35324">
        <w:rPr>
          <w:rFonts w:cs="Arial"/>
          <w:b/>
          <w:color w:val="000000"/>
          <w:lang w:val="en-GB" w:eastAsia="en-US"/>
        </w:rPr>
        <w:t xml:space="preserve"> </w:t>
      </w:r>
      <w:r w:rsidR="00C35324">
        <w:rPr>
          <w:rFonts w:cs="Arial"/>
          <w:b/>
          <w:color w:val="000000"/>
          <w:lang w:val="en-GB" w:eastAsia="en-US"/>
        </w:rPr>
        <w:t>(</w:t>
      </w:r>
      <w:r w:rsidR="00C35324" w:rsidRPr="00FA0E31">
        <w:rPr>
          <w:rFonts w:cs="Arial"/>
          <w:b/>
          <w:color w:val="000000"/>
          <w:lang w:val="en-GB" w:eastAsia="en-US"/>
        </w:rPr>
        <w:t>EBA CP 2013 39</w:t>
      </w:r>
      <w:r w:rsidR="00C35324">
        <w:rPr>
          <w:rFonts w:cs="Arial"/>
          <w:b/>
          <w:color w:val="000000"/>
          <w:lang w:val="en-GB" w:eastAsia="en-US"/>
        </w:rPr>
        <w:t>)</w:t>
      </w:r>
    </w:p>
    <w:p w:rsidR="00FA0E31" w:rsidRDefault="00C35324" w:rsidP="00C35324">
      <w:pPr>
        <w:spacing w:line="240" w:lineRule="auto"/>
        <w:ind w:firstLine="708"/>
        <w:rPr>
          <w:rFonts w:cs="Arial"/>
          <w:b/>
          <w:color w:val="000000"/>
          <w:lang w:val="en-GB" w:eastAsia="en-US"/>
        </w:rPr>
      </w:pPr>
      <w:r>
        <w:rPr>
          <w:rFonts w:cs="Arial"/>
          <w:b/>
          <w:color w:val="000000"/>
          <w:lang w:val="en-GB" w:eastAsia="en-US"/>
        </w:rPr>
        <w:t xml:space="preserve"> </w:t>
      </w:r>
    </w:p>
    <w:p w:rsidR="0057267D" w:rsidRPr="00FA0E31" w:rsidRDefault="00F37D86" w:rsidP="00FA0E31">
      <w:pPr>
        <w:spacing w:line="240" w:lineRule="auto"/>
        <w:rPr>
          <w:rFonts w:cs="Arial"/>
          <w:b/>
          <w:color w:val="000000"/>
          <w:lang w:val="en-GB" w:eastAsia="en-US"/>
        </w:rPr>
      </w:pPr>
      <w:r w:rsidRPr="00F37D86">
        <w:rPr>
          <w:rFonts w:cs="Arial"/>
          <w:b/>
          <w:color w:val="000000"/>
          <w:lang w:val="en-GB" w:eastAsia="en-US"/>
        </w:rPr>
        <w:t xml:space="preserve"> </w:t>
      </w:r>
    </w:p>
    <w:p w:rsidR="0057267D" w:rsidRDefault="0057267D" w:rsidP="00487A00">
      <w:pPr>
        <w:spacing w:line="240" w:lineRule="auto"/>
        <w:rPr>
          <w:rFonts w:cs="Arial"/>
          <w:color w:val="000000"/>
          <w:lang w:val="en-GB" w:eastAsia="en-US"/>
        </w:rPr>
      </w:pPr>
      <w:r w:rsidRPr="00487A00">
        <w:rPr>
          <w:rFonts w:cs="Arial"/>
          <w:color w:val="000000"/>
          <w:lang w:val="en-GB" w:eastAsia="en-US"/>
        </w:rPr>
        <w:t xml:space="preserve">The Division Bank and Insurance of the Austrian Federal Economic Chamber, as representative of the entire Austrian banking industry, appreciates the possibility to comment on </w:t>
      </w:r>
      <w:r>
        <w:rPr>
          <w:rFonts w:cs="Arial"/>
          <w:color w:val="000000"/>
          <w:lang w:val="en-GB" w:eastAsia="en-US"/>
        </w:rPr>
        <w:t xml:space="preserve">the </w:t>
      </w:r>
      <w:r w:rsidR="00FA0E31">
        <w:rPr>
          <w:rFonts w:cs="Arial"/>
          <w:color w:val="000000"/>
          <w:lang w:val="en-GB" w:eastAsia="en-US"/>
        </w:rPr>
        <w:t xml:space="preserve">above cited consultation papers </w:t>
      </w:r>
      <w:r w:rsidRPr="00487A00">
        <w:rPr>
          <w:rFonts w:cs="Arial"/>
          <w:color w:val="000000"/>
          <w:lang w:val="en-GB" w:eastAsia="en-US"/>
        </w:rPr>
        <w:t>and would like to submit the following position:</w:t>
      </w:r>
    </w:p>
    <w:p w:rsidR="00F37D86" w:rsidRPr="00FA0E31" w:rsidRDefault="00F37D86" w:rsidP="00487A00">
      <w:pPr>
        <w:spacing w:line="240" w:lineRule="auto"/>
        <w:rPr>
          <w:rFonts w:cs="Arial"/>
          <w:color w:val="000000"/>
          <w:lang w:val="en-GB" w:eastAsia="en-US"/>
        </w:rPr>
      </w:pPr>
    </w:p>
    <w:p w:rsidR="00FA0E31" w:rsidRPr="00FA0E31" w:rsidRDefault="00FA0E31" w:rsidP="00FA0E31">
      <w:pPr>
        <w:spacing w:line="240" w:lineRule="auto"/>
        <w:rPr>
          <w:rFonts w:cs="Arial"/>
          <w:b/>
          <w:color w:val="000000"/>
          <w:lang w:val="en-GB" w:eastAsia="en-US"/>
        </w:rPr>
      </w:pPr>
      <w:r w:rsidRPr="00FA0E31">
        <w:rPr>
          <w:rFonts w:cs="Arial"/>
          <w:b/>
          <w:color w:val="000000"/>
          <w:lang w:val="en-GB" w:eastAsia="en-US"/>
        </w:rPr>
        <w:t>Background</w:t>
      </w:r>
    </w:p>
    <w:p w:rsidR="00FA0E31" w:rsidRPr="00FA0E31" w:rsidRDefault="00FA0E31" w:rsidP="00FA0E31">
      <w:pPr>
        <w:spacing w:line="240" w:lineRule="auto"/>
        <w:rPr>
          <w:rFonts w:cs="Arial"/>
          <w:color w:val="000000"/>
          <w:lang w:val="en-GB" w:eastAsia="en-US"/>
        </w:rPr>
      </w:pP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1.</w:t>
      </w:r>
      <w:r w:rsidRPr="00FA0E31">
        <w:rPr>
          <w:rFonts w:cs="Arial"/>
          <w:color w:val="000000"/>
          <w:lang w:val="en-GB" w:eastAsia="en-US"/>
        </w:rPr>
        <w:tab/>
        <w:t>Art. 419 (4) and 419 (5) of the CRR a</w:t>
      </w:r>
      <w:r w:rsidR="006A7BC8">
        <w:rPr>
          <w:rFonts w:cs="Arial"/>
          <w:color w:val="000000"/>
          <w:lang w:val="en-GB" w:eastAsia="en-US"/>
        </w:rPr>
        <w:t>c</w:t>
      </w:r>
      <w:r w:rsidRPr="00FA0E31">
        <w:rPr>
          <w:rFonts w:cs="Arial"/>
          <w:color w:val="000000"/>
          <w:lang w:val="en-GB" w:eastAsia="en-US"/>
        </w:rPr>
        <w:t>knowledge that there may be currencies for which the demand for liquid assets exceeds the availability of such liquid assets. For these currencies, two derogations from the CRR are foreseen:</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a.</w:t>
      </w:r>
      <w:r w:rsidRPr="00FA0E31">
        <w:rPr>
          <w:rFonts w:cs="Arial"/>
          <w:color w:val="000000"/>
          <w:lang w:val="en-GB" w:eastAsia="en-US"/>
        </w:rPr>
        <w:tab/>
        <w:t>Derogation A: the denomination by currency of the liquid assets may be inconsistent with the distribution by currency of liquidity net outflows</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b.</w:t>
      </w:r>
      <w:r w:rsidRPr="00FA0E31">
        <w:rPr>
          <w:rFonts w:cs="Arial"/>
          <w:color w:val="000000"/>
          <w:lang w:val="en-GB" w:eastAsia="en-US"/>
        </w:rPr>
        <w:tab/>
        <w:t>Derogation B: for EU currencies or 3rd country currencies, required liquid assets may be substituted by committed credit lines from the central bank of that country, provided they are fairly priced</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2.</w:t>
      </w:r>
      <w:r w:rsidRPr="00FA0E31">
        <w:rPr>
          <w:rFonts w:cs="Arial"/>
          <w:color w:val="000000"/>
          <w:lang w:val="en-GB" w:eastAsia="en-US"/>
        </w:rPr>
        <w:tab/>
        <w:t>The purpose of the ITS and RTS discussion papers is to</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a.</w:t>
      </w:r>
      <w:r w:rsidRPr="00FA0E31">
        <w:rPr>
          <w:rFonts w:cs="Arial"/>
          <w:color w:val="000000"/>
          <w:lang w:val="en-GB" w:eastAsia="en-US"/>
        </w:rPr>
        <w:tab/>
        <w:t>Define for which currencies there exists a shortage of liquid assets (ITS)</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b.</w:t>
      </w:r>
      <w:r w:rsidRPr="00FA0E31">
        <w:rPr>
          <w:rFonts w:cs="Arial"/>
          <w:color w:val="000000"/>
          <w:lang w:val="en-GB" w:eastAsia="en-US"/>
        </w:rPr>
        <w:tab/>
        <w:t>Define the rules that banks will be subject to in order to make use of the derogations listed above</w:t>
      </w:r>
    </w:p>
    <w:p w:rsidR="00FA0E31" w:rsidRPr="00FA0E31" w:rsidRDefault="00FA0E31" w:rsidP="00FA0E31">
      <w:pPr>
        <w:spacing w:line="240" w:lineRule="auto"/>
        <w:rPr>
          <w:rFonts w:cs="Arial"/>
          <w:color w:val="000000"/>
          <w:lang w:val="en-GB" w:eastAsia="en-US"/>
        </w:rPr>
      </w:pPr>
    </w:p>
    <w:p w:rsidR="00FA0E31" w:rsidRPr="00FA0E31" w:rsidRDefault="00FA0E31" w:rsidP="00FA0E31">
      <w:pPr>
        <w:spacing w:line="240" w:lineRule="auto"/>
        <w:rPr>
          <w:rFonts w:cs="Arial"/>
          <w:b/>
          <w:color w:val="000000"/>
          <w:lang w:val="en-GB" w:eastAsia="en-US"/>
        </w:rPr>
      </w:pPr>
      <w:r w:rsidRPr="00FA0E31">
        <w:rPr>
          <w:rFonts w:cs="Arial"/>
          <w:b/>
          <w:color w:val="000000"/>
          <w:lang w:val="en-GB" w:eastAsia="en-US"/>
        </w:rPr>
        <w:t>Methodology</w:t>
      </w:r>
    </w:p>
    <w:p w:rsidR="00FA0E31" w:rsidRPr="00FA0E31" w:rsidRDefault="00FA0E31" w:rsidP="00FA0E31">
      <w:pPr>
        <w:spacing w:line="240" w:lineRule="auto"/>
        <w:rPr>
          <w:rFonts w:cs="Arial"/>
          <w:color w:val="000000"/>
          <w:lang w:val="en-GB" w:eastAsia="en-US"/>
        </w:rPr>
      </w:pP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1.</w:t>
      </w:r>
      <w:r w:rsidRPr="00FA0E31">
        <w:rPr>
          <w:rFonts w:cs="Arial"/>
          <w:color w:val="000000"/>
          <w:lang w:val="en-GB" w:eastAsia="en-US"/>
        </w:rPr>
        <w:tab/>
        <w:t>In order to define the currencies for which the demand for liquid assets exceeds the availability of liquid assets, the EBA has conducted a data gathering exercise encompassing all EU Member States.</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2.</w:t>
      </w:r>
      <w:r w:rsidRPr="00FA0E31">
        <w:rPr>
          <w:rFonts w:cs="Arial"/>
          <w:color w:val="000000"/>
          <w:lang w:val="en-GB" w:eastAsia="en-US"/>
        </w:rPr>
        <w:tab/>
        <w:t>The demand for liquid assets was estimated based on the weighted net cash outflows over the next 30 days for CRR regulated institutions, taking into account the cap on inflows.</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lastRenderedPageBreak/>
        <w:t>3.</w:t>
      </w:r>
      <w:r w:rsidRPr="00FA0E31">
        <w:rPr>
          <w:rFonts w:cs="Arial"/>
          <w:color w:val="000000"/>
          <w:lang w:val="en-GB" w:eastAsia="en-US"/>
        </w:rPr>
        <w:tab/>
        <w:t>The supply of liquid assets was based</w:t>
      </w:r>
    </w:p>
    <w:p w:rsidR="00FA0E31" w:rsidRPr="00FA0E31" w:rsidRDefault="00FA0E31" w:rsidP="00FA0E31">
      <w:pPr>
        <w:spacing w:line="240" w:lineRule="auto"/>
        <w:rPr>
          <w:rFonts w:cs="Arial"/>
          <w:color w:val="000000"/>
          <w:lang w:val="en-GB" w:eastAsia="en-US"/>
        </w:rPr>
      </w:pPr>
      <w:proofErr w:type="gramStart"/>
      <w:r w:rsidRPr="00FA0E31">
        <w:rPr>
          <w:rFonts w:cs="Arial"/>
          <w:color w:val="000000"/>
          <w:lang w:val="en-GB" w:eastAsia="en-US"/>
        </w:rPr>
        <w:t>a</w:t>
      </w:r>
      <w:proofErr w:type="gramEnd"/>
      <w:r w:rsidRPr="00FA0E31">
        <w:rPr>
          <w:rFonts w:cs="Arial"/>
          <w:color w:val="000000"/>
          <w:lang w:val="en-GB" w:eastAsia="en-US"/>
        </w:rPr>
        <w:t>.</w:t>
      </w:r>
      <w:r w:rsidRPr="00FA0E31">
        <w:rPr>
          <w:rFonts w:cs="Arial"/>
          <w:color w:val="000000"/>
          <w:lang w:val="en-GB" w:eastAsia="en-US"/>
        </w:rPr>
        <w:tab/>
        <w:t>on the Basel classification of liquid assets (as they are not yet specified in the CRR), i.e. level 1, level 2a, level 2b</w:t>
      </w:r>
    </w:p>
    <w:p w:rsidR="00FA0E31" w:rsidRPr="00FA0E31" w:rsidRDefault="00FA0E31" w:rsidP="00FA0E31">
      <w:pPr>
        <w:spacing w:line="240" w:lineRule="auto"/>
        <w:rPr>
          <w:rFonts w:cs="Arial"/>
          <w:color w:val="000000"/>
          <w:lang w:val="en-GB" w:eastAsia="en-US"/>
        </w:rPr>
      </w:pPr>
      <w:proofErr w:type="gramStart"/>
      <w:r w:rsidRPr="00FA0E31">
        <w:rPr>
          <w:rFonts w:cs="Arial"/>
          <w:color w:val="000000"/>
          <w:lang w:val="en-GB" w:eastAsia="en-US"/>
        </w:rPr>
        <w:t>b</w:t>
      </w:r>
      <w:proofErr w:type="gramEnd"/>
      <w:r w:rsidRPr="00FA0E31">
        <w:rPr>
          <w:rFonts w:cs="Arial"/>
          <w:color w:val="000000"/>
          <w:lang w:val="en-GB" w:eastAsia="en-US"/>
        </w:rPr>
        <w:t>.</w:t>
      </w:r>
      <w:r w:rsidRPr="00FA0E31">
        <w:rPr>
          <w:rFonts w:cs="Arial"/>
          <w:color w:val="000000"/>
          <w:lang w:val="en-GB" w:eastAsia="en-US"/>
        </w:rPr>
        <w:tab/>
        <w:t xml:space="preserve">on an assessment from the national authorities about the part of each asset that was traded in large, deep and active repo markets. Thereby, highly liquid assets that were locked-up by investors, which have a buy-and-hold </w:t>
      </w:r>
      <w:proofErr w:type="spellStart"/>
      <w:r w:rsidRPr="00FA0E31">
        <w:rPr>
          <w:rFonts w:cs="Arial"/>
          <w:color w:val="000000"/>
          <w:lang w:val="en-GB" w:eastAsia="en-US"/>
        </w:rPr>
        <w:t>behavior</w:t>
      </w:r>
      <w:proofErr w:type="spellEnd"/>
      <w:r w:rsidRPr="00FA0E31">
        <w:rPr>
          <w:rFonts w:cs="Arial"/>
          <w:color w:val="000000"/>
          <w:lang w:val="en-GB" w:eastAsia="en-US"/>
        </w:rPr>
        <w:t>, i.e. pension funds, insurance companies, central banks, etc. has been taken into account</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4.</w:t>
      </w:r>
      <w:r w:rsidRPr="00FA0E31">
        <w:rPr>
          <w:rFonts w:cs="Arial"/>
          <w:color w:val="000000"/>
          <w:lang w:val="en-GB" w:eastAsia="en-US"/>
        </w:rPr>
        <w:tab/>
        <w:t xml:space="preserve">Formally, a shortage of liquid assets is given, when A &lt; D + B, where A is the available amount of liquid assets, D is the demand for liquid assets and B is a buffer – an excess supply of available liquid assets needed for markets to stay liquid after the introduction of the CRR. The B has been set to 25% of the total demand (D). In addition D is set </w:t>
      </w:r>
      <w:proofErr w:type="spellStart"/>
      <w:r w:rsidRPr="00FA0E31">
        <w:rPr>
          <w:rFonts w:cs="Arial"/>
          <w:color w:val="000000"/>
          <w:lang w:val="en-GB" w:eastAsia="en-US"/>
        </w:rPr>
        <w:t>set</w:t>
      </w:r>
      <w:proofErr w:type="spellEnd"/>
      <w:r w:rsidRPr="00FA0E31">
        <w:rPr>
          <w:rFonts w:cs="Arial"/>
          <w:color w:val="000000"/>
          <w:lang w:val="en-GB" w:eastAsia="en-US"/>
        </w:rPr>
        <w:t xml:space="preserve"> in a way, such that the assumed targeted LCR ratio by banks is 110% (while the minimum requirement is 100%)</w:t>
      </w:r>
    </w:p>
    <w:p w:rsidR="00FA0E31" w:rsidRPr="00FA0E31" w:rsidRDefault="00FA0E31" w:rsidP="00FA0E31">
      <w:pPr>
        <w:spacing w:line="240" w:lineRule="auto"/>
        <w:rPr>
          <w:rFonts w:cs="Arial"/>
          <w:color w:val="000000"/>
          <w:lang w:val="en-GB" w:eastAsia="en-US"/>
        </w:rPr>
      </w:pPr>
    </w:p>
    <w:p w:rsidR="00FA0E31" w:rsidRPr="00FA0E31" w:rsidRDefault="00FA0E31" w:rsidP="00FA0E31">
      <w:pPr>
        <w:spacing w:line="240" w:lineRule="auto"/>
        <w:rPr>
          <w:rFonts w:cs="Arial"/>
          <w:b/>
          <w:color w:val="000000"/>
          <w:lang w:val="en-GB" w:eastAsia="en-US"/>
        </w:rPr>
      </w:pPr>
      <w:r w:rsidRPr="00FA0E31">
        <w:rPr>
          <w:rFonts w:cs="Arial"/>
          <w:b/>
          <w:color w:val="000000"/>
          <w:lang w:val="en-GB" w:eastAsia="en-US"/>
        </w:rPr>
        <w:t>Results</w:t>
      </w:r>
    </w:p>
    <w:p w:rsidR="00FA0E31" w:rsidRPr="00FA0E31" w:rsidRDefault="00FA0E31" w:rsidP="00FA0E31">
      <w:pPr>
        <w:spacing w:line="240" w:lineRule="auto"/>
        <w:rPr>
          <w:rFonts w:cs="Arial"/>
          <w:color w:val="000000"/>
          <w:lang w:val="en-GB" w:eastAsia="en-US"/>
        </w:rPr>
      </w:pP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1.</w:t>
      </w:r>
      <w:r w:rsidRPr="00FA0E31">
        <w:rPr>
          <w:rFonts w:cs="Arial"/>
          <w:color w:val="000000"/>
          <w:lang w:val="en-GB" w:eastAsia="en-US"/>
        </w:rPr>
        <w:tab/>
        <w:t xml:space="preserve">The ITS published by EBA identify only 2 currencies, for which the availability of liquid assets is assessed to be lower than the demand of liquid assets, namely the NOK (Norwegian Krone) and the DKK (Danish Krone). </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2.</w:t>
      </w:r>
      <w:r w:rsidRPr="00FA0E31">
        <w:rPr>
          <w:rFonts w:cs="Arial"/>
          <w:color w:val="000000"/>
          <w:lang w:val="en-GB" w:eastAsia="en-US"/>
        </w:rPr>
        <w:tab/>
        <w:t xml:space="preserve">In addition, for those two currencies the following </w:t>
      </w:r>
      <w:proofErr w:type="gramStart"/>
      <w:r w:rsidRPr="00FA0E31">
        <w:rPr>
          <w:rFonts w:cs="Arial"/>
          <w:color w:val="000000"/>
          <w:lang w:val="en-GB" w:eastAsia="en-US"/>
        </w:rPr>
        <w:t>shortage of liquid assets are</w:t>
      </w:r>
      <w:proofErr w:type="gramEnd"/>
      <w:r w:rsidRPr="00FA0E31">
        <w:rPr>
          <w:rFonts w:cs="Arial"/>
          <w:color w:val="000000"/>
          <w:lang w:val="en-GB" w:eastAsia="en-US"/>
        </w:rPr>
        <w:t xml:space="preserve"> estimated, including the buffer of 25% of estimated demand:</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a.</w:t>
      </w:r>
      <w:r w:rsidRPr="00FA0E31">
        <w:rPr>
          <w:rFonts w:cs="Arial"/>
          <w:color w:val="000000"/>
          <w:lang w:val="en-GB" w:eastAsia="en-US"/>
        </w:rPr>
        <w:tab/>
        <w:t>DKK – 27%</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b.</w:t>
      </w:r>
      <w:r w:rsidRPr="00FA0E31">
        <w:rPr>
          <w:rFonts w:cs="Arial"/>
          <w:color w:val="000000"/>
          <w:lang w:val="en-GB" w:eastAsia="en-US"/>
        </w:rPr>
        <w:tab/>
        <w:t>NOK – 63%</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3.</w:t>
      </w:r>
      <w:r w:rsidRPr="00FA0E31">
        <w:rPr>
          <w:rFonts w:cs="Arial"/>
          <w:color w:val="000000"/>
          <w:lang w:val="en-GB" w:eastAsia="en-US"/>
        </w:rPr>
        <w:tab/>
        <w:t xml:space="preserve">As a consequence, banks based in Denmark and Norway will be able to make use of the 2 derogations specified under 1) above, however subject to additional conditions: </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a.</w:t>
      </w:r>
      <w:r w:rsidRPr="00FA0E31">
        <w:rPr>
          <w:rFonts w:cs="Arial"/>
          <w:color w:val="000000"/>
          <w:lang w:val="en-GB" w:eastAsia="en-US"/>
        </w:rPr>
        <w:tab/>
        <w:t>The amount which will be allowable under both derogation alternatives shall be proportional to the shortage percentages above</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b.</w:t>
      </w:r>
      <w:r w:rsidRPr="00FA0E31">
        <w:rPr>
          <w:rFonts w:cs="Arial"/>
          <w:color w:val="000000"/>
          <w:lang w:val="en-GB" w:eastAsia="en-US"/>
        </w:rPr>
        <w:tab/>
        <w:t xml:space="preserve">Derogation A: an additional 8% haircut on the posted collateral </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c.</w:t>
      </w:r>
      <w:r w:rsidRPr="00FA0E31">
        <w:rPr>
          <w:rFonts w:cs="Arial"/>
          <w:color w:val="000000"/>
          <w:lang w:val="en-GB" w:eastAsia="en-US"/>
        </w:rPr>
        <w:tab/>
        <w:t xml:space="preserve">Derogation B: the price for the committed credit line shall bring no </w:t>
      </w:r>
      <w:proofErr w:type="spellStart"/>
      <w:r w:rsidRPr="00FA0E31">
        <w:rPr>
          <w:rFonts w:cs="Arial"/>
          <w:color w:val="000000"/>
          <w:lang w:val="en-GB" w:eastAsia="en-US"/>
        </w:rPr>
        <w:t>economical</w:t>
      </w:r>
      <w:proofErr w:type="spellEnd"/>
      <w:r w:rsidRPr="00FA0E31">
        <w:rPr>
          <w:rFonts w:cs="Arial"/>
          <w:color w:val="000000"/>
          <w:lang w:val="en-GB" w:eastAsia="en-US"/>
        </w:rPr>
        <w:t xml:space="preserve"> advantage of the bank, i.e. shall be equal to the yield difference between the pledged assets to secure the CCL and the opportunity cost of a liquid asset portfolio in the domestic currency</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d.</w:t>
      </w:r>
      <w:r w:rsidRPr="00FA0E31">
        <w:rPr>
          <w:rFonts w:cs="Arial"/>
          <w:color w:val="000000"/>
          <w:lang w:val="en-GB" w:eastAsia="en-US"/>
        </w:rPr>
        <w:tab/>
        <w:t xml:space="preserve">Other (reporting) requirements, including a proof from the respective bank that it is </w:t>
      </w:r>
      <w:proofErr w:type="spellStart"/>
      <w:r w:rsidRPr="00FA0E31">
        <w:rPr>
          <w:rFonts w:cs="Arial"/>
          <w:color w:val="000000"/>
          <w:lang w:val="en-GB" w:eastAsia="en-US"/>
        </w:rPr>
        <w:t>managin</w:t>
      </w:r>
      <w:proofErr w:type="spellEnd"/>
      <w:r w:rsidRPr="00FA0E31">
        <w:rPr>
          <w:rFonts w:cs="Arial"/>
          <w:color w:val="000000"/>
          <w:lang w:val="en-GB" w:eastAsia="en-US"/>
        </w:rPr>
        <w:t xml:space="preserve"> the inflow cap efficiently and that it strives to </w:t>
      </w:r>
      <w:proofErr w:type="spellStart"/>
      <w:r w:rsidRPr="00FA0E31">
        <w:rPr>
          <w:rFonts w:cs="Arial"/>
          <w:color w:val="000000"/>
          <w:lang w:val="en-GB" w:eastAsia="en-US"/>
        </w:rPr>
        <w:t>aquire</w:t>
      </w:r>
      <w:proofErr w:type="spellEnd"/>
      <w:r w:rsidRPr="00FA0E31">
        <w:rPr>
          <w:rFonts w:cs="Arial"/>
          <w:color w:val="000000"/>
          <w:lang w:val="en-GB" w:eastAsia="en-US"/>
        </w:rPr>
        <w:t xml:space="preserve"> as much as possible liquid assets denominated in the domestic currency</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4.</w:t>
      </w:r>
      <w:r w:rsidRPr="00FA0E31">
        <w:rPr>
          <w:rFonts w:cs="Arial"/>
          <w:color w:val="000000"/>
          <w:lang w:val="en-GB" w:eastAsia="en-US"/>
        </w:rPr>
        <w:tab/>
        <w:t>Other currencies have not been analysed due to lack of supplied data by the local authorities, mostly because of insufficiency of available domestic currency liquid assets</w:t>
      </w:r>
    </w:p>
    <w:p w:rsidR="00FA0E31" w:rsidRPr="00FA0E31" w:rsidRDefault="00FA0E31" w:rsidP="00FA0E31">
      <w:pPr>
        <w:spacing w:line="240" w:lineRule="auto"/>
        <w:rPr>
          <w:rFonts w:cs="Arial"/>
          <w:color w:val="000000"/>
          <w:lang w:val="en-GB" w:eastAsia="en-US"/>
        </w:rPr>
      </w:pPr>
    </w:p>
    <w:p w:rsidR="00FA0E31" w:rsidRPr="00FA0E31" w:rsidRDefault="00FA0E31" w:rsidP="00FA0E31">
      <w:pPr>
        <w:spacing w:line="240" w:lineRule="auto"/>
        <w:rPr>
          <w:rFonts w:cs="Arial"/>
          <w:b/>
          <w:color w:val="000000"/>
          <w:lang w:val="en-GB" w:eastAsia="en-US"/>
        </w:rPr>
      </w:pPr>
      <w:r w:rsidRPr="00FA0E31">
        <w:rPr>
          <w:rFonts w:cs="Arial"/>
          <w:b/>
          <w:color w:val="000000"/>
          <w:lang w:val="en-GB" w:eastAsia="en-US"/>
        </w:rPr>
        <w:t>Commentary</w:t>
      </w:r>
    </w:p>
    <w:p w:rsidR="00FA0E31" w:rsidRPr="00FA0E31" w:rsidRDefault="00FA0E31" w:rsidP="00FA0E31">
      <w:pPr>
        <w:spacing w:line="240" w:lineRule="auto"/>
        <w:rPr>
          <w:rFonts w:cs="Arial"/>
          <w:color w:val="000000"/>
          <w:lang w:val="en-GB" w:eastAsia="en-US"/>
        </w:rPr>
      </w:pP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1.</w:t>
      </w:r>
      <w:r w:rsidRPr="00FA0E31">
        <w:rPr>
          <w:rFonts w:cs="Arial"/>
          <w:color w:val="000000"/>
          <w:lang w:val="en-GB" w:eastAsia="en-US"/>
        </w:rPr>
        <w:tab/>
        <w:t xml:space="preserve">We deem the ITS methodology for determining the list of currencies for which the demand of liquid assets exceeds their availability and the shortage percentage as appropriate. </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2.</w:t>
      </w:r>
      <w:r w:rsidRPr="00FA0E31">
        <w:rPr>
          <w:rFonts w:cs="Arial"/>
          <w:color w:val="000000"/>
          <w:lang w:val="en-GB" w:eastAsia="en-US"/>
        </w:rPr>
        <w:tab/>
        <w:t xml:space="preserve">The RTS specifies additional conditions which the banks which would like to make use of one of the 2 derogations shall comply with. In our view, those conditions are also acceptable. </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3.</w:t>
      </w:r>
      <w:r w:rsidRPr="00FA0E31">
        <w:rPr>
          <w:rFonts w:cs="Arial"/>
          <w:color w:val="000000"/>
          <w:lang w:val="en-GB" w:eastAsia="en-US"/>
        </w:rPr>
        <w:tab/>
        <w:t xml:space="preserve">We see it a critical fact of the </w:t>
      </w:r>
      <w:proofErr w:type="gramStart"/>
      <w:r w:rsidRPr="00FA0E31">
        <w:rPr>
          <w:rFonts w:cs="Arial"/>
          <w:color w:val="000000"/>
          <w:lang w:val="en-GB" w:eastAsia="en-US"/>
        </w:rPr>
        <w:t>ITS</w:t>
      </w:r>
      <w:proofErr w:type="gramEnd"/>
      <w:r w:rsidRPr="00FA0E31">
        <w:rPr>
          <w:rFonts w:cs="Arial"/>
          <w:color w:val="000000"/>
          <w:lang w:val="en-GB" w:eastAsia="en-US"/>
        </w:rPr>
        <w:t xml:space="preserve"> that the assessment has been performed for 2 currencies only. From our point of view it is important that the EBA makes an additional effort to gather data and perform a thorough assessment for all CESEE currencies. </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4.</w:t>
      </w:r>
      <w:r w:rsidRPr="00FA0E31">
        <w:rPr>
          <w:rFonts w:cs="Arial"/>
          <w:color w:val="000000"/>
          <w:lang w:val="en-GB" w:eastAsia="en-US"/>
        </w:rPr>
        <w:tab/>
        <w:t xml:space="preserve">Our expectation is that liquid assets denominated in some of the CESEE currencies will also turn out to be short of the estimated demand. </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5.</w:t>
      </w:r>
      <w:r w:rsidRPr="00FA0E31">
        <w:rPr>
          <w:rFonts w:cs="Arial"/>
          <w:color w:val="000000"/>
          <w:lang w:val="en-GB" w:eastAsia="en-US"/>
        </w:rPr>
        <w:tab/>
        <w:t xml:space="preserve">Firstly, this can be due to the fact that the local CESEE debt and equity markets are rather undeveloped, i.e. are not „deep” and the traded volume is very low. </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6.</w:t>
      </w:r>
      <w:r w:rsidRPr="00FA0E31">
        <w:rPr>
          <w:rFonts w:cs="Arial"/>
          <w:color w:val="000000"/>
          <w:lang w:val="en-GB" w:eastAsia="en-US"/>
        </w:rPr>
        <w:tab/>
        <w:t>Secondly, the volume of domestic currency denominated government bonds in these countries is rather low</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7.</w:t>
      </w:r>
      <w:r w:rsidRPr="00FA0E31">
        <w:rPr>
          <w:rFonts w:cs="Arial"/>
          <w:color w:val="000000"/>
          <w:lang w:val="en-GB" w:eastAsia="en-US"/>
        </w:rPr>
        <w:tab/>
        <w:t>Thirdly, due to the pension system reform in most CESEE countries, a great part of the locally issued government bonds is bought by local pension funds, which means that it is locked-up</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lastRenderedPageBreak/>
        <w:t>8.</w:t>
      </w:r>
      <w:r w:rsidRPr="00FA0E31">
        <w:rPr>
          <w:rFonts w:cs="Arial"/>
          <w:color w:val="000000"/>
          <w:lang w:val="en-GB" w:eastAsia="en-US"/>
        </w:rPr>
        <w:tab/>
        <w:t>Generally, we see that banks in Denmark and Norway will gain advantage compared to banks operating in other jurisdictions like most of the CEE and SEE countries, where the demand for liquid assets is expected to exceed the supply of liquid assets in domestic currency.</w:t>
      </w:r>
    </w:p>
    <w:p w:rsidR="00FA0E31" w:rsidRPr="00FA0E31" w:rsidRDefault="00FA0E31" w:rsidP="00FA0E31">
      <w:pPr>
        <w:spacing w:line="240" w:lineRule="auto"/>
        <w:rPr>
          <w:rFonts w:cs="Arial"/>
          <w:color w:val="000000"/>
          <w:lang w:val="en-GB" w:eastAsia="en-US"/>
        </w:rPr>
      </w:pPr>
      <w:r w:rsidRPr="00FA0E31">
        <w:rPr>
          <w:rFonts w:cs="Arial"/>
          <w:color w:val="000000"/>
          <w:lang w:val="en-GB" w:eastAsia="en-US"/>
        </w:rPr>
        <w:t>9.</w:t>
      </w:r>
      <w:r w:rsidRPr="00FA0E31">
        <w:rPr>
          <w:rFonts w:cs="Arial"/>
          <w:color w:val="000000"/>
          <w:lang w:val="en-GB" w:eastAsia="en-US"/>
        </w:rPr>
        <w:tab/>
        <w:t xml:space="preserve">Therefore, we highly appeal that EBA </w:t>
      </w:r>
      <w:r w:rsidR="006A7BC8">
        <w:rPr>
          <w:rFonts w:cs="Arial"/>
          <w:color w:val="000000"/>
          <w:lang w:val="en-GB" w:eastAsia="en-US"/>
        </w:rPr>
        <w:t>invests much effort</w:t>
      </w:r>
      <w:bookmarkStart w:id="0" w:name="_GoBack"/>
      <w:bookmarkEnd w:id="0"/>
      <w:r w:rsidRPr="00FA0E31">
        <w:rPr>
          <w:rFonts w:cs="Arial"/>
          <w:color w:val="000000"/>
          <w:lang w:val="en-GB" w:eastAsia="en-US"/>
        </w:rPr>
        <w:t xml:space="preserve"> in additional surveys to cover all EU currencies, especially all CESEE currencies in its </w:t>
      </w:r>
      <w:proofErr w:type="spellStart"/>
      <w:r w:rsidRPr="00FA0E31">
        <w:rPr>
          <w:rFonts w:cs="Arial"/>
          <w:color w:val="000000"/>
          <w:lang w:val="en-GB" w:eastAsia="en-US"/>
        </w:rPr>
        <w:t>ITS</w:t>
      </w:r>
      <w:proofErr w:type="spellEnd"/>
      <w:r w:rsidRPr="00FA0E31">
        <w:rPr>
          <w:rFonts w:cs="Arial"/>
          <w:color w:val="000000"/>
          <w:lang w:val="en-GB" w:eastAsia="en-US"/>
        </w:rPr>
        <w:t xml:space="preserve"> in order to ensure a „level playing field” to all banks within EU which have to cope with the problem of liquid asset shortage. We want to remind EBA that ensuring a „level playing field” is one of the key functions and initial reasons for its foundation and ongoing existence.</w:t>
      </w:r>
    </w:p>
    <w:p w:rsidR="00AA51DC" w:rsidRDefault="00AA51DC" w:rsidP="00AA51DC">
      <w:pPr>
        <w:spacing w:line="240" w:lineRule="auto"/>
        <w:rPr>
          <w:rFonts w:cs="Arial"/>
          <w:b/>
          <w:color w:val="000000"/>
          <w:lang w:val="en-GB" w:eastAsia="en-US"/>
        </w:rPr>
      </w:pPr>
    </w:p>
    <w:p w:rsidR="00FA0E31" w:rsidRDefault="00FA0E31" w:rsidP="00AA51DC">
      <w:pPr>
        <w:spacing w:line="240" w:lineRule="auto"/>
        <w:rPr>
          <w:rFonts w:cs="Arial"/>
          <w:b/>
          <w:color w:val="000000"/>
          <w:lang w:val="en-GB" w:eastAsia="en-US"/>
        </w:rPr>
      </w:pPr>
    </w:p>
    <w:p w:rsidR="00FA0E31" w:rsidRPr="00FA0E31" w:rsidRDefault="00FA0E31" w:rsidP="00AA51DC">
      <w:pPr>
        <w:spacing w:line="240" w:lineRule="auto"/>
        <w:rPr>
          <w:rFonts w:cs="Arial"/>
          <w:color w:val="000000"/>
          <w:lang w:val="en-GB" w:eastAsia="en-US"/>
        </w:rPr>
      </w:pPr>
      <w:r w:rsidRPr="00FA0E31">
        <w:rPr>
          <w:rFonts w:cs="Arial"/>
          <w:color w:val="000000"/>
          <w:lang w:val="en-GB" w:eastAsia="en-US"/>
        </w:rPr>
        <w:t>Please take our remarks into due consideration.</w:t>
      </w:r>
    </w:p>
    <w:p w:rsidR="00FA0E31" w:rsidRPr="00FA0E31" w:rsidRDefault="00FA0E31" w:rsidP="00AA51DC">
      <w:pPr>
        <w:spacing w:line="240" w:lineRule="auto"/>
        <w:rPr>
          <w:rFonts w:cs="Arial"/>
          <w:color w:val="000000"/>
          <w:lang w:val="en-GB" w:eastAsia="en-US"/>
        </w:rPr>
      </w:pPr>
      <w:r w:rsidRPr="00FA0E31">
        <w:rPr>
          <w:rFonts w:cs="Arial"/>
          <w:color w:val="000000"/>
          <w:lang w:val="en-GB" w:eastAsia="en-US"/>
        </w:rPr>
        <w:br/>
        <w:t>Yours faithfully,</w:t>
      </w:r>
    </w:p>
    <w:p w:rsidR="00FA0E31" w:rsidRPr="00FA0E31" w:rsidRDefault="00FA0E31" w:rsidP="00AA51DC">
      <w:pPr>
        <w:spacing w:line="240" w:lineRule="auto"/>
        <w:rPr>
          <w:rFonts w:cs="Arial"/>
          <w:color w:val="000000"/>
          <w:lang w:val="en-GB" w:eastAsia="en-US"/>
        </w:rPr>
      </w:pPr>
    </w:p>
    <w:p w:rsidR="00FA0E31" w:rsidRPr="00FA0E31" w:rsidRDefault="00FA0E31" w:rsidP="00AA51DC">
      <w:pPr>
        <w:spacing w:line="240" w:lineRule="auto"/>
        <w:rPr>
          <w:rFonts w:cs="Arial"/>
          <w:color w:val="000000"/>
          <w:lang w:val="en-GB" w:eastAsia="en-US"/>
        </w:rPr>
      </w:pPr>
      <w:proofErr w:type="spellStart"/>
      <w:r w:rsidRPr="00FA0E31">
        <w:rPr>
          <w:rFonts w:cs="Arial"/>
          <w:color w:val="000000"/>
          <w:lang w:val="en-GB" w:eastAsia="en-US"/>
        </w:rPr>
        <w:t>Dr.</w:t>
      </w:r>
      <w:proofErr w:type="spellEnd"/>
      <w:r w:rsidRPr="00FA0E31">
        <w:rPr>
          <w:rFonts w:cs="Arial"/>
          <w:color w:val="000000"/>
          <w:lang w:val="en-GB" w:eastAsia="en-US"/>
        </w:rPr>
        <w:t xml:space="preserve"> Franz Rudorfer</w:t>
      </w:r>
    </w:p>
    <w:p w:rsidR="00FA0E31" w:rsidRPr="00FA0E31" w:rsidRDefault="00FA0E31" w:rsidP="00AA51DC">
      <w:pPr>
        <w:spacing w:line="240" w:lineRule="auto"/>
        <w:rPr>
          <w:rFonts w:cs="Arial"/>
          <w:color w:val="000000"/>
          <w:lang w:val="en-GB" w:eastAsia="en-US"/>
        </w:rPr>
      </w:pPr>
      <w:r w:rsidRPr="00FA0E31">
        <w:rPr>
          <w:rFonts w:cs="Arial"/>
          <w:color w:val="000000"/>
          <w:lang w:val="en-GB" w:eastAsia="en-US"/>
        </w:rPr>
        <w:t>Managing Director</w:t>
      </w:r>
    </w:p>
    <w:p w:rsidR="00FA0E31" w:rsidRPr="00FA0E31" w:rsidRDefault="00FA0E31" w:rsidP="00AA51DC">
      <w:pPr>
        <w:spacing w:line="240" w:lineRule="auto"/>
        <w:rPr>
          <w:rFonts w:cs="Arial"/>
          <w:color w:val="000000"/>
          <w:lang w:val="en-GB" w:eastAsia="en-US"/>
        </w:rPr>
      </w:pPr>
      <w:r w:rsidRPr="00FA0E31">
        <w:rPr>
          <w:rFonts w:cs="Arial"/>
          <w:color w:val="000000"/>
          <w:lang w:val="en-GB" w:eastAsia="en-US"/>
        </w:rPr>
        <w:t>Division Bank and Insurance</w:t>
      </w:r>
    </w:p>
    <w:sectPr w:rsidR="00FA0E31" w:rsidRPr="00FA0E31" w:rsidSect="0015547B">
      <w:headerReference w:type="default" r:id="rId8"/>
      <w:headerReference w:type="first" r:id="rId9"/>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67D" w:rsidRDefault="0057267D">
      <w:r>
        <w:separator/>
      </w:r>
    </w:p>
  </w:endnote>
  <w:endnote w:type="continuationSeparator" w:id="0">
    <w:p w:rsidR="0057267D" w:rsidRDefault="0057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67D" w:rsidRDefault="0057267D">
      <w:r>
        <w:separator/>
      </w:r>
    </w:p>
  </w:footnote>
  <w:footnote w:type="continuationSeparator" w:id="0">
    <w:p w:rsidR="0057267D" w:rsidRDefault="00572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67D" w:rsidRDefault="0057267D">
    <w:pPr>
      <w:pStyle w:val="Kopfzeile"/>
      <w:jc w:val="center"/>
    </w:pPr>
    <w:r>
      <w:t xml:space="preserve">- </w:t>
    </w:r>
    <w:r>
      <w:rPr>
        <w:rStyle w:val="Seitenzahl"/>
        <w:rFonts w:cs="Trebuchet MS"/>
      </w:rPr>
      <w:fldChar w:fldCharType="begin"/>
    </w:r>
    <w:r>
      <w:rPr>
        <w:rStyle w:val="Seitenzahl"/>
        <w:rFonts w:cs="Trebuchet MS"/>
      </w:rPr>
      <w:instrText xml:space="preserve"> PAGE </w:instrText>
    </w:r>
    <w:r>
      <w:rPr>
        <w:rStyle w:val="Seitenzahl"/>
        <w:rFonts w:cs="Trebuchet MS"/>
      </w:rPr>
      <w:fldChar w:fldCharType="separate"/>
    </w:r>
    <w:r w:rsidR="006A7BC8">
      <w:rPr>
        <w:rStyle w:val="Seitenzahl"/>
        <w:rFonts w:cs="Trebuchet MS"/>
        <w:noProof/>
      </w:rPr>
      <w:t>2</w:t>
    </w:r>
    <w:r>
      <w:rPr>
        <w:rStyle w:val="Seitenzahl"/>
        <w:rFonts w:cs="Trebuchet MS"/>
      </w:rPr>
      <w:fldChar w:fldCharType="end"/>
    </w:r>
    <w:r>
      <w:rPr>
        <w:rStyle w:val="Seitenzahl"/>
        <w:rFonts w:cs="Trebuchet M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67D" w:rsidRDefault="00A36A4E">
    <w:pPr>
      <w:pStyle w:val="Kopfzeile"/>
      <w:jc w:val="right"/>
    </w:pPr>
    <w:r>
      <w:rPr>
        <w:noProof/>
        <w:lang w:val="de-AT"/>
      </w:rPr>
      <w:drawing>
        <wp:anchor distT="0" distB="0" distL="114300" distR="114300" simplePos="0" relativeHeight="251660288" behindDoc="0" locked="1" layoutInCell="0" allowOverlap="1" wp14:anchorId="323BF8C8" wp14:editId="41C3D2E5">
          <wp:simplePos x="0" y="0"/>
          <wp:positionH relativeFrom="page">
            <wp:posOffset>4859655</wp:posOffset>
          </wp:positionH>
          <wp:positionV relativeFrom="page">
            <wp:posOffset>197485</wp:posOffset>
          </wp:positionV>
          <wp:extent cx="2210435" cy="861695"/>
          <wp:effectExtent l="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861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2AF5"/>
    <w:multiLevelType w:val="hybridMultilevel"/>
    <w:tmpl w:val="205A741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nsid w:val="07DE01A8"/>
    <w:multiLevelType w:val="hybridMultilevel"/>
    <w:tmpl w:val="3C6A1B6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00D4ABB"/>
    <w:multiLevelType w:val="hybridMultilevel"/>
    <w:tmpl w:val="603EC2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BEE0106"/>
    <w:multiLevelType w:val="hybridMultilevel"/>
    <w:tmpl w:val="E56E3B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CAE22F5"/>
    <w:multiLevelType w:val="hybridMultilevel"/>
    <w:tmpl w:val="EAE0485A"/>
    <w:lvl w:ilvl="0" w:tplc="0C07000F">
      <w:start w:val="1"/>
      <w:numFmt w:val="decimal"/>
      <w:lvlText w:val="%1."/>
      <w:lvlJc w:val="left"/>
      <w:pPr>
        <w:ind w:left="786" w:hanging="360"/>
      </w:p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5">
    <w:nsid w:val="580211D6"/>
    <w:multiLevelType w:val="hybridMultilevel"/>
    <w:tmpl w:val="EF566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59D163A7"/>
    <w:multiLevelType w:val="hybridMultilevel"/>
    <w:tmpl w:val="8DAA21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5F86B8E"/>
    <w:multiLevelType w:val="hybridMultilevel"/>
    <w:tmpl w:val="001C9D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301F5F"/>
    <w:multiLevelType w:val="hybridMultilevel"/>
    <w:tmpl w:val="9400425E"/>
    <w:lvl w:ilvl="0" w:tplc="0EF664DA">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 w:numId="8">
    <w:abstractNumId w:val="7"/>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CC"/>
    <w:rsid w:val="00001730"/>
    <w:rsid w:val="000135FB"/>
    <w:rsid w:val="000163E0"/>
    <w:rsid w:val="00021DBA"/>
    <w:rsid w:val="00026657"/>
    <w:rsid w:val="00035D58"/>
    <w:rsid w:val="00044A71"/>
    <w:rsid w:val="00055018"/>
    <w:rsid w:val="00057439"/>
    <w:rsid w:val="00061814"/>
    <w:rsid w:val="000619FB"/>
    <w:rsid w:val="0007219F"/>
    <w:rsid w:val="000754A6"/>
    <w:rsid w:val="0008527D"/>
    <w:rsid w:val="0008698A"/>
    <w:rsid w:val="000919C4"/>
    <w:rsid w:val="00094EB8"/>
    <w:rsid w:val="0009753B"/>
    <w:rsid w:val="000A205C"/>
    <w:rsid w:val="000A4FC6"/>
    <w:rsid w:val="000A771B"/>
    <w:rsid w:val="000A7D13"/>
    <w:rsid w:val="000B449E"/>
    <w:rsid w:val="000B4D96"/>
    <w:rsid w:val="000B572C"/>
    <w:rsid w:val="000D31AA"/>
    <w:rsid w:val="000F0936"/>
    <w:rsid w:val="000F2220"/>
    <w:rsid w:val="000F28BB"/>
    <w:rsid w:val="000F3572"/>
    <w:rsid w:val="000F74C7"/>
    <w:rsid w:val="00105F0E"/>
    <w:rsid w:val="0011743A"/>
    <w:rsid w:val="00121770"/>
    <w:rsid w:val="00121CBD"/>
    <w:rsid w:val="001276A5"/>
    <w:rsid w:val="00127F3B"/>
    <w:rsid w:val="00131416"/>
    <w:rsid w:val="00135A40"/>
    <w:rsid w:val="00137EF5"/>
    <w:rsid w:val="0014018E"/>
    <w:rsid w:val="0014746B"/>
    <w:rsid w:val="00151A78"/>
    <w:rsid w:val="0015547B"/>
    <w:rsid w:val="00155AEE"/>
    <w:rsid w:val="00161914"/>
    <w:rsid w:val="00163CC0"/>
    <w:rsid w:val="00163DDA"/>
    <w:rsid w:val="00174D0C"/>
    <w:rsid w:val="00196D5C"/>
    <w:rsid w:val="001974F7"/>
    <w:rsid w:val="001A022C"/>
    <w:rsid w:val="001B4AB0"/>
    <w:rsid w:val="001C4931"/>
    <w:rsid w:val="001C49F8"/>
    <w:rsid w:val="001D40CC"/>
    <w:rsid w:val="002045CC"/>
    <w:rsid w:val="00205DE9"/>
    <w:rsid w:val="002061DD"/>
    <w:rsid w:val="00207AC9"/>
    <w:rsid w:val="00210FDF"/>
    <w:rsid w:val="00224981"/>
    <w:rsid w:val="00240D9B"/>
    <w:rsid w:val="0026358F"/>
    <w:rsid w:val="00264C67"/>
    <w:rsid w:val="00265C18"/>
    <w:rsid w:val="002711FC"/>
    <w:rsid w:val="00272C43"/>
    <w:rsid w:val="00280548"/>
    <w:rsid w:val="0028446E"/>
    <w:rsid w:val="00287819"/>
    <w:rsid w:val="002A00E4"/>
    <w:rsid w:val="002A15C7"/>
    <w:rsid w:val="002A3540"/>
    <w:rsid w:val="002A3DC1"/>
    <w:rsid w:val="002B3BF4"/>
    <w:rsid w:val="002B4B41"/>
    <w:rsid w:val="002C4DDF"/>
    <w:rsid w:val="002D14BF"/>
    <w:rsid w:val="002D1FBA"/>
    <w:rsid w:val="002E235D"/>
    <w:rsid w:val="002F1DC4"/>
    <w:rsid w:val="003035E2"/>
    <w:rsid w:val="00316718"/>
    <w:rsid w:val="0031680D"/>
    <w:rsid w:val="00320A42"/>
    <w:rsid w:val="00325FCF"/>
    <w:rsid w:val="00327DD3"/>
    <w:rsid w:val="00344DB8"/>
    <w:rsid w:val="00361B24"/>
    <w:rsid w:val="0037344E"/>
    <w:rsid w:val="00377BF8"/>
    <w:rsid w:val="003814C3"/>
    <w:rsid w:val="00384948"/>
    <w:rsid w:val="00390AC7"/>
    <w:rsid w:val="0039371D"/>
    <w:rsid w:val="003B3D28"/>
    <w:rsid w:val="003C5804"/>
    <w:rsid w:val="003C622F"/>
    <w:rsid w:val="003D3F8C"/>
    <w:rsid w:val="003E09A5"/>
    <w:rsid w:val="003E7357"/>
    <w:rsid w:val="003F44A2"/>
    <w:rsid w:val="003F5EEF"/>
    <w:rsid w:val="003F640F"/>
    <w:rsid w:val="00404863"/>
    <w:rsid w:val="004235FB"/>
    <w:rsid w:val="00430245"/>
    <w:rsid w:val="004302FD"/>
    <w:rsid w:val="004339AE"/>
    <w:rsid w:val="004400CB"/>
    <w:rsid w:val="00445FAF"/>
    <w:rsid w:val="0044708F"/>
    <w:rsid w:val="00450B6F"/>
    <w:rsid w:val="00461F65"/>
    <w:rsid w:val="00470480"/>
    <w:rsid w:val="004745CD"/>
    <w:rsid w:val="00480120"/>
    <w:rsid w:val="00482639"/>
    <w:rsid w:val="00487A00"/>
    <w:rsid w:val="004C0E9B"/>
    <w:rsid w:val="004C5E94"/>
    <w:rsid w:val="004C6FA4"/>
    <w:rsid w:val="004D1102"/>
    <w:rsid w:val="004D1A1E"/>
    <w:rsid w:val="004E51E5"/>
    <w:rsid w:val="004F1B60"/>
    <w:rsid w:val="005007FF"/>
    <w:rsid w:val="00505343"/>
    <w:rsid w:val="00517690"/>
    <w:rsid w:val="00521B7F"/>
    <w:rsid w:val="00535CF4"/>
    <w:rsid w:val="00550064"/>
    <w:rsid w:val="00550380"/>
    <w:rsid w:val="005548F9"/>
    <w:rsid w:val="00562C44"/>
    <w:rsid w:val="0057267D"/>
    <w:rsid w:val="00576F32"/>
    <w:rsid w:val="00590AAE"/>
    <w:rsid w:val="005B3FB7"/>
    <w:rsid w:val="005C04FF"/>
    <w:rsid w:val="005C218C"/>
    <w:rsid w:val="005D0470"/>
    <w:rsid w:val="005D08DC"/>
    <w:rsid w:val="005D4F47"/>
    <w:rsid w:val="005E7180"/>
    <w:rsid w:val="005F632A"/>
    <w:rsid w:val="005F6F8E"/>
    <w:rsid w:val="00606AFA"/>
    <w:rsid w:val="00622B51"/>
    <w:rsid w:val="00623752"/>
    <w:rsid w:val="006261AF"/>
    <w:rsid w:val="00641DC4"/>
    <w:rsid w:val="00642235"/>
    <w:rsid w:val="006518A3"/>
    <w:rsid w:val="00677F47"/>
    <w:rsid w:val="00683614"/>
    <w:rsid w:val="0068403B"/>
    <w:rsid w:val="0069309F"/>
    <w:rsid w:val="006A6CC0"/>
    <w:rsid w:val="006A7BC8"/>
    <w:rsid w:val="006C33D2"/>
    <w:rsid w:val="006D6427"/>
    <w:rsid w:val="006E0163"/>
    <w:rsid w:val="007053E7"/>
    <w:rsid w:val="007114EC"/>
    <w:rsid w:val="00724C39"/>
    <w:rsid w:val="00743A63"/>
    <w:rsid w:val="00754BAF"/>
    <w:rsid w:val="00766B69"/>
    <w:rsid w:val="007755BF"/>
    <w:rsid w:val="007762A4"/>
    <w:rsid w:val="00782541"/>
    <w:rsid w:val="00783F4D"/>
    <w:rsid w:val="00784F53"/>
    <w:rsid w:val="00793A62"/>
    <w:rsid w:val="00795782"/>
    <w:rsid w:val="007A1751"/>
    <w:rsid w:val="007B32D2"/>
    <w:rsid w:val="007B3A82"/>
    <w:rsid w:val="007B3EA1"/>
    <w:rsid w:val="007B641D"/>
    <w:rsid w:val="007C2F92"/>
    <w:rsid w:val="007D3573"/>
    <w:rsid w:val="007D4FE3"/>
    <w:rsid w:val="007E6B3B"/>
    <w:rsid w:val="0080414A"/>
    <w:rsid w:val="00815C5E"/>
    <w:rsid w:val="00816598"/>
    <w:rsid w:val="008351DF"/>
    <w:rsid w:val="008406BB"/>
    <w:rsid w:val="0084684D"/>
    <w:rsid w:val="0086077B"/>
    <w:rsid w:val="00864AF6"/>
    <w:rsid w:val="008720A6"/>
    <w:rsid w:val="008745CD"/>
    <w:rsid w:val="00881BC0"/>
    <w:rsid w:val="00884544"/>
    <w:rsid w:val="0088500E"/>
    <w:rsid w:val="0089476E"/>
    <w:rsid w:val="008953FC"/>
    <w:rsid w:val="008B1362"/>
    <w:rsid w:val="008B1D1A"/>
    <w:rsid w:val="008C679C"/>
    <w:rsid w:val="008D469D"/>
    <w:rsid w:val="008D5D3B"/>
    <w:rsid w:val="008D70E6"/>
    <w:rsid w:val="008E02AC"/>
    <w:rsid w:val="008F1DD3"/>
    <w:rsid w:val="00904716"/>
    <w:rsid w:val="00935B03"/>
    <w:rsid w:val="0093708A"/>
    <w:rsid w:val="0094333B"/>
    <w:rsid w:val="0094518B"/>
    <w:rsid w:val="009458C0"/>
    <w:rsid w:val="0095525B"/>
    <w:rsid w:val="009632CC"/>
    <w:rsid w:val="00965380"/>
    <w:rsid w:val="0098330D"/>
    <w:rsid w:val="009853E1"/>
    <w:rsid w:val="009878B8"/>
    <w:rsid w:val="009922DC"/>
    <w:rsid w:val="009B6C3A"/>
    <w:rsid w:val="009C1E08"/>
    <w:rsid w:val="009C6136"/>
    <w:rsid w:val="009D188F"/>
    <w:rsid w:val="009D58FA"/>
    <w:rsid w:val="009E1189"/>
    <w:rsid w:val="009E5929"/>
    <w:rsid w:val="009F4450"/>
    <w:rsid w:val="009F57DA"/>
    <w:rsid w:val="009F6A00"/>
    <w:rsid w:val="00A0044B"/>
    <w:rsid w:val="00A01B18"/>
    <w:rsid w:val="00A147F7"/>
    <w:rsid w:val="00A201C6"/>
    <w:rsid w:val="00A2046F"/>
    <w:rsid w:val="00A21E26"/>
    <w:rsid w:val="00A23371"/>
    <w:rsid w:val="00A23661"/>
    <w:rsid w:val="00A36A4E"/>
    <w:rsid w:val="00A500F1"/>
    <w:rsid w:val="00A5146A"/>
    <w:rsid w:val="00A5381E"/>
    <w:rsid w:val="00A54C2F"/>
    <w:rsid w:val="00A65A2A"/>
    <w:rsid w:val="00A705F5"/>
    <w:rsid w:val="00A707A7"/>
    <w:rsid w:val="00A77884"/>
    <w:rsid w:val="00A81341"/>
    <w:rsid w:val="00A8532A"/>
    <w:rsid w:val="00A97AE7"/>
    <w:rsid w:val="00AA0432"/>
    <w:rsid w:val="00AA308B"/>
    <w:rsid w:val="00AA51DC"/>
    <w:rsid w:val="00AB5857"/>
    <w:rsid w:val="00AB59B3"/>
    <w:rsid w:val="00AB6E2F"/>
    <w:rsid w:val="00AC2A70"/>
    <w:rsid w:val="00AE02B3"/>
    <w:rsid w:val="00AE457B"/>
    <w:rsid w:val="00B021F1"/>
    <w:rsid w:val="00B10218"/>
    <w:rsid w:val="00B17B80"/>
    <w:rsid w:val="00B32456"/>
    <w:rsid w:val="00B36C46"/>
    <w:rsid w:val="00B3719D"/>
    <w:rsid w:val="00B447AA"/>
    <w:rsid w:val="00B46C57"/>
    <w:rsid w:val="00B52F57"/>
    <w:rsid w:val="00B532F2"/>
    <w:rsid w:val="00B55633"/>
    <w:rsid w:val="00B6209E"/>
    <w:rsid w:val="00B63C71"/>
    <w:rsid w:val="00B64838"/>
    <w:rsid w:val="00B6488D"/>
    <w:rsid w:val="00B6710C"/>
    <w:rsid w:val="00B8623F"/>
    <w:rsid w:val="00BA0983"/>
    <w:rsid w:val="00BA204A"/>
    <w:rsid w:val="00BA5E95"/>
    <w:rsid w:val="00BA6878"/>
    <w:rsid w:val="00BB1B45"/>
    <w:rsid w:val="00BB344D"/>
    <w:rsid w:val="00BC6569"/>
    <w:rsid w:val="00BD3A1D"/>
    <w:rsid w:val="00BF1820"/>
    <w:rsid w:val="00BF2A57"/>
    <w:rsid w:val="00BF3BB7"/>
    <w:rsid w:val="00C044AE"/>
    <w:rsid w:val="00C21BF0"/>
    <w:rsid w:val="00C34E41"/>
    <w:rsid w:val="00C35324"/>
    <w:rsid w:val="00C376E8"/>
    <w:rsid w:val="00C47B46"/>
    <w:rsid w:val="00C519C2"/>
    <w:rsid w:val="00C543F8"/>
    <w:rsid w:val="00C64B6E"/>
    <w:rsid w:val="00C728A8"/>
    <w:rsid w:val="00C97D15"/>
    <w:rsid w:val="00CA1356"/>
    <w:rsid w:val="00CB797F"/>
    <w:rsid w:val="00CC1072"/>
    <w:rsid w:val="00CD2A67"/>
    <w:rsid w:val="00CD44F9"/>
    <w:rsid w:val="00CD4E8C"/>
    <w:rsid w:val="00CD4ED3"/>
    <w:rsid w:val="00CE1526"/>
    <w:rsid w:val="00CE1A19"/>
    <w:rsid w:val="00CE3F94"/>
    <w:rsid w:val="00CE4DD7"/>
    <w:rsid w:val="00CF493F"/>
    <w:rsid w:val="00CF62DD"/>
    <w:rsid w:val="00CF63BD"/>
    <w:rsid w:val="00D10757"/>
    <w:rsid w:val="00D1088D"/>
    <w:rsid w:val="00D163E3"/>
    <w:rsid w:val="00D364F4"/>
    <w:rsid w:val="00D371BE"/>
    <w:rsid w:val="00D37B81"/>
    <w:rsid w:val="00D51484"/>
    <w:rsid w:val="00D55968"/>
    <w:rsid w:val="00D57833"/>
    <w:rsid w:val="00D61E2F"/>
    <w:rsid w:val="00D63F9C"/>
    <w:rsid w:val="00D6614C"/>
    <w:rsid w:val="00D708D7"/>
    <w:rsid w:val="00D82226"/>
    <w:rsid w:val="00D84A26"/>
    <w:rsid w:val="00D9226A"/>
    <w:rsid w:val="00DB117B"/>
    <w:rsid w:val="00DB2B7B"/>
    <w:rsid w:val="00DB4FF8"/>
    <w:rsid w:val="00DC2F9C"/>
    <w:rsid w:val="00DC6CD2"/>
    <w:rsid w:val="00E03FDA"/>
    <w:rsid w:val="00E0664D"/>
    <w:rsid w:val="00E2444D"/>
    <w:rsid w:val="00E25162"/>
    <w:rsid w:val="00E376EA"/>
    <w:rsid w:val="00E41DFD"/>
    <w:rsid w:val="00E4233B"/>
    <w:rsid w:val="00E51B60"/>
    <w:rsid w:val="00E72490"/>
    <w:rsid w:val="00E754C8"/>
    <w:rsid w:val="00E8006A"/>
    <w:rsid w:val="00E82191"/>
    <w:rsid w:val="00E956BD"/>
    <w:rsid w:val="00E95C5D"/>
    <w:rsid w:val="00EA1FF4"/>
    <w:rsid w:val="00EB3B01"/>
    <w:rsid w:val="00EC6597"/>
    <w:rsid w:val="00ED171E"/>
    <w:rsid w:val="00ED2466"/>
    <w:rsid w:val="00EE33EF"/>
    <w:rsid w:val="00F0334E"/>
    <w:rsid w:val="00F039F2"/>
    <w:rsid w:val="00F0546D"/>
    <w:rsid w:val="00F06018"/>
    <w:rsid w:val="00F17F3D"/>
    <w:rsid w:val="00F23525"/>
    <w:rsid w:val="00F253EA"/>
    <w:rsid w:val="00F37341"/>
    <w:rsid w:val="00F37D86"/>
    <w:rsid w:val="00F42876"/>
    <w:rsid w:val="00F472AC"/>
    <w:rsid w:val="00F57342"/>
    <w:rsid w:val="00F6116B"/>
    <w:rsid w:val="00F62585"/>
    <w:rsid w:val="00F700E4"/>
    <w:rsid w:val="00F71922"/>
    <w:rsid w:val="00F77E12"/>
    <w:rsid w:val="00F8025E"/>
    <w:rsid w:val="00F878D2"/>
    <w:rsid w:val="00F90148"/>
    <w:rsid w:val="00F92D2A"/>
    <w:rsid w:val="00F94455"/>
    <w:rsid w:val="00F9528C"/>
    <w:rsid w:val="00FA0E31"/>
    <w:rsid w:val="00FB6113"/>
    <w:rsid w:val="00FC5F01"/>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00E4"/>
    <w:pPr>
      <w:spacing w:line="280" w:lineRule="atLeast"/>
    </w:pPr>
    <w:rPr>
      <w:rFonts w:ascii="Trebuchet MS" w:hAnsi="Trebuchet MS" w:cs="Trebuchet MS"/>
      <w:lang w:val="de-DE"/>
    </w:rPr>
  </w:style>
  <w:style w:type="paragraph" w:styleId="berschrift1">
    <w:name w:val="heading 1"/>
    <w:basedOn w:val="Standard"/>
    <w:next w:val="Standard"/>
    <w:link w:val="berschrift1Zchn"/>
    <w:uiPriority w:val="99"/>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link w:val="berschrift2Zchn"/>
    <w:uiPriority w:val="99"/>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link w:val="berschrift3Zchn"/>
    <w:uiPriority w:val="99"/>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5AB2"/>
    <w:rPr>
      <w:rFonts w:asciiTheme="majorHAnsi" w:eastAsiaTheme="majorEastAsia" w:hAnsiTheme="majorHAnsi" w:cstheme="majorBidi"/>
      <w:b/>
      <w:bCs/>
      <w:kern w:val="32"/>
      <w:sz w:val="32"/>
      <w:szCs w:val="32"/>
      <w:lang w:val="de-DE"/>
    </w:rPr>
  </w:style>
  <w:style w:type="character" w:customStyle="1" w:styleId="berschrift2Zchn">
    <w:name w:val="Überschrift 2 Zchn"/>
    <w:basedOn w:val="Absatz-Standardschriftart"/>
    <w:link w:val="berschrift2"/>
    <w:uiPriority w:val="9"/>
    <w:semiHidden/>
    <w:rsid w:val="00675AB2"/>
    <w:rPr>
      <w:rFonts w:asciiTheme="majorHAnsi" w:eastAsiaTheme="majorEastAsia" w:hAnsiTheme="majorHAnsi" w:cstheme="majorBidi"/>
      <w:b/>
      <w:bCs/>
      <w:i/>
      <w:iCs/>
      <w:sz w:val="28"/>
      <w:szCs w:val="28"/>
      <w:lang w:val="de-DE"/>
    </w:rPr>
  </w:style>
  <w:style w:type="character" w:customStyle="1" w:styleId="berschrift3Zchn">
    <w:name w:val="Überschrift 3 Zchn"/>
    <w:basedOn w:val="Absatz-Standardschriftart"/>
    <w:link w:val="berschrift3"/>
    <w:uiPriority w:val="9"/>
    <w:semiHidden/>
    <w:rsid w:val="00675AB2"/>
    <w:rPr>
      <w:rFonts w:asciiTheme="majorHAnsi" w:eastAsiaTheme="majorEastAsia" w:hAnsiTheme="majorHAnsi" w:cstheme="majorBidi"/>
      <w:b/>
      <w:bCs/>
      <w:sz w:val="26"/>
      <w:szCs w:val="26"/>
      <w:lang w:val="de-DE"/>
    </w:rPr>
  </w:style>
  <w:style w:type="paragraph" w:styleId="Sprechblasentext">
    <w:name w:val="Balloon Text"/>
    <w:basedOn w:val="Standard"/>
    <w:link w:val="SprechblasentextZchn"/>
    <w:uiPriority w:val="99"/>
    <w:semiHidden/>
    <w:rsid w:val="00F700E4"/>
    <w:rPr>
      <w:rFonts w:ascii="Times New Roman" w:hAnsi="Times New Roman" w:cs="Times New Roman"/>
      <w:sz w:val="16"/>
      <w:szCs w:val="16"/>
    </w:rPr>
  </w:style>
  <w:style w:type="character" w:customStyle="1" w:styleId="SprechblasentextZchn">
    <w:name w:val="Sprechblasentext Zchn"/>
    <w:basedOn w:val="Absatz-Standardschriftart"/>
    <w:link w:val="Sprechblasentext"/>
    <w:uiPriority w:val="99"/>
    <w:semiHidden/>
    <w:rsid w:val="00675AB2"/>
    <w:rPr>
      <w:rFonts w:cs="Trebuchet MS"/>
      <w:sz w:val="0"/>
      <w:szCs w:val="0"/>
      <w:lang w:val="de-DE"/>
    </w:rPr>
  </w:style>
  <w:style w:type="paragraph" w:styleId="Funotentext">
    <w:name w:val="footnote text"/>
    <w:basedOn w:val="Standard"/>
    <w:link w:val="FunotentextZchn"/>
    <w:uiPriority w:val="99"/>
    <w:semiHidden/>
    <w:rsid w:val="00F700E4"/>
    <w:rPr>
      <w:sz w:val="18"/>
      <w:szCs w:val="18"/>
    </w:rPr>
  </w:style>
  <w:style w:type="character" w:customStyle="1" w:styleId="FunotentextZchn">
    <w:name w:val="Fußnotentext Zchn"/>
    <w:basedOn w:val="Absatz-Standardschriftart"/>
    <w:link w:val="Funotentext"/>
    <w:uiPriority w:val="99"/>
    <w:semiHidden/>
    <w:rsid w:val="00675AB2"/>
    <w:rPr>
      <w:rFonts w:ascii="Trebuchet MS" w:hAnsi="Trebuchet MS" w:cs="Trebuchet MS"/>
      <w:sz w:val="20"/>
      <w:szCs w:val="20"/>
      <w:lang w:val="de-DE"/>
    </w:rPr>
  </w:style>
  <w:style w:type="paragraph" w:styleId="Kopfzeile">
    <w:name w:val="header"/>
    <w:basedOn w:val="Standard"/>
    <w:link w:val="KopfzeileZchn"/>
    <w:uiPriority w:val="99"/>
    <w:rsid w:val="00F700E4"/>
    <w:pPr>
      <w:tabs>
        <w:tab w:val="center" w:pos="4536"/>
        <w:tab w:val="right" w:pos="9072"/>
      </w:tabs>
    </w:pPr>
  </w:style>
  <w:style w:type="character" w:customStyle="1" w:styleId="KopfzeileZchn">
    <w:name w:val="Kopfzeile Zchn"/>
    <w:basedOn w:val="Absatz-Standardschriftart"/>
    <w:link w:val="Kopfzeile"/>
    <w:uiPriority w:val="99"/>
    <w:semiHidden/>
    <w:rsid w:val="00675AB2"/>
    <w:rPr>
      <w:rFonts w:ascii="Trebuchet MS" w:hAnsi="Trebuchet MS" w:cs="Trebuchet MS"/>
      <w:lang w:val="de-DE"/>
    </w:rPr>
  </w:style>
  <w:style w:type="paragraph" w:styleId="Fuzeile">
    <w:name w:val="footer"/>
    <w:basedOn w:val="Standard"/>
    <w:link w:val="FuzeileZchn"/>
    <w:uiPriority w:val="99"/>
    <w:rsid w:val="00F700E4"/>
    <w:pPr>
      <w:tabs>
        <w:tab w:val="center" w:pos="4536"/>
        <w:tab w:val="right" w:pos="9072"/>
      </w:tabs>
    </w:pPr>
  </w:style>
  <w:style w:type="character" w:customStyle="1" w:styleId="FuzeileZchn">
    <w:name w:val="Fußzeile Zchn"/>
    <w:basedOn w:val="Absatz-Standardschriftart"/>
    <w:link w:val="Fuzeile"/>
    <w:uiPriority w:val="99"/>
    <w:locked/>
    <w:rsid w:val="00ED2466"/>
    <w:rPr>
      <w:rFonts w:ascii="Trebuchet MS" w:hAnsi="Trebuchet MS" w:cs="Trebuchet MS"/>
      <w:snapToGrid w:val="0"/>
      <w:sz w:val="22"/>
      <w:szCs w:val="22"/>
      <w:lang w:val="de-DE"/>
    </w:rPr>
  </w:style>
  <w:style w:type="character" w:styleId="Seitenzahl">
    <w:name w:val="page number"/>
    <w:basedOn w:val="Absatz-Standardschriftart"/>
    <w:uiPriority w:val="99"/>
    <w:rsid w:val="00F700E4"/>
    <w:rPr>
      <w:rFonts w:cs="Times New Roman"/>
    </w:rPr>
  </w:style>
  <w:style w:type="paragraph" w:styleId="Titel">
    <w:name w:val="Title"/>
    <w:basedOn w:val="Standard"/>
    <w:link w:val="TitelZchn"/>
    <w:uiPriority w:val="99"/>
    <w:qFormat/>
    <w:rsid w:val="00F700E4"/>
    <w:pPr>
      <w:spacing w:line="240" w:lineRule="auto"/>
      <w:jc w:val="center"/>
    </w:pPr>
    <w:rPr>
      <w:rFonts w:ascii="Arial" w:hAnsi="Arial" w:cs="Arial"/>
      <w:b/>
      <w:bCs/>
      <w:sz w:val="24"/>
      <w:szCs w:val="24"/>
    </w:rPr>
  </w:style>
  <w:style w:type="character" w:customStyle="1" w:styleId="TitelZchn">
    <w:name w:val="Titel Zchn"/>
    <w:basedOn w:val="Absatz-Standardschriftart"/>
    <w:link w:val="Titel"/>
    <w:uiPriority w:val="10"/>
    <w:rsid w:val="00675AB2"/>
    <w:rPr>
      <w:rFonts w:asciiTheme="majorHAnsi" w:eastAsiaTheme="majorEastAsia" w:hAnsiTheme="majorHAnsi" w:cstheme="majorBidi"/>
      <w:b/>
      <w:bCs/>
      <w:kern w:val="28"/>
      <w:sz w:val="32"/>
      <w:szCs w:val="32"/>
      <w:lang w:val="de-DE"/>
    </w:rPr>
  </w:style>
  <w:style w:type="character" w:customStyle="1" w:styleId="tw4winMark">
    <w:name w:val="tw4winMark"/>
    <w:uiPriority w:val="99"/>
    <w:rsid w:val="00F700E4"/>
    <w:rPr>
      <w:rFonts w:ascii="Courier New" w:hAnsi="Courier New"/>
      <w:vanish/>
      <w:color w:val="800080"/>
      <w:sz w:val="24"/>
      <w:vertAlign w:val="subscript"/>
    </w:rPr>
  </w:style>
  <w:style w:type="character" w:customStyle="1" w:styleId="tw4winError">
    <w:name w:val="tw4winError"/>
    <w:uiPriority w:val="99"/>
    <w:rsid w:val="00F700E4"/>
    <w:rPr>
      <w:rFonts w:ascii="Courier New" w:hAnsi="Courier New"/>
      <w:color w:val="00FF00"/>
      <w:sz w:val="40"/>
    </w:rPr>
  </w:style>
  <w:style w:type="character" w:customStyle="1" w:styleId="tw4winTerm">
    <w:name w:val="tw4winTerm"/>
    <w:uiPriority w:val="99"/>
    <w:rsid w:val="00F700E4"/>
    <w:rPr>
      <w:color w:val="0000FF"/>
    </w:rPr>
  </w:style>
  <w:style w:type="character" w:customStyle="1" w:styleId="tw4winPopup">
    <w:name w:val="tw4winPopup"/>
    <w:uiPriority w:val="99"/>
    <w:rsid w:val="00F700E4"/>
    <w:rPr>
      <w:rFonts w:ascii="Courier New" w:hAnsi="Courier New"/>
      <w:noProof/>
      <w:color w:val="008000"/>
    </w:rPr>
  </w:style>
  <w:style w:type="character" w:customStyle="1" w:styleId="tw4winJump">
    <w:name w:val="tw4winJump"/>
    <w:uiPriority w:val="99"/>
    <w:rsid w:val="00F700E4"/>
    <w:rPr>
      <w:rFonts w:ascii="Courier New" w:hAnsi="Courier New"/>
      <w:noProof/>
      <w:color w:val="008080"/>
    </w:rPr>
  </w:style>
  <w:style w:type="character" w:customStyle="1" w:styleId="tw4winExternal">
    <w:name w:val="tw4winExternal"/>
    <w:uiPriority w:val="99"/>
    <w:rsid w:val="00F700E4"/>
    <w:rPr>
      <w:rFonts w:ascii="Courier New" w:hAnsi="Courier New"/>
      <w:noProof/>
      <w:color w:val="808080"/>
    </w:rPr>
  </w:style>
  <w:style w:type="character" w:customStyle="1" w:styleId="tw4winInternal">
    <w:name w:val="tw4winInternal"/>
    <w:uiPriority w:val="99"/>
    <w:rsid w:val="00F700E4"/>
    <w:rPr>
      <w:rFonts w:ascii="Courier New" w:hAnsi="Courier New"/>
      <w:noProof/>
      <w:color w:val="FF0000"/>
    </w:rPr>
  </w:style>
  <w:style w:type="character" w:customStyle="1" w:styleId="DONOTTRANSLATE">
    <w:name w:val="DO_NOT_TRANSLATE"/>
    <w:uiPriority w:val="99"/>
    <w:rsid w:val="00F700E4"/>
    <w:rPr>
      <w:rFonts w:ascii="Courier New" w:hAnsi="Courier New"/>
      <w:noProof/>
      <w:color w:val="800000"/>
    </w:rPr>
  </w:style>
  <w:style w:type="paragraph" w:styleId="NurText">
    <w:name w:val="Plain Text"/>
    <w:basedOn w:val="Standard"/>
    <w:link w:val="NurTextZchn"/>
    <w:uiPriority w:val="99"/>
    <w:rsid w:val="00B55633"/>
    <w:pPr>
      <w:spacing w:line="240" w:lineRule="auto"/>
    </w:pPr>
    <w:rPr>
      <w:rFonts w:ascii="Consolas" w:hAnsi="Consolas" w:cs="Times New Roman"/>
      <w:sz w:val="21"/>
      <w:szCs w:val="21"/>
      <w:lang w:val="de-AT" w:eastAsia="en-US"/>
    </w:rPr>
  </w:style>
  <w:style w:type="character" w:customStyle="1" w:styleId="NurTextZchn">
    <w:name w:val="Nur Text Zchn"/>
    <w:basedOn w:val="Absatz-Standardschriftart"/>
    <w:link w:val="NurText"/>
    <w:uiPriority w:val="99"/>
    <w:locked/>
    <w:rsid w:val="00B55633"/>
    <w:rPr>
      <w:rFonts w:ascii="Consolas" w:eastAsia="Times New Roman" w:hAnsi="Consolas" w:cs="Times New Roman"/>
      <w:sz w:val="21"/>
      <w:szCs w:val="21"/>
      <w:lang w:eastAsia="en-US"/>
    </w:rPr>
  </w:style>
  <w:style w:type="character" w:styleId="Hervorhebung">
    <w:name w:val="Emphasis"/>
    <w:basedOn w:val="Absatz-Standardschriftart"/>
    <w:uiPriority w:val="99"/>
    <w:qFormat/>
    <w:rsid w:val="008B1362"/>
    <w:rPr>
      <w:rFonts w:cs="Times New Roman"/>
      <w:i/>
      <w:iCs/>
    </w:rPr>
  </w:style>
  <w:style w:type="paragraph" w:styleId="Listenabsatz">
    <w:name w:val="List Paragraph"/>
    <w:basedOn w:val="Standard"/>
    <w:uiPriority w:val="99"/>
    <w:qFormat/>
    <w:rsid w:val="00CD2A67"/>
    <w:pPr>
      <w:ind w:left="720"/>
      <w:contextualSpacing/>
    </w:pPr>
  </w:style>
  <w:style w:type="paragraph" w:styleId="StandardWeb">
    <w:name w:val="Normal (Web)"/>
    <w:basedOn w:val="Standard"/>
    <w:uiPriority w:val="99"/>
    <w:rsid w:val="00B63C71"/>
    <w:pPr>
      <w:spacing w:before="100" w:beforeAutospacing="1" w:after="100" w:afterAutospacing="1" w:line="240" w:lineRule="auto"/>
    </w:pPr>
    <w:rPr>
      <w:rFonts w:ascii="Times New Roman" w:hAnsi="Times New Roman" w:cs="Times New Roman"/>
      <w:sz w:val="24"/>
      <w:szCs w:val="24"/>
      <w:lang w:val="de-AT"/>
    </w:rPr>
  </w:style>
  <w:style w:type="character" w:styleId="Fett">
    <w:name w:val="Strong"/>
    <w:basedOn w:val="Absatz-Standardschriftart"/>
    <w:uiPriority w:val="99"/>
    <w:qFormat/>
    <w:rsid w:val="00B63C71"/>
    <w:rPr>
      <w:rFonts w:cs="Times New Roman"/>
      <w:b/>
      <w:bCs/>
    </w:rPr>
  </w:style>
  <w:style w:type="character" w:styleId="Hyperlink">
    <w:name w:val="Hyperlink"/>
    <w:basedOn w:val="Absatz-Standardschriftart"/>
    <w:uiPriority w:val="99"/>
    <w:rsid w:val="005B3FB7"/>
    <w:rPr>
      <w:rFonts w:cs="Times New Roman"/>
      <w:color w:val="0000FF"/>
      <w:u w:val="single"/>
    </w:rPr>
  </w:style>
  <w:style w:type="paragraph" w:customStyle="1" w:styleId="Default">
    <w:name w:val="Default"/>
    <w:uiPriority w:val="99"/>
    <w:rsid w:val="007755BF"/>
    <w:pPr>
      <w:widowControl w:val="0"/>
      <w:autoSpaceDE w:val="0"/>
      <w:autoSpaceDN w:val="0"/>
      <w:adjustRightInd w:val="0"/>
    </w:pPr>
    <w:rPr>
      <w:rFonts w:ascii="Arial" w:hAnsi="Arial" w:cs="Arial"/>
      <w:color w:val="000000"/>
      <w:sz w:val="24"/>
      <w:szCs w:val="24"/>
      <w:lang w:val="de-DE" w:eastAsia="en-US"/>
    </w:rPr>
  </w:style>
  <w:style w:type="character" w:styleId="Kommentarzeichen">
    <w:name w:val="annotation reference"/>
    <w:basedOn w:val="Absatz-Standardschriftart"/>
    <w:uiPriority w:val="99"/>
    <w:semiHidden/>
    <w:rsid w:val="006A6CC0"/>
    <w:rPr>
      <w:rFonts w:cs="Times New Roman"/>
      <w:sz w:val="16"/>
      <w:szCs w:val="16"/>
    </w:rPr>
  </w:style>
  <w:style w:type="paragraph" w:styleId="Kommentartext">
    <w:name w:val="annotation text"/>
    <w:basedOn w:val="Standard"/>
    <w:link w:val="KommentartextZchn"/>
    <w:uiPriority w:val="99"/>
    <w:semiHidden/>
    <w:rsid w:val="006A6CC0"/>
    <w:rPr>
      <w:sz w:val="20"/>
      <w:szCs w:val="20"/>
    </w:rPr>
  </w:style>
  <w:style w:type="character" w:customStyle="1" w:styleId="KommentartextZchn">
    <w:name w:val="Kommentartext Zchn"/>
    <w:basedOn w:val="Absatz-Standardschriftart"/>
    <w:link w:val="Kommentartext"/>
    <w:uiPriority w:val="99"/>
    <w:semiHidden/>
    <w:rsid w:val="00675AB2"/>
    <w:rPr>
      <w:rFonts w:ascii="Trebuchet MS" w:hAnsi="Trebuchet MS" w:cs="Trebuchet MS"/>
      <w:sz w:val="20"/>
      <w:szCs w:val="20"/>
      <w:lang w:val="de-DE"/>
    </w:rPr>
  </w:style>
  <w:style w:type="paragraph" w:styleId="Kommentarthema">
    <w:name w:val="annotation subject"/>
    <w:basedOn w:val="Kommentartext"/>
    <w:next w:val="Kommentartext"/>
    <w:link w:val="KommentarthemaZchn"/>
    <w:uiPriority w:val="99"/>
    <w:semiHidden/>
    <w:rsid w:val="006A6CC0"/>
    <w:rPr>
      <w:b/>
      <w:bCs/>
    </w:rPr>
  </w:style>
  <w:style w:type="character" w:customStyle="1" w:styleId="KommentarthemaZchn">
    <w:name w:val="Kommentarthema Zchn"/>
    <w:basedOn w:val="KommentartextZchn"/>
    <w:link w:val="Kommentarthema"/>
    <w:uiPriority w:val="99"/>
    <w:semiHidden/>
    <w:rsid w:val="00675AB2"/>
    <w:rPr>
      <w:rFonts w:ascii="Trebuchet MS" w:hAnsi="Trebuchet MS" w:cs="Trebuchet MS"/>
      <w:b/>
      <w:bCs/>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00E4"/>
    <w:pPr>
      <w:spacing w:line="280" w:lineRule="atLeast"/>
    </w:pPr>
    <w:rPr>
      <w:rFonts w:ascii="Trebuchet MS" w:hAnsi="Trebuchet MS" w:cs="Trebuchet MS"/>
      <w:lang w:val="de-DE"/>
    </w:rPr>
  </w:style>
  <w:style w:type="paragraph" w:styleId="berschrift1">
    <w:name w:val="heading 1"/>
    <w:basedOn w:val="Standard"/>
    <w:next w:val="Standard"/>
    <w:link w:val="berschrift1Zchn"/>
    <w:uiPriority w:val="99"/>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link w:val="berschrift2Zchn"/>
    <w:uiPriority w:val="99"/>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link w:val="berschrift3Zchn"/>
    <w:uiPriority w:val="99"/>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5AB2"/>
    <w:rPr>
      <w:rFonts w:asciiTheme="majorHAnsi" w:eastAsiaTheme="majorEastAsia" w:hAnsiTheme="majorHAnsi" w:cstheme="majorBidi"/>
      <w:b/>
      <w:bCs/>
      <w:kern w:val="32"/>
      <w:sz w:val="32"/>
      <w:szCs w:val="32"/>
      <w:lang w:val="de-DE"/>
    </w:rPr>
  </w:style>
  <w:style w:type="character" w:customStyle="1" w:styleId="berschrift2Zchn">
    <w:name w:val="Überschrift 2 Zchn"/>
    <w:basedOn w:val="Absatz-Standardschriftart"/>
    <w:link w:val="berschrift2"/>
    <w:uiPriority w:val="9"/>
    <w:semiHidden/>
    <w:rsid w:val="00675AB2"/>
    <w:rPr>
      <w:rFonts w:asciiTheme="majorHAnsi" w:eastAsiaTheme="majorEastAsia" w:hAnsiTheme="majorHAnsi" w:cstheme="majorBidi"/>
      <w:b/>
      <w:bCs/>
      <w:i/>
      <w:iCs/>
      <w:sz w:val="28"/>
      <w:szCs w:val="28"/>
      <w:lang w:val="de-DE"/>
    </w:rPr>
  </w:style>
  <w:style w:type="character" w:customStyle="1" w:styleId="berschrift3Zchn">
    <w:name w:val="Überschrift 3 Zchn"/>
    <w:basedOn w:val="Absatz-Standardschriftart"/>
    <w:link w:val="berschrift3"/>
    <w:uiPriority w:val="9"/>
    <w:semiHidden/>
    <w:rsid w:val="00675AB2"/>
    <w:rPr>
      <w:rFonts w:asciiTheme="majorHAnsi" w:eastAsiaTheme="majorEastAsia" w:hAnsiTheme="majorHAnsi" w:cstheme="majorBidi"/>
      <w:b/>
      <w:bCs/>
      <w:sz w:val="26"/>
      <w:szCs w:val="26"/>
      <w:lang w:val="de-DE"/>
    </w:rPr>
  </w:style>
  <w:style w:type="paragraph" w:styleId="Sprechblasentext">
    <w:name w:val="Balloon Text"/>
    <w:basedOn w:val="Standard"/>
    <w:link w:val="SprechblasentextZchn"/>
    <w:uiPriority w:val="99"/>
    <w:semiHidden/>
    <w:rsid w:val="00F700E4"/>
    <w:rPr>
      <w:rFonts w:ascii="Times New Roman" w:hAnsi="Times New Roman" w:cs="Times New Roman"/>
      <w:sz w:val="16"/>
      <w:szCs w:val="16"/>
    </w:rPr>
  </w:style>
  <w:style w:type="character" w:customStyle="1" w:styleId="SprechblasentextZchn">
    <w:name w:val="Sprechblasentext Zchn"/>
    <w:basedOn w:val="Absatz-Standardschriftart"/>
    <w:link w:val="Sprechblasentext"/>
    <w:uiPriority w:val="99"/>
    <w:semiHidden/>
    <w:rsid w:val="00675AB2"/>
    <w:rPr>
      <w:rFonts w:cs="Trebuchet MS"/>
      <w:sz w:val="0"/>
      <w:szCs w:val="0"/>
      <w:lang w:val="de-DE"/>
    </w:rPr>
  </w:style>
  <w:style w:type="paragraph" w:styleId="Funotentext">
    <w:name w:val="footnote text"/>
    <w:basedOn w:val="Standard"/>
    <w:link w:val="FunotentextZchn"/>
    <w:uiPriority w:val="99"/>
    <w:semiHidden/>
    <w:rsid w:val="00F700E4"/>
    <w:rPr>
      <w:sz w:val="18"/>
      <w:szCs w:val="18"/>
    </w:rPr>
  </w:style>
  <w:style w:type="character" w:customStyle="1" w:styleId="FunotentextZchn">
    <w:name w:val="Fußnotentext Zchn"/>
    <w:basedOn w:val="Absatz-Standardschriftart"/>
    <w:link w:val="Funotentext"/>
    <w:uiPriority w:val="99"/>
    <w:semiHidden/>
    <w:rsid w:val="00675AB2"/>
    <w:rPr>
      <w:rFonts w:ascii="Trebuchet MS" w:hAnsi="Trebuchet MS" w:cs="Trebuchet MS"/>
      <w:sz w:val="20"/>
      <w:szCs w:val="20"/>
      <w:lang w:val="de-DE"/>
    </w:rPr>
  </w:style>
  <w:style w:type="paragraph" w:styleId="Kopfzeile">
    <w:name w:val="header"/>
    <w:basedOn w:val="Standard"/>
    <w:link w:val="KopfzeileZchn"/>
    <w:uiPriority w:val="99"/>
    <w:rsid w:val="00F700E4"/>
    <w:pPr>
      <w:tabs>
        <w:tab w:val="center" w:pos="4536"/>
        <w:tab w:val="right" w:pos="9072"/>
      </w:tabs>
    </w:pPr>
  </w:style>
  <w:style w:type="character" w:customStyle="1" w:styleId="KopfzeileZchn">
    <w:name w:val="Kopfzeile Zchn"/>
    <w:basedOn w:val="Absatz-Standardschriftart"/>
    <w:link w:val="Kopfzeile"/>
    <w:uiPriority w:val="99"/>
    <w:semiHidden/>
    <w:rsid w:val="00675AB2"/>
    <w:rPr>
      <w:rFonts w:ascii="Trebuchet MS" w:hAnsi="Trebuchet MS" w:cs="Trebuchet MS"/>
      <w:lang w:val="de-DE"/>
    </w:rPr>
  </w:style>
  <w:style w:type="paragraph" w:styleId="Fuzeile">
    <w:name w:val="footer"/>
    <w:basedOn w:val="Standard"/>
    <w:link w:val="FuzeileZchn"/>
    <w:uiPriority w:val="99"/>
    <w:rsid w:val="00F700E4"/>
    <w:pPr>
      <w:tabs>
        <w:tab w:val="center" w:pos="4536"/>
        <w:tab w:val="right" w:pos="9072"/>
      </w:tabs>
    </w:pPr>
  </w:style>
  <w:style w:type="character" w:customStyle="1" w:styleId="FuzeileZchn">
    <w:name w:val="Fußzeile Zchn"/>
    <w:basedOn w:val="Absatz-Standardschriftart"/>
    <w:link w:val="Fuzeile"/>
    <w:uiPriority w:val="99"/>
    <w:locked/>
    <w:rsid w:val="00ED2466"/>
    <w:rPr>
      <w:rFonts w:ascii="Trebuchet MS" w:hAnsi="Trebuchet MS" w:cs="Trebuchet MS"/>
      <w:snapToGrid w:val="0"/>
      <w:sz w:val="22"/>
      <w:szCs w:val="22"/>
      <w:lang w:val="de-DE"/>
    </w:rPr>
  </w:style>
  <w:style w:type="character" w:styleId="Seitenzahl">
    <w:name w:val="page number"/>
    <w:basedOn w:val="Absatz-Standardschriftart"/>
    <w:uiPriority w:val="99"/>
    <w:rsid w:val="00F700E4"/>
    <w:rPr>
      <w:rFonts w:cs="Times New Roman"/>
    </w:rPr>
  </w:style>
  <w:style w:type="paragraph" w:styleId="Titel">
    <w:name w:val="Title"/>
    <w:basedOn w:val="Standard"/>
    <w:link w:val="TitelZchn"/>
    <w:uiPriority w:val="99"/>
    <w:qFormat/>
    <w:rsid w:val="00F700E4"/>
    <w:pPr>
      <w:spacing w:line="240" w:lineRule="auto"/>
      <w:jc w:val="center"/>
    </w:pPr>
    <w:rPr>
      <w:rFonts w:ascii="Arial" w:hAnsi="Arial" w:cs="Arial"/>
      <w:b/>
      <w:bCs/>
      <w:sz w:val="24"/>
      <w:szCs w:val="24"/>
    </w:rPr>
  </w:style>
  <w:style w:type="character" w:customStyle="1" w:styleId="TitelZchn">
    <w:name w:val="Titel Zchn"/>
    <w:basedOn w:val="Absatz-Standardschriftart"/>
    <w:link w:val="Titel"/>
    <w:uiPriority w:val="10"/>
    <w:rsid w:val="00675AB2"/>
    <w:rPr>
      <w:rFonts w:asciiTheme="majorHAnsi" w:eastAsiaTheme="majorEastAsia" w:hAnsiTheme="majorHAnsi" w:cstheme="majorBidi"/>
      <w:b/>
      <w:bCs/>
      <w:kern w:val="28"/>
      <w:sz w:val="32"/>
      <w:szCs w:val="32"/>
      <w:lang w:val="de-DE"/>
    </w:rPr>
  </w:style>
  <w:style w:type="character" w:customStyle="1" w:styleId="tw4winMark">
    <w:name w:val="tw4winMark"/>
    <w:uiPriority w:val="99"/>
    <w:rsid w:val="00F700E4"/>
    <w:rPr>
      <w:rFonts w:ascii="Courier New" w:hAnsi="Courier New"/>
      <w:vanish/>
      <w:color w:val="800080"/>
      <w:sz w:val="24"/>
      <w:vertAlign w:val="subscript"/>
    </w:rPr>
  </w:style>
  <w:style w:type="character" w:customStyle="1" w:styleId="tw4winError">
    <w:name w:val="tw4winError"/>
    <w:uiPriority w:val="99"/>
    <w:rsid w:val="00F700E4"/>
    <w:rPr>
      <w:rFonts w:ascii="Courier New" w:hAnsi="Courier New"/>
      <w:color w:val="00FF00"/>
      <w:sz w:val="40"/>
    </w:rPr>
  </w:style>
  <w:style w:type="character" w:customStyle="1" w:styleId="tw4winTerm">
    <w:name w:val="tw4winTerm"/>
    <w:uiPriority w:val="99"/>
    <w:rsid w:val="00F700E4"/>
    <w:rPr>
      <w:color w:val="0000FF"/>
    </w:rPr>
  </w:style>
  <w:style w:type="character" w:customStyle="1" w:styleId="tw4winPopup">
    <w:name w:val="tw4winPopup"/>
    <w:uiPriority w:val="99"/>
    <w:rsid w:val="00F700E4"/>
    <w:rPr>
      <w:rFonts w:ascii="Courier New" w:hAnsi="Courier New"/>
      <w:noProof/>
      <w:color w:val="008000"/>
    </w:rPr>
  </w:style>
  <w:style w:type="character" w:customStyle="1" w:styleId="tw4winJump">
    <w:name w:val="tw4winJump"/>
    <w:uiPriority w:val="99"/>
    <w:rsid w:val="00F700E4"/>
    <w:rPr>
      <w:rFonts w:ascii="Courier New" w:hAnsi="Courier New"/>
      <w:noProof/>
      <w:color w:val="008080"/>
    </w:rPr>
  </w:style>
  <w:style w:type="character" w:customStyle="1" w:styleId="tw4winExternal">
    <w:name w:val="tw4winExternal"/>
    <w:uiPriority w:val="99"/>
    <w:rsid w:val="00F700E4"/>
    <w:rPr>
      <w:rFonts w:ascii="Courier New" w:hAnsi="Courier New"/>
      <w:noProof/>
      <w:color w:val="808080"/>
    </w:rPr>
  </w:style>
  <w:style w:type="character" w:customStyle="1" w:styleId="tw4winInternal">
    <w:name w:val="tw4winInternal"/>
    <w:uiPriority w:val="99"/>
    <w:rsid w:val="00F700E4"/>
    <w:rPr>
      <w:rFonts w:ascii="Courier New" w:hAnsi="Courier New"/>
      <w:noProof/>
      <w:color w:val="FF0000"/>
    </w:rPr>
  </w:style>
  <w:style w:type="character" w:customStyle="1" w:styleId="DONOTTRANSLATE">
    <w:name w:val="DO_NOT_TRANSLATE"/>
    <w:uiPriority w:val="99"/>
    <w:rsid w:val="00F700E4"/>
    <w:rPr>
      <w:rFonts w:ascii="Courier New" w:hAnsi="Courier New"/>
      <w:noProof/>
      <w:color w:val="800000"/>
    </w:rPr>
  </w:style>
  <w:style w:type="paragraph" w:styleId="NurText">
    <w:name w:val="Plain Text"/>
    <w:basedOn w:val="Standard"/>
    <w:link w:val="NurTextZchn"/>
    <w:uiPriority w:val="99"/>
    <w:rsid w:val="00B55633"/>
    <w:pPr>
      <w:spacing w:line="240" w:lineRule="auto"/>
    </w:pPr>
    <w:rPr>
      <w:rFonts w:ascii="Consolas" w:hAnsi="Consolas" w:cs="Times New Roman"/>
      <w:sz w:val="21"/>
      <w:szCs w:val="21"/>
      <w:lang w:val="de-AT" w:eastAsia="en-US"/>
    </w:rPr>
  </w:style>
  <w:style w:type="character" w:customStyle="1" w:styleId="NurTextZchn">
    <w:name w:val="Nur Text Zchn"/>
    <w:basedOn w:val="Absatz-Standardschriftart"/>
    <w:link w:val="NurText"/>
    <w:uiPriority w:val="99"/>
    <w:locked/>
    <w:rsid w:val="00B55633"/>
    <w:rPr>
      <w:rFonts w:ascii="Consolas" w:eastAsia="Times New Roman" w:hAnsi="Consolas" w:cs="Times New Roman"/>
      <w:sz w:val="21"/>
      <w:szCs w:val="21"/>
      <w:lang w:eastAsia="en-US"/>
    </w:rPr>
  </w:style>
  <w:style w:type="character" w:styleId="Hervorhebung">
    <w:name w:val="Emphasis"/>
    <w:basedOn w:val="Absatz-Standardschriftart"/>
    <w:uiPriority w:val="99"/>
    <w:qFormat/>
    <w:rsid w:val="008B1362"/>
    <w:rPr>
      <w:rFonts w:cs="Times New Roman"/>
      <w:i/>
      <w:iCs/>
    </w:rPr>
  </w:style>
  <w:style w:type="paragraph" w:styleId="Listenabsatz">
    <w:name w:val="List Paragraph"/>
    <w:basedOn w:val="Standard"/>
    <w:uiPriority w:val="99"/>
    <w:qFormat/>
    <w:rsid w:val="00CD2A67"/>
    <w:pPr>
      <w:ind w:left="720"/>
      <w:contextualSpacing/>
    </w:pPr>
  </w:style>
  <w:style w:type="paragraph" w:styleId="StandardWeb">
    <w:name w:val="Normal (Web)"/>
    <w:basedOn w:val="Standard"/>
    <w:uiPriority w:val="99"/>
    <w:rsid w:val="00B63C71"/>
    <w:pPr>
      <w:spacing w:before="100" w:beforeAutospacing="1" w:after="100" w:afterAutospacing="1" w:line="240" w:lineRule="auto"/>
    </w:pPr>
    <w:rPr>
      <w:rFonts w:ascii="Times New Roman" w:hAnsi="Times New Roman" w:cs="Times New Roman"/>
      <w:sz w:val="24"/>
      <w:szCs w:val="24"/>
      <w:lang w:val="de-AT"/>
    </w:rPr>
  </w:style>
  <w:style w:type="character" w:styleId="Fett">
    <w:name w:val="Strong"/>
    <w:basedOn w:val="Absatz-Standardschriftart"/>
    <w:uiPriority w:val="99"/>
    <w:qFormat/>
    <w:rsid w:val="00B63C71"/>
    <w:rPr>
      <w:rFonts w:cs="Times New Roman"/>
      <w:b/>
      <w:bCs/>
    </w:rPr>
  </w:style>
  <w:style w:type="character" w:styleId="Hyperlink">
    <w:name w:val="Hyperlink"/>
    <w:basedOn w:val="Absatz-Standardschriftart"/>
    <w:uiPriority w:val="99"/>
    <w:rsid w:val="005B3FB7"/>
    <w:rPr>
      <w:rFonts w:cs="Times New Roman"/>
      <w:color w:val="0000FF"/>
      <w:u w:val="single"/>
    </w:rPr>
  </w:style>
  <w:style w:type="paragraph" w:customStyle="1" w:styleId="Default">
    <w:name w:val="Default"/>
    <w:uiPriority w:val="99"/>
    <w:rsid w:val="007755BF"/>
    <w:pPr>
      <w:widowControl w:val="0"/>
      <w:autoSpaceDE w:val="0"/>
      <w:autoSpaceDN w:val="0"/>
      <w:adjustRightInd w:val="0"/>
    </w:pPr>
    <w:rPr>
      <w:rFonts w:ascii="Arial" w:hAnsi="Arial" w:cs="Arial"/>
      <w:color w:val="000000"/>
      <w:sz w:val="24"/>
      <w:szCs w:val="24"/>
      <w:lang w:val="de-DE" w:eastAsia="en-US"/>
    </w:rPr>
  </w:style>
  <w:style w:type="character" w:styleId="Kommentarzeichen">
    <w:name w:val="annotation reference"/>
    <w:basedOn w:val="Absatz-Standardschriftart"/>
    <w:uiPriority w:val="99"/>
    <w:semiHidden/>
    <w:rsid w:val="006A6CC0"/>
    <w:rPr>
      <w:rFonts w:cs="Times New Roman"/>
      <w:sz w:val="16"/>
      <w:szCs w:val="16"/>
    </w:rPr>
  </w:style>
  <w:style w:type="paragraph" w:styleId="Kommentartext">
    <w:name w:val="annotation text"/>
    <w:basedOn w:val="Standard"/>
    <w:link w:val="KommentartextZchn"/>
    <w:uiPriority w:val="99"/>
    <w:semiHidden/>
    <w:rsid w:val="006A6CC0"/>
    <w:rPr>
      <w:sz w:val="20"/>
      <w:szCs w:val="20"/>
    </w:rPr>
  </w:style>
  <w:style w:type="character" w:customStyle="1" w:styleId="KommentartextZchn">
    <w:name w:val="Kommentartext Zchn"/>
    <w:basedOn w:val="Absatz-Standardschriftart"/>
    <w:link w:val="Kommentartext"/>
    <w:uiPriority w:val="99"/>
    <w:semiHidden/>
    <w:rsid w:val="00675AB2"/>
    <w:rPr>
      <w:rFonts w:ascii="Trebuchet MS" w:hAnsi="Trebuchet MS" w:cs="Trebuchet MS"/>
      <w:sz w:val="20"/>
      <w:szCs w:val="20"/>
      <w:lang w:val="de-DE"/>
    </w:rPr>
  </w:style>
  <w:style w:type="paragraph" w:styleId="Kommentarthema">
    <w:name w:val="annotation subject"/>
    <w:basedOn w:val="Kommentartext"/>
    <w:next w:val="Kommentartext"/>
    <w:link w:val="KommentarthemaZchn"/>
    <w:uiPriority w:val="99"/>
    <w:semiHidden/>
    <w:rsid w:val="006A6CC0"/>
    <w:rPr>
      <w:b/>
      <w:bCs/>
    </w:rPr>
  </w:style>
  <w:style w:type="character" w:customStyle="1" w:styleId="KommentarthemaZchn">
    <w:name w:val="Kommentarthema Zchn"/>
    <w:basedOn w:val="KommentartextZchn"/>
    <w:link w:val="Kommentarthema"/>
    <w:uiPriority w:val="99"/>
    <w:semiHidden/>
    <w:rsid w:val="00675AB2"/>
    <w:rPr>
      <w:rFonts w:ascii="Trebuchet MS" w:hAnsi="Trebuchet MS" w:cs="Trebuchet MS"/>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02461">
      <w:marLeft w:val="0"/>
      <w:marRight w:val="0"/>
      <w:marTop w:val="0"/>
      <w:marBottom w:val="0"/>
      <w:divBdr>
        <w:top w:val="none" w:sz="0" w:space="0" w:color="auto"/>
        <w:left w:val="none" w:sz="0" w:space="0" w:color="auto"/>
        <w:bottom w:val="none" w:sz="0" w:space="0" w:color="auto"/>
        <w:right w:val="none" w:sz="0" w:space="0" w:color="auto"/>
      </w:divBdr>
    </w:div>
    <w:div w:id="792602462">
      <w:marLeft w:val="0"/>
      <w:marRight w:val="0"/>
      <w:marTop w:val="0"/>
      <w:marBottom w:val="0"/>
      <w:divBdr>
        <w:top w:val="none" w:sz="0" w:space="0" w:color="auto"/>
        <w:left w:val="none" w:sz="0" w:space="0" w:color="auto"/>
        <w:bottom w:val="none" w:sz="0" w:space="0" w:color="auto"/>
        <w:right w:val="none" w:sz="0" w:space="0" w:color="auto"/>
      </w:divBdr>
    </w:div>
    <w:div w:id="792602463">
      <w:marLeft w:val="0"/>
      <w:marRight w:val="0"/>
      <w:marTop w:val="0"/>
      <w:marBottom w:val="0"/>
      <w:divBdr>
        <w:top w:val="none" w:sz="0" w:space="0" w:color="auto"/>
        <w:left w:val="none" w:sz="0" w:space="0" w:color="auto"/>
        <w:bottom w:val="none" w:sz="0" w:space="0" w:color="auto"/>
        <w:right w:val="none" w:sz="0" w:space="0" w:color="auto"/>
      </w:divBdr>
    </w:div>
    <w:div w:id="792602464">
      <w:marLeft w:val="0"/>
      <w:marRight w:val="0"/>
      <w:marTop w:val="0"/>
      <w:marBottom w:val="0"/>
      <w:divBdr>
        <w:top w:val="none" w:sz="0" w:space="0" w:color="auto"/>
        <w:left w:val="none" w:sz="0" w:space="0" w:color="auto"/>
        <w:bottom w:val="none" w:sz="0" w:space="0" w:color="auto"/>
        <w:right w:val="none" w:sz="0" w:space="0" w:color="auto"/>
      </w:divBdr>
    </w:div>
    <w:div w:id="792602465">
      <w:marLeft w:val="0"/>
      <w:marRight w:val="0"/>
      <w:marTop w:val="0"/>
      <w:marBottom w:val="0"/>
      <w:divBdr>
        <w:top w:val="none" w:sz="0" w:space="0" w:color="auto"/>
        <w:left w:val="none" w:sz="0" w:space="0" w:color="auto"/>
        <w:bottom w:val="none" w:sz="0" w:space="0" w:color="auto"/>
        <w:right w:val="none" w:sz="0" w:space="0" w:color="auto"/>
      </w:divBdr>
    </w:div>
    <w:div w:id="792602466">
      <w:marLeft w:val="0"/>
      <w:marRight w:val="0"/>
      <w:marTop w:val="0"/>
      <w:marBottom w:val="0"/>
      <w:divBdr>
        <w:top w:val="none" w:sz="0" w:space="0" w:color="auto"/>
        <w:left w:val="none" w:sz="0" w:space="0" w:color="auto"/>
        <w:bottom w:val="none" w:sz="0" w:space="0" w:color="auto"/>
        <w:right w:val="none" w:sz="0" w:space="0" w:color="auto"/>
      </w:divBdr>
    </w:div>
    <w:div w:id="792602467">
      <w:marLeft w:val="0"/>
      <w:marRight w:val="0"/>
      <w:marTop w:val="0"/>
      <w:marBottom w:val="0"/>
      <w:divBdr>
        <w:top w:val="none" w:sz="0" w:space="0" w:color="auto"/>
        <w:left w:val="none" w:sz="0" w:space="0" w:color="auto"/>
        <w:bottom w:val="none" w:sz="0" w:space="0" w:color="auto"/>
        <w:right w:val="none" w:sz="0" w:space="0" w:color="auto"/>
      </w:divBdr>
    </w:div>
    <w:div w:id="792602468">
      <w:marLeft w:val="0"/>
      <w:marRight w:val="0"/>
      <w:marTop w:val="0"/>
      <w:marBottom w:val="0"/>
      <w:divBdr>
        <w:top w:val="none" w:sz="0" w:space="0" w:color="auto"/>
        <w:left w:val="none" w:sz="0" w:space="0" w:color="auto"/>
        <w:bottom w:val="none" w:sz="0" w:space="0" w:color="auto"/>
        <w:right w:val="none" w:sz="0" w:space="0" w:color="auto"/>
      </w:divBdr>
    </w:div>
    <w:div w:id="792602469">
      <w:marLeft w:val="0"/>
      <w:marRight w:val="0"/>
      <w:marTop w:val="0"/>
      <w:marBottom w:val="0"/>
      <w:divBdr>
        <w:top w:val="none" w:sz="0" w:space="0" w:color="auto"/>
        <w:left w:val="none" w:sz="0" w:space="0" w:color="auto"/>
        <w:bottom w:val="none" w:sz="0" w:space="0" w:color="auto"/>
        <w:right w:val="none" w:sz="0" w:space="0" w:color="auto"/>
      </w:divBdr>
    </w:div>
    <w:div w:id="792602470">
      <w:marLeft w:val="0"/>
      <w:marRight w:val="0"/>
      <w:marTop w:val="0"/>
      <w:marBottom w:val="0"/>
      <w:divBdr>
        <w:top w:val="none" w:sz="0" w:space="0" w:color="auto"/>
        <w:left w:val="none" w:sz="0" w:space="0" w:color="auto"/>
        <w:bottom w:val="none" w:sz="0" w:space="0" w:color="auto"/>
        <w:right w:val="none" w:sz="0" w:space="0" w:color="auto"/>
      </w:divBdr>
    </w:div>
    <w:div w:id="792602471">
      <w:marLeft w:val="0"/>
      <w:marRight w:val="0"/>
      <w:marTop w:val="0"/>
      <w:marBottom w:val="0"/>
      <w:divBdr>
        <w:top w:val="none" w:sz="0" w:space="0" w:color="auto"/>
        <w:left w:val="none" w:sz="0" w:space="0" w:color="auto"/>
        <w:bottom w:val="none" w:sz="0" w:space="0" w:color="auto"/>
        <w:right w:val="none" w:sz="0" w:space="0" w:color="auto"/>
      </w:divBdr>
    </w:div>
    <w:div w:id="792602472">
      <w:marLeft w:val="0"/>
      <w:marRight w:val="0"/>
      <w:marTop w:val="0"/>
      <w:marBottom w:val="0"/>
      <w:divBdr>
        <w:top w:val="none" w:sz="0" w:space="0" w:color="auto"/>
        <w:left w:val="none" w:sz="0" w:space="0" w:color="auto"/>
        <w:bottom w:val="none" w:sz="0" w:space="0" w:color="auto"/>
        <w:right w:val="none" w:sz="0" w:space="0" w:color="auto"/>
      </w:divBdr>
    </w:div>
    <w:div w:id="792602473">
      <w:marLeft w:val="0"/>
      <w:marRight w:val="0"/>
      <w:marTop w:val="0"/>
      <w:marBottom w:val="0"/>
      <w:divBdr>
        <w:top w:val="none" w:sz="0" w:space="0" w:color="auto"/>
        <w:left w:val="none" w:sz="0" w:space="0" w:color="auto"/>
        <w:bottom w:val="none" w:sz="0" w:space="0" w:color="auto"/>
        <w:right w:val="none" w:sz="0" w:space="0" w:color="auto"/>
      </w:divBdr>
    </w:div>
    <w:div w:id="792602474">
      <w:marLeft w:val="0"/>
      <w:marRight w:val="0"/>
      <w:marTop w:val="0"/>
      <w:marBottom w:val="0"/>
      <w:divBdr>
        <w:top w:val="none" w:sz="0" w:space="0" w:color="auto"/>
        <w:left w:val="none" w:sz="0" w:space="0" w:color="auto"/>
        <w:bottom w:val="none" w:sz="0" w:space="0" w:color="auto"/>
        <w:right w:val="none" w:sz="0" w:space="0" w:color="auto"/>
      </w:divBdr>
    </w:div>
    <w:div w:id="792602475">
      <w:marLeft w:val="0"/>
      <w:marRight w:val="0"/>
      <w:marTop w:val="0"/>
      <w:marBottom w:val="0"/>
      <w:divBdr>
        <w:top w:val="none" w:sz="0" w:space="0" w:color="auto"/>
        <w:left w:val="none" w:sz="0" w:space="0" w:color="auto"/>
        <w:bottom w:val="none" w:sz="0" w:space="0" w:color="auto"/>
        <w:right w:val="none" w:sz="0" w:space="0" w:color="auto"/>
      </w:divBdr>
    </w:div>
    <w:div w:id="792602476">
      <w:marLeft w:val="0"/>
      <w:marRight w:val="0"/>
      <w:marTop w:val="0"/>
      <w:marBottom w:val="0"/>
      <w:divBdr>
        <w:top w:val="none" w:sz="0" w:space="0" w:color="auto"/>
        <w:left w:val="none" w:sz="0" w:space="0" w:color="auto"/>
        <w:bottom w:val="none" w:sz="0" w:space="0" w:color="auto"/>
        <w:right w:val="none" w:sz="0" w:space="0" w:color="auto"/>
      </w:divBdr>
    </w:div>
    <w:div w:id="792602477">
      <w:marLeft w:val="0"/>
      <w:marRight w:val="0"/>
      <w:marTop w:val="0"/>
      <w:marBottom w:val="0"/>
      <w:divBdr>
        <w:top w:val="none" w:sz="0" w:space="0" w:color="auto"/>
        <w:left w:val="none" w:sz="0" w:space="0" w:color="auto"/>
        <w:bottom w:val="none" w:sz="0" w:space="0" w:color="auto"/>
        <w:right w:val="none" w:sz="0" w:space="0" w:color="auto"/>
      </w:divBdr>
    </w:div>
    <w:div w:id="792602478">
      <w:marLeft w:val="0"/>
      <w:marRight w:val="0"/>
      <w:marTop w:val="0"/>
      <w:marBottom w:val="0"/>
      <w:divBdr>
        <w:top w:val="none" w:sz="0" w:space="0" w:color="auto"/>
        <w:left w:val="none" w:sz="0" w:space="0" w:color="auto"/>
        <w:bottom w:val="none" w:sz="0" w:space="0" w:color="auto"/>
        <w:right w:val="none" w:sz="0" w:space="0" w:color="auto"/>
      </w:divBdr>
    </w:div>
    <w:div w:id="792602479">
      <w:marLeft w:val="0"/>
      <w:marRight w:val="0"/>
      <w:marTop w:val="0"/>
      <w:marBottom w:val="0"/>
      <w:divBdr>
        <w:top w:val="none" w:sz="0" w:space="0" w:color="auto"/>
        <w:left w:val="none" w:sz="0" w:space="0" w:color="auto"/>
        <w:bottom w:val="none" w:sz="0" w:space="0" w:color="auto"/>
        <w:right w:val="none" w:sz="0" w:space="0" w:color="auto"/>
      </w:divBdr>
    </w:div>
    <w:div w:id="792602480">
      <w:marLeft w:val="0"/>
      <w:marRight w:val="0"/>
      <w:marTop w:val="0"/>
      <w:marBottom w:val="0"/>
      <w:divBdr>
        <w:top w:val="none" w:sz="0" w:space="0" w:color="auto"/>
        <w:left w:val="none" w:sz="0" w:space="0" w:color="auto"/>
        <w:bottom w:val="none" w:sz="0" w:space="0" w:color="auto"/>
        <w:right w:val="none" w:sz="0" w:space="0" w:color="auto"/>
      </w:divBdr>
    </w:div>
    <w:div w:id="792602481">
      <w:marLeft w:val="0"/>
      <w:marRight w:val="0"/>
      <w:marTop w:val="0"/>
      <w:marBottom w:val="0"/>
      <w:divBdr>
        <w:top w:val="none" w:sz="0" w:space="0" w:color="auto"/>
        <w:left w:val="none" w:sz="0" w:space="0" w:color="auto"/>
        <w:bottom w:val="none" w:sz="0" w:space="0" w:color="auto"/>
        <w:right w:val="none" w:sz="0" w:space="0" w:color="auto"/>
      </w:divBdr>
    </w:div>
    <w:div w:id="792602482">
      <w:marLeft w:val="0"/>
      <w:marRight w:val="0"/>
      <w:marTop w:val="0"/>
      <w:marBottom w:val="0"/>
      <w:divBdr>
        <w:top w:val="none" w:sz="0" w:space="0" w:color="auto"/>
        <w:left w:val="none" w:sz="0" w:space="0" w:color="auto"/>
        <w:bottom w:val="none" w:sz="0" w:space="0" w:color="auto"/>
        <w:right w:val="none" w:sz="0" w:space="0" w:color="auto"/>
      </w:divBdr>
    </w:div>
    <w:div w:id="792602483">
      <w:marLeft w:val="0"/>
      <w:marRight w:val="0"/>
      <w:marTop w:val="0"/>
      <w:marBottom w:val="0"/>
      <w:divBdr>
        <w:top w:val="none" w:sz="0" w:space="0" w:color="auto"/>
        <w:left w:val="none" w:sz="0" w:space="0" w:color="auto"/>
        <w:bottom w:val="none" w:sz="0" w:space="0" w:color="auto"/>
        <w:right w:val="none" w:sz="0" w:space="0" w:color="auto"/>
      </w:divBdr>
    </w:div>
    <w:div w:id="792602484">
      <w:marLeft w:val="0"/>
      <w:marRight w:val="0"/>
      <w:marTop w:val="0"/>
      <w:marBottom w:val="0"/>
      <w:divBdr>
        <w:top w:val="none" w:sz="0" w:space="0" w:color="auto"/>
        <w:left w:val="none" w:sz="0" w:space="0" w:color="auto"/>
        <w:bottom w:val="none" w:sz="0" w:space="0" w:color="auto"/>
        <w:right w:val="none" w:sz="0" w:space="0" w:color="auto"/>
      </w:divBdr>
    </w:div>
    <w:div w:id="792602485">
      <w:marLeft w:val="0"/>
      <w:marRight w:val="0"/>
      <w:marTop w:val="0"/>
      <w:marBottom w:val="0"/>
      <w:divBdr>
        <w:top w:val="none" w:sz="0" w:space="0" w:color="auto"/>
        <w:left w:val="none" w:sz="0" w:space="0" w:color="auto"/>
        <w:bottom w:val="none" w:sz="0" w:space="0" w:color="auto"/>
        <w:right w:val="none" w:sz="0" w:space="0" w:color="auto"/>
      </w:divBdr>
    </w:div>
    <w:div w:id="792602486">
      <w:marLeft w:val="0"/>
      <w:marRight w:val="0"/>
      <w:marTop w:val="0"/>
      <w:marBottom w:val="0"/>
      <w:divBdr>
        <w:top w:val="none" w:sz="0" w:space="0" w:color="auto"/>
        <w:left w:val="none" w:sz="0" w:space="0" w:color="auto"/>
        <w:bottom w:val="none" w:sz="0" w:space="0" w:color="auto"/>
        <w:right w:val="none" w:sz="0" w:space="0" w:color="auto"/>
      </w:divBdr>
    </w:div>
    <w:div w:id="792602487">
      <w:marLeft w:val="0"/>
      <w:marRight w:val="0"/>
      <w:marTop w:val="0"/>
      <w:marBottom w:val="0"/>
      <w:divBdr>
        <w:top w:val="none" w:sz="0" w:space="0" w:color="auto"/>
        <w:left w:val="none" w:sz="0" w:space="0" w:color="auto"/>
        <w:bottom w:val="none" w:sz="0" w:space="0" w:color="auto"/>
        <w:right w:val="none" w:sz="0" w:space="0" w:color="auto"/>
      </w:divBdr>
    </w:div>
    <w:div w:id="792602488">
      <w:marLeft w:val="0"/>
      <w:marRight w:val="0"/>
      <w:marTop w:val="0"/>
      <w:marBottom w:val="0"/>
      <w:divBdr>
        <w:top w:val="none" w:sz="0" w:space="0" w:color="auto"/>
        <w:left w:val="none" w:sz="0" w:space="0" w:color="auto"/>
        <w:bottom w:val="none" w:sz="0" w:space="0" w:color="auto"/>
        <w:right w:val="none" w:sz="0" w:space="0" w:color="auto"/>
      </w:divBdr>
    </w:div>
    <w:div w:id="792602489">
      <w:marLeft w:val="0"/>
      <w:marRight w:val="0"/>
      <w:marTop w:val="0"/>
      <w:marBottom w:val="0"/>
      <w:divBdr>
        <w:top w:val="none" w:sz="0" w:space="0" w:color="auto"/>
        <w:left w:val="none" w:sz="0" w:space="0" w:color="auto"/>
        <w:bottom w:val="none" w:sz="0" w:space="0" w:color="auto"/>
        <w:right w:val="none" w:sz="0" w:space="0" w:color="auto"/>
      </w:divBdr>
    </w:div>
    <w:div w:id="792602490">
      <w:marLeft w:val="0"/>
      <w:marRight w:val="0"/>
      <w:marTop w:val="0"/>
      <w:marBottom w:val="0"/>
      <w:divBdr>
        <w:top w:val="none" w:sz="0" w:space="0" w:color="auto"/>
        <w:left w:val="none" w:sz="0" w:space="0" w:color="auto"/>
        <w:bottom w:val="none" w:sz="0" w:space="0" w:color="auto"/>
        <w:right w:val="none" w:sz="0" w:space="0" w:color="auto"/>
      </w:divBdr>
    </w:div>
    <w:div w:id="792602491">
      <w:marLeft w:val="0"/>
      <w:marRight w:val="0"/>
      <w:marTop w:val="0"/>
      <w:marBottom w:val="0"/>
      <w:divBdr>
        <w:top w:val="none" w:sz="0" w:space="0" w:color="auto"/>
        <w:left w:val="none" w:sz="0" w:space="0" w:color="auto"/>
        <w:bottom w:val="none" w:sz="0" w:space="0" w:color="auto"/>
        <w:right w:val="none" w:sz="0" w:space="0" w:color="auto"/>
      </w:divBdr>
    </w:div>
    <w:div w:id="792602492">
      <w:marLeft w:val="0"/>
      <w:marRight w:val="0"/>
      <w:marTop w:val="0"/>
      <w:marBottom w:val="0"/>
      <w:divBdr>
        <w:top w:val="none" w:sz="0" w:space="0" w:color="auto"/>
        <w:left w:val="none" w:sz="0" w:space="0" w:color="auto"/>
        <w:bottom w:val="none" w:sz="0" w:space="0" w:color="auto"/>
        <w:right w:val="none" w:sz="0" w:space="0" w:color="auto"/>
      </w:divBdr>
    </w:div>
    <w:div w:id="792602493">
      <w:marLeft w:val="0"/>
      <w:marRight w:val="0"/>
      <w:marTop w:val="0"/>
      <w:marBottom w:val="0"/>
      <w:divBdr>
        <w:top w:val="none" w:sz="0" w:space="0" w:color="auto"/>
        <w:left w:val="none" w:sz="0" w:space="0" w:color="auto"/>
        <w:bottom w:val="none" w:sz="0" w:space="0" w:color="auto"/>
        <w:right w:val="none" w:sz="0" w:space="0" w:color="auto"/>
      </w:divBdr>
    </w:div>
    <w:div w:id="792602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5548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Egger Bernhard, Dr, WKÖ BSBV</cp:lastModifiedBy>
  <cp:revision>4</cp:revision>
  <cp:lastPrinted>2013-09-25T13:49:00Z</cp:lastPrinted>
  <dcterms:created xsi:type="dcterms:W3CDTF">2013-12-19T18:25:00Z</dcterms:created>
  <dcterms:modified xsi:type="dcterms:W3CDTF">2013-12-20T08:36:00Z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