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DD0" w:rsidRPr="000E47FC" w:rsidRDefault="00CB5DD0" w:rsidP="00C61091">
      <w:pPr>
        <w:pStyle w:val="Heading1"/>
        <w:rPr>
          <w:rFonts w:ascii="Times New Roman" w:hAnsi="Times New Roman"/>
          <w:bCs w:val="0"/>
          <w:kern w:val="0"/>
          <w:sz w:val="20"/>
          <w:szCs w:val="20"/>
          <w:lang w:val="en-US"/>
        </w:rPr>
      </w:pPr>
      <w:r w:rsidRPr="000E47FC">
        <w:rPr>
          <w:rFonts w:ascii="Times New Roman" w:hAnsi="Times New Roman"/>
          <w:bCs w:val="0"/>
          <w:kern w:val="0"/>
          <w:sz w:val="20"/>
          <w:szCs w:val="20"/>
          <w:lang w:val="en-US"/>
        </w:rPr>
        <w:t>Richard Boyns</w:t>
      </w:r>
    </w:p>
    <w:p w:rsidR="00CB5DD0" w:rsidRPr="000E47FC" w:rsidRDefault="00CB5DD0" w:rsidP="00C61091">
      <w:pPr>
        <w:rPr>
          <w:i/>
          <w:iCs/>
          <w:sz w:val="20"/>
          <w:szCs w:val="20"/>
          <w:lang w:val="en-US"/>
        </w:rPr>
      </w:pPr>
      <w:r w:rsidRPr="000E47FC">
        <w:rPr>
          <w:i/>
          <w:iCs/>
          <w:sz w:val="20"/>
          <w:szCs w:val="20"/>
          <w:lang w:val="en-US"/>
        </w:rPr>
        <w:t>Global Head of Product Control</w:t>
      </w:r>
    </w:p>
    <w:p w:rsidR="00CB5DD0" w:rsidRDefault="00CB5DD0" w:rsidP="00C61091">
      <w:pPr>
        <w:rPr>
          <w:b/>
          <w:bCs/>
          <w:i/>
          <w:iCs/>
          <w:lang w:val="en-US"/>
        </w:rPr>
      </w:pPr>
    </w:p>
    <w:p w:rsidR="00CB5DD0" w:rsidRDefault="00CB5DD0" w:rsidP="00C61091">
      <w:pPr>
        <w:rPr>
          <w:lang w:val="en-US"/>
        </w:rPr>
      </w:pPr>
      <w:r>
        <w:rPr>
          <w:lang w:val="en-US"/>
        </w:rPr>
        <w:t>8 October 2013</w:t>
      </w:r>
    </w:p>
    <w:p w:rsidR="00CB5DD0" w:rsidRDefault="00CB5DD0" w:rsidP="00C61091">
      <w:pPr>
        <w:rPr>
          <w:lang w:val="en-US"/>
        </w:rPr>
      </w:pPr>
    </w:p>
    <w:p w:rsidR="00CB5DD0" w:rsidRDefault="00CB5DD0" w:rsidP="00C61091">
      <w:pPr>
        <w:rPr>
          <w:lang w:val="en-US"/>
        </w:rPr>
      </w:pPr>
      <w:r>
        <w:rPr>
          <w:lang w:val="en-US"/>
        </w:rPr>
        <w:t>European Banking Authority</w:t>
      </w:r>
    </w:p>
    <w:p w:rsidR="00CB5DD0" w:rsidRDefault="00CB5DD0" w:rsidP="00C61091">
      <w:pPr>
        <w:rPr>
          <w:lang w:val="en-US"/>
        </w:rPr>
      </w:pPr>
      <w:r>
        <w:rPr>
          <w:lang w:val="en-US"/>
        </w:rPr>
        <w:t>Tower 42</w:t>
      </w:r>
    </w:p>
    <w:p w:rsidR="00CB5DD0" w:rsidRDefault="00CB5DD0" w:rsidP="00C61091">
      <w:pPr>
        <w:rPr>
          <w:lang w:val="en-US"/>
        </w:rPr>
      </w:pPr>
      <w:r>
        <w:rPr>
          <w:lang w:val="en-US"/>
        </w:rPr>
        <w:t>25 Old Broad Street</w:t>
      </w:r>
    </w:p>
    <w:p w:rsidR="00CB5DD0" w:rsidRDefault="00CB5DD0" w:rsidP="00C61091">
      <w:pPr>
        <w:rPr>
          <w:lang w:val="en-US"/>
        </w:rPr>
      </w:pPr>
      <w:r>
        <w:rPr>
          <w:lang w:val="en-US"/>
        </w:rPr>
        <w:t>London</w:t>
      </w:r>
    </w:p>
    <w:p w:rsidR="00CB5DD0" w:rsidRDefault="00CB5DD0" w:rsidP="00C61091">
      <w:pPr>
        <w:rPr>
          <w:lang w:val="en-US"/>
        </w:rPr>
      </w:pPr>
      <w:r>
        <w:rPr>
          <w:lang w:val="en-US"/>
        </w:rPr>
        <w:t>EC2N 1HQ</w:t>
      </w:r>
    </w:p>
    <w:p w:rsidR="00CB5DD0" w:rsidRDefault="00CB5DD0" w:rsidP="00C61091">
      <w:pPr>
        <w:rPr>
          <w:lang w:val="en-US"/>
        </w:rPr>
      </w:pPr>
    </w:p>
    <w:p w:rsidR="00CB5DD0" w:rsidRDefault="00CB5DD0" w:rsidP="00C61091">
      <w:pPr>
        <w:rPr>
          <w:lang w:val="en-US"/>
        </w:rPr>
      </w:pPr>
    </w:p>
    <w:p w:rsidR="00CB5DD0" w:rsidRDefault="00CB5DD0" w:rsidP="000E47FC">
      <w:pPr>
        <w:rPr>
          <w:lang w:val="en-US"/>
        </w:rPr>
      </w:pPr>
      <w:r>
        <w:rPr>
          <w:lang w:val="en-US"/>
        </w:rPr>
        <w:t>Dear Sirs</w:t>
      </w:r>
    </w:p>
    <w:p w:rsidR="00CB5DD0" w:rsidRDefault="00CB5DD0" w:rsidP="000E47FC">
      <w:pPr>
        <w:rPr>
          <w:lang w:val="en-US"/>
        </w:rPr>
      </w:pPr>
    </w:p>
    <w:p w:rsidR="00CB5DD0" w:rsidRPr="000E47FC" w:rsidRDefault="00CB5DD0" w:rsidP="000E47FC">
      <w:pPr>
        <w:rPr>
          <w:b/>
          <w:bCs/>
          <w:sz w:val="20"/>
          <w:szCs w:val="20"/>
          <w:lang w:val="en-US"/>
        </w:rPr>
      </w:pPr>
      <w:r w:rsidRPr="000E47FC">
        <w:rPr>
          <w:b/>
          <w:bCs/>
          <w:lang w:val="en-US"/>
        </w:rPr>
        <w:t>Consultation paper on prudent valuation</w:t>
      </w:r>
    </w:p>
    <w:p w:rsidR="00CB5DD0" w:rsidRPr="004E67BB" w:rsidRDefault="00CB5DD0" w:rsidP="004E67BB">
      <w:pPr>
        <w:spacing w:before="100" w:beforeAutospacing="1" w:after="100" w:afterAutospacing="1"/>
        <w:jc w:val="both"/>
        <w:rPr>
          <w:bCs/>
          <w:lang w:val="en-US"/>
        </w:rPr>
      </w:pPr>
      <w:r w:rsidRPr="004E67BB">
        <w:rPr>
          <w:bCs/>
          <w:lang w:val="en-US"/>
        </w:rPr>
        <w:t xml:space="preserve">HSBC welcomes the opportunity to respond to the EBA’s </w:t>
      </w:r>
      <w:r>
        <w:rPr>
          <w:bCs/>
          <w:lang w:val="en-US"/>
        </w:rPr>
        <w:t>Consultation</w:t>
      </w:r>
      <w:r w:rsidRPr="004E67BB">
        <w:rPr>
          <w:bCs/>
          <w:lang w:val="en-US"/>
        </w:rPr>
        <w:t xml:space="preserve"> Paper (‘</w:t>
      </w:r>
      <w:r>
        <w:rPr>
          <w:bCs/>
          <w:lang w:val="en-US"/>
        </w:rPr>
        <w:t>C</w:t>
      </w:r>
      <w:r w:rsidRPr="004E67BB">
        <w:rPr>
          <w:bCs/>
          <w:lang w:val="en-US"/>
        </w:rPr>
        <w:t xml:space="preserve">P’) </w:t>
      </w:r>
      <w:r>
        <w:rPr>
          <w:bCs/>
          <w:lang w:val="en-US"/>
        </w:rPr>
        <w:t>on Prudent Valuation.</w:t>
      </w:r>
    </w:p>
    <w:p w:rsidR="00CB5DD0" w:rsidRPr="004E67BB" w:rsidRDefault="00CB5DD0" w:rsidP="004E67BB">
      <w:pPr>
        <w:spacing w:before="100" w:beforeAutospacing="1" w:after="100" w:afterAutospacing="1"/>
        <w:jc w:val="both"/>
        <w:rPr>
          <w:bCs/>
          <w:lang w:val="en-US"/>
        </w:rPr>
      </w:pPr>
      <w:r w:rsidRPr="004E67BB">
        <w:rPr>
          <w:bCs/>
          <w:lang w:val="en-US"/>
        </w:rPr>
        <w:t xml:space="preserve">HSBC is one of the world’s largest banking and financial services organisations with assets of USD2,645 billion at 30 June 2013. Headquartered in </w:t>
      </w:r>
      <w:smartTag w:uri="urn:schemas-microsoft-com:office:smarttags" w:element="City">
        <w:r w:rsidRPr="004E67BB">
          <w:rPr>
            <w:bCs/>
            <w:lang w:val="en-US"/>
          </w:rPr>
          <w:t>London</w:t>
        </w:r>
      </w:smartTag>
      <w:r w:rsidRPr="004E67BB">
        <w:rPr>
          <w:bCs/>
          <w:lang w:val="en-US"/>
        </w:rPr>
        <w:t xml:space="preserve">, HSBC serves customers worldwide from around 6,600 offices in 80 countries and territories in six geographical regions: Europe, Hong Kong, Rest of Asia-Pacific, Middle East and North Africa, North America and </w:t>
      </w:r>
      <w:smartTag w:uri="urn:schemas-microsoft-com:office:smarttags" w:element="place">
        <w:r w:rsidRPr="004E67BB">
          <w:rPr>
            <w:bCs/>
            <w:lang w:val="en-US"/>
          </w:rPr>
          <w:t>Latin America</w:t>
        </w:r>
      </w:smartTag>
      <w:r w:rsidRPr="004E67BB">
        <w:rPr>
          <w:bCs/>
          <w:lang w:val="en-US"/>
        </w:rPr>
        <w:t xml:space="preserve">. </w:t>
      </w:r>
    </w:p>
    <w:p w:rsidR="00CB5DD0" w:rsidRPr="000E47FC" w:rsidRDefault="00CB5DD0" w:rsidP="00874986">
      <w:pPr>
        <w:jc w:val="both"/>
        <w:rPr>
          <w:bCs/>
          <w:lang w:val="en-US"/>
        </w:rPr>
      </w:pPr>
      <w:r w:rsidRPr="000E47FC">
        <w:rPr>
          <w:bCs/>
          <w:lang w:val="en-US"/>
        </w:rPr>
        <w:t>HSBC recognizes that the CP presents some significant improvements compared to the previous DP and has factored in certain suggestions from the industry. Notably, we welcome the revised confidence level of 90%, which we believe to be more appropriate when assessing uncertainty. We also appreciate the introduction of a simple and realistic diversification factor of 50% applicable to market price uncertainty and close out AVAs.</w:t>
      </w:r>
    </w:p>
    <w:p w:rsidR="00CB5DD0" w:rsidRPr="000E47FC" w:rsidRDefault="00CB5DD0" w:rsidP="00454F5D">
      <w:pPr>
        <w:ind w:left="1080"/>
        <w:jc w:val="both"/>
        <w:rPr>
          <w:bCs/>
          <w:lang w:val="en-US"/>
        </w:rPr>
      </w:pPr>
    </w:p>
    <w:p w:rsidR="00CB5DD0" w:rsidRPr="000E47FC" w:rsidRDefault="00CB5DD0" w:rsidP="00462F2A">
      <w:pPr>
        <w:jc w:val="both"/>
        <w:rPr>
          <w:bCs/>
          <w:lang w:val="en-US"/>
        </w:rPr>
      </w:pPr>
      <w:r w:rsidRPr="000E47FC">
        <w:rPr>
          <w:bCs/>
          <w:lang w:val="en-US"/>
        </w:rPr>
        <w:t>HSBC is nevertheless of the view that the text could benefit from some further clarification and simplification.</w:t>
      </w:r>
    </w:p>
    <w:p w:rsidR="00CB5DD0" w:rsidRPr="000E47FC" w:rsidRDefault="00CB5DD0" w:rsidP="00462F2A">
      <w:pPr>
        <w:jc w:val="both"/>
        <w:rPr>
          <w:bCs/>
          <w:lang w:val="en-US"/>
        </w:rPr>
      </w:pPr>
    </w:p>
    <w:p w:rsidR="00CB5DD0" w:rsidRPr="000E47FC" w:rsidRDefault="00CB5DD0" w:rsidP="00726A13">
      <w:pPr>
        <w:jc w:val="both"/>
        <w:rPr>
          <w:bCs/>
          <w:lang w:val="en-US"/>
        </w:rPr>
      </w:pPr>
      <w:r w:rsidRPr="000E47FC">
        <w:rPr>
          <w:bCs/>
          <w:lang w:val="en-US"/>
        </w:rPr>
        <w:t>Specifically, HSBC recommends;</w:t>
      </w:r>
    </w:p>
    <w:p w:rsidR="00CB5DD0" w:rsidRPr="000E47FC" w:rsidRDefault="00CB5DD0" w:rsidP="00462F2A">
      <w:pPr>
        <w:jc w:val="both"/>
        <w:rPr>
          <w:bCs/>
          <w:lang w:val="en-US"/>
        </w:rPr>
      </w:pPr>
    </w:p>
    <w:p w:rsidR="00CB5DD0" w:rsidRPr="000E47FC" w:rsidRDefault="00CB5DD0" w:rsidP="00C806CD">
      <w:pPr>
        <w:numPr>
          <w:ilvl w:val="0"/>
          <w:numId w:val="23"/>
          <w:numberingChange w:id="0" w:author="Unknown" w:date="2013-10-08T17:10:00Z" w:original="%1:1:2:)"/>
        </w:numPr>
        <w:ind w:left="720"/>
        <w:jc w:val="both"/>
        <w:rPr>
          <w:bCs/>
          <w:lang w:val="en-US"/>
        </w:rPr>
      </w:pPr>
      <w:r w:rsidRPr="000E47FC">
        <w:rPr>
          <w:bCs/>
          <w:lang w:val="en-US"/>
        </w:rPr>
        <w:t xml:space="preserve">A risk-based approach should be permitted for non-derivatives when estimating market price uncertainty, consistent with the principle espoused in Article 8 that AVAs should only apply to residual portfolio valuation exposures and recognising that derivatives and non-derivatives may be risk-managed together. </w:t>
      </w:r>
    </w:p>
    <w:p w:rsidR="00CB5DD0" w:rsidRPr="000E47FC" w:rsidRDefault="00CB5DD0" w:rsidP="00462F2A">
      <w:pPr>
        <w:jc w:val="both"/>
        <w:rPr>
          <w:bCs/>
          <w:lang w:val="en-US"/>
        </w:rPr>
      </w:pPr>
    </w:p>
    <w:p w:rsidR="00CB5DD0" w:rsidRPr="000E47FC" w:rsidRDefault="00CB5DD0" w:rsidP="00301473">
      <w:pPr>
        <w:numPr>
          <w:ilvl w:val="0"/>
          <w:numId w:val="23"/>
          <w:numberingChange w:id="1" w:author="Unknown" w:date="2013-10-08T17:10:00Z" w:original="%1:2:2:)"/>
        </w:numPr>
        <w:ind w:left="720"/>
        <w:rPr>
          <w:bCs/>
          <w:lang w:val="en-US"/>
        </w:rPr>
      </w:pPr>
      <w:r w:rsidRPr="000E47FC">
        <w:rPr>
          <w:bCs/>
          <w:lang w:val="en-US"/>
        </w:rPr>
        <w:t>A consistent diversification treatment should be applied to AVAs when estimating diversification benefit.  In particular we believe that the principles that underlie the diversification benefit between market price uncertainty and close out AVAs also apply to model risk and concentration AVAs, and consequently an extension of the 50% diversification benefit to these AVAs is appropriate.</w:t>
      </w:r>
      <w:r w:rsidRPr="000E47FC" w:rsidDel="00301473">
        <w:rPr>
          <w:bCs/>
          <w:lang w:val="en-US"/>
        </w:rPr>
        <w:t xml:space="preserve"> </w:t>
      </w:r>
      <w:r w:rsidRPr="000E47FC">
        <w:rPr>
          <w:bCs/>
          <w:lang w:val="en-US"/>
        </w:rPr>
        <w:br/>
      </w:r>
    </w:p>
    <w:p w:rsidR="00CB5DD0" w:rsidRPr="000E47FC" w:rsidRDefault="00CB5DD0" w:rsidP="00726A13">
      <w:pPr>
        <w:numPr>
          <w:ilvl w:val="0"/>
          <w:numId w:val="23"/>
          <w:numberingChange w:id="2" w:author="Unknown" w:date="2013-10-08T17:10:00Z" w:original="%1:3:2:)"/>
        </w:numPr>
        <w:ind w:left="720"/>
        <w:jc w:val="both"/>
        <w:rPr>
          <w:bCs/>
          <w:lang w:val="en-US"/>
        </w:rPr>
      </w:pPr>
      <w:r w:rsidRPr="000E47FC">
        <w:rPr>
          <w:bCs/>
          <w:lang w:val="en-US"/>
        </w:rPr>
        <w:t>The methodology for netting risk prescribed in Article 8 and 9 should be revised in consultation with the industry.  We are concerned that in practice the methodology may require excessively high correlations between risk buckets in order to achieve an offset and be difficult to apply to less liquid data.  In addition, the relationship between risk bucketing and risk management practice may be lost, and superior methodologies may exist.  In general HSBC advocates expert based judgement with robust and auditable documentation over formulaic approaches.</w:t>
      </w:r>
    </w:p>
    <w:p w:rsidR="00CB5DD0" w:rsidRPr="000E47FC" w:rsidRDefault="00CB5DD0" w:rsidP="007E0B04">
      <w:pPr>
        <w:jc w:val="both"/>
        <w:rPr>
          <w:bCs/>
          <w:lang w:val="en-US"/>
        </w:rPr>
      </w:pPr>
    </w:p>
    <w:p w:rsidR="00CB5DD0" w:rsidRPr="000E47FC" w:rsidRDefault="00CB5DD0" w:rsidP="007E0B04">
      <w:pPr>
        <w:numPr>
          <w:ilvl w:val="0"/>
          <w:numId w:val="23"/>
          <w:numberingChange w:id="3" w:author="Unknown" w:date="2013-10-08T17:10:00Z" w:original="%1:4:2:)"/>
        </w:numPr>
        <w:ind w:left="720"/>
        <w:jc w:val="both"/>
        <w:rPr>
          <w:bCs/>
          <w:lang w:val="en-US"/>
        </w:rPr>
      </w:pPr>
      <w:r w:rsidRPr="000E47FC">
        <w:rPr>
          <w:bCs/>
          <w:lang w:val="en-US"/>
        </w:rPr>
        <w:t xml:space="preserve">Prudent valuation should focus on risk factors that directly and unambiguously drive fair value.  Operational risk should be capitalised within the operational risk charge, not within prudent value. </w:t>
      </w:r>
    </w:p>
    <w:p w:rsidR="00CB5DD0" w:rsidRPr="000E47FC" w:rsidRDefault="00CB5DD0" w:rsidP="007E0B04">
      <w:pPr>
        <w:jc w:val="both"/>
        <w:rPr>
          <w:bCs/>
          <w:lang w:val="en-US"/>
        </w:rPr>
      </w:pPr>
    </w:p>
    <w:p w:rsidR="00CB5DD0" w:rsidRPr="000E47FC" w:rsidRDefault="00CB5DD0" w:rsidP="007E0B04">
      <w:pPr>
        <w:widowControl w:val="0"/>
        <w:numPr>
          <w:ilvl w:val="0"/>
          <w:numId w:val="23"/>
          <w:numberingChange w:id="4" w:author="Unknown" w:date="2013-10-08T17:10:00Z" w:original="%1:5:2:)"/>
        </w:numPr>
        <w:spacing w:before="25" w:line="240" w:lineRule="auto"/>
        <w:ind w:left="720" w:right="-23"/>
        <w:jc w:val="both"/>
        <w:rPr>
          <w:bCs/>
          <w:lang w:val="en-US"/>
        </w:rPr>
      </w:pPr>
      <w:r w:rsidRPr="000E47FC">
        <w:rPr>
          <w:bCs/>
          <w:lang w:val="en-US"/>
        </w:rPr>
        <w:t>Offsets should be allowed against other Pillar 1 charges where application of AVAs would result in a position being more than fully capitalised. Prudent valuation should also be tax adjusted, reflecting that if the prudent value were to be realised into p&amp;l, the actual impact on capital would be post tax.</w:t>
      </w:r>
    </w:p>
    <w:p w:rsidR="00CB5DD0" w:rsidRPr="000E47FC" w:rsidRDefault="00CB5DD0" w:rsidP="007E0B04">
      <w:pPr>
        <w:widowControl w:val="0"/>
        <w:spacing w:before="25" w:line="240" w:lineRule="auto"/>
        <w:ind w:right="-23"/>
        <w:jc w:val="both"/>
        <w:rPr>
          <w:bCs/>
          <w:lang w:val="en-US"/>
        </w:rPr>
      </w:pPr>
    </w:p>
    <w:p w:rsidR="00CB5DD0" w:rsidRPr="000E47FC" w:rsidRDefault="00CB5DD0" w:rsidP="00874986">
      <w:pPr>
        <w:widowControl w:val="0"/>
        <w:numPr>
          <w:ilvl w:val="0"/>
          <w:numId w:val="23"/>
          <w:numberingChange w:id="5" w:author="Unknown" w:date="2013-10-08T17:10:00Z" w:original="%1:6:2:)"/>
        </w:numPr>
        <w:spacing w:before="25" w:line="240" w:lineRule="auto"/>
        <w:ind w:left="720" w:right="-23"/>
        <w:jc w:val="both"/>
        <w:rPr>
          <w:bCs/>
          <w:lang w:val="en-US"/>
        </w:rPr>
      </w:pPr>
      <w:r w:rsidRPr="000E47FC">
        <w:rPr>
          <w:bCs/>
          <w:lang w:val="en-US"/>
        </w:rPr>
        <w:t>The proposed back-testing procedures should be removed in favour of portfolio benchmarking exercises, as they are unnecessary for liquid positions, and likely to be ineffective for illiquid positions.</w:t>
      </w:r>
    </w:p>
    <w:p w:rsidR="00CB5DD0" w:rsidRDefault="00CB5DD0" w:rsidP="00874986">
      <w:pPr>
        <w:widowControl w:val="0"/>
        <w:spacing w:before="25" w:line="240" w:lineRule="auto"/>
        <w:ind w:right="-23"/>
        <w:jc w:val="both"/>
        <w:rPr>
          <w:rFonts w:ascii="Cambria" w:hAnsi="Cambria" w:cs="Arial"/>
          <w:szCs w:val="20"/>
          <w:lang w:val="en-GB"/>
        </w:rPr>
      </w:pPr>
    </w:p>
    <w:p w:rsidR="00CB5DD0" w:rsidRDefault="00CB5DD0" w:rsidP="007E0B04">
      <w:pPr>
        <w:widowControl w:val="0"/>
        <w:spacing w:before="25" w:line="240" w:lineRule="auto"/>
        <w:ind w:right="-23"/>
        <w:jc w:val="both"/>
        <w:rPr>
          <w:rFonts w:ascii="Cambria" w:hAnsi="Cambria" w:cs="Arial"/>
          <w:szCs w:val="20"/>
          <w:lang w:val="en-GB"/>
        </w:rPr>
      </w:pPr>
    </w:p>
    <w:p w:rsidR="00CB5DD0" w:rsidRDefault="00CB5DD0" w:rsidP="000E47FC">
      <w:pPr>
        <w:widowControl w:val="0"/>
        <w:spacing w:before="25" w:line="240" w:lineRule="auto"/>
        <w:ind w:right="-23"/>
        <w:jc w:val="both"/>
        <w:rPr>
          <w:bCs/>
          <w:lang w:val="en-US"/>
        </w:rPr>
      </w:pPr>
      <w:r>
        <w:rPr>
          <w:bCs/>
          <w:lang w:val="en-US"/>
        </w:rPr>
        <w:t>We would be pleased to discuss our comments further if this would be helpful to you and your colleagues.</w:t>
      </w:r>
    </w:p>
    <w:p w:rsidR="00CB5DD0" w:rsidRDefault="00CB5DD0" w:rsidP="000E47FC">
      <w:pPr>
        <w:widowControl w:val="0"/>
        <w:spacing w:before="25" w:line="240" w:lineRule="auto"/>
        <w:ind w:right="-23"/>
        <w:jc w:val="both"/>
        <w:rPr>
          <w:bCs/>
          <w:lang w:val="en-US"/>
        </w:rPr>
      </w:pPr>
    </w:p>
    <w:p w:rsidR="00CB5DD0" w:rsidRDefault="00CB5DD0" w:rsidP="000E47FC">
      <w:pPr>
        <w:widowControl w:val="0"/>
        <w:spacing w:before="25" w:line="240" w:lineRule="auto"/>
        <w:ind w:right="-23"/>
        <w:jc w:val="both"/>
        <w:rPr>
          <w:bCs/>
          <w:lang w:val="en-US"/>
        </w:rPr>
      </w:pPr>
    </w:p>
    <w:p w:rsidR="00CB5DD0" w:rsidRPr="000E47FC" w:rsidRDefault="00CB5DD0" w:rsidP="000E47FC">
      <w:pPr>
        <w:widowControl w:val="0"/>
        <w:spacing w:before="25" w:line="240" w:lineRule="auto"/>
        <w:ind w:right="-23"/>
        <w:jc w:val="both"/>
        <w:rPr>
          <w:bCs/>
          <w:lang w:val="en-US"/>
        </w:rPr>
      </w:pPr>
      <w:r>
        <w:rPr>
          <w:bCs/>
          <w:lang w:val="en-US"/>
        </w:rPr>
        <w:t>Yours sincerely,</w:t>
      </w:r>
    </w:p>
    <w:p w:rsidR="00CB5DD0" w:rsidRPr="000E47FC" w:rsidRDefault="00CB5DD0" w:rsidP="00462F2A">
      <w:pPr>
        <w:jc w:val="both"/>
        <w:rPr>
          <w:bCs/>
          <w:lang w:val="en-US"/>
        </w:rPr>
      </w:pPr>
    </w:p>
    <w:p w:rsidR="00CB5DD0" w:rsidRDefault="00CB5DD0" w:rsidP="00774808">
      <w:pPr>
        <w:jc w:val="both"/>
        <w:rPr>
          <w:rFonts w:ascii="Cambria" w:hAnsi="Cambria"/>
          <w:lang w:val="en-GB" w:eastAsia="en-US"/>
        </w:rPr>
      </w:pPr>
    </w:p>
    <w:p w:rsidR="00CB5DD0" w:rsidRPr="006F0FA2" w:rsidRDefault="00CB5DD0" w:rsidP="00774808">
      <w:pPr>
        <w:jc w:val="both"/>
        <w:rPr>
          <w:rFonts w:ascii="Cambria" w:hAnsi="Cambria"/>
          <w:lang w:val="en-GB" w:eastAsia="en-US"/>
        </w:rPr>
      </w:pPr>
      <w:r w:rsidRPr="006F0FA2">
        <w:rPr>
          <w:rFonts w:ascii="Cambria" w:hAnsi="Cambria"/>
          <w:lang w:val="en-GB"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76.5pt">
            <v:imagedata r:id="rId7" o:title=""/>
          </v:shape>
        </w:pict>
      </w:r>
    </w:p>
    <w:p w:rsidR="00CB5DD0" w:rsidRDefault="00CB5DD0" w:rsidP="00774808">
      <w:pPr>
        <w:jc w:val="both"/>
        <w:rPr>
          <w:rFonts w:ascii="Cambria" w:hAnsi="Cambria"/>
          <w:lang w:val="en-GB" w:eastAsia="en-US"/>
        </w:rPr>
      </w:pPr>
      <w:r w:rsidRPr="000E47FC">
        <w:rPr>
          <w:bCs/>
          <w:lang w:val="en-US"/>
        </w:rPr>
        <w:t>Richard Boyns</w:t>
      </w:r>
    </w:p>
    <w:p w:rsidR="00CB5DD0" w:rsidRDefault="00CB5DD0" w:rsidP="00774808">
      <w:pPr>
        <w:jc w:val="both"/>
        <w:rPr>
          <w:rFonts w:ascii="Cambria" w:hAnsi="Cambria"/>
          <w:lang w:val="en-GB" w:eastAsia="en-US"/>
        </w:rPr>
      </w:pPr>
    </w:p>
    <w:p w:rsidR="00CB5DD0" w:rsidRDefault="00CB5DD0" w:rsidP="00774808">
      <w:pPr>
        <w:jc w:val="both"/>
        <w:rPr>
          <w:rFonts w:ascii="Cambria" w:hAnsi="Cambria"/>
          <w:lang w:val="en-GB" w:eastAsia="en-US"/>
        </w:rPr>
      </w:pPr>
    </w:p>
    <w:p w:rsidR="00CB5DD0" w:rsidRPr="004D5AEA" w:rsidRDefault="00CB5DD0" w:rsidP="00E37854">
      <w:pPr>
        <w:ind w:left="360"/>
        <w:jc w:val="both"/>
        <w:rPr>
          <w:rFonts w:ascii="Cambria" w:hAnsi="Cambria"/>
          <w:lang w:val="en-GB" w:eastAsia="en-US"/>
        </w:rPr>
      </w:pPr>
    </w:p>
    <w:p w:rsidR="00CB5DD0" w:rsidRDefault="00CB5DD0" w:rsidP="00454F5D">
      <w:pPr>
        <w:ind w:left="360"/>
        <w:rPr>
          <w:rFonts w:ascii="Cambria" w:hAnsi="Cambria"/>
          <w:lang w:val="en-GB" w:eastAsia="en-US"/>
        </w:rPr>
      </w:pPr>
    </w:p>
    <w:p w:rsidR="00CB5DD0" w:rsidRPr="00AE2C18" w:rsidRDefault="00CB5DD0" w:rsidP="00DE6044">
      <w:pPr>
        <w:jc w:val="both"/>
        <w:rPr>
          <w:rFonts w:ascii="Cambria" w:hAnsi="Cambria"/>
          <w:b/>
          <w:lang w:val="en-GB" w:eastAsia="en-US"/>
        </w:rPr>
      </w:pPr>
      <w:r>
        <w:rPr>
          <w:rFonts w:ascii="Cambria" w:hAnsi="Cambria"/>
          <w:b/>
          <w:lang w:val="en-GB" w:eastAsia="en-US"/>
        </w:rPr>
        <w:br w:type="page"/>
        <w:t xml:space="preserve">APPENDIX: </w:t>
      </w:r>
      <w:r w:rsidRPr="00AE2C18">
        <w:rPr>
          <w:rFonts w:ascii="Cambria" w:hAnsi="Cambria"/>
          <w:b/>
          <w:lang w:val="en-GB" w:eastAsia="en-US"/>
        </w:rPr>
        <w:t>RESPONSES TO SPECIFIC QUESTIONS</w:t>
      </w:r>
    </w:p>
    <w:p w:rsidR="00CB5DD0" w:rsidRDefault="00CB5DD0" w:rsidP="00595384">
      <w:pPr>
        <w:jc w:val="both"/>
        <w:rPr>
          <w:rFonts w:ascii="Cambria" w:hAnsi="Cambria"/>
          <w:lang w:val="en-GB" w:eastAsia="en-US"/>
        </w:rPr>
      </w:pPr>
    </w:p>
    <w:p w:rsidR="00CB5DD0" w:rsidRPr="00AE2C18" w:rsidRDefault="00CB5DD0" w:rsidP="00595384">
      <w:pPr>
        <w:jc w:val="both"/>
        <w:rPr>
          <w:rFonts w:ascii="Cambria" w:hAnsi="Cambria"/>
          <w:lang w:val="en-GB" w:eastAsia="en-US"/>
        </w:rPr>
      </w:pPr>
    </w:p>
    <w:p w:rsidR="00CB5DD0" w:rsidRPr="00302783" w:rsidRDefault="00CB5DD0" w:rsidP="00302783">
      <w:pPr>
        <w:jc w:val="both"/>
        <w:rPr>
          <w:rFonts w:ascii="Cambria" w:hAnsi="Cambria"/>
          <w:b/>
          <w:lang w:val="en-GB" w:eastAsia="en-US"/>
        </w:rPr>
      </w:pPr>
      <w:r w:rsidRPr="00595384">
        <w:rPr>
          <w:rFonts w:ascii="Cambria" w:hAnsi="Cambria"/>
          <w:b/>
          <w:lang w:val="en-GB" w:eastAsia="en-US"/>
        </w:rPr>
        <w:t>Q1. Do you agree with the minimum list of alternative methods and sources of information defined above for expert based approaches? If not, what others could be included, or which points from the current list should be removed? State your reasons.</w:t>
      </w:r>
    </w:p>
    <w:p w:rsidR="00CB5DD0" w:rsidRDefault="00CB5DD0" w:rsidP="00302783">
      <w:pPr>
        <w:jc w:val="both"/>
        <w:rPr>
          <w:rFonts w:ascii="Cambria" w:hAnsi="Cambria"/>
          <w:lang w:val="en-GB" w:eastAsia="en-US"/>
        </w:rPr>
      </w:pPr>
    </w:p>
    <w:p w:rsidR="00CB5DD0" w:rsidRPr="00302783" w:rsidRDefault="00CB5DD0" w:rsidP="00302783">
      <w:pPr>
        <w:jc w:val="both"/>
        <w:rPr>
          <w:rFonts w:ascii="Cambria" w:hAnsi="Cambria"/>
          <w:lang w:val="en-GB" w:eastAsia="en-US"/>
        </w:rPr>
      </w:pPr>
      <w:r>
        <w:rPr>
          <w:rFonts w:ascii="Cambria" w:hAnsi="Cambria"/>
          <w:lang w:val="en-GB" w:eastAsia="en-US"/>
        </w:rPr>
        <w:t xml:space="preserve">We agree that the alternative methods and sources of information proposed by the CP should be given consideration and may be a sensible source of information to assess uncertainty, depending on markets and products. However, we do not support a systematic and simultaneous use of all the data listed here but rather advocate a more selective approach based on the relative relevance of these sources.  </w:t>
      </w:r>
    </w:p>
    <w:p w:rsidR="00CB5DD0" w:rsidRPr="00595384" w:rsidRDefault="00CB5DD0" w:rsidP="00595384">
      <w:pPr>
        <w:jc w:val="both"/>
        <w:rPr>
          <w:rFonts w:ascii="Cambria" w:hAnsi="Cambria"/>
          <w:b/>
          <w:lang w:val="en-GB" w:eastAsia="en-US"/>
        </w:rPr>
      </w:pPr>
    </w:p>
    <w:p w:rsidR="00CB5DD0" w:rsidRDefault="00CB5DD0" w:rsidP="00595384">
      <w:pPr>
        <w:jc w:val="both"/>
        <w:rPr>
          <w:rFonts w:ascii="Cambria" w:hAnsi="Cambria"/>
          <w:b/>
          <w:lang w:val="en-GB" w:eastAsia="en-US"/>
        </w:rPr>
      </w:pPr>
      <w:r w:rsidRPr="00595384">
        <w:rPr>
          <w:rFonts w:ascii="Cambria" w:hAnsi="Cambria"/>
          <w:b/>
          <w:lang w:val="en-GB" w:eastAsia="en-US"/>
        </w:rPr>
        <w:t>Q2. Do you agree with the introduction of a threshold below which a simplified approach can be applied to calculate AVAs? If so, do you agree that the threshold should be defined as above? State your reasons.</w:t>
      </w:r>
    </w:p>
    <w:p w:rsidR="00CB5DD0" w:rsidRDefault="00CB5DD0" w:rsidP="00595384">
      <w:pPr>
        <w:jc w:val="both"/>
        <w:rPr>
          <w:rFonts w:ascii="Cambria" w:hAnsi="Cambria"/>
          <w:lang w:val="en-GB" w:eastAsia="en-US"/>
        </w:rPr>
      </w:pPr>
    </w:p>
    <w:p w:rsidR="00CB5DD0" w:rsidRPr="00302783" w:rsidRDefault="00CB5DD0" w:rsidP="00595384">
      <w:pPr>
        <w:jc w:val="both"/>
        <w:rPr>
          <w:rFonts w:ascii="Cambria" w:hAnsi="Cambria"/>
          <w:lang w:val="en-GB" w:eastAsia="en-US"/>
        </w:rPr>
      </w:pPr>
      <w:r>
        <w:rPr>
          <w:rFonts w:ascii="Cambria" w:hAnsi="Cambria"/>
          <w:lang w:val="en-GB" w:eastAsia="en-US"/>
        </w:rPr>
        <w:t xml:space="preserve">We intend to apply the core approach to all HSBC entities and do not opine on the proposed threshold. </w:t>
      </w:r>
    </w:p>
    <w:p w:rsidR="00CB5DD0" w:rsidRPr="00595384" w:rsidRDefault="00CB5DD0" w:rsidP="00595384">
      <w:pPr>
        <w:jc w:val="both"/>
        <w:rPr>
          <w:rFonts w:ascii="Cambria" w:hAnsi="Cambria"/>
          <w:b/>
          <w:lang w:val="en-GB" w:eastAsia="en-US"/>
        </w:rPr>
      </w:pPr>
    </w:p>
    <w:p w:rsidR="00CB5DD0" w:rsidRDefault="00CB5DD0" w:rsidP="00595384">
      <w:pPr>
        <w:jc w:val="both"/>
        <w:rPr>
          <w:rFonts w:ascii="Cambria" w:hAnsi="Cambria"/>
          <w:b/>
          <w:lang w:val="en-GB" w:eastAsia="en-US"/>
        </w:rPr>
      </w:pPr>
      <w:r w:rsidRPr="00595384">
        <w:rPr>
          <w:rFonts w:ascii="Cambria" w:hAnsi="Cambria"/>
          <w:b/>
          <w:lang w:val="en-GB" w:eastAsia="en-US"/>
        </w:rPr>
        <w:t>Q3. Do you believe there are any practical issues with a parent institution being required to apply the ‘core approach’ to all fair value positions whilst a subsidiary is allowed to apply the simplified approach? State your reasons.</w:t>
      </w:r>
    </w:p>
    <w:p w:rsidR="00CB5DD0" w:rsidRDefault="00CB5DD0" w:rsidP="00595384">
      <w:pPr>
        <w:jc w:val="both"/>
        <w:rPr>
          <w:rFonts w:ascii="Cambria" w:hAnsi="Cambria"/>
          <w:lang w:val="en-GB" w:eastAsia="en-US"/>
        </w:rPr>
      </w:pPr>
    </w:p>
    <w:p w:rsidR="00CB5DD0" w:rsidRDefault="00CB5DD0" w:rsidP="00144665">
      <w:pPr>
        <w:jc w:val="both"/>
        <w:rPr>
          <w:rFonts w:ascii="Cambria" w:hAnsi="Cambria"/>
          <w:lang w:val="en-GB" w:eastAsia="en-US"/>
        </w:rPr>
      </w:pPr>
      <w:r>
        <w:rPr>
          <w:rFonts w:ascii="Cambria" w:hAnsi="Cambria"/>
          <w:lang w:val="en-GB" w:eastAsia="en-US"/>
        </w:rPr>
        <w:t xml:space="preserve">We do not intend to use the simplified approach and do not see any benefit from performing multiple </w:t>
      </w:r>
      <w:r w:rsidRPr="00302783">
        <w:rPr>
          <w:rFonts w:ascii="Cambria" w:hAnsi="Cambria"/>
          <w:lang w:val="en-GB" w:eastAsia="en-US"/>
        </w:rPr>
        <w:t>computation</w:t>
      </w:r>
      <w:r>
        <w:rPr>
          <w:rFonts w:ascii="Cambria" w:hAnsi="Cambria"/>
          <w:lang w:val="en-GB" w:eastAsia="en-US"/>
        </w:rPr>
        <w:t>s.</w:t>
      </w:r>
      <w:r w:rsidRPr="00302783">
        <w:rPr>
          <w:rFonts w:ascii="Cambria" w:hAnsi="Cambria"/>
          <w:lang w:val="en-GB" w:eastAsia="en-US"/>
        </w:rPr>
        <w:t xml:space="preserve"> </w:t>
      </w:r>
    </w:p>
    <w:p w:rsidR="00CB5DD0" w:rsidRPr="00302783" w:rsidRDefault="00CB5DD0" w:rsidP="00595384">
      <w:pPr>
        <w:jc w:val="both"/>
        <w:rPr>
          <w:rFonts w:ascii="Cambria" w:hAnsi="Cambria"/>
          <w:lang w:val="en-GB" w:eastAsia="en-US"/>
        </w:rPr>
      </w:pPr>
    </w:p>
    <w:p w:rsidR="00CB5DD0" w:rsidRDefault="00CB5DD0" w:rsidP="00595384">
      <w:pPr>
        <w:jc w:val="both"/>
        <w:rPr>
          <w:rFonts w:ascii="Cambria" w:hAnsi="Cambria"/>
          <w:b/>
          <w:lang w:val="en-GB" w:eastAsia="en-US"/>
        </w:rPr>
      </w:pPr>
      <w:r w:rsidRPr="00595384">
        <w:rPr>
          <w:rFonts w:ascii="Cambria" w:hAnsi="Cambria"/>
          <w:b/>
          <w:lang w:val="en-GB" w:eastAsia="en-US"/>
        </w:rPr>
        <w:t>Q4. Do you agree with the proposed simplified approach? Do you think the risk sensitiveness of the approach is appropriate? Are there alternative approaches that you believe would be more appropriate? State your reasons.</w:t>
      </w:r>
    </w:p>
    <w:p w:rsidR="00CB5DD0" w:rsidRDefault="00CB5DD0" w:rsidP="00595384">
      <w:pPr>
        <w:jc w:val="both"/>
        <w:rPr>
          <w:rFonts w:ascii="Cambria" w:hAnsi="Cambria"/>
          <w:b/>
          <w:lang w:val="en-GB" w:eastAsia="en-US"/>
        </w:rPr>
      </w:pPr>
    </w:p>
    <w:p w:rsidR="00CB5DD0" w:rsidRDefault="00CB5DD0" w:rsidP="00610A0D">
      <w:pPr>
        <w:jc w:val="both"/>
        <w:rPr>
          <w:rFonts w:ascii="Cambria" w:hAnsi="Cambria"/>
          <w:lang w:val="en-GB" w:eastAsia="en-US"/>
        </w:rPr>
      </w:pPr>
      <w:r>
        <w:rPr>
          <w:rFonts w:ascii="Cambria" w:hAnsi="Cambria"/>
          <w:lang w:val="en-GB" w:eastAsia="en-US"/>
        </w:rPr>
        <w:t>As a matter of principle, we wish to express our strong reservations with respect to the concept of unrealised gains since inception:</w:t>
      </w:r>
    </w:p>
    <w:p w:rsidR="00CB5DD0" w:rsidRDefault="00CB5DD0" w:rsidP="00610A0D">
      <w:pPr>
        <w:jc w:val="both"/>
        <w:rPr>
          <w:rFonts w:ascii="Cambria" w:hAnsi="Cambria"/>
          <w:lang w:val="en-GB" w:eastAsia="en-US"/>
        </w:rPr>
      </w:pPr>
    </w:p>
    <w:p w:rsidR="00CB5DD0" w:rsidRDefault="00CB5DD0" w:rsidP="00144665">
      <w:pPr>
        <w:numPr>
          <w:ilvl w:val="0"/>
          <w:numId w:val="21"/>
          <w:numberingChange w:id="6" w:author="Unknown" w:date="2013-10-08T17:10:00Z" w:original="%1:1:2:)"/>
        </w:numPr>
        <w:ind w:left="720"/>
        <w:jc w:val="both"/>
        <w:rPr>
          <w:rFonts w:ascii="Cambria" w:hAnsi="Cambria"/>
          <w:lang w:val="en-GB" w:eastAsia="en-US"/>
        </w:rPr>
      </w:pPr>
      <w:r>
        <w:rPr>
          <w:rFonts w:ascii="Cambria" w:hAnsi="Cambria"/>
          <w:lang w:val="en-GB" w:eastAsia="en-US"/>
        </w:rPr>
        <w:t xml:space="preserve">Unrealised gains are not related to valuation uncertainty; </w:t>
      </w:r>
    </w:p>
    <w:p w:rsidR="00CB5DD0" w:rsidRDefault="00CB5DD0" w:rsidP="00144665">
      <w:pPr>
        <w:numPr>
          <w:ilvl w:val="0"/>
          <w:numId w:val="21"/>
          <w:numberingChange w:id="7" w:author="Unknown" w:date="2013-10-08T17:10:00Z" w:original="%1:2:2:)"/>
        </w:numPr>
        <w:ind w:left="720"/>
        <w:jc w:val="both"/>
        <w:rPr>
          <w:rFonts w:ascii="Cambria" w:hAnsi="Cambria"/>
          <w:lang w:val="en-GB" w:eastAsia="en-US"/>
        </w:rPr>
      </w:pPr>
      <w:r>
        <w:rPr>
          <w:rFonts w:ascii="Cambria" w:hAnsi="Cambria"/>
          <w:lang w:val="en-GB" w:eastAsia="en-US"/>
        </w:rPr>
        <w:t>Unrealised gains do not differentiate between liquid and illiquid exposures;</w:t>
      </w:r>
    </w:p>
    <w:p w:rsidR="00CB5DD0" w:rsidRDefault="00CB5DD0" w:rsidP="007E0233">
      <w:pPr>
        <w:numPr>
          <w:ilvl w:val="0"/>
          <w:numId w:val="21"/>
          <w:numberingChange w:id="8" w:author="Unknown" w:date="2013-10-08T17:10:00Z" w:original="%1:3:2:)"/>
        </w:numPr>
        <w:ind w:left="720"/>
        <w:jc w:val="both"/>
        <w:rPr>
          <w:rFonts w:ascii="Cambria" w:hAnsi="Cambria"/>
          <w:lang w:val="en-GB" w:eastAsia="en-US"/>
        </w:rPr>
      </w:pPr>
      <w:r>
        <w:rPr>
          <w:rFonts w:ascii="Cambria" w:hAnsi="Cambria"/>
          <w:lang w:val="en-GB" w:eastAsia="en-US"/>
        </w:rPr>
        <w:t>Unrealised gains depend on firm-specific matching rules between buy and sell (fifo, lifo, average cost);</w:t>
      </w:r>
    </w:p>
    <w:p w:rsidR="00CB5DD0" w:rsidRDefault="00CB5DD0" w:rsidP="00144665">
      <w:pPr>
        <w:numPr>
          <w:ilvl w:val="0"/>
          <w:numId w:val="21"/>
          <w:numberingChange w:id="9" w:author="Unknown" w:date="2013-10-08T17:10:00Z" w:original="%1:4:2:)"/>
        </w:numPr>
        <w:ind w:left="720"/>
        <w:jc w:val="both"/>
        <w:rPr>
          <w:rFonts w:ascii="Cambria" w:hAnsi="Cambria"/>
          <w:lang w:val="en-GB" w:eastAsia="en-US"/>
        </w:rPr>
      </w:pPr>
      <w:r>
        <w:rPr>
          <w:rFonts w:ascii="Cambria" w:hAnsi="Cambria"/>
          <w:lang w:val="en-GB" w:eastAsia="en-US"/>
        </w:rPr>
        <w:t>Unrealised gains as an uncertainty measure may be counter intuitive: for example, the unrealized profits of a short volatility exposure would increase as markets calm and transparency increases;</w:t>
      </w:r>
    </w:p>
    <w:p w:rsidR="00CB5DD0" w:rsidRDefault="00CB5DD0" w:rsidP="00144665">
      <w:pPr>
        <w:numPr>
          <w:ilvl w:val="0"/>
          <w:numId w:val="21"/>
          <w:numberingChange w:id="10" w:author="Unknown" w:date="2013-10-08T17:10:00Z" w:original="%1:5:2:)"/>
        </w:numPr>
        <w:ind w:left="720"/>
        <w:jc w:val="both"/>
        <w:rPr>
          <w:rFonts w:ascii="Cambria" w:hAnsi="Cambria"/>
          <w:lang w:val="en-GB" w:eastAsia="en-US"/>
        </w:rPr>
      </w:pPr>
      <w:r>
        <w:rPr>
          <w:rFonts w:ascii="Cambria" w:hAnsi="Cambria"/>
          <w:lang w:val="en-GB" w:eastAsia="en-US"/>
        </w:rPr>
        <w:t xml:space="preserve">The proposed treatment is asymmetric and would ignore exposures with unrealised losses; </w:t>
      </w:r>
    </w:p>
    <w:p w:rsidR="00CB5DD0" w:rsidRDefault="00CB5DD0" w:rsidP="00144665">
      <w:pPr>
        <w:numPr>
          <w:ilvl w:val="0"/>
          <w:numId w:val="21"/>
          <w:numberingChange w:id="11" w:author="Unknown" w:date="2013-10-08T17:10:00Z" w:original="%1:6:2:)"/>
        </w:numPr>
        <w:ind w:left="720"/>
        <w:jc w:val="both"/>
        <w:rPr>
          <w:rFonts w:ascii="Cambria" w:hAnsi="Cambria"/>
          <w:lang w:val="en-GB" w:eastAsia="en-US"/>
        </w:rPr>
      </w:pPr>
      <w:r>
        <w:rPr>
          <w:rFonts w:ascii="Cambria" w:hAnsi="Cambria"/>
          <w:lang w:val="en-GB" w:eastAsia="en-US"/>
        </w:rPr>
        <w:t>Unrealised gains may be subject to manipulation through sell and buy back;</w:t>
      </w:r>
    </w:p>
    <w:p w:rsidR="00CB5DD0" w:rsidRDefault="00CB5DD0" w:rsidP="00144665">
      <w:pPr>
        <w:numPr>
          <w:ilvl w:val="0"/>
          <w:numId w:val="21"/>
          <w:numberingChange w:id="12" w:author="Unknown" w:date="2013-10-08T17:10:00Z" w:original="%1:7:2:)"/>
        </w:numPr>
        <w:ind w:left="720"/>
        <w:jc w:val="both"/>
        <w:rPr>
          <w:rFonts w:ascii="Cambria" w:hAnsi="Cambria"/>
          <w:lang w:val="en-GB" w:eastAsia="en-US"/>
        </w:rPr>
      </w:pPr>
      <w:r>
        <w:rPr>
          <w:rFonts w:ascii="Cambria" w:hAnsi="Cambria"/>
          <w:lang w:val="en-GB" w:eastAsia="en-US"/>
        </w:rPr>
        <w:t>Unrealised gains are not a recognised concept within current fair value accounting rules, and consequently definitional issues arise and current systems architecture may not capture the information.</w:t>
      </w:r>
    </w:p>
    <w:p w:rsidR="00CB5DD0" w:rsidRDefault="00CB5DD0" w:rsidP="000E563F">
      <w:pPr>
        <w:jc w:val="both"/>
        <w:rPr>
          <w:rFonts w:ascii="Cambria" w:hAnsi="Cambria"/>
          <w:lang w:val="en-GB" w:eastAsia="en-US"/>
        </w:rPr>
      </w:pPr>
    </w:p>
    <w:p w:rsidR="00CB5DD0" w:rsidRDefault="00CB5DD0" w:rsidP="00144665">
      <w:pPr>
        <w:jc w:val="both"/>
        <w:rPr>
          <w:rFonts w:ascii="Cambria" w:hAnsi="Cambria"/>
          <w:lang w:val="en-GB" w:eastAsia="en-US"/>
        </w:rPr>
      </w:pPr>
      <w:r>
        <w:rPr>
          <w:rFonts w:ascii="Cambria" w:hAnsi="Cambria"/>
          <w:lang w:val="en-GB" w:eastAsia="en-US"/>
        </w:rPr>
        <w:t xml:space="preserve">We would advocate the use of a set of appropriate percentages applicable to balance sheet figures and that differentiate between liquidity classes.    Such % should be commensurate with or calibrated to results observed where the core approach is used. </w:t>
      </w:r>
    </w:p>
    <w:p w:rsidR="00CB5DD0" w:rsidRDefault="00CB5DD0" w:rsidP="00595384">
      <w:pPr>
        <w:jc w:val="both"/>
        <w:rPr>
          <w:rFonts w:ascii="Cambria" w:hAnsi="Cambria"/>
          <w:b/>
          <w:lang w:val="en-GB" w:eastAsia="en-US"/>
        </w:rPr>
      </w:pPr>
    </w:p>
    <w:p w:rsidR="00CB5DD0" w:rsidRPr="00595384" w:rsidRDefault="00CB5DD0" w:rsidP="00595384">
      <w:pPr>
        <w:jc w:val="both"/>
        <w:rPr>
          <w:rFonts w:ascii="Cambria" w:hAnsi="Cambria"/>
          <w:b/>
          <w:lang w:val="en-GB" w:eastAsia="en-US"/>
        </w:rPr>
      </w:pPr>
    </w:p>
    <w:p w:rsidR="00CB5DD0" w:rsidRDefault="00CB5DD0" w:rsidP="00595384">
      <w:pPr>
        <w:jc w:val="both"/>
        <w:rPr>
          <w:rFonts w:ascii="Cambria" w:hAnsi="Cambria"/>
          <w:b/>
          <w:lang w:val="en-GB" w:eastAsia="en-US"/>
        </w:rPr>
      </w:pPr>
      <w:r w:rsidRPr="00595384">
        <w:rPr>
          <w:rFonts w:ascii="Cambria" w:hAnsi="Cambria"/>
          <w:b/>
          <w:lang w:val="en-GB" w:eastAsia="en-US"/>
        </w:rPr>
        <w:t>Q5. Could a differentiated treatment for some asset/liability classes be considered, for example with regard to their liquidity? Please state the pros and cons of such a differentiation. How would you define the degree of liquidity of an asset/liability class (e.g. fair value hierarchy, eligibility for the LCR, other)?</w:t>
      </w:r>
    </w:p>
    <w:p w:rsidR="00CB5DD0" w:rsidRDefault="00CB5DD0" w:rsidP="00595384">
      <w:pPr>
        <w:jc w:val="both"/>
        <w:rPr>
          <w:rFonts w:ascii="Cambria" w:hAnsi="Cambria"/>
          <w:lang w:val="en-GB" w:eastAsia="en-US"/>
        </w:rPr>
      </w:pPr>
    </w:p>
    <w:p w:rsidR="00CB5DD0" w:rsidRDefault="00CB5DD0" w:rsidP="00B83DC1">
      <w:pPr>
        <w:jc w:val="both"/>
        <w:rPr>
          <w:rFonts w:ascii="Cambria" w:hAnsi="Cambria"/>
          <w:lang w:val="en-GB" w:eastAsia="en-US"/>
        </w:rPr>
      </w:pPr>
      <w:r>
        <w:rPr>
          <w:rFonts w:ascii="Cambria" w:hAnsi="Cambria"/>
          <w:lang w:val="en-GB" w:eastAsia="en-US"/>
        </w:rPr>
        <w:t>We urge regulators not to introduce multiple and diverging c</w:t>
      </w:r>
      <w:r w:rsidRPr="008C3E43">
        <w:rPr>
          <w:rFonts w:ascii="Cambria" w:hAnsi="Cambria"/>
          <w:lang w:val="en-GB" w:eastAsia="en-US"/>
        </w:rPr>
        <w:t xml:space="preserve">lassifications that </w:t>
      </w:r>
      <w:r>
        <w:rPr>
          <w:rFonts w:ascii="Cambria" w:hAnsi="Cambria"/>
          <w:lang w:val="en-GB" w:eastAsia="en-US"/>
        </w:rPr>
        <w:t xml:space="preserve">would </w:t>
      </w:r>
      <w:r w:rsidRPr="008C3E43">
        <w:rPr>
          <w:rFonts w:ascii="Cambria" w:hAnsi="Cambria"/>
          <w:lang w:val="en-GB" w:eastAsia="en-US"/>
        </w:rPr>
        <w:t xml:space="preserve">aim at capturing similar </w:t>
      </w:r>
      <w:r>
        <w:rPr>
          <w:rFonts w:ascii="Cambria" w:hAnsi="Cambria"/>
          <w:lang w:val="en-GB" w:eastAsia="en-US"/>
        </w:rPr>
        <w:t>objectives as accounting standards but would eventually inflate the number of processes, reporting, documentation and burdensome reconciliations.</w:t>
      </w:r>
    </w:p>
    <w:p w:rsidR="00CB5DD0" w:rsidRDefault="00CB5DD0" w:rsidP="00B83DC1">
      <w:pPr>
        <w:jc w:val="both"/>
        <w:rPr>
          <w:rFonts w:ascii="Cambria" w:hAnsi="Cambria"/>
          <w:lang w:val="en-GB" w:eastAsia="en-US"/>
        </w:rPr>
      </w:pPr>
    </w:p>
    <w:p w:rsidR="00CB5DD0" w:rsidRDefault="00CB5DD0" w:rsidP="008153D6">
      <w:pPr>
        <w:jc w:val="both"/>
        <w:rPr>
          <w:rFonts w:ascii="Cambria" w:hAnsi="Cambria"/>
          <w:lang w:val="en-GB" w:eastAsia="en-US"/>
        </w:rPr>
      </w:pPr>
      <w:r>
        <w:rPr>
          <w:rFonts w:ascii="Cambria" w:hAnsi="Cambria"/>
          <w:lang w:val="en-GB" w:eastAsia="en-US"/>
        </w:rPr>
        <w:t>We therefore support the use of a</w:t>
      </w:r>
      <w:r w:rsidRPr="00610A0D">
        <w:rPr>
          <w:rFonts w:ascii="Cambria" w:hAnsi="Cambria"/>
          <w:lang w:val="en-GB" w:eastAsia="en-US"/>
        </w:rPr>
        <w:t xml:space="preserve"> </w:t>
      </w:r>
      <w:r>
        <w:rPr>
          <w:rFonts w:ascii="Cambria" w:hAnsi="Cambria"/>
          <w:lang w:val="en-GB" w:eastAsia="en-US"/>
        </w:rPr>
        <w:t>liquidity hierarchy that would not be fundamentally dissimilar from the current accounting definition.  Such an approach could be combined with the vanilla/exotic taxonomy that the CP has proposed and further enriched if it is deemed necessary.</w:t>
      </w:r>
    </w:p>
    <w:p w:rsidR="00CB5DD0" w:rsidRPr="008C3E43" w:rsidRDefault="00CB5DD0" w:rsidP="00B83DC1">
      <w:pPr>
        <w:jc w:val="both"/>
        <w:rPr>
          <w:rFonts w:ascii="Cambria" w:hAnsi="Cambria"/>
          <w:lang w:val="en-GB" w:eastAsia="en-US"/>
        </w:rPr>
      </w:pPr>
    </w:p>
    <w:p w:rsidR="00CB5DD0" w:rsidRDefault="00CB5DD0" w:rsidP="00595384">
      <w:pPr>
        <w:jc w:val="both"/>
        <w:rPr>
          <w:rFonts w:ascii="Cambria" w:hAnsi="Cambria"/>
          <w:lang w:val="en-GB" w:eastAsia="en-US"/>
        </w:rPr>
      </w:pPr>
      <w:r>
        <w:rPr>
          <w:rFonts w:ascii="Cambria" w:hAnsi="Cambria"/>
          <w:lang w:val="en-GB" w:eastAsia="en-US"/>
        </w:rPr>
        <w:t>Separately, we recognize that liquidity ratio classification may provide supplemental information but note that scope would be limited to cash products.</w:t>
      </w:r>
    </w:p>
    <w:p w:rsidR="00CB5DD0" w:rsidRDefault="00CB5DD0" w:rsidP="00595384">
      <w:pPr>
        <w:jc w:val="both"/>
        <w:rPr>
          <w:rFonts w:ascii="Cambria" w:hAnsi="Cambria"/>
          <w:lang w:val="en-GB" w:eastAsia="en-US"/>
        </w:rPr>
      </w:pPr>
    </w:p>
    <w:p w:rsidR="00CB5DD0" w:rsidRDefault="00CB5DD0" w:rsidP="00595384">
      <w:pPr>
        <w:jc w:val="both"/>
        <w:rPr>
          <w:rFonts w:ascii="Cambria" w:hAnsi="Cambria"/>
          <w:lang w:val="en-GB" w:eastAsia="en-US"/>
        </w:rPr>
      </w:pPr>
    </w:p>
    <w:p w:rsidR="00CB5DD0" w:rsidRPr="00595384" w:rsidRDefault="00CB5DD0" w:rsidP="00595384">
      <w:pPr>
        <w:jc w:val="both"/>
        <w:rPr>
          <w:rFonts w:ascii="Cambria" w:hAnsi="Cambria"/>
          <w:b/>
          <w:lang w:val="en-GB" w:eastAsia="en-US"/>
        </w:rPr>
      </w:pPr>
    </w:p>
    <w:p w:rsidR="00CB5DD0" w:rsidRDefault="00CB5DD0" w:rsidP="00595384">
      <w:pPr>
        <w:jc w:val="both"/>
        <w:rPr>
          <w:rFonts w:ascii="Cambria" w:hAnsi="Cambria"/>
          <w:b/>
          <w:lang w:val="en-GB" w:eastAsia="en-US"/>
        </w:rPr>
      </w:pPr>
      <w:r w:rsidRPr="00595384">
        <w:rPr>
          <w:rFonts w:ascii="Cambria" w:hAnsi="Cambria"/>
          <w:b/>
          <w:lang w:val="en-GB" w:eastAsia="en-US"/>
        </w:rPr>
        <w:t>Q6. Do you agree with the approach defined above to calculate an AVA where the approaches in Article 8 and 9 are not possible for a valuation exposure? If not, what other approach could be prescribed? Explain your reasoning.</w:t>
      </w:r>
    </w:p>
    <w:p w:rsidR="00CB5DD0" w:rsidRDefault="00CB5DD0" w:rsidP="00610A0D">
      <w:pPr>
        <w:jc w:val="both"/>
        <w:rPr>
          <w:rFonts w:ascii="Cambria" w:hAnsi="Cambria"/>
          <w:lang w:val="en-GB" w:eastAsia="en-US"/>
        </w:rPr>
      </w:pPr>
    </w:p>
    <w:p w:rsidR="00CB5DD0" w:rsidRDefault="00CB5DD0" w:rsidP="00610A0D">
      <w:pPr>
        <w:jc w:val="both"/>
        <w:rPr>
          <w:rFonts w:ascii="Cambria" w:hAnsi="Cambria"/>
          <w:lang w:val="en-GB" w:eastAsia="en-US"/>
        </w:rPr>
      </w:pPr>
      <w:r>
        <w:rPr>
          <w:rFonts w:ascii="Cambria" w:hAnsi="Cambria"/>
          <w:lang w:val="en-GB" w:eastAsia="en-US"/>
        </w:rPr>
        <w:t>We reiterate our strong opposition to</w:t>
      </w:r>
      <w:r w:rsidRPr="00610A0D">
        <w:rPr>
          <w:rFonts w:ascii="Cambria" w:hAnsi="Cambria"/>
          <w:lang w:val="en-GB" w:eastAsia="en-US"/>
        </w:rPr>
        <w:t xml:space="preserve"> the </w:t>
      </w:r>
      <w:r>
        <w:rPr>
          <w:rFonts w:ascii="Cambria" w:hAnsi="Cambria"/>
          <w:lang w:val="en-GB" w:eastAsia="en-US"/>
        </w:rPr>
        <w:t xml:space="preserve">use of </w:t>
      </w:r>
      <w:r w:rsidRPr="00610A0D">
        <w:rPr>
          <w:rFonts w:ascii="Cambria" w:hAnsi="Cambria"/>
          <w:lang w:val="en-GB" w:eastAsia="en-US"/>
        </w:rPr>
        <w:t xml:space="preserve">unrealized </w:t>
      </w:r>
      <w:r>
        <w:rPr>
          <w:rFonts w:ascii="Cambria" w:hAnsi="Cambria"/>
          <w:lang w:val="en-GB" w:eastAsia="en-US"/>
        </w:rPr>
        <w:t xml:space="preserve">gains </w:t>
      </w:r>
      <w:r w:rsidRPr="00610A0D">
        <w:rPr>
          <w:rFonts w:ascii="Cambria" w:hAnsi="Cambria"/>
          <w:lang w:val="en-GB" w:eastAsia="en-US"/>
        </w:rPr>
        <w:t>concept</w:t>
      </w:r>
      <w:r>
        <w:rPr>
          <w:rFonts w:ascii="Cambria" w:hAnsi="Cambria"/>
          <w:lang w:val="en-GB" w:eastAsia="en-US"/>
        </w:rPr>
        <w:t xml:space="preserve">. </w:t>
      </w:r>
    </w:p>
    <w:p w:rsidR="00CB5DD0" w:rsidRDefault="00CB5DD0" w:rsidP="00610A0D">
      <w:pPr>
        <w:jc w:val="both"/>
        <w:rPr>
          <w:rFonts w:ascii="Cambria" w:hAnsi="Cambria"/>
          <w:lang w:val="en-GB" w:eastAsia="en-US"/>
        </w:rPr>
      </w:pPr>
    </w:p>
    <w:p w:rsidR="00CB5DD0" w:rsidRDefault="00CB5DD0" w:rsidP="00610A0D">
      <w:pPr>
        <w:jc w:val="both"/>
        <w:rPr>
          <w:rFonts w:ascii="Cambria" w:hAnsi="Cambria"/>
          <w:lang w:val="en-GB" w:eastAsia="en-US"/>
        </w:rPr>
      </w:pPr>
      <w:r>
        <w:rPr>
          <w:rFonts w:ascii="Cambria" w:hAnsi="Cambria"/>
          <w:lang w:val="en-GB" w:eastAsia="en-US"/>
        </w:rPr>
        <w:t>More specifically, the proposed charge appears extremely punitive and beyond the range of reasonableness.  HSBC would recommend that any fall back method be based on a fixed % applied to B&amp;S metrics. Such % could and should be calibrated on and extrapolated from observed AVAs that result from the core approach calculation.</w:t>
      </w:r>
    </w:p>
    <w:p w:rsidR="00CB5DD0" w:rsidRDefault="00CB5DD0" w:rsidP="00610A0D">
      <w:pPr>
        <w:jc w:val="both"/>
        <w:rPr>
          <w:rFonts w:ascii="Cambria" w:hAnsi="Cambria"/>
          <w:lang w:val="en-GB" w:eastAsia="en-US"/>
        </w:rPr>
      </w:pPr>
    </w:p>
    <w:p w:rsidR="00CB5DD0" w:rsidRDefault="00CB5DD0" w:rsidP="00610A0D">
      <w:pPr>
        <w:jc w:val="both"/>
        <w:rPr>
          <w:rFonts w:ascii="Cambria" w:hAnsi="Cambria"/>
          <w:lang w:val="en-GB" w:eastAsia="en-US"/>
        </w:rPr>
      </w:pPr>
    </w:p>
    <w:p w:rsidR="00CB5DD0" w:rsidRPr="00595384" w:rsidRDefault="00CB5DD0" w:rsidP="00595384">
      <w:pPr>
        <w:jc w:val="both"/>
        <w:rPr>
          <w:rFonts w:ascii="Cambria" w:hAnsi="Cambria"/>
          <w:b/>
          <w:lang w:val="en-GB" w:eastAsia="en-US"/>
        </w:rPr>
      </w:pPr>
    </w:p>
    <w:p w:rsidR="00CB5DD0" w:rsidRDefault="00CB5DD0" w:rsidP="00595384">
      <w:pPr>
        <w:jc w:val="both"/>
        <w:rPr>
          <w:rFonts w:ascii="Cambria" w:hAnsi="Cambria"/>
          <w:b/>
          <w:lang w:val="en-GB" w:eastAsia="en-US"/>
        </w:rPr>
      </w:pPr>
      <w:r w:rsidRPr="00595384">
        <w:rPr>
          <w:rFonts w:ascii="Cambria" w:hAnsi="Cambria"/>
          <w:b/>
          <w:lang w:val="en-GB" w:eastAsia="en-US"/>
        </w:rPr>
        <w:t>Q7. Do you agree with the approaches defined above to calculate AVAs for market price uncertainty, close-out costs, and unearned credit spreads? If not, what other approach could be prescribed? State your reasons.</w:t>
      </w:r>
    </w:p>
    <w:p w:rsidR="00CB5DD0" w:rsidRDefault="00CB5DD0" w:rsidP="00725679">
      <w:pPr>
        <w:jc w:val="both"/>
        <w:rPr>
          <w:rFonts w:ascii="Cambria" w:hAnsi="Cambria"/>
          <w:lang w:val="en-GB" w:eastAsia="en-US"/>
        </w:rPr>
      </w:pPr>
    </w:p>
    <w:p w:rsidR="00CB5DD0" w:rsidRDefault="00CB5DD0" w:rsidP="00725679">
      <w:pPr>
        <w:jc w:val="both"/>
        <w:rPr>
          <w:rFonts w:ascii="Cambria" w:hAnsi="Cambria"/>
          <w:lang w:val="en-GB" w:eastAsia="en-US"/>
        </w:rPr>
      </w:pPr>
      <w:r>
        <w:rPr>
          <w:rFonts w:ascii="Cambria" w:hAnsi="Cambria"/>
          <w:lang w:val="en-GB" w:eastAsia="en-US"/>
        </w:rPr>
        <w:t>We are supportive of the general approach to ascertain uncertainties with the following caveats:</w:t>
      </w:r>
    </w:p>
    <w:p w:rsidR="00CB5DD0" w:rsidRDefault="00CB5DD0" w:rsidP="00725679">
      <w:pPr>
        <w:jc w:val="both"/>
        <w:rPr>
          <w:rFonts w:ascii="Cambria" w:hAnsi="Cambria"/>
          <w:lang w:val="en-GB" w:eastAsia="en-US"/>
        </w:rPr>
      </w:pPr>
    </w:p>
    <w:p w:rsidR="00CB5DD0" w:rsidRPr="008B3249" w:rsidRDefault="00CB5DD0" w:rsidP="008B3249">
      <w:pPr>
        <w:autoSpaceDE w:val="0"/>
        <w:autoSpaceDN w:val="0"/>
        <w:adjustRightInd w:val="0"/>
        <w:spacing w:line="240" w:lineRule="auto"/>
        <w:rPr>
          <w:rFonts w:ascii="Cambria" w:hAnsi="Cambria"/>
          <w:i/>
          <w:lang w:val="en-US" w:eastAsia="en-US"/>
        </w:rPr>
      </w:pPr>
      <w:r>
        <w:rPr>
          <w:rFonts w:ascii="Cambria" w:hAnsi="Cambria"/>
          <w:lang w:val="en-GB" w:eastAsia="en-US"/>
        </w:rPr>
        <w:t>First, the distinction between cash and non cash exposures  (“</w:t>
      </w:r>
      <w:r w:rsidRPr="008B3249">
        <w:rPr>
          <w:rFonts w:ascii="Cambria" w:hAnsi="Cambria"/>
          <w:i/>
          <w:lang w:val="en-US" w:eastAsia="en-US"/>
        </w:rPr>
        <w:t>For non-derivative valuation positions, or</w:t>
      </w:r>
    </w:p>
    <w:p w:rsidR="00CB5DD0" w:rsidRPr="00A944B3" w:rsidRDefault="00CB5DD0" w:rsidP="008B3249">
      <w:pPr>
        <w:autoSpaceDE w:val="0"/>
        <w:autoSpaceDN w:val="0"/>
        <w:adjustRightInd w:val="0"/>
        <w:spacing w:line="240" w:lineRule="auto"/>
        <w:rPr>
          <w:rFonts w:ascii="Cambria" w:hAnsi="Cambria"/>
          <w:color w:val="000000"/>
          <w:lang w:val="en-GB" w:eastAsia="en-US"/>
        </w:rPr>
      </w:pPr>
      <w:r w:rsidRPr="008B3249">
        <w:rPr>
          <w:rFonts w:ascii="Cambria" w:hAnsi="Cambria"/>
          <w:i/>
          <w:lang w:val="en-US" w:eastAsia="en-US"/>
        </w:rPr>
        <w:t>valuation positions for which there is a directly observable price, the valuation input</w:t>
      </w:r>
      <w:r>
        <w:rPr>
          <w:rFonts w:ascii="Cambria" w:hAnsi="Cambria"/>
          <w:i/>
          <w:lang w:val="en-US" w:eastAsia="en-US"/>
        </w:rPr>
        <w:t xml:space="preserve"> </w:t>
      </w:r>
      <w:r w:rsidRPr="008B3249">
        <w:rPr>
          <w:rFonts w:ascii="Cambria" w:hAnsi="Cambria"/>
          <w:i/>
          <w:lang w:val="en-US" w:eastAsia="en-US"/>
        </w:rPr>
        <w:t>shall be the price of the instrument</w:t>
      </w:r>
      <w:r w:rsidRPr="008B3249">
        <w:rPr>
          <w:rFonts w:ascii="Cambria" w:hAnsi="Cambria"/>
          <w:lang w:val="en-US" w:eastAsia="en-US"/>
        </w:rPr>
        <w:t>.</w:t>
      </w:r>
      <w:r>
        <w:rPr>
          <w:rFonts w:ascii="Cambria" w:hAnsi="Cambria"/>
          <w:lang w:val="en-US" w:eastAsia="en-US"/>
        </w:rPr>
        <w:t>”)</w:t>
      </w:r>
      <w:r>
        <w:rPr>
          <w:rFonts w:ascii="Cambria" w:hAnsi="Cambria"/>
          <w:lang w:val="en-GB" w:eastAsia="en-US"/>
        </w:rPr>
        <w:t xml:space="preserve"> is artificial and inconsistent with greek-based risk </w:t>
      </w:r>
      <w:r w:rsidRPr="00A944B3">
        <w:rPr>
          <w:rFonts w:ascii="Cambria" w:hAnsi="Cambria"/>
          <w:color w:val="000000"/>
          <w:lang w:val="en-GB" w:eastAsia="en-US"/>
        </w:rPr>
        <w:t>management practises</w:t>
      </w:r>
      <w:r>
        <w:rPr>
          <w:rFonts w:ascii="Cambria" w:hAnsi="Cambria"/>
          <w:color w:val="000000"/>
          <w:lang w:val="en-GB" w:eastAsia="en-US"/>
        </w:rPr>
        <w:t>.</w:t>
      </w:r>
      <w:r w:rsidRPr="00A944B3">
        <w:rPr>
          <w:rFonts w:ascii="Cambria" w:hAnsi="Cambria"/>
          <w:color w:val="000000"/>
          <w:lang w:val="en-GB" w:eastAsia="en-US"/>
        </w:rPr>
        <w:t xml:space="preserve"> </w:t>
      </w:r>
    </w:p>
    <w:p w:rsidR="00CB5DD0" w:rsidRPr="00A944B3" w:rsidRDefault="00CB5DD0" w:rsidP="008B3249">
      <w:pPr>
        <w:autoSpaceDE w:val="0"/>
        <w:autoSpaceDN w:val="0"/>
        <w:adjustRightInd w:val="0"/>
        <w:spacing w:line="240" w:lineRule="auto"/>
        <w:rPr>
          <w:rFonts w:ascii="Cambria" w:hAnsi="Cambria"/>
          <w:color w:val="000000"/>
          <w:lang w:val="en-GB" w:eastAsia="en-US"/>
        </w:rPr>
      </w:pPr>
    </w:p>
    <w:p w:rsidR="00CB5DD0" w:rsidRPr="00A944B3" w:rsidRDefault="00CB5DD0" w:rsidP="000E47FC">
      <w:pPr>
        <w:autoSpaceDE w:val="0"/>
        <w:autoSpaceDN w:val="0"/>
        <w:adjustRightInd w:val="0"/>
        <w:spacing w:line="240" w:lineRule="auto"/>
        <w:rPr>
          <w:color w:val="000000"/>
          <w:sz w:val="21"/>
          <w:szCs w:val="21"/>
          <w:lang w:val="en-US" w:eastAsia="en-US"/>
        </w:rPr>
      </w:pPr>
      <w:r w:rsidRPr="00295FB9">
        <w:rPr>
          <w:rFonts w:ascii="Cambria" w:hAnsi="Cambria"/>
          <w:color w:val="000000"/>
          <w:lang w:val="en-GB" w:eastAsia="en-US"/>
        </w:rPr>
        <w:t xml:space="preserve">We believe that </w:t>
      </w:r>
      <w:r>
        <w:rPr>
          <w:rFonts w:ascii="Cambria" w:hAnsi="Cambria"/>
          <w:color w:val="000000"/>
          <w:lang w:val="en-GB" w:eastAsia="en-US"/>
        </w:rPr>
        <w:t>f</w:t>
      </w:r>
      <w:r w:rsidRPr="00295FB9">
        <w:rPr>
          <w:rFonts w:ascii="Cambria" w:hAnsi="Cambria"/>
          <w:color w:val="000000"/>
          <w:lang w:val="en-US" w:eastAsia="en-US"/>
        </w:rPr>
        <w:t>irm</w:t>
      </w:r>
      <w:r>
        <w:rPr>
          <w:rFonts w:ascii="Cambria" w:hAnsi="Cambria"/>
          <w:color w:val="000000"/>
          <w:lang w:val="en-US" w:eastAsia="en-US"/>
        </w:rPr>
        <w:t>s</w:t>
      </w:r>
      <w:r w:rsidRPr="00295FB9">
        <w:rPr>
          <w:rFonts w:ascii="Cambria" w:hAnsi="Cambria"/>
          <w:color w:val="000000"/>
          <w:lang w:val="en-US" w:eastAsia="en-US"/>
        </w:rPr>
        <w:t xml:space="preserve"> should be allowed to use a risk</w:t>
      </w:r>
      <w:r>
        <w:rPr>
          <w:rFonts w:ascii="Cambria" w:hAnsi="Cambria"/>
          <w:color w:val="000000"/>
          <w:lang w:val="en-US" w:eastAsia="en-US"/>
        </w:rPr>
        <w:t>-</w:t>
      </w:r>
      <w:r w:rsidRPr="00295FB9">
        <w:rPr>
          <w:rFonts w:ascii="Cambria" w:hAnsi="Cambria"/>
          <w:color w:val="000000"/>
          <w:lang w:val="en-US" w:eastAsia="en-US"/>
        </w:rPr>
        <w:t>based approach for cash products as well (notably bonds), in accordance with Article 8</w:t>
      </w:r>
      <w:r w:rsidRPr="00A944B3">
        <w:rPr>
          <w:color w:val="000000"/>
          <w:sz w:val="21"/>
          <w:szCs w:val="21"/>
          <w:lang w:val="en-US" w:eastAsia="en-US"/>
        </w:rPr>
        <w:t xml:space="preserve"> (</w:t>
      </w:r>
      <w:r>
        <w:rPr>
          <w:color w:val="000000"/>
          <w:sz w:val="21"/>
          <w:szCs w:val="21"/>
          <w:lang w:val="en-US" w:eastAsia="en-US"/>
        </w:rPr>
        <w:t>“</w:t>
      </w:r>
      <w:r w:rsidRPr="00A944B3">
        <w:rPr>
          <w:i/>
          <w:iCs/>
          <w:color w:val="000000"/>
          <w:sz w:val="21"/>
          <w:szCs w:val="21"/>
          <w:lang w:val="en-US" w:eastAsia="en-US"/>
        </w:rPr>
        <w:t>where portfolios of instruments are demonstrated to contain matching, offsetting assets and liabilities, AVAs are only required on any residual valuation</w:t>
      </w:r>
      <w:r>
        <w:rPr>
          <w:rFonts w:ascii="Cambria" w:hAnsi="Cambria"/>
          <w:i/>
          <w:lang w:val="en-US" w:eastAsia="en-US"/>
        </w:rPr>
        <w:t xml:space="preserve"> </w:t>
      </w:r>
      <w:r w:rsidRPr="00A944B3">
        <w:rPr>
          <w:i/>
          <w:iCs/>
          <w:color w:val="000000"/>
          <w:sz w:val="21"/>
          <w:szCs w:val="21"/>
          <w:lang w:val="en-US" w:eastAsia="en-US"/>
        </w:rPr>
        <w:t>exposures</w:t>
      </w:r>
      <w:r w:rsidRPr="00A944B3">
        <w:rPr>
          <w:color w:val="000000"/>
          <w:sz w:val="21"/>
          <w:szCs w:val="21"/>
          <w:lang w:val="en-US" w:eastAsia="en-US"/>
        </w:rPr>
        <w:t>.“)</w:t>
      </w:r>
    </w:p>
    <w:p w:rsidR="00CB5DD0" w:rsidRDefault="00CB5DD0" w:rsidP="00725679">
      <w:pPr>
        <w:jc w:val="both"/>
        <w:rPr>
          <w:rFonts w:ascii="Cambria" w:hAnsi="Cambria"/>
          <w:lang w:val="en-GB" w:eastAsia="en-US"/>
        </w:rPr>
      </w:pPr>
    </w:p>
    <w:p w:rsidR="00CB5DD0" w:rsidRDefault="00CB5DD0" w:rsidP="00F178C3">
      <w:pPr>
        <w:jc w:val="both"/>
        <w:rPr>
          <w:rFonts w:ascii="Cambria" w:hAnsi="Cambria"/>
          <w:lang w:val="en-GB" w:eastAsia="en-US"/>
        </w:rPr>
      </w:pPr>
      <w:r>
        <w:rPr>
          <w:rFonts w:ascii="Cambria" w:hAnsi="Cambria"/>
          <w:lang w:val="en-GB" w:eastAsia="en-US"/>
        </w:rPr>
        <w:t xml:space="preserve">Second, we agree that any risk reduction/portfolio projection techniques that are used for bid offer or AVA calculations should be supported by appropriate and robust documentation. </w:t>
      </w:r>
    </w:p>
    <w:p w:rsidR="00CB5DD0" w:rsidRDefault="00CB5DD0" w:rsidP="00725679">
      <w:pPr>
        <w:jc w:val="both"/>
        <w:rPr>
          <w:rFonts w:ascii="Cambria" w:hAnsi="Cambria"/>
          <w:lang w:val="en-GB" w:eastAsia="en-US"/>
        </w:rPr>
      </w:pPr>
    </w:p>
    <w:p w:rsidR="00CB5DD0" w:rsidRDefault="00CB5DD0" w:rsidP="00F178C3">
      <w:pPr>
        <w:jc w:val="both"/>
        <w:rPr>
          <w:rFonts w:ascii="Cambria" w:hAnsi="Cambria"/>
          <w:lang w:val="en-GB" w:eastAsia="en-US"/>
        </w:rPr>
      </w:pPr>
      <w:r>
        <w:rPr>
          <w:rFonts w:ascii="Cambria" w:hAnsi="Cambria"/>
          <w:lang w:val="en-GB" w:eastAsia="en-US"/>
        </w:rPr>
        <w:t xml:space="preserve">However, we find the proposed P&amp;L volatility ratio testing overly prescriptive, unnecessarily limiting, and hardly applicable to less liquid/observable parameters for which daily prices are not easily retrievable: a typical example is the parameters that drive volatility surfaces (skew, smile). </w:t>
      </w:r>
    </w:p>
    <w:p w:rsidR="00CB5DD0" w:rsidRDefault="00CB5DD0" w:rsidP="00725679">
      <w:pPr>
        <w:jc w:val="both"/>
        <w:rPr>
          <w:rFonts w:ascii="Cambria" w:hAnsi="Cambria"/>
          <w:lang w:val="en-GB" w:eastAsia="en-US"/>
        </w:rPr>
      </w:pPr>
    </w:p>
    <w:p w:rsidR="00CB5DD0" w:rsidRDefault="00CB5DD0" w:rsidP="00F178C3">
      <w:pPr>
        <w:jc w:val="both"/>
        <w:rPr>
          <w:rFonts w:ascii="Cambria" w:hAnsi="Cambria"/>
          <w:lang w:val="en-GB" w:eastAsia="en-US"/>
        </w:rPr>
      </w:pPr>
      <w:r>
        <w:rPr>
          <w:rFonts w:ascii="Cambria" w:hAnsi="Cambria"/>
          <w:lang w:val="en-GB" w:eastAsia="en-US"/>
        </w:rPr>
        <w:t xml:space="preserve">We believe that risk netting/bucketing should be based upon expert judgement supported by quantitative and qualitative techniques such as: </w:t>
      </w:r>
    </w:p>
    <w:p w:rsidR="00CB5DD0" w:rsidRDefault="00CB5DD0" w:rsidP="0086099A">
      <w:pPr>
        <w:jc w:val="both"/>
        <w:rPr>
          <w:rFonts w:ascii="Cambria" w:hAnsi="Cambria"/>
          <w:lang w:val="en-GB" w:eastAsia="en-US"/>
        </w:rPr>
      </w:pPr>
    </w:p>
    <w:p w:rsidR="00CB5DD0" w:rsidRDefault="00CB5DD0" w:rsidP="00F178C3">
      <w:pPr>
        <w:pStyle w:val="ListParagraph"/>
        <w:numPr>
          <w:ilvl w:val="0"/>
          <w:numId w:val="25"/>
          <w:numberingChange w:id="13" w:author="Unknown" w:date="2013-10-08T17:10:00Z" w:original=""/>
        </w:numPr>
        <w:jc w:val="both"/>
        <w:rPr>
          <w:rFonts w:ascii="Cambria" w:hAnsi="Cambria"/>
          <w:lang w:val="en-GB" w:eastAsia="en-US"/>
        </w:rPr>
      </w:pPr>
      <w:r w:rsidRPr="00714F56">
        <w:rPr>
          <w:rFonts w:ascii="Cambria" w:hAnsi="Cambria"/>
          <w:lang w:val="en-GB" w:eastAsia="en-US"/>
        </w:rPr>
        <w:t>principal component analysis</w:t>
      </w:r>
      <w:r>
        <w:rPr>
          <w:rFonts w:ascii="Cambria" w:hAnsi="Cambria"/>
          <w:lang w:val="en-GB" w:eastAsia="en-US"/>
        </w:rPr>
        <w:t>,</w:t>
      </w:r>
      <w:r w:rsidRPr="00714F56">
        <w:rPr>
          <w:rFonts w:ascii="Cambria" w:hAnsi="Cambria"/>
          <w:lang w:val="en-GB" w:eastAsia="en-US"/>
        </w:rPr>
        <w:t xml:space="preserve"> which is a standard quantitative technique used to  evidence the number of </w:t>
      </w:r>
      <w:r>
        <w:rPr>
          <w:rFonts w:ascii="Cambria" w:hAnsi="Cambria"/>
          <w:lang w:val="en-GB" w:eastAsia="en-US"/>
        </w:rPr>
        <w:t xml:space="preserve">independent </w:t>
      </w:r>
      <w:r w:rsidRPr="00714F56">
        <w:rPr>
          <w:rFonts w:ascii="Cambria" w:hAnsi="Cambria"/>
          <w:lang w:val="en-GB" w:eastAsia="en-US"/>
        </w:rPr>
        <w:t xml:space="preserve">risk </w:t>
      </w:r>
      <w:r>
        <w:rPr>
          <w:rFonts w:ascii="Cambria" w:hAnsi="Cambria"/>
          <w:lang w:val="en-GB" w:eastAsia="en-US"/>
        </w:rPr>
        <w:t>factors</w:t>
      </w:r>
      <w:r w:rsidRPr="00714F56">
        <w:rPr>
          <w:rFonts w:ascii="Cambria" w:hAnsi="Cambria"/>
          <w:lang w:val="en-GB" w:eastAsia="en-US"/>
        </w:rPr>
        <w:t xml:space="preserve"> that </w:t>
      </w:r>
      <w:r>
        <w:rPr>
          <w:rFonts w:ascii="Cambria" w:hAnsi="Cambria"/>
          <w:lang w:val="en-GB" w:eastAsia="en-US"/>
        </w:rPr>
        <w:t>drive</w:t>
      </w:r>
      <w:r w:rsidRPr="00714F56">
        <w:rPr>
          <w:rFonts w:ascii="Cambria" w:hAnsi="Cambria"/>
          <w:lang w:val="en-GB" w:eastAsia="en-US"/>
        </w:rPr>
        <w:t xml:space="preserve"> a matrix of parameters (</w:t>
      </w:r>
      <w:r>
        <w:rPr>
          <w:rFonts w:ascii="Cambria" w:hAnsi="Cambria"/>
          <w:lang w:val="en-GB" w:eastAsia="en-US"/>
        </w:rPr>
        <w:t xml:space="preserve">for example,, </w:t>
      </w:r>
      <w:r w:rsidRPr="00714F56">
        <w:rPr>
          <w:rFonts w:ascii="Cambria" w:hAnsi="Cambria"/>
          <w:lang w:val="en-GB" w:eastAsia="en-US"/>
        </w:rPr>
        <w:t>rates/spreads  curves</w:t>
      </w:r>
      <w:r>
        <w:rPr>
          <w:rFonts w:ascii="Cambria" w:hAnsi="Cambria"/>
          <w:lang w:val="en-GB" w:eastAsia="en-US"/>
        </w:rPr>
        <w:t>, vo</w:t>
      </w:r>
      <w:r w:rsidRPr="00714F56">
        <w:rPr>
          <w:rFonts w:ascii="Cambria" w:hAnsi="Cambria"/>
          <w:lang w:val="en-GB" w:eastAsia="en-US"/>
        </w:rPr>
        <w:t>latility surfaces)</w:t>
      </w:r>
      <w:r>
        <w:rPr>
          <w:rFonts w:ascii="Cambria" w:hAnsi="Cambria"/>
          <w:lang w:val="en-GB" w:eastAsia="en-US"/>
        </w:rPr>
        <w:t>;</w:t>
      </w:r>
    </w:p>
    <w:p w:rsidR="00CB5DD0" w:rsidRPr="00714F56" w:rsidRDefault="00CB5DD0" w:rsidP="00F178C3">
      <w:pPr>
        <w:pStyle w:val="ListParagraph"/>
        <w:numPr>
          <w:ilvl w:val="0"/>
          <w:numId w:val="25"/>
          <w:numberingChange w:id="14" w:author="Unknown" w:date="2013-10-08T17:10:00Z" w:original=""/>
        </w:numPr>
        <w:jc w:val="both"/>
        <w:rPr>
          <w:rFonts w:ascii="Cambria" w:hAnsi="Cambria"/>
          <w:lang w:val="en-GB" w:eastAsia="en-US"/>
        </w:rPr>
      </w:pPr>
      <w:r w:rsidRPr="00714F56">
        <w:rPr>
          <w:rFonts w:ascii="Cambria" w:hAnsi="Cambria"/>
          <w:lang w:val="en-GB" w:eastAsia="en-US"/>
        </w:rPr>
        <w:t xml:space="preserve">existence of calendar/strike spread broker quotes that </w:t>
      </w:r>
      <w:r>
        <w:rPr>
          <w:rFonts w:ascii="Cambria" w:hAnsi="Cambria"/>
          <w:lang w:val="en-GB" w:eastAsia="en-US"/>
        </w:rPr>
        <w:t>demonstrate</w:t>
      </w:r>
      <w:r w:rsidRPr="00714F56">
        <w:rPr>
          <w:rFonts w:ascii="Cambria" w:hAnsi="Cambria"/>
          <w:lang w:val="en-GB" w:eastAsia="en-US"/>
        </w:rPr>
        <w:t xml:space="preserve"> </w:t>
      </w:r>
      <w:r>
        <w:rPr>
          <w:rFonts w:ascii="Cambria" w:hAnsi="Cambria"/>
          <w:lang w:val="en-GB" w:eastAsia="en-US"/>
        </w:rPr>
        <w:t xml:space="preserve">ability to trade risk across buckets as a package at </w:t>
      </w:r>
      <w:r w:rsidRPr="00714F56">
        <w:rPr>
          <w:rFonts w:ascii="Cambria" w:hAnsi="Cambria"/>
          <w:lang w:val="en-GB" w:eastAsia="en-US"/>
        </w:rPr>
        <w:t>reduced bid offer</w:t>
      </w:r>
      <w:r>
        <w:rPr>
          <w:rFonts w:ascii="Cambria" w:hAnsi="Cambria"/>
          <w:lang w:val="en-GB" w:eastAsia="en-US"/>
        </w:rPr>
        <w:t>;</w:t>
      </w:r>
      <w:r w:rsidRPr="00714F56">
        <w:rPr>
          <w:rFonts w:ascii="Cambria" w:hAnsi="Cambria"/>
          <w:lang w:val="en-GB" w:eastAsia="en-US"/>
        </w:rPr>
        <w:t xml:space="preserve">   </w:t>
      </w:r>
    </w:p>
    <w:p w:rsidR="00CB5DD0" w:rsidRPr="00714F56" w:rsidRDefault="00CB5DD0" w:rsidP="00F178C3">
      <w:pPr>
        <w:pStyle w:val="ListParagraph"/>
        <w:numPr>
          <w:ilvl w:val="0"/>
          <w:numId w:val="25"/>
          <w:numberingChange w:id="15" w:author="Unknown" w:date="2013-10-08T17:10:00Z" w:original=""/>
        </w:numPr>
        <w:jc w:val="both"/>
        <w:rPr>
          <w:rFonts w:ascii="Cambria" w:hAnsi="Cambria"/>
          <w:lang w:val="en-GB" w:eastAsia="en-US"/>
        </w:rPr>
      </w:pPr>
      <w:r>
        <w:rPr>
          <w:rFonts w:ascii="Cambria" w:hAnsi="Cambria"/>
          <w:lang w:val="en-GB" w:eastAsia="en-US"/>
        </w:rPr>
        <w:t xml:space="preserve">comparison of </w:t>
      </w:r>
      <w:r w:rsidRPr="00714F56">
        <w:rPr>
          <w:rFonts w:ascii="Cambria" w:hAnsi="Cambria"/>
          <w:lang w:val="en-GB" w:eastAsia="en-US"/>
        </w:rPr>
        <w:t xml:space="preserve">IPV </w:t>
      </w:r>
      <w:r>
        <w:rPr>
          <w:rFonts w:ascii="Cambria" w:hAnsi="Cambria"/>
          <w:lang w:val="en-GB" w:eastAsia="en-US"/>
        </w:rPr>
        <w:t>versus b</w:t>
      </w:r>
      <w:r w:rsidRPr="00714F56">
        <w:rPr>
          <w:rFonts w:ascii="Cambria" w:hAnsi="Cambria"/>
          <w:lang w:val="en-GB" w:eastAsia="en-US"/>
        </w:rPr>
        <w:t>id</w:t>
      </w:r>
      <w:r>
        <w:rPr>
          <w:rFonts w:ascii="Cambria" w:hAnsi="Cambria"/>
          <w:lang w:val="en-GB" w:eastAsia="en-US"/>
        </w:rPr>
        <w:t>-</w:t>
      </w:r>
      <w:r w:rsidRPr="00714F56">
        <w:rPr>
          <w:rFonts w:ascii="Cambria" w:hAnsi="Cambria"/>
          <w:lang w:val="en-GB" w:eastAsia="en-US"/>
        </w:rPr>
        <w:t>offer/AVA over time</w:t>
      </w:r>
      <w:r>
        <w:rPr>
          <w:rFonts w:ascii="Cambria" w:hAnsi="Cambria"/>
          <w:lang w:val="en-GB" w:eastAsia="en-US"/>
        </w:rPr>
        <w:t>;</w:t>
      </w:r>
    </w:p>
    <w:p w:rsidR="00CB5DD0" w:rsidRPr="00714F56" w:rsidRDefault="00CB5DD0" w:rsidP="00F178C3">
      <w:pPr>
        <w:pStyle w:val="ListParagraph"/>
        <w:numPr>
          <w:ilvl w:val="0"/>
          <w:numId w:val="25"/>
          <w:numberingChange w:id="16" w:author="Unknown" w:date="2013-10-08T17:10:00Z" w:original=""/>
        </w:numPr>
        <w:jc w:val="both"/>
        <w:rPr>
          <w:rFonts w:ascii="Cambria" w:hAnsi="Cambria"/>
          <w:lang w:val="en-GB" w:eastAsia="en-US"/>
        </w:rPr>
      </w:pPr>
      <w:r w:rsidRPr="00714F56">
        <w:rPr>
          <w:rFonts w:ascii="Cambria" w:hAnsi="Cambria"/>
          <w:lang w:val="en-GB" w:eastAsia="en-US"/>
        </w:rPr>
        <w:t xml:space="preserve">analysis of risk points available </w:t>
      </w:r>
      <w:r>
        <w:rPr>
          <w:rFonts w:ascii="Cambria" w:hAnsi="Cambria"/>
          <w:lang w:val="en-GB" w:eastAsia="en-US"/>
        </w:rPr>
        <w:t>i</w:t>
      </w:r>
      <w:r w:rsidRPr="00714F56">
        <w:rPr>
          <w:rFonts w:ascii="Cambria" w:hAnsi="Cambria"/>
          <w:lang w:val="en-GB" w:eastAsia="en-US"/>
        </w:rPr>
        <w:t xml:space="preserve">n consensus </w:t>
      </w:r>
      <w:r>
        <w:rPr>
          <w:rFonts w:ascii="Cambria" w:hAnsi="Cambria"/>
          <w:lang w:val="en-GB" w:eastAsia="en-US"/>
        </w:rPr>
        <w:t>IPV services or bid-offer buckets available in consensus bid-offer services.</w:t>
      </w:r>
      <w:r w:rsidRPr="00714F56">
        <w:rPr>
          <w:rFonts w:ascii="Cambria" w:hAnsi="Cambria"/>
          <w:lang w:val="en-GB" w:eastAsia="en-US"/>
        </w:rPr>
        <w:t xml:space="preserve"> </w:t>
      </w:r>
    </w:p>
    <w:p w:rsidR="00CB5DD0" w:rsidRDefault="00CB5DD0" w:rsidP="00725679">
      <w:pPr>
        <w:jc w:val="both"/>
        <w:rPr>
          <w:rFonts w:ascii="Cambria" w:hAnsi="Cambria"/>
          <w:lang w:val="en-GB" w:eastAsia="en-US"/>
        </w:rPr>
      </w:pPr>
    </w:p>
    <w:p w:rsidR="00CB5DD0" w:rsidRDefault="00CB5DD0" w:rsidP="00725679">
      <w:pPr>
        <w:jc w:val="both"/>
        <w:rPr>
          <w:rFonts w:ascii="Cambria" w:hAnsi="Cambria"/>
          <w:lang w:val="en-GB" w:eastAsia="en-US"/>
        </w:rPr>
      </w:pPr>
    </w:p>
    <w:p w:rsidR="00CB5DD0" w:rsidRPr="003A30D4" w:rsidRDefault="00CB5DD0" w:rsidP="00595384">
      <w:pPr>
        <w:jc w:val="both"/>
        <w:rPr>
          <w:rFonts w:ascii="Cambria" w:hAnsi="Cambria"/>
          <w:b/>
          <w:lang w:val="en-GB" w:eastAsia="en-US"/>
        </w:rPr>
      </w:pPr>
    </w:p>
    <w:p w:rsidR="00CB5DD0" w:rsidRPr="00454F5D" w:rsidRDefault="00CB5DD0" w:rsidP="00595384">
      <w:pPr>
        <w:jc w:val="both"/>
        <w:rPr>
          <w:rFonts w:ascii="Cambria" w:hAnsi="Cambria"/>
          <w:b/>
          <w:lang w:val="en-GB" w:eastAsia="en-US"/>
        </w:rPr>
      </w:pPr>
      <w:r w:rsidRPr="00454F5D">
        <w:rPr>
          <w:rFonts w:ascii="Cambria" w:hAnsi="Cambria"/>
          <w:b/>
          <w:lang w:val="en-GB" w:eastAsia="en-US"/>
        </w:rPr>
        <w:t>Q8. Do you agree with the approaches defined in Articles 11 to 16 to calculate the various categories of AVAs? If not, what other approach could be prescribed for each AVA? State your reasons.</w:t>
      </w:r>
    </w:p>
    <w:p w:rsidR="00CB5DD0" w:rsidRDefault="00CB5DD0" w:rsidP="00595384">
      <w:pPr>
        <w:jc w:val="both"/>
        <w:rPr>
          <w:rFonts w:ascii="Cambria" w:hAnsi="Cambria"/>
          <w:lang w:val="en-GB" w:eastAsia="en-US"/>
        </w:rPr>
      </w:pPr>
    </w:p>
    <w:p w:rsidR="00CB5DD0" w:rsidRDefault="00CB5DD0" w:rsidP="00595384">
      <w:pPr>
        <w:jc w:val="both"/>
        <w:rPr>
          <w:rFonts w:ascii="Cambria" w:hAnsi="Cambria"/>
          <w:lang w:val="en-GB" w:eastAsia="en-US"/>
        </w:rPr>
      </w:pPr>
      <w:r>
        <w:rPr>
          <w:rFonts w:ascii="Cambria" w:hAnsi="Cambria"/>
          <w:lang w:val="en-GB" w:eastAsia="en-US"/>
        </w:rPr>
        <w:t>We agree that “</w:t>
      </w:r>
      <w:r w:rsidRPr="00BA520F">
        <w:rPr>
          <w:rFonts w:ascii="Cambria" w:hAnsi="Cambria"/>
          <w:i/>
          <w:lang w:val="en-GB" w:eastAsia="en-US"/>
        </w:rPr>
        <w:t>alternative modelling and calibration approaches</w:t>
      </w:r>
      <w:r>
        <w:rPr>
          <w:rFonts w:ascii="Cambria" w:hAnsi="Cambria"/>
          <w:lang w:val="en-GB" w:eastAsia="en-US"/>
        </w:rPr>
        <w:t>“ are amongst the possible approaches to assess explicitly m</w:t>
      </w:r>
      <w:r w:rsidRPr="00295FB9">
        <w:rPr>
          <w:rFonts w:ascii="Cambria" w:hAnsi="Cambria"/>
          <w:lang w:val="en-GB" w:eastAsia="en-US"/>
        </w:rPr>
        <w:t>odel risk AVA</w:t>
      </w:r>
      <w:r>
        <w:rPr>
          <w:rFonts w:ascii="Cambria" w:hAnsi="Cambria"/>
          <w:lang w:val="en-GB" w:eastAsia="en-US"/>
        </w:rPr>
        <w:t>s from a theoretical standpoint. Care should be taken to keep alternative assumptions realistic and reasonable. Over simplified or obsolete modelling should also be avoided when performing this exercise.</w:t>
      </w:r>
    </w:p>
    <w:p w:rsidR="00CB5DD0" w:rsidRDefault="00CB5DD0" w:rsidP="00595384">
      <w:pPr>
        <w:jc w:val="both"/>
        <w:rPr>
          <w:rFonts w:ascii="Cambria" w:hAnsi="Cambria"/>
          <w:lang w:val="en-GB" w:eastAsia="en-US"/>
        </w:rPr>
      </w:pPr>
    </w:p>
    <w:p w:rsidR="00CB5DD0" w:rsidRDefault="00CB5DD0" w:rsidP="00595384">
      <w:pPr>
        <w:jc w:val="both"/>
        <w:rPr>
          <w:rFonts w:ascii="Cambria" w:hAnsi="Cambria"/>
          <w:lang w:val="en-GB" w:eastAsia="en-US"/>
        </w:rPr>
      </w:pPr>
      <w:r>
        <w:rPr>
          <w:rFonts w:ascii="Cambria" w:hAnsi="Cambria"/>
          <w:lang w:val="en-GB" w:eastAsia="en-US"/>
        </w:rPr>
        <w:t xml:space="preserve">Alternatively, a common and practical approach may consist of analysing prices dispersion of relevant exotic products observed on consensus service and/or collateral. Consequently, model risk would be entirely captured through and reported under market price uncertainty. </w:t>
      </w:r>
    </w:p>
    <w:p w:rsidR="00CB5DD0" w:rsidRDefault="00CB5DD0" w:rsidP="00595384">
      <w:pPr>
        <w:jc w:val="both"/>
        <w:rPr>
          <w:rFonts w:ascii="Cambria" w:hAnsi="Cambria"/>
          <w:lang w:val="en-GB" w:eastAsia="en-US"/>
        </w:rPr>
      </w:pPr>
    </w:p>
    <w:p w:rsidR="00CB5DD0" w:rsidRPr="00454F5D" w:rsidRDefault="00CB5DD0" w:rsidP="009164B8">
      <w:pPr>
        <w:jc w:val="both"/>
        <w:rPr>
          <w:rFonts w:ascii="Cambria" w:hAnsi="Cambria"/>
          <w:lang w:val="en-GB" w:eastAsia="en-US"/>
        </w:rPr>
      </w:pPr>
      <w:r>
        <w:rPr>
          <w:rFonts w:ascii="Cambria" w:hAnsi="Cambria"/>
          <w:lang w:val="en-GB" w:eastAsia="en-US"/>
        </w:rPr>
        <w:t xml:space="preserve">We believe that </w:t>
      </w:r>
      <w:r>
        <w:rPr>
          <w:rFonts w:ascii="Cambria" w:hAnsi="Cambria"/>
          <w:b/>
          <w:lang w:val="en-GB" w:eastAsia="en-US"/>
        </w:rPr>
        <w:t>f</w:t>
      </w:r>
      <w:r w:rsidRPr="00EA2812">
        <w:rPr>
          <w:rFonts w:ascii="Cambria" w:hAnsi="Cambria"/>
          <w:b/>
          <w:lang w:val="en-GB" w:eastAsia="en-US"/>
        </w:rPr>
        <w:t>unding cost  AVAs</w:t>
      </w:r>
      <w:r>
        <w:rPr>
          <w:rFonts w:ascii="Cambria" w:hAnsi="Cambria"/>
          <w:lang w:val="en-GB" w:eastAsia="en-US"/>
        </w:rPr>
        <w:t xml:space="preserve"> for non strongly collateralized derivatives should be assessed over a reasonably conservative estimate of the effective lifetime of the portfolio.  Calculation based on contractual lifetime may lead to unrealistic results.  Also, calculation should not be performed by trade in isolation but at a portfolio level. </w:t>
      </w:r>
    </w:p>
    <w:p w:rsidR="00CB5DD0" w:rsidRPr="00454F5D" w:rsidRDefault="00CB5DD0" w:rsidP="00E37854">
      <w:pPr>
        <w:jc w:val="both"/>
        <w:rPr>
          <w:rFonts w:ascii="Cambria" w:hAnsi="Cambria"/>
          <w:lang w:val="en-GB" w:eastAsia="en-US"/>
        </w:rPr>
      </w:pPr>
    </w:p>
    <w:p w:rsidR="00CB5DD0" w:rsidRPr="00E37854" w:rsidRDefault="00CB5DD0" w:rsidP="009164B8">
      <w:pPr>
        <w:jc w:val="both"/>
        <w:rPr>
          <w:rFonts w:ascii="Cambria" w:hAnsi="Cambria"/>
          <w:lang w:val="en-GB" w:eastAsia="en-US"/>
        </w:rPr>
      </w:pPr>
      <w:r w:rsidRPr="006346A1">
        <w:rPr>
          <w:rFonts w:ascii="Cambria" w:hAnsi="Cambria"/>
          <w:b/>
          <w:lang w:val="en-GB" w:eastAsia="en-US"/>
        </w:rPr>
        <w:t>Future administrative costs AVAs</w:t>
      </w:r>
      <w:r>
        <w:rPr>
          <w:rFonts w:ascii="Cambria" w:hAnsi="Cambria"/>
          <w:lang w:val="en-GB" w:eastAsia="en-US"/>
        </w:rPr>
        <w:t xml:space="preserve"> should be limited to legacy/hard-to-exit portfolios and deemed irrelevant in respect of tradable products. </w:t>
      </w:r>
      <w:r w:rsidRPr="00454F5D">
        <w:rPr>
          <w:rFonts w:ascii="Cambria" w:hAnsi="Cambria"/>
          <w:lang w:val="en-GB" w:eastAsia="en-US"/>
        </w:rPr>
        <w:t xml:space="preserve"> </w:t>
      </w:r>
    </w:p>
    <w:p w:rsidR="00CB5DD0" w:rsidRPr="00454F5D" w:rsidRDefault="00CB5DD0" w:rsidP="00595384">
      <w:pPr>
        <w:jc w:val="both"/>
        <w:rPr>
          <w:rFonts w:ascii="Cambria" w:hAnsi="Cambria"/>
          <w:lang w:val="en-GB" w:eastAsia="en-US"/>
        </w:rPr>
      </w:pPr>
    </w:p>
    <w:p w:rsidR="00CB5DD0" w:rsidRPr="00BA520F" w:rsidRDefault="00CB5DD0" w:rsidP="00BA520F">
      <w:pPr>
        <w:jc w:val="both"/>
        <w:rPr>
          <w:rFonts w:ascii="Cambria" w:hAnsi="Cambria"/>
          <w:u w:val="single"/>
          <w:lang w:val="en-GB" w:eastAsia="en-US"/>
        </w:rPr>
      </w:pPr>
      <w:r>
        <w:rPr>
          <w:rFonts w:ascii="Cambria" w:hAnsi="Cambria"/>
          <w:lang w:val="en-GB" w:eastAsia="en-US"/>
        </w:rPr>
        <w:t xml:space="preserve">We reiterate that </w:t>
      </w:r>
      <w:r>
        <w:rPr>
          <w:rFonts w:ascii="Cambria" w:hAnsi="Cambria"/>
          <w:b/>
          <w:lang w:val="en-GB" w:eastAsia="en-US"/>
        </w:rPr>
        <w:t>o</w:t>
      </w:r>
      <w:r w:rsidRPr="004E67BB">
        <w:rPr>
          <w:rFonts w:ascii="Cambria" w:hAnsi="Cambria"/>
          <w:b/>
          <w:lang w:val="en-GB" w:eastAsia="en-US"/>
        </w:rPr>
        <w:t>perational risk</w:t>
      </w:r>
      <w:r>
        <w:rPr>
          <w:rFonts w:ascii="Cambria" w:hAnsi="Cambria"/>
          <w:lang w:val="en-GB" w:eastAsia="en-US"/>
        </w:rPr>
        <w:t xml:space="preserve"> </w:t>
      </w:r>
      <w:r w:rsidRPr="004E67BB">
        <w:rPr>
          <w:rFonts w:ascii="Cambria" w:hAnsi="Cambria"/>
          <w:b/>
          <w:lang w:val="en-GB" w:eastAsia="en-US"/>
        </w:rPr>
        <w:t>AVAs</w:t>
      </w:r>
      <w:r>
        <w:rPr>
          <w:rFonts w:ascii="Cambria" w:hAnsi="Cambria"/>
          <w:lang w:val="en-GB" w:eastAsia="en-US"/>
        </w:rPr>
        <w:t xml:space="preserve"> should be out of scope. </w:t>
      </w:r>
      <w:r w:rsidRPr="00BA520F">
        <w:rPr>
          <w:rFonts w:ascii="Cambria" w:hAnsi="Cambria"/>
          <w:lang w:val="en-GB" w:eastAsia="en-US"/>
        </w:rPr>
        <w:t>Operational risk should be capitalised through the operational risk capital charge.  There are operational risks associated with the measurement of all capital charges, and it is unclear to us why there would be explicit consideration of operational risk in the prudent valuation framework when this is not apparent in other capital charges (market risk, credit risk etc.). Finally,</w:t>
      </w:r>
      <w:r>
        <w:rPr>
          <w:rFonts w:ascii="Cambria" w:hAnsi="Cambria"/>
          <w:u w:val="single"/>
          <w:lang w:val="en-GB" w:eastAsia="en-US"/>
        </w:rPr>
        <w:t xml:space="preserve"> </w:t>
      </w:r>
      <w:r>
        <w:rPr>
          <w:rFonts w:ascii="Cambria" w:hAnsi="Cambria"/>
          <w:lang w:val="en-GB" w:eastAsia="en-US"/>
        </w:rPr>
        <w:t>the proposed 10% charge is arbitrary and provides no incentive to improve the valuation framework</w:t>
      </w:r>
    </w:p>
    <w:p w:rsidR="00CB5DD0" w:rsidRDefault="00CB5DD0" w:rsidP="00595384">
      <w:pPr>
        <w:jc w:val="both"/>
        <w:rPr>
          <w:rFonts w:ascii="Cambria" w:hAnsi="Cambria"/>
          <w:lang w:val="en-GB" w:eastAsia="en-US"/>
        </w:rPr>
      </w:pPr>
    </w:p>
    <w:p w:rsidR="00CB5DD0" w:rsidRPr="003A30D4" w:rsidRDefault="00CB5DD0" w:rsidP="00595384">
      <w:pPr>
        <w:jc w:val="both"/>
        <w:rPr>
          <w:rFonts w:ascii="Cambria" w:hAnsi="Cambria"/>
          <w:lang w:val="en-GB" w:eastAsia="en-US"/>
        </w:rPr>
      </w:pPr>
    </w:p>
    <w:p w:rsidR="00CB5DD0" w:rsidRPr="00454F5D" w:rsidRDefault="00CB5DD0" w:rsidP="00595384">
      <w:pPr>
        <w:jc w:val="both"/>
        <w:rPr>
          <w:rFonts w:ascii="Cambria" w:hAnsi="Cambria"/>
          <w:b/>
          <w:lang w:val="en-GB" w:eastAsia="en-US"/>
        </w:rPr>
      </w:pPr>
      <w:r w:rsidRPr="00454F5D">
        <w:rPr>
          <w:rFonts w:ascii="Cambria" w:hAnsi="Cambria"/>
          <w:b/>
          <w:lang w:val="en-GB" w:eastAsia="en-US"/>
        </w:rPr>
        <w:t xml:space="preserve">Q9. Are there cases where the above AVAs may have a zero value that could be defined in the RTS? If yes, please specify. </w:t>
      </w:r>
    </w:p>
    <w:p w:rsidR="00CB5DD0" w:rsidRPr="00454F5D" w:rsidRDefault="00CB5DD0" w:rsidP="00595384">
      <w:pPr>
        <w:jc w:val="both"/>
        <w:rPr>
          <w:rFonts w:ascii="Cambria" w:hAnsi="Cambria"/>
          <w:lang w:val="en-GB" w:eastAsia="en-US"/>
        </w:rPr>
      </w:pPr>
    </w:p>
    <w:p w:rsidR="00CB5DD0" w:rsidRDefault="00CB5DD0" w:rsidP="00595384">
      <w:pPr>
        <w:jc w:val="both"/>
        <w:rPr>
          <w:rFonts w:ascii="Cambria" w:hAnsi="Cambria"/>
          <w:lang w:val="en-GB" w:eastAsia="en-US"/>
        </w:rPr>
      </w:pPr>
      <w:r>
        <w:rPr>
          <w:rFonts w:ascii="Cambria" w:hAnsi="Cambria"/>
          <w:lang w:val="en-GB" w:eastAsia="en-US"/>
        </w:rPr>
        <w:t xml:space="preserve">We do not see any benefit in specifying specific assets that would have a zero value. </w:t>
      </w:r>
    </w:p>
    <w:p w:rsidR="00CB5DD0" w:rsidRDefault="00CB5DD0" w:rsidP="00595384">
      <w:pPr>
        <w:jc w:val="both"/>
        <w:rPr>
          <w:rFonts w:ascii="Cambria" w:hAnsi="Cambria"/>
          <w:lang w:val="en-GB" w:eastAsia="en-US"/>
        </w:rPr>
      </w:pPr>
    </w:p>
    <w:p w:rsidR="00CB5DD0" w:rsidRPr="00454F5D" w:rsidRDefault="00CB5DD0" w:rsidP="009164B8">
      <w:pPr>
        <w:jc w:val="both"/>
        <w:rPr>
          <w:rFonts w:ascii="Cambria" w:hAnsi="Cambria"/>
          <w:lang w:val="en-GB" w:eastAsia="en-US"/>
        </w:rPr>
      </w:pPr>
      <w:r>
        <w:rPr>
          <w:rFonts w:ascii="Cambria" w:hAnsi="Cambria"/>
          <w:lang w:val="en-GB" w:eastAsia="en-US"/>
        </w:rPr>
        <w:t xml:space="preserve">We agree with the principle that liquid assets should have zero AVA. </w:t>
      </w:r>
    </w:p>
    <w:p w:rsidR="00CB5DD0" w:rsidRPr="00454F5D" w:rsidRDefault="00CB5DD0" w:rsidP="00595384">
      <w:pPr>
        <w:jc w:val="both"/>
        <w:rPr>
          <w:rFonts w:ascii="Cambria" w:hAnsi="Cambria"/>
          <w:lang w:val="en-GB" w:eastAsia="en-US"/>
        </w:rPr>
      </w:pPr>
    </w:p>
    <w:p w:rsidR="00CB5DD0" w:rsidRDefault="00CB5DD0" w:rsidP="00595384">
      <w:pPr>
        <w:jc w:val="both"/>
        <w:rPr>
          <w:rFonts w:ascii="Cambria" w:hAnsi="Cambria"/>
          <w:lang w:val="en-GB" w:eastAsia="en-US"/>
        </w:rPr>
      </w:pPr>
      <w:r>
        <w:rPr>
          <w:rFonts w:ascii="Cambria" w:hAnsi="Cambria"/>
          <w:lang w:val="en-GB" w:eastAsia="en-US"/>
        </w:rPr>
        <w:t xml:space="preserve">AVAs should not be calculated for </w:t>
      </w:r>
      <w:r w:rsidRPr="00454F5D">
        <w:rPr>
          <w:rFonts w:ascii="Cambria" w:hAnsi="Cambria"/>
          <w:lang w:val="en-GB" w:eastAsia="en-US"/>
        </w:rPr>
        <w:t xml:space="preserve">own credit </w:t>
      </w:r>
      <w:r>
        <w:rPr>
          <w:rFonts w:ascii="Cambria" w:hAnsi="Cambria"/>
          <w:lang w:val="en-GB" w:eastAsia="en-US"/>
        </w:rPr>
        <w:t xml:space="preserve">spread and </w:t>
      </w:r>
      <w:r w:rsidRPr="00454F5D">
        <w:rPr>
          <w:rFonts w:ascii="Cambria" w:hAnsi="Cambria"/>
          <w:lang w:val="en-GB" w:eastAsia="en-US"/>
        </w:rPr>
        <w:t xml:space="preserve">debit valuation adjustment </w:t>
      </w:r>
      <w:r>
        <w:rPr>
          <w:rFonts w:ascii="Cambria" w:hAnsi="Cambria"/>
          <w:lang w:val="en-GB" w:eastAsia="en-US"/>
        </w:rPr>
        <w:t>exposures as they are already filtered from CET1.</w:t>
      </w:r>
    </w:p>
    <w:p w:rsidR="00CB5DD0" w:rsidRDefault="00CB5DD0" w:rsidP="00595384">
      <w:pPr>
        <w:jc w:val="both"/>
        <w:rPr>
          <w:rFonts w:ascii="Cambria" w:hAnsi="Cambria"/>
          <w:lang w:val="en-GB" w:eastAsia="en-US"/>
        </w:rPr>
      </w:pPr>
    </w:p>
    <w:p w:rsidR="00CB5DD0" w:rsidRPr="005251DB" w:rsidRDefault="00CB5DD0" w:rsidP="00595384">
      <w:pPr>
        <w:jc w:val="both"/>
        <w:rPr>
          <w:rFonts w:ascii="Cambria" w:hAnsi="Cambria"/>
          <w:lang w:val="en-GB" w:eastAsia="en-US"/>
        </w:rPr>
      </w:pPr>
    </w:p>
    <w:p w:rsidR="00CB5DD0" w:rsidRPr="00EA05A1" w:rsidRDefault="00CB5DD0" w:rsidP="00595384">
      <w:pPr>
        <w:jc w:val="both"/>
        <w:rPr>
          <w:rFonts w:ascii="Cambria" w:hAnsi="Cambria"/>
          <w:b/>
          <w:lang w:val="en-GB" w:eastAsia="en-US"/>
        </w:rPr>
      </w:pPr>
      <w:r w:rsidRPr="005251DB">
        <w:rPr>
          <w:rFonts w:ascii="Cambria" w:hAnsi="Cambria"/>
          <w:b/>
          <w:lang w:val="en-GB" w:eastAsia="en-US"/>
        </w:rPr>
        <w:t>Q10. Do you agree with the approach defined above for the aggregation of valuation exposure level AVAs within the market price uncertainty and close-out cost AVA ca</w:t>
      </w:r>
      <w:r w:rsidRPr="00EA05A1">
        <w:rPr>
          <w:rFonts w:ascii="Cambria" w:hAnsi="Cambria"/>
          <w:b/>
          <w:lang w:val="en-GB" w:eastAsia="en-US"/>
        </w:rPr>
        <w:t>tegories? If not, what other approach could be prescribed? State your reasons.</w:t>
      </w:r>
    </w:p>
    <w:p w:rsidR="00CB5DD0" w:rsidRPr="00454F5D" w:rsidRDefault="00CB5DD0" w:rsidP="00595384">
      <w:pPr>
        <w:jc w:val="both"/>
        <w:rPr>
          <w:rFonts w:ascii="Cambria" w:hAnsi="Cambria"/>
          <w:lang w:val="en-GB" w:eastAsia="en-US"/>
        </w:rPr>
      </w:pPr>
    </w:p>
    <w:p w:rsidR="00CB5DD0" w:rsidRDefault="00CB5DD0" w:rsidP="00595384">
      <w:pPr>
        <w:jc w:val="both"/>
        <w:rPr>
          <w:rFonts w:ascii="Cambria" w:hAnsi="Cambria"/>
          <w:lang w:val="en-GB" w:eastAsia="en-US"/>
        </w:rPr>
      </w:pPr>
      <w:r w:rsidRPr="00E37854">
        <w:rPr>
          <w:rFonts w:ascii="Cambria" w:hAnsi="Cambria"/>
          <w:lang w:val="en-GB" w:eastAsia="en-US"/>
        </w:rPr>
        <w:t>W</w:t>
      </w:r>
      <w:r>
        <w:rPr>
          <w:rFonts w:ascii="Cambria" w:hAnsi="Cambria"/>
          <w:lang w:val="en-GB" w:eastAsia="en-US"/>
        </w:rPr>
        <w:t>e support the proposed level of diversification (50%) which looks consistent with the low level of correlation between uncertainties (</w:t>
      </w:r>
      <w:r>
        <w:rPr>
          <w:rFonts w:ascii="Cambria" w:hAnsi="Cambria"/>
          <w:sz w:val="20"/>
          <w:lang w:val="en-GB" w:eastAsia="en-US"/>
        </w:rPr>
        <w:t>25%)</w:t>
      </w:r>
      <w:r>
        <w:rPr>
          <w:rFonts w:ascii="Cambria" w:hAnsi="Cambria"/>
          <w:lang w:val="en-GB" w:eastAsia="en-US"/>
        </w:rPr>
        <w:t xml:space="preserve"> that one may observe from consensus data.</w:t>
      </w:r>
    </w:p>
    <w:p w:rsidR="00CB5DD0" w:rsidRDefault="00CB5DD0" w:rsidP="00595384">
      <w:pPr>
        <w:jc w:val="both"/>
        <w:rPr>
          <w:rFonts w:ascii="Cambria" w:hAnsi="Cambria"/>
          <w:lang w:val="en-GB" w:eastAsia="en-US"/>
        </w:rPr>
      </w:pPr>
    </w:p>
    <w:p w:rsidR="00CB5DD0" w:rsidRDefault="00CB5DD0" w:rsidP="009164B8">
      <w:pPr>
        <w:jc w:val="both"/>
        <w:rPr>
          <w:rFonts w:ascii="Cambria" w:hAnsi="Cambria"/>
          <w:lang w:val="en-GB" w:eastAsia="en-US"/>
        </w:rPr>
      </w:pPr>
      <w:r>
        <w:rPr>
          <w:rFonts w:ascii="Cambria" w:hAnsi="Cambria"/>
          <w:lang w:val="en-GB" w:eastAsia="en-US"/>
        </w:rPr>
        <w:t>We recognise that some more sophisticated in-house approaches could be developed but this would likely introduce further distortion amongst firms and would unnecessarily complicate the calculation process.  A flat multiplier seems therefore appropriate provided that it is not restricted to market price uncertainty and close out AVAs.</w:t>
      </w:r>
    </w:p>
    <w:p w:rsidR="00CB5DD0" w:rsidRDefault="00CB5DD0" w:rsidP="007629C8">
      <w:pPr>
        <w:jc w:val="both"/>
        <w:rPr>
          <w:rFonts w:ascii="Cambria" w:hAnsi="Cambria"/>
          <w:lang w:val="en-GB" w:eastAsia="en-US"/>
        </w:rPr>
      </w:pPr>
    </w:p>
    <w:p w:rsidR="00CB5DD0" w:rsidRPr="003E6640" w:rsidRDefault="00CB5DD0" w:rsidP="00595384">
      <w:pPr>
        <w:jc w:val="both"/>
        <w:rPr>
          <w:rFonts w:ascii="Cambria" w:hAnsi="Cambria"/>
          <w:b/>
          <w:lang w:val="en-GB" w:eastAsia="en-US"/>
        </w:rPr>
      </w:pPr>
      <w:r w:rsidRPr="00454F5D">
        <w:rPr>
          <w:rFonts w:ascii="Cambria" w:hAnsi="Cambria"/>
          <w:lang w:val="en-GB" w:eastAsia="en-US"/>
        </w:rPr>
        <w:br/>
      </w:r>
      <w:r w:rsidRPr="00EA05A1">
        <w:rPr>
          <w:rFonts w:ascii="Cambria" w:hAnsi="Cambria"/>
          <w:b/>
          <w:lang w:val="en-GB" w:eastAsia="en-US"/>
        </w:rPr>
        <w:t xml:space="preserve">Q11. Do you agree that category level AVAs described in Articles 11 to 16 within the core approach should </w:t>
      </w:r>
      <w:r w:rsidRPr="003E6640">
        <w:rPr>
          <w:rFonts w:ascii="Cambria" w:hAnsi="Cambria"/>
          <w:b/>
          <w:lang w:val="en-GB" w:eastAsia="en-US"/>
        </w:rPr>
        <w:t>be aggregated as a simple sum? If not, what other approach could be prescribed? State your reasons.</w:t>
      </w:r>
    </w:p>
    <w:p w:rsidR="00CB5DD0" w:rsidRPr="00454F5D" w:rsidRDefault="00CB5DD0" w:rsidP="00C17F0F">
      <w:pPr>
        <w:jc w:val="both"/>
        <w:rPr>
          <w:rFonts w:ascii="Cambria" w:hAnsi="Cambria"/>
          <w:lang w:val="en-GB" w:eastAsia="en-US"/>
        </w:rPr>
      </w:pPr>
    </w:p>
    <w:p w:rsidR="00CB5DD0" w:rsidRPr="005251DB" w:rsidRDefault="00CB5DD0" w:rsidP="00C17F0F">
      <w:pPr>
        <w:jc w:val="both"/>
        <w:rPr>
          <w:rFonts w:ascii="Cambria" w:hAnsi="Cambria"/>
          <w:lang w:val="en-GB" w:eastAsia="en-US"/>
        </w:rPr>
      </w:pPr>
      <w:r w:rsidRPr="00454F5D">
        <w:rPr>
          <w:rFonts w:ascii="Cambria" w:hAnsi="Cambria"/>
          <w:lang w:val="en-GB" w:eastAsia="en-US"/>
        </w:rPr>
        <w:t xml:space="preserve">We </w:t>
      </w:r>
      <w:r>
        <w:rPr>
          <w:rFonts w:ascii="Cambria" w:hAnsi="Cambria"/>
          <w:lang w:val="en-GB" w:eastAsia="en-US"/>
        </w:rPr>
        <w:t>strongly believe that</w:t>
      </w:r>
      <w:r w:rsidRPr="00454F5D">
        <w:rPr>
          <w:rFonts w:ascii="Cambria" w:hAnsi="Cambria"/>
          <w:lang w:val="en-GB" w:eastAsia="en-US"/>
        </w:rPr>
        <w:t xml:space="preserve"> the diversification</w:t>
      </w:r>
      <w:r>
        <w:rPr>
          <w:rFonts w:ascii="Cambria" w:hAnsi="Cambria"/>
          <w:lang w:val="en-GB" w:eastAsia="en-US"/>
        </w:rPr>
        <w:t xml:space="preserve"> benefit should be extended to both </w:t>
      </w:r>
      <w:r>
        <w:rPr>
          <w:rFonts w:ascii="Cambria" w:hAnsi="Cambria"/>
          <w:b/>
          <w:lang w:val="en-GB" w:eastAsia="en-US"/>
        </w:rPr>
        <w:t>m</w:t>
      </w:r>
      <w:r w:rsidRPr="00E64AAF">
        <w:rPr>
          <w:rFonts w:ascii="Cambria" w:hAnsi="Cambria"/>
          <w:b/>
          <w:lang w:val="en-GB" w:eastAsia="en-US"/>
        </w:rPr>
        <w:t xml:space="preserve">odel </w:t>
      </w:r>
      <w:r>
        <w:rPr>
          <w:rFonts w:ascii="Cambria" w:hAnsi="Cambria"/>
          <w:b/>
          <w:lang w:val="en-GB" w:eastAsia="en-US"/>
        </w:rPr>
        <w:t>r</w:t>
      </w:r>
      <w:r w:rsidRPr="00E64AAF">
        <w:rPr>
          <w:rFonts w:ascii="Cambria" w:hAnsi="Cambria"/>
          <w:b/>
          <w:lang w:val="en-GB" w:eastAsia="en-US"/>
        </w:rPr>
        <w:t>isk</w:t>
      </w:r>
      <w:r>
        <w:rPr>
          <w:rFonts w:ascii="Cambria" w:hAnsi="Cambria"/>
          <w:lang w:val="en-GB" w:eastAsia="en-US"/>
        </w:rPr>
        <w:t xml:space="preserve"> and </w:t>
      </w:r>
      <w:r>
        <w:rPr>
          <w:rFonts w:ascii="Cambria" w:hAnsi="Cambria"/>
          <w:b/>
          <w:lang w:val="en-GB" w:eastAsia="en-US"/>
        </w:rPr>
        <w:t>c</w:t>
      </w:r>
      <w:r w:rsidRPr="00E64AAF">
        <w:rPr>
          <w:rFonts w:ascii="Cambria" w:hAnsi="Cambria"/>
          <w:b/>
          <w:lang w:val="en-GB" w:eastAsia="en-US"/>
        </w:rPr>
        <w:t>oncentration AVAs</w:t>
      </w:r>
      <w:r w:rsidRPr="00454F5D">
        <w:rPr>
          <w:rFonts w:ascii="Cambria" w:hAnsi="Cambria"/>
          <w:lang w:val="en-GB" w:eastAsia="en-US"/>
        </w:rPr>
        <w:t xml:space="preserve">. </w:t>
      </w:r>
      <w:r>
        <w:rPr>
          <w:rFonts w:ascii="Cambria" w:hAnsi="Cambria"/>
          <w:lang w:val="en-GB" w:eastAsia="en-US"/>
        </w:rPr>
        <w:t xml:space="preserve"> </w:t>
      </w:r>
    </w:p>
    <w:p w:rsidR="00CB5DD0" w:rsidRDefault="00CB5DD0" w:rsidP="00595384">
      <w:pPr>
        <w:jc w:val="both"/>
        <w:rPr>
          <w:rFonts w:ascii="Cambria" w:hAnsi="Cambria"/>
          <w:b/>
          <w:lang w:val="en-GB" w:eastAsia="en-US"/>
        </w:rPr>
      </w:pPr>
    </w:p>
    <w:p w:rsidR="00CB5DD0" w:rsidRPr="008648BB" w:rsidRDefault="00CB5DD0" w:rsidP="001F7B06">
      <w:pPr>
        <w:jc w:val="both"/>
        <w:rPr>
          <w:rFonts w:ascii="Cambria" w:hAnsi="Cambria"/>
          <w:b/>
          <w:lang w:val="en-GB" w:eastAsia="en-US"/>
        </w:rPr>
      </w:pPr>
      <w:r>
        <w:rPr>
          <w:rFonts w:ascii="Cambria" w:hAnsi="Cambria"/>
          <w:lang w:val="en-GB" w:eastAsia="en-US"/>
        </w:rPr>
        <w:t>A</w:t>
      </w:r>
      <w:r w:rsidRPr="00616A6B">
        <w:rPr>
          <w:rFonts w:ascii="Cambria" w:hAnsi="Cambria"/>
          <w:lang w:val="en-GB" w:eastAsia="en-US"/>
        </w:rPr>
        <w:t>s stated in Q4,</w:t>
      </w:r>
      <w:r>
        <w:rPr>
          <w:rFonts w:ascii="Cambria" w:hAnsi="Cambria"/>
          <w:b/>
          <w:lang w:val="en-GB" w:eastAsia="en-US"/>
        </w:rPr>
        <w:t xml:space="preserve"> m</w:t>
      </w:r>
      <w:r w:rsidRPr="00E64AAF">
        <w:rPr>
          <w:rFonts w:ascii="Cambria" w:hAnsi="Cambria"/>
          <w:b/>
          <w:lang w:val="en-GB" w:eastAsia="en-US"/>
        </w:rPr>
        <w:t>odel risk AVAs</w:t>
      </w:r>
      <w:r>
        <w:rPr>
          <w:rFonts w:ascii="Cambria" w:hAnsi="Cambria"/>
          <w:b/>
          <w:lang w:val="en-GB" w:eastAsia="en-US"/>
        </w:rPr>
        <w:t xml:space="preserve"> </w:t>
      </w:r>
      <w:r>
        <w:rPr>
          <w:rFonts w:ascii="Cambria" w:hAnsi="Cambria"/>
          <w:lang w:val="en-GB" w:eastAsia="en-US"/>
        </w:rPr>
        <w:t>exhibit strong commonalities with market price uncertainties.  The logic, already accepted by EBA, that supports diversification benefit in market price uncertainty and close out AVAs applies equally to model risk AVAs.</w:t>
      </w:r>
    </w:p>
    <w:p w:rsidR="00CB5DD0" w:rsidRDefault="00CB5DD0" w:rsidP="00CD5D9A">
      <w:pPr>
        <w:jc w:val="both"/>
        <w:rPr>
          <w:rFonts w:ascii="Cambria" w:hAnsi="Cambria"/>
          <w:lang w:val="en-GB" w:eastAsia="en-US"/>
        </w:rPr>
      </w:pPr>
    </w:p>
    <w:p w:rsidR="00CB5DD0" w:rsidRPr="008D3079" w:rsidRDefault="00CB5DD0" w:rsidP="001F7B06">
      <w:pPr>
        <w:autoSpaceDE w:val="0"/>
        <w:autoSpaceDN w:val="0"/>
        <w:adjustRightInd w:val="0"/>
        <w:spacing w:line="240" w:lineRule="auto"/>
        <w:jc w:val="both"/>
        <w:rPr>
          <w:rFonts w:ascii="Cambria" w:hAnsi="Cambria" w:cs="Helv"/>
          <w:color w:val="000000"/>
          <w:lang w:val="en-GB" w:eastAsia="fr-FR"/>
        </w:rPr>
      </w:pPr>
      <w:r>
        <w:rPr>
          <w:rFonts w:ascii="Cambria" w:hAnsi="Cambria"/>
          <w:lang w:val="en-GB" w:eastAsia="en-US"/>
        </w:rPr>
        <w:t>In respect of concentration risk AVAs, t</w:t>
      </w:r>
      <w:r w:rsidRPr="002D4E96">
        <w:rPr>
          <w:rFonts w:ascii="Cambria" w:hAnsi="Cambria"/>
          <w:lang w:val="en-GB" w:eastAsia="en-US"/>
        </w:rPr>
        <w:t>he CP suggests VaR</w:t>
      </w:r>
      <w:r>
        <w:rPr>
          <w:rFonts w:ascii="Cambria" w:hAnsi="Cambria"/>
          <w:lang w:val="en-GB" w:eastAsia="en-US"/>
        </w:rPr>
        <w:t>-</w:t>
      </w:r>
      <w:r w:rsidRPr="002D4E96">
        <w:rPr>
          <w:rFonts w:ascii="Cambria" w:hAnsi="Cambria"/>
          <w:lang w:val="en-GB" w:eastAsia="en-US"/>
        </w:rPr>
        <w:t xml:space="preserve">like </w:t>
      </w:r>
      <w:r>
        <w:rPr>
          <w:rFonts w:ascii="Cambria" w:hAnsi="Cambria"/>
          <w:lang w:val="en-GB" w:eastAsia="en-US"/>
        </w:rPr>
        <w:t xml:space="preserve">measurement </w:t>
      </w:r>
      <w:r w:rsidRPr="002D4E96">
        <w:rPr>
          <w:rFonts w:ascii="Cambria" w:hAnsi="Cambria"/>
          <w:lang w:val="en-GB" w:eastAsia="en-US"/>
        </w:rPr>
        <w:t>techniques</w:t>
      </w:r>
      <w:r w:rsidRPr="002D4E96">
        <w:rPr>
          <w:rFonts w:ascii="Cambria" w:hAnsi="Cambria"/>
          <w:b/>
          <w:lang w:val="en-GB" w:eastAsia="en-US"/>
        </w:rPr>
        <w:t xml:space="preserve"> </w:t>
      </w:r>
      <w:r w:rsidRPr="000050B1">
        <w:rPr>
          <w:rFonts w:ascii="Cambria" w:hAnsi="Cambria"/>
          <w:bCs/>
          <w:lang w:val="en-GB" w:eastAsia="en-US"/>
        </w:rPr>
        <w:t>(</w:t>
      </w:r>
      <w:r w:rsidRPr="002D4E96">
        <w:rPr>
          <w:rFonts w:ascii="Cambria" w:hAnsi="Cambria"/>
          <w:b/>
          <w:lang w:val="en-GB" w:eastAsia="en-US"/>
        </w:rPr>
        <w:t>“</w:t>
      </w:r>
      <w:r w:rsidRPr="00AF26D0">
        <w:rPr>
          <w:rFonts w:ascii="Cambria" w:hAnsi="Cambria"/>
          <w:i/>
          <w:color w:val="000000"/>
          <w:lang w:val="en-US"/>
        </w:rPr>
        <w:t>a p</w:t>
      </w:r>
      <w:r w:rsidRPr="00AF26D0">
        <w:rPr>
          <w:rFonts w:ascii="Cambria" w:hAnsi="Cambria"/>
          <w:i/>
          <w:color w:val="000000"/>
          <w:spacing w:val="1"/>
          <w:lang w:val="en-US"/>
        </w:rPr>
        <w:t>r</w:t>
      </w:r>
      <w:r w:rsidRPr="00AF26D0">
        <w:rPr>
          <w:rFonts w:ascii="Cambria" w:hAnsi="Cambria"/>
          <w:i/>
          <w:color w:val="000000"/>
          <w:lang w:val="en-US"/>
        </w:rPr>
        <w:t>ud</w:t>
      </w:r>
      <w:r w:rsidRPr="00AF26D0">
        <w:rPr>
          <w:rFonts w:ascii="Cambria" w:hAnsi="Cambria"/>
          <w:i/>
          <w:color w:val="000000"/>
          <w:spacing w:val="-1"/>
          <w:lang w:val="en-US"/>
        </w:rPr>
        <w:t>e</w:t>
      </w:r>
      <w:r w:rsidRPr="00AF26D0">
        <w:rPr>
          <w:rFonts w:ascii="Cambria" w:hAnsi="Cambria"/>
          <w:i/>
          <w:color w:val="000000"/>
          <w:lang w:val="en-US"/>
        </w:rPr>
        <w:t>nt</w:t>
      </w:r>
      <w:r w:rsidRPr="00AF26D0">
        <w:rPr>
          <w:rFonts w:ascii="Cambria" w:hAnsi="Cambria"/>
          <w:i/>
          <w:color w:val="000000"/>
          <w:spacing w:val="2"/>
          <w:lang w:val="en-US"/>
        </w:rPr>
        <w:t xml:space="preserve"> </w:t>
      </w:r>
      <w:r w:rsidRPr="00AF26D0">
        <w:rPr>
          <w:rFonts w:ascii="Cambria" w:hAnsi="Cambria"/>
          <w:i/>
          <w:color w:val="000000"/>
          <w:spacing w:val="-1"/>
          <w:lang w:val="en-US"/>
        </w:rPr>
        <w:t>e</w:t>
      </w:r>
      <w:r w:rsidRPr="00AF26D0">
        <w:rPr>
          <w:rFonts w:ascii="Cambria" w:hAnsi="Cambria"/>
          <w:i/>
          <w:color w:val="000000"/>
          <w:spacing w:val="2"/>
          <w:lang w:val="en-US"/>
        </w:rPr>
        <w:t>x</w:t>
      </w:r>
      <w:r w:rsidRPr="00AF26D0">
        <w:rPr>
          <w:rFonts w:ascii="Cambria" w:hAnsi="Cambria"/>
          <w:i/>
          <w:color w:val="000000"/>
          <w:lang w:val="en-US"/>
        </w:rPr>
        <w:t>it</w:t>
      </w:r>
      <w:r w:rsidRPr="00AF26D0">
        <w:rPr>
          <w:rFonts w:ascii="Cambria" w:hAnsi="Cambria"/>
          <w:i/>
          <w:color w:val="000000"/>
          <w:spacing w:val="2"/>
          <w:lang w:val="en-US"/>
        </w:rPr>
        <w:t xml:space="preserve"> </w:t>
      </w:r>
      <w:r w:rsidRPr="00AF26D0">
        <w:rPr>
          <w:rFonts w:ascii="Cambria" w:hAnsi="Cambria"/>
          <w:i/>
          <w:color w:val="000000"/>
          <w:lang w:val="en-US"/>
        </w:rPr>
        <w:t>p</w:t>
      </w:r>
      <w:r w:rsidRPr="00AF26D0">
        <w:rPr>
          <w:rFonts w:ascii="Cambria" w:hAnsi="Cambria"/>
          <w:i/>
          <w:color w:val="000000"/>
          <w:spacing w:val="-1"/>
          <w:lang w:val="en-US"/>
        </w:rPr>
        <w:t>e</w:t>
      </w:r>
      <w:r w:rsidRPr="00AF26D0">
        <w:rPr>
          <w:rFonts w:ascii="Cambria" w:hAnsi="Cambria"/>
          <w:i/>
          <w:color w:val="000000"/>
          <w:lang w:val="en-US"/>
        </w:rPr>
        <w:t>riod</w:t>
      </w:r>
      <w:r w:rsidRPr="00AF26D0">
        <w:rPr>
          <w:rFonts w:ascii="Cambria" w:hAnsi="Cambria"/>
          <w:i/>
          <w:color w:val="000000"/>
          <w:spacing w:val="1"/>
          <w:lang w:val="en-US"/>
        </w:rPr>
        <w:t xml:space="preserve"> </w:t>
      </w:r>
      <w:r w:rsidRPr="00AF26D0">
        <w:rPr>
          <w:rFonts w:ascii="Cambria" w:hAnsi="Cambria"/>
          <w:i/>
          <w:color w:val="000000"/>
          <w:lang w:val="en-US"/>
        </w:rPr>
        <w:t>shall</w:t>
      </w:r>
      <w:r w:rsidRPr="00AF26D0">
        <w:rPr>
          <w:rFonts w:ascii="Cambria" w:hAnsi="Cambria"/>
          <w:i/>
          <w:color w:val="000000"/>
          <w:spacing w:val="2"/>
          <w:lang w:val="en-US"/>
        </w:rPr>
        <w:t xml:space="preserve"> </w:t>
      </w:r>
      <w:r w:rsidRPr="00AF26D0">
        <w:rPr>
          <w:rFonts w:ascii="Cambria" w:hAnsi="Cambria"/>
          <w:i/>
          <w:color w:val="000000"/>
          <w:lang w:val="en-US"/>
        </w:rPr>
        <w:t xml:space="preserve">be </w:t>
      </w:r>
      <w:r w:rsidRPr="00AF26D0">
        <w:rPr>
          <w:rFonts w:ascii="Cambria" w:hAnsi="Cambria"/>
          <w:i/>
          <w:color w:val="000000"/>
          <w:spacing w:val="-1"/>
          <w:lang w:val="en-US"/>
        </w:rPr>
        <w:t>e</w:t>
      </w:r>
      <w:r w:rsidRPr="00AF26D0">
        <w:rPr>
          <w:rFonts w:ascii="Cambria" w:hAnsi="Cambria"/>
          <w:i/>
          <w:color w:val="000000"/>
          <w:lang w:val="en-US"/>
        </w:rPr>
        <w:t>st</w:t>
      </w:r>
      <w:r w:rsidRPr="00AF26D0">
        <w:rPr>
          <w:rFonts w:ascii="Cambria" w:hAnsi="Cambria"/>
          <w:i/>
          <w:color w:val="000000"/>
          <w:spacing w:val="1"/>
          <w:lang w:val="en-US"/>
        </w:rPr>
        <w:t>i</w:t>
      </w:r>
      <w:r w:rsidRPr="00AF26D0">
        <w:rPr>
          <w:rFonts w:ascii="Cambria" w:hAnsi="Cambria"/>
          <w:i/>
          <w:color w:val="000000"/>
          <w:lang w:val="en-US"/>
        </w:rPr>
        <w:t>mat</w:t>
      </w:r>
      <w:r w:rsidRPr="00AF26D0">
        <w:rPr>
          <w:rFonts w:ascii="Cambria" w:hAnsi="Cambria"/>
          <w:i/>
          <w:color w:val="000000"/>
          <w:spacing w:val="-1"/>
          <w:lang w:val="en-US"/>
        </w:rPr>
        <w:t>e</w:t>
      </w:r>
      <w:r w:rsidRPr="00AF26D0">
        <w:rPr>
          <w:rFonts w:ascii="Cambria" w:hAnsi="Cambria"/>
          <w:i/>
          <w:color w:val="000000"/>
          <w:lang w:val="en-US"/>
        </w:rPr>
        <w:t>d</w:t>
      </w:r>
      <w:r w:rsidRPr="00AF26D0">
        <w:rPr>
          <w:rFonts w:ascii="Cambria" w:hAnsi="Cambria"/>
          <w:i/>
          <w:color w:val="000000"/>
          <w:spacing w:val="1"/>
          <w:lang w:val="en-US"/>
        </w:rPr>
        <w:t xml:space="preserve"> </w:t>
      </w:r>
      <w:r w:rsidRPr="00AF26D0">
        <w:rPr>
          <w:rFonts w:ascii="Cambria" w:hAnsi="Cambria"/>
          <w:i/>
          <w:color w:val="000000"/>
          <w:spacing w:val="-1"/>
          <w:lang w:val="en-US"/>
        </w:rPr>
        <w:t>a</w:t>
      </w:r>
      <w:r w:rsidRPr="00AF26D0">
        <w:rPr>
          <w:rFonts w:ascii="Cambria" w:hAnsi="Cambria"/>
          <w:i/>
          <w:color w:val="000000"/>
          <w:lang w:val="en-US"/>
        </w:rPr>
        <w:t>nd</w:t>
      </w:r>
      <w:r w:rsidRPr="00AF26D0">
        <w:rPr>
          <w:rFonts w:ascii="Cambria" w:hAnsi="Cambria"/>
          <w:i/>
          <w:color w:val="000000"/>
          <w:spacing w:val="4"/>
          <w:lang w:val="en-US"/>
        </w:rPr>
        <w:t xml:space="preserve"> </w:t>
      </w:r>
      <w:r w:rsidRPr="00AF26D0">
        <w:rPr>
          <w:rFonts w:ascii="Cambria" w:hAnsi="Cambria"/>
          <w:i/>
          <w:color w:val="000000"/>
          <w:spacing w:val="-1"/>
          <w:lang w:val="en-US"/>
        </w:rPr>
        <w:t>a</w:t>
      </w:r>
      <w:r w:rsidRPr="00AF26D0">
        <w:rPr>
          <w:rFonts w:ascii="Cambria" w:hAnsi="Cambria"/>
          <w:i/>
          <w:color w:val="000000"/>
          <w:lang w:val="en-US"/>
        </w:rPr>
        <w:t>n A</w:t>
      </w:r>
      <w:r w:rsidRPr="00AF26D0">
        <w:rPr>
          <w:rFonts w:ascii="Cambria" w:hAnsi="Cambria"/>
          <w:i/>
          <w:color w:val="000000"/>
          <w:spacing w:val="-1"/>
          <w:lang w:val="en-US"/>
        </w:rPr>
        <w:t>V</w:t>
      </w:r>
      <w:r w:rsidRPr="00AF26D0">
        <w:rPr>
          <w:rFonts w:ascii="Cambria" w:hAnsi="Cambria"/>
          <w:i/>
          <w:color w:val="000000"/>
          <w:lang w:val="en-US"/>
        </w:rPr>
        <w:t>A</w:t>
      </w:r>
      <w:r w:rsidRPr="00AF26D0">
        <w:rPr>
          <w:rFonts w:ascii="Cambria" w:hAnsi="Cambria"/>
          <w:i/>
          <w:color w:val="000000"/>
          <w:spacing w:val="7"/>
          <w:lang w:val="en-US"/>
        </w:rPr>
        <w:t xml:space="preserve"> </w:t>
      </w:r>
      <w:r w:rsidRPr="00AF26D0">
        <w:rPr>
          <w:rFonts w:ascii="Cambria" w:hAnsi="Cambria"/>
          <w:i/>
          <w:color w:val="000000"/>
          <w:lang w:val="en-US"/>
        </w:rPr>
        <w:t>shall</w:t>
      </w:r>
      <w:r w:rsidRPr="00AF26D0">
        <w:rPr>
          <w:rFonts w:ascii="Cambria" w:hAnsi="Cambria"/>
          <w:i/>
          <w:color w:val="000000"/>
          <w:spacing w:val="8"/>
          <w:lang w:val="en-US"/>
        </w:rPr>
        <w:t xml:space="preserve"> </w:t>
      </w:r>
      <w:r w:rsidRPr="00AF26D0">
        <w:rPr>
          <w:rFonts w:ascii="Cambria" w:hAnsi="Cambria"/>
          <w:i/>
          <w:color w:val="000000"/>
          <w:lang w:val="en-US"/>
        </w:rPr>
        <w:t>be</w:t>
      </w:r>
      <w:r w:rsidRPr="00AF26D0">
        <w:rPr>
          <w:rFonts w:ascii="Cambria" w:hAnsi="Cambria"/>
          <w:i/>
          <w:color w:val="000000"/>
          <w:spacing w:val="6"/>
          <w:lang w:val="en-US"/>
        </w:rPr>
        <w:t xml:space="preserve"> </w:t>
      </w:r>
      <w:r w:rsidRPr="00AF26D0">
        <w:rPr>
          <w:rFonts w:ascii="Cambria" w:hAnsi="Cambria"/>
          <w:i/>
          <w:color w:val="000000"/>
          <w:spacing w:val="-1"/>
          <w:lang w:val="en-US"/>
        </w:rPr>
        <w:t>e</w:t>
      </w:r>
      <w:r w:rsidRPr="00AF26D0">
        <w:rPr>
          <w:rFonts w:ascii="Cambria" w:hAnsi="Cambria"/>
          <w:i/>
          <w:color w:val="000000"/>
          <w:lang w:val="en-US"/>
        </w:rPr>
        <w:t>st</w:t>
      </w:r>
      <w:r w:rsidRPr="00AF26D0">
        <w:rPr>
          <w:rFonts w:ascii="Cambria" w:hAnsi="Cambria"/>
          <w:i/>
          <w:color w:val="000000"/>
          <w:spacing w:val="1"/>
          <w:lang w:val="en-US"/>
        </w:rPr>
        <w:t>i</w:t>
      </w:r>
      <w:r w:rsidRPr="00AF26D0">
        <w:rPr>
          <w:rFonts w:ascii="Cambria" w:hAnsi="Cambria"/>
          <w:i/>
          <w:color w:val="000000"/>
          <w:lang w:val="en-US"/>
        </w:rPr>
        <w:t>mat</w:t>
      </w:r>
      <w:r w:rsidRPr="00AF26D0">
        <w:rPr>
          <w:rFonts w:ascii="Cambria" w:hAnsi="Cambria"/>
          <w:i/>
          <w:color w:val="000000"/>
          <w:spacing w:val="-1"/>
          <w:lang w:val="en-US"/>
        </w:rPr>
        <w:t>e</w:t>
      </w:r>
      <w:r w:rsidRPr="00AF26D0">
        <w:rPr>
          <w:rFonts w:ascii="Cambria" w:hAnsi="Cambria"/>
          <w:i/>
          <w:color w:val="000000"/>
          <w:lang w:val="en-US"/>
        </w:rPr>
        <w:t>d</w:t>
      </w:r>
      <w:r w:rsidRPr="00AF26D0">
        <w:rPr>
          <w:rFonts w:ascii="Cambria" w:hAnsi="Cambria"/>
          <w:i/>
          <w:color w:val="000000"/>
          <w:spacing w:val="10"/>
          <w:lang w:val="en-US"/>
        </w:rPr>
        <w:t xml:space="preserve"> </w:t>
      </w:r>
      <w:r w:rsidRPr="00AF26D0">
        <w:rPr>
          <w:rFonts w:ascii="Cambria" w:hAnsi="Cambria"/>
          <w:i/>
          <w:color w:val="000000"/>
          <w:lang w:val="en-US"/>
        </w:rPr>
        <w:t>taking</w:t>
      </w:r>
      <w:r w:rsidRPr="00AF26D0">
        <w:rPr>
          <w:rFonts w:ascii="Cambria" w:hAnsi="Cambria"/>
          <w:i/>
          <w:color w:val="000000"/>
          <w:spacing w:val="5"/>
          <w:lang w:val="en-US"/>
        </w:rPr>
        <w:t xml:space="preserve"> </w:t>
      </w:r>
      <w:r w:rsidRPr="00AF26D0">
        <w:rPr>
          <w:rFonts w:ascii="Cambria" w:hAnsi="Cambria"/>
          <w:i/>
          <w:color w:val="000000"/>
          <w:lang w:val="en-US"/>
        </w:rPr>
        <w:t>in</w:t>
      </w:r>
      <w:r w:rsidRPr="00AF26D0">
        <w:rPr>
          <w:rFonts w:ascii="Cambria" w:hAnsi="Cambria"/>
          <w:i/>
          <w:color w:val="000000"/>
          <w:spacing w:val="1"/>
          <w:lang w:val="en-US"/>
        </w:rPr>
        <w:t>t</w:t>
      </w:r>
      <w:r w:rsidRPr="00AF26D0">
        <w:rPr>
          <w:rFonts w:ascii="Cambria" w:hAnsi="Cambria"/>
          <w:i/>
          <w:color w:val="000000"/>
          <w:lang w:val="en-US"/>
        </w:rPr>
        <w:t>o</w:t>
      </w:r>
      <w:r w:rsidRPr="00AF26D0">
        <w:rPr>
          <w:rFonts w:ascii="Cambria" w:hAnsi="Cambria"/>
          <w:i/>
          <w:color w:val="000000"/>
          <w:spacing w:val="7"/>
          <w:lang w:val="en-US"/>
        </w:rPr>
        <w:t xml:space="preserve"> </w:t>
      </w:r>
      <w:r w:rsidRPr="00AF26D0">
        <w:rPr>
          <w:rFonts w:ascii="Cambria" w:hAnsi="Cambria"/>
          <w:i/>
          <w:color w:val="000000"/>
          <w:spacing w:val="-1"/>
          <w:lang w:val="en-US"/>
        </w:rPr>
        <w:t>a</w:t>
      </w:r>
      <w:r w:rsidRPr="00AF26D0">
        <w:rPr>
          <w:rFonts w:ascii="Cambria" w:hAnsi="Cambria"/>
          <w:i/>
          <w:color w:val="000000"/>
          <w:spacing w:val="1"/>
          <w:lang w:val="en-US"/>
        </w:rPr>
        <w:t>c</w:t>
      </w:r>
      <w:r w:rsidRPr="00AF26D0">
        <w:rPr>
          <w:rFonts w:ascii="Cambria" w:hAnsi="Cambria"/>
          <w:i/>
          <w:color w:val="000000"/>
          <w:spacing w:val="-1"/>
          <w:lang w:val="en-US"/>
        </w:rPr>
        <w:t>c</w:t>
      </w:r>
      <w:r w:rsidRPr="00AF26D0">
        <w:rPr>
          <w:rFonts w:ascii="Cambria" w:hAnsi="Cambria"/>
          <w:i/>
          <w:color w:val="000000"/>
          <w:lang w:val="en-US"/>
        </w:rPr>
        <w:t>ount</w:t>
      </w:r>
      <w:r w:rsidRPr="00AF26D0">
        <w:rPr>
          <w:rFonts w:ascii="Cambria" w:hAnsi="Cambria"/>
          <w:i/>
          <w:color w:val="000000"/>
          <w:spacing w:val="8"/>
          <w:lang w:val="en-US"/>
        </w:rPr>
        <w:t xml:space="preserve"> </w:t>
      </w:r>
      <w:r w:rsidRPr="00AF26D0">
        <w:rPr>
          <w:rFonts w:ascii="Cambria" w:hAnsi="Cambria"/>
          <w:i/>
          <w:color w:val="000000"/>
          <w:lang w:val="en-US"/>
        </w:rPr>
        <w:t>the</w:t>
      </w:r>
      <w:r w:rsidRPr="00AF26D0">
        <w:rPr>
          <w:rFonts w:ascii="Cambria" w:hAnsi="Cambria"/>
          <w:i/>
          <w:color w:val="000000"/>
          <w:spacing w:val="7"/>
          <w:lang w:val="en-US"/>
        </w:rPr>
        <w:t xml:space="preserve"> </w:t>
      </w:r>
      <w:r w:rsidRPr="00AF26D0">
        <w:rPr>
          <w:rFonts w:ascii="Cambria" w:hAnsi="Cambria"/>
          <w:i/>
          <w:color w:val="000000"/>
          <w:lang w:val="en-US"/>
        </w:rPr>
        <w:t>volati</w:t>
      </w:r>
      <w:r w:rsidRPr="00AF26D0">
        <w:rPr>
          <w:rFonts w:ascii="Cambria" w:hAnsi="Cambria"/>
          <w:i/>
          <w:color w:val="000000"/>
          <w:spacing w:val="1"/>
          <w:lang w:val="en-US"/>
        </w:rPr>
        <w:t>l</w:t>
      </w:r>
      <w:r w:rsidRPr="00AF26D0">
        <w:rPr>
          <w:rFonts w:ascii="Cambria" w:hAnsi="Cambria"/>
          <w:i/>
          <w:color w:val="000000"/>
          <w:lang w:val="en-US"/>
        </w:rPr>
        <w:t>i</w:t>
      </w:r>
      <w:r w:rsidRPr="00AF26D0">
        <w:rPr>
          <w:rFonts w:ascii="Cambria" w:hAnsi="Cambria"/>
          <w:i/>
          <w:color w:val="000000"/>
          <w:spacing w:val="3"/>
          <w:lang w:val="en-US"/>
        </w:rPr>
        <w:t>t</w:t>
      </w:r>
      <w:r w:rsidRPr="00AF26D0">
        <w:rPr>
          <w:rFonts w:ascii="Cambria" w:hAnsi="Cambria"/>
          <w:i/>
          <w:color w:val="000000"/>
          <w:lang w:val="en-US"/>
        </w:rPr>
        <w:t>y of</w:t>
      </w:r>
      <w:r w:rsidRPr="00AF26D0">
        <w:rPr>
          <w:rFonts w:ascii="Cambria" w:hAnsi="Cambria"/>
          <w:i/>
          <w:color w:val="000000"/>
          <w:spacing w:val="7"/>
          <w:lang w:val="en-US"/>
        </w:rPr>
        <w:t xml:space="preserve"> </w:t>
      </w:r>
      <w:r w:rsidRPr="00AF26D0">
        <w:rPr>
          <w:rFonts w:ascii="Cambria" w:hAnsi="Cambria"/>
          <w:i/>
          <w:color w:val="000000"/>
          <w:lang w:val="en-US"/>
        </w:rPr>
        <w:t>the</w:t>
      </w:r>
      <w:r w:rsidRPr="00AF26D0">
        <w:rPr>
          <w:rFonts w:ascii="Cambria" w:hAnsi="Cambria"/>
          <w:i/>
          <w:color w:val="000000"/>
          <w:spacing w:val="12"/>
          <w:lang w:val="en-US"/>
        </w:rPr>
        <w:t xml:space="preserve"> </w:t>
      </w:r>
      <w:r w:rsidRPr="00AF26D0">
        <w:rPr>
          <w:rFonts w:ascii="Cambria" w:hAnsi="Cambria"/>
          <w:i/>
          <w:color w:val="000000"/>
          <w:spacing w:val="2"/>
          <w:lang w:val="en-US"/>
        </w:rPr>
        <w:t>v</w:t>
      </w:r>
      <w:r w:rsidRPr="00AF26D0">
        <w:rPr>
          <w:rFonts w:ascii="Cambria" w:hAnsi="Cambria"/>
          <w:i/>
          <w:color w:val="000000"/>
          <w:spacing w:val="-1"/>
          <w:lang w:val="en-US"/>
        </w:rPr>
        <w:t>a</w:t>
      </w:r>
      <w:r w:rsidRPr="00AF26D0">
        <w:rPr>
          <w:rFonts w:ascii="Cambria" w:hAnsi="Cambria"/>
          <w:i/>
          <w:color w:val="000000"/>
          <w:lang w:val="en-US"/>
        </w:rPr>
        <w:t>luation</w:t>
      </w:r>
      <w:r w:rsidRPr="00AF26D0">
        <w:rPr>
          <w:rFonts w:ascii="Cambria" w:hAnsi="Cambria"/>
          <w:i/>
          <w:color w:val="000000"/>
          <w:spacing w:val="8"/>
          <w:lang w:val="en-US"/>
        </w:rPr>
        <w:t xml:space="preserve"> </w:t>
      </w:r>
      <w:r w:rsidRPr="00AF26D0">
        <w:rPr>
          <w:rFonts w:ascii="Cambria" w:hAnsi="Cambria"/>
          <w:i/>
          <w:color w:val="000000"/>
          <w:lang w:val="en-US"/>
        </w:rPr>
        <w:t>inpu</w:t>
      </w:r>
      <w:r w:rsidRPr="00AF26D0">
        <w:rPr>
          <w:rFonts w:ascii="Cambria" w:hAnsi="Cambria"/>
          <w:i/>
          <w:color w:val="000000"/>
          <w:spacing w:val="1"/>
          <w:lang w:val="en-US"/>
        </w:rPr>
        <w:t>t</w:t>
      </w:r>
      <w:r w:rsidRPr="002D4E96">
        <w:rPr>
          <w:rFonts w:ascii="Cambria" w:hAnsi="Cambria"/>
          <w:color w:val="000000"/>
          <w:spacing w:val="1"/>
          <w:lang w:val="en-US"/>
        </w:rPr>
        <w:t>”)</w:t>
      </w:r>
      <w:r>
        <w:rPr>
          <w:rFonts w:ascii="Cambria" w:hAnsi="Cambria"/>
          <w:color w:val="000000"/>
          <w:spacing w:val="1"/>
          <w:lang w:val="en-US"/>
        </w:rPr>
        <w:t xml:space="preserve">.  </w:t>
      </w:r>
      <w:r>
        <w:rPr>
          <w:rFonts w:ascii="Cambria" w:hAnsi="Cambria"/>
          <w:lang w:val="en-US" w:eastAsia="en-US"/>
        </w:rPr>
        <w:t>O</w:t>
      </w:r>
      <w:r>
        <w:rPr>
          <w:rFonts w:ascii="Cambria" w:hAnsi="Cambria"/>
          <w:lang w:val="en-GB" w:eastAsia="en-US"/>
        </w:rPr>
        <w:t xml:space="preserve">ne would therefore expect to observe a subsequent degree of diversification at firm </w:t>
      </w:r>
      <w:r w:rsidRPr="008D3079">
        <w:rPr>
          <w:rFonts w:ascii="Cambria" w:hAnsi="Cambria"/>
          <w:lang w:val="en-GB" w:eastAsia="en-US"/>
        </w:rPr>
        <w:t>level</w:t>
      </w:r>
      <w:r>
        <w:rPr>
          <w:rFonts w:ascii="Cambria" w:hAnsi="Cambria"/>
          <w:lang w:val="en-GB" w:eastAsia="en-US"/>
        </w:rPr>
        <w:t xml:space="preserve">. </w:t>
      </w:r>
      <w:r w:rsidRPr="008D3079">
        <w:rPr>
          <w:rFonts w:ascii="Cambria" w:hAnsi="Cambria"/>
          <w:lang w:val="en-GB" w:eastAsia="en-US"/>
        </w:rPr>
        <w:t xml:space="preserve">Similarly, we also observe that the Fundamental Review of Trading Book (Annex 4) explores the possible integration of illiquidity risk into internal models and explicitly recognizes the role of diversification. </w:t>
      </w:r>
      <w:r>
        <w:rPr>
          <w:rFonts w:ascii="Cambria" w:hAnsi="Cambria"/>
          <w:lang w:val="en-GB" w:eastAsia="en-US"/>
        </w:rPr>
        <w:t xml:space="preserve"> Fair value is determined in the context of orderly unwind rather than fire sale, and consequently one would anticipate realisation of diversification benefit during the unwind period.</w:t>
      </w:r>
    </w:p>
    <w:p w:rsidR="00CB5DD0" w:rsidRPr="008D3079" w:rsidRDefault="00CB5DD0" w:rsidP="008D3079">
      <w:pPr>
        <w:autoSpaceDE w:val="0"/>
        <w:autoSpaceDN w:val="0"/>
        <w:adjustRightInd w:val="0"/>
        <w:spacing w:line="240" w:lineRule="auto"/>
        <w:jc w:val="both"/>
        <w:rPr>
          <w:rFonts w:ascii="Cambria" w:hAnsi="Cambria" w:cs="Helv"/>
          <w:color w:val="000000"/>
          <w:lang w:val="en-GB" w:eastAsia="fr-FR"/>
        </w:rPr>
      </w:pPr>
    </w:p>
    <w:p w:rsidR="00CB5DD0" w:rsidRPr="008D3079" w:rsidRDefault="00CB5DD0" w:rsidP="00D3391B">
      <w:pPr>
        <w:jc w:val="both"/>
        <w:rPr>
          <w:rFonts w:ascii="Cambria" w:hAnsi="Cambria"/>
          <w:lang w:val="en-GB" w:eastAsia="en-US"/>
        </w:rPr>
      </w:pPr>
      <w:r w:rsidRPr="008D3079">
        <w:rPr>
          <w:rFonts w:ascii="Cambria" w:hAnsi="Cambria" w:cs="Helv"/>
          <w:color w:val="000000"/>
          <w:lang w:val="en-GB" w:eastAsia="fr-FR"/>
        </w:rPr>
        <w:t xml:space="preserve">A technical argument should also be </w:t>
      </w:r>
      <w:r>
        <w:rPr>
          <w:rFonts w:ascii="Cambria" w:hAnsi="Cambria" w:cs="Helv"/>
          <w:color w:val="000000"/>
          <w:lang w:val="en-GB" w:eastAsia="fr-FR"/>
        </w:rPr>
        <w:t>raised</w:t>
      </w:r>
      <w:r w:rsidRPr="008D3079">
        <w:rPr>
          <w:rFonts w:ascii="Cambria" w:hAnsi="Cambria" w:cs="Helv"/>
          <w:color w:val="000000"/>
          <w:lang w:val="en-GB" w:eastAsia="fr-FR"/>
        </w:rPr>
        <w:t xml:space="preserve">:  a </w:t>
      </w:r>
      <w:r>
        <w:rPr>
          <w:rFonts w:ascii="Cambria" w:hAnsi="Cambria" w:cs="Helv"/>
          <w:color w:val="000000"/>
          <w:lang w:val="en-GB" w:eastAsia="fr-FR"/>
        </w:rPr>
        <w:t>f</w:t>
      </w:r>
      <w:r w:rsidRPr="008D3079">
        <w:rPr>
          <w:rFonts w:ascii="Cambria" w:hAnsi="Cambria" w:cs="Helv"/>
          <w:color w:val="000000"/>
          <w:lang w:val="en-GB" w:eastAsia="fr-FR"/>
        </w:rPr>
        <w:t xml:space="preserve">irm could ask a pool of dealers to bid for a concentrated exposure and be in a position to derive an exit price at a 90% confidence level. The resulting close out AVAs would be classified as market price uncertainty and subsequently subject to a 50% haircut as per Article 17. </w:t>
      </w:r>
      <w:r>
        <w:rPr>
          <w:rFonts w:ascii="Cambria" w:hAnsi="Cambria" w:cs="Helv"/>
          <w:color w:val="000000"/>
          <w:lang w:val="en-GB" w:eastAsia="fr-FR"/>
        </w:rPr>
        <w:t>I</w:t>
      </w:r>
      <w:r w:rsidRPr="008D3079">
        <w:rPr>
          <w:rFonts w:ascii="Cambria" w:hAnsi="Cambria" w:cs="Helv"/>
          <w:color w:val="000000"/>
          <w:lang w:val="en-GB" w:eastAsia="fr-FR"/>
        </w:rPr>
        <w:t xml:space="preserve">t is desirable to avoid any </w:t>
      </w:r>
      <w:r>
        <w:rPr>
          <w:rFonts w:ascii="Cambria" w:hAnsi="Cambria" w:cs="Helv"/>
          <w:color w:val="000000"/>
          <w:lang w:val="en-GB" w:eastAsia="fr-FR"/>
        </w:rPr>
        <w:t xml:space="preserve">potential </w:t>
      </w:r>
      <w:r w:rsidRPr="008D3079">
        <w:rPr>
          <w:rFonts w:ascii="Cambria" w:hAnsi="Cambria" w:cs="Helv"/>
          <w:color w:val="000000"/>
          <w:lang w:val="en-GB" w:eastAsia="fr-FR"/>
        </w:rPr>
        <w:t>arbitrage across classification</w:t>
      </w:r>
      <w:r>
        <w:rPr>
          <w:rFonts w:ascii="Cambria" w:hAnsi="Cambria" w:cs="Helv"/>
          <w:color w:val="000000"/>
          <w:lang w:val="en-GB" w:eastAsia="fr-FR"/>
        </w:rPr>
        <w:t>,</w:t>
      </w:r>
      <w:r w:rsidRPr="008D3079">
        <w:rPr>
          <w:rFonts w:ascii="Cambria" w:hAnsi="Cambria" w:cs="Helv"/>
          <w:color w:val="000000"/>
          <w:lang w:val="en-GB" w:eastAsia="fr-FR"/>
        </w:rPr>
        <w:t xml:space="preserve"> and </w:t>
      </w:r>
      <w:r>
        <w:rPr>
          <w:rFonts w:ascii="Cambria" w:hAnsi="Cambria" w:cs="Helv"/>
          <w:color w:val="000000"/>
          <w:lang w:val="en-GB" w:eastAsia="fr-FR"/>
        </w:rPr>
        <w:t xml:space="preserve">hence </w:t>
      </w:r>
      <w:r w:rsidRPr="008D3079">
        <w:rPr>
          <w:rFonts w:ascii="Cambria" w:hAnsi="Cambria" w:cs="Helv"/>
          <w:color w:val="000000"/>
          <w:lang w:val="en-GB" w:eastAsia="fr-FR"/>
        </w:rPr>
        <w:t xml:space="preserve">adopt </w:t>
      </w:r>
      <w:r>
        <w:rPr>
          <w:rFonts w:ascii="Cambria" w:hAnsi="Cambria" w:cs="Helv"/>
          <w:color w:val="000000"/>
          <w:lang w:val="en-GB" w:eastAsia="fr-FR"/>
        </w:rPr>
        <w:t xml:space="preserve">a </w:t>
      </w:r>
      <w:r w:rsidRPr="008D3079">
        <w:rPr>
          <w:rFonts w:ascii="Cambria" w:hAnsi="Cambria" w:cs="Helv"/>
          <w:color w:val="000000"/>
          <w:lang w:val="en-GB" w:eastAsia="fr-FR"/>
        </w:rPr>
        <w:t xml:space="preserve">consistent </w:t>
      </w:r>
      <w:r>
        <w:rPr>
          <w:rFonts w:ascii="Cambria" w:hAnsi="Cambria" w:cs="Helv"/>
          <w:color w:val="000000"/>
          <w:lang w:val="en-GB" w:eastAsia="fr-FR"/>
        </w:rPr>
        <w:t>diversification approach.</w:t>
      </w:r>
    </w:p>
    <w:p w:rsidR="00CB5DD0" w:rsidRDefault="00CB5DD0" w:rsidP="00CD5D9A">
      <w:pPr>
        <w:jc w:val="both"/>
        <w:rPr>
          <w:rFonts w:ascii="Cambria" w:hAnsi="Cambria"/>
          <w:lang w:val="en-GB" w:eastAsia="en-US"/>
        </w:rPr>
      </w:pPr>
    </w:p>
    <w:p w:rsidR="00CB5DD0" w:rsidRPr="005251DB" w:rsidRDefault="00CB5DD0" w:rsidP="00595384">
      <w:pPr>
        <w:jc w:val="both"/>
        <w:rPr>
          <w:rFonts w:ascii="Cambria" w:hAnsi="Cambria"/>
          <w:b/>
          <w:lang w:val="en-GB" w:eastAsia="en-US"/>
        </w:rPr>
      </w:pPr>
    </w:p>
    <w:p w:rsidR="00CB5DD0" w:rsidRPr="003E6640" w:rsidRDefault="00CB5DD0" w:rsidP="00595384">
      <w:pPr>
        <w:jc w:val="both"/>
        <w:rPr>
          <w:rFonts w:ascii="Cambria" w:hAnsi="Cambria"/>
          <w:b/>
          <w:lang w:val="en-GB" w:eastAsia="en-US"/>
        </w:rPr>
      </w:pPr>
      <w:r w:rsidRPr="00EA05A1">
        <w:rPr>
          <w:rFonts w:ascii="Cambria" w:hAnsi="Cambria"/>
          <w:b/>
          <w:lang w:val="en-GB" w:eastAsia="en-US"/>
        </w:rPr>
        <w:t>Q12. Do you agree with the requirement for institutions using the core approach to implement the above ongoing</w:t>
      </w:r>
      <w:r w:rsidRPr="003E6640">
        <w:rPr>
          <w:rFonts w:ascii="Cambria" w:hAnsi="Cambria"/>
          <w:b/>
          <w:lang w:val="en-GB" w:eastAsia="en-US"/>
        </w:rPr>
        <w:t xml:space="preserve"> monitoring tool as an indicator of the adequacy of data sources of valuation inputs used to calculate the AVAs described in Articles 8 to 10? If not, what other approach could be prescribed? State your reasons.</w:t>
      </w:r>
    </w:p>
    <w:p w:rsidR="00CB5DD0" w:rsidRPr="00454F5D" w:rsidRDefault="00CB5DD0" w:rsidP="00610A0D">
      <w:pPr>
        <w:jc w:val="both"/>
        <w:rPr>
          <w:rFonts w:ascii="Cambria" w:hAnsi="Cambria"/>
          <w:lang w:val="en-GB" w:eastAsia="en-US"/>
        </w:rPr>
      </w:pPr>
    </w:p>
    <w:p w:rsidR="00CB5DD0" w:rsidRDefault="00CB5DD0" w:rsidP="00610A0D">
      <w:pPr>
        <w:jc w:val="both"/>
        <w:rPr>
          <w:rFonts w:ascii="Cambria" w:hAnsi="Cambria"/>
          <w:lang w:val="en-GB" w:eastAsia="en-US"/>
        </w:rPr>
      </w:pPr>
      <w:r w:rsidRPr="00E37854">
        <w:rPr>
          <w:rFonts w:ascii="Cambria" w:hAnsi="Cambria"/>
          <w:lang w:val="en-GB" w:eastAsia="en-US"/>
        </w:rPr>
        <w:t>We strongly disagree</w:t>
      </w:r>
      <w:r>
        <w:rPr>
          <w:rFonts w:ascii="Cambria" w:hAnsi="Cambria"/>
          <w:lang w:val="en-GB" w:eastAsia="en-US"/>
        </w:rPr>
        <w:t xml:space="preserve">. The proposed methodology is confusing and ineffective as parameters variability over time would materially distort the results. Moreover, the proposed back testing would require massive architecture changes.  </w:t>
      </w:r>
    </w:p>
    <w:p w:rsidR="00CB5DD0" w:rsidRDefault="00CB5DD0" w:rsidP="00610A0D">
      <w:pPr>
        <w:jc w:val="both"/>
        <w:rPr>
          <w:rFonts w:ascii="Cambria" w:hAnsi="Cambria"/>
          <w:lang w:val="en-GB" w:eastAsia="en-US"/>
        </w:rPr>
      </w:pPr>
    </w:p>
    <w:p w:rsidR="00CB5DD0" w:rsidRPr="005251DB" w:rsidRDefault="00CB5DD0" w:rsidP="00610A0D">
      <w:pPr>
        <w:jc w:val="both"/>
        <w:rPr>
          <w:rFonts w:ascii="Cambria" w:hAnsi="Cambria"/>
          <w:lang w:val="en-GB" w:eastAsia="en-US"/>
        </w:rPr>
      </w:pPr>
      <w:r>
        <w:rPr>
          <w:rFonts w:ascii="Cambria" w:hAnsi="Cambria"/>
          <w:lang w:val="en-GB" w:eastAsia="en-US"/>
        </w:rPr>
        <w:t xml:space="preserve">We advocate portfolio FVAs &amp; AVAs benchmarking through consensus or regulators’ surveys: we observe that Basel has undertaken </w:t>
      </w:r>
      <w:bookmarkStart w:id="17" w:name="_GoBack"/>
      <w:bookmarkEnd w:id="17"/>
      <w:r>
        <w:rPr>
          <w:rFonts w:ascii="Cambria" w:hAnsi="Cambria"/>
          <w:lang w:val="en-GB" w:eastAsia="en-US"/>
        </w:rPr>
        <w:t>a benchmarking on internal model which includes FVAs and AVAs returns for a set of portfolios. On-going comparative analysis between IPV, Bid Offer and AVAs should also be considered as a practical alternative for reasonableness testing. Additionally, a robust and detailed P&amp;L explain should be highlighting any remaining deficiencies. Finally, effective AVA’s corroboration is provided when examining collateral management data.</w:t>
      </w:r>
    </w:p>
    <w:p w:rsidR="00CB5DD0" w:rsidRPr="00EA05A1" w:rsidRDefault="00CB5DD0" w:rsidP="00595384">
      <w:pPr>
        <w:jc w:val="both"/>
        <w:rPr>
          <w:rFonts w:ascii="Cambria" w:hAnsi="Cambria"/>
          <w:b/>
          <w:lang w:val="en-GB" w:eastAsia="en-US"/>
        </w:rPr>
      </w:pPr>
    </w:p>
    <w:p w:rsidR="00CB5DD0" w:rsidRPr="003E6640" w:rsidRDefault="00CB5DD0" w:rsidP="00595384">
      <w:pPr>
        <w:jc w:val="both"/>
        <w:rPr>
          <w:rFonts w:ascii="Cambria" w:hAnsi="Cambria"/>
          <w:b/>
          <w:lang w:val="en-GB" w:eastAsia="en-US"/>
        </w:rPr>
      </w:pPr>
      <w:r w:rsidRPr="00EA05A1">
        <w:rPr>
          <w:rFonts w:ascii="Cambria" w:hAnsi="Cambria"/>
          <w:b/>
          <w:lang w:val="en-GB" w:eastAsia="en-US"/>
        </w:rPr>
        <w:t>Q13. Do you agree with our analysis of the impact of the proposals in this CP? If not, can you provide any evidence or data that would explain why you disagree or might further inform our analysis of the likely impacts of the proposals?</w:t>
      </w:r>
    </w:p>
    <w:p w:rsidR="00CB5DD0" w:rsidRDefault="00CB5DD0" w:rsidP="00610A0D">
      <w:pPr>
        <w:jc w:val="both"/>
        <w:rPr>
          <w:rFonts w:ascii="Cambria" w:hAnsi="Cambria"/>
          <w:lang w:val="en-GB" w:eastAsia="en-US"/>
        </w:rPr>
      </w:pPr>
    </w:p>
    <w:p w:rsidR="00CB5DD0" w:rsidRPr="00454F5D" w:rsidRDefault="00CB5DD0" w:rsidP="00610A0D">
      <w:pPr>
        <w:jc w:val="both"/>
        <w:rPr>
          <w:rFonts w:ascii="Cambria" w:hAnsi="Cambria"/>
          <w:lang w:val="en-GB" w:eastAsia="en-US"/>
        </w:rPr>
      </w:pPr>
      <w:r>
        <w:rPr>
          <w:rFonts w:ascii="Cambria" w:hAnsi="Cambria"/>
          <w:lang w:val="en-GB" w:eastAsia="en-US"/>
        </w:rPr>
        <w:t>We anticipate that significant systems modifications would be required to capture unrealized P&amp;L (as per article 7 of the core approach). Material development would also be necessary to comply with the on-going monitoring tool (as described in Article 20) and perform the specific 100 days volatility measures testing (Article 8&amp;9). As previously underscored, we have serious doubt regarding the benefit of such developments</w:t>
      </w:r>
    </w:p>
    <w:p w:rsidR="00CB5DD0" w:rsidRPr="00595384" w:rsidRDefault="00CB5DD0" w:rsidP="00595384">
      <w:pPr>
        <w:jc w:val="both"/>
        <w:rPr>
          <w:rFonts w:ascii="Cambria" w:hAnsi="Cambria"/>
          <w:b/>
          <w:lang w:val="en-GB" w:eastAsia="en-US"/>
        </w:rPr>
      </w:pPr>
    </w:p>
    <w:sectPr w:rsidR="00CB5DD0" w:rsidRPr="00595384" w:rsidSect="00D80822">
      <w:headerReference w:type="even" r:id="rId8"/>
      <w:headerReference w:type="default" r:id="rId9"/>
      <w:footerReference w:type="even" r:id="rId10"/>
      <w:footerReference w:type="default" r:id="rId11"/>
      <w:headerReference w:type="first" r:id="rId12"/>
      <w:footerReference w:type="first" r:id="rId13"/>
      <w:footnotePr>
        <w:numFmt w:val="lowerLetter"/>
      </w:footnotePr>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DD0" w:rsidRDefault="00CB5DD0" w:rsidP="008F655D">
      <w:pPr>
        <w:spacing w:line="240" w:lineRule="auto"/>
      </w:pPr>
      <w:r>
        <w:separator/>
      </w:r>
    </w:p>
  </w:endnote>
  <w:endnote w:type="continuationSeparator" w:id="0">
    <w:p w:rsidR="00CB5DD0" w:rsidRDefault="00CB5DD0" w:rsidP="008F65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HSBC CS01">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D0" w:rsidRDefault="00CB5D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D0" w:rsidRDefault="00CB5D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D0" w:rsidRDefault="00CB5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DD0" w:rsidRDefault="00CB5DD0" w:rsidP="008F655D">
      <w:pPr>
        <w:spacing w:line="240" w:lineRule="auto"/>
      </w:pPr>
      <w:r>
        <w:separator/>
      </w:r>
    </w:p>
  </w:footnote>
  <w:footnote w:type="continuationSeparator" w:id="0">
    <w:p w:rsidR="00CB5DD0" w:rsidRDefault="00CB5DD0" w:rsidP="008F655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D0" w:rsidRDefault="00CB5D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D0" w:rsidRPr="000050B1" w:rsidRDefault="00CB5DD0" w:rsidP="000050B1">
    <w:pPr>
      <w:tabs>
        <w:tab w:val="right" w:pos="8820"/>
      </w:tabs>
      <w:ind w:right="482"/>
      <w:rPr>
        <w:rFonts w:ascii="HSBC CS01" w:hAnsi="HSBC CS01"/>
        <w:sz w:val="72"/>
        <w:szCs w:val="72"/>
      </w:rPr>
    </w:pPr>
    <w:r w:rsidRPr="000050B1">
      <w:rPr>
        <w:rFonts w:ascii="HSBC CS01" w:hAnsi="HSBC CS01"/>
        <w:sz w:val="72"/>
        <w:szCs w:val="72"/>
      </w:rPr>
      <w:t></w:t>
    </w:r>
    <w:r w:rsidRPr="000050B1">
      <w:rPr>
        <w:rFonts w:ascii="HSBC CS01" w:hAnsi="HSBC CS01"/>
        <w:sz w:val="72"/>
        <w:szCs w:val="72"/>
      </w:rPr>
      <w:t></w:t>
    </w:r>
    <w:r w:rsidRPr="000050B1">
      <w:rPr>
        <w:rFonts w:ascii="HSBC CS01" w:hAnsi="HSBC CS01"/>
        <w:color w:val="FF0000"/>
        <w:sz w:val="72"/>
        <w:szCs w:val="72"/>
      </w:rPr>
      <w:t></w:t>
    </w:r>
  </w:p>
  <w:p w:rsidR="00CB5DD0" w:rsidRDefault="00CB5D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D0" w:rsidRDefault="00CB5D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FA8D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11C9AE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32A7B8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918BE2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88CA6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D2EC3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2025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1ACA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740FF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140912"/>
    <w:lvl w:ilvl="0">
      <w:start w:val="1"/>
      <w:numFmt w:val="bullet"/>
      <w:lvlText w:val=""/>
      <w:lvlJc w:val="left"/>
      <w:pPr>
        <w:tabs>
          <w:tab w:val="num" w:pos="360"/>
        </w:tabs>
        <w:ind w:left="360" w:hanging="360"/>
      </w:pPr>
      <w:rPr>
        <w:rFonts w:ascii="Symbol" w:hAnsi="Symbol" w:hint="default"/>
      </w:rPr>
    </w:lvl>
  </w:abstractNum>
  <w:abstractNum w:abstractNumId="10">
    <w:nsid w:val="01137755"/>
    <w:multiLevelType w:val="hybridMultilevel"/>
    <w:tmpl w:val="852EBBCC"/>
    <w:lvl w:ilvl="0" w:tplc="AFE456CA">
      <w:start w:val="1"/>
      <w:numFmt w:val="lowerLetter"/>
      <w:lvlText w:val="%1)"/>
      <w:lvlJc w:val="left"/>
      <w:pPr>
        <w:ind w:left="479" w:hanging="360"/>
      </w:pPr>
      <w:rPr>
        <w:rFonts w:cs="Times New Roman" w:hint="default"/>
      </w:rPr>
    </w:lvl>
    <w:lvl w:ilvl="1" w:tplc="08090019" w:tentative="1">
      <w:start w:val="1"/>
      <w:numFmt w:val="lowerLetter"/>
      <w:lvlText w:val="%2."/>
      <w:lvlJc w:val="left"/>
      <w:pPr>
        <w:ind w:left="1199" w:hanging="360"/>
      </w:pPr>
      <w:rPr>
        <w:rFonts w:cs="Times New Roman"/>
      </w:rPr>
    </w:lvl>
    <w:lvl w:ilvl="2" w:tplc="0809001B" w:tentative="1">
      <w:start w:val="1"/>
      <w:numFmt w:val="lowerRoman"/>
      <w:lvlText w:val="%3."/>
      <w:lvlJc w:val="right"/>
      <w:pPr>
        <w:ind w:left="1919" w:hanging="180"/>
      </w:pPr>
      <w:rPr>
        <w:rFonts w:cs="Times New Roman"/>
      </w:rPr>
    </w:lvl>
    <w:lvl w:ilvl="3" w:tplc="0809000F" w:tentative="1">
      <w:start w:val="1"/>
      <w:numFmt w:val="decimal"/>
      <w:lvlText w:val="%4."/>
      <w:lvlJc w:val="left"/>
      <w:pPr>
        <w:ind w:left="2639" w:hanging="360"/>
      </w:pPr>
      <w:rPr>
        <w:rFonts w:cs="Times New Roman"/>
      </w:rPr>
    </w:lvl>
    <w:lvl w:ilvl="4" w:tplc="08090019" w:tentative="1">
      <w:start w:val="1"/>
      <w:numFmt w:val="lowerLetter"/>
      <w:lvlText w:val="%5."/>
      <w:lvlJc w:val="left"/>
      <w:pPr>
        <w:ind w:left="3359" w:hanging="360"/>
      </w:pPr>
      <w:rPr>
        <w:rFonts w:cs="Times New Roman"/>
      </w:rPr>
    </w:lvl>
    <w:lvl w:ilvl="5" w:tplc="0809001B" w:tentative="1">
      <w:start w:val="1"/>
      <w:numFmt w:val="lowerRoman"/>
      <w:lvlText w:val="%6."/>
      <w:lvlJc w:val="right"/>
      <w:pPr>
        <w:ind w:left="4079" w:hanging="180"/>
      </w:pPr>
      <w:rPr>
        <w:rFonts w:cs="Times New Roman"/>
      </w:rPr>
    </w:lvl>
    <w:lvl w:ilvl="6" w:tplc="0809000F" w:tentative="1">
      <w:start w:val="1"/>
      <w:numFmt w:val="decimal"/>
      <w:lvlText w:val="%7."/>
      <w:lvlJc w:val="left"/>
      <w:pPr>
        <w:ind w:left="4799" w:hanging="360"/>
      </w:pPr>
      <w:rPr>
        <w:rFonts w:cs="Times New Roman"/>
      </w:rPr>
    </w:lvl>
    <w:lvl w:ilvl="7" w:tplc="08090019" w:tentative="1">
      <w:start w:val="1"/>
      <w:numFmt w:val="lowerLetter"/>
      <w:lvlText w:val="%8."/>
      <w:lvlJc w:val="left"/>
      <w:pPr>
        <w:ind w:left="5519" w:hanging="360"/>
      </w:pPr>
      <w:rPr>
        <w:rFonts w:cs="Times New Roman"/>
      </w:rPr>
    </w:lvl>
    <w:lvl w:ilvl="8" w:tplc="0809001B" w:tentative="1">
      <w:start w:val="1"/>
      <w:numFmt w:val="lowerRoman"/>
      <w:lvlText w:val="%9."/>
      <w:lvlJc w:val="right"/>
      <w:pPr>
        <w:ind w:left="6239" w:hanging="180"/>
      </w:pPr>
      <w:rPr>
        <w:rFonts w:cs="Times New Roman"/>
      </w:rPr>
    </w:lvl>
  </w:abstractNum>
  <w:abstractNum w:abstractNumId="11">
    <w:nsid w:val="01DC142E"/>
    <w:multiLevelType w:val="hybridMultilevel"/>
    <w:tmpl w:val="BF46884E"/>
    <w:lvl w:ilvl="0" w:tplc="040C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53F620C"/>
    <w:multiLevelType w:val="hybridMultilevel"/>
    <w:tmpl w:val="503C6BC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06BC7FCB"/>
    <w:multiLevelType w:val="hybridMultilevel"/>
    <w:tmpl w:val="D6D42A34"/>
    <w:lvl w:ilvl="0" w:tplc="040C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86C35F9"/>
    <w:multiLevelType w:val="hybridMultilevel"/>
    <w:tmpl w:val="AD52C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0BE3436C"/>
    <w:multiLevelType w:val="hybridMultilevel"/>
    <w:tmpl w:val="B532C9E8"/>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0C3925B1"/>
    <w:multiLevelType w:val="hybridMultilevel"/>
    <w:tmpl w:val="0A20CDFC"/>
    <w:lvl w:ilvl="0" w:tplc="A3687E6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94B0722"/>
    <w:multiLevelType w:val="hybridMultilevel"/>
    <w:tmpl w:val="C7F6C822"/>
    <w:lvl w:ilvl="0" w:tplc="A75A9FE6">
      <w:start w:val="1"/>
      <w:numFmt w:val="bullet"/>
      <w:lvlText w:val="-"/>
      <w:lvlJc w:val="left"/>
      <w:pPr>
        <w:ind w:left="720" w:hanging="360"/>
      </w:pPr>
      <w:rPr>
        <w:rFonts w:ascii="Times New Roman" w:eastAsia="MS Mincho"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9841EF6"/>
    <w:multiLevelType w:val="hybridMultilevel"/>
    <w:tmpl w:val="B454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EB59EC"/>
    <w:multiLevelType w:val="hybridMultilevel"/>
    <w:tmpl w:val="E49AA7E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1AF54F05"/>
    <w:multiLevelType w:val="hybridMultilevel"/>
    <w:tmpl w:val="4F5E3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BFE6A19"/>
    <w:multiLevelType w:val="hybridMultilevel"/>
    <w:tmpl w:val="14F4205E"/>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2">
    <w:nsid w:val="2CD93195"/>
    <w:multiLevelType w:val="hybridMultilevel"/>
    <w:tmpl w:val="BDA6047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36AF22F7"/>
    <w:multiLevelType w:val="hybridMultilevel"/>
    <w:tmpl w:val="36CCB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585B5A"/>
    <w:multiLevelType w:val="hybridMultilevel"/>
    <w:tmpl w:val="935A5178"/>
    <w:lvl w:ilvl="0" w:tplc="A3687E6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E8A57F6"/>
    <w:multiLevelType w:val="hybridMultilevel"/>
    <w:tmpl w:val="74C41A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49407CA"/>
    <w:multiLevelType w:val="hybridMultilevel"/>
    <w:tmpl w:val="E1B45D4E"/>
    <w:lvl w:ilvl="0" w:tplc="50289CA4">
      <w:start w:val="1"/>
      <w:numFmt w:val="lowerRoman"/>
      <w:lvlText w:val="%1)"/>
      <w:lvlJc w:val="left"/>
      <w:pPr>
        <w:ind w:left="1428" w:hanging="720"/>
      </w:pPr>
      <w:rPr>
        <w:rFonts w:cs="Times New Roman" w:hint="default"/>
      </w:rPr>
    </w:lvl>
    <w:lvl w:ilvl="1" w:tplc="08090019" w:tentative="1">
      <w:start w:val="1"/>
      <w:numFmt w:val="lowerLetter"/>
      <w:lvlText w:val="%2."/>
      <w:lvlJc w:val="left"/>
      <w:pPr>
        <w:ind w:left="1788" w:hanging="360"/>
      </w:pPr>
      <w:rPr>
        <w:rFonts w:cs="Times New Roman"/>
      </w:rPr>
    </w:lvl>
    <w:lvl w:ilvl="2" w:tplc="0809001B" w:tentative="1">
      <w:start w:val="1"/>
      <w:numFmt w:val="lowerRoman"/>
      <w:lvlText w:val="%3."/>
      <w:lvlJc w:val="right"/>
      <w:pPr>
        <w:ind w:left="2508" w:hanging="180"/>
      </w:pPr>
      <w:rPr>
        <w:rFonts w:cs="Times New Roman"/>
      </w:rPr>
    </w:lvl>
    <w:lvl w:ilvl="3" w:tplc="0809000F" w:tentative="1">
      <w:start w:val="1"/>
      <w:numFmt w:val="decimal"/>
      <w:lvlText w:val="%4."/>
      <w:lvlJc w:val="left"/>
      <w:pPr>
        <w:ind w:left="3228" w:hanging="360"/>
      </w:pPr>
      <w:rPr>
        <w:rFonts w:cs="Times New Roman"/>
      </w:rPr>
    </w:lvl>
    <w:lvl w:ilvl="4" w:tplc="08090019" w:tentative="1">
      <w:start w:val="1"/>
      <w:numFmt w:val="lowerLetter"/>
      <w:lvlText w:val="%5."/>
      <w:lvlJc w:val="left"/>
      <w:pPr>
        <w:ind w:left="3948" w:hanging="360"/>
      </w:pPr>
      <w:rPr>
        <w:rFonts w:cs="Times New Roman"/>
      </w:rPr>
    </w:lvl>
    <w:lvl w:ilvl="5" w:tplc="0809001B" w:tentative="1">
      <w:start w:val="1"/>
      <w:numFmt w:val="lowerRoman"/>
      <w:lvlText w:val="%6."/>
      <w:lvlJc w:val="right"/>
      <w:pPr>
        <w:ind w:left="4668" w:hanging="180"/>
      </w:pPr>
      <w:rPr>
        <w:rFonts w:cs="Times New Roman"/>
      </w:rPr>
    </w:lvl>
    <w:lvl w:ilvl="6" w:tplc="0809000F" w:tentative="1">
      <w:start w:val="1"/>
      <w:numFmt w:val="decimal"/>
      <w:lvlText w:val="%7."/>
      <w:lvlJc w:val="left"/>
      <w:pPr>
        <w:ind w:left="5388" w:hanging="360"/>
      </w:pPr>
      <w:rPr>
        <w:rFonts w:cs="Times New Roman"/>
      </w:rPr>
    </w:lvl>
    <w:lvl w:ilvl="7" w:tplc="08090019" w:tentative="1">
      <w:start w:val="1"/>
      <w:numFmt w:val="lowerLetter"/>
      <w:lvlText w:val="%8."/>
      <w:lvlJc w:val="left"/>
      <w:pPr>
        <w:ind w:left="6108" w:hanging="360"/>
      </w:pPr>
      <w:rPr>
        <w:rFonts w:cs="Times New Roman"/>
      </w:rPr>
    </w:lvl>
    <w:lvl w:ilvl="8" w:tplc="0809001B" w:tentative="1">
      <w:start w:val="1"/>
      <w:numFmt w:val="lowerRoman"/>
      <w:lvlText w:val="%9."/>
      <w:lvlJc w:val="right"/>
      <w:pPr>
        <w:ind w:left="6828" w:hanging="180"/>
      </w:pPr>
      <w:rPr>
        <w:rFonts w:cs="Times New Roman"/>
      </w:rPr>
    </w:lvl>
  </w:abstractNum>
  <w:abstractNum w:abstractNumId="27">
    <w:nsid w:val="56ED1160"/>
    <w:multiLevelType w:val="hybridMultilevel"/>
    <w:tmpl w:val="4852F94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BA17551"/>
    <w:multiLevelType w:val="hybridMultilevel"/>
    <w:tmpl w:val="F0F6BA4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9">
    <w:nsid w:val="61C21A8E"/>
    <w:multiLevelType w:val="hybridMultilevel"/>
    <w:tmpl w:val="3C5E30C6"/>
    <w:lvl w:ilvl="0" w:tplc="A3687E6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6CC76A4"/>
    <w:multiLevelType w:val="hybridMultilevel"/>
    <w:tmpl w:val="635880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7FC7282"/>
    <w:multiLevelType w:val="hybridMultilevel"/>
    <w:tmpl w:val="0970569C"/>
    <w:lvl w:ilvl="0" w:tplc="2EA039C8">
      <w:numFmt w:val="bullet"/>
      <w:lvlText w:val="-"/>
      <w:lvlJc w:val="left"/>
      <w:pPr>
        <w:ind w:left="720" w:hanging="360"/>
      </w:pPr>
      <w:rPr>
        <w:rFonts w:ascii="Times New Roman" w:eastAsia="MS Mincho"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C5C606D"/>
    <w:multiLevelType w:val="hybridMultilevel"/>
    <w:tmpl w:val="ED7A0CB4"/>
    <w:lvl w:ilvl="0" w:tplc="040C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C848C6"/>
    <w:multiLevelType w:val="hybridMultilevel"/>
    <w:tmpl w:val="55C4C542"/>
    <w:lvl w:ilvl="0" w:tplc="040C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BC439D"/>
    <w:multiLevelType w:val="hybridMultilevel"/>
    <w:tmpl w:val="38884420"/>
    <w:lvl w:ilvl="0" w:tplc="243A262A">
      <w:start w:val="1"/>
      <w:numFmt w:val="bullet"/>
      <w:lvlText w:val="•"/>
      <w:lvlJc w:val="left"/>
      <w:pPr>
        <w:tabs>
          <w:tab w:val="num" w:pos="360"/>
        </w:tabs>
        <w:ind w:left="360" w:hanging="360"/>
      </w:pPr>
      <w:rPr>
        <w:rFonts w:ascii="Times New Roman" w:hAnsi="Times New Roman" w:hint="default"/>
      </w:rPr>
    </w:lvl>
    <w:lvl w:ilvl="1" w:tplc="8282330E">
      <w:start w:val="168"/>
      <w:numFmt w:val="bullet"/>
      <w:lvlText w:val="•"/>
      <w:lvlJc w:val="left"/>
      <w:pPr>
        <w:tabs>
          <w:tab w:val="num" w:pos="1080"/>
        </w:tabs>
        <w:ind w:left="1080" w:hanging="360"/>
      </w:pPr>
      <w:rPr>
        <w:rFonts w:ascii="Times New Roman" w:hAnsi="Times New Roman" w:hint="default"/>
      </w:rPr>
    </w:lvl>
    <w:lvl w:ilvl="2" w:tplc="08AABD64">
      <w:start w:val="1"/>
      <w:numFmt w:val="bullet"/>
      <w:lvlText w:val="•"/>
      <w:lvlJc w:val="left"/>
      <w:pPr>
        <w:tabs>
          <w:tab w:val="num" w:pos="1800"/>
        </w:tabs>
        <w:ind w:left="1800" w:hanging="360"/>
      </w:pPr>
      <w:rPr>
        <w:rFonts w:ascii="Times New Roman" w:hAnsi="Times New Roman" w:hint="default"/>
      </w:rPr>
    </w:lvl>
    <w:lvl w:ilvl="3" w:tplc="5726E492" w:tentative="1">
      <w:start w:val="1"/>
      <w:numFmt w:val="bullet"/>
      <w:lvlText w:val="•"/>
      <w:lvlJc w:val="left"/>
      <w:pPr>
        <w:tabs>
          <w:tab w:val="num" w:pos="2520"/>
        </w:tabs>
        <w:ind w:left="2520" w:hanging="360"/>
      </w:pPr>
      <w:rPr>
        <w:rFonts w:ascii="Times New Roman" w:hAnsi="Times New Roman" w:hint="default"/>
      </w:rPr>
    </w:lvl>
    <w:lvl w:ilvl="4" w:tplc="75884EC2" w:tentative="1">
      <w:start w:val="1"/>
      <w:numFmt w:val="bullet"/>
      <w:lvlText w:val="•"/>
      <w:lvlJc w:val="left"/>
      <w:pPr>
        <w:tabs>
          <w:tab w:val="num" w:pos="3240"/>
        </w:tabs>
        <w:ind w:left="3240" w:hanging="360"/>
      </w:pPr>
      <w:rPr>
        <w:rFonts w:ascii="Times New Roman" w:hAnsi="Times New Roman" w:hint="default"/>
      </w:rPr>
    </w:lvl>
    <w:lvl w:ilvl="5" w:tplc="F3DAB8C0" w:tentative="1">
      <w:start w:val="1"/>
      <w:numFmt w:val="bullet"/>
      <w:lvlText w:val="•"/>
      <w:lvlJc w:val="left"/>
      <w:pPr>
        <w:tabs>
          <w:tab w:val="num" w:pos="3960"/>
        </w:tabs>
        <w:ind w:left="3960" w:hanging="360"/>
      </w:pPr>
      <w:rPr>
        <w:rFonts w:ascii="Times New Roman" w:hAnsi="Times New Roman" w:hint="default"/>
      </w:rPr>
    </w:lvl>
    <w:lvl w:ilvl="6" w:tplc="33B2BA98" w:tentative="1">
      <w:start w:val="1"/>
      <w:numFmt w:val="bullet"/>
      <w:lvlText w:val="•"/>
      <w:lvlJc w:val="left"/>
      <w:pPr>
        <w:tabs>
          <w:tab w:val="num" w:pos="4680"/>
        </w:tabs>
        <w:ind w:left="4680" w:hanging="360"/>
      </w:pPr>
      <w:rPr>
        <w:rFonts w:ascii="Times New Roman" w:hAnsi="Times New Roman" w:hint="default"/>
      </w:rPr>
    </w:lvl>
    <w:lvl w:ilvl="7" w:tplc="DEA4C0AE" w:tentative="1">
      <w:start w:val="1"/>
      <w:numFmt w:val="bullet"/>
      <w:lvlText w:val="•"/>
      <w:lvlJc w:val="left"/>
      <w:pPr>
        <w:tabs>
          <w:tab w:val="num" w:pos="5400"/>
        </w:tabs>
        <w:ind w:left="5400" w:hanging="360"/>
      </w:pPr>
      <w:rPr>
        <w:rFonts w:ascii="Times New Roman" w:hAnsi="Times New Roman" w:hint="default"/>
      </w:rPr>
    </w:lvl>
    <w:lvl w:ilvl="8" w:tplc="69FE8D72" w:tentative="1">
      <w:start w:val="1"/>
      <w:numFmt w:val="bullet"/>
      <w:lvlText w:val="•"/>
      <w:lvlJc w:val="left"/>
      <w:pPr>
        <w:tabs>
          <w:tab w:val="num" w:pos="6120"/>
        </w:tabs>
        <w:ind w:left="6120" w:hanging="360"/>
      </w:pPr>
      <w:rPr>
        <w:rFonts w:ascii="Times New Roman" w:hAnsi="Times New Roman" w:hint="default"/>
      </w:rPr>
    </w:lvl>
  </w:abstractNum>
  <w:num w:numId="1">
    <w:abstractNumId w:val="31"/>
  </w:num>
  <w:num w:numId="2">
    <w:abstractNumId w:val="34"/>
  </w:num>
  <w:num w:numId="3">
    <w:abstractNumId w:val="17"/>
  </w:num>
  <w:num w:numId="4">
    <w:abstractNumId w:val="20"/>
  </w:num>
  <w:num w:numId="5">
    <w:abstractNumId w:val="15"/>
  </w:num>
  <w:num w:numId="6">
    <w:abstractNumId w:val="30"/>
  </w:num>
  <w:num w:numId="7">
    <w:abstractNumId w:val="19"/>
  </w:num>
  <w:num w:numId="8">
    <w:abstractNumId w:val="25"/>
  </w:num>
  <w:num w:numId="9">
    <w:abstractNumId w:val="21"/>
  </w:num>
  <w:num w:numId="10">
    <w:abstractNumId w:val="22"/>
  </w:num>
  <w:num w:numId="11">
    <w:abstractNumId w:val="12"/>
  </w:num>
  <w:num w:numId="12">
    <w:abstractNumId w:val="14"/>
  </w:num>
  <w:num w:numId="13">
    <w:abstractNumId w:val="27"/>
  </w:num>
  <w:num w:numId="14">
    <w:abstractNumId w:val="28"/>
  </w:num>
  <w:num w:numId="15">
    <w:abstractNumId w:val="26"/>
  </w:num>
  <w:num w:numId="16">
    <w:abstractNumId w:val="23"/>
  </w:num>
  <w:num w:numId="17">
    <w:abstractNumId w:val="32"/>
  </w:num>
  <w:num w:numId="18">
    <w:abstractNumId w:val="33"/>
  </w:num>
  <w:num w:numId="19">
    <w:abstractNumId w:val="13"/>
  </w:num>
  <w:num w:numId="20">
    <w:abstractNumId w:val="11"/>
  </w:num>
  <w:num w:numId="21">
    <w:abstractNumId w:val="24"/>
  </w:num>
  <w:num w:numId="22">
    <w:abstractNumId w:val="29"/>
  </w:num>
  <w:num w:numId="23">
    <w:abstractNumId w:val="16"/>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trackRevisions/>
  <w:defaultTabStop w:val="708"/>
  <w:hyphenationZone w:val="425"/>
  <w:drawingGridHorizontalSpacing w:val="110"/>
  <w:displayHorizontalDrawingGridEvery w:val="2"/>
  <w:characterSpacingControl w:val="doNotCompress"/>
  <w:footnotePr>
    <w:numFmt w:val="lowerLette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250F"/>
    <w:rsid w:val="0000267E"/>
    <w:rsid w:val="000042C3"/>
    <w:rsid w:val="000050B1"/>
    <w:rsid w:val="000051E6"/>
    <w:rsid w:val="00005E53"/>
    <w:rsid w:val="00010B98"/>
    <w:rsid w:val="00020739"/>
    <w:rsid w:val="000216C5"/>
    <w:rsid w:val="00023D0F"/>
    <w:rsid w:val="00024DB7"/>
    <w:rsid w:val="00024E13"/>
    <w:rsid w:val="00026851"/>
    <w:rsid w:val="0002695B"/>
    <w:rsid w:val="00026D70"/>
    <w:rsid w:val="00030CC6"/>
    <w:rsid w:val="000336CE"/>
    <w:rsid w:val="00034490"/>
    <w:rsid w:val="00036C83"/>
    <w:rsid w:val="0004097D"/>
    <w:rsid w:val="0004378F"/>
    <w:rsid w:val="000438CB"/>
    <w:rsid w:val="00056791"/>
    <w:rsid w:val="00056B77"/>
    <w:rsid w:val="000603B6"/>
    <w:rsid w:val="00064F84"/>
    <w:rsid w:val="000732EC"/>
    <w:rsid w:val="000747A1"/>
    <w:rsid w:val="00075E5B"/>
    <w:rsid w:val="00077A7B"/>
    <w:rsid w:val="00077D75"/>
    <w:rsid w:val="00090090"/>
    <w:rsid w:val="00096B86"/>
    <w:rsid w:val="000A118E"/>
    <w:rsid w:val="000B284D"/>
    <w:rsid w:val="000B359D"/>
    <w:rsid w:val="000B703B"/>
    <w:rsid w:val="000C04DC"/>
    <w:rsid w:val="000C3AB6"/>
    <w:rsid w:val="000D620D"/>
    <w:rsid w:val="000E0883"/>
    <w:rsid w:val="000E1337"/>
    <w:rsid w:val="000E1A71"/>
    <w:rsid w:val="000E20A8"/>
    <w:rsid w:val="000E3E9C"/>
    <w:rsid w:val="000E47FC"/>
    <w:rsid w:val="000E50E3"/>
    <w:rsid w:val="000E563F"/>
    <w:rsid w:val="000E657A"/>
    <w:rsid w:val="000F05E1"/>
    <w:rsid w:val="000F373D"/>
    <w:rsid w:val="000F4AE4"/>
    <w:rsid w:val="000F5025"/>
    <w:rsid w:val="000F70D9"/>
    <w:rsid w:val="000F72CC"/>
    <w:rsid w:val="000F7E90"/>
    <w:rsid w:val="00101C9F"/>
    <w:rsid w:val="001023D7"/>
    <w:rsid w:val="001042CB"/>
    <w:rsid w:val="00111B0A"/>
    <w:rsid w:val="00113610"/>
    <w:rsid w:val="00113FAC"/>
    <w:rsid w:val="00114B74"/>
    <w:rsid w:val="00117135"/>
    <w:rsid w:val="00124801"/>
    <w:rsid w:val="0012690E"/>
    <w:rsid w:val="001352A3"/>
    <w:rsid w:val="00143787"/>
    <w:rsid w:val="00144665"/>
    <w:rsid w:val="001470DC"/>
    <w:rsid w:val="001527CA"/>
    <w:rsid w:val="00161DF4"/>
    <w:rsid w:val="00162397"/>
    <w:rsid w:val="001626AE"/>
    <w:rsid w:val="001657D7"/>
    <w:rsid w:val="00172664"/>
    <w:rsid w:val="00176412"/>
    <w:rsid w:val="00190BA5"/>
    <w:rsid w:val="001A065D"/>
    <w:rsid w:val="001A69BB"/>
    <w:rsid w:val="001B24F3"/>
    <w:rsid w:val="001B552E"/>
    <w:rsid w:val="001B6A23"/>
    <w:rsid w:val="001C032E"/>
    <w:rsid w:val="001C474B"/>
    <w:rsid w:val="001C4D12"/>
    <w:rsid w:val="001D054D"/>
    <w:rsid w:val="001D0679"/>
    <w:rsid w:val="001D084C"/>
    <w:rsid w:val="001D6156"/>
    <w:rsid w:val="001D6EFA"/>
    <w:rsid w:val="001E235A"/>
    <w:rsid w:val="001E4B5B"/>
    <w:rsid w:val="001F1224"/>
    <w:rsid w:val="001F4112"/>
    <w:rsid w:val="001F43AB"/>
    <w:rsid w:val="001F7B06"/>
    <w:rsid w:val="00201D78"/>
    <w:rsid w:val="00203AFB"/>
    <w:rsid w:val="00212C55"/>
    <w:rsid w:val="002137A6"/>
    <w:rsid w:val="00222415"/>
    <w:rsid w:val="00222694"/>
    <w:rsid w:val="00230479"/>
    <w:rsid w:val="002304B1"/>
    <w:rsid w:val="00230C02"/>
    <w:rsid w:val="00231272"/>
    <w:rsid w:val="00231C0D"/>
    <w:rsid w:val="002501C4"/>
    <w:rsid w:val="00254C56"/>
    <w:rsid w:val="002578E4"/>
    <w:rsid w:val="0026489A"/>
    <w:rsid w:val="00264BDD"/>
    <w:rsid w:val="00267109"/>
    <w:rsid w:val="00272D9E"/>
    <w:rsid w:val="00275E16"/>
    <w:rsid w:val="002769E8"/>
    <w:rsid w:val="00277A8E"/>
    <w:rsid w:val="00282C7D"/>
    <w:rsid w:val="00287BA1"/>
    <w:rsid w:val="00290B4C"/>
    <w:rsid w:val="00295FB9"/>
    <w:rsid w:val="00297E42"/>
    <w:rsid w:val="002A163A"/>
    <w:rsid w:val="002B03F4"/>
    <w:rsid w:val="002B3B32"/>
    <w:rsid w:val="002B4B2C"/>
    <w:rsid w:val="002B5BEF"/>
    <w:rsid w:val="002D2C63"/>
    <w:rsid w:val="002D4935"/>
    <w:rsid w:val="002D4E96"/>
    <w:rsid w:val="002D5BBE"/>
    <w:rsid w:val="002E2BAE"/>
    <w:rsid w:val="002F3B94"/>
    <w:rsid w:val="002F7D16"/>
    <w:rsid w:val="00301473"/>
    <w:rsid w:val="00302783"/>
    <w:rsid w:val="00316BBC"/>
    <w:rsid w:val="00322B18"/>
    <w:rsid w:val="003242BE"/>
    <w:rsid w:val="00327324"/>
    <w:rsid w:val="00333875"/>
    <w:rsid w:val="00335104"/>
    <w:rsid w:val="00340BD2"/>
    <w:rsid w:val="00340C26"/>
    <w:rsid w:val="0034715B"/>
    <w:rsid w:val="00347169"/>
    <w:rsid w:val="00353EB3"/>
    <w:rsid w:val="00363411"/>
    <w:rsid w:val="0036463E"/>
    <w:rsid w:val="00364B41"/>
    <w:rsid w:val="003713F6"/>
    <w:rsid w:val="00376CCC"/>
    <w:rsid w:val="003823E2"/>
    <w:rsid w:val="00384468"/>
    <w:rsid w:val="00387B54"/>
    <w:rsid w:val="0039195D"/>
    <w:rsid w:val="00393DB4"/>
    <w:rsid w:val="00393F46"/>
    <w:rsid w:val="00396DBC"/>
    <w:rsid w:val="003A15AD"/>
    <w:rsid w:val="003A30D4"/>
    <w:rsid w:val="003B12EE"/>
    <w:rsid w:val="003C52F7"/>
    <w:rsid w:val="003C6A86"/>
    <w:rsid w:val="003D4347"/>
    <w:rsid w:val="003D6A1D"/>
    <w:rsid w:val="003E1F34"/>
    <w:rsid w:val="003E6640"/>
    <w:rsid w:val="0040021D"/>
    <w:rsid w:val="004276C8"/>
    <w:rsid w:val="0043190D"/>
    <w:rsid w:val="0043303D"/>
    <w:rsid w:val="00437CB9"/>
    <w:rsid w:val="00447298"/>
    <w:rsid w:val="00454F5D"/>
    <w:rsid w:val="00457714"/>
    <w:rsid w:val="00462F2A"/>
    <w:rsid w:val="00465E74"/>
    <w:rsid w:val="00474422"/>
    <w:rsid w:val="004758FE"/>
    <w:rsid w:val="00475AB3"/>
    <w:rsid w:val="0047751B"/>
    <w:rsid w:val="00481AB5"/>
    <w:rsid w:val="00482F20"/>
    <w:rsid w:val="004834E7"/>
    <w:rsid w:val="0048676A"/>
    <w:rsid w:val="004875A5"/>
    <w:rsid w:val="00496E41"/>
    <w:rsid w:val="00497F22"/>
    <w:rsid w:val="004A2620"/>
    <w:rsid w:val="004B3AE0"/>
    <w:rsid w:val="004B3ED8"/>
    <w:rsid w:val="004C3DE2"/>
    <w:rsid w:val="004C49CA"/>
    <w:rsid w:val="004C4C4A"/>
    <w:rsid w:val="004D4412"/>
    <w:rsid w:val="004D577A"/>
    <w:rsid w:val="004D5AEA"/>
    <w:rsid w:val="004E3795"/>
    <w:rsid w:val="004E5B97"/>
    <w:rsid w:val="004E67BB"/>
    <w:rsid w:val="004F16F8"/>
    <w:rsid w:val="004F3786"/>
    <w:rsid w:val="004F632E"/>
    <w:rsid w:val="004F737A"/>
    <w:rsid w:val="00503260"/>
    <w:rsid w:val="00504069"/>
    <w:rsid w:val="00504F40"/>
    <w:rsid w:val="005054BB"/>
    <w:rsid w:val="0050560C"/>
    <w:rsid w:val="00507058"/>
    <w:rsid w:val="005133F6"/>
    <w:rsid w:val="00514512"/>
    <w:rsid w:val="0051523C"/>
    <w:rsid w:val="00516F91"/>
    <w:rsid w:val="005215F0"/>
    <w:rsid w:val="005251DB"/>
    <w:rsid w:val="005311EB"/>
    <w:rsid w:val="00534008"/>
    <w:rsid w:val="00537E08"/>
    <w:rsid w:val="0054292B"/>
    <w:rsid w:val="0054550C"/>
    <w:rsid w:val="00545DA7"/>
    <w:rsid w:val="0054615C"/>
    <w:rsid w:val="00553B28"/>
    <w:rsid w:val="0055464F"/>
    <w:rsid w:val="00556912"/>
    <w:rsid w:val="00560F40"/>
    <w:rsid w:val="00562F3C"/>
    <w:rsid w:val="00563A16"/>
    <w:rsid w:val="00567AA2"/>
    <w:rsid w:val="005753D3"/>
    <w:rsid w:val="0057605A"/>
    <w:rsid w:val="00577CFC"/>
    <w:rsid w:val="00584897"/>
    <w:rsid w:val="0058669E"/>
    <w:rsid w:val="005910F5"/>
    <w:rsid w:val="00592179"/>
    <w:rsid w:val="00595226"/>
    <w:rsid w:val="00595384"/>
    <w:rsid w:val="00595890"/>
    <w:rsid w:val="00595E75"/>
    <w:rsid w:val="005A725F"/>
    <w:rsid w:val="005B2723"/>
    <w:rsid w:val="005B3C40"/>
    <w:rsid w:val="005B4504"/>
    <w:rsid w:val="005C0794"/>
    <w:rsid w:val="005C2DDD"/>
    <w:rsid w:val="005D0020"/>
    <w:rsid w:val="005D047A"/>
    <w:rsid w:val="005D6322"/>
    <w:rsid w:val="005E402E"/>
    <w:rsid w:val="005F5C08"/>
    <w:rsid w:val="005F7565"/>
    <w:rsid w:val="00600619"/>
    <w:rsid w:val="00601CF9"/>
    <w:rsid w:val="00610A0D"/>
    <w:rsid w:val="00615171"/>
    <w:rsid w:val="00616A6B"/>
    <w:rsid w:val="00620D8B"/>
    <w:rsid w:val="0062321D"/>
    <w:rsid w:val="00626A6F"/>
    <w:rsid w:val="0063408E"/>
    <w:rsid w:val="006346A1"/>
    <w:rsid w:val="00635E85"/>
    <w:rsid w:val="00635F25"/>
    <w:rsid w:val="006431CB"/>
    <w:rsid w:val="00647743"/>
    <w:rsid w:val="00653A41"/>
    <w:rsid w:val="006556A4"/>
    <w:rsid w:val="0066150F"/>
    <w:rsid w:val="00662896"/>
    <w:rsid w:val="00665535"/>
    <w:rsid w:val="00666EDC"/>
    <w:rsid w:val="00673B59"/>
    <w:rsid w:val="006803C4"/>
    <w:rsid w:val="00680E4C"/>
    <w:rsid w:val="00681DC7"/>
    <w:rsid w:val="00684F3B"/>
    <w:rsid w:val="00687300"/>
    <w:rsid w:val="00687C00"/>
    <w:rsid w:val="00695A00"/>
    <w:rsid w:val="006968DA"/>
    <w:rsid w:val="00697F32"/>
    <w:rsid w:val="006A3244"/>
    <w:rsid w:val="006B1B00"/>
    <w:rsid w:val="006B2C6F"/>
    <w:rsid w:val="006B5BAC"/>
    <w:rsid w:val="006C6645"/>
    <w:rsid w:val="006D5808"/>
    <w:rsid w:val="006E0586"/>
    <w:rsid w:val="006E12A8"/>
    <w:rsid w:val="006E34D7"/>
    <w:rsid w:val="006E509C"/>
    <w:rsid w:val="006F0FA2"/>
    <w:rsid w:val="006F3967"/>
    <w:rsid w:val="006F6812"/>
    <w:rsid w:val="006F78BB"/>
    <w:rsid w:val="007064E3"/>
    <w:rsid w:val="00706566"/>
    <w:rsid w:val="00711E3B"/>
    <w:rsid w:val="00712F37"/>
    <w:rsid w:val="00714F56"/>
    <w:rsid w:val="00721770"/>
    <w:rsid w:val="00721F2F"/>
    <w:rsid w:val="00725679"/>
    <w:rsid w:val="00726984"/>
    <w:rsid w:val="00726A13"/>
    <w:rsid w:val="0072707C"/>
    <w:rsid w:val="007278BE"/>
    <w:rsid w:val="00732089"/>
    <w:rsid w:val="00735B00"/>
    <w:rsid w:val="007363D6"/>
    <w:rsid w:val="00743A77"/>
    <w:rsid w:val="00746607"/>
    <w:rsid w:val="00752017"/>
    <w:rsid w:val="00752508"/>
    <w:rsid w:val="0076156A"/>
    <w:rsid w:val="007622C4"/>
    <w:rsid w:val="007629C8"/>
    <w:rsid w:val="00763160"/>
    <w:rsid w:val="00767A3A"/>
    <w:rsid w:val="00774808"/>
    <w:rsid w:val="007762E0"/>
    <w:rsid w:val="00777EFC"/>
    <w:rsid w:val="00785483"/>
    <w:rsid w:val="0079032C"/>
    <w:rsid w:val="00790397"/>
    <w:rsid w:val="007929AA"/>
    <w:rsid w:val="0079461C"/>
    <w:rsid w:val="00796393"/>
    <w:rsid w:val="007A0EA2"/>
    <w:rsid w:val="007A22F9"/>
    <w:rsid w:val="007A362B"/>
    <w:rsid w:val="007C7307"/>
    <w:rsid w:val="007D6461"/>
    <w:rsid w:val="007D7756"/>
    <w:rsid w:val="007E0233"/>
    <w:rsid w:val="007E0B04"/>
    <w:rsid w:val="007E4614"/>
    <w:rsid w:val="007F3DEF"/>
    <w:rsid w:val="007F4A76"/>
    <w:rsid w:val="0080136D"/>
    <w:rsid w:val="008047EF"/>
    <w:rsid w:val="00810A32"/>
    <w:rsid w:val="00813444"/>
    <w:rsid w:val="008153D6"/>
    <w:rsid w:val="0082053F"/>
    <w:rsid w:val="008236BE"/>
    <w:rsid w:val="0082407D"/>
    <w:rsid w:val="008271FA"/>
    <w:rsid w:val="008326D2"/>
    <w:rsid w:val="00833C9B"/>
    <w:rsid w:val="00836701"/>
    <w:rsid w:val="00840752"/>
    <w:rsid w:val="00854B9E"/>
    <w:rsid w:val="0086099A"/>
    <w:rsid w:val="008627FE"/>
    <w:rsid w:val="008644B3"/>
    <w:rsid w:val="008646DB"/>
    <w:rsid w:val="0086485E"/>
    <w:rsid w:val="008648BB"/>
    <w:rsid w:val="008651DE"/>
    <w:rsid w:val="00865685"/>
    <w:rsid w:val="00866B25"/>
    <w:rsid w:val="00870FF9"/>
    <w:rsid w:val="00872042"/>
    <w:rsid w:val="00874986"/>
    <w:rsid w:val="00874AE7"/>
    <w:rsid w:val="00877555"/>
    <w:rsid w:val="00880A51"/>
    <w:rsid w:val="00893E53"/>
    <w:rsid w:val="00895747"/>
    <w:rsid w:val="00896EC8"/>
    <w:rsid w:val="00897E01"/>
    <w:rsid w:val="008A5939"/>
    <w:rsid w:val="008A7004"/>
    <w:rsid w:val="008B3249"/>
    <w:rsid w:val="008C0998"/>
    <w:rsid w:val="008C3E43"/>
    <w:rsid w:val="008C4147"/>
    <w:rsid w:val="008D3079"/>
    <w:rsid w:val="008D4805"/>
    <w:rsid w:val="008D61F5"/>
    <w:rsid w:val="008E74BF"/>
    <w:rsid w:val="008F16C3"/>
    <w:rsid w:val="008F3B80"/>
    <w:rsid w:val="008F655D"/>
    <w:rsid w:val="00916150"/>
    <w:rsid w:val="009164B8"/>
    <w:rsid w:val="009242C9"/>
    <w:rsid w:val="0092764A"/>
    <w:rsid w:val="009311A4"/>
    <w:rsid w:val="009434B1"/>
    <w:rsid w:val="009461A9"/>
    <w:rsid w:val="00953FD1"/>
    <w:rsid w:val="00955ABA"/>
    <w:rsid w:val="00962778"/>
    <w:rsid w:val="0096601C"/>
    <w:rsid w:val="00970A4B"/>
    <w:rsid w:val="00972C82"/>
    <w:rsid w:val="009731FF"/>
    <w:rsid w:val="00974591"/>
    <w:rsid w:val="00975D6C"/>
    <w:rsid w:val="00976103"/>
    <w:rsid w:val="00990750"/>
    <w:rsid w:val="009910E3"/>
    <w:rsid w:val="009923E2"/>
    <w:rsid w:val="00995B78"/>
    <w:rsid w:val="00995C9E"/>
    <w:rsid w:val="0099626C"/>
    <w:rsid w:val="00996F1D"/>
    <w:rsid w:val="009A2C80"/>
    <w:rsid w:val="009B711F"/>
    <w:rsid w:val="009B7F44"/>
    <w:rsid w:val="009C2802"/>
    <w:rsid w:val="009C4D51"/>
    <w:rsid w:val="009E6BDB"/>
    <w:rsid w:val="009F23CC"/>
    <w:rsid w:val="009F4E34"/>
    <w:rsid w:val="00A069CA"/>
    <w:rsid w:val="00A10BE4"/>
    <w:rsid w:val="00A11730"/>
    <w:rsid w:val="00A23C44"/>
    <w:rsid w:val="00A303A3"/>
    <w:rsid w:val="00A3530D"/>
    <w:rsid w:val="00A40539"/>
    <w:rsid w:val="00A43546"/>
    <w:rsid w:val="00A43D9D"/>
    <w:rsid w:val="00A478AA"/>
    <w:rsid w:val="00A534BC"/>
    <w:rsid w:val="00A549AC"/>
    <w:rsid w:val="00A56A5E"/>
    <w:rsid w:val="00A61944"/>
    <w:rsid w:val="00A67BB4"/>
    <w:rsid w:val="00A7027A"/>
    <w:rsid w:val="00A73EE0"/>
    <w:rsid w:val="00A81464"/>
    <w:rsid w:val="00A83CAC"/>
    <w:rsid w:val="00A944B3"/>
    <w:rsid w:val="00A970C4"/>
    <w:rsid w:val="00AA1EA9"/>
    <w:rsid w:val="00AA44C1"/>
    <w:rsid w:val="00AA786A"/>
    <w:rsid w:val="00AB051F"/>
    <w:rsid w:val="00AB06DA"/>
    <w:rsid w:val="00AB77A5"/>
    <w:rsid w:val="00AC0A4B"/>
    <w:rsid w:val="00AC3216"/>
    <w:rsid w:val="00AC7C23"/>
    <w:rsid w:val="00AD020A"/>
    <w:rsid w:val="00AD4101"/>
    <w:rsid w:val="00AD6A7D"/>
    <w:rsid w:val="00AD762D"/>
    <w:rsid w:val="00AE2C18"/>
    <w:rsid w:val="00AE31DE"/>
    <w:rsid w:val="00AF069E"/>
    <w:rsid w:val="00AF26D0"/>
    <w:rsid w:val="00AF5497"/>
    <w:rsid w:val="00B017A5"/>
    <w:rsid w:val="00B02BEB"/>
    <w:rsid w:val="00B043EC"/>
    <w:rsid w:val="00B0539F"/>
    <w:rsid w:val="00B072AA"/>
    <w:rsid w:val="00B10E99"/>
    <w:rsid w:val="00B120BE"/>
    <w:rsid w:val="00B13A74"/>
    <w:rsid w:val="00B14822"/>
    <w:rsid w:val="00B14ADE"/>
    <w:rsid w:val="00B20C9E"/>
    <w:rsid w:val="00B21D38"/>
    <w:rsid w:val="00B22DBD"/>
    <w:rsid w:val="00B259EC"/>
    <w:rsid w:val="00B31BE4"/>
    <w:rsid w:val="00B32E60"/>
    <w:rsid w:val="00B34BA9"/>
    <w:rsid w:val="00B34C15"/>
    <w:rsid w:val="00B352A2"/>
    <w:rsid w:val="00B46512"/>
    <w:rsid w:val="00B46797"/>
    <w:rsid w:val="00B5365B"/>
    <w:rsid w:val="00B54030"/>
    <w:rsid w:val="00B55919"/>
    <w:rsid w:val="00B61195"/>
    <w:rsid w:val="00B61B65"/>
    <w:rsid w:val="00B61F10"/>
    <w:rsid w:val="00B665AF"/>
    <w:rsid w:val="00B719FE"/>
    <w:rsid w:val="00B741C1"/>
    <w:rsid w:val="00B748DD"/>
    <w:rsid w:val="00B74E25"/>
    <w:rsid w:val="00B809C8"/>
    <w:rsid w:val="00B83DC1"/>
    <w:rsid w:val="00B86830"/>
    <w:rsid w:val="00B872BF"/>
    <w:rsid w:val="00B96EAE"/>
    <w:rsid w:val="00BA101A"/>
    <w:rsid w:val="00BA4183"/>
    <w:rsid w:val="00BA520F"/>
    <w:rsid w:val="00BB338D"/>
    <w:rsid w:val="00BB3D4A"/>
    <w:rsid w:val="00BC26DA"/>
    <w:rsid w:val="00BC58AD"/>
    <w:rsid w:val="00BC6B4F"/>
    <w:rsid w:val="00BD1410"/>
    <w:rsid w:val="00BE1E90"/>
    <w:rsid w:val="00BE3A1A"/>
    <w:rsid w:val="00BF5137"/>
    <w:rsid w:val="00C01ED2"/>
    <w:rsid w:val="00C03227"/>
    <w:rsid w:val="00C036D9"/>
    <w:rsid w:val="00C11099"/>
    <w:rsid w:val="00C12B0F"/>
    <w:rsid w:val="00C17F0F"/>
    <w:rsid w:val="00C20CA7"/>
    <w:rsid w:val="00C21C35"/>
    <w:rsid w:val="00C27A40"/>
    <w:rsid w:val="00C37076"/>
    <w:rsid w:val="00C4016D"/>
    <w:rsid w:val="00C47531"/>
    <w:rsid w:val="00C51850"/>
    <w:rsid w:val="00C5339A"/>
    <w:rsid w:val="00C53F12"/>
    <w:rsid w:val="00C55B54"/>
    <w:rsid w:val="00C61091"/>
    <w:rsid w:val="00C63E6C"/>
    <w:rsid w:val="00C806CD"/>
    <w:rsid w:val="00C84489"/>
    <w:rsid w:val="00C84627"/>
    <w:rsid w:val="00C9070B"/>
    <w:rsid w:val="00C90D4F"/>
    <w:rsid w:val="00C91E20"/>
    <w:rsid w:val="00C93D6D"/>
    <w:rsid w:val="00CB1610"/>
    <w:rsid w:val="00CB268C"/>
    <w:rsid w:val="00CB2B67"/>
    <w:rsid w:val="00CB48FC"/>
    <w:rsid w:val="00CB52C9"/>
    <w:rsid w:val="00CB5DD0"/>
    <w:rsid w:val="00CC55E1"/>
    <w:rsid w:val="00CD1649"/>
    <w:rsid w:val="00CD38CB"/>
    <w:rsid w:val="00CD3C50"/>
    <w:rsid w:val="00CD5D9A"/>
    <w:rsid w:val="00CD6EA8"/>
    <w:rsid w:val="00CD6F18"/>
    <w:rsid w:val="00CE26F1"/>
    <w:rsid w:val="00CF1A52"/>
    <w:rsid w:val="00CF43BC"/>
    <w:rsid w:val="00CF68C9"/>
    <w:rsid w:val="00CF6BAB"/>
    <w:rsid w:val="00CF6C57"/>
    <w:rsid w:val="00CF7D50"/>
    <w:rsid w:val="00D000AB"/>
    <w:rsid w:val="00D025A9"/>
    <w:rsid w:val="00D11BCA"/>
    <w:rsid w:val="00D13D2B"/>
    <w:rsid w:val="00D21377"/>
    <w:rsid w:val="00D23629"/>
    <w:rsid w:val="00D3391B"/>
    <w:rsid w:val="00D35BA8"/>
    <w:rsid w:val="00D35DF7"/>
    <w:rsid w:val="00D364EC"/>
    <w:rsid w:val="00D40ABC"/>
    <w:rsid w:val="00D438DE"/>
    <w:rsid w:val="00D452B1"/>
    <w:rsid w:val="00D46124"/>
    <w:rsid w:val="00D52A8F"/>
    <w:rsid w:val="00D5447A"/>
    <w:rsid w:val="00D643F9"/>
    <w:rsid w:val="00D6658A"/>
    <w:rsid w:val="00D75A22"/>
    <w:rsid w:val="00D80822"/>
    <w:rsid w:val="00D81F06"/>
    <w:rsid w:val="00D92158"/>
    <w:rsid w:val="00D97EF1"/>
    <w:rsid w:val="00DA39B8"/>
    <w:rsid w:val="00DB0E8F"/>
    <w:rsid w:val="00DC0ECA"/>
    <w:rsid w:val="00DC399E"/>
    <w:rsid w:val="00DD174A"/>
    <w:rsid w:val="00DD2EFF"/>
    <w:rsid w:val="00DD6BD6"/>
    <w:rsid w:val="00DE0264"/>
    <w:rsid w:val="00DE4A2C"/>
    <w:rsid w:val="00DE6044"/>
    <w:rsid w:val="00DE748F"/>
    <w:rsid w:val="00DE7991"/>
    <w:rsid w:val="00DF1D56"/>
    <w:rsid w:val="00DF3178"/>
    <w:rsid w:val="00DF61A7"/>
    <w:rsid w:val="00E04D6B"/>
    <w:rsid w:val="00E12E9C"/>
    <w:rsid w:val="00E1677F"/>
    <w:rsid w:val="00E3089A"/>
    <w:rsid w:val="00E30FD8"/>
    <w:rsid w:val="00E31F50"/>
    <w:rsid w:val="00E35B53"/>
    <w:rsid w:val="00E35C56"/>
    <w:rsid w:val="00E37854"/>
    <w:rsid w:val="00E469B1"/>
    <w:rsid w:val="00E50CAF"/>
    <w:rsid w:val="00E5250F"/>
    <w:rsid w:val="00E52D2E"/>
    <w:rsid w:val="00E54F65"/>
    <w:rsid w:val="00E55383"/>
    <w:rsid w:val="00E57B7D"/>
    <w:rsid w:val="00E603AC"/>
    <w:rsid w:val="00E63269"/>
    <w:rsid w:val="00E64AAF"/>
    <w:rsid w:val="00E66E7D"/>
    <w:rsid w:val="00E705AD"/>
    <w:rsid w:val="00E71E42"/>
    <w:rsid w:val="00E84FC4"/>
    <w:rsid w:val="00E859E0"/>
    <w:rsid w:val="00E96752"/>
    <w:rsid w:val="00EA021D"/>
    <w:rsid w:val="00EA05A1"/>
    <w:rsid w:val="00EA0C47"/>
    <w:rsid w:val="00EA2812"/>
    <w:rsid w:val="00EA3AF8"/>
    <w:rsid w:val="00EA5BCA"/>
    <w:rsid w:val="00EA6002"/>
    <w:rsid w:val="00EB188C"/>
    <w:rsid w:val="00EB383C"/>
    <w:rsid w:val="00EC18FA"/>
    <w:rsid w:val="00EC4A0A"/>
    <w:rsid w:val="00ED181F"/>
    <w:rsid w:val="00ED254C"/>
    <w:rsid w:val="00ED2FC6"/>
    <w:rsid w:val="00ED36F5"/>
    <w:rsid w:val="00ED6F43"/>
    <w:rsid w:val="00EE12E1"/>
    <w:rsid w:val="00EE1F37"/>
    <w:rsid w:val="00EE539A"/>
    <w:rsid w:val="00EF05FA"/>
    <w:rsid w:val="00EF16EE"/>
    <w:rsid w:val="00EF2CA7"/>
    <w:rsid w:val="00EF30CA"/>
    <w:rsid w:val="00EF4848"/>
    <w:rsid w:val="00EF49DE"/>
    <w:rsid w:val="00EF6439"/>
    <w:rsid w:val="00F03D47"/>
    <w:rsid w:val="00F04CA6"/>
    <w:rsid w:val="00F10994"/>
    <w:rsid w:val="00F13EB2"/>
    <w:rsid w:val="00F14BFB"/>
    <w:rsid w:val="00F1697D"/>
    <w:rsid w:val="00F178C3"/>
    <w:rsid w:val="00F2030A"/>
    <w:rsid w:val="00F2278E"/>
    <w:rsid w:val="00F32CF7"/>
    <w:rsid w:val="00F367EC"/>
    <w:rsid w:val="00F419C3"/>
    <w:rsid w:val="00F423CF"/>
    <w:rsid w:val="00F549D5"/>
    <w:rsid w:val="00F57891"/>
    <w:rsid w:val="00F603FA"/>
    <w:rsid w:val="00F60AA6"/>
    <w:rsid w:val="00F6287A"/>
    <w:rsid w:val="00F669E8"/>
    <w:rsid w:val="00F7328C"/>
    <w:rsid w:val="00F75915"/>
    <w:rsid w:val="00F76AFF"/>
    <w:rsid w:val="00F77B68"/>
    <w:rsid w:val="00F77BBB"/>
    <w:rsid w:val="00F83F2C"/>
    <w:rsid w:val="00F923E4"/>
    <w:rsid w:val="00F948C5"/>
    <w:rsid w:val="00F967D2"/>
    <w:rsid w:val="00FA0C6A"/>
    <w:rsid w:val="00FA2410"/>
    <w:rsid w:val="00FA5B24"/>
    <w:rsid w:val="00FB4498"/>
    <w:rsid w:val="00FB4930"/>
    <w:rsid w:val="00FB5F6A"/>
    <w:rsid w:val="00FB64AF"/>
    <w:rsid w:val="00FC1265"/>
    <w:rsid w:val="00FC6699"/>
    <w:rsid w:val="00FD5DAB"/>
    <w:rsid w:val="00FD7EB1"/>
    <w:rsid w:val="00FE7D37"/>
    <w:rsid w:val="00FF68C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50F"/>
    <w:pPr>
      <w:spacing w:line="276" w:lineRule="auto"/>
    </w:pPr>
    <w:rPr>
      <w:lang w:val="fr-FR" w:eastAsia="ja-JP"/>
    </w:rPr>
  </w:style>
  <w:style w:type="paragraph" w:styleId="Heading1">
    <w:name w:val="heading 1"/>
    <w:basedOn w:val="Normal"/>
    <w:next w:val="Normal"/>
    <w:link w:val="Heading1Char"/>
    <w:uiPriority w:val="99"/>
    <w:qFormat/>
    <w:rsid w:val="00916150"/>
    <w:pPr>
      <w:keepNext/>
      <w:spacing w:before="240" w:after="60"/>
      <w:outlineLvl w:val="0"/>
    </w:pPr>
    <w:rPr>
      <w:rFonts w:ascii="Cambria" w:hAnsi="Cambria"/>
      <w:b/>
      <w:bCs/>
      <w:kern w:val="32"/>
      <w:sz w:val="32"/>
      <w:szCs w:val="32"/>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6150"/>
    <w:rPr>
      <w:rFonts w:ascii="Cambria" w:hAnsi="Cambria" w:cs="Times New Roman"/>
      <w:b/>
      <w:kern w:val="32"/>
      <w:sz w:val="32"/>
      <w:lang w:eastAsia="ja-JP"/>
    </w:rPr>
  </w:style>
  <w:style w:type="paragraph" w:styleId="ListParagraph">
    <w:name w:val="List Paragraph"/>
    <w:basedOn w:val="Normal"/>
    <w:uiPriority w:val="99"/>
    <w:qFormat/>
    <w:rsid w:val="00AD762D"/>
    <w:pPr>
      <w:ind w:left="720"/>
      <w:contextualSpacing/>
    </w:pPr>
  </w:style>
  <w:style w:type="paragraph" w:styleId="FootnoteText">
    <w:name w:val="footnote text"/>
    <w:basedOn w:val="Normal"/>
    <w:link w:val="FootnoteTextChar"/>
    <w:uiPriority w:val="99"/>
    <w:semiHidden/>
    <w:rsid w:val="008F655D"/>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8F655D"/>
    <w:rPr>
      <w:rFonts w:cs="Times New Roman"/>
    </w:rPr>
  </w:style>
  <w:style w:type="character" w:styleId="FootnoteReference">
    <w:name w:val="footnote reference"/>
    <w:basedOn w:val="DefaultParagraphFont"/>
    <w:uiPriority w:val="99"/>
    <w:semiHidden/>
    <w:rsid w:val="008F655D"/>
    <w:rPr>
      <w:rFonts w:cs="Times New Roman"/>
      <w:vertAlign w:val="superscript"/>
    </w:rPr>
  </w:style>
  <w:style w:type="paragraph" w:styleId="Header">
    <w:name w:val="header"/>
    <w:basedOn w:val="Normal"/>
    <w:link w:val="HeaderChar"/>
    <w:uiPriority w:val="99"/>
    <w:rsid w:val="002D4935"/>
    <w:pPr>
      <w:tabs>
        <w:tab w:val="center" w:pos="4536"/>
        <w:tab w:val="right" w:pos="9072"/>
      </w:tabs>
      <w:spacing w:line="240" w:lineRule="auto"/>
    </w:pPr>
    <w:rPr>
      <w:lang w:val="en-GB" w:eastAsia="fr-FR"/>
    </w:rPr>
  </w:style>
  <w:style w:type="character" w:customStyle="1" w:styleId="HeaderChar">
    <w:name w:val="Header Char"/>
    <w:basedOn w:val="DefaultParagraphFont"/>
    <w:link w:val="Header"/>
    <w:uiPriority w:val="99"/>
    <w:locked/>
    <w:rsid w:val="002D4935"/>
    <w:rPr>
      <w:rFonts w:cs="Times New Roman"/>
      <w:sz w:val="22"/>
    </w:rPr>
  </w:style>
  <w:style w:type="paragraph" w:styleId="Footer">
    <w:name w:val="footer"/>
    <w:basedOn w:val="Normal"/>
    <w:link w:val="FooterChar"/>
    <w:uiPriority w:val="99"/>
    <w:rsid w:val="002D4935"/>
    <w:pPr>
      <w:tabs>
        <w:tab w:val="center" w:pos="4536"/>
        <w:tab w:val="right" w:pos="9072"/>
      </w:tabs>
      <w:spacing w:line="240" w:lineRule="auto"/>
    </w:pPr>
    <w:rPr>
      <w:lang w:val="en-GB" w:eastAsia="fr-FR"/>
    </w:rPr>
  </w:style>
  <w:style w:type="character" w:customStyle="1" w:styleId="FooterChar">
    <w:name w:val="Footer Char"/>
    <w:basedOn w:val="DefaultParagraphFont"/>
    <w:link w:val="Footer"/>
    <w:uiPriority w:val="99"/>
    <w:locked/>
    <w:rsid w:val="002D4935"/>
    <w:rPr>
      <w:rFonts w:cs="Times New Roman"/>
      <w:sz w:val="22"/>
    </w:rPr>
  </w:style>
  <w:style w:type="paragraph" w:styleId="BalloonText">
    <w:name w:val="Balloon Text"/>
    <w:basedOn w:val="Normal"/>
    <w:link w:val="BalloonTextChar"/>
    <w:uiPriority w:val="99"/>
    <w:semiHidden/>
    <w:rsid w:val="002D4935"/>
    <w:pPr>
      <w:spacing w:line="240" w:lineRule="auto"/>
    </w:pPr>
    <w:rPr>
      <w:rFonts w:ascii="Tahoma" w:hAnsi="Tahoma"/>
      <w:sz w:val="16"/>
      <w:szCs w:val="16"/>
      <w:lang w:val="en-GB" w:eastAsia="fr-FR"/>
    </w:rPr>
  </w:style>
  <w:style w:type="character" w:customStyle="1" w:styleId="BalloonTextChar">
    <w:name w:val="Balloon Text Char"/>
    <w:basedOn w:val="DefaultParagraphFont"/>
    <w:link w:val="BalloonText"/>
    <w:uiPriority w:val="99"/>
    <w:semiHidden/>
    <w:locked/>
    <w:rsid w:val="002D4935"/>
    <w:rPr>
      <w:rFonts w:ascii="Tahoma" w:hAnsi="Tahoma" w:cs="Times New Roman"/>
      <w:sz w:val="16"/>
    </w:rPr>
  </w:style>
  <w:style w:type="paragraph" w:styleId="PlainText">
    <w:name w:val="Plain Text"/>
    <w:basedOn w:val="Normal"/>
    <w:link w:val="PlainTextChar"/>
    <w:uiPriority w:val="99"/>
    <w:rsid w:val="00F14BFB"/>
    <w:pPr>
      <w:spacing w:line="240" w:lineRule="auto"/>
    </w:pPr>
    <w:rPr>
      <w:rFonts w:ascii="Consolas" w:hAnsi="Consolas"/>
      <w:sz w:val="21"/>
      <w:szCs w:val="21"/>
      <w:lang w:val="en-US" w:eastAsia="en-US"/>
    </w:rPr>
  </w:style>
  <w:style w:type="character" w:customStyle="1" w:styleId="PlainTextChar">
    <w:name w:val="Plain Text Char"/>
    <w:basedOn w:val="DefaultParagraphFont"/>
    <w:link w:val="PlainText"/>
    <w:uiPriority w:val="99"/>
    <w:locked/>
    <w:rsid w:val="00F14BFB"/>
    <w:rPr>
      <w:rFonts w:ascii="Consolas" w:hAnsi="Consolas" w:cs="Times New Roman"/>
      <w:sz w:val="21"/>
      <w:lang w:val="en-US" w:eastAsia="en-US"/>
    </w:rPr>
  </w:style>
  <w:style w:type="paragraph" w:styleId="NoSpacing">
    <w:name w:val="No Spacing"/>
    <w:uiPriority w:val="99"/>
    <w:qFormat/>
    <w:rsid w:val="000E1337"/>
    <w:rPr>
      <w:sz w:val="24"/>
      <w:szCs w:val="24"/>
      <w:lang w:val="fr-FR" w:eastAsia="fr-FR"/>
    </w:rPr>
  </w:style>
  <w:style w:type="character" w:styleId="Strong">
    <w:name w:val="Strong"/>
    <w:basedOn w:val="DefaultParagraphFont"/>
    <w:uiPriority w:val="99"/>
    <w:qFormat/>
    <w:rsid w:val="000E1337"/>
    <w:rPr>
      <w:rFonts w:cs="Times New Roman"/>
      <w:b/>
    </w:rPr>
  </w:style>
  <w:style w:type="character" w:customStyle="1" w:styleId="googqs-tidbit1">
    <w:name w:val="goog_qs-tidbit1"/>
    <w:uiPriority w:val="99"/>
    <w:rsid w:val="000E1337"/>
  </w:style>
  <w:style w:type="character" w:styleId="CommentReference">
    <w:name w:val="annotation reference"/>
    <w:basedOn w:val="DefaultParagraphFont"/>
    <w:uiPriority w:val="99"/>
    <w:semiHidden/>
    <w:rsid w:val="00E66E7D"/>
    <w:rPr>
      <w:rFonts w:cs="Times New Roman"/>
      <w:sz w:val="16"/>
    </w:rPr>
  </w:style>
  <w:style w:type="paragraph" w:styleId="CommentText">
    <w:name w:val="annotation text"/>
    <w:basedOn w:val="Normal"/>
    <w:link w:val="CommentTextChar"/>
    <w:uiPriority w:val="99"/>
    <w:rsid w:val="00E66E7D"/>
    <w:rPr>
      <w:sz w:val="20"/>
      <w:szCs w:val="20"/>
      <w:lang w:val="en-GB"/>
    </w:rPr>
  </w:style>
  <w:style w:type="character" w:customStyle="1" w:styleId="CommentTextChar">
    <w:name w:val="Comment Text Char"/>
    <w:basedOn w:val="DefaultParagraphFont"/>
    <w:link w:val="CommentText"/>
    <w:uiPriority w:val="99"/>
    <w:locked/>
    <w:rsid w:val="00E66E7D"/>
    <w:rPr>
      <w:rFonts w:cs="Times New Roman"/>
      <w:lang w:eastAsia="ja-JP"/>
    </w:rPr>
  </w:style>
  <w:style w:type="paragraph" w:styleId="CommentSubject">
    <w:name w:val="annotation subject"/>
    <w:basedOn w:val="CommentText"/>
    <w:next w:val="CommentText"/>
    <w:link w:val="CommentSubjectChar"/>
    <w:uiPriority w:val="99"/>
    <w:semiHidden/>
    <w:rsid w:val="00E66E7D"/>
    <w:rPr>
      <w:b/>
      <w:bCs/>
    </w:rPr>
  </w:style>
  <w:style w:type="character" w:customStyle="1" w:styleId="CommentSubjectChar">
    <w:name w:val="Comment Subject Char"/>
    <w:basedOn w:val="CommentTextChar"/>
    <w:link w:val="CommentSubject"/>
    <w:uiPriority w:val="99"/>
    <w:semiHidden/>
    <w:locked/>
    <w:rsid w:val="00E66E7D"/>
    <w:rPr>
      <w:b/>
    </w:rPr>
  </w:style>
  <w:style w:type="paragraph" w:customStyle="1" w:styleId="Default">
    <w:name w:val="Default"/>
    <w:uiPriority w:val="99"/>
    <w:rsid w:val="00B86830"/>
    <w:pPr>
      <w:autoSpaceDE w:val="0"/>
      <w:autoSpaceDN w:val="0"/>
      <w:adjustRightInd w:val="0"/>
    </w:pPr>
    <w:rPr>
      <w:rFonts w:ascii="Arial" w:hAnsi="Arial" w:cs="Arial"/>
      <w:color w:val="000000"/>
      <w:sz w:val="24"/>
      <w:szCs w:val="24"/>
      <w:lang w:val="fr-FR" w:eastAsia="fr-FR"/>
    </w:rPr>
  </w:style>
  <w:style w:type="paragraph" w:styleId="EndnoteText">
    <w:name w:val="endnote text"/>
    <w:basedOn w:val="Normal"/>
    <w:link w:val="EndnoteTextChar"/>
    <w:uiPriority w:val="99"/>
    <w:semiHidden/>
    <w:rsid w:val="001626AE"/>
    <w:rPr>
      <w:sz w:val="20"/>
      <w:szCs w:val="20"/>
      <w:lang w:val="en-GB"/>
    </w:rPr>
  </w:style>
  <w:style w:type="character" w:customStyle="1" w:styleId="EndnoteTextChar">
    <w:name w:val="Endnote Text Char"/>
    <w:basedOn w:val="DefaultParagraphFont"/>
    <w:link w:val="EndnoteText"/>
    <w:uiPriority w:val="99"/>
    <w:semiHidden/>
    <w:locked/>
    <w:rsid w:val="001626AE"/>
    <w:rPr>
      <w:rFonts w:cs="Times New Roman"/>
      <w:lang w:eastAsia="ja-JP"/>
    </w:rPr>
  </w:style>
  <w:style w:type="character" w:styleId="EndnoteReference">
    <w:name w:val="endnote reference"/>
    <w:basedOn w:val="DefaultParagraphFont"/>
    <w:uiPriority w:val="99"/>
    <w:semiHidden/>
    <w:rsid w:val="001626AE"/>
    <w:rPr>
      <w:rFonts w:cs="Times New Roman"/>
      <w:vertAlign w:val="superscript"/>
    </w:rPr>
  </w:style>
  <w:style w:type="paragraph" w:styleId="Revision">
    <w:name w:val="Revision"/>
    <w:hidden/>
    <w:uiPriority w:val="99"/>
    <w:semiHidden/>
    <w:rsid w:val="008646DB"/>
    <w:rPr>
      <w:lang w:val="fr-FR" w:eastAsia="ja-JP"/>
    </w:rPr>
  </w:style>
</w:styles>
</file>

<file path=word/webSettings.xml><?xml version="1.0" encoding="utf-8"?>
<w:webSettings xmlns:r="http://schemas.openxmlformats.org/officeDocument/2006/relationships" xmlns:w="http://schemas.openxmlformats.org/wordprocessingml/2006/main">
  <w:divs>
    <w:div w:id="1267805534">
      <w:marLeft w:val="0"/>
      <w:marRight w:val="0"/>
      <w:marTop w:val="0"/>
      <w:marBottom w:val="0"/>
      <w:divBdr>
        <w:top w:val="none" w:sz="0" w:space="0" w:color="auto"/>
        <w:left w:val="none" w:sz="0" w:space="0" w:color="auto"/>
        <w:bottom w:val="none" w:sz="0" w:space="0" w:color="auto"/>
        <w:right w:val="none" w:sz="0" w:space="0" w:color="auto"/>
      </w:divBdr>
    </w:div>
    <w:div w:id="1267805535">
      <w:marLeft w:val="0"/>
      <w:marRight w:val="0"/>
      <w:marTop w:val="0"/>
      <w:marBottom w:val="0"/>
      <w:divBdr>
        <w:top w:val="none" w:sz="0" w:space="0" w:color="auto"/>
        <w:left w:val="none" w:sz="0" w:space="0" w:color="auto"/>
        <w:bottom w:val="none" w:sz="0" w:space="0" w:color="auto"/>
        <w:right w:val="none" w:sz="0" w:space="0" w:color="auto"/>
      </w:divBdr>
    </w:div>
    <w:div w:id="1267805536">
      <w:marLeft w:val="0"/>
      <w:marRight w:val="0"/>
      <w:marTop w:val="0"/>
      <w:marBottom w:val="0"/>
      <w:divBdr>
        <w:top w:val="none" w:sz="0" w:space="0" w:color="auto"/>
        <w:left w:val="none" w:sz="0" w:space="0" w:color="auto"/>
        <w:bottom w:val="none" w:sz="0" w:space="0" w:color="auto"/>
        <w:right w:val="none" w:sz="0" w:space="0" w:color="auto"/>
      </w:divBdr>
    </w:div>
    <w:div w:id="1267805537">
      <w:marLeft w:val="0"/>
      <w:marRight w:val="0"/>
      <w:marTop w:val="0"/>
      <w:marBottom w:val="0"/>
      <w:divBdr>
        <w:top w:val="none" w:sz="0" w:space="0" w:color="auto"/>
        <w:left w:val="none" w:sz="0" w:space="0" w:color="auto"/>
        <w:bottom w:val="none" w:sz="0" w:space="0" w:color="auto"/>
        <w:right w:val="none" w:sz="0" w:space="0" w:color="auto"/>
      </w:divBdr>
    </w:div>
    <w:div w:id="1267805538">
      <w:marLeft w:val="0"/>
      <w:marRight w:val="0"/>
      <w:marTop w:val="0"/>
      <w:marBottom w:val="0"/>
      <w:divBdr>
        <w:top w:val="none" w:sz="0" w:space="0" w:color="auto"/>
        <w:left w:val="none" w:sz="0" w:space="0" w:color="auto"/>
        <w:bottom w:val="none" w:sz="0" w:space="0" w:color="auto"/>
        <w:right w:val="none" w:sz="0" w:space="0" w:color="auto"/>
      </w:divBdr>
    </w:div>
    <w:div w:id="1267805539">
      <w:marLeft w:val="0"/>
      <w:marRight w:val="0"/>
      <w:marTop w:val="0"/>
      <w:marBottom w:val="0"/>
      <w:divBdr>
        <w:top w:val="none" w:sz="0" w:space="0" w:color="auto"/>
        <w:left w:val="none" w:sz="0" w:space="0" w:color="auto"/>
        <w:bottom w:val="none" w:sz="0" w:space="0" w:color="auto"/>
        <w:right w:val="none" w:sz="0" w:space="0" w:color="auto"/>
      </w:divBdr>
    </w:div>
    <w:div w:id="1267805540">
      <w:marLeft w:val="0"/>
      <w:marRight w:val="0"/>
      <w:marTop w:val="0"/>
      <w:marBottom w:val="0"/>
      <w:divBdr>
        <w:top w:val="none" w:sz="0" w:space="0" w:color="auto"/>
        <w:left w:val="none" w:sz="0" w:space="0" w:color="auto"/>
        <w:bottom w:val="none" w:sz="0" w:space="0" w:color="auto"/>
        <w:right w:val="none" w:sz="0" w:space="0" w:color="auto"/>
      </w:divBdr>
    </w:div>
    <w:div w:id="1267805541">
      <w:marLeft w:val="0"/>
      <w:marRight w:val="0"/>
      <w:marTop w:val="0"/>
      <w:marBottom w:val="0"/>
      <w:divBdr>
        <w:top w:val="none" w:sz="0" w:space="0" w:color="auto"/>
        <w:left w:val="none" w:sz="0" w:space="0" w:color="auto"/>
        <w:bottom w:val="none" w:sz="0" w:space="0" w:color="auto"/>
        <w:right w:val="none" w:sz="0" w:space="0" w:color="auto"/>
      </w:divBdr>
    </w:div>
    <w:div w:id="12678055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2485</Words>
  <Characters>13876</Characters>
  <Application>Microsoft Office Outlook</Application>
  <DocSecurity>0</DocSecurity>
  <Lines>0</Lines>
  <Paragraphs>0</Paragraphs>
  <ScaleCrop>false</ScaleCrop>
  <Company>BNP Paribas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BNPP General comments on ITS capital disclosure</dc:title>
  <dc:subject/>
  <dc:creator>EMT</dc:creator>
  <cp:keywords>NOT-APPL</cp:keywords>
  <dc:description>NOT-APPL</dc:description>
  <cp:lastModifiedBy>Richard Boyns</cp:lastModifiedBy>
  <cp:revision>3</cp:revision>
  <cp:lastPrinted>2013-09-26T08:13:00Z</cp:lastPrinted>
  <dcterms:created xsi:type="dcterms:W3CDTF">2013-10-08T21:09:00Z</dcterms:created>
  <dcterms:modified xsi:type="dcterms:W3CDTF">2013-10-08T21:10:00Z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NOT-APPL</vt:lpwstr>
  </property>
  <property fmtid="{D5CDD505-2E9C-101B-9397-08002B2CF9AE}" pid="3" name="Source">
    <vt:lpwstr>External</vt:lpwstr>
  </property>
  <property fmtid="{D5CDD505-2E9C-101B-9397-08002B2CF9AE}" pid="4" name="Footers">
    <vt:lpwstr>External No Footers</vt:lpwstr>
  </property>
  <property fmtid="{D5CDD505-2E9C-101B-9397-08002B2CF9AE}" pid="5" name="DocClassification">
    <vt:lpwstr>CLANOTAPP</vt:lpwstr>
  </property>
</Properties>
</file>