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9C4" w:rsidRDefault="00120BE4" w:rsidP="00DD1D98">
      <w:pPr>
        <w:rPr>
          <w:rFonts w:ascii="Arial" w:hAnsi="Arial" w:cs="Arial"/>
          <w:color w:val="000000"/>
          <w:sz w:val="22"/>
          <w:szCs w:val="22"/>
        </w:rPr>
      </w:pPr>
      <w:bookmarkStart w:id="0" w:name="_GoBack"/>
      <w:bookmarkEnd w:id="0"/>
      <w:r>
        <w:rPr>
          <w:rFonts w:ascii="Arial" w:hAnsi="Arial" w:cs="Arial"/>
          <w:noProof/>
          <w:sz w:val="22"/>
          <w:szCs w:val="22"/>
          <w:lang w:val="es-ES" w:eastAsia="es-ES"/>
        </w:rPr>
        <w:drawing>
          <wp:anchor distT="0" distB="0" distL="114300" distR="114300" simplePos="0" relativeHeight="251657728" behindDoc="0" locked="0" layoutInCell="1" allowOverlap="1">
            <wp:simplePos x="0" y="0"/>
            <wp:positionH relativeFrom="column">
              <wp:posOffset>4965065</wp:posOffset>
            </wp:positionH>
            <wp:positionV relativeFrom="paragraph">
              <wp:posOffset>-590550</wp:posOffset>
            </wp:positionV>
            <wp:extent cx="1260000" cy="92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60000" cy="92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1D98" w:rsidRDefault="00DD1D98" w:rsidP="00DD1D98">
      <w:pPr>
        <w:rPr>
          <w:rFonts w:ascii="Arial" w:hAnsi="Arial" w:cs="Arial"/>
          <w:color w:val="000000"/>
          <w:sz w:val="22"/>
          <w:szCs w:val="22"/>
        </w:rPr>
      </w:pPr>
    </w:p>
    <w:p w:rsidR="00DD1D98" w:rsidRDefault="00DD1D98" w:rsidP="00DD1D98">
      <w:pPr>
        <w:rPr>
          <w:rFonts w:ascii="Arial" w:hAnsi="Arial" w:cs="Arial"/>
          <w:color w:val="000000"/>
          <w:sz w:val="22"/>
          <w:szCs w:val="22"/>
        </w:rPr>
      </w:pPr>
    </w:p>
    <w:p w:rsidR="00DD1D98" w:rsidRDefault="00DD1D98" w:rsidP="00DD1D98">
      <w:pPr>
        <w:rPr>
          <w:rFonts w:ascii="Arial" w:hAnsi="Arial" w:cs="Arial"/>
          <w:color w:val="000000"/>
          <w:sz w:val="22"/>
          <w:szCs w:val="22"/>
        </w:rPr>
      </w:pPr>
    </w:p>
    <w:p w:rsidR="00BD72C4" w:rsidRPr="003F6ED1" w:rsidRDefault="00BD72C4" w:rsidP="00BD72C4">
      <w:pPr>
        <w:pStyle w:val="Default"/>
        <w:jc w:val="center"/>
        <w:rPr>
          <w:rFonts w:ascii="Arial" w:hAnsi="Arial" w:cs="Arial"/>
          <w:sz w:val="22"/>
          <w:szCs w:val="22"/>
        </w:rPr>
      </w:pPr>
      <w:r w:rsidRPr="003F6ED1">
        <w:rPr>
          <w:rFonts w:ascii="Arial" w:hAnsi="Arial" w:cs="Arial"/>
          <w:sz w:val="22"/>
          <w:szCs w:val="22"/>
        </w:rPr>
        <w:t>A response by the British Bankers</w:t>
      </w:r>
      <w:r w:rsidR="00F32D2A">
        <w:rPr>
          <w:rFonts w:ascii="Arial" w:hAnsi="Arial" w:cs="Arial"/>
          <w:sz w:val="22"/>
          <w:szCs w:val="22"/>
        </w:rPr>
        <w:t>’</w:t>
      </w:r>
      <w:r w:rsidRPr="003F6ED1">
        <w:rPr>
          <w:rFonts w:ascii="Arial" w:hAnsi="Arial" w:cs="Arial"/>
          <w:sz w:val="22"/>
          <w:szCs w:val="22"/>
        </w:rPr>
        <w:t xml:space="preserve"> Association to the </w:t>
      </w:r>
      <w:r w:rsidR="006410D4">
        <w:rPr>
          <w:rFonts w:ascii="Arial" w:hAnsi="Arial" w:cs="Arial"/>
          <w:sz w:val="22"/>
          <w:szCs w:val="22"/>
        </w:rPr>
        <w:t>EBA</w:t>
      </w:r>
      <w:r w:rsidRPr="003F6ED1">
        <w:rPr>
          <w:rFonts w:ascii="Arial" w:hAnsi="Arial" w:cs="Arial"/>
          <w:sz w:val="22"/>
          <w:szCs w:val="22"/>
        </w:rPr>
        <w:t xml:space="preserve">’s </w:t>
      </w:r>
      <w:r w:rsidR="003B7DAD">
        <w:rPr>
          <w:rFonts w:ascii="Arial" w:hAnsi="Arial" w:cs="Arial"/>
          <w:sz w:val="22"/>
          <w:szCs w:val="22"/>
        </w:rPr>
        <w:t>consultation paper</w:t>
      </w:r>
      <w:r w:rsidRPr="003F6ED1">
        <w:rPr>
          <w:rFonts w:ascii="Arial" w:hAnsi="Arial" w:cs="Arial"/>
          <w:sz w:val="22"/>
          <w:szCs w:val="22"/>
        </w:rPr>
        <w:t xml:space="preserve"> on</w:t>
      </w:r>
      <w:r w:rsidR="00BE712A">
        <w:rPr>
          <w:rFonts w:ascii="Arial" w:hAnsi="Arial" w:cs="Arial"/>
          <w:sz w:val="22"/>
          <w:szCs w:val="22"/>
        </w:rPr>
        <w:t>:</w:t>
      </w:r>
    </w:p>
    <w:p w:rsidR="00BD72C4" w:rsidRDefault="006410D4" w:rsidP="006410D4">
      <w:pPr>
        <w:pStyle w:val="Default"/>
        <w:tabs>
          <w:tab w:val="left" w:pos="6090"/>
        </w:tabs>
        <w:rPr>
          <w:rFonts w:ascii="Arial" w:hAnsi="Arial" w:cs="Arial"/>
          <w:sz w:val="28"/>
          <w:szCs w:val="28"/>
        </w:rPr>
      </w:pPr>
      <w:r>
        <w:rPr>
          <w:rFonts w:ascii="Arial" w:hAnsi="Arial" w:cs="Arial"/>
          <w:sz w:val="28"/>
          <w:szCs w:val="28"/>
        </w:rPr>
        <w:tab/>
      </w:r>
    </w:p>
    <w:p w:rsidR="00BD72C4" w:rsidRDefault="002E297B" w:rsidP="00BD72C4">
      <w:pPr>
        <w:pStyle w:val="Default"/>
        <w:jc w:val="center"/>
        <w:rPr>
          <w:rFonts w:ascii="Segoe UI" w:hAnsi="Segoe UI" w:cs="Segoe UI"/>
          <w:b/>
          <w:bCs/>
          <w:color w:val="auto"/>
          <w:kern w:val="36"/>
          <w:sz w:val="29"/>
          <w:szCs w:val="29"/>
        </w:rPr>
      </w:pPr>
      <w:r>
        <w:rPr>
          <w:rFonts w:ascii="Segoe UI" w:hAnsi="Segoe UI" w:cs="Segoe UI"/>
          <w:b/>
          <w:bCs/>
          <w:color w:val="auto"/>
          <w:kern w:val="36"/>
          <w:sz w:val="29"/>
          <w:szCs w:val="29"/>
        </w:rPr>
        <w:t>Draft Regulatory Technical Standards on disclosure of encumbered and unencumbered assets under article 443 of the CRR</w:t>
      </w:r>
    </w:p>
    <w:p w:rsidR="006410D4" w:rsidRPr="00831C42" w:rsidRDefault="006410D4" w:rsidP="00BD72C4">
      <w:pPr>
        <w:pStyle w:val="Default"/>
        <w:jc w:val="center"/>
        <w:rPr>
          <w:rFonts w:ascii="Arial" w:hAnsi="Arial" w:cs="Arial"/>
          <w:sz w:val="20"/>
          <w:szCs w:val="20"/>
        </w:rPr>
      </w:pPr>
    </w:p>
    <w:p w:rsidR="00BD72C4" w:rsidRDefault="002E297B" w:rsidP="00BD72C4">
      <w:pPr>
        <w:pStyle w:val="Default"/>
        <w:jc w:val="center"/>
        <w:rPr>
          <w:rFonts w:ascii="Arial" w:hAnsi="Arial" w:cs="Arial"/>
          <w:i/>
        </w:rPr>
      </w:pPr>
      <w:r>
        <w:rPr>
          <w:rFonts w:ascii="Arial" w:hAnsi="Arial" w:cs="Arial"/>
          <w:i/>
        </w:rPr>
        <w:t>July</w:t>
      </w:r>
      <w:r w:rsidR="00BD72C4" w:rsidRPr="003F6ED1">
        <w:rPr>
          <w:rFonts w:ascii="Arial" w:hAnsi="Arial" w:cs="Arial"/>
          <w:i/>
        </w:rPr>
        <w:t xml:space="preserve"> 2016</w:t>
      </w:r>
    </w:p>
    <w:p w:rsidR="00BD72C4" w:rsidRDefault="00BD72C4" w:rsidP="00BD72C4">
      <w:pPr>
        <w:pStyle w:val="Default"/>
        <w:jc w:val="center"/>
        <w:rPr>
          <w:rFonts w:ascii="Arial" w:hAnsi="Arial" w:cs="Arial"/>
          <w:i/>
        </w:rPr>
      </w:pPr>
    </w:p>
    <w:p w:rsidR="00BD72C4" w:rsidRPr="00D10864" w:rsidRDefault="00BD72C4" w:rsidP="00BD72C4">
      <w:pPr>
        <w:jc w:val="center"/>
        <w:rPr>
          <w:rFonts w:ascii="Arial" w:hAnsi="Arial" w:cs="Arial"/>
          <w:b/>
          <w:i/>
          <w:sz w:val="18"/>
          <w:szCs w:val="18"/>
        </w:rPr>
      </w:pPr>
    </w:p>
    <w:p w:rsidR="00BD72C4" w:rsidRDefault="00BD72C4" w:rsidP="00BD72C4">
      <w:pPr>
        <w:ind w:left="4320" w:hanging="2160"/>
        <w:rPr>
          <w:rFonts w:ascii="Arial" w:hAnsi="Arial" w:cs="Arial"/>
          <w:color w:val="000000"/>
          <w:sz w:val="20"/>
        </w:rPr>
      </w:pPr>
      <w:r>
        <w:rPr>
          <w:rFonts w:ascii="Arial" w:hAnsi="Arial" w:cs="Arial"/>
          <w:color w:val="000000"/>
          <w:sz w:val="20"/>
        </w:rPr>
        <w:tab/>
        <w:t xml:space="preserve"> </w:t>
      </w:r>
    </w:p>
    <w:p w:rsidR="00BD72C4" w:rsidRDefault="00BD72C4" w:rsidP="00BD72C4">
      <w:pPr>
        <w:rPr>
          <w:rFonts w:ascii="Arial" w:hAnsi="Arial" w:cs="Arial"/>
          <w:color w:val="000000"/>
          <w:sz w:val="22"/>
          <w:szCs w:val="22"/>
        </w:rPr>
      </w:pPr>
    </w:p>
    <w:p w:rsidR="00BD72C4" w:rsidRPr="007730B2" w:rsidRDefault="00BD72C4" w:rsidP="00BD72C4">
      <w:pPr>
        <w:autoSpaceDE w:val="0"/>
        <w:autoSpaceDN w:val="0"/>
        <w:adjustRightInd w:val="0"/>
        <w:rPr>
          <w:rFonts w:ascii="Arial" w:hAnsi="Arial" w:cs="Arial"/>
          <w:b/>
          <w:bCs/>
          <w:color w:val="000000"/>
          <w:sz w:val="22"/>
          <w:szCs w:val="22"/>
          <w:lang w:eastAsia="en-GB"/>
        </w:rPr>
      </w:pPr>
      <w:r w:rsidRPr="007730B2">
        <w:rPr>
          <w:rFonts w:ascii="Arial" w:hAnsi="Arial" w:cs="Arial"/>
          <w:b/>
          <w:bCs/>
          <w:color w:val="000000"/>
          <w:sz w:val="22"/>
          <w:szCs w:val="22"/>
          <w:lang w:eastAsia="en-GB"/>
        </w:rPr>
        <w:t>Introduction</w:t>
      </w:r>
    </w:p>
    <w:p w:rsidR="00BD72C4" w:rsidRPr="007730B2" w:rsidRDefault="00BD72C4" w:rsidP="00BD72C4">
      <w:pPr>
        <w:autoSpaceDE w:val="0"/>
        <w:autoSpaceDN w:val="0"/>
        <w:adjustRightInd w:val="0"/>
        <w:rPr>
          <w:rFonts w:ascii="Arial" w:hAnsi="Arial" w:cs="Arial"/>
          <w:color w:val="000000"/>
          <w:szCs w:val="24"/>
          <w:lang w:eastAsia="en-GB"/>
        </w:rPr>
      </w:pPr>
    </w:p>
    <w:p w:rsidR="00BE712A" w:rsidRPr="009C1E92" w:rsidRDefault="00BD72C4" w:rsidP="00313146">
      <w:pPr>
        <w:shd w:val="clear" w:color="auto" w:fill="FFFFFF"/>
        <w:spacing w:after="75" w:line="276" w:lineRule="auto"/>
        <w:jc w:val="both"/>
        <w:textAlignment w:val="baseline"/>
        <w:outlineLvl w:val="0"/>
        <w:rPr>
          <w:rFonts w:ascii="Arial" w:hAnsi="Arial" w:cs="Arial"/>
          <w:color w:val="000000"/>
          <w:sz w:val="22"/>
          <w:szCs w:val="22"/>
          <w:lang w:eastAsia="en-GB"/>
        </w:rPr>
      </w:pPr>
      <w:r w:rsidRPr="007730B2">
        <w:rPr>
          <w:rFonts w:ascii="Arial" w:hAnsi="Arial" w:cs="Arial"/>
          <w:color w:val="000000"/>
          <w:sz w:val="22"/>
          <w:szCs w:val="22"/>
          <w:lang w:eastAsia="en-GB"/>
        </w:rPr>
        <w:t xml:space="preserve">The BBA is pleased to respond to the </w:t>
      </w:r>
      <w:r w:rsidR="006410D4">
        <w:rPr>
          <w:rFonts w:ascii="Arial" w:hAnsi="Arial" w:cs="Arial"/>
          <w:sz w:val="22"/>
          <w:szCs w:val="22"/>
        </w:rPr>
        <w:t>European Banking Authority</w:t>
      </w:r>
      <w:r w:rsidRPr="007730B2">
        <w:rPr>
          <w:rFonts w:ascii="Arial" w:hAnsi="Arial" w:cs="Arial"/>
          <w:color w:val="000000"/>
          <w:sz w:val="22"/>
          <w:szCs w:val="22"/>
          <w:lang w:eastAsia="en-GB"/>
        </w:rPr>
        <w:t xml:space="preserve">’s consultation paper </w:t>
      </w:r>
      <w:r w:rsidR="00BE712A">
        <w:rPr>
          <w:rFonts w:ascii="Arial" w:hAnsi="Arial" w:cs="Arial"/>
          <w:color w:val="000000"/>
          <w:sz w:val="22"/>
          <w:szCs w:val="22"/>
          <w:lang w:eastAsia="en-GB"/>
        </w:rPr>
        <w:t xml:space="preserve">on </w:t>
      </w:r>
      <w:r w:rsidR="002E297B" w:rsidRPr="002E297B">
        <w:rPr>
          <w:rFonts w:ascii="Arial" w:hAnsi="Arial" w:cs="Arial"/>
          <w:color w:val="000000"/>
          <w:sz w:val="22"/>
          <w:szCs w:val="22"/>
          <w:lang w:eastAsia="en-GB"/>
        </w:rPr>
        <w:t>disclosure of encumbered and unencumbered assets</w:t>
      </w:r>
      <w:r w:rsidR="00BE712A">
        <w:rPr>
          <w:rStyle w:val="FootnoteReference"/>
          <w:rFonts w:ascii="Arial" w:hAnsi="Arial" w:cs="Arial"/>
          <w:color w:val="000000"/>
          <w:sz w:val="22"/>
          <w:szCs w:val="22"/>
          <w:lang w:eastAsia="en-GB"/>
        </w:rPr>
        <w:footnoteReference w:id="1"/>
      </w:r>
      <w:r w:rsidR="00823591">
        <w:rPr>
          <w:rFonts w:ascii="Arial" w:hAnsi="Arial" w:cs="Arial"/>
          <w:color w:val="000000"/>
          <w:sz w:val="22"/>
          <w:szCs w:val="22"/>
          <w:lang w:eastAsia="en-GB"/>
        </w:rPr>
        <w:t>.</w:t>
      </w:r>
    </w:p>
    <w:p w:rsidR="00BD72C4" w:rsidRPr="007730B2"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313146">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The BBA is the leading association for UK banking and financial services representing members on the full range of UK and inte</w:t>
      </w:r>
      <w:r w:rsidR="00823591">
        <w:rPr>
          <w:rFonts w:ascii="Arial" w:hAnsi="Arial" w:cs="Arial"/>
          <w:color w:val="000000"/>
          <w:sz w:val="22"/>
          <w:szCs w:val="22"/>
          <w:lang w:eastAsia="en-GB"/>
        </w:rPr>
        <w:t>rnational banking issues. It has</w:t>
      </w:r>
      <w:r w:rsidRPr="007730B2">
        <w:rPr>
          <w:rFonts w:ascii="Arial" w:hAnsi="Arial" w:cs="Arial"/>
          <w:color w:val="000000"/>
          <w:sz w:val="22"/>
          <w:szCs w:val="22"/>
          <w:lang w:eastAsia="en-GB"/>
        </w:rPr>
        <w:t xml:space="preserve"> over 200 banking members active in the UK, which are headquartered in 50 countries and have operations in 180 countries worldwide. Eighty per cent of global systemically important ban</w:t>
      </w:r>
      <w:r w:rsidR="00F82AE9">
        <w:rPr>
          <w:rFonts w:ascii="Arial" w:hAnsi="Arial" w:cs="Arial"/>
          <w:color w:val="000000"/>
          <w:sz w:val="22"/>
          <w:szCs w:val="22"/>
          <w:lang w:eastAsia="en-GB"/>
        </w:rPr>
        <w:t>ks are members of the BBA.</w:t>
      </w: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 xml:space="preserve">As the representative of the world’s largest international banking cluster the </w:t>
      </w:r>
      <w:r w:rsidR="00F82AE9">
        <w:rPr>
          <w:rFonts w:ascii="Arial" w:hAnsi="Arial" w:cs="Arial"/>
          <w:color w:val="000000"/>
          <w:sz w:val="22"/>
          <w:szCs w:val="22"/>
          <w:lang w:eastAsia="en-GB"/>
        </w:rPr>
        <w:t>BBA is the voice of UK banking.</w:t>
      </w:r>
    </w:p>
    <w:p w:rsidR="00BD72C4" w:rsidRPr="007730B2" w:rsidRDefault="00BD72C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313146">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All the major banking groups in the UK are members of our association as are large international EU banks, US and Canadian banks operating in the UK as well as a range of other banks from Asia, including China, the Middle East, Africa and South America. The integrated nature of banking means that our members are engaged in activities ranging widely across the financial spectrum from deposit taking and other more conventional forms of retail and commercial banking to products and services as diverse as trade and project finance, primary and secondary securities trading, insurance, investment banking and wealth managemen</w:t>
      </w:r>
      <w:r w:rsidR="00335F55">
        <w:rPr>
          <w:rFonts w:ascii="Arial" w:hAnsi="Arial" w:cs="Arial"/>
          <w:color w:val="000000"/>
          <w:sz w:val="22"/>
          <w:szCs w:val="22"/>
          <w:lang w:eastAsia="en-GB"/>
        </w:rPr>
        <w:t>t.</w:t>
      </w:r>
    </w:p>
    <w:p w:rsidR="00C274A4" w:rsidRDefault="00C274A4" w:rsidP="00BD72C4">
      <w:pPr>
        <w:autoSpaceDE w:val="0"/>
        <w:autoSpaceDN w:val="0"/>
        <w:adjustRightInd w:val="0"/>
        <w:spacing w:line="276" w:lineRule="auto"/>
        <w:jc w:val="both"/>
        <w:rPr>
          <w:rFonts w:ascii="Arial" w:hAnsi="Arial" w:cs="Arial"/>
          <w:color w:val="000000"/>
          <w:sz w:val="22"/>
          <w:szCs w:val="22"/>
          <w:lang w:eastAsia="en-GB"/>
        </w:rPr>
      </w:pPr>
    </w:p>
    <w:p w:rsidR="00BD72C4" w:rsidRDefault="00BD72C4" w:rsidP="00BD72C4">
      <w:pPr>
        <w:autoSpaceDE w:val="0"/>
        <w:autoSpaceDN w:val="0"/>
        <w:adjustRightInd w:val="0"/>
        <w:spacing w:line="276" w:lineRule="auto"/>
        <w:jc w:val="both"/>
        <w:rPr>
          <w:rFonts w:ascii="Arial" w:hAnsi="Arial" w:cs="Arial"/>
          <w:color w:val="000000"/>
          <w:sz w:val="22"/>
          <w:szCs w:val="22"/>
          <w:lang w:eastAsia="en-GB"/>
        </w:rPr>
      </w:pPr>
      <w:r w:rsidRPr="007730B2">
        <w:rPr>
          <w:rFonts w:ascii="Arial" w:hAnsi="Arial" w:cs="Arial"/>
          <w:color w:val="000000"/>
          <w:sz w:val="22"/>
          <w:szCs w:val="22"/>
          <w:lang w:eastAsia="en-GB"/>
        </w:rPr>
        <w:t>Our members manage more than £7 trillion in UK banking assets, employ nearly half a million individuals nationally, contribute over £60 billion to the UK economy each year and lend over</w:t>
      </w:r>
      <w:r w:rsidR="00AA6441">
        <w:rPr>
          <w:rFonts w:ascii="Arial" w:hAnsi="Arial" w:cs="Arial"/>
          <w:color w:val="000000"/>
          <w:sz w:val="22"/>
          <w:szCs w:val="22"/>
          <w:lang w:eastAsia="en-GB"/>
        </w:rPr>
        <w:t xml:space="preserve"> £150 billion to UK businesses.</w:t>
      </w:r>
    </w:p>
    <w:p w:rsidR="00D91C4E" w:rsidRDefault="00D91C4E" w:rsidP="0002490C">
      <w:pPr>
        <w:rPr>
          <w:rFonts w:ascii="Arial" w:hAnsi="Arial" w:cs="Arial"/>
          <w:color w:val="000000"/>
          <w:sz w:val="22"/>
          <w:szCs w:val="22"/>
        </w:rPr>
      </w:pPr>
    </w:p>
    <w:p w:rsidR="00F32D2A" w:rsidRDefault="00F32D2A" w:rsidP="0002490C">
      <w:pPr>
        <w:rPr>
          <w:rFonts w:ascii="Arial" w:hAnsi="Arial" w:cs="Arial"/>
          <w:b/>
          <w:color w:val="000000"/>
          <w:sz w:val="22"/>
          <w:szCs w:val="22"/>
        </w:rPr>
      </w:pPr>
    </w:p>
    <w:p w:rsidR="00F32D2A" w:rsidRDefault="00F32D2A" w:rsidP="0002490C">
      <w:pPr>
        <w:rPr>
          <w:rFonts w:ascii="Arial" w:hAnsi="Arial" w:cs="Arial"/>
          <w:b/>
          <w:color w:val="000000"/>
          <w:sz w:val="22"/>
          <w:szCs w:val="22"/>
        </w:rPr>
      </w:pPr>
    </w:p>
    <w:p w:rsidR="00F32D2A" w:rsidRDefault="00F32D2A" w:rsidP="0002490C">
      <w:pPr>
        <w:rPr>
          <w:rFonts w:ascii="Arial" w:hAnsi="Arial" w:cs="Arial"/>
          <w:b/>
          <w:color w:val="000000"/>
          <w:sz w:val="22"/>
          <w:szCs w:val="22"/>
        </w:rPr>
      </w:pPr>
    </w:p>
    <w:p w:rsidR="00F32D2A" w:rsidRDefault="00F32D2A" w:rsidP="0002490C">
      <w:pPr>
        <w:rPr>
          <w:rFonts w:ascii="Arial" w:hAnsi="Arial" w:cs="Arial"/>
          <w:b/>
          <w:color w:val="000000"/>
          <w:sz w:val="22"/>
          <w:szCs w:val="22"/>
        </w:rPr>
      </w:pPr>
    </w:p>
    <w:p w:rsidR="00F32D2A" w:rsidRDefault="00F32D2A" w:rsidP="0002490C">
      <w:pPr>
        <w:rPr>
          <w:rFonts w:ascii="Arial" w:hAnsi="Arial" w:cs="Arial"/>
          <w:b/>
          <w:color w:val="000000"/>
          <w:sz w:val="22"/>
          <w:szCs w:val="22"/>
        </w:rPr>
      </w:pPr>
    </w:p>
    <w:p w:rsidR="00335F55" w:rsidRPr="00335F55" w:rsidRDefault="00335F55" w:rsidP="0002490C">
      <w:pPr>
        <w:rPr>
          <w:rFonts w:ascii="Arial" w:hAnsi="Arial" w:cs="Arial"/>
          <w:b/>
          <w:color w:val="000000"/>
          <w:sz w:val="22"/>
          <w:szCs w:val="22"/>
        </w:rPr>
      </w:pPr>
      <w:r w:rsidRPr="00335F55">
        <w:rPr>
          <w:rFonts w:ascii="Arial" w:hAnsi="Arial" w:cs="Arial"/>
          <w:b/>
          <w:color w:val="000000"/>
          <w:sz w:val="22"/>
          <w:szCs w:val="22"/>
        </w:rPr>
        <w:lastRenderedPageBreak/>
        <w:t>Key Messages</w:t>
      </w:r>
    </w:p>
    <w:p w:rsidR="00335F55" w:rsidRDefault="00335F55" w:rsidP="0002490C">
      <w:pPr>
        <w:rPr>
          <w:rFonts w:ascii="Arial" w:hAnsi="Arial" w:cs="Arial"/>
          <w:color w:val="000000"/>
          <w:sz w:val="22"/>
          <w:szCs w:val="22"/>
        </w:rPr>
      </w:pPr>
    </w:p>
    <w:p w:rsidR="00E31F1C" w:rsidRDefault="004F1E9F" w:rsidP="00BE4BA7">
      <w:pPr>
        <w:jc w:val="both"/>
        <w:rPr>
          <w:rFonts w:ascii="Arial" w:hAnsi="Arial" w:cs="Arial"/>
          <w:color w:val="000000"/>
          <w:sz w:val="22"/>
          <w:szCs w:val="22"/>
        </w:rPr>
      </w:pPr>
      <w:r>
        <w:rPr>
          <w:rFonts w:ascii="Arial" w:hAnsi="Arial" w:cs="Arial"/>
          <w:color w:val="000000"/>
          <w:sz w:val="22"/>
          <w:szCs w:val="22"/>
        </w:rPr>
        <w:t xml:space="preserve">We welcome the EBA’s </w:t>
      </w:r>
      <w:r w:rsidR="00BE4BA7" w:rsidRPr="00BE4BA7">
        <w:rPr>
          <w:rFonts w:ascii="Arial" w:hAnsi="Arial" w:cs="Arial"/>
          <w:color w:val="000000"/>
          <w:sz w:val="22"/>
          <w:szCs w:val="22"/>
        </w:rPr>
        <w:t>Regulatory Technical Standards on disclosure of encumbered and unencumbered assets</w:t>
      </w:r>
      <w:r w:rsidR="00BE4BA7">
        <w:rPr>
          <w:rFonts w:ascii="Arial" w:hAnsi="Arial" w:cs="Arial"/>
          <w:color w:val="000000"/>
          <w:sz w:val="22"/>
          <w:szCs w:val="22"/>
        </w:rPr>
        <w:t xml:space="preserve">, as we believe they facilitate the provision of transparent and harmonised information </w:t>
      </w:r>
      <w:r w:rsidR="00BE4BA7" w:rsidRPr="00BE4BA7">
        <w:rPr>
          <w:rFonts w:ascii="Arial" w:hAnsi="Arial" w:cs="Arial"/>
          <w:color w:val="000000"/>
          <w:sz w:val="22"/>
          <w:szCs w:val="22"/>
        </w:rPr>
        <w:t>on asset</w:t>
      </w:r>
      <w:r w:rsidR="00BE4BA7">
        <w:rPr>
          <w:rFonts w:ascii="Arial" w:hAnsi="Arial" w:cs="Arial"/>
          <w:color w:val="000000"/>
          <w:sz w:val="22"/>
          <w:szCs w:val="22"/>
        </w:rPr>
        <w:t xml:space="preserve"> </w:t>
      </w:r>
      <w:r w:rsidR="00BE4BA7" w:rsidRPr="00BE4BA7">
        <w:rPr>
          <w:rFonts w:ascii="Arial" w:hAnsi="Arial" w:cs="Arial"/>
          <w:color w:val="000000"/>
          <w:sz w:val="22"/>
          <w:szCs w:val="22"/>
        </w:rPr>
        <w:t xml:space="preserve">encumbrance </w:t>
      </w:r>
      <w:r w:rsidR="00BE4BA7">
        <w:rPr>
          <w:rFonts w:ascii="Arial" w:hAnsi="Arial" w:cs="Arial"/>
          <w:color w:val="000000"/>
          <w:sz w:val="22"/>
          <w:szCs w:val="22"/>
        </w:rPr>
        <w:t xml:space="preserve">by financial institutions </w:t>
      </w:r>
      <w:r w:rsidR="00BE4BA7" w:rsidRPr="00BE4BA7">
        <w:rPr>
          <w:rFonts w:ascii="Arial" w:hAnsi="Arial" w:cs="Arial"/>
          <w:color w:val="000000"/>
          <w:sz w:val="22"/>
          <w:szCs w:val="22"/>
        </w:rPr>
        <w:t>across Member States</w:t>
      </w:r>
      <w:r w:rsidR="00753BD0">
        <w:rPr>
          <w:rFonts w:ascii="Arial" w:hAnsi="Arial" w:cs="Arial"/>
          <w:color w:val="000000"/>
          <w:sz w:val="22"/>
          <w:szCs w:val="22"/>
        </w:rPr>
        <w:t xml:space="preserve">, and enable </w:t>
      </w:r>
      <w:r w:rsidR="00753BD0" w:rsidRPr="00753BD0">
        <w:rPr>
          <w:rFonts w:ascii="Arial" w:hAnsi="Arial" w:cs="Arial"/>
          <w:color w:val="000000"/>
          <w:sz w:val="22"/>
          <w:szCs w:val="22"/>
        </w:rPr>
        <w:t>market participants to compare the institutions in a clear and consistent manner</w:t>
      </w:r>
      <w:r w:rsidR="00753BD0">
        <w:rPr>
          <w:rFonts w:ascii="Arial" w:hAnsi="Arial" w:cs="Arial"/>
          <w:color w:val="000000"/>
          <w:sz w:val="22"/>
          <w:szCs w:val="22"/>
        </w:rPr>
        <w:t>.</w:t>
      </w:r>
      <w:r w:rsidR="008C4AFE">
        <w:rPr>
          <w:rFonts w:ascii="Arial" w:hAnsi="Arial" w:cs="Arial"/>
          <w:color w:val="000000"/>
          <w:sz w:val="22"/>
          <w:szCs w:val="22"/>
        </w:rPr>
        <w:t xml:space="preserve"> In general, we agree with most of the information requirements proposed as part of this consultation. We believe the fields included in the different templates are in line with the ESRB</w:t>
      </w:r>
      <w:r w:rsidR="008C4AFE" w:rsidRPr="008C4AFE">
        <w:rPr>
          <w:rFonts w:ascii="Arial" w:hAnsi="Arial" w:cs="Arial"/>
          <w:color w:val="000000"/>
          <w:sz w:val="22"/>
          <w:szCs w:val="22"/>
        </w:rPr>
        <w:t xml:space="preserve"> </w:t>
      </w:r>
      <w:r w:rsidR="008C4AFE">
        <w:rPr>
          <w:rFonts w:ascii="Arial" w:hAnsi="Arial" w:cs="Arial"/>
          <w:color w:val="000000"/>
          <w:sz w:val="22"/>
          <w:szCs w:val="22"/>
        </w:rPr>
        <w:t>r</w:t>
      </w:r>
      <w:r w:rsidR="008C4AFE" w:rsidRPr="008C4AFE">
        <w:rPr>
          <w:rFonts w:ascii="Arial" w:hAnsi="Arial" w:cs="Arial"/>
          <w:color w:val="000000"/>
          <w:sz w:val="22"/>
          <w:szCs w:val="22"/>
        </w:rPr>
        <w:t>ecommendation</w:t>
      </w:r>
      <w:r w:rsidR="008C4AFE">
        <w:rPr>
          <w:rFonts w:ascii="Arial" w:hAnsi="Arial" w:cs="Arial"/>
          <w:color w:val="000000"/>
          <w:sz w:val="22"/>
          <w:szCs w:val="22"/>
        </w:rPr>
        <w:t>s and practically reflect a subset of our members’ annual reports.</w:t>
      </w:r>
    </w:p>
    <w:p w:rsidR="008C4AFE" w:rsidRDefault="008C4AFE" w:rsidP="00BE4BA7">
      <w:pPr>
        <w:jc w:val="both"/>
        <w:rPr>
          <w:rFonts w:ascii="Arial" w:hAnsi="Arial" w:cs="Arial"/>
          <w:color w:val="000000"/>
          <w:sz w:val="22"/>
          <w:szCs w:val="22"/>
        </w:rPr>
      </w:pPr>
    </w:p>
    <w:p w:rsidR="008C4AFE" w:rsidRDefault="008C4AFE" w:rsidP="008C4AFE">
      <w:pPr>
        <w:jc w:val="both"/>
        <w:rPr>
          <w:rFonts w:ascii="Arial" w:hAnsi="Arial" w:cs="Arial"/>
          <w:color w:val="000000"/>
          <w:sz w:val="22"/>
          <w:szCs w:val="22"/>
        </w:rPr>
      </w:pPr>
      <w:r>
        <w:rPr>
          <w:rFonts w:ascii="Arial" w:hAnsi="Arial" w:cs="Arial"/>
          <w:color w:val="000000"/>
          <w:sz w:val="22"/>
          <w:szCs w:val="22"/>
        </w:rPr>
        <w:t>One area of concern</w:t>
      </w:r>
      <w:r w:rsidR="00F32D2A">
        <w:rPr>
          <w:rFonts w:ascii="Arial" w:hAnsi="Arial" w:cs="Arial"/>
          <w:color w:val="000000"/>
          <w:sz w:val="22"/>
          <w:szCs w:val="22"/>
        </w:rPr>
        <w:t xml:space="preserve"> however</w:t>
      </w:r>
      <w:r>
        <w:rPr>
          <w:rFonts w:ascii="Arial" w:hAnsi="Arial" w:cs="Arial"/>
          <w:color w:val="000000"/>
          <w:sz w:val="22"/>
          <w:szCs w:val="22"/>
        </w:rPr>
        <w:t xml:space="preserve"> is </w:t>
      </w:r>
      <w:r w:rsidRPr="008C4AFE">
        <w:rPr>
          <w:rFonts w:ascii="Arial" w:hAnsi="Arial" w:cs="Arial"/>
          <w:color w:val="000000"/>
          <w:sz w:val="22"/>
          <w:szCs w:val="22"/>
        </w:rPr>
        <w:t>the disclosure of assets of extremely high liquidity and credit quality</w:t>
      </w:r>
      <w:r>
        <w:rPr>
          <w:rFonts w:ascii="Arial" w:hAnsi="Arial" w:cs="Arial"/>
          <w:color w:val="000000"/>
          <w:sz w:val="22"/>
          <w:szCs w:val="22"/>
        </w:rPr>
        <w:t xml:space="preserve"> </w:t>
      </w:r>
      <w:r w:rsidRPr="008C4AFE">
        <w:rPr>
          <w:rFonts w:ascii="Arial" w:hAnsi="Arial" w:cs="Arial"/>
          <w:color w:val="000000"/>
          <w:sz w:val="22"/>
          <w:szCs w:val="22"/>
        </w:rPr>
        <w:t>(EHQLA) and assets of high liquidity and credit quality (HQLA) as the most relevant information possible in terms of asset</w:t>
      </w:r>
      <w:r>
        <w:rPr>
          <w:rFonts w:ascii="Arial" w:hAnsi="Arial" w:cs="Arial"/>
          <w:color w:val="000000"/>
          <w:sz w:val="22"/>
          <w:szCs w:val="22"/>
        </w:rPr>
        <w:t xml:space="preserve"> </w:t>
      </w:r>
      <w:r w:rsidRPr="008C4AFE">
        <w:rPr>
          <w:rFonts w:ascii="Arial" w:hAnsi="Arial" w:cs="Arial"/>
          <w:color w:val="000000"/>
          <w:sz w:val="22"/>
          <w:szCs w:val="22"/>
        </w:rPr>
        <w:t>quality of encumbered and unencumbered assets</w:t>
      </w:r>
      <w:r>
        <w:rPr>
          <w:rFonts w:ascii="Arial" w:hAnsi="Arial" w:cs="Arial"/>
          <w:color w:val="000000"/>
          <w:sz w:val="22"/>
          <w:szCs w:val="22"/>
        </w:rPr>
        <w:t xml:space="preserve">. Our members note that this approach </w:t>
      </w:r>
      <w:r w:rsidR="00F32D2A">
        <w:rPr>
          <w:rFonts w:ascii="Arial" w:hAnsi="Arial" w:cs="Arial"/>
          <w:color w:val="000000"/>
          <w:sz w:val="22"/>
          <w:szCs w:val="22"/>
        </w:rPr>
        <w:t>is overly complex</w:t>
      </w:r>
      <w:r>
        <w:rPr>
          <w:rFonts w:ascii="Arial" w:hAnsi="Arial" w:cs="Arial"/>
          <w:color w:val="000000"/>
          <w:sz w:val="22"/>
          <w:szCs w:val="22"/>
        </w:rPr>
        <w:t xml:space="preserve"> and does not add any additional value than the standard concept of central bank eligibility for assessing quality of assets.</w:t>
      </w:r>
    </w:p>
    <w:p w:rsidR="008C4AFE" w:rsidRDefault="008C4AFE" w:rsidP="008C4AFE">
      <w:pPr>
        <w:jc w:val="both"/>
        <w:rPr>
          <w:rFonts w:ascii="Arial" w:hAnsi="Arial" w:cs="Arial"/>
          <w:color w:val="000000"/>
          <w:sz w:val="22"/>
          <w:szCs w:val="22"/>
        </w:rPr>
      </w:pPr>
    </w:p>
    <w:p w:rsidR="008C4AFE" w:rsidRDefault="008C4AFE" w:rsidP="00BE4BA7">
      <w:pPr>
        <w:jc w:val="both"/>
        <w:rPr>
          <w:rFonts w:ascii="Arial" w:hAnsi="Arial" w:cs="Arial"/>
          <w:color w:val="000000"/>
          <w:sz w:val="22"/>
          <w:szCs w:val="22"/>
        </w:rPr>
      </w:pPr>
      <w:r>
        <w:rPr>
          <w:rFonts w:ascii="Arial" w:hAnsi="Arial" w:cs="Arial"/>
          <w:color w:val="000000"/>
          <w:sz w:val="22"/>
          <w:szCs w:val="22"/>
        </w:rPr>
        <w:t>Furthermore, although we agree with the requirements for qualitative disclosures under Template D, we believe that some of the information required may carry risk of duplication with content already produced for banks’ annual reports</w:t>
      </w:r>
      <w:r w:rsidR="006E260E">
        <w:rPr>
          <w:rFonts w:ascii="Arial" w:hAnsi="Arial" w:cs="Arial"/>
          <w:color w:val="000000"/>
          <w:sz w:val="22"/>
          <w:szCs w:val="22"/>
        </w:rPr>
        <w:t>, which should be avoided</w:t>
      </w:r>
      <w:r>
        <w:rPr>
          <w:rFonts w:ascii="Arial" w:hAnsi="Arial" w:cs="Arial"/>
          <w:color w:val="000000"/>
          <w:sz w:val="22"/>
          <w:szCs w:val="22"/>
        </w:rPr>
        <w:t>.</w:t>
      </w:r>
    </w:p>
    <w:p w:rsidR="008C4AFE" w:rsidRPr="0024769F" w:rsidRDefault="008C4AFE" w:rsidP="00BE4BA7">
      <w:pPr>
        <w:jc w:val="both"/>
        <w:rPr>
          <w:rFonts w:ascii="Arial" w:hAnsi="Arial" w:cs="Arial"/>
          <w:b/>
          <w:color w:val="000000"/>
          <w:sz w:val="22"/>
          <w:szCs w:val="22"/>
        </w:rPr>
      </w:pPr>
    </w:p>
    <w:p w:rsidR="00F32D2A" w:rsidRPr="0024769F" w:rsidRDefault="00F32D2A" w:rsidP="00BE4BA7">
      <w:pPr>
        <w:jc w:val="both"/>
        <w:rPr>
          <w:rFonts w:ascii="Arial" w:hAnsi="Arial" w:cs="Arial"/>
          <w:b/>
          <w:color w:val="000000"/>
          <w:sz w:val="22"/>
          <w:szCs w:val="22"/>
        </w:rPr>
      </w:pPr>
      <w:r w:rsidRPr="0024769F">
        <w:rPr>
          <w:rFonts w:ascii="Arial" w:hAnsi="Arial" w:cs="Arial"/>
          <w:b/>
          <w:color w:val="000000"/>
          <w:sz w:val="22"/>
          <w:szCs w:val="22"/>
        </w:rPr>
        <w:t>Responses to consultation questions</w:t>
      </w:r>
    </w:p>
    <w:p w:rsidR="00C3550F" w:rsidRDefault="00C3550F" w:rsidP="00C3550F">
      <w:pPr>
        <w:jc w:val="both"/>
        <w:rPr>
          <w:rFonts w:ascii="Arial" w:hAnsi="Arial" w:cs="Arial"/>
          <w:color w:val="000000"/>
        </w:rPr>
      </w:pPr>
    </w:p>
    <w:p w:rsidR="00C3550F" w:rsidRPr="00C3550F" w:rsidRDefault="00C3550F" w:rsidP="00C3550F">
      <w:pPr>
        <w:pStyle w:val="ListParagraph"/>
        <w:numPr>
          <w:ilvl w:val="0"/>
          <w:numId w:val="7"/>
        </w:numPr>
        <w:jc w:val="both"/>
        <w:rPr>
          <w:rFonts w:ascii="Arial" w:hAnsi="Arial" w:cs="Arial"/>
          <w:b/>
          <w:color w:val="000000"/>
        </w:rPr>
      </w:pPr>
      <w:r w:rsidRPr="00C3550F">
        <w:rPr>
          <w:rFonts w:ascii="Arial" w:hAnsi="Arial" w:cs="Arial"/>
          <w:b/>
          <w:color w:val="000000"/>
        </w:rPr>
        <w:t>Given the balance between transparency and the need to avoid detection of central bank liquidity assistance, do you agree with the disclosure requirements proposed in this RTS? Do you agree with the fields in the Templates that are required to be disclosed? Please provide reasons for your answer.</w:t>
      </w:r>
    </w:p>
    <w:p w:rsidR="00266614" w:rsidRDefault="00266614" w:rsidP="00C3550F">
      <w:pPr>
        <w:jc w:val="both"/>
        <w:rPr>
          <w:rFonts w:ascii="Arial" w:hAnsi="Arial" w:cs="Arial"/>
          <w:color w:val="000000"/>
          <w:sz w:val="22"/>
        </w:rPr>
      </w:pPr>
    </w:p>
    <w:p w:rsidR="00C3550F" w:rsidRDefault="00AB006C" w:rsidP="00C3550F">
      <w:pPr>
        <w:jc w:val="both"/>
        <w:rPr>
          <w:rFonts w:ascii="Arial" w:hAnsi="Arial" w:cs="Arial"/>
          <w:color w:val="000000"/>
          <w:sz w:val="22"/>
        </w:rPr>
      </w:pPr>
      <w:r w:rsidRPr="00AB006C">
        <w:rPr>
          <w:rFonts w:ascii="Arial" w:hAnsi="Arial" w:cs="Arial"/>
          <w:color w:val="000000"/>
          <w:sz w:val="22"/>
        </w:rPr>
        <w:t xml:space="preserve">We believe that the </w:t>
      </w:r>
      <w:r>
        <w:rPr>
          <w:rFonts w:ascii="Arial" w:hAnsi="Arial" w:cs="Arial"/>
          <w:color w:val="000000"/>
          <w:sz w:val="22"/>
        </w:rPr>
        <w:t xml:space="preserve">disclosure requirements proposed in this CP adequately achieve a balance between increased transparency and unintended </w:t>
      </w:r>
      <w:r w:rsidRPr="00AB006C">
        <w:rPr>
          <w:rFonts w:ascii="Arial" w:hAnsi="Arial" w:cs="Arial"/>
          <w:color w:val="000000"/>
          <w:sz w:val="22"/>
        </w:rPr>
        <w:t>consequences</w:t>
      </w:r>
      <w:r w:rsidR="006E260E">
        <w:rPr>
          <w:rFonts w:ascii="Arial" w:hAnsi="Arial" w:cs="Arial"/>
          <w:color w:val="000000"/>
          <w:sz w:val="22"/>
        </w:rPr>
        <w:t xml:space="preserve">, in periods of stress, </w:t>
      </w:r>
      <w:r w:rsidR="006E260E" w:rsidRPr="00AB006C">
        <w:rPr>
          <w:rFonts w:ascii="Arial" w:hAnsi="Arial" w:cs="Arial"/>
          <w:color w:val="000000"/>
          <w:sz w:val="22"/>
        </w:rPr>
        <w:t>of</w:t>
      </w:r>
      <w:r w:rsidRPr="00AB006C">
        <w:rPr>
          <w:rFonts w:ascii="Arial" w:hAnsi="Arial" w:cs="Arial"/>
          <w:color w:val="000000"/>
          <w:sz w:val="22"/>
        </w:rPr>
        <w:t xml:space="preserve"> disclosure on financial stability</w:t>
      </w:r>
      <w:r>
        <w:rPr>
          <w:rFonts w:ascii="Arial" w:hAnsi="Arial" w:cs="Arial"/>
          <w:color w:val="000000"/>
          <w:sz w:val="22"/>
        </w:rPr>
        <w:t xml:space="preserve">. The fields incorporated in the Templates </w:t>
      </w:r>
      <w:r w:rsidR="00F32D2A">
        <w:rPr>
          <w:rFonts w:ascii="Arial" w:hAnsi="Arial" w:cs="Arial"/>
          <w:color w:val="000000"/>
          <w:sz w:val="22"/>
        </w:rPr>
        <w:t xml:space="preserve">appropriately </w:t>
      </w:r>
      <w:r w:rsidR="00997A85">
        <w:rPr>
          <w:rFonts w:ascii="Arial" w:hAnsi="Arial" w:cs="Arial"/>
          <w:color w:val="000000"/>
          <w:sz w:val="22"/>
        </w:rPr>
        <w:t>reflect the level of asset encumbrance and allow market participants to understand the level of secured funding for the reporting institution.</w:t>
      </w:r>
    </w:p>
    <w:p w:rsidR="00997A85" w:rsidRDefault="00997A85" w:rsidP="00C3550F">
      <w:pPr>
        <w:jc w:val="both"/>
        <w:rPr>
          <w:rFonts w:ascii="Arial" w:hAnsi="Arial" w:cs="Arial"/>
          <w:color w:val="000000"/>
          <w:sz w:val="22"/>
        </w:rPr>
      </w:pPr>
    </w:p>
    <w:p w:rsidR="00997A85" w:rsidRPr="00AB006C" w:rsidRDefault="00997A85" w:rsidP="00C3550F">
      <w:pPr>
        <w:jc w:val="both"/>
        <w:rPr>
          <w:rFonts w:ascii="Arial" w:hAnsi="Arial" w:cs="Arial"/>
          <w:color w:val="000000"/>
          <w:sz w:val="22"/>
        </w:rPr>
      </w:pPr>
      <w:r>
        <w:rPr>
          <w:rFonts w:ascii="Arial" w:hAnsi="Arial" w:cs="Arial"/>
          <w:color w:val="000000"/>
          <w:sz w:val="22"/>
        </w:rPr>
        <w:t xml:space="preserve">Our understanding of these requirements is that </w:t>
      </w:r>
      <w:r w:rsidR="00763EEC">
        <w:rPr>
          <w:rFonts w:ascii="Arial" w:hAnsi="Arial" w:cs="Arial"/>
          <w:color w:val="000000"/>
          <w:sz w:val="22"/>
        </w:rPr>
        <w:t xml:space="preserve">disclosures </w:t>
      </w:r>
      <w:r>
        <w:rPr>
          <w:rFonts w:ascii="Arial" w:hAnsi="Arial" w:cs="Arial"/>
          <w:color w:val="000000"/>
          <w:sz w:val="22"/>
        </w:rPr>
        <w:t xml:space="preserve">are to be </w:t>
      </w:r>
      <w:r w:rsidR="00763EEC">
        <w:rPr>
          <w:rFonts w:ascii="Arial" w:hAnsi="Arial" w:cs="Arial"/>
          <w:color w:val="000000"/>
          <w:sz w:val="22"/>
        </w:rPr>
        <w:t xml:space="preserve">performed </w:t>
      </w:r>
      <w:r>
        <w:rPr>
          <w:rFonts w:ascii="Arial" w:hAnsi="Arial" w:cs="Arial"/>
          <w:color w:val="000000"/>
          <w:sz w:val="22"/>
        </w:rPr>
        <w:t xml:space="preserve">on a Group basis (as opposed to individual entities). </w:t>
      </w:r>
      <w:r w:rsidR="00F32D2A">
        <w:rPr>
          <w:rFonts w:ascii="Arial" w:hAnsi="Arial" w:cs="Arial"/>
          <w:color w:val="000000"/>
          <w:sz w:val="22"/>
        </w:rPr>
        <w:t>We would appreciate c</w:t>
      </w:r>
      <w:r>
        <w:rPr>
          <w:rFonts w:ascii="Arial" w:hAnsi="Arial" w:cs="Arial"/>
          <w:color w:val="000000"/>
          <w:sz w:val="22"/>
        </w:rPr>
        <w:t>larification on this aspect by the regulator in order to ensure a common understanding across market participants.</w:t>
      </w:r>
    </w:p>
    <w:p w:rsidR="00AB006C" w:rsidRDefault="00AB006C" w:rsidP="00C3550F">
      <w:pPr>
        <w:jc w:val="both"/>
        <w:rPr>
          <w:rFonts w:ascii="Arial" w:hAnsi="Arial" w:cs="Arial"/>
          <w:color w:val="000000"/>
        </w:rPr>
      </w:pPr>
    </w:p>
    <w:p w:rsidR="00266614" w:rsidRDefault="00266614" w:rsidP="00C3550F">
      <w:pPr>
        <w:jc w:val="both"/>
        <w:rPr>
          <w:rFonts w:ascii="Arial" w:hAnsi="Arial" w:cs="Arial"/>
          <w:color w:val="000000"/>
        </w:rPr>
      </w:pPr>
    </w:p>
    <w:p w:rsidR="00C3550F" w:rsidRPr="00C3550F" w:rsidRDefault="00C3550F" w:rsidP="00C3550F">
      <w:pPr>
        <w:pStyle w:val="ListParagraph"/>
        <w:numPr>
          <w:ilvl w:val="0"/>
          <w:numId w:val="7"/>
        </w:numPr>
        <w:rPr>
          <w:rFonts w:ascii="Arial" w:hAnsi="Arial" w:cs="Arial"/>
          <w:b/>
          <w:color w:val="000000"/>
        </w:rPr>
      </w:pPr>
      <w:r w:rsidRPr="00C3550F">
        <w:rPr>
          <w:rFonts w:ascii="Arial" w:hAnsi="Arial" w:cs="Arial"/>
          <w:b/>
          <w:color w:val="000000"/>
        </w:rPr>
        <w:t>Based on your experience with providing information according to the 2014 Guidelines or with using information disclosed as per these Guidelines, do you believe that the use of median values for disclosures offers sufficient relevant information while also addressing potential financial stability concerns or would you prefer disclosure using end of period values? Is there another appropriate value for disclosure? Please provide reasons for your answer.</w:t>
      </w:r>
    </w:p>
    <w:p w:rsidR="00266614" w:rsidRDefault="00266614" w:rsidP="00C3550F">
      <w:pPr>
        <w:rPr>
          <w:rFonts w:ascii="Arial" w:hAnsi="Arial" w:cs="Arial"/>
          <w:color w:val="000000"/>
          <w:sz w:val="22"/>
          <w:szCs w:val="22"/>
        </w:rPr>
      </w:pPr>
    </w:p>
    <w:p w:rsidR="00E12192" w:rsidRDefault="008C4AFE" w:rsidP="00780828">
      <w:pPr>
        <w:jc w:val="both"/>
        <w:rPr>
          <w:rFonts w:ascii="Arial" w:hAnsi="Arial" w:cs="Arial"/>
          <w:color w:val="000000"/>
          <w:sz w:val="22"/>
          <w:szCs w:val="22"/>
        </w:rPr>
      </w:pPr>
      <w:r w:rsidRPr="008C4AFE">
        <w:rPr>
          <w:rFonts w:ascii="Arial" w:hAnsi="Arial" w:cs="Arial"/>
          <w:color w:val="000000"/>
          <w:sz w:val="22"/>
          <w:szCs w:val="22"/>
        </w:rPr>
        <w:t xml:space="preserve">Some of our members </w:t>
      </w:r>
      <w:r w:rsidR="00780828">
        <w:rPr>
          <w:rFonts w:ascii="Arial" w:hAnsi="Arial" w:cs="Arial"/>
          <w:color w:val="000000"/>
          <w:sz w:val="22"/>
          <w:szCs w:val="22"/>
        </w:rPr>
        <w:t xml:space="preserve">have indicated that </w:t>
      </w:r>
      <w:r w:rsidR="00780828" w:rsidRPr="00780828">
        <w:rPr>
          <w:rFonts w:ascii="Arial" w:hAnsi="Arial" w:cs="Arial"/>
          <w:color w:val="000000"/>
          <w:sz w:val="22"/>
          <w:szCs w:val="22"/>
        </w:rPr>
        <w:t>the use of median values for disclosures</w:t>
      </w:r>
      <w:r w:rsidR="00780828">
        <w:rPr>
          <w:rFonts w:ascii="Arial" w:hAnsi="Arial" w:cs="Arial"/>
          <w:color w:val="000000"/>
          <w:sz w:val="22"/>
          <w:szCs w:val="22"/>
        </w:rPr>
        <w:t xml:space="preserve"> is already in place and hence would not be very burdensome to implement. </w:t>
      </w:r>
      <w:r w:rsidR="00FF716A">
        <w:rPr>
          <w:rFonts w:ascii="Arial" w:hAnsi="Arial" w:cs="Arial"/>
          <w:color w:val="000000"/>
          <w:sz w:val="22"/>
          <w:szCs w:val="22"/>
        </w:rPr>
        <w:t>We therefore agree with the use of median values for providing information on asset encumbrance</w:t>
      </w:r>
      <w:r w:rsidR="000F10AA">
        <w:rPr>
          <w:rFonts w:ascii="Arial" w:hAnsi="Arial" w:cs="Arial"/>
          <w:color w:val="000000"/>
          <w:sz w:val="22"/>
          <w:szCs w:val="22"/>
        </w:rPr>
        <w:t>.</w:t>
      </w:r>
    </w:p>
    <w:p w:rsidR="00152F63" w:rsidRDefault="00152F63" w:rsidP="00780828">
      <w:pPr>
        <w:jc w:val="both"/>
        <w:rPr>
          <w:rFonts w:ascii="Arial" w:hAnsi="Arial" w:cs="Arial"/>
          <w:color w:val="000000"/>
          <w:sz w:val="22"/>
          <w:szCs w:val="22"/>
        </w:rPr>
      </w:pPr>
    </w:p>
    <w:p w:rsidR="008C4AFE" w:rsidRDefault="008C4AFE" w:rsidP="00C3550F">
      <w:pPr>
        <w:rPr>
          <w:rFonts w:ascii="Arial" w:hAnsi="Arial" w:cs="Arial"/>
          <w:color w:val="000000"/>
          <w:sz w:val="22"/>
          <w:szCs w:val="22"/>
        </w:rPr>
      </w:pPr>
    </w:p>
    <w:p w:rsidR="00152F63" w:rsidRDefault="00152F63" w:rsidP="00C3550F">
      <w:pPr>
        <w:rPr>
          <w:rFonts w:ascii="Arial" w:hAnsi="Arial" w:cs="Arial"/>
          <w:color w:val="000000"/>
          <w:sz w:val="22"/>
          <w:szCs w:val="22"/>
        </w:rPr>
      </w:pPr>
    </w:p>
    <w:p w:rsidR="00C3550F" w:rsidRPr="004710D8" w:rsidRDefault="004710D8" w:rsidP="004710D8">
      <w:pPr>
        <w:pStyle w:val="ListParagraph"/>
        <w:numPr>
          <w:ilvl w:val="0"/>
          <w:numId w:val="7"/>
        </w:numPr>
        <w:rPr>
          <w:rFonts w:ascii="Arial" w:hAnsi="Arial" w:cs="Arial"/>
          <w:b/>
          <w:color w:val="000000"/>
        </w:rPr>
      </w:pPr>
      <w:r w:rsidRPr="004710D8">
        <w:rPr>
          <w:rFonts w:ascii="Arial" w:hAnsi="Arial" w:cs="Arial"/>
          <w:b/>
          <w:color w:val="000000"/>
        </w:rPr>
        <w:lastRenderedPageBreak/>
        <w:t>Do you agree that the ‘median of the sums’ method is the most relevant to be used in calculating a “Total” or “Sub-total” row in case the median values are used for disclosure? Please provide reasons for your answer.</w:t>
      </w:r>
    </w:p>
    <w:p w:rsidR="004710D8" w:rsidRPr="00152F63" w:rsidRDefault="004710D8" w:rsidP="00152F63">
      <w:pPr>
        <w:jc w:val="both"/>
        <w:rPr>
          <w:rFonts w:ascii="Arial" w:hAnsi="Arial" w:cs="Arial"/>
          <w:color w:val="000000"/>
          <w:sz w:val="22"/>
        </w:rPr>
      </w:pPr>
    </w:p>
    <w:p w:rsidR="0043437D" w:rsidRDefault="0043437D" w:rsidP="00152F63">
      <w:pPr>
        <w:jc w:val="both"/>
        <w:rPr>
          <w:rFonts w:ascii="Arial" w:hAnsi="Arial" w:cs="Arial"/>
          <w:color w:val="000000"/>
          <w:sz w:val="22"/>
        </w:rPr>
      </w:pPr>
      <w:r>
        <w:rPr>
          <w:rFonts w:ascii="Arial" w:hAnsi="Arial" w:cs="Arial"/>
          <w:color w:val="000000"/>
          <w:sz w:val="22"/>
        </w:rPr>
        <w:t xml:space="preserve">If the use of median values is chosen as the most appropriate method for disclosures on asset encumbrance, then the ‘median of the sums’ approach would be the most relevant to be used in calculating the ‘totals’ and ‘sub-totals’. The ‘sum of the medians’ approach would not offer any additional insight than the individual rows in each table, and </w:t>
      </w:r>
      <w:r w:rsidR="00F32D2A">
        <w:rPr>
          <w:rFonts w:ascii="Arial" w:hAnsi="Arial" w:cs="Arial"/>
          <w:color w:val="000000"/>
          <w:sz w:val="22"/>
        </w:rPr>
        <w:t xml:space="preserve">therefore </w:t>
      </w:r>
      <w:r>
        <w:rPr>
          <w:rFonts w:ascii="Arial" w:hAnsi="Arial" w:cs="Arial"/>
          <w:color w:val="000000"/>
          <w:sz w:val="22"/>
        </w:rPr>
        <w:t>the ‘median of the sums’ method is more useful for providing additional information to market participants.</w:t>
      </w:r>
    </w:p>
    <w:p w:rsidR="0043437D" w:rsidRDefault="0043437D" w:rsidP="00152F63">
      <w:pPr>
        <w:jc w:val="both"/>
        <w:rPr>
          <w:rFonts w:ascii="Arial" w:hAnsi="Arial" w:cs="Arial"/>
          <w:color w:val="000000"/>
          <w:sz w:val="22"/>
        </w:rPr>
      </w:pPr>
    </w:p>
    <w:p w:rsidR="004710D8" w:rsidRDefault="004710D8" w:rsidP="004710D8">
      <w:pPr>
        <w:rPr>
          <w:rFonts w:ascii="Arial" w:eastAsiaTheme="minorHAnsi" w:hAnsi="Arial" w:cs="Arial"/>
          <w:color w:val="000000"/>
          <w:sz w:val="22"/>
          <w:szCs w:val="22"/>
        </w:rPr>
      </w:pPr>
    </w:p>
    <w:p w:rsidR="0043437D" w:rsidRDefault="0043437D" w:rsidP="004710D8">
      <w:pPr>
        <w:rPr>
          <w:rFonts w:ascii="Arial" w:hAnsi="Arial" w:cs="Arial"/>
          <w:color w:val="000000"/>
        </w:rPr>
      </w:pPr>
    </w:p>
    <w:p w:rsidR="004710D8" w:rsidRPr="00217A9C" w:rsidRDefault="004710D8" w:rsidP="004710D8">
      <w:pPr>
        <w:pStyle w:val="ListParagraph"/>
        <w:numPr>
          <w:ilvl w:val="0"/>
          <w:numId w:val="7"/>
        </w:numPr>
        <w:rPr>
          <w:rFonts w:ascii="Arial" w:hAnsi="Arial" w:cs="Arial"/>
          <w:b/>
          <w:color w:val="000000"/>
        </w:rPr>
      </w:pPr>
      <w:r w:rsidRPr="00217A9C">
        <w:rPr>
          <w:rFonts w:ascii="Arial" w:hAnsi="Arial" w:cs="Arial"/>
          <w:b/>
          <w:color w:val="000000"/>
        </w:rPr>
        <w:t>Do you agree with the disclosure of assets of extremely high liquidity and credit quality (EHQLA) and assets of high liquidity and credit quality (HQLA) in accordance with Commission Delegated Regulation (EU) 2015/61 as the most relevant information possible in terms of asset quality of encumbered and unencumbered assets? Please provide reasons for your answer. In case you disagree with the disclosure of the EHQLA and HQLA metrics, please indicate the most appropriate alternative metrics according to you (central bank eligibility, traditional asset quality indicator, risk-weights, internal rating/asset quality step, external rating, or another indicator) for providing relevant information on the asset quality of encumbered and unencumbered assets.</w:t>
      </w:r>
    </w:p>
    <w:p w:rsidR="004710D8" w:rsidRPr="00CD285E" w:rsidRDefault="004710D8" w:rsidP="004710D8">
      <w:pPr>
        <w:rPr>
          <w:rFonts w:ascii="Arial" w:hAnsi="Arial" w:cs="Arial"/>
          <w:color w:val="000000"/>
          <w:sz w:val="22"/>
          <w:szCs w:val="22"/>
        </w:rPr>
      </w:pPr>
    </w:p>
    <w:p w:rsidR="00B07982" w:rsidRPr="00CD285E" w:rsidRDefault="00CD285E" w:rsidP="00B07982">
      <w:pPr>
        <w:jc w:val="both"/>
        <w:rPr>
          <w:rFonts w:ascii="Arial" w:hAnsi="Arial" w:cs="Arial"/>
          <w:color w:val="000000"/>
          <w:sz w:val="22"/>
          <w:szCs w:val="22"/>
        </w:rPr>
      </w:pPr>
      <w:r w:rsidRPr="00CD285E">
        <w:rPr>
          <w:rFonts w:ascii="Arial" w:hAnsi="Arial" w:cs="Arial"/>
          <w:color w:val="000000"/>
          <w:sz w:val="22"/>
          <w:szCs w:val="22"/>
        </w:rPr>
        <w:t>We do not believe that the disclosure of assets of extremely high liquidity and credit quality (EHQLA) and assets of high liquidity and credit quality (HQLA) reflects the most relevant information possible in terms of asset quality of encumbered and unencumbered assets. This approach would create unnecessary complexities for institutions and would not add much value for the end users, whose understanding of EHQLA and HQLA may not be as simple as indicated in the consultation.</w:t>
      </w:r>
    </w:p>
    <w:p w:rsidR="00CD285E" w:rsidRPr="00CD285E" w:rsidRDefault="00C11A8B" w:rsidP="00C11A8B">
      <w:pPr>
        <w:tabs>
          <w:tab w:val="left" w:pos="1950"/>
        </w:tabs>
        <w:jc w:val="both"/>
        <w:rPr>
          <w:rFonts w:ascii="Arial" w:hAnsi="Arial" w:cs="Arial"/>
          <w:color w:val="000000"/>
          <w:sz w:val="22"/>
          <w:szCs w:val="22"/>
        </w:rPr>
      </w:pPr>
      <w:r>
        <w:rPr>
          <w:rFonts w:ascii="Arial" w:hAnsi="Arial" w:cs="Arial"/>
          <w:color w:val="000000"/>
          <w:sz w:val="22"/>
          <w:szCs w:val="22"/>
        </w:rPr>
        <w:tab/>
      </w:r>
    </w:p>
    <w:p w:rsidR="00CD285E" w:rsidRPr="00CD285E" w:rsidRDefault="00CD285E" w:rsidP="00B07982">
      <w:pPr>
        <w:jc w:val="both"/>
        <w:rPr>
          <w:rFonts w:ascii="Arial" w:hAnsi="Arial" w:cs="Arial"/>
          <w:color w:val="000000"/>
          <w:sz w:val="22"/>
          <w:szCs w:val="22"/>
        </w:rPr>
      </w:pPr>
      <w:r w:rsidRPr="00CD285E">
        <w:rPr>
          <w:rFonts w:ascii="Arial" w:hAnsi="Arial" w:cs="Arial"/>
          <w:color w:val="000000"/>
          <w:sz w:val="22"/>
          <w:szCs w:val="22"/>
        </w:rPr>
        <w:t>Rather, we support the use of central bank eligibility as the indicator of asset quality of encumbered and unencumbered assets</w:t>
      </w:r>
      <w:r>
        <w:rPr>
          <w:rFonts w:ascii="Arial" w:hAnsi="Arial" w:cs="Arial"/>
          <w:color w:val="000000"/>
          <w:sz w:val="22"/>
          <w:szCs w:val="22"/>
        </w:rPr>
        <w:t xml:space="preserve">. This approach is already in use by our members and therefore the one that is more easily </w:t>
      </w:r>
      <w:r w:rsidR="006E260E">
        <w:rPr>
          <w:rFonts w:ascii="Arial" w:hAnsi="Arial" w:cs="Arial"/>
          <w:color w:val="000000"/>
          <w:sz w:val="22"/>
          <w:szCs w:val="22"/>
        </w:rPr>
        <w:t xml:space="preserve">made </w:t>
      </w:r>
      <w:r>
        <w:rPr>
          <w:rFonts w:ascii="Arial" w:hAnsi="Arial" w:cs="Arial"/>
          <w:color w:val="000000"/>
          <w:sz w:val="22"/>
          <w:szCs w:val="22"/>
        </w:rPr>
        <w:t>operational. Apart from benefits such as data availability for all exposure types, the use of central bank eligibility also encompasses a more straightforward approach for calculating values (both median and averages).</w:t>
      </w:r>
      <w:r w:rsidR="00C11A8B">
        <w:rPr>
          <w:rFonts w:ascii="Arial" w:hAnsi="Arial" w:cs="Arial"/>
          <w:color w:val="000000"/>
          <w:sz w:val="22"/>
          <w:szCs w:val="22"/>
        </w:rPr>
        <w:t xml:space="preserve"> </w:t>
      </w:r>
      <w:r w:rsidR="00A24A10">
        <w:rPr>
          <w:rFonts w:ascii="Arial" w:hAnsi="Arial" w:cs="Arial"/>
          <w:color w:val="000000"/>
          <w:sz w:val="22"/>
          <w:szCs w:val="22"/>
        </w:rPr>
        <w:t xml:space="preserve">In addition, </w:t>
      </w:r>
      <w:r w:rsidR="00A24A10" w:rsidRPr="00A24A10">
        <w:rPr>
          <w:rFonts w:ascii="Arial" w:hAnsi="Arial" w:cs="Arial"/>
          <w:color w:val="000000"/>
          <w:sz w:val="22"/>
          <w:szCs w:val="22"/>
        </w:rPr>
        <w:t xml:space="preserve">it is the most accurate indicator of the </w:t>
      </w:r>
      <w:r w:rsidR="00A24A10">
        <w:rPr>
          <w:rFonts w:ascii="Arial" w:hAnsi="Arial" w:cs="Arial"/>
          <w:color w:val="000000"/>
          <w:sz w:val="22"/>
          <w:szCs w:val="22"/>
        </w:rPr>
        <w:t xml:space="preserve">ability </w:t>
      </w:r>
      <w:r w:rsidR="00A24A10" w:rsidRPr="00A24A10">
        <w:rPr>
          <w:rFonts w:ascii="Arial" w:hAnsi="Arial" w:cs="Arial"/>
          <w:color w:val="000000"/>
          <w:sz w:val="22"/>
          <w:szCs w:val="22"/>
        </w:rPr>
        <w:t xml:space="preserve">of </w:t>
      </w:r>
      <w:r w:rsidR="00A24A10">
        <w:rPr>
          <w:rFonts w:ascii="Arial" w:hAnsi="Arial" w:cs="Arial"/>
          <w:color w:val="000000"/>
          <w:sz w:val="22"/>
          <w:szCs w:val="22"/>
        </w:rPr>
        <w:t xml:space="preserve">financial </w:t>
      </w:r>
      <w:r w:rsidR="00A24A10" w:rsidRPr="00A24A10">
        <w:rPr>
          <w:rFonts w:ascii="Arial" w:hAnsi="Arial" w:cs="Arial"/>
          <w:color w:val="000000"/>
          <w:sz w:val="22"/>
          <w:szCs w:val="22"/>
        </w:rPr>
        <w:t>institutions to obtain funding from their central bank and</w:t>
      </w:r>
      <w:r w:rsidR="00A24A10">
        <w:rPr>
          <w:rFonts w:ascii="Arial" w:hAnsi="Arial" w:cs="Arial"/>
          <w:color w:val="000000"/>
          <w:sz w:val="22"/>
          <w:szCs w:val="22"/>
        </w:rPr>
        <w:t xml:space="preserve"> as such</w:t>
      </w:r>
      <w:r w:rsidR="00A24A10" w:rsidRPr="00A24A10">
        <w:rPr>
          <w:rFonts w:ascii="Arial" w:hAnsi="Arial" w:cs="Arial"/>
          <w:color w:val="000000"/>
          <w:sz w:val="22"/>
          <w:szCs w:val="22"/>
        </w:rPr>
        <w:t xml:space="preserve"> more informative to users.</w:t>
      </w:r>
      <w:r w:rsidR="00A24A10">
        <w:rPr>
          <w:rFonts w:ascii="Arial" w:hAnsi="Arial" w:cs="Arial"/>
          <w:color w:val="000000"/>
          <w:sz w:val="22"/>
          <w:szCs w:val="22"/>
        </w:rPr>
        <w:t xml:space="preserve"> </w:t>
      </w:r>
      <w:r w:rsidR="00C11A8B">
        <w:rPr>
          <w:rFonts w:ascii="Arial" w:hAnsi="Arial" w:cs="Arial"/>
          <w:color w:val="000000"/>
          <w:sz w:val="22"/>
          <w:szCs w:val="22"/>
        </w:rPr>
        <w:t xml:space="preserve">Therefore, we do not believe the disclosure of </w:t>
      </w:r>
      <w:r w:rsidR="00C11A8B" w:rsidRPr="00CD285E">
        <w:rPr>
          <w:rFonts w:ascii="Arial" w:hAnsi="Arial" w:cs="Arial"/>
          <w:color w:val="000000"/>
          <w:sz w:val="22"/>
          <w:szCs w:val="22"/>
        </w:rPr>
        <w:t>EHQLA and HQLA</w:t>
      </w:r>
      <w:r w:rsidR="00C11A8B">
        <w:rPr>
          <w:rFonts w:ascii="Arial" w:hAnsi="Arial" w:cs="Arial"/>
          <w:color w:val="000000"/>
          <w:sz w:val="22"/>
          <w:szCs w:val="22"/>
        </w:rPr>
        <w:t xml:space="preserve"> offers any additional value and strongly support the use of central bank eligibility instead.</w:t>
      </w:r>
    </w:p>
    <w:p w:rsidR="00CD285E" w:rsidRPr="00CD285E" w:rsidRDefault="00CD285E" w:rsidP="00B07982">
      <w:pPr>
        <w:jc w:val="both"/>
        <w:rPr>
          <w:rFonts w:ascii="Arial" w:hAnsi="Arial" w:cs="Arial"/>
          <w:color w:val="000000"/>
          <w:sz w:val="22"/>
          <w:szCs w:val="22"/>
        </w:rPr>
      </w:pPr>
    </w:p>
    <w:p w:rsidR="00C3550F" w:rsidRPr="00CD285E" w:rsidRDefault="00C3550F" w:rsidP="00C3550F">
      <w:pPr>
        <w:rPr>
          <w:rFonts w:ascii="Arial" w:hAnsi="Arial" w:cs="Arial"/>
          <w:color w:val="000000"/>
          <w:sz w:val="22"/>
          <w:szCs w:val="22"/>
        </w:rPr>
      </w:pPr>
    </w:p>
    <w:p w:rsidR="00217A9C" w:rsidRPr="00CD285E" w:rsidRDefault="00217A9C" w:rsidP="00217A9C">
      <w:pPr>
        <w:pStyle w:val="ListParagraph"/>
        <w:numPr>
          <w:ilvl w:val="0"/>
          <w:numId w:val="7"/>
        </w:numPr>
        <w:rPr>
          <w:rFonts w:ascii="Arial" w:hAnsi="Arial" w:cs="Arial"/>
          <w:b/>
          <w:color w:val="000000"/>
        </w:rPr>
      </w:pPr>
      <w:r w:rsidRPr="00CD285E">
        <w:rPr>
          <w:rFonts w:ascii="Arial" w:hAnsi="Arial" w:cs="Arial"/>
          <w:b/>
          <w:color w:val="000000"/>
        </w:rPr>
        <w:t>Do you agree with the qualitative disclosure requirements in Template D? In case of disagreement, please identify any requirement you disagree with or state any disclosure requirement you would like to see enhanced or included in Template D.</w:t>
      </w:r>
    </w:p>
    <w:p w:rsidR="00217A9C" w:rsidRPr="00CD285E" w:rsidRDefault="00217A9C" w:rsidP="00C3550F">
      <w:pPr>
        <w:rPr>
          <w:rFonts w:ascii="Arial" w:hAnsi="Arial" w:cs="Arial"/>
          <w:color w:val="000000"/>
          <w:sz w:val="22"/>
          <w:szCs w:val="22"/>
        </w:rPr>
      </w:pPr>
    </w:p>
    <w:p w:rsidR="001D3767" w:rsidRDefault="001D3767" w:rsidP="00BA63C2">
      <w:pPr>
        <w:jc w:val="both"/>
        <w:rPr>
          <w:rFonts w:ascii="Arial" w:hAnsi="Arial" w:cs="Arial"/>
          <w:color w:val="000000"/>
          <w:sz w:val="22"/>
          <w:szCs w:val="22"/>
        </w:rPr>
      </w:pPr>
      <w:r>
        <w:rPr>
          <w:rFonts w:ascii="Arial" w:hAnsi="Arial" w:cs="Arial"/>
          <w:color w:val="000000"/>
          <w:sz w:val="22"/>
          <w:szCs w:val="22"/>
        </w:rPr>
        <w:t>Overall, we agree with the information requirements under Template D. Nevertheless, it has been noted by some of our members that information under Template D might duplicate some of the content included in institutions’ annual reports; the EBA should seek to minimise any overlap of disclosure requirements with information reported elsewhere so as not to overburden firms.</w:t>
      </w:r>
    </w:p>
    <w:p w:rsidR="001D3767" w:rsidRPr="00CD285E" w:rsidRDefault="001D3767" w:rsidP="00C3550F">
      <w:pPr>
        <w:rPr>
          <w:rFonts w:ascii="Arial" w:hAnsi="Arial" w:cs="Arial"/>
          <w:color w:val="000000"/>
          <w:sz w:val="22"/>
          <w:szCs w:val="22"/>
        </w:rPr>
      </w:pPr>
    </w:p>
    <w:p w:rsidR="00C3550F" w:rsidRPr="00CD285E" w:rsidRDefault="00C3550F" w:rsidP="00C3550F">
      <w:pPr>
        <w:rPr>
          <w:rFonts w:ascii="Arial" w:hAnsi="Arial" w:cs="Arial"/>
          <w:color w:val="000000"/>
          <w:sz w:val="22"/>
          <w:szCs w:val="22"/>
        </w:rPr>
      </w:pPr>
    </w:p>
    <w:p w:rsidR="00217A9C" w:rsidRPr="00CD285E" w:rsidRDefault="00217A9C" w:rsidP="00217A9C">
      <w:pPr>
        <w:pStyle w:val="ListParagraph"/>
        <w:numPr>
          <w:ilvl w:val="0"/>
          <w:numId w:val="7"/>
        </w:numPr>
        <w:rPr>
          <w:rFonts w:ascii="Arial" w:hAnsi="Arial" w:cs="Arial"/>
          <w:b/>
          <w:color w:val="000000"/>
        </w:rPr>
      </w:pPr>
      <w:r w:rsidRPr="00CD285E">
        <w:rPr>
          <w:rFonts w:ascii="Arial" w:hAnsi="Arial" w:cs="Arial"/>
          <w:b/>
          <w:color w:val="000000"/>
        </w:rPr>
        <w:t>Does the proposed annual disclosure frequency meet the needs of users for transparency? Please provide reasons for your answer.</w:t>
      </w:r>
    </w:p>
    <w:p w:rsidR="001D3767" w:rsidRPr="00CD285E" w:rsidRDefault="001D3767" w:rsidP="001D3767">
      <w:pPr>
        <w:jc w:val="both"/>
        <w:rPr>
          <w:rFonts w:ascii="Arial" w:hAnsi="Arial" w:cs="Arial"/>
          <w:color w:val="000000"/>
          <w:sz w:val="22"/>
          <w:szCs w:val="22"/>
        </w:rPr>
      </w:pPr>
      <w:r>
        <w:rPr>
          <w:rFonts w:ascii="Arial" w:hAnsi="Arial" w:cs="Arial"/>
          <w:color w:val="000000"/>
          <w:sz w:val="22"/>
          <w:szCs w:val="22"/>
        </w:rPr>
        <w:lastRenderedPageBreak/>
        <w:t>We agree with the required frequency of disclosures and believe it meets the needs for transparency.</w:t>
      </w:r>
    </w:p>
    <w:p w:rsidR="00217A9C" w:rsidRDefault="00217A9C" w:rsidP="00C3550F">
      <w:pPr>
        <w:rPr>
          <w:rFonts w:ascii="Arial" w:hAnsi="Arial" w:cs="Arial"/>
          <w:color w:val="000000"/>
          <w:sz w:val="22"/>
          <w:szCs w:val="22"/>
        </w:rPr>
      </w:pPr>
    </w:p>
    <w:p w:rsidR="000F10AA" w:rsidRDefault="00F32D2A" w:rsidP="00435966">
      <w:pPr>
        <w:jc w:val="both"/>
        <w:rPr>
          <w:rFonts w:ascii="Arial" w:hAnsi="Arial" w:cs="Arial"/>
          <w:color w:val="000000"/>
          <w:sz w:val="22"/>
          <w:szCs w:val="22"/>
        </w:rPr>
      </w:pPr>
      <w:r>
        <w:rPr>
          <w:rFonts w:ascii="Arial" w:hAnsi="Arial" w:cs="Arial"/>
          <w:color w:val="000000"/>
          <w:sz w:val="22"/>
          <w:szCs w:val="22"/>
        </w:rPr>
        <w:t>In conclusion, w</w:t>
      </w:r>
      <w:r w:rsidR="000F10AA">
        <w:rPr>
          <w:rFonts w:ascii="Arial" w:hAnsi="Arial" w:cs="Arial"/>
          <w:color w:val="000000"/>
          <w:sz w:val="22"/>
          <w:szCs w:val="22"/>
        </w:rPr>
        <w:t xml:space="preserve">e are </w:t>
      </w:r>
      <w:r>
        <w:rPr>
          <w:rFonts w:ascii="Arial" w:hAnsi="Arial" w:cs="Arial"/>
          <w:color w:val="000000"/>
          <w:sz w:val="22"/>
          <w:szCs w:val="22"/>
        </w:rPr>
        <w:t>at</w:t>
      </w:r>
      <w:r w:rsidR="000F10AA">
        <w:rPr>
          <w:rFonts w:ascii="Arial" w:hAnsi="Arial" w:cs="Arial"/>
          <w:color w:val="000000"/>
          <w:sz w:val="22"/>
          <w:szCs w:val="22"/>
        </w:rPr>
        <w:t xml:space="preserve"> the EBA’s disposal for discussing this response and clarifying any points included within if required.</w:t>
      </w:r>
    </w:p>
    <w:p w:rsidR="00217A9C" w:rsidRPr="00CD285E" w:rsidRDefault="00217A9C" w:rsidP="00C3550F">
      <w:pPr>
        <w:rPr>
          <w:rFonts w:ascii="Arial" w:hAnsi="Arial" w:cs="Arial"/>
          <w:color w:val="000000"/>
          <w:sz w:val="22"/>
          <w:szCs w:val="22"/>
        </w:rPr>
      </w:pPr>
    </w:p>
    <w:p w:rsidR="00217A9C" w:rsidRDefault="00217A9C" w:rsidP="00C3550F">
      <w:pPr>
        <w:rPr>
          <w:rFonts w:ascii="Arial" w:hAnsi="Arial" w:cs="Arial"/>
          <w:color w:val="000000"/>
          <w:sz w:val="22"/>
          <w:szCs w:val="22"/>
        </w:rPr>
      </w:pPr>
    </w:p>
    <w:p w:rsidR="00E12192" w:rsidRPr="000A0FE1" w:rsidRDefault="00E12192" w:rsidP="00E12192">
      <w:pPr>
        <w:autoSpaceDE w:val="0"/>
        <w:autoSpaceDN w:val="0"/>
        <w:adjustRightInd w:val="0"/>
        <w:rPr>
          <w:rFonts w:ascii="Arial" w:hAnsi="Arial" w:cs="Arial"/>
          <w:color w:val="000000"/>
          <w:sz w:val="16"/>
          <w:szCs w:val="16"/>
          <w:lang w:eastAsia="en-GB"/>
        </w:rPr>
      </w:pPr>
      <w:r w:rsidRPr="000A0FE1">
        <w:rPr>
          <w:rFonts w:ascii="Arial" w:hAnsi="Arial" w:cs="Arial"/>
          <w:b/>
          <w:bCs/>
          <w:i/>
          <w:iCs/>
          <w:color w:val="000000"/>
          <w:sz w:val="16"/>
          <w:szCs w:val="16"/>
          <w:lang w:eastAsia="en-GB"/>
        </w:rPr>
        <w:t xml:space="preserve">Responsible executive </w:t>
      </w:r>
    </w:p>
    <w:p w:rsidR="00E12192" w:rsidRPr="000A0FE1" w:rsidRDefault="00E12192" w:rsidP="00E12192">
      <w:pPr>
        <w:autoSpaceDE w:val="0"/>
        <w:autoSpaceDN w:val="0"/>
        <w:adjustRightInd w:val="0"/>
        <w:rPr>
          <w:rFonts w:ascii="Arial" w:hAnsi="Arial" w:cs="Arial"/>
          <w:color w:val="000000"/>
          <w:sz w:val="16"/>
          <w:szCs w:val="16"/>
          <w:lang w:eastAsia="en-GB"/>
        </w:rPr>
      </w:pPr>
      <w:r>
        <w:rPr>
          <w:rFonts w:ascii="Arial" w:hAnsi="Arial" w:cs="Arial"/>
          <w:color w:val="000000"/>
          <w:sz w:val="16"/>
          <w:szCs w:val="16"/>
          <w:lang w:eastAsia="en-GB"/>
        </w:rPr>
        <w:t>Dimitrios Catsambas</w:t>
      </w:r>
    </w:p>
    <w:p w:rsidR="00E12192" w:rsidRPr="004F2A1B" w:rsidRDefault="00E12192" w:rsidP="00E12192">
      <w:pPr>
        <w:autoSpaceDE w:val="0"/>
        <w:autoSpaceDN w:val="0"/>
        <w:adjustRightInd w:val="0"/>
        <w:rPr>
          <w:rFonts w:ascii="Arial" w:hAnsi="Arial" w:cs="Arial"/>
          <w:i/>
          <w:color w:val="000000"/>
          <w:sz w:val="16"/>
          <w:szCs w:val="16"/>
          <w:lang w:eastAsia="en-GB"/>
        </w:rPr>
      </w:pPr>
      <w:r w:rsidRPr="004F2A1B">
        <w:rPr>
          <w:rFonts w:ascii="Arial" w:hAnsi="Arial" w:cs="Arial"/>
          <w:i/>
          <w:color w:val="000000"/>
          <w:sz w:val="16"/>
          <w:szCs w:val="16"/>
          <w:lang w:eastAsia="en-GB"/>
        </w:rPr>
        <w:t xml:space="preserve">British Bankers Association </w:t>
      </w:r>
    </w:p>
    <w:p w:rsidR="00E12192" w:rsidRPr="000A0FE1" w:rsidRDefault="00E12192" w:rsidP="00E12192">
      <w:pPr>
        <w:autoSpaceDE w:val="0"/>
        <w:autoSpaceDN w:val="0"/>
        <w:adjustRightInd w:val="0"/>
        <w:rPr>
          <w:rFonts w:ascii="Arial" w:hAnsi="Arial" w:cs="Arial"/>
          <w:color w:val="000000"/>
          <w:sz w:val="16"/>
          <w:szCs w:val="16"/>
          <w:lang w:eastAsia="en-GB"/>
        </w:rPr>
      </w:pPr>
      <w:r w:rsidRPr="000A0FE1">
        <w:rPr>
          <w:rFonts w:ascii="Wingdings" w:hAnsi="Wingdings" w:cs="Wingdings"/>
          <w:color w:val="000000"/>
          <w:sz w:val="16"/>
          <w:szCs w:val="16"/>
          <w:lang w:eastAsia="en-GB"/>
        </w:rPr>
        <w:t></w:t>
      </w:r>
      <w:r w:rsidRPr="000A0FE1">
        <w:rPr>
          <w:rFonts w:ascii="Wingdings" w:hAnsi="Wingdings" w:cs="Wingdings"/>
          <w:color w:val="000000"/>
          <w:sz w:val="16"/>
          <w:szCs w:val="16"/>
          <w:lang w:eastAsia="en-GB"/>
        </w:rPr>
        <w:t></w:t>
      </w:r>
      <w:r w:rsidRPr="000A0FE1">
        <w:rPr>
          <w:rFonts w:ascii="Arial" w:hAnsi="Arial" w:cs="Arial"/>
          <w:color w:val="000000"/>
          <w:sz w:val="16"/>
          <w:szCs w:val="16"/>
          <w:lang w:eastAsia="en-GB"/>
        </w:rPr>
        <w:t xml:space="preserve">+44 (0) </w:t>
      </w:r>
      <w:r w:rsidRPr="00E12192">
        <w:rPr>
          <w:rFonts w:ascii="Arial" w:hAnsi="Arial" w:cs="Arial"/>
          <w:color w:val="000000"/>
          <w:sz w:val="16"/>
          <w:szCs w:val="16"/>
          <w:lang w:eastAsia="en-GB"/>
        </w:rPr>
        <w:t>20 7216 8891</w:t>
      </w:r>
    </w:p>
    <w:p w:rsidR="00E12192" w:rsidRDefault="00E12192" w:rsidP="00E12192">
      <w:pPr>
        <w:rPr>
          <w:rFonts w:ascii="Arial" w:hAnsi="Arial" w:cs="Arial"/>
          <w:color w:val="000000"/>
          <w:sz w:val="22"/>
          <w:szCs w:val="22"/>
        </w:rPr>
      </w:pPr>
      <w:r w:rsidRPr="000A0FE1">
        <w:rPr>
          <w:rFonts w:ascii="Segoe UI Symbol" w:hAnsi="Segoe UI Symbol" w:cs="Segoe UI Symbol"/>
          <w:color w:val="000000"/>
          <w:sz w:val="16"/>
          <w:szCs w:val="16"/>
          <w:lang w:eastAsia="en-GB"/>
        </w:rPr>
        <w:t>📧</w:t>
      </w:r>
      <w:r w:rsidRPr="000A0FE1">
        <w:rPr>
          <w:rFonts w:ascii="Arial" w:hAnsi="Arial" w:cs="Arial"/>
          <w:color w:val="000000"/>
          <w:sz w:val="16"/>
          <w:szCs w:val="16"/>
          <w:lang w:eastAsia="en-GB"/>
        </w:rPr>
        <w:t xml:space="preserve"> </w:t>
      </w:r>
      <w:r>
        <w:rPr>
          <w:rFonts w:ascii="Arial" w:hAnsi="Arial" w:cs="Arial"/>
          <w:color w:val="000000"/>
          <w:sz w:val="16"/>
          <w:szCs w:val="16"/>
          <w:lang w:eastAsia="en-GB"/>
        </w:rPr>
        <w:t xml:space="preserve">    </w:t>
      </w:r>
      <w:r>
        <w:rPr>
          <w:rFonts w:ascii="Calibri" w:hAnsi="Calibri" w:cs="Calibri"/>
          <w:color w:val="000000"/>
          <w:sz w:val="16"/>
          <w:szCs w:val="16"/>
          <w:lang w:eastAsia="en-GB"/>
        </w:rPr>
        <w:t>dimitrios</w:t>
      </w:r>
      <w:r w:rsidRPr="000A0FE1">
        <w:rPr>
          <w:rFonts w:ascii="Calibri" w:hAnsi="Calibri" w:cs="Calibri"/>
          <w:color w:val="000000"/>
          <w:sz w:val="16"/>
          <w:szCs w:val="16"/>
          <w:lang w:eastAsia="en-GB"/>
        </w:rPr>
        <w:t>.</w:t>
      </w:r>
      <w:r>
        <w:rPr>
          <w:rFonts w:ascii="Calibri" w:hAnsi="Calibri" w:cs="Calibri"/>
          <w:color w:val="000000"/>
          <w:sz w:val="16"/>
          <w:szCs w:val="16"/>
          <w:lang w:eastAsia="en-GB"/>
        </w:rPr>
        <w:t>catsambas</w:t>
      </w:r>
      <w:r w:rsidRPr="000A0FE1">
        <w:rPr>
          <w:rFonts w:ascii="Calibri" w:hAnsi="Calibri" w:cs="Calibri"/>
          <w:color w:val="000000"/>
          <w:sz w:val="16"/>
          <w:szCs w:val="16"/>
          <w:lang w:eastAsia="en-GB"/>
        </w:rPr>
        <w:t>@bba.org.uk</w:t>
      </w:r>
    </w:p>
    <w:p w:rsidR="00E12192" w:rsidRDefault="00E12192" w:rsidP="0002490C">
      <w:pPr>
        <w:rPr>
          <w:rFonts w:ascii="Arial" w:hAnsi="Arial" w:cs="Arial"/>
          <w:color w:val="000000"/>
          <w:sz w:val="22"/>
          <w:szCs w:val="22"/>
        </w:rPr>
      </w:pPr>
    </w:p>
    <w:sectPr w:rsidR="00E12192" w:rsidSect="009914E5">
      <w:headerReference w:type="even" r:id="rId10"/>
      <w:headerReference w:type="default" r:id="rId11"/>
      <w:footerReference w:type="default" r:id="rId12"/>
      <w:footerReference w:type="first" r:id="rId13"/>
      <w:pgSz w:w="11906" w:h="16838" w:code="9"/>
      <w:pgMar w:top="1656" w:right="680" w:bottom="720" w:left="1418" w:header="1151" w:footer="5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E8" w:rsidRDefault="002C0DE8">
      <w:r>
        <w:separator/>
      </w:r>
    </w:p>
  </w:endnote>
  <w:endnote w:type="continuationSeparator" w:id="0">
    <w:p w:rsidR="002C0DE8" w:rsidRDefault="002C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6E475C" w:rsidP="00BE4BA7">
    <w:pPr>
      <w:pStyle w:val="Footer"/>
      <w:jc w:val="center"/>
      <w:rPr>
        <w:sz w:val="12"/>
      </w:rPr>
    </w:pPr>
    <w:r w:rsidRPr="006E475C">
      <w:rPr>
        <w:rFonts w:ascii="Arial" w:hAnsi="Arial" w:cs="Arial"/>
        <w:i/>
        <w:snapToGrid w:val="0"/>
        <w:sz w:val="16"/>
        <w:szCs w:val="16"/>
      </w:rPr>
      <w:t xml:space="preserve">Draft BBA response to the </w:t>
    </w:r>
    <w:r w:rsidR="000700CC">
      <w:rPr>
        <w:rFonts w:ascii="Arial" w:hAnsi="Arial" w:cs="Arial"/>
        <w:i/>
        <w:snapToGrid w:val="0"/>
        <w:sz w:val="16"/>
        <w:szCs w:val="16"/>
      </w:rPr>
      <w:t>EBA</w:t>
    </w:r>
    <w:r w:rsidRPr="006E475C">
      <w:rPr>
        <w:rFonts w:ascii="Arial" w:hAnsi="Arial" w:cs="Arial"/>
        <w:i/>
        <w:snapToGrid w:val="0"/>
        <w:sz w:val="16"/>
        <w:szCs w:val="16"/>
      </w:rPr>
      <w:t xml:space="preserve">’s </w:t>
    </w:r>
    <w:r w:rsidR="00BE4BA7">
      <w:rPr>
        <w:rFonts w:ascii="Arial" w:hAnsi="Arial" w:cs="Arial"/>
        <w:i/>
        <w:snapToGrid w:val="0"/>
        <w:sz w:val="16"/>
        <w:szCs w:val="16"/>
      </w:rPr>
      <w:t xml:space="preserve">draft </w:t>
    </w:r>
    <w:r w:rsidR="00BE4BA7" w:rsidRPr="00BE4BA7">
      <w:rPr>
        <w:rFonts w:ascii="Arial" w:hAnsi="Arial" w:cs="Arial"/>
        <w:i/>
        <w:snapToGrid w:val="0"/>
        <w:sz w:val="16"/>
        <w:szCs w:val="16"/>
      </w:rPr>
      <w:t>Regulatory Technical Standards on disclosure of encumbered and unencumbered assets</w:t>
    </w:r>
  </w:p>
  <w:p w:rsidR="00CE37A4" w:rsidRDefault="00CE37A4">
    <w:pPr>
      <w:pStyle w:val="Footer"/>
      <w:jc w:val="right"/>
      <w:rPr>
        <w:sz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929" w:rsidRDefault="00120BE4" w:rsidP="007C1929">
    <w:pPr>
      <w:pStyle w:val="Footer"/>
      <w:ind w:right="667"/>
      <w:jc w:val="right"/>
      <w:rPr>
        <w:snapToGrid w:val="0"/>
        <w:sz w:val="12"/>
      </w:rPr>
    </w:pPr>
    <w:r>
      <w:rPr>
        <w:noProof/>
        <w:sz w:val="12"/>
        <w:lang w:val="es-ES" w:eastAsia="es-ES"/>
      </w:rPr>
      <w:drawing>
        <wp:anchor distT="0" distB="0" distL="114300" distR="114300" simplePos="0" relativeHeight="251657216" behindDoc="1" locked="0" layoutInCell="1" allowOverlap="1" wp14:anchorId="3A68E7E7" wp14:editId="65954E3A">
          <wp:simplePos x="0" y="0"/>
          <wp:positionH relativeFrom="column">
            <wp:posOffset>-50165</wp:posOffset>
          </wp:positionH>
          <wp:positionV relativeFrom="paragraph">
            <wp:posOffset>36195</wp:posOffset>
          </wp:positionV>
          <wp:extent cx="2991600" cy="73440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91600" cy="73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9914E5" w:rsidRDefault="009914E5"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7C1929" w:rsidRDefault="007C1929" w:rsidP="007C1929">
    <w:pPr>
      <w:pStyle w:val="Footer"/>
      <w:ind w:right="667"/>
      <w:jc w:val="right"/>
      <w:rPr>
        <w:snapToGrid w:val="0"/>
        <w:sz w:val="12"/>
      </w:rPr>
    </w:pPr>
  </w:p>
  <w:p w:rsidR="00CE37A4" w:rsidRDefault="00120BE4" w:rsidP="007C1929">
    <w:pPr>
      <w:pStyle w:val="Footer"/>
      <w:ind w:right="667"/>
      <w:jc w:val="right"/>
      <w:rPr>
        <w:sz w:val="12"/>
      </w:rPr>
    </w:pPr>
    <w:r>
      <w:rPr>
        <w:snapToGrid w:val="0"/>
        <w:sz w:val="12"/>
      </w:rPr>
      <w:fldChar w:fldCharType="begin"/>
    </w:r>
    <w:r>
      <w:rPr>
        <w:snapToGrid w:val="0"/>
        <w:sz w:val="12"/>
      </w:rPr>
      <w:instrText xml:space="preserve"> FILENAME  </w:instrText>
    </w:r>
    <w:r>
      <w:rPr>
        <w:snapToGrid w:val="0"/>
        <w:sz w:val="12"/>
      </w:rPr>
      <w:fldChar w:fldCharType="separate"/>
    </w:r>
    <w:r w:rsidR="00B454BC">
      <w:rPr>
        <w:noProof/>
        <w:snapToGrid w:val="0"/>
        <w:sz w:val="12"/>
      </w:rPr>
      <w:t>Document1</w:t>
    </w:r>
    <w:r>
      <w:rPr>
        <w:snapToGrid w:val="0"/>
        <w:sz w:val="12"/>
      </w:rPr>
      <w:fldChar w:fldCharType="end"/>
    </w:r>
    <w:r w:rsidR="00CE37A4">
      <w:rPr>
        <w:sz w:val="12"/>
      </w:rPr>
      <w:t xml:space="preserve">  </w:t>
    </w:r>
    <w:r w:rsidR="00CE37A4">
      <w:rPr>
        <w:sz w:val="12"/>
      </w:rPr>
      <w:fldChar w:fldCharType="begin"/>
    </w:r>
    <w:r w:rsidR="00CE37A4">
      <w:rPr>
        <w:sz w:val="12"/>
      </w:rPr>
      <w:instrText xml:space="preserve"> DATE \@ "d MMMM yyyy" </w:instrText>
    </w:r>
    <w:r w:rsidR="00CE37A4">
      <w:rPr>
        <w:sz w:val="12"/>
      </w:rPr>
      <w:fldChar w:fldCharType="separate"/>
    </w:r>
    <w:r w:rsidR="00D1390B">
      <w:rPr>
        <w:noProof/>
        <w:sz w:val="12"/>
      </w:rPr>
      <w:t>20 July 2016</w:t>
    </w:r>
    <w:r w:rsidR="00CE37A4">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E8" w:rsidRDefault="002C0DE8">
      <w:r>
        <w:separator/>
      </w:r>
    </w:p>
  </w:footnote>
  <w:footnote w:type="continuationSeparator" w:id="0">
    <w:p w:rsidR="002C0DE8" w:rsidRDefault="002C0DE8">
      <w:r>
        <w:continuationSeparator/>
      </w:r>
    </w:p>
  </w:footnote>
  <w:footnote w:id="1">
    <w:p w:rsidR="00BE712A" w:rsidRDefault="00BE712A" w:rsidP="006410D4">
      <w:pPr>
        <w:pStyle w:val="FootnoteText"/>
        <w:tabs>
          <w:tab w:val="left" w:pos="3870"/>
        </w:tabs>
      </w:pPr>
      <w:r>
        <w:rPr>
          <w:rStyle w:val="FootnoteReference"/>
        </w:rPr>
        <w:footnoteRef/>
      </w:r>
      <w:r>
        <w:t xml:space="preserve"> </w:t>
      </w:r>
      <w:r w:rsidR="008C4AFE" w:rsidRPr="008C4AFE">
        <w:rPr>
          <w:rFonts w:ascii="Arial" w:hAnsi="Arial" w:cs="Arial"/>
        </w:rPr>
        <w:t>https://www.eba.europa.eu/documents/10180/1446740/EBA-CP-2016-05+%28CP+on+RTS+on+disclosure+of+encumbered+and+unencumbered+assets%29.pdf</w:t>
      </w:r>
      <w:r w:rsidR="006410D4">
        <w:rPr>
          <w:rFonts w:ascii="Arial" w:hAnsi="Arial" w:cs="Arial"/>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Default="00CE37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37A4" w:rsidRDefault="00CE3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7A4" w:rsidRPr="0002490C" w:rsidRDefault="002C0DE8">
    <w:pPr>
      <w:pStyle w:val="Header"/>
      <w:framePr w:wrap="around" w:vAnchor="text" w:hAnchor="margin" w:xAlign="center" w:y="1"/>
      <w:rPr>
        <w:rStyle w:val="PageNumber"/>
        <w:rFonts w:ascii="Arial" w:hAnsi="Arial" w:cs="Arial"/>
        <w:sz w:val="20"/>
      </w:rPr>
    </w:pPr>
    <w:sdt>
      <w:sdtPr>
        <w:rPr>
          <w:rStyle w:val="PageNumber"/>
          <w:rFonts w:ascii="Arial" w:hAnsi="Arial" w:cs="Arial"/>
          <w:sz w:val="20"/>
        </w:rPr>
        <w:id w:val="-436521051"/>
        <w:docPartObj>
          <w:docPartGallery w:val="Watermarks"/>
          <w:docPartUnique/>
        </w:docPartObj>
      </w:sdtPr>
      <w:sdtEndPr>
        <w:rPr>
          <w:rStyle w:val="PageNumber"/>
        </w:rPr>
      </w:sdtEndPr>
      <w:sdtContent>
        <w:r>
          <w:rPr>
            <w:rStyle w:val="PageNumber"/>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E37A4" w:rsidRPr="0002490C">
      <w:rPr>
        <w:rStyle w:val="PageNumber"/>
        <w:rFonts w:ascii="Arial" w:hAnsi="Arial" w:cs="Arial"/>
        <w:sz w:val="20"/>
      </w:rPr>
      <w:fldChar w:fldCharType="begin"/>
    </w:r>
    <w:r w:rsidR="00CE37A4" w:rsidRPr="0002490C">
      <w:rPr>
        <w:rStyle w:val="PageNumber"/>
        <w:rFonts w:ascii="Arial" w:hAnsi="Arial" w:cs="Arial"/>
        <w:sz w:val="20"/>
      </w:rPr>
      <w:instrText xml:space="preserve">PAGE  </w:instrText>
    </w:r>
    <w:r w:rsidR="00CE37A4" w:rsidRPr="0002490C">
      <w:rPr>
        <w:rStyle w:val="PageNumber"/>
        <w:rFonts w:ascii="Arial" w:hAnsi="Arial" w:cs="Arial"/>
        <w:sz w:val="20"/>
      </w:rPr>
      <w:fldChar w:fldCharType="separate"/>
    </w:r>
    <w:r w:rsidR="00EC11F2">
      <w:rPr>
        <w:rStyle w:val="PageNumber"/>
        <w:rFonts w:ascii="Arial" w:hAnsi="Arial" w:cs="Arial"/>
        <w:noProof/>
        <w:sz w:val="20"/>
      </w:rPr>
      <w:t>4</w:t>
    </w:r>
    <w:r w:rsidR="00CE37A4" w:rsidRPr="0002490C">
      <w:rPr>
        <w:rStyle w:val="PageNumber"/>
        <w:rFonts w:ascii="Arial" w:hAnsi="Arial" w:cs="Arial"/>
        <w:sz w:val="20"/>
      </w:rPr>
      <w:fldChar w:fldCharType="end"/>
    </w:r>
  </w:p>
  <w:p w:rsidR="00CE37A4" w:rsidRDefault="00CE3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88C"/>
    <w:multiLevelType w:val="hybridMultilevel"/>
    <w:tmpl w:val="577226D4"/>
    <w:lvl w:ilvl="0" w:tplc="F8D21E54">
      <w:start w:val="1"/>
      <w:numFmt w:val="lowerRoman"/>
      <w:lvlText w:val="%1."/>
      <w:lvlJc w:val="left"/>
      <w:pPr>
        <w:tabs>
          <w:tab w:val="num" w:pos="2138"/>
        </w:tabs>
        <w:ind w:left="2138" w:hanging="720"/>
      </w:pPr>
      <w:rPr>
        <w:rFonts w:hint="default"/>
        <w:i w:val="0"/>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1">
    <w:nsid w:val="16671444"/>
    <w:multiLevelType w:val="hybridMultilevel"/>
    <w:tmpl w:val="4640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62868"/>
    <w:multiLevelType w:val="hybridMultilevel"/>
    <w:tmpl w:val="D542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A18AE"/>
    <w:multiLevelType w:val="hybridMultilevel"/>
    <w:tmpl w:val="2E6C56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248229F"/>
    <w:multiLevelType w:val="hybridMultilevel"/>
    <w:tmpl w:val="BE5E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486CAF"/>
    <w:multiLevelType w:val="hybridMultilevel"/>
    <w:tmpl w:val="6C62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64120B"/>
    <w:multiLevelType w:val="hybridMultilevel"/>
    <w:tmpl w:val="4EC8AC1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0966B03"/>
    <w:multiLevelType w:val="hybridMultilevel"/>
    <w:tmpl w:val="40764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3D07E2"/>
    <w:multiLevelType w:val="hybridMultilevel"/>
    <w:tmpl w:val="3354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F311C2"/>
    <w:multiLevelType w:val="hybridMultilevel"/>
    <w:tmpl w:val="92E864C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72056A04"/>
    <w:multiLevelType w:val="hybridMultilevel"/>
    <w:tmpl w:val="D8B64892"/>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1">
    <w:nsid w:val="729C25E0"/>
    <w:multiLevelType w:val="hybridMultilevel"/>
    <w:tmpl w:val="8F44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A21703"/>
    <w:multiLevelType w:val="hybridMultilevel"/>
    <w:tmpl w:val="ED72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C4942"/>
    <w:multiLevelType w:val="hybridMultilevel"/>
    <w:tmpl w:val="4C2E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0"/>
  </w:num>
  <w:num w:numId="6">
    <w:abstractNumId w:val="5"/>
  </w:num>
  <w:num w:numId="7">
    <w:abstractNumId w:val="3"/>
  </w:num>
  <w:num w:numId="8">
    <w:abstractNumId w:val="13"/>
  </w:num>
  <w:num w:numId="9">
    <w:abstractNumId w:val="11"/>
  </w:num>
  <w:num w:numId="10">
    <w:abstractNumId w:val="8"/>
  </w:num>
  <w:num w:numId="11">
    <w:abstractNumId w:val="2"/>
  </w:num>
  <w:num w:numId="12">
    <w:abstractNumId w:val="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BC"/>
    <w:rsid w:val="000110F6"/>
    <w:rsid w:val="0002490C"/>
    <w:rsid w:val="00026E03"/>
    <w:rsid w:val="00034214"/>
    <w:rsid w:val="000357C9"/>
    <w:rsid w:val="00045EE9"/>
    <w:rsid w:val="00050E1D"/>
    <w:rsid w:val="00052DC9"/>
    <w:rsid w:val="00053D3F"/>
    <w:rsid w:val="0006345D"/>
    <w:rsid w:val="000700CC"/>
    <w:rsid w:val="00076075"/>
    <w:rsid w:val="000924DB"/>
    <w:rsid w:val="000A7EBA"/>
    <w:rsid w:val="000E2B28"/>
    <w:rsid w:val="000E5842"/>
    <w:rsid w:val="000F10AA"/>
    <w:rsid w:val="000F6E55"/>
    <w:rsid w:val="00120BE4"/>
    <w:rsid w:val="00131BAD"/>
    <w:rsid w:val="00137707"/>
    <w:rsid w:val="00152F63"/>
    <w:rsid w:val="00153D57"/>
    <w:rsid w:val="00170295"/>
    <w:rsid w:val="00183082"/>
    <w:rsid w:val="001876B4"/>
    <w:rsid w:val="001A234C"/>
    <w:rsid w:val="001A24A4"/>
    <w:rsid w:val="001A540C"/>
    <w:rsid w:val="001D10BA"/>
    <w:rsid w:val="001D212C"/>
    <w:rsid w:val="001D3767"/>
    <w:rsid w:val="001D78B3"/>
    <w:rsid w:val="00200435"/>
    <w:rsid w:val="002048FB"/>
    <w:rsid w:val="00217A9C"/>
    <w:rsid w:val="00230C3D"/>
    <w:rsid w:val="00232E3D"/>
    <w:rsid w:val="0024769F"/>
    <w:rsid w:val="00252498"/>
    <w:rsid w:val="00254FC6"/>
    <w:rsid w:val="00262306"/>
    <w:rsid w:val="002655EC"/>
    <w:rsid w:val="00266614"/>
    <w:rsid w:val="00267604"/>
    <w:rsid w:val="00272839"/>
    <w:rsid w:val="00294286"/>
    <w:rsid w:val="002A5F32"/>
    <w:rsid w:val="002C0DE8"/>
    <w:rsid w:val="002E297B"/>
    <w:rsid w:val="002E769C"/>
    <w:rsid w:val="002F7735"/>
    <w:rsid w:val="00305C26"/>
    <w:rsid w:val="00313146"/>
    <w:rsid w:val="00323558"/>
    <w:rsid w:val="00335F55"/>
    <w:rsid w:val="00367AB0"/>
    <w:rsid w:val="0037429A"/>
    <w:rsid w:val="003968F0"/>
    <w:rsid w:val="003B7DAD"/>
    <w:rsid w:val="003C5DBD"/>
    <w:rsid w:val="003D6FC4"/>
    <w:rsid w:val="003E78B7"/>
    <w:rsid w:val="00403915"/>
    <w:rsid w:val="0043437D"/>
    <w:rsid w:val="00435966"/>
    <w:rsid w:val="0043601F"/>
    <w:rsid w:val="004432A9"/>
    <w:rsid w:val="00451245"/>
    <w:rsid w:val="004710D8"/>
    <w:rsid w:val="00481B83"/>
    <w:rsid w:val="00484684"/>
    <w:rsid w:val="004F1E9F"/>
    <w:rsid w:val="004F64D8"/>
    <w:rsid w:val="0050086A"/>
    <w:rsid w:val="00511F49"/>
    <w:rsid w:val="0053606E"/>
    <w:rsid w:val="005653AF"/>
    <w:rsid w:val="005D7B92"/>
    <w:rsid w:val="005F3326"/>
    <w:rsid w:val="006028C9"/>
    <w:rsid w:val="00607BFC"/>
    <w:rsid w:val="00626784"/>
    <w:rsid w:val="006410D4"/>
    <w:rsid w:val="00656578"/>
    <w:rsid w:val="00687BAE"/>
    <w:rsid w:val="006B6278"/>
    <w:rsid w:val="006C04D8"/>
    <w:rsid w:val="006E260E"/>
    <w:rsid w:val="006E290B"/>
    <w:rsid w:val="006E475C"/>
    <w:rsid w:val="00705DD8"/>
    <w:rsid w:val="0074184F"/>
    <w:rsid w:val="00752B00"/>
    <w:rsid w:val="00753BD0"/>
    <w:rsid w:val="00763EEC"/>
    <w:rsid w:val="00767F7C"/>
    <w:rsid w:val="00772645"/>
    <w:rsid w:val="00776A8E"/>
    <w:rsid w:val="00780828"/>
    <w:rsid w:val="00781B1A"/>
    <w:rsid w:val="00790881"/>
    <w:rsid w:val="007A3367"/>
    <w:rsid w:val="007B768F"/>
    <w:rsid w:val="007C1929"/>
    <w:rsid w:val="007D0460"/>
    <w:rsid w:val="00800BEA"/>
    <w:rsid w:val="0081379F"/>
    <w:rsid w:val="00823591"/>
    <w:rsid w:val="008605ED"/>
    <w:rsid w:val="00861D10"/>
    <w:rsid w:val="00864213"/>
    <w:rsid w:val="008A3C22"/>
    <w:rsid w:val="008C4AFE"/>
    <w:rsid w:val="008F600D"/>
    <w:rsid w:val="008F7003"/>
    <w:rsid w:val="00901E2A"/>
    <w:rsid w:val="00903597"/>
    <w:rsid w:val="009356AD"/>
    <w:rsid w:val="00941837"/>
    <w:rsid w:val="00944A2C"/>
    <w:rsid w:val="009525F0"/>
    <w:rsid w:val="009627D5"/>
    <w:rsid w:val="009714A8"/>
    <w:rsid w:val="0097223E"/>
    <w:rsid w:val="0097398D"/>
    <w:rsid w:val="00985309"/>
    <w:rsid w:val="009914E5"/>
    <w:rsid w:val="00997A85"/>
    <w:rsid w:val="009B0764"/>
    <w:rsid w:val="009C1E92"/>
    <w:rsid w:val="009D3E4F"/>
    <w:rsid w:val="009E0964"/>
    <w:rsid w:val="00A24A10"/>
    <w:rsid w:val="00A62CB1"/>
    <w:rsid w:val="00A7735C"/>
    <w:rsid w:val="00A77603"/>
    <w:rsid w:val="00A776CA"/>
    <w:rsid w:val="00A94359"/>
    <w:rsid w:val="00AA3B5F"/>
    <w:rsid w:val="00AA6441"/>
    <w:rsid w:val="00AA735A"/>
    <w:rsid w:val="00AB006C"/>
    <w:rsid w:val="00AB34E0"/>
    <w:rsid w:val="00AE79B8"/>
    <w:rsid w:val="00AF14ED"/>
    <w:rsid w:val="00B07982"/>
    <w:rsid w:val="00B365AF"/>
    <w:rsid w:val="00B454BC"/>
    <w:rsid w:val="00B45BDE"/>
    <w:rsid w:val="00B62F31"/>
    <w:rsid w:val="00B870DD"/>
    <w:rsid w:val="00BA020A"/>
    <w:rsid w:val="00BA63C2"/>
    <w:rsid w:val="00BB5B9A"/>
    <w:rsid w:val="00BB5CDD"/>
    <w:rsid w:val="00BD72C4"/>
    <w:rsid w:val="00BE12B4"/>
    <w:rsid w:val="00BE4291"/>
    <w:rsid w:val="00BE45BF"/>
    <w:rsid w:val="00BE4BA7"/>
    <w:rsid w:val="00BE712A"/>
    <w:rsid w:val="00BF6031"/>
    <w:rsid w:val="00C06D9A"/>
    <w:rsid w:val="00C079B4"/>
    <w:rsid w:val="00C11A8B"/>
    <w:rsid w:val="00C274A4"/>
    <w:rsid w:val="00C3550F"/>
    <w:rsid w:val="00C6430B"/>
    <w:rsid w:val="00C76BA2"/>
    <w:rsid w:val="00C83D4E"/>
    <w:rsid w:val="00C96714"/>
    <w:rsid w:val="00CB6263"/>
    <w:rsid w:val="00CD2002"/>
    <w:rsid w:val="00CD285E"/>
    <w:rsid w:val="00CE051F"/>
    <w:rsid w:val="00CE37A4"/>
    <w:rsid w:val="00D07B36"/>
    <w:rsid w:val="00D1390B"/>
    <w:rsid w:val="00D460DA"/>
    <w:rsid w:val="00D91C4E"/>
    <w:rsid w:val="00DB50C5"/>
    <w:rsid w:val="00DB73D9"/>
    <w:rsid w:val="00DD0229"/>
    <w:rsid w:val="00DD1D98"/>
    <w:rsid w:val="00DD70DE"/>
    <w:rsid w:val="00DE6C73"/>
    <w:rsid w:val="00DF44EE"/>
    <w:rsid w:val="00E01472"/>
    <w:rsid w:val="00E0637C"/>
    <w:rsid w:val="00E12192"/>
    <w:rsid w:val="00E31F1C"/>
    <w:rsid w:val="00E8217A"/>
    <w:rsid w:val="00E914C1"/>
    <w:rsid w:val="00EA290D"/>
    <w:rsid w:val="00EA6656"/>
    <w:rsid w:val="00EC0463"/>
    <w:rsid w:val="00EC11F2"/>
    <w:rsid w:val="00ED0646"/>
    <w:rsid w:val="00ED4F55"/>
    <w:rsid w:val="00EE1A0A"/>
    <w:rsid w:val="00EF403B"/>
    <w:rsid w:val="00F02F4E"/>
    <w:rsid w:val="00F12289"/>
    <w:rsid w:val="00F32D2A"/>
    <w:rsid w:val="00F35D9D"/>
    <w:rsid w:val="00F662C3"/>
    <w:rsid w:val="00F66A88"/>
    <w:rsid w:val="00F82AE9"/>
    <w:rsid w:val="00FA09C4"/>
    <w:rsid w:val="00FC458F"/>
    <w:rsid w:val="00FD44C3"/>
    <w:rsid w:val="00FE3055"/>
    <w:rsid w:val="00FF71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9C1E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B45B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customStyle="1" w:styleId="Default">
    <w:name w:val="Default"/>
    <w:rsid w:val="00BD72C4"/>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BD72C4"/>
    <w:rPr>
      <w:sz w:val="20"/>
    </w:rPr>
  </w:style>
  <w:style w:type="character" w:customStyle="1" w:styleId="FootnoteTextChar">
    <w:name w:val="Footnote Text Char"/>
    <w:basedOn w:val="DefaultParagraphFont"/>
    <w:link w:val="FootnoteText"/>
    <w:rsid w:val="00BD72C4"/>
    <w:rPr>
      <w:lang w:eastAsia="en-US"/>
    </w:rPr>
  </w:style>
  <w:style w:type="character" w:styleId="FootnoteReference">
    <w:name w:val="footnote reference"/>
    <w:basedOn w:val="DefaultParagraphFont"/>
    <w:rsid w:val="00BD72C4"/>
    <w:rPr>
      <w:vertAlign w:val="superscript"/>
    </w:rPr>
  </w:style>
  <w:style w:type="paragraph" w:styleId="ListParagraph">
    <w:name w:val="List Paragraph"/>
    <w:basedOn w:val="Normal"/>
    <w:uiPriority w:val="34"/>
    <w:qFormat/>
    <w:rsid w:val="006E475C"/>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E92"/>
    <w:rPr>
      <w:b/>
      <w:bCs/>
      <w:kern w:val="36"/>
      <w:sz w:val="48"/>
      <w:szCs w:val="48"/>
    </w:rPr>
  </w:style>
  <w:style w:type="character" w:styleId="CommentReference">
    <w:name w:val="annotation reference"/>
    <w:basedOn w:val="DefaultParagraphFont"/>
    <w:rsid w:val="00C6430B"/>
    <w:rPr>
      <w:sz w:val="16"/>
      <w:szCs w:val="16"/>
    </w:rPr>
  </w:style>
  <w:style w:type="paragraph" w:styleId="CommentText">
    <w:name w:val="annotation text"/>
    <w:basedOn w:val="Normal"/>
    <w:link w:val="CommentTextChar"/>
    <w:rsid w:val="00C6430B"/>
    <w:rPr>
      <w:sz w:val="20"/>
    </w:rPr>
  </w:style>
  <w:style w:type="character" w:customStyle="1" w:styleId="CommentTextChar">
    <w:name w:val="Comment Text Char"/>
    <w:basedOn w:val="DefaultParagraphFont"/>
    <w:link w:val="CommentText"/>
    <w:rsid w:val="00C6430B"/>
    <w:rPr>
      <w:lang w:eastAsia="en-US"/>
    </w:rPr>
  </w:style>
  <w:style w:type="paragraph" w:customStyle="1" w:styleId="subpara21">
    <w:name w:val="subpara21"/>
    <w:basedOn w:val="Normal"/>
    <w:rsid w:val="00C6430B"/>
    <w:pPr>
      <w:spacing w:before="100" w:beforeAutospacing="1" w:after="100" w:afterAutospacing="1"/>
      <w:ind w:left="960" w:right="240"/>
      <w:jc w:val="both"/>
    </w:pPr>
    <w:rPr>
      <w:rFonts w:ascii="Arial" w:eastAsia="MS Mincho" w:hAnsi="Arial" w:cs="Arial"/>
      <w:color w:val="000000"/>
      <w:sz w:val="18"/>
      <w:szCs w:val="18"/>
      <w:lang w:val="en-US" w:eastAsia="ja-JP"/>
    </w:rPr>
  </w:style>
  <w:style w:type="character" w:customStyle="1" w:styleId="Heading2Char">
    <w:name w:val="Heading 2 Char"/>
    <w:basedOn w:val="DefaultParagraphFont"/>
    <w:link w:val="Heading2"/>
    <w:semiHidden/>
    <w:rsid w:val="00B45BDE"/>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link w:val="Heading1Char"/>
    <w:uiPriority w:val="9"/>
    <w:qFormat/>
    <w:rsid w:val="009C1E92"/>
    <w:pPr>
      <w:spacing w:before="100" w:beforeAutospacing="1" w:after="100" w:afterAutospacing="1"/>
      <w:outlineLvl w:val="0"/>
    </w:pPr>
    <w:rPr>
      <w:b/>
      <w:bCs/>
      <w:kern w:val="36"/>
      <w:sz w:val="48"/>
      <w:szCs w:val="48"/>
      <w:lang w:eastAsia="en-GB"/>
    </w:rPr>
  </w:style>
  <w:style w:type="paragraph" w:styleId="Heading2">
    <w:name w:val="heading 2"/>
    <w:basedOn w:val="Normal"/>
    <w:next w:val="Normal"/>
    <w:link w:val="Heading2Char"/>
    <w:semiHidden/>
    <w:unhideWhenUsed/>
    <w:qFormat/>
    <w:rsid w:val="00B45BD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120BE4"/>
    <w:rPr>
      <w:rFonts w:ascii="Tahoma" w:hAnsi="Tahoma" w:cs="Tahoma"/>
      <w:sz w:val="16"/>
      <w:szCs w:val="16"/>
    </w:rPr>
  </w:style>
  <w:style w:type="character" w:customStyle="1" w:styleId="BalloonTextChar">
    <w:name w:val="Balloon Text Char"/>
    <w:basedOn w:val="DefaultParagraphFont"/>
    <w:link w:val="BalloonText"/>
    <w:rsid w:val="00120BE4"/>
    <w:rPr>
      <w:rFonts w:ascii="Tahoma" w:hAnsi="Tahoma" w:cs="Tahoma"/>
      <w:sz w:val="16"/>
      <w:szCs w:val="16"/>
      <w:lang w:eastAsia="en-US"/>
    </w:rPr>
  </w:style>
  <w:style w:type="paragraph" w:customStyle="1" w:styleId="Default">
    <w:name w:val="Default"/>
    <w:rsid w:val="00BD72C4"/>
    <w:pPr>
      <w:autoSpaceDE w:val="0"/>
      <w:autoSpaceDN w:val="0"/>
      <w:adjustRightInd w:val="0"/>
    </w:pPr>
    <w:rPr>
      <w:rFonts w:ascii="Frutiger LT Std 45 Light" w:hAnsi="Frutiger LT Std 45 Light" w:cs="Frutiger LT Std 45 Light"/>
      <w:color w:val="000000"/>
      <w:sz w:val="24"/>
      <w:szCs w:val="24"/>
    </w:rPr>
  </w:style>
  <w:style w:type="paragraph" w:styleId="FootnoteText">
    <w:name w:val="footnote text"/>
    <w:basedOn w:val="Normal"/>
    <w:link w:val="FootnoteTextChar"/>
    <w:rsid w:val="00BD72C4"/>
    <w:rPr>
      <w:sz w:val="20"/>
    </w:rPr>
  </w:style>
  <w:style w:type="character" w:customStyle="1" w:styleId="FootnoteTextChar">
    <w:name w:val="Footnote Text Char"/>
    <w:basedOn w:val="DefaultParagraphFont"/>
    <w:link w:val="FootnoteText"/>
    <w:rsid w:val="00BD72C4"/>
    <w:rPr>
      <w:lang w:eastAsia="en-US"/>
    </w:rPr>
  </w:style>
  <w:style w:type="character" w:styleId="FootnoteReference">
    <w:name w:val="footnote reference"/>
    <w:basedOn w:val="DefaultParagraphFont"/>
    <w:rsid w:val="00BD72C4"/>
    <w:rPr>
      <w:vertAlign w:val="superscript"/>
    </w:rPr>
  </w:style>
  <w:style w:type="paragraph" w:styleId="ListParagraph">
    <w:name w:val="List Paragraph"/>
    <w:basedOn w:val="Normal"/>
    <w:uiPriority w:val="34"/>
    <w:qFormat/>
    <w:rsid w:val="006E475C"/>
    <w:pPr>
      <w:spacing w:after="200" w:line="276" w:lineRule="auto"/>
      <w:ind w:left="720"/>
      <w:contextualSpacing/>
    </w:pPr>
    <w:rPr>
      <w:rFonts w:asciiTheme="minorHAnsi" w:eastAsiaTheme="minorHAnsi" w:hAnsiTheme="minorHAnsi" w:cstheme="minorBidi"/>
      <w:sz w:val="22"/>
      <w:szCs w:val="22"/>
    </w:rPr>
  </w:style>
  <w:style w:type="character" w:customStyle="1" w:styleId="Heading1Char">
    <w:name w:val="Heading 1 Char"/>
    <w:basedOn w:val="DefaultParagraphFont"/>
    <w:link w:val="Heading1"/>
    <w:uiPriority w:val="9"/>
    <w:rsid w:val="009C1E92"/>
    <w:rPr>
      <w:b/>
      <w:bCs/>
      <w:kern w:val="36"/>
      <w:sz w:val="48"/>
      <w:szCs w:val="48"/>
    </w:rPr>
  </w:style>
  <w:style w:type="character" w:styleId="CommentReference">
    <w:name w:val="annotation reference"/>
    <w:basedOn w:val="DefaultParagraphFont"/>
    <w:rsid w:val="00C6430B"/>
    <w:rPr>
      <w:sz w:val="16"/>
      <w:szCs w:val="16"/>
    </w:rPr>
  </w:style>
  <w:style w:type="paragraph" w:styleId="CommentText">
    <w:name w:val="annotation text"/>
    <w:basedOn w:val="Normal"/>
    <w:link w:val="CommentTextChar"/>
    <w:rsid w:val="00C6430B"/>
    <w:rPr>
      <w:sz w:val="20"/>
    </w:rPr>
  </w:style>
  <w:style w:type="character" w:customStyle="1" w:styleId="CommentTextChar">
    <w:name w:val="Comment Text Char"/>
    <w:basedOn w:val="DefaultParagraphFont"/>
    <w:link w:val="CommentText"/>
    <w:rsid w:val="00C6430B"/>
    <w:rPr>
      <w:lang w:eastAsia="en-US"/>
    </w:rPr>
  </w:style>
  <w:style w:type="paragraph" w:customStyle="1" w:styleId="subpara21">
    <w:name w:val="subpara21"/>
    <w:basedOn w:val="Normal"/>
    <w:rsid w:val="00C6430B"/>
    <w:pPr>
      <w:spacing w:before="100" w:beforeAutospacing="1" w:after="100" w:afterAutospacing="1"/>
      <w:ind w:left="960" w:right="240"/>
      <w:jc w:val="both"/>
    </w:pPr>
    <w:rPr>
      <w:rFonts w:ascii="Arial" w:eastAsia="MS Mincho" w:hAnsi="Arial" w:cs="Arial"/>
      <w:color w:val="000000"/>
      <w:sz w:val="18"/>
      <w:szCs w:val="18"/>
      <w:lang w:val="en-US" w:eastAsia="ja-JP"/>
    </w:rPr>
  </w:style>
  <w:style w:type="character" w:customStyle="1" w:styleId="Heading2Char">
    <w:name w:val="Heading 2 Char"/>
    <w:basedOn w:val="DefaultParagraphFont"/>
    <w:link w:val="Heading2"/>
    <w:semiHidden/>
    <w:rsid w:val="00B45BDE"/>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8528">
      <w:bodyDiv w:val="1"/>
      <w:marLeft w:val="0"/>
      <w:marRight w:val="0"/>
      <w:marTop w:val="0"/>
      <w:marBottom w:val="0"/>
      <w:divBdr>
        <w:top w:val="none" w:sz="0" w:space="0" w:color="auto"/>
        <w:left w:val="none" w:sz="0" w:space="0" w:color="auto"/>
        <w:bottom w:val="none" w:sz="0" w:space="0" w:color="auto"/>
        <w:right w:val="none" w:sz="0" w:space="0" w:color="auto"/>
      </w:divBdr>
      <w:divsChild>
        <w:div w:id="1257599080">
          <w:marLeft w:val="0"/>
          <w:marRight w:val="0"/>
          <w:marTop w:val="0"/>
          <w:marBottom w:val="0"/>
          <w:divBdr>
            <w:top w:val="none" w:sz="0" w:space="0" w:color="auto"/>
            <w:left w:val="none" w:sz="0" w:space="0" w:color="auto"/>
            <w:bottom w:val="none" w:sz="0" w:space="0" w:color="auto"/>
            <w:right w:val="none" w:sz="0" w:space="0" w:color="auto"/>
          </w:divBdr>
        </w:div>
      </w:divsChild>
    </w:div>
    <w:div w:id="755638300">
      <w:bodyDiv w:val="1"/>
      <w:marLeft w:val="0"/>
      <w:marRight w:val="0"/>
      <w:marTop w:val="0"/>
      <w:marBottom w:val="0"/>
      <w:divBdr>
        <w:top w:val="none" w:sz="0" w:space="0" w:color="auto"/>
        <w:left w:val="none" w:sz="0" w:space="0" w:color="auto"/>
        <w:bottom w:val="none" w:sz="0" w:space="0" w:color="auto"/>
        <w:right w:val="none" w:sz="0" w:space="0" w:color="auto"/>
      </w:divBdr>
    </w:div>
    <w:div w:id="90276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mon.hills\AppData\Roaming\Microsoft\Templates\BBA%20Heading%20on%20Plain%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B15E-1892-4AD9-A405-593AC297D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BBA Heading on Plain Paper.dotx</Template>
  <TotalTime>135</TotalTime>
  <Pages>4</Pages>
  <Words>1323</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British Bankers Association</Company>
  <LinksUpToDate>false</LinksUpToDate>
  <CharactersWithSpaces>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Hills</dc:creator>
  <cp:lastModifiedBy>GMSUser</cp:lastModifiedBy>
  <cp:revision>6</cp:revision>
  <cp:lastPrinted>2014-03-18T11:08:00Z</cp:lastPrinted>
  <dcterms:created xsi:type="dcterms:W3CDTF">2016-07-12T15:29:00Z</dcterms:created>
  <dcterms:modified xsi:type="dcterms:W3CDTF">2016-07-20T14:11:00Z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