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B0F0"/>
          <w:sz w:val="12"/>
          <w:szCs w:val="22"/>
          <w:lang w:val="en-GB"/>
        </w:rPr>
        <w:id w:val="2126582917"/>
        <w:docPartObj>
          <w:docPartGallery w:val="Cover Pages"/>
          <w:docPartUnique/>
        </w:docPartObj>
      </w:sdtPr>
      <w:sdtEndPr>
        <w:rPr>
          <w:sz w:val="22"/>
        </w:rPr>
      </w:sdtEndPr>
      <w:sdtContent>
        <w:p w:rsidR="00E00BB5" w:rsidRPr="00BC5F40" w:rsidRDefault="00E00BB5" w:rsidP="00E00BB5">
          <w:pPr>
            <w:rPr>
              <w:color w:val="00B0F0"/>
              <w:lang w:val="en-GB"/>
            </w:rPr>
          </w:pPr>
        </w:p>
        <w:p w:rsidR="0077379B" w:rsidRPr="00BC5F40" w:rsidRDefault="00936E72" w:rsidP="00947B0F">
          <w:pPr>
            <w:pStyle w:val="body"/>
            <w:rPr>
              <w:color w:val="00B0F0"/>
            </w:rPr>
          </w:pPr>
          <w:r w:rsidRPr="00BC5F40">
            <w:rPr>
              <w:noProof/>
              <w:color w:val="00B0F0"/>
              <w:lang w:eastAsia="zh-CN"/>
            </w:rPr>
            <w:drawing>
              <wp:inline distT="0" distB="0" distL="0" distR="0" wp14:anchorId="175E6E3C" wp14:editId="1CB7ABC5">
                <wp:extent cx="2683315" cy="985652"/>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ing Stakeholders Group v2.png"/>
                        <pic:cNvPicPr/>
                      </pic:nvPicPr>
                      <pic:blipFill rotWithShape="1">
                        <a:blip r:embed="rId9">
                          <a:extLst>
                            <a:ext uri="{28A0092B-C50C-407E-A947-70E740481C1C}">
                              <a14:useLocalDpi xmlns:a14="http://schemas.microsoft.com/office/drawing/2010/main" val="0"/>
                            </a:ext>
                          </a:extLst>
                        </a:blip>
                        <a:srcRect l="72624"/>
                        <a:stretch/>
                      </pic:blipFill>
                      <pic:spPr bwMode="auto">
                        <a:xfrm>
                          <a:off x="0" y="0"/>
                          <a:ext cx="2747109" cy="1009085"/>
                        </a:xfrm>
                        <a:prstGeom prst="rect">
                          <a:avLst/>
                        </a:prstGeom>
                        <a:ln>
                          <a:noFill/>
                        </a:ln>
                        <a:extLst>
                          <a:ext uri="{53640926-AAD7-44D8-BBD7-CCE9431645EC}">
                            <a14:shadowObscured xmlns:a14="http://schemas.microsoft.com/office/drawing/2010/main"/>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36E72" w:rsidRPr="00BC5F40" w:rsidRDefault="00936E72" w:rsidP="003055C1">
          <w:pPr>
            <w:pStyle w:val="body"/>
            <w:pBdr>
              <w:top w:val="thickThinLargeGap" w:sz="24" w:space="1" w:color="1163A7"/>
            </w:pBdr>
            <w:spacing w:before="120"/>
            <w:ind w:right="4528"/>
            <w:rPr>
              <w:rFonts w:asciiTheme="majorHAnsi" w:hAnsiTheme="majorHAnsi"/>
              <w:b/>
              <w:smallCaps/>
              <w:color w:val="00B0F0"/>
              <w:spacing w:val="26"/>
              <w:sz w:val="32"/>
              <w:szCs w:val="40"/>
            </w:rPr>
          </w:pPr>
          <w:r w:rsidRPr="00BC5F40">
            <w:rPr>
              <w:rFonts w:asciiTheme="majorHAnsi" w:hAnsiTheme="majorHAnsi"/>
              <w:b/>
              <w:smallCaps/>
              <w:color w:val="00B0F0"/>
              <w:spacing w:val="26"/>
              <w:sz w:val="32"/>
              <w:szCs w:val="40"/>
            </w:rPr>
            <w:t>Banking Stakeholder Group</w:t>
          </w:r>
        </w:p>
        <w:p w:rsidR="0077379B" w:rsidRPr="00BC5F40" w:rsidRDefault="0077379B" w:rsidP="00947B0F">
          <w:pPr>
            <w:pStyle w:val="body"/>
            <w:rPr>
              <w:color w:val="00B0F0"/>
            </w:rPr>
          </w:pPr>
        </w:p>
        <w:p w:rsidR="003055C1" w:rsidRPr="00BC5F40" w:rsidRDefault="003055C1" w:rsidP="00947B0F">
          <w:pPr>
            <w:pStyle w:val="body"/>
            <w:rPr>
              <w:color w:val="00B0F0"/>
            </w:rPr>
          </w:pPr>
        </w:p>
        <w:p w:rsidR="003055C1" w:rsidRPr="00BC5F40" w:rsidRDefault="003055C1" w:rsidP="00947B0F">
          <w:pPr>
            <w:pStyle w:val="body"/>
            <w:rPr>
              <w:color w:val="00B0F0"/>
            </w:rPr>
          </w:pPr>
        </w:p>
        <w:p w:rsidR="00936E72" w:rsidRPr="00BC5F40" w:rsidRDefault="00936E72" w:rsidP="00BC5F40">
          <w:pPr>
            <w:pStyle w:val="Subtitle"/>
            <w:jc w:val="center"/>
            <w:rPr>
              <w:color w:val="00B0F0"/>
            </w:rPr>
          </w:pPr>
          <w:r w:rsidRPr="00BC5F40">
            <w:rPr>
              <w:color w:val="00B0F0"/>
            </w:rPr>
            <w:t>Consultation on EBA/CP/201</w:t>
          </w:r>
          <w:r w:rsidR="00BC5F40">
            <w:rPr>
              <w:color w:val="00B0F0"/>
            </w:rPr>
            <w:t>5</w:t>
          </w:r>
          <w:r w:rsidRPr="00BC5F40">
            <w:rPr>
              <w:color w:val="00B0F0"/>
            </w:rPr>
            <w:t>/</w:t>
          </w:r>
          <w:r w:rsidR="00BC5F40">
            <w:rPr>
              <w:color w:val="00B0F0"/>
            </w:rPr>
            <w:t>29</w:t>
          </w:r>
          <w:r w:rsidRPr="00BC5F40">
            <w:rPr>
              <w:color w:val="00B0F0"/>
            </w:rPr>
            <w:t xml:space="preserve"> </w:t>
          </w:r>
          <w:r w:rsidR="00037237" w:rsidRPr="00BC5F40">
            <w:rPr>
              <w:color w:val="00B0F0"/>
            </w:rPr>
            <w:t>on</w:t>
          </w:r>
          <w:r w:rsidRPr="00BC5F40">
            <w:rPr>
              <w:color w:val="00B0F0"/>
            </w:rPr>
            <w:br/>
            <w:t>“</w:t>
          </w:r>
          <w:r w:rsidR="00BC5F40">
            <w:rPr>
              <w:color w:val="00B0F0"/>
            </w:rPr>
            <w:t>draft guidelines on remuneration policies and practices related to the sale and provision of retail banking products and services</w:t>
          </w:r>
          <w:r w:rsidRPr="00BC5F40">
            <w:rPr>
              <w:color w:val="00B0F0"/>
            </w:rPr>
            <w:t>”</w:t>
          </w:r>
        </w:p>
        <w:p w:rsidR="00947B0F" w:rsidRPr="00BC5F40" w:rsidRDefault="0001298E" w:rsidP="003055C1">
          <w:pPr>
            <w:jc w:val="center"/>
            <w:rPr>
              <w:color w:val="00B0F0"/>
              <w:lang w:val="en-GB"/>
            </w:rPr>
          </w:pPr>
        </w:p>
      </w:sdtContent>
    </w:sdt>
    <w:p w:rsidR="00BC5F40" w:rsidRPr="00BC5F40" w:rsidRDefault="00BC5F40" w:rsidP="003055C1">
      <w:pPr>
        <w:pStyle w:val="Title"/>
        <w:jc w:val="center"/>
        <w:rPr>
          <w:color w:val="00B0F0"/>
        </w:rPr>
      </w:pPr>
    </w:p>
    <w:p w:rsidR="00BC5F40" w:rsidRPr="00BC5F40" w:rsidRDefault="00BC5F40" w:rsidP="003055C1">
      <w:pPr>
        <w:pStyle w:val="Title"/>
        <w:jc w:val="center"/>
        <w:rPr>
          <w:color w:val="00B0F0"/>
        </w:rPr>
      </w:pPr>
    </w:p>
    <w:p w:rsidR="00947B0F" w:rsidRPr="00BC5F40" w:rsidRDefault="0077379B" w:rsidP="003055C1">
      <w:pPr>
        <w:pStyle w:val="Title"/>
        <w:jc w:val="center"/>
        <w:rPr>
          <w:color w:val="00B0F0"/>
        </w:rPr>
      </w:pPr>
      <w:r w:rsidRPr="00BC5F40">
        <w:rPr>
          <w:color w:val="00B0F0"/>
        </w:rPr>
        <w:t xml:space="preserve">General Comments </w:t>
      </w:r>
      <w:r w:rsidRPr="00BC5F40">
        <w:rPr>
          <w:color w:val="00B0F0"/>
        </w:rPr>
        <w:br/>
        <w:t>and Replies to Questions</w:t>
      </w:r>
    </w:p>
    <w:p w:rsidR="00936E72" w:rsidRPr="00BC5F40" w:rsidRDefault="00936E72" w:rsidP="003055C1">
      <w:pPr>
        <w:pStyle w:val="Subtitle"/>
        <w:jc w:val="center"/>
        <w:rPr>
          <w:color w:val="00B0F0"/>
        </w:rPr>
      </w:pPr>
      <w:r w:rsidRPr="00BC5F40">
        <w:rPr>
          <w:color w:val="00B0F0"/>
        </w:rPr>
        <w:t>By the EBA Banking Stakeholder Group</w:t>
      </w:r>
    </w:p>
    <w:p w:rsidR="00947B0F" w:rsidRPr="00BC5F40" w:rsidRDefault="00947B0F" w:rsidP="00947B0F">
      <w:pPr>
        <w:rPr>
          <w:color w:val="00B0F0"/>
        </w:rPr>
      </w:pPr>
    </w:p>
    <w:p w:rsidR="00936E72" w:rsidRPr="00BC5F40" w:rsidRDefault="00936E72" w:rsidP="00947B0F">
      <w:pPr>
        <w:rPr>
          <w:color w:val="00B0F0"/>
        </w:rPr>
      </w:pPr>
    </w:p>
    <w:p w:rsidR="00936E72" w:rsidRPr="00BC5F40" w:rsidRDefault="00936E72">
      <w:pPr>
        <w:rPr>
          <w:color w:val="00B0F0"/>
        </w:rPr>
      </w:pPr>
    </w:p>
    <w:p w:rsidR="00936E72" w:rsidRPr="00BC5F40" w:rsidRDefault="00936E72">
      <w:pPr>
        <w:rPr>
          <w:color w:val="00B0F0"/>
        </w:rPr>
      </w:pPr>
    </w:p>
    <w:p w:rsidR="00936E72" w:rsidRPr="00BC5F40" w:rsidRDefault="00936E72">
      <w:pPr>
        <w:rPr>
          <w:color w:val="00B0F0"/>
        </w:rPr>
      </w:pPr>
    </w:p>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3055C1" w:rsidRDefault="003055C1"/>
    <w:p w:rsidR="00936E72" w:rsidRDefault="00936E72" w:rsidP="003055C1">
      <w:pPr>
        <w:jc w:val="right"/>
      </w:pPr>
      <w:r>
        <w:t xml:space="preserve">London, </w:t>
      </w:r>
      <w:r w:rsidR="003D05A5">
        <w:t>22</w:t>
      </w:r>
      <w:r w:rsidR="003D05A5" w:rsidRPr="0001298E">
        <w:rPr>
          <w:vertAlign w:val="superscript"/>
        </w:rPr>
        <w:t>nd</w:t>
      </w:r>
      <w:r w:rsidR="003D05A5">
        <w:t xml:space="preserve"> March, 2016</w:t>
      </w:r>
      <w:r>
        <w:br w:type="page"/>
      </w:r>
    </w:p>
    <w:p w:rsidR="00936E72" w:rsidRPr="00244B97" w:rsidRDefault="00936E72" w:rsidP="00947B0F">
      <w:bookmarkStart w:id="0" w:name="_GoBack"/>
      <w:bookmarkEnd w:id="0"/>
    </w:p>
    <w:p w:rsidR="0077379B" w:rsidRPr="0018792B" w:rsidRDefault="0077379B" w:rsidP="00947B0F">
      <w:pPr>
        <w:pStyle w:val="Titlelevel2"/>
        <w:rPr>
          <w:color w:val="3F8BD0" w:themeColor="accent6" w:themeTint="99"/>
        </w:rPr>
      </w:pPr>
      <w:r w:rsidRPr="0018792B">
        <w:rPr>
          <w:color w:val="3F8BD0" w:themeColor="accent6" w:themeTint="99"/>
        </w:rPr>
        <w:t>Foreword</w:t>
      </w:r>
    </w:p>
    <w:p w:rsidR="00037237" w:rsidRPr="0018792B" w:rsidRDefault="00037237" w:rsidP="00BC5F40">
      <w:pPr>
        <w:pStyle w:val="body"/>
        <w:rPr>
          <w:rFonts w:ascii="Times New Roman" w:hAnsi="Times New Roman" w:cs="Times New Roman"/>
          <w:sz w:val="24"/>
        </w:rPr>
      </w:pPr>
      <w:r w:rsidRPr="0018792B">
        <w:rPr>
          <w:rFonts w:ascii="Times New Roman" w:hAnsi="Times New Roman" w:cs="Times New Roman"/>
          <w:sz w:val="24"/>
        </w:rPr>
        <w:t xml:space="preserve">The </w:t>
      </w:r>
      <w:r w:rsidR="008C64A7">
        <w:rPr>
          <w:rFonts w:ascii="Times New Roman" w:hAnsi="Times New Roman" w:cs="Times New Roman"/>
          <w:sz w:val="24"/>
        </w:rPr>
        <w:t>EBA Banking Stakeholder Group (BSG</w:t>
      </w:r>
      <w:r w:rsidRPr="0018792B">
        <w:rPr>
          <w:rFonts w:ascii="Times New Roman" w:hAnsi="Times New Roman" w:cs="Times New Roman"/>
          <w:sz w:val="24"/>
        </w:rPr>
        <w:t xml:space="preserve">) welcomes the opportunity to comment on the Consultation Paper </w:t>
      </w:r>
      <w:r w:rsidR="00BC5F40">
        <w:rPr>
          <w:rFonts w:ascii="Times New Roman" w:hAnsi="Times New Roman" w:cs="Times New Roman"/>
          <w:sz w:val="24"/>
        </w:rPr>
        <w:t>EBA/CP/2015/29.</w:t>
      </w:r>
    </w:p>
    <w:p w:rsidR="00037237" w:rsidRPr="0018792B" w:rsidRDefault="00037237" w:rsidP="00037237">
      <w:pPr>
        <w:pStyle w:val="body"/>
        <w:rPr>
          <w:rFonts w:ascii="Times New Roman" w:hAnsi="Times New Roman" w:cs="Times New Roman"/>
          <w:sz w:val="24"/>
        </w:rPr>
      </w:pPr>
      <w:r w:rsidRPr="0018792B">
        <w:rPr>
          <w:rFonts w:ascii="Times New Roman" w:hAnsi="Times New Roman" w:cs="Times New Roman"/>
          <w:sz w:val="24"/>
        </w:rPr>
        <w:t xml:space="preserve">As in the past, the BSG supports an initiative that aims at harmonizing supervisory rules and practices across Europe, in order to ensure fair conditions of competition between institutions and more efficiency for cross-border groups. The BSG also expects these initiatives to facilitate data sharing between European supervisors and avoid reporting duplications for banks. However, the BSG identifies a number of issues which, unless properly addressed, could lead to unintended results. </w:t>
      </w:r>
    </w:p>
    <w:p w:rsidR="0077379B" w:rsidRPr="0018792B" w:rsidRDefault="00037237" w:rsidP="00037237">
      <w:pPr>
        <w:pStyle w:val="body"/>
        <w:rPr>
          <w:rFonts w:ascii="Times New Roman" w:hAnsi="Times New Roman" w:cs="Times New Roman"/>
          <w:sz w:val="24"/>
        </w:rPr>
      </w:pPr>
      <w:r w:rsidRPr="0018792B">
        <w:rPr>
          <w:rFonts w:ascii="Times New Roman" w:hAnsi="Times New Roman" w:cs="Times New Roman"/>
          <w:sz w:val="24"/>
        </w:rPr>
        <w:t>This response outlines some general comments by the BSG, as well as our detailed answers to some questions indicated in the CP.</w:t>
      </w:r>
    </w:p>
    <w:p w:rsidR="00AF593C" w:rsidRPr="00AF593C" w:rsidRDefault="00947B0F" w:rsidP="00AF593C">
      <w:pPr>
        <w:pStyle w:val="Titlelevel2"/>
        <w:rPr>
          <w:color w:val="3F8BD0" w:themeColor="accent6" w:themeTint="99"/>
        </w:rPr>
      </w:pPr>
      <w:r w:rsidRPr="0018792B">
        <w:rPr>
          <w:color w:val="3F8BD0" w:themeColor="accent6" w:themeTint="99"/>
        </w:rPr>
        <w:t>G</w:t>
      </w:r>
      <w:r w:rsidR="00F77102" w:rsidRPr="0018792B">
        <w:rPr>
          <w:color w:val="3F8BD0" w:themeColor="accent6" w:themeTint="99"/>
        </w:rPr>
        <w:t>eneral comments</w:t>
      </w:r>
    </w:p>
    <w:p w:rsidR="00AF593C" w:rsidRPr="00AF593C" w:rsidRDefault="00AF593C" w:rsidP="00AF593C">
      <w:pPr>
        <w:spacing w:after="240" w:line="276" w:lineRule="auto"/>
        <w:rPr>
          <w:rFonts w:asciiTheme="majorBidi" w:eastAsia="Times New Roman" w:hAnsiTheme="majorBidi" w:cstheme="majorBidi"/>
          <w:color w:val="303A40"/>
          <w:sz w:val="24"/>
          <w:lang w:val="en-GB" w:eastAsia="zh-CN"/>
        </w:rPr>
      </w:pPr>
      <w:r w:rsidRPr="00AF593C">
        <w:rPr>
          <w:rFonts w:asciiTheme="majorBidi" w:eastAsia="Times New Roman" w:hAnsiTheme="majorBidi" w:cstheme="majorBidi"/>
          <w:color w:val="303A40"/>
          <w:sz w:val="24"/>
          <w:lang w:val="en-GB" w:eastAsia="zh-CN"/>
        </w:rPr>
        <w:t xml:space="preserve">The European Banking Authority (EBA) </w:t>
      </w:r>
      <w:r>
        <w:rPr>
          <w:rFonts w:asciiTheme="majorBidi" w:eastAsia="Times New Roman" w:hAnsiTheme="majorBidi" w:cstheme="majorBidi"/>
          <w:color w:val="303A40"/>
          <w:sz w:val="24"/>
          <w:lang w:val="en-GB" w:eastAsia="zh-CN"/>
        </w:rPr>
        <w:t>has launched</w:t>
      </w:r>
      <w:r w:rsidRPr="00AF593C">
        <w:rPr>
          <w:rFonts w:asciiTheme="majorBidi" w:eastAsia="Times New Roman" w:hAnsiTheme="majorBidi" w:cstheme="majorBidi"/>
          <w:color w:val="303A40"/>
          <w:sz w:val="24"/>
          <w:lang w:val="en-GB" w:eastAsia="zh-CN"/>
        </w:rPr>
        <w:t xml:space="preserve"> a consultation on its draft guidelines on remuneration policies and practices related to the sale and provision of retail banking products and services. The</w:t>
      </w:r>
      <w:r>
        <w:rPr>
          <w:rFonts w:asciiTheme="majorBidi" w:eastAsia="Times New Roman" w:hAnsiTheme="majorBidi" w:cstheme="majorBidi"/>
          <w:color w:val="303A40"/>
          <w:sz w:val="24"/>
          <w:lang w:val="en-GB" w:eastAsia="zh-CN"/>
        </w:rPr>
        <w:t xml:space="preserve"> background to the Consultation Paper is that the</w:t>
      </w:r>
      <w:r w:rsidRPr="00AF593C">
        <w:rPr>
          <w:rFonts w:asciiTheme="majorBidi" w:eastAsia="Times New Roman" w:hAnsiTheme="majorBidi" w:cstheme="majorBidi"/>
          <w:color w:val="303A40"/>
          <w:sz w:val="24"/>
          <w:lang w:val="en-GB" w:eastAsia="zh-CN"/>
        </w:rPr>
        <w:t xml:space="preserve"> EBA has identified poor remuneration policies and p</w:t>
      </w:r>
      <w:r w:rsidR="003D05A5">
        <w:rPr>
          <w:rFonts w:asciiTheme="majorBidi" w:eastAsia="Times New Roman" w:hAnsiTheme="majorBidi" w:cstheme="majorBidi"/>
          <w:color w:val="303A40"/>
          <w:sz w:val="24"/>
          <w:lang w:val="en-GB" w:eastAsia="zh-CN"/>
        </w:rPr>
        <w:t xml:space="preserve">ractices as a key driver of </w:t>
      </w:r>
      <w:proofErr w:type="spellStart"/>
      <w:r w:rsidR="003D05A5">
        <w:rPr>
          <w:rFonts w:asciiTheme="majorBidi" w:eastAsia="Times New Roman" w:hAnsiTheme="majorBidi" w:cstheme="majorBidi"/>
          <w:color w:val="303A40"/>
          <w:sz w:val="24"/>
          <w:lang w:val="en-GB" w:eastAsia="zh-CN"/>
        </w:rPr>
        <w:t>mis</w:t>
      </w:r>
      <w:proofErr w:type="spellEnd"/>
      <w:r w:rsidRPr="00AF593C">
        <w:rPr>
          <w:rFonts w:asciiTheme="majorBidi" w:eastAsia="Times New Roman" w:hAnsiTheme="majorBidi" w:cstheme="majorBidi"/>
          <w:color w:val="303A40"/>
          <w:sz w:val="24"/>
          <w:lang w:val="en-GB" w:eastAsia="zh-CN"/>
        </w:rPr>
        <w:t>-selling of financial products and services</w:t>
      </w:r>
      <w:r>
        <w:rPr>
          <w:rFonts w:asciiTheme="majorBidi" w:eastAsia="Times New Roman" w:hAnsiTheme="majorBidi" w:cstheme="majorBidi"/>
          <w:color w:val="303A40"/>
          <w:sz w:val="24"/>
          <w:lang w:val="en-GB" w:eastAsia="zh-CN"/>
        </w:rPr>
        <w:t xml:space="preserve"> to the detriment of consumers</w:t>
      </w:r>
      <w:r w:rsidRPr="00AF593C">
        <w:rPr>
          <w:rFonts w:asciiTheme="majorBidi" w:eastAsia="Times New Roman" w:hAnsiTheme="majorBidi" w:cstheme="majorBidi"/>
          <w:color w:val="303A40"/>
          <w:sz w:val="24"/>
          <w:lang w:val="en-GB" w:eastAsia="zh-CN"/>
        </w:rPr>
        <w:t xml:space="preserve">. The Guidelines are </w:t>
      </w:r>
      <w:r>
        <w:rPr>
          <w:rFonts w:asciiTheme="majorBidi" w:eastAsia="Times New Roman" w:hAnsiTheme="majorBidi" w:cstheme="majorBidi"/>
          <w:color w:val="303A40"/>
          <w:sz w:val="24"/>
          <w:lang w:val="en-GB" w:eastAsia="zh-CN"/>
        </w:rPr>
        <w:t>designed to protect consumers and reduce</w:t>
      </w:r>
      <w:r w:rsidRPr="00AF593C">
        <w:rPr>
          <w:rFonts w:asciiTheme="majorBidi" w:eastAsia="Times New Roman" w:hAnsiTheme="majorBidi" w:cstheme="majorBidi"/>
          <w:color w:val="303A40"/>
          <w:sz w:val="24"/>
          <w:lang w:val="en-GB" w:eastAsia="zh-CN"/>
        </w:rPr>
        <w:t xml:space="preserve"> conduct costs of firms. </w:t>
      </w:r>
    </w:p>
    <w:p w:rsidR="00AF593C" w:rsidRPr="00AF593C" w:rsidRDefault="00AF593C" w:rsidP="00AF593C">
      <w:pPr>
        <w:spacing w:after="240" w:line="240" w:lineRule="atLeast"/>
        <w:rPr>
          <w:rFonts w:ascii="Times New Roman" w:eastAsia="Times New Roman" w:hAnsi="Times New Roman" w:cs="Times New Roman"/>
          <w:color w:val="303A40"/>
          <w:sz w:val="24"/>
          <w:lang w:val="en-GB" w:eastAsia="zh-CN"/>
        </w:rPr>
      </w:pPr>
      <w:r w:rsidRPr="00AF593C">
        <w:rPr>
          <w:rFonts w:ascii="Times New Roman" w:eastAsia="Times New Roman" w:hAnsi="Times New Roman" w:cs="Times New Roman"/>
          <w:color w:val="303A40"/>
          <w:sz w:val="24"/>
          <w:lang w:val="en-GB" w:eastAsia="zh-CN"/>
        </w:rPr>
        <w:t>The draft Guid</w:t>
      </w:r>
      <w:r>
        <w:rPr>
          <w:rFonts w:ascii="Times New Roman" w:eastAsia="Times New Roman" w:hAnsi="Times New Roman" w:cs="Times New Roman"/>
          <w:color w:val="303A40"/>
          <w:sz w:val="24"/>
          <w:lang w:val="en-GB" w:eastAsia="zh-CN"/>
        </w:rPr>
        <w:t>elines apply to remuneration of</w:t>
      </w:r>
      <w:r w:rsidRPr="00AF593C">
        <w:rPr>
          <w:rFonts w:ascii="Times New Roman" w:eastAsia="Times New Roman" w:hAnsi="Times New Roman" w:cs="Times New Roman"/>
          <w:color w:val="303A40"/>
          <w:sz w:val="24"/>
          <w:lang w:val="en-GB" w:eastAsia="zh-CN"/>
        </w:rPr>
        <w:t xml:space="preserve"> staff employed by credit institutions, creditors, credit intermediaries, payment institutions and electronic money institutions, when providing deposits, payment accounts, payment services, electronic money, mortgages, and other forms of credit to consumers.</w:t>
      </w:r>
    </w:p>
    <w:p w:rsidR="00AF593C" w:rsidRPr="00AF593C" w:rsidRDefault="00AF593C" w:rsidP="00AF593C">
      <w:pPr>
        <w:spacing w:after="240" w:line="240" w:lineRule="atLeast"/>
        <w:rPr>
          <w:rFonts w:ascii="Times New Roman" w:eastAsia="Times New Roman" w:hAnsi="Times New Roman" w:cs="Times New Roman"/>
          <w:color w:val="303A40"/>
          <w:sz w:val="24"/>
          <w:lang w:val="en-GB" w:eastAsia="zh-CN"/>
        </w:rPr>
      </w:pPr>
      <w:r w:rsidRPr="00AF593C">
        <w:rPr>
          <w:rFonts w:ascii="Times New Roman" w:eastAsia="Times New Roman" w:hAnsi="Times New Roman" w:cs="Times New Roman"/>
          <w:color w:val="303A40"/>
          <w:sz w:val="24"/>
          <w:lang w:val="en-GB" w:eastAsia="zh-CN"/>
        </w:rPr>
        <w:t xml:space="preserve">The Guidelines </w:t>
      </w:r>
      <w:r>
        <w:rPr>
          <w:rFonts w:ascii="Times New Roman" w:eastAsia="Times New Roman" w:hAnsi="Times New Roman" w:cs="Times New Roman"/>
          <w:color w:val="303A40"/>
          <w:sz w:val="24"/>
          <w:lang w:val="en-GB" w:eastAsia="zh-CN"/>
        </w:rPr>
        <w:t xml:space="preserve">are designed to </w:t>
      </w:r>
      <w:r w:rsidRPr="00AF593C">
        <w:rPr>
          <w:rFonts w:ascii="Times New Roman" w:eastAsia="Times New Roman" w:hAnsi="Times New Roman" w:cs="Times New Roman"/>
          <w:color w:val="303A40"/>
          <w:sz w:val="24"/>
          <w:lang w:val="en-GB" w:eastAsia="zh-CN"/>
        </w:rPr>
        <w:t xml:space="preserve">provide a framework for financial institutions to implement remuneration policies and practices that will improve links between incentives and the fair treatment of consumers, thus reducing the risk of </w:t>
      </w:r>
      <w:proofErr w:type="spellStart"/>
      <w:r w:rsidRPr="00AF593C">
        <w:rPr>
          <w:rFonts w:ascii="Times New Roman" w:eastAsia="Times New Roman" w:hAnsi="Times New Roman" w:cs="Times New Roman"/>
          <w:color w:val="303A40"/>
          <w:sz w:val="24"/>
          <w:lang w:val="en-GB" w:eastAsia="zh-CN"/>
        </w:rPr>
        <w:t>mis</w:t>
      </w:r>
      <w:proofErr w:type="spellEnd"/>
      <w:r w:rsidRPr="00AF593C">
        <w:rPr>
          <w:rFonts w:ascii="Times New Roman" w:eastAsia="Times New Roman" w:hAnsi="Times New Roman" w:cs="Times New Roman"/>
          <w:color w:val="303A40"/>
          <w:sz w:val="24"/>
          <w:lang w:val="en-GB" w:eastAsia="zh-CN"/>
        </w:rPr>
        <w:t>-selling and related conduct costs for firms. They do so by</w:t>
      </w:r>
      <w:r w:rsidR="003D05A5">
        <w:rPr>
          <w:rFonts w:ascii="Times New Roman" w:eastAsia="Times New Roman" w:hAnsi="Times New Roman" w:cs="Times New Roman"/>
          <w:color w:val="303A40"/>
          <w:sz w:val="24"/>
          <w:lang w:val="en-GB" w:eastAsia="zh-CN"/>
        </w:rPr>
        <w:t xml:space="preserve"> </w:t>
      </w:r>
      <w:r w:rsidRPr="00AF593C">
        <w:rPr>
          <w:rFonts w:ascii="Times New Roman" w:eastAsia="Times New Roman" w:hAnsi="Times New Roman" w:cs="Times New Roman"/>
          <w:color w:val="303A40"/>
          <w:sz w:val="24"/>
          <w:lang w:val="en-GB" w:eastAsia="zh-CN"/>
        </w:rPr>
        <w:t>(1) proposing that the management body is responsible for the design and monitoring of remuneration policies and practices, which should take into account the rights and interests of consumers; (2) preventing conflicts of interests; (3) using quantitative and qualitative criteria for determining the level of va</w:t>
      </w:r>
      <w:r w:rsidR="003D05A5">
        <w:rPr>
          <w:rFonts w:ascii="Times New Roman" w:eastAsia="Times New Roman" w:hAnsi="Times New Roman" w:cs="Times New Roman"/>
          <w:color w:val="303A40"/>
          <w:sz w:val="24"/>
          <w:lang w:val="en-GB" w:eastAsia="zh-CN"/>
        </w:rPr>
        <w:t>riable remuneration,</w:t>
      </w:r>
      <w:r>
        <w:rPr>
          <w:rFonts w:ascii="Times New Roman" w:eastAsia="Times New Roman" w:hAnsi="Times New Roman" w:cs="Times New Roman"/>
          <w:color w:val="303A40"/>
          <w:sz w:val="24"/>
          <w:lang w:val="en-GB" w:eastAsia="zh-CN"/>
        </w:rPr>
        <w:t xml:space="preserve"> and </w:t>
      </w:r>
      <w:r w:rsidRPr="00AF593C">
        <w:rPr>
          <w:rFonts w:ascii="Times New Roman" w:eastAsia="Times New Roman" w:hAnsi="Times New Roman" w:cs="Times New Roman"/>
          <w:color w:val="303A40"/>
          <w:sz w:val="24"/>
          <w:lang w:val="en-GB" w:eastAsia="zh-CN"/>
        </w:rPr>
        <w:t xml:space="preserve"> (4) retaining documents for auditing purposes. </w:t>
      </w:r>
    </w:p>
    <w:p w:rsidR="00AF593C" w:rsidRPr="0001298E" w:rsidRDefault="00AF593C" w:rsidP="008C64A7">
      <w:pPr>
        <w:spacing w:line="276" w:lineRule="auto"/>
        <w:rPr>
          <w:rFonts w:ascii="Times New Roman" w:hAnsi="Times New Roman" w:cs="Times New Roman"/>
          <w:sz w:val="24"/>
          <w:lang w:val="en-GB"/>
        </w:rPr>
      </w:pPr>
    </w:p>
    <w:p w:rsidR="00AF593C" w:rsidRDefault="00AF593C" w:rsidP="008C64A7">
      <w:pPr>
        <w:spacing w:line="276" w:lineRule="auto"/>
        <w:rPr>
          <w:rFonts w:ascii="Times New Roman" w:hAnsi="Times New Roman" w:cs="Times New Roman"/>
          <w:sz w:val="24"/>
        </w:rPr>
      </w:pPr>
    </w:p>
    <w:p w:rsidR="008C64A7" w:rsidRPr="008C64A7" w:rsidRDefault="00AF593C" w:rsidP="008C64A7">
      <w:pPr>
        <w:spacing w:line="276" w:lineRule="auto"/>
        <w:rPr>
          <w:rFonts w:ascii="Times New Roman" w:hAnsi="Times New Roman" w:cs="Times New Roman"/>
          <w:sz w:val="24"/>
        </w:rPr>
      </w:pPr>
      <w:r>
        <w:rPr>
          <w:rFonts w:ascii="Times New Roman" w:hAnsi="Times New Roman" w:cs="Times New Roman"/>
          <w:sz w:val="24"/>
        </w:rPr>
        <w:t>The BSG</w:t>
      </w:r>
      <w:r w:rsidR="008C64A7" w:rsidRPr="008C64A7">
        <w:rPr>
          <w:rFonts w:ascii="Times New Roman" w:hAnsi="Times New Roman" w:cs="Times New Roman"/>
          <w:sz w:val="24"/>
        </w:rPr>
        <w:t xml:space="preserve"> welcome</w:t>
      </w:r>
      <w:r>
        <w:rPr>
          <w:rFonts w:ascii="Times New Roman" w:hAnsi="Times New Roman" w:cs="Times New Roman"/>
          <w:sz w:val="24"/>
        </w:rPr>
        <w:t>s</w:t>
      </w:r>
      <w:r w:rsidR="008C64A7" w:rsidRPr="008C64A7">
        <w:rPr>
          <w:rFonts w:ascii="Times New Roman" w:hAnsi="Times New Roman" w:cs="Times New Roman"/>
          <w:sz w:val="24"/>
        </w:rPr>
        <w:t xml:space="preserve"> this consultation on the Draft Guidelines for the remuneration of sales staff. It is important that the design and governance of remuneration policies and practices are aimed at ensuring fair treatment of consumers. There must also be appropriate risk management and controls implemented to monitor any risks which might arise to </w:t>
      </w:r>
      <w:r w:rsidR="008C64A7" w:rsidRPr="008C64A7">
        <w:rPr>
          <w:rFonts w:ascii="Times New Roman" w:hAnsi="Times New Roman" w:cs="Times New Roman"/>
          <w:sz w:val="24"/>
        </w:rPr>
        <w:lastRenderedPageBreak/>
        <w:t>consumers from remuneration policies and practices. Where risks are identified, changes should be made to the design of remuneration policies and practices to mitigate them. To ensure that the Guidelines tackle all risks associated with remuneration policies and practices they should apply to both financial and non-financial remuneration schemes including performance management schemes.</w:t>
      </w:r>
    </w:p>
    <w:p w:rsidR="008C64A7" w:rsidRPr="008C64A7" w:rsidRDefault="008C64A7" w:rsidP="008C64A7">
      <w:pPr>
        <w:spacing w:line="276" w:lineRule="auto"/>
        <w:rPr>
          <w:rFonts w:ascii="Times New Roman" w:hAnsi="Times New Roman" w:cs="Times New Roman"/>
          <w:sz w:val="24"/>
        </w:rPr>
      </w:pPr>
    </w:p>
    <w:p w:rsidR="008C64A7" w:rsidRPr="008C64A7" w:rsidRDefault="008C64A7" w:rsidP="008C64A7">
      <w:pPr>
        <w:spacing w:line="276" w:lineRule="auto"/>
        <w:rPr>
          <w:rFonts w:ascii="Times New Roman" w:hAnsi="Times New Roman" w:cs="Times New Roman"/>
          <w:sz w:val="24"/>
        </w:rPr>
      </w:pPr>
      <w:r w:rsidRPr="008C64A7">
        <w:rPr>
          <w:rFonts w:ascii="Times New Roman" w:hAnsi="Times New Roman" w:cs="Times New Roman"/>
          <w:sz w:val="24"/>
        </w:rPr>
        <w:t xml:space="preserve">Research produced by Consumers International identified that both financial and non-financial sales incentive schemes were an important root cause of </w:t>
      </w:r>
      <w:proofErr w:type="spellStart"/>
      <w:r w:rsidRPr="008C64A7">
        <w:rPr>
          <w:rFonts w:ascii="Times New Roman" w:hAnsi="Times New Roman" w:cs="Times New Roman"/>
          <w:sz w:val="24"/>
        </w:rPr>
        <w:t>mis</w:t>
      </w:r>
      <w:proofErr w:type="spellEnd"/>
      <w:r w:rsidRPr="008C64A7">
        <w:rPr>
          <w:rFonts w:ascii="Times New Roman" w:hAnsi="Times New Roman" w:cs="Times New Roman"/>
          <w:sz w:val="24"/>
        </w:rPr>
        <w:t>-selling and contributed to financial instability.</w:t>
      </w:r>
      <w:r w:rsidRPr="008C64A7">
        <w:rPr>
          <w:rStyle w:val="FootnoteReference"/>
          <w:rFonts w:ascii="Times New Roman" w:hAnsi="Times New Roman" w:cs="Times New Roman"/>
          <w:sz w:val="24"/>
          <w:szCs w:val="24"/>
        </w:rPr>
        <w:footnoteReference w:id="2"/>
      </w:r>
      <w:r w:rsidRPr="008C64A7">
        <w:rPr>
          <w:rFonts w:ascii="Times New Roman" w:hAnsi="Times New Roman" w:cs="Times New Roman"/>
          <w:sz w:val="24"/>
        </w:rPr>
        <w:t xml:space="preserve"> In the EU the research found that inappropriate incentive schemes had led to </w:t>
      </w:r>
      <w:proofErr w:type="spellStart"/>
      <w:r w:rsidRPr="008C64A7">
        <w:rPr>
          <w:rFonts w:ascii="Times New Roman" w:hAnsi="Times New Roman" w:cs="Times New Roman"/>
          <w:sz w:val="24"/>
        </w:rPr>
        <w:t>mis</w:t>
      </w:r>
      <w:proofErr w:type="spellEnd"/>
      <w:r w:rsidRPr="008C64A7">
        <w:rPr>
          <w:rFonts w:ascii="Times New Roman" w:hAnsi="Times New Roman" w:cs="Times New Roman"/>
          <w:sz w:val="24"/>
        </w:rPr>
        <w:t xml:space="preserve">-selling of Payment Protection Insurance in the UK and hybrid securities in Spain. They also contributed to the failure of DSB bank in the Netherlands, HBOS in the UK and Banco </w:t>
      </w:r>
      <w:proofErr w:type="spellStart"/>
      <w:r w:rsidRPr="008C64A7">
        <w:rPr>
          <w:rFonts w:ascii="Times New Roman" w:hAnsi="Times New Roman" w:cs="Times New Roman"/>
          <w:sz w:val="24"/>
        </w:rPr>
        <w:t>Espirito</w:t>
      </w:r>
      <w:proofErr w:type="spellEnd"/>
      <w:r w:rsidRPr="008C64A7">
        <w:rPr>
          <w:rFonts w:ascii="Times New Roman" w:hAnsi="Times New Roman" w:cs="Times New Roman"/>
          <w:sz w:val="24"/>
        </w:rPr>
        <w:t xml:space="preserve"> Santo in Portugal. </w:t>
      </w:r>
    </w:p>
    <w:p w:rsidR="008C64A7" w:rsidRDefault="008C64A7" w:rsidP="008C64A7">
      <w:pPr>
        <w:spacing w:line="276" w:lineRule="auto"/>
        <w:rPr>
          <w:rFonts w:ascii="Times New Roman" w:hAnsi="Times New Roman" w:cs="Times New Roman"/>
          <w:sz w:val="24"/>
        </w:rPr>
      </w:pPr>
    </w:p>
    <w:p w:rsidR="008C64A7" w:rsidRDefault="008C64A7" w:rsidP="008C64A7">
      <w:pPr>
        <w:spacing w:line="276" w:lineRule="auto"/>
        <w:rPr>
          <w:rFonts w:ascii="Times New Roman" w:hAnsi="Times New Roman" w:cs="Times New Roman"/>
          <w:sz w:val="24"/>
        </w:rPr>
      </w:pPr>
      <w:r w:rsidRPr="008C64A7">
        <w:rPr>
          <w:rFonts w:ascii="Times New Roman" w:hAnsi="Times New Roman" w:cs="Times New Roman"/>
          <w:sz w:val="24"/>
        </w:rPr>
        <w:t xml:space="preserve">Remuneration and Incentive schemes for staff impact directly on their </w:t>
      </w:r>
      <w:proofErr w:type="spellStart"/>
      <w:r w:rsidRPr="008C64A7">
        <w:rPr>
          <w:rFonts w:ascii="Times New Roman" w:hAnsi="Times New Roman" w:cs="Times New Roman"/>
          <w:sz w:val="24"/>
        </w:rPr>
        <w:t>behaviour</w:t>
      </w:r>
      <w:proofErr w:type="spellEnd"/>
      <w:r w:rsidRPr="008C64A7">
        <w:rPr>
          <w:rFonts w:ascii="Times New Roman" w:hAnsi="Times New Roman" w:cs="Times New Roman"/>
          <w:sz w:val="24"/>
        </w:rPr>
        <w:t xml:space="preserve"> and are also an important driver of the ‘culture’ within a bank. Inappropriate sales incentives schemes create unfair pressure on retail staff, who may be trying to avoid disciplinary action and safe guard their job or who may rely on bonuses to earn a decent wage. The schemes </w:t>
      </w:r>
      <w:r w:rsidR="00AF593C">
        <w:rPr>
          <w:rFonts w:ascii="Times New Roman" w:hAnsi="Times New Roman" w:cs="Times New Roman"/>
          <w:sz w:val="24"/>
        </w:rPr>
        <w:t>may also</w:t>
      </w:r>
      <w:r w:rsidRPr="008C64A7">
        <w:rPr>
          <w:rFonts w:ascii="Times New Roman" w:hAnsi="Times New Roman" w:cs="Times New Roman"/>
          <w:sz w:val="24"/>
        </w:rPr>
        <w:t xml:space="preserve"> conflict with their duty and desire to do their best by customers.</w:t>
      </w:r>
    </w:p>
    <w:p w:rsidR="00AF593C" w:rsidRPr="008C64A7" w:rsidRDefault="00AF593C" w:rsidP="008C64A7">
      <w:pPr>
        <w:spacing w:line="276" w:lineRule="auto"/>
        <w:rPr>
          <w:rFonts w:ascii="Times New Roman" w:hAnsi="Times New Roman" w:cs="Times New Roman"/>
          <w:sz w:val="24"/>
        </w:rPr>
      </w:pPr>
    </w:p>
    <w:p w:rsidR="008C64A7" w:rsidRPr="008C64A7" w:rsidRDefault="008C64A7" w:rsidP="008C64A7">
      <w:pPr>
        <w:spacing w:line="276" w:lineRule="auto"/>
        <w:rPr>
          <w:rFonts w:ascii="Times New Roman" w:hAnsi="Times New Roman" w:cs="Times New Roman"/>
          <w:sz w:val="24"/>
        </w:rPr>
      </w:pPr>
      <w:r w:rsidRPr="008C64A7">
        <w:rPr>
          <w:rFonts w:ascii="Times New Roman" w:hAnsi="Times New Roman" w:cs="Times New Roman"/>
          <w:sz w:val="24"/>
        </w:rPr>
        <w:t>The BSG represents different types of stakeholders who have different views on this highly sensitive topic. From a civil society point of view, going back to remuneration policies in the banking sector which make it more compatible with public interest is highly desirable. In this respect, erasing all variable pay linked to sales which is not part of a collective agreement (in terms of profit sharing) could be seen as a good thing. Others take a different view and place a greater emphasis on ensuring that the right for collective bargaining is preserved, as well as the employers’ freedom to manage their staff.</w:t>
      </w:r>
    </w:p>
    <w:p w:rsidR="008C64A7" w:rsidRDefault="008C64A7" w:rsidP="008C64A7">
      <w:pPr>
        <w:spacing w:line="276" w:lineRule="auto"/>
        <w:rPr>
          <w:rFonts w:ascii="Times New Roman" w:hAnsi="Times New Roman" w:cs="Times New Roman"/>
          <w:b/>
          <w:sz w:val="24"/>
          <w:u w:val="single"/>
        </w:rPr>
      </w:pPr>
    </w:p>
    <w:p w:rsidR="008C64A7" w:rsidRPr="008C64A7" w:rsidRDefault="008C64A7" w:rsidP="008C64A7">
      <w:pPr>
        <w:spacing w:line="276" w:lineRule="auto"/>
        <w:rPr>
          <w:rFonts w:ascii="Times New Roman" w:hAnsi="Times New Roman" w:cs="Times New Roman"/>
          <w:b/>
          <w:sz w:val="24"/>
          <w:u w:val="single"/>
        </w:rPr>
      </w:pPr>
      <w:r w:rsidRPr="008C64A7">
        <w:rPr>
          <w:rFonts w:ascii="Times New Roman" w:hAnsi="Times New Roman" w:cs="Times New Roman"/>
          <w:b/>
          <w:sz w:val="24"/>
          <w:u w:val="single"/>
        </w:rPr>
        <w:t>Comments on definitions</w:t>
      </w:r>
    </w:p>
    <w:p w:rsidR="008C64A7" w:rsidRPr="008C64A7" w:rsidRDefault="008C64A7" w:rsidP="008C64A7">
      <w:pPr>
        <w:spacing w:line="276" w:lineRule="auto"/>
        <w:rPr>
          <w:rFonts w:ascii="Times New Roman" w:hAnsi="Times New Roman" w:cs="Times New Roman"/>
          <w:sz w:val="24"/>
        </w:rPr>
      </w:pPr>
      <w:r w:rsidRPr="008C64A7">
        <w:rPr>
          <w:rFonts w:ascii="Times New Roman" w:hAnsi="Times New Roman" w:cs="Times New Roman"/>
          <w:sz w:val="24"/>
        </w:rPr>
        <w:t xml:space="preserve">The definition of remuneration should be expanded to also cover performance management systems such as those covering disciplinary action, enhanced monitoring and dismissal. </w:t>
      </w:r>
      <w:r w:rsidR="00AF593C">
        <w:rPr>
          <w:rFonts w:ascii="Times New Roman" w:hAnsi="Times New Roman" w:cs="Times New Roman"/>
          <w:sz w:val="24"/>
        </w:rPr>
        <w:t>This is because t</w:t>
      </w:r>
      <w:r w:rsidRPr="008C64A7">
        <w:rPr>
          <w:rFonts w:ascii="Times New Roman" w:hAnsi="Times New Roman" w:cs="Times New Roman"/>
          <w:sz w:val="24"/>
        </w:rPr>
        <w:t xml:space="preserve">hese performance management systems are capable of having a similar detrimental effect on customers and staff as financial remuneration schemes. Indeed, negative effects can be greater with performance management systems where the threat of losing their job can place banking staff under significant pressure to disregard their customers’ interests to meet targets. In some countries, banks have taken action to reform financial incentive schemes but </w:t>
      </w:r>
      <w:proofErr w:type="gramStart"/>
      <w:r w:rsidRPr="008C64A7">
        <w:rPr>
          <w:rFonts w:ascii="Times New Roman" w:hAnsi="Times New Roman" w:cs="Times New Roman"/>
          <w:sz w:val="24"/>
        </w:rPr>
        <w:t>staff in some banks still feel</w:t>
      </w:r>
      <w:proofErr w:type="gramEnd"/>
      <w:r w:rsidRPr="008C64A7">
        <w:rPr>
          <w:rFonts w:ascii="Times New Roman" w:hAnsi="Times New Roman" w:cs="Times New Roman"/>
          <w:sz w:val="24"/>
        </w:rPr>
        <w:t xml:space="preserve"> under pressure to sell products. For example, as part of the Consumers International research</w:t>
      </w:r>
      <w:r w:rsidR="004D4316">
        <w:rPr>
          <w:rFonts w:ascii="Times New Roman" w:hAnsi="Times New Roman" w:cs="Times New Roman"/>
          <w:sz w:val="24"/>
        </w:rPr>
        <w:t>,</w:t>
      </w:r>
      <w:r w:rsidRPr="008C64A7">
        <w:rPr>
          <w:rFonts w:ascii="Times New Roman" w:hAnsi="Times New Roman" w:cs="Times New Roman"/>
          <w:sz w:val="24"/>
        </w:rPr>
        <w:t xml:space="preserve"> Unions from Ireland reported that previously, delivering certain targets could result in opportunities for pay increases or bonuses</w:t>
      </w:r>
      <w:r w:rsidR="004D4316">
        <w:rPr>
          <w:rFonts w:ascii="Times New Roman" w:hAnsi="Times New Roman" w:cs="Times New Roman"/>
          <w:sz w:val="24"/>
        </w:rPr>
        <w:t>. H</w:t>
      </w:r>
      <w:r w:rsidRPr="008C64A7">
        <w:rPr>
          <w:rFonts w:ascii="Times New Roman" w:hAnsi="Times New Roman" w:cs="Times New Roman"/>
          <w:sz w:val="24"/>
        </w:rPr>
        <w:t xml:space="preserve">owever, since the banking crisis, this has generally not been the case at any level. Instead sales pressure continues and failure to deliver sales targets can, in </w:t>
      </w:r>
      <w:r w:rsidRPr="008C64A7">
        <w:rPr>
          <w:rFonts w:ascii="Times New Roman" w:hAnsi="Times New Roman" w:cs="Times New Roman"/>
          <w:sz w:val="24"/>
        </w:rPr>
        <w:lastRenderedPageBreak/>
        <w:t>some cases, result in disciplinary action up to</w:t>
      </w:r>
      <w:r w:rsidR="004D4316">
        <w:rPr>
          <w:rFonts w:ascii="Times New Roman" w:hAnsi="Times New Roman" w:cs="Times New Roman"/>
          <w:sz w:val="24"/>
        </w:rPr>
        <w:t>,</w:t>
      </w:r>
      <w:r w:rsidRPr="008C64A7">
        <w:rPr>
          <w:rFonts w:ascii="Times New Roman" w:hAnsi="Times New Roman" w:cs="Times New Roman"/>
          <w:sz w:val="24"/>
        </w:rPr>
        <w:t xml:space="preserve"> and including</w:t>
      </w:r>
      <w:r w:rsidR="004D4316">
        <w:rPr>
          <w:rFonts w:ascii="Times New Roman" w:hAnsi="Times New Roman" w:cs="Times New Roman"/>
          <w:sz w:val="24"/>
        </w:rPr>
        <w:t>,</w:t>
      </w:r>
      <w:r w:rsidRPr="008C64A7">
        <w:rPr>
          <w:rFonts w:ascii="Times New Roman" w:hAnsi="Times New Roman" w:cs="Times New Roman"/>
          <w:sz w:val="24"/>
        </w:rPr>
        <w:t xml:space="preserve"> dismissal. This shows that risks to consumer protection and financial stability can remain even after financial remuneration schemes have been reformed.</w:t>
      </w:r>
    </w:p>
    <w:p w:rsidR="008C64A7" w:rsidRDefault="008C64A7" w:rsidP="008C64A7">
      <w:pPr>
        <w:spacing w:line="276" w:lineRule="auto"/>
        <w:rPr>
          <w:rFonts w:ascii="Times New Roman" w:hAnsi="Times New Roman" w:cs="Times New Roman"/>
          <w:sz w:val="24"/>
        </w:rPr>
      </w:pPr>
    </w:p>
    <w:p w:rsidR="008C64A7" w:rsidRPr="008C64A7" w:rsidRDefault="008C64A7" w:rsidP="008C64A7">
      <w:pPr>
        <w:spacing w:line="276" w:lineRule="auto"/>
        <w:rPr>
          <w:rFonts w:ascii="Times New Roman" w:hAnsi="Times New Roman" w:cs="Times New Roman"/>
          <w:sz w:val="24"/>
        </w:rPr>
      </w:pPr>
      <w:r w:rsidRPr="008C64A7">
        <w:rPr>
          <w:rFonts w:ascii="Times New Roman" w:hAnsi="Times New Roman" w:cs="Times New Roman"/>
          <w:sz w:val="24"/>
        </w:rPr>
        <w:t>In the UK, the Financial Conduct Authority found that “the changes to reward structures may not have been accompanied by a genuine shift away from a sales-focused culture. Instead, there are indications that in some cases the progress made on financial incentives may have led to an increase in pressure being placed on staff through other means, to achieve sales.” It concluded that “inappropriate performance management can sometimes lead to an excessive emphasis on sales results. This type of undue pressure may be hidden, which means there is a risk that the reality of daily life for some sales staff can be very different from the tone set at the top by senior staff or Boards.”</w:t>
      </w:r>
      <w:r w:rsidRPr="008C64A7">
        <w:rPr>
          <w:rStyle w:val="FootnoteReference"/>
          <w:rFonts w:ascii="Times New Roman" w:hAnsi="Times New Roman" w:cs="Times New Roman"/>
          <w:sz w:val="24"/>
          <w:szCs w:val="24"/>
        </w:rPr>
        <w:t xml:space="preserve"> </w:t>
      </w:r>
      <w:r w:rsidRPr="008C64A7">
        <w:rPr>
          <w:rStyle w:val="FootnoteReference"/>
          <w:rFonts w:ascii="Times New Roman" w:hAnsi="Times New Roman" w:cs="Times New Roman"/>
          <w:sz w:val="24"/>
          <w:szCs w:val="24"/>
        </w:rPr>
        <w:footnoteReference w:id="3"/>
      </w:r>
    </w:p>
    <w:p w:rsidR="008C64A7" w:rsidRDefault="008C64A7" w:rsidP="008C64A7">
      <w:pPr>
        <w:spacing w:line="276" w:lineRule="auto"/>
        <w:rPr>
          <w:rFonts w:ascii="Times New Roman" w:hAnsi="Times New Roman" w:cs="Times New Roman"/>
          <w:sz w:val="24"/>
        </w:rPr>
      </w:pPr>
    </w:p>
    <w:p w:rsidR="008C64A7" w:rsidRDefault="008C64A7" w:rsidP="008C64A7">
      <w:pPr>
        <w:spacing w:line="276" w:lineRule="auto"/>
        <w:rPr>
          <w:rFonts w:ascii="Times New Roman" w:hAnsi="Times New Roman" w:cs="Times New Roman"/>
          <w:sz w:val="24"/>
        </w:rPr>
      </w:pPr>
      <w:r w:rsidRPr="008C64A7">
        <w:rPr>
          <w:rFonts w:ascii="Times New Roman" w:hAnsi="Times New Roman" w:cs="Times New Roman"/>
          <w:sz w:val="24"/>
        </w:rPr>
        <w:t>Consumers International identified the following rewards and punishments given to staff as part of financial and non-financial sales incentives schemes. It is important that the application of each of these rewards and punishments is covered by the Guidelines.</w:t>
      </w:r>
    </w:p>
    <w:p w:rsidR="008C64A7" w:rsidRPr="008C64A7" w:rsidRDefault="008C64A7" w:rsidP="008C64A7">
      <w:pPr>
        <w:spacing w:line="276" w:lineRule="auto"/>
        <w:rPr>
          <w:rFonts w:ascii="Times New Roman" w:hAnsi="Times New Roman" w:cs="Times New Roman"/>
          <w:sz w:val="24"/>
        </w:rPr>
      </w:pPr>
    </w:p>
    <w:tbl>
      <w:tblPr>
        <w:tblW w:w="9071" w:type="dxa"/>
        <w:tblCellMar>
          <w:left w:w="0" w:type="dxa"/>
          <w:right w:w="0" w:type="dxa"/>
        </w:tblCellMar>
        <w:tblLook w:val="0420" w:firstRow="1" w:lastRow="0" w:firstColumn="0" w:lastColumn="0" w:noHBand="0" w:noVBand="1"/>
      </w:tblPr>
      <w:tblGrid>
        <w:gridCol w:w="4535"/>
        <w:gridCol w:w="4536"/>
      </w:tblGrid>
      <w:tr w:rsidR="008C64A7" w:rsidRPr="008C64A7" w:rsidTr="00C137DC">
        <w:trPr>
          <w:trHeight w:val="479"/>
        </w:trPr>
        <w:tc>
          <w:tcPr>
            <w:tcW w:w="45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Pr="008C64A7" w:rsidRDefault="008C64A7" w:rsidP="008C64A7">
            <w:pPr>
              <w:spacing w:line="276" w:lineRule="auto"/>
              <w:jc w:val="center"/>
              <w:rPr>
                <w:rFonts w:ascii="Times New Roman" w:hAnsi="Times New Roman" w:cs="Times New Roman"/>
                <w:sz w:val="24"/>
              </w:rPr>
            </w:pPr>
            <w:r w:rsidRPr="008C64A7">
              <w:rPr>
                <w:rFonts w:ascii="Times New Roman" w:hAnsi="Times New Roman" w:cs="Times New Roman"/>
                <w:sz w:val="24"/>
              </w:rPr>
              <w:t>Reward</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Pr="008C64A7" w:rsidRDefault="008C64A7" w:rsidP="008C64A7">
            <w:pPr>
              <w:spacing w:line="276" w:lineRule="auto"/>
              <w:jc w:val="center"/>
              <w:rPr>
                <w:rFonts w:ascii="Times New Roman" w:hAnsi="Times New Roman" w:cs="Times New Roman"/>
                <w:sz w:val="24"/>
              </w:rPr>
            </w:pPr>
            <w:r w:rsidRPr="008C64A7">
              <w:rPr>
                <w:rFonts w:ascii="Times New Roman" w:hAnsi="Times New Roman" w:cs="Times New Roman"/>
                <w:sz w:val="24"/>
              </w:rPr>
              <w:t>Punishment</w:t>
            </w:r>
          </w:p>
        </w:tc>
      </w:tr>
      <w:tr w:rsidR="008C64A7" w:rsidRPr="00166739" w:rsidTr="00C137DC">
        <w:trPr>
          <w:trHeight w:val="479"/>
        </w:trPr>
        <w:tc>
          <w:tcPr>
            <w:tcW w:w="90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Pr="00166739" w:rsidRDefault="008C64A7" w:rsidP="00C137DC">
            <w:pPr>
              <w:jc w:val="center"/>
            </w:pPr>
            <w:r w:rsidRPr="00166739">
              <w:t>Financial</w:t>
            </w:r>
          </w:p>
        </w:tc>
      </w:tr>
      <w:tr w:rsidR="008C64A7" w:rsidRPr="00166739" w:rsidTr="00C137DC">
        <w:trPr>
          <w:trHeight w:val="964"/>
        </w:trPr>
        <w:tc>
          <w:tcPr>
            <w:tcW w:w="45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Pr="00166739" w:rsidRDefault="008C64A7" w:rsidP="008C64A7">
            <w:pPr>
              <w:numPr>
                <w:ilvl w:val="0"/>
                <w:numId w:val="19"/>
              </w:numPr>
            </w:pPr>
            <w:r w:rsidRPr="00166739">
              <w:t>Annual/Quarterly/Monthly bonuses</w:t>
            </w:r>
          </w:p>
          <w:p w:rsidR="008C64A7" w:rsidRPr="00166739" w:rsidRDefault="008C64A7" w:rsidP="008C64A7">
            <w:pPr>
              <w:numPr>
                <w:ilvl w:val="0"/>
                <w:numId w:val="19"/>
              </w:numPr>
            </w:pPr>
            <w:r w:rsidRPr="00166739">
              <w:t>Increases in salary</w:t>
            </w:r>
          </w:p>
          <w:p w:rsidR="008C64A7" w:rsidRDefault="008C64A7" w:rsidP="008C64A7">
            <w:pPr>
              <w:numPr>
                <w:ilvl w:val="0"/>
                <w:numId w:val="19"/>
              </w:numPr>
            </w:pPr>
            <w:r w:rsidRPr="00166739">
              <w:t>Spot awards</w:t>
            </w:r>
          </w:p>
          <w:p w:rsidR="008C64A7" w:rsidRPr="00166739" w:rsidRDefault="008C64A7" w:rsidP="008C64A7">
            <w:pPr>
              <w:numPr>
                <w:ilvl w:val="0"/>
                <w:numId w:val="19"/>
              </w:numPr>
            </w:pPr>
            <w:r>
              <w:t>Collective bonuses for teams/branches</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Pr="00166739" w:rsidRDefault="008C64A7" w:rsidP="008C64A7">
            <w:pPr>
              <w:numPr>
                <w:ilvl w:val="0"/>
                <w:numId w:val="19"/>
              </w:numPr>
            </w:pPr>
            <w:r w:rsidRPr="00166739">
              <w:t>Loss of bonuses</w:t>
            </w:r>
          </w:p>
          <w:p w:rsidR="008C64A7" w:rsidRPr="00166739" w:rsidRDefault="008C64A7" w:rsidP="008C64A7">
            <w:pPr>
              <w:numPr>
                <w:ilvl w:val="0"/>
                <w:numId w:val="19"/>
              </w:numPr>
            </w:pPr>
            <w:r w:rsidRPr="00166739">
              <w:t>Decreases in salary</w:t>
            </w:r>
          </w:p>
        </w:tc>
      </w:tr>
      <w:tr w:rsidR="008C64A7" w:rsidRPr="00166739" w:rsidTr="00C137DC">
        <w:trPr>
          <w:trHeight w:val="482"/>
        </w:trPr>
        <w:tc>
          <w:tcPr>
            <w:tcW w:w="90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Pr="00166739" w:rsidRDefault="008C64A7" w:rsidP="00C137DC">
            <w:pPr>
              <w:jc w:val="center"/>
            </w:pPr>
            <w:r w:rsidRPr="00166739">
              <w:t>Non-Financial</w:t>
            </w:r>
          </w:p>
        </w:tc>
      </w:tr>
      <w:tr w:rsidR="008C64A7" w:rsidRPr="00166739" w:rsidTr="00C137DC">
        <w:trPr>
          <w:trHeight w:val="2608"/>
        </w:trPr>
        <w:tc>
          <w:tcPr>
            <w:tcW w:w="45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Pr="00166739" w:rsidRDefault="008C64A7" w:rsidP="008C64A7">
            <w:pPr>
              <w:numPr>
                <w:ilvl w:val="0"/>
                <w:numId w:val="20"/>
              </w:numPr>
              <w:ind w:left="714" w:hanging="357"/>
            </w:pPr>
            <w:r w:rsidRPr="00166739">
              <w:t>Competitions and Prizes (either for staff who meet specific targets or top %)</w:t>
            </w:r>
          </w:p>
          <w:p w:rsidR="008C64A7" w:rsidRPr="00166739" w:rsidRDefault="008C64A7" w:rsidP="008C64A7">
            <w:pPr>
              <w:numPr>
                <w:ilvl w:val="0"/>
                <w:numId w:val="20"/>
              </w:numPr>
              <w:ind w:left="714" w:hanging="357"/>
            </w:pPr>
            <w:r>
              <w:t xml:space="preserve">Gifts - </w:t>
            </w:r>
            <w:r w:rsidRPr="00166739">
              <w:t>Cinema/Restaurant/Sporting tickets/vouchers</w:t>
            </w:r>
          </w:p>
          <w:p w:rsidR="008C64A7" w:rsidRPr="00166739" w:rsidRDefault="008C64A7" w:rsidP="008C64A7">
            <w:pPr>
              <w:numPr>
                <w:ilvl w:val="0"/>
                <w:numId w:val="20"/>
              </w:numPr>
              <w:ind w:left="714" w:hanging="357"/>
            </w:pPr>
            <w:r w:rsidRPr="00166739">
              <w:t>League tables</w:t>
            </w:r>
          </w:p>
          <w:p w:rsidR="008C64A7" w:rsidRPr="00166739" w:rsidRDefault="008C64A7" w:rsidP="008C64A7">
            <w:pPr>
              <w:numPr>
                <w:ilvl w:val="0"/>
                <w:numId w:val="20"/>
              </w:numPr>
              <w:ind w:left="714" w:hanging="357"/>
            </w:pPr>
            <w:r w:rsidRPr="00166739">
              <w:t>Promotion</w:t>
            </w:r>
          </w:p>
          <w:p w:rsidR="008C64A7" w:rsidRPr="00166739" w:rsidRDefault="008C64A7" w:rsidP="008C64A7">
            <w:pPr>
              <w:numPr>
                <w:ilvl w:val="0"/>
                <w:numId w:val="20"/>
              </w:numPr>
              <w:ind w:left="714" w:hanging="357"/>
            </w:pPr>
            <w:r w:rsidRPr="00166739">
              <w:t xml:space="preserve">Leaving early / </w:t>
            </w:r>
            <w:r>
              <w:t>Extra h</w:t>
            </w:r>
            <w:r w:rsidRPr="00166739">
              <w:t>oliday</w:t>
            </w:r>
          </w:p>
          <w:p w:rsidR="008C64A7" w:rsidRPr="00166739" w:rsidRDefault="008C64A7" w:rsidP="00C137DC">
            <w:pPr>
              <w:ind w:left="357"/>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4A7" w:rsidRDefault="008C64A7" w:rsidP="008C64A7">
            <w:pPr>
              <w:numPr>
                <w:ilvl w:val="0"/>
                <w:numId w:val="20"/>
              </w:numPr>
            </w:pPr>
            <w:r>
              <w:t>Performance management</w:t>
            </w:r>
          </w:p>
          <w:p w:rsidR="008C64A7" w:rsidRPr="00166739" w:rsidRDefault="008C64A7" w:rsidP="008C64A7">
            <w:pPr>
              <w:numPr>
                <w:ilvl w:val="0"/>
                <w:numId w:val="20"/>
              </w:numPr>
            </w:pPr>
            <w:r w:rsidRPr="00166739">
              <w:t>Performance Improvement Plans</w:t>
            </w:r>
          </w:p>
          <w:p w:rsidR="008C64A7" w:rsidRPr="00166739" w:rsidRDefault="008C64A7" w:rsidP="008C64A7">
            <w:pPr>
              <w:numPr>
                <w:ilvl w:val="0"/>
                <w:numId w:val="20"/>
              </w:numPr>
            </w:pPr>
            <w:r w:rsidRPr="00166739">
              <w:t>Enhanced monitoring</w:t>
            </w:r>
          </w:p>
          <w:p w:rsidR="008C64A7" w:rsidRPr="00166739" w:rsidRDefault="008C64A7" w:rsidP="008C64A7">
            <w:pPr>
              <w:numPr>
                <w:ilvl w:val="0"/>
                <w:numId w:val="20"/>
              </w:numPr>
            </w:pPr>
            <w:r w:rsidRPr="00166739">
              <w:t>Loss of status</w:t>
            </w:r>
          </w:p>
          <w:p w:rsidR="008C64A7" w:rsidRPr="00166739" w:rsidRDefault="008C64A7" w:rsidP="008C64A7">
            <w:pPr>
              <w:numPr>
                <w:ilvl w:val="0"/>
                <w:numId w:val="20"/>
              </w:numPr>
            </w:pPr>
            <w:r w:rsidRPr="00166739">
              <w:t>Humiliation / Peer Pressure</w:t>
            </w:r>
          </w:p>
          <w:p w:rsidR="008C64A7" w:rsidRPr="00166739" w:rsidRDefault="008C64A7" w:rsidP="008C64A7">
            <w:pPr>
              <w:numPr>
                <w:ilvl w:val="0"/>
                <w:numId w:val="20"/>
              </w:numPr>
            </w:pPr>
            <w:r w:rsidRPr="00166739">
              <w:t>Extended working hours</w:t>
            </w:r>
          </w:p>
          <w:p w:rsidR="008C64A7" w:rsidRPr="00166739" w:rsidRDefault="008C64A7" w:rsidP="008C64A7">
            <w:pPr>
              <w:numPr>
                <w:ilvl w:val="0"/>
                <w:numId w:val="20"/>
              </w:numPr>
            </w:pPr>
            <w:r w:rsidRPr="00166739">
              <w:t>Demotion</w:t>
            </w:r>
          </w:p>
          <w:p w:rsidR="008C64A7" w:rsidRPr="00166739" w:rsidRDefault="008C64A7" w:rsidP="008C64A7">
            <w:pPr>
              <w:numPr>
                <w:ilvl w:val="0"/>
                <w:numId w:val="20"/>
              </w:numPr>
            </w:pPr>
            <w:r w:rsidRPr="00166739">
              <w:t>Dismissal / Redundancy</w:t>
            </w:r>
          </w:p>
        </w:tc>
      </w:tr>
    </w:tbl>
    <w:p w:rsidR="008C64A7" w:rsidRDefault="008C64A7" w:rsidP="00947B0F">
      <w:pPr>
        <w:pStyle w:val="Titlelevel2"/>
        <w:rPr>
          <w:color w:val="3F8BD0" w:themeColor="accent6" w:themeTint="99"/>
        </w:rPr>
      </w:pPr>
    </w:p>
    <w:p w:rsidR="00947B0F" w:rsidRDefault="003055C1" w:rsidP="00947B0F">
      <w:pPr>
        <w:pStyle w:val="Titlelevel2"/>
        <w:rPr>
          <w:color w:val="3F8BD0" w:themeColor="accent6" w:themeTint="99"/>
        </w:rPr>
      </w:pPr>
      <w:r w:rsidRPr="0018792B">
        <w:rPr>
          <w:color w:val="3F8BD0" w:themeColor="accent6" w:themeTint="99"/>
        </w:rPr>
        <w:lastRenderedPageBreak/>
        <w:t>Replies to Questions</w:t>
      </w:r>
    </w:p>
    <w:p w:rsidR="00613E91" w:rsidRPr="00613E91" w:rsidRDefault="00613E91" w:rsidP="00613E91">
      <w:pPr>
        <w:spacing w:line="276" w:lineRule="auto"/>
        <w:rPr>
          <w:rFonts w:ascii="Times New Roman" w:hAnsi="Times New Roman" w:cs="Times New Roman"/>
          <w:b/>
          <w:color w:val="0070C0"/>
          <w:sz w:val="24"/>
          <w:u w:val="single"/>
        </w:rPr>
      </w:pPr>
      <w:r w:rsidRPr="00613E91">
        <w:rPr>
          <w:rFonts w:ascii="Times New Roman" w:hAnsi="Times New Roman" w:cs="Times New Roman"/>
          <w:b/>
          <w:color w:val="0070C0"/>
          <w:sz w:val="24"/>
          <w:u w:val="single"/>
        </w:rPr>
        <w:t>Question 1: Do you agree with Guideline 1 on design?</w:t>
      </w:r>
    </w:p>
    <w:p w:rsidR="00613E91" w:rsidRPr="00613E91" w:rsidRDefault="00613E91" w:rsidP="00613E91">
      <w:pPr>
        <w:spacing w:line="276" w:lineRule="auto"/>
        <w:rPr>
          <w:rFonts w:ascii="Times New Roman" w:hAnsi="Times New Roman" w:cs="Times New Roman"/>
          <w:b/>
          <w:sz w:val="24"/>
          <w:u w:val="single"/>
        </w:rPr>
      </w:pPr>
      <w:r w:rsidRPr="00613E91">
        <w:rPr>
          <w:rFonts w:ascii="Times New Roman" w:hAnsi="Times New Roman" w:cs="Times New Roman"/>
          <w:b/>
          <w:sz w:val="24"/>
          <w:u w:val="single"/>
        </w:rPr>
        <w:t>Section 1 - Design</w:t>
      </w: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sz w:val="24"/>
        </w:rPr>
        <w:t xml:space="preserve">We broadly support the Guidelines under section </w:t>
      </w:r>
      <w:r w:rsidR="004D4316">
        <w:rPr>
          <w:rFonts w:ascii="Times New Roman" w:hAnsi="Times New Roman" w:cs="Times New Roman"/>
          <w:sz w:val="24"/>
        </w:rPr>
        <w:t>1</w:t>
      </w:r>
      <w:r w:rsidRPr="00613E91">
        <w:rPr>
          <w:rFonts w:ascii="Times New Roman" w:hAnsi="Times New Roman" w:cs="Times New Roman"/>
          <w:sz w:val="24"/>
        </w:rPr>
        <w:t xml:space="preserve"> but believe they should be enhanced by including the following issues:</w:t>
      </w:r>
    </w:p>
    <w:p w:rsidR="00613E91" w:rsidRDefault="00613E91" w:rsidP="00613E91">
      <w:pPr>
        <w:pStyle w:val="ListParagraph"/>
        <w:numPr>
          <w:ilvl w:val="0"/>
          <w:numId w:val="21"/>
        </w:numPr>
        <w:spacing w:line="276" w:lineRule="auto"/>
        <w:rPr>
          <w:rFonts w:ascii="Times New Roman" w:hAnsi="Times New Roman" w:cs="Times New Roman"/>
          <w:sz w:val="24"/>
          <w:szCs w:val="24"/>
        </w:rPr>
      </w:pPr>
      <w:r w:rsidRPr="00613E91">
        <w:rPr>
          <w:rFonts w:ascii="Times New Roman" w:hAnsi="Times New Roman" w:cs="Times New Roman"/>
          <w:sz w:val="24"/>
          <w:szCs w:val="24"/>
        </w:rPr>
        <w:t>As part of the design of remuneration policies and practices</w:t>
      </w:r>
      <w:r w:rsidR="004D4316">
        <w:rPr>
          <w:rFonts w:ascii="Times New Roman" w:hAnsi="Times New Roman" w:cs="Times New Roman"/>
          <w:sz w:val="24"/>
          <w:szCs w:val="24"/>
        </w:rPr>
        <w:t>,</w:t>
      </w:r>
      <w:r w:rsidRPr="00613E91">
        <w:rPr>
          <w:rFonts w:ascii="Times New Roman" w:hAnsi="Times New Roman" w:cs="Times New Roman"/>
          <w:sz w:val="24"/>
          <w:szCs w:val="24"/>
        </w:rPr>
        <w:t xml:space="preserve"> institutions need to consider mechanisms for risk management and controls to monitor any risks which might arise from their policies and practices relating to consumer protection. These should include sales quality monitoring to determine whether regulatory requirements are being met and root cause analysis to assess the patterns of and reasons for complaints made by consumers.</w:t>
      </w:r>
    </w:p>
    <w:p w:rsidR="00613E91" w:rsidRPr="00613E91" w:rsidRDefault="00613E91" w:rsidP="00613E91">
      <w:pPr>
        <w:pStyle w:val="ListParagraph"/>
        <w:spacing w:line="276" w:lineRule="auto"/>
        <w:rPr>
          <w:rFonts w:ascii="Times New Roman" w:hAnsi="Times New Roman" w:cs="Times New Roman"/>
          <w:sz w:val="24"/>
          <w:szCs w:val="24"/>
        </w:rPr>
      </w:pPr>
    </w:p>
    <w:p w:rsidR="00613E91" w:rsidRDefault="00613E91" w:rsidP="00613E91">
      <w:pPr>
        <w:pStyle w:val="ListParagraph"/>
        <w:numPr>
          <w:ilvl w:val="0"/>
          <w:numId w:val="21"/>
        </w:numPr>
        <w:spacing w:line="276" w:lineRule="auto"/>
        <w:rPr>
          <w:rFonts w:ascii="Times New Roman" w:hAnsi="Times New Roman" w:cs="Times New Roman"/>
          <w:sz w:val="24"/>
          <w:szCs w:val="24"/>
        </w:rPr>
      </w:pPr>
      <w:r w:rsidRPr="00613E91">
        <w:rPr>
          <w:rFonts w:ascii="Times New Roman" w:hAnsi="Times New Roman" w:cs="Times New Roman"/>
          <w:sz w:val="24"/>
          <w:szCs w:val="24"/>
        </w:rPr>
        <w:t>Where necessary, institutions should change the design of their remuneration policies and practices</w:t>
      </w:r>
      <w:r w:rsidR="004D4316">
        <w:rPr>
          <w:rFonts w:ascii="Times New Roman" w:hAnsi="Times New Roman" w:cs="Times New Roman"/>
          <w:sz w:val="24"/>
          <w:szCs w:val="24"/>
        </w:rPr>
        <w:t xml:space="preserve"> so as</w:t>
      </w:r>
      <w:r w:rsidRPr="00613E91">
        <w:rPr>
          <w:rFonts w:ascii="Times New Roman" w:hAnsi="Times New Roman" w:cs="Times New Roman"/>
          <w:sz w:val="24"/>
          <w:szCs w:val="24"/>
        </w:rPr>
        <w:t xml:space="preserve"> to mitigate any risks of consumer detriment identified during their monitoring assessments or to address any actual detriment experienced by consumers.</w:t>
      </w:r>
    </w:p>
    <w:p w:rsidR="004D4316" w:rsidRPr="0001298E" w:rsidRDefault="004D4316" w:rsidP="0001298E">
      <w:pPr>
        <w:spacing w:line="276" w:lineRule="auto"/>
        <w:rPr>
          <w:rFonts w:ascii="Times New Roman" w:hAnsi="Times New Roman" w:cs="Times New Roman"/>
          <w:sz w:val="24"/>
        </w:rPr>
      </w:pPr>
    </w:p>
    <w:p w:rsidR="00613E91" w:rsidRDefault="00613E91" w:rsidP="00613E91">
      <w:pPr>
        <w:pStyle w:val="ListParagraph"/>
        <w:numPr>
          <w:ilvl w:val="0"/>
          <w:numId w:val="21"/>
        </w:numPr>
        <w:spacing w:line="276" w:lineRule="auto"/>
        <w:rPr>
          <w:rFonts w:ascii="Times New Roman" w:hAnsi="Times New Roman" w:cs="Times New Roman"/>
          <w:sz w:val="24"/>
          <w:szCs w:val="24"/>
        </w:rPr>
      </w:pPr>
      <w:r w:rsidRPr="00613E91">
        <w:rPr>
          <w:rFonts w:ascii="Times New Roman" w:hAnsi="Times New Roman" w:cs="Times New Roman"/>
          <w:sz w:val="24"/>
          <w:szCs w:val="24"/>
        </w:rPr>
        <w:t>Where institutions move away from quantitative targets to entirely discretionary</w:t>
      </w:r>
      <w:r w:rsidRPr="00613E91">
        <w:rPr>
          <w:rStyle w:val="FootnoteReference"/>
          <w:rFonts w:ascii="Times New Roman" w:hAnsi="Times New Roman" w:cs="Times New Roman"/>
          <w:sz w:val="24"/>
          <w:szCs w:val="24"/>
        </w:rPr>
        <w:footnoteReference w:id="4"/>
      </w:r>
      <w:r w:rsidRPr="00613E91">
        <w:rPr>
          <w:rFonts w:ascii="Times New Roman" w:hAnsi="Times New Roman" w:cs="Times New Roman"/>
          <w:sz w:val="24"/>
          <w:szCs w:val="24"/>
        </w:rPr>
        <w:t xml:space="preserve"> remuneration policies and practices they should ensure that the reasons for awarding discretionary bonuses are documented clearly and that discretionary remuneration is not being used to indirectly reward sales or to put excessive pressure on staff to sell products.</w:t>
      </w:r>
    </w:p>
    <w:p w:rsidR="00613E91" w:rsidRPr="00613E91" w:rsidRDefault="00613E91" w:rsidP="00613E91">
      <w:pPr>
        <w:pStyle w:val="ListParagraph"/>
        <w:spacing w:line="276" w:lineRule="auto"/>
        <w:rPr>
          <w:rFonts w:ascii="Times New Roman" w:hAnsi="Times New Roman" w:cs="Times New Roman"/>
          <w:sz w:val="24"/>
          <w:szCs w:val="24"/>
        </w:rPr>
      </w:pPr>
    </w:p>
    <w:p w:rsidR="00613E91" w:rsidRPr="00613E91" w:rsidRDefault="00613E91" w:rsidP="00613E91">
      <w:pPr>
        <w:spacing w:line="276" w:lineRule="auto"/>
        <w:rPr>
          <w:rFonts w:ascii="Times New Roman" w:hAnsi="Times New Roman" w:cs="Times New Roman"/>
          <w:b/>
          <w:color w:val="0070C0"/>
          <w:sz w:val="24"/>
          <w:u w:val="single"/>
        </w:rPr>
      </w:pPr>
      <w:r w:rsidRPr="00613E91">
        <w:rPr>
          <w:rFonts w:ascii="Times New Roman" w:hAnsi="Times New Roman" w:cs="Times New Roman"/>
          <w:b/>
          <w:color w:val="0070C0"/>
          <w:sz w:val="24"/>
          <w:u w:val="single"/>
        </w:rPr>
        <w:t>Question 2: Do you agree with Guideline 2 on documentation?</w:t>
      </w:r>
    </w:p>
    <w:p w:rsidR="00613E91" w:rsidRPr="00613E91" w:rsidRDefault="00613E91" w:rsidP="00613E91">
      <w:pPr>
        <w:spacing w:line="276" w:lineRule="auto"/>
        <w:rPr>
          <w:rFonts w:ascii="Times New Roman" w:hAnsi="Times New Roman" w:cs="Times New Roman"/>
          <w:b/>
          <w:sz w:val="24"/>
          <w:u w:val="single"/>
        </w:rPr>
      </w:pPr>
      <w:r w:rsidRPr="00613E91">
        <w:rPr>
          <w:rFonts w:ascii="Times New Roman" w:hAnsi="Times New Roman" w:cs="Times New Roman"/>
          <w:b/>
          <w:sz w:val="24"/>
          <w:u w:val="single"/>
        </w:rPr>
        <w:t>Section 2 – Documentation, notification and accessibility</w:t>
      </w: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sz w:val="24"/>
        </w:rPr>
        <w:t>Institutions should</w:t>
      </w:r>
      <w:r w:rsidR="004D4316">
        <w:rPr>
          <w:rFonts w:ascii="Times New Roman" w:hAnsi="Times New Roman" w:cs="Times New Roman"/>
          <w:sz w:val="24"/>
        </w:rPr>
        <w:t xml:space="preserve"> be required to</w:t>
      </w:r>
      <w:r w:rsidRPr="00613E91">
        <w:rPr>
          <w:rFonts w:ascii="Times New Roman" w:hAnsi="Times New Roman" w:cs="Times New Roman"/>
          <w:sz w:val="24"/>
        </w:rPr>
        <w:t xml:space="preserve"> disclose the risks they have considered which arise from their remuneration policies and practices alongside the action they have taken to mitigate them, including how they have complied with these Guidelines</w:t>
      </w:r>
      <w:r w:rsidR="004D4316">
        <w:rPr>
          <w:rFonts w:ascii="Times New Roman" w:hAnsi="Times New Roman" w:cs="Times New Roman"/>
          <w:sz w:val="24"/>
        </w:rPr>
        <w:t>.  This should be included</w:t>
      </w:r>
      <w:r w:rsidRPr="00613E91">
        <w:rPr>
          <w:rFonts w:ascii="Times New Roman" w:hAnsi="Times New Roman" w:cs="Times New Roman"/>
          <w:sz w:val="24"/>
        </w:rPr>
        <w:t xml:space="preserve"> in the operational risk disclosures of their annual report.</w:t>
      </w:r>
    </w:p>
    <w:p w:rsidR="00613E91" w:rsidRDefault="00613E91" w:rsidP="00613E91">
      <w:pPr>
        <w:spacing w:line="276" w:lineRule="auto"/>
        <w:rPr>
          <w:rFonts w:ascii="Times New Roman" w:hAnsi="Times New Roman" w:cs="Times New Roman"/>
          <w:sz w:val="24"/>
        </w:rPr>
      </w:pP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sz w:val="24"/>
        </w:rPr>
        <w:t>The documentation referred to under paragraph 2.1 should also include:</w:t>
      </w:r>
    </w:p>
    <w:p w:rsidR="00613E91" w:rsidRPr="00613E91" w:rsidRDefault="00613E91" w:rsidP="00613E91">
      <w:pPr>
        <w:pStyle w:val="ListParagraph"/>
        <w:numPr>
          <w:ilvl w:val="0"/>
          <w:numId w:val="22"/>
        </w:numPr>
        <w:spacing w:line="276" w:lineRule="auto"/>
        <w:rPr>
          <w:rFonts w:ascii="Times New Roman" w:hAnsi="Times New Roman" w:cs="Times New Roman"/>
          <w:sz w:val="24"/>
          <w:szCs w:val="24"/>
        </w:rPr>
      </w:pPr>
      <w:r w:rsidRPr="00613E91">
        <w:rPr>
          <w:rFonts w:ascii="Times New Roman" w:hAnsi="Times New Roman" w:cs="Times New Roman"/>
          <w:sz w:val="24"/>
          <w:szCs w:val="24"/>
        </w:rPr>
        <w:t>Any concerns about bias or excessive pressure to sell placed on staff to sell products caused by the institution</w:t>
      </w:r>
      <w:r w:rsidR="004D4316">
        <w:rPr>
          <w:rFonts w:ascii="Times New Roman" w:hAnsi="Times New Roman" w:cs="Times New Roman"/>
          <w:sz w:val="24"/>
          <w:szCs w:val="24"/>
        </w:rPr>
        <w:t>’</w:t>
      </w:r>
      <w:r w:rsidRPr="00613E91">
        <w:rPr>
          <w:rFonts w:ascii="Times New Roman" w:hAnsi="Times New Roman" w:cs="Times New Roman"/>
          <w:sz w:val="24"/>
          <w:szCs w:val="24"/>
        </w:rPr>
        <w:t>s remuneration policies and practices which have been raised by staff through whistleblowing or other monitoring procedures. This should include how these concerns were investigated and whether any changes to policies and practices were made as a result.</w:t>
      </w:r>
    </w:p>
    <w:p w:rsidR="00613E91" w:rsidRDefault="00613E91" w:rsidP="00613E91">
      <w:pPr>
        <w:spacing w:line="276" w:lineRule="auto"/>
        <w:rPr>
          <w:rFonts w:ascii="Times New Roman" w:hAnsi="Times New Roman" w:cs="Times New Roman"/>
          <w:b/>
          <w:sz w:val="24"/>
          <w:u w:val="single"/>
        </w:rPr>
      </w:pPr>
    </w:p>
    <w:p w:rsidR="00613E91" w:rsidRPr="00613E91" w:rsidRDefault="00613E91" w:rsidP="00613E91">
      <w:pPr>
        <w:spacing w:line="276" w:lineRule="auto"/>
        <w:rPr>
          <w:rFonts w:ascii="Times New Roman" w:hAnsi="Times New Roman" w:cs="Times New Roman"/>
          <w:b/>
          <w:color w:val="0070C0"/>
          <w:sz w:val="24"/>
          <w:u w:val="single"/>
        </w:rPr>
      </w:pPr>
      <w:r w:rsidRPr="00613E91">
        <w:rPr>
          <w:rFonts w:ascii="Times New Roman" w:hAnsi="Times New Roman" w:cs="Times New Roman"/>
          <w:b/>
          <w:color w:val="0070C0"/>
          <w:sz w:val="24"/>
          <w:u w:val="single"/>
        </w:rPr>
        <w:lastRenderedPageBreak/>
        <w:t>Question 3: Do you agree with Guideline 3 on approval and monitoring?</w:t>
      </w:r>
    </w:p>
    <w:p w:rsidR="00613E91" w:rsidRPr="00613E91" w:rsidRDefault="00613E91" w:rsidP="00613E91">
      <w:pPr>
        <w:spacing w:line="276" w:lineRule="auto"/>
        <w:rPr>
          <w:rFonts w:ascii="Times New Roman" w:hAnsi="Times New Roman" w:cs="Times New Roman"/>
          <w:b/>
          <w:sz w:val="24"/>
          <w:u w:val="single"/>
        </w:rPr>
      </w:pPr>
      <w:r w:rsidRPr="00613E91">
        <w:rPr>
          <w:rFonts w:ascii="Times New Roman" w:hAnsi="Times New Roman" w:cs="Times New Roman"/>
          <w:b/>
          <w:sz w:val="24"/>
          <w:u w:val="single"/>
        </w:rPr>
        <w:t>Section 3 – Approval and monitoring</w:t>
      </w: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sz w:val="24"/>
        </w:rPr>
        <w:t>The Guidelines should be enhanced by including the following issues:</w:t>
      </w:r>
    </w:p>
    <w:p w:rsidR="00613E91" w:rsidRDefault="00613E91" w:rsidP="00613E91">
      <w:pPr>
        <w:pStyle w:val="ListParagraph"/>
        <w:numPr>
          <w:ilvl w:val="0"/>
          <w:numId w:val="22"/>
        </w:numPr>
        <w:spacing w:line="276" w:lineRule="auto"/>
        <w:rPr>
          <w:rFonts w:ascii="Times New Roman" w:hAnsi="Times New Roman" w:cs="Times New Roman"/>
          <w:sz w:val="24"/>
          <w:szCs w:val="24"/>
        </w:rPr>
      </w:pPr>
      <w:r w:rsidRPr="00613E91">
        <w:rPr>
          <w:rFonts w:ascii="Times New Roman" w:hAnsi="Times New Roman" w:cs="Times New Roman"/>
          <w:sz w:val="24"/>
          <w:szCs w:val="24"/>
        </w:rPr>
        <w:t>The institution should gather appropriate Management Information (MI) to be able to identify and manage risks from their remuneration policies and practices. A summary of this information should be provided to the management body responsible for approving the remuneration policies and practices.</w:t>
      </w:r>
    </w:p>
    <w:p w:rsidR="00613E91" w:rsidRPr="00613E91" w:rsidRDefault="00613E91" w:rsidP="00613E91">
      <w:pPr>
        <w:pStyle w:val="ListParagraph"/>
        <w:spacing w:line="276" w:lineRule="auto"/>
        <w:rPr>
          <w:rFonts w:ascii="Times New Roman" w:hAnsi="Times New Roman" w:cs="Times New Roman"/>
          <w:sz w:val="24"/>
          <w:szCs w:val="24"/>
        </w:rPr>
      </w:pPr>
    </w:p>
    <w:p w:rsidR="00613E91" w:rsidRDefault="00613E91" w:rsidP="00613E91">
      <w:pPr>
        <w:pStyle w:val="ListParagraph"/>
        <w:numPr>
          <w:ilvl w:val="0"/>
          <w:numId w:val="22"/>
        </w:numPr>
        <w:spacing w:line="276" w:lineRule="auto"/>
        <w:rPr>
          <w:rFonts w:ascii="Times New Roman" w:hAnsi="Times New Roman" w:cs="Times New Roman"/>
          <w:sz w:val="24"/>
          <w:szCs w:val="24"/>
        </w:rPr>
      </w:pPr>
      <w:r w:rsidRPr="00613E91">
        <w:rPr>
          <w:rFonts w:ascii="Times New Roman" w:hAnsi="Times New Roman" w:cs="Times New Roman"/>
          <w:sz w:val="24"/>
          <w:szCs w:val="24"/>
        </w:rPr>
        <w:t>Those responsible for sales quality monitoring, operating other controls and assessing compliance with these guidelines should be sufficiently independent to avoid influence from sales staff or sales managers.</w:t>
      </w:r>
    </w:p>
    <w:p w:rsidR="00613E91" w:rsidRPr="00613E91" w:rsidRDefault="00613E91" w:rsidP="00613E91">
      <w:pPr>
        <w:spacing w:line="276" w:lineRule="auto"/>
        <w:rPr>
          <w:rFonts w:ascii="Times New Roman" w:hAnsi="Times New Roman" w:cs="Times New Roman"/>
          <w:sz w:val="24"/>
        </w:rPr>
      </w:pPr>
    </w:p>
    <w:p w:rsidR="00613E91" w:rsidRPr="00613E91" w:rsidRDefault="00613E91" w:rsidP="00613E91">
      <w:pPr>
        <w:pStyle w:val="ListParagraph"/>
        <w:numPr>
          <w:ilvl w:val="0"/>
          <w:numId w:val="22"/>
        </w:numPr>
        <w:spacing w:line="276" w:lineRule="auto"/>
        <w:rPr>
          <w:rFonts w:ascii="Times New Roman" w:hAnsi="Times New Roman" w:cs="Times New Roman"/>
          <w:sz w:val="24"/>
          <w:szCs w:val="24"/>
        </w:rPr>
      </w:pPr>
      <w:r w:rsidRPr="00613E91">
        <w:rPr>
          <w:rFonts w:ascii="Times New Roman" w:hAnsi="Times New Roman" w:cs="Times New Roman"/>
          <w:sz w:val="24"/>
          <w:szCs w:val="24"/>
        </w:rPr>
        <w:t>The institution should establish effective procedures to gather feedback from frontline staff about the operation of remuneration policies and practices. This should include effective whistleblowing or other monitoring procedures enabling staff to raise concerns about excessive pressure or bias caused by these policies and practices. It is important that those responsible for collecting and assessing this information and related data are not directly related to the sales of the products covered by it. A summary of feedback, including any concerns raised and how they were investigated should be provided to the management body.</w:t>
      </w: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sz w:val="24"/>
        </w:rPr>
        <w:t xml:space="preserve">Under paragraph 3.7, we do not agree that institutions should only be required to check annually whether any of the residual risks are </w:t>
      </w:r>
      <w:proofErr w:type="spellStart"/>
      <w:r w:rsidRPr="00613E91">
        <w:rPr>
          <w:rFonts w:ascii="Times New Roman" w:hAnsi="Times New Roman" w:cs="Times New Roman"/>
          <w:sz w:val="24"/>
        </w:rPr>
        <w:t>crystallising</w:t>
      </w:r>
      <w:proofErr w:type="spellEnd"/>
      <w:r w:rsidRPr="00613E91">
        <w:rPr>
          <w:rFonts w:ascii="Times New Roman" w:hAnsi="Times New Roman" w:cs="Times New Roman"/>
          <w:sz w:val="24"/>
        </w:rPr>
        <w:t xml:space="preserve"> and causing detriment to consumers. Instead, the Guidelines should require that “appropriate monitoring and controls are put in place to check </w:t>
      </w:r>
      <w:r w:rsidR="004D4316">
        <w:rPr>
          <w:rFonts w:ascii="Times New Roman" w:hAnsi="Times New Roman" w:cs="Times New Roman"/>
          <w:sz w:val="24"/>
        </w:rPr>
        <w:t xml:space="preserve">on a continuous basis </w:t>
      </w:r>
      <w:r w:rsidRPr="00613E91">
        <w:rPr>
          <w:rFonts w:ascii="Times New Roman" w:hAnsi="Times New Roman" w:cs="Times New Roman"/>
          <w:sz w:val="24"/>
        </w:rPr>
        <w:t xml:space="preserve">whether any of these residual risks are </w:t>
      </w:r>
      <w:proofErr w:type="spellStart"/>
      <w:r w:rsidRPr="00613E91">
        <w:rPr>
          <w:rFonts w:ascii="Times New Roman" w:hAnsi="Times New Roman" w:cs="Times New Roman"/>
          <w:sz w:val="24"/>
        </w:rPr>
        <w:t>crystallising</w:t>
      </w:r>
      <w:proofErr w:type="spellEnd"/>
      <w:r w:rsidRPr="00613E91">
        <w:rPr>
          <w:rFonts w:ascii="Times New Roman" w:hAnsi="Times New Roman" w:cs="Times New Roman"/>
          <w:sz w:val="24"/>
        </w:rPr>
        <w:t xml:space="preserve"> and causing detriment to consumers”. The institution should also be required to record what action is taken in response to any detriment caused to consumers and make changes to the remuneration policies and practices to reduce the risk of consumer detriment arising in the future.</w:t>
      </w:r>
    </w:p>
    <w:p w:rsidR="00613E91" w:rsidRDefault="00613E91" w:rsidP="00613E91">
      <w:pPr>
        <w:spacing w:line="276" w:lineRule="auto"/>
        <w:rPr>
          <w:rFonts w:ascii="Times New Roman" w:hAnsi="Times New Roman" w:cs="Times New Roman"/>
          <w:b/>
          <w:sz w:val="24"/>
          <w:u w:val="single"/>
        </w:rPr>
      </w:pPr>
    </w:p>
    <w:p w:rsidR="00613E91" w:rsidRPr="00613E91" w:rsidRDefault="00613E91" w:rsidP="00613E91">
      <w:pPr>
        <w:spacing w:line="276" w:lineRule="auto"/>
        <w:rPr>
          <w:rFonts w:ascii="Times New Roman" w:hAnsi="Times New Roman" w:cs="Times New Roman"/>
          <w:b/>
          <w:color w:val="0070C0"/>
          <w:sz w:val="24"/>
          <w:u w:val="single"/>
        </w:rPr>
      </w:pPr>
      <w:r w:rsidRPr="00613E91">
        <w:rPr>
          <w:rFonts w:ascii="Times New Roman" w:hAnsi="Times New Roman" w:cs="Times New Roman"/>
          <w:b/>
          <w:color w:val="0070C0"/>
          <w:sz w:val="24"/>
          <w:u w:val="single"/>
        </w:rPr>
        <w:t xml:space="preserve">Question </w:t>
      </w:r>
      <w:r w:rsidR="00E169F6">
        <w:rPr>
          <w:rFonts w:ascii="Times New Roman" w:hAnsi="Times New Roman" w:cs="Times New Roman"/>
          <w:b/>
          <w:color w:val="0070C0"/>
          <w:sz w:val="24"/>
          <w:u w:val="single"/>
        </w:rPr>
        <w:t>4</w:t>
      </w:r>
      <w:r w:rsidRPr="00613E91">
        <w:rPr>
          <w:rFonts w:ascii="Times New Roman" w:hAnsi="Times New Roman" w:cs="Times New Roman"/>
          <w:b/>
          <w:color w:val="0070C0"/>
          <w:sz w:val="24"/>
          <w:u w:val="single"/>
        </w:rPr>
        <w:t>: Do you see a need for any additional requirements?</w:t>
      </w: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sz w:val="24"/>
        </w:rPr>
        <w:t>Please see our responses to questions 1-3.</w:t>
      </w:r>
    </w:p>
    <w:p w:rsidR="00613E91" w:rsidRDefault="00613E91" w:rsidP="00613E91">
      <w:pPr>
        <w:spacing w:line="276" w:lineRule="auto"/>
        <w:rPr>
          <w:rFonts w:ascii="Times New Roman" w:hAnsi="Times New Roman" w:cs="Times New Roman"/>
          <w:b/>
          <w:sz w:val="24"/>
          <w:u w:val="single"/>
        </w:rPr>
      </w:pPr>
    </w:p>
    <w:p w:rsidR="00613E91" w:rsidRPr="00613E91" w:rsidRDefault="00613E91" w:rsidP="00613E91">
      <w:pPr>
        <w:spacing w:line="276" w:lineRule="auto"/>
        <w:rPr>
          <w:rFonts w:ascii="Times New Roman" w:hAnsi="Times New Roman" w:cs="Times New Roman"/>
          <w:b/>
          <w:color w:val="0070C0"/>
          <w:sz w:val="24"/>
          <w:u w:val="single"/>
        </w:rPr>
      </w:pPr>
      <w:r w:rsidRPr="00613E91">
        <w:rPr>
          <w:rFonts w:ascii="Times New Roman" w:hAnsi="Times New Roman" w:cs="Times New Roman"/>
          <w:b/>
          <w:color w:val="0070C0"/>
          <w:sz w:val="24"/>
          <w:u w:val="single"/>
        </w:rPr>
        <w:t xml:space="preserve">Question </w:t>
      </w:r>
      <w:r w:rsidR="00E169F6">
        <w:rPr>
          <w:rFonts w:ascii="Times New Roman" w:hAnsi="Times New Roman" w:cs="Times New Roman"/>
          <w:b/>
          <w:color w:val="0070C0"/>
          <w:sz w:val="24"/>
          <w:u w:val="single"/>
        </w:rPr>
        <w:t>5</w:t>
      </w:r>
      <w:r w:rsidRPr="00613E91">
        <w:rPr>
          <w:rFonts w:ascii="Times New Roman" w:hAnsi="Times New Roman" w:cs="Times New Roman"/>
          <w:b/>
          <w:color w:val="0070C0"/>
          <w:sz w:val="24"/>
          <w:u w:val="single"/>
        </w:rPr>
        <w:t>: Do you have any other comments?</w:t>
      </w: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sz w:val="24"/>
        </w:rPr>
        <w:t>We believe that the EBA should add the following undesirable remuneration practices to the list which the EBA is seeking to use the Guidelines to prevent:</w:t>
      </w:r>
    </w:p>
    <w:p w:rsidR="00613E91" w:rsidRDefault="00613E91" w:rsidP="00613E91">
      <w:pPr>
        <w:spacing w:line="276" w:lineRule="auto"/>
        <w:rPr>
          <w:rFonts w:ascii="Times New Roman" w:hAnsi="Times New Roman" w:cs="Times New Roman"/>
          <w:sz w:val="24"/>
        </w:rPr>
      </w:pPr>
      <w:r w:rsidRPr="00613E91">
        <w:rPr>
          <w:rFonts w:ascii="Times New Roman" w:hAnsi="Times New Roman" w:cs="Times New Roman"/>
          <w:b/>
          <w:sz w:val="24"/>
        </w:rPr>
        <w:t>Cliff edges</w:t>
      </w:r>
      <w:r w:rsidRPr="00613E91">
        <w:rPr>
          <w:rFonts w:ascii="Times New Roman" w:hAnsi="Times New Roman" w:cs="Times New Roman"/>
          <w:sz w:val="24"/>
        </w:rPr>
        <w:t xml:space="preserve">: The EBA should aim to prevent practices associated with occasions where relevant persons receive high rewards for thresholds and cliff-edges for which the reward for making additional sales increases dramatically. This can occur if </w:t>
      </w:r>
      <w:proofErr w:type="gramStart"/>
      <w:r w:rsidRPr="00613E91">
        <w:rPr>
          <w:rFonts w:ascii="Times New Roman" w:hAnsi="Times New Roman" w:cs="Times New Roman"/>
          <w:sz w:val="24"/>
        </w:rPr>
        <w:t xml:space="preserve">staff </w:t>
      </w:r>
      <w:r w:rsidR="004D4316">
        <w:rPr>
          <w:rFonts w:ascii="Times New Roman" w:hAnsi="Times New Roman" w:cs="Times New Roman"/>
          <w:sz w:val="24"/>
        </w:rPr>
        <w:t xml:space="preserve"> are</w:t>
      </w:r>
      <w:proofErr w:type="gramEnd"/>
      <w:r w:rsidR="004D4316">
        <w:rPr>
          <w:rFonts w:ascii="Times New Roman" w:hAnsi="Times New Roman" w:cs="Times New Roman"/>
          <w:sz w:val="24"/>
        </w:rPr>
        <w:t xml:space="preserve"> required</w:t>
      </w:r>
      <w:r w:rsidRPr="00613E91">
        <w:rPr>
          <w:rFonts w:ascii="Times New Roman" w:hAnsi="Times New Roman" w:cs="Times New Roman"/>
          <w:sz w:val="24"/>
        </w:rPr>
        <w:t xml:space="preserve"> to meet a specific sales threshold, such as 50 sales per quarter in order to receive any bonus or </w:t>
      </w:r>
      <w:r w:rsidR="004D4316">
        <w:rPr>
          <w:rFonts w:ascii="Times New Roman" w:hAnsi="Times New Roman" w:cs="Times New Roman"/>
          <w:sz w:val="24"/>
        </w:rPr>
        <w:t>are required</w:t>
      </w:r>
      <w:r w:rsidRPr="00613E91">
        <w:rPr>
          <w:rFonts w:ascii="Times New Roman" w:hAnsi="Times New Roman" w:cs="Times New Roman"/>
          <w:sz w:val="24"/>
        </w:rPr>
        <w:t xml:space="preserve"> to meet a specific target </w:t>
      </w:r>
      <w:r w:rsidR="004D4316">
        <w:rPr>
          <w:rFonts w:ascii="Times New Roman" w:hAnsi="Times New Roman" w:cs="Times New Roman"/>
          <w:sz w:val="24"/>
        </w:rPr>
        <w:t xml:space="preserve">in order </w:t>
      </w:r>
      <w:r w:rsidRPr="00613E91">
        <w:rPr>
          <w:rFonts w:ascii="Times New Roman" w:hAnsi="Times New Roman" w:cs="Times New Roman"/>
          <w:sz w:val="24"/>
        </w:rPr>
        <w:t xml:space="preserve">to receive a large bonus. For example, in </w:t>
      </w:r>
      <w:r w:rsidRPr="00613E91">
        <w:rPr>
          <w:rFonts w:ascii="Times New Roman" w:hAnsi="Times New Roman" w:cs="Times New Roman"/>
          <w:sz w:val="24"/>
        </w:rPr>
        <w:lastRenderedPageBreak/>
        <w:t>the UK the FCA found an occasion where the first 21 staff to meet a specific sales target received a special bonus of up to £10,000.</w:t>
      </w:r>
    </w:p>
    <w:p w:rsidR="00613E91" w:rsidRPr="00613E91" w:rsidRDefault="00613E91" w:rsidP="00613E91">
      <w:pPr>
        <w:spacing w:line="276" w:lineRule="auto"/>
        <w:rPr>
          <w:rFonts w:ascii="Times New Roman" w:hAnsi="Times New Roman" w:cs="Times New Roman"/>
          <w:sz w:val="24"/>
        </w:rPr>
      </w:pPr>
    </w:p>
    <w:p w:rsidR="00613E91" w:rsidRPr="00613E91" w:rsidRDefault="00613E91" w:rsidP="00613E91">
      <w:pPr>
        <w:spacing w:line="276" w:lineRule="auto"/>
        <w:rPr>
          <w:rFonts w:ascii="Times New Roman" w:hAnsi="Times New Roman" w:cs="Times New Roman"/>
          <w:sz w:val="24"/>
        </w:rPr>
      </w:pPr>
      <w:r w:rsidRPr="00613E91">
        <w:rPr>
          <w:rFonts w:ascii="Times New Roman" w:hAnsi="Times New Roman" w:cs="Times New Roman"/>
          <w:b/>
          <w:sz w:val="24"/>
        </w:rPr>
        <w:t>Performance management</w:t>
      </w:r>
      <w:r w:rsidRPr="00613E91">
        <w:rPr>
          <w:rFonts w:ascii="Times New Roman" w:hAnsi="Times New Roman" w:cs="Times New Roman"/>
          <w:sz w:val="24"/>
        </w:rPr>
        <w:t>: Managers use disciplinary action, extra monitoring or threats of dismissal to solely encourage staff to meet targets for the volume of banking products by disregarding the best interests of their customers.</w:t>
      </w:r>
    </w:p>
    <w:p w:rsidR="00037237" w:rsidRPr="00244B97" w:rsidRDefault="00037237" w:rsidP="00947B0F">
      <w:pPr>
        <w:pStyle w:val="body"/>
      </w:pPr>
      <w:r>
        <w:t>*   *   *</w:t>
      </w:r>
    </w:p>
    <w:p w:rsidR="00947B0F" w:rsidRPr="0018792B" w:rsidRDefault="00947B0F" w:rsidP="00947B0F">
      <w:pPr>
        <w:pStyle w:val="body"/>
        <w:rPr>
          <w:rFonts w:asciiTheme="majorBidi" w:hAnsiTheme="majorBidi" w:cstheme="majorBidi"/>
          <w:sz w:val="24"/>
        </w:rPr>
      </w:pPr>
      <w:r w:rsidRPr="0018792B">
        <w:rPr>
          <w:rFonts w:asciiTheme="majorBidi" w:hAnsiTheme="majorBidi" w:cstheme="majorBidi"/>
          <w:sz w:val="24"/>
        </w:rPr>
        <w:t>Submitted on behalf of the EBA Banking Stakeholder Group</w:t>
      </w:r>
    </w:p>
    <w:p w:rsidR="00947B0F" w:rsidRPr="00022D37" w:rsidRDefault="00022D37" w:rsidP="00F77102">
      <w:pPr>
        <w:rPr>
          <w:i/>
        </w:rPr>
      </w:pPr>
      <w:r>
        <w:rPr>
          <w:i/>
        </w:rPr>
        <w:t>David T</w:t>
      </w:r>
      <w:r w:rsidR="00AE3600">
        <w:rPr>
          <w:i/>
        </w:rPr>
        <w:t>.</w:t>
      </w:r>
      <w:r>
        <w:rPr>
          <w:i/>
        </w:rPr>
        <w:t xml:space="preserve"> Llewellyn</w:t>
      </w:r>
    </w:p>
    <w:p w:rsidR="00947B0F" w:rsidRPr="00244B97" w:rsidRDefault="001337E9" w:rsidP="00F77102">
      <w:r>
        <w:t>Chair</w:t>
      </w:r>
      <w:r w:rsidR="000F2A76">
        <w:t>person</w:t>
      </w:r>
    </w:p>
    <w:p w:rsidR="00D76E91" w:rsidRPr="00E00BB5" w:rsidRDefault="00D76E91" w:rsidP="00E00BB5"/>
    <w:sectPr w:rsidR="00D76E91" w:rsidRPr="00E00BB5" w:rsidSect="002F6CF0">
      <w:headerReference w:type="even" r:id="rId10"/>
      <w:headerReference w:type="default" r:id="rId11"/>
      <w:footerReference w:type="even" r:id="rId12"/>
      <w:footerReference w:type="default" r:id="rId13"/>
      <w:footerReference w:type="first" r:id="rId14"/>
      <w:pgSz w:w="11900" w:h="16840"/>
      <w:pgMar w:top="2268" w:right="1418" w:bottom="1134" w:left="1701"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82" w:rsidRDefault="003B5A82" w:rsidP="00A00E34">
      <w:r>
        <w:separator/>
      </w:r>
    </w:p>
    <w:p w:rsidR="003B5A82" w:rsidRDefault="003B5A82"/>
  </w:endnote>
  <w:endnote w:type="continuationSeparator" w:id="0">
    <w:p w:rsidR="003B5A82" w:rsidRDefault="003B5A82" w:rsidP="00A00E34">
      <w:r>
        <w:continuationSeparator/>
      </w:r>
    </w:p>
    <w:p w:rsidR="003B5A82" w:rsidRDefault="003B5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7E9" w:rsidRDefault="001337E9" w:rsidP="006103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Pr="003055C1" w:rsidRDefault="001337E9" w:rsidP="00C43FD9">
    <w:pPr>
      <w:pStyle w:val="Footer"/>
      <w:framePr w:wrap="around" w:vAnchor="text" w:hAnchor="margin" w:xAlign="right" w:y="1"/>
      <w:rPr>
        <w:rStyle w:val="PageNumber"/>
        <w:color w:val="1163A7"/>
      </w:rPr>
    </w:pPr>
    <w:r w:rsidRPr="003055C1">
      <w:rPr>
        <w:rStyle w:val="PageNumber"/>
        <w:color w:val="1163A7"/>
      </w:rPr>
      <w:fldChar w:fldCharType="begin"/>
    </w:r>
    <w:r w:rsidRPr="003055C1">
      <w:rPr>
        <w:rStyle w:val="PageNumber"/>
        <w:color w:val="1163A7"/>
      </w:rPr>
      <w:instrText xml:space="preserve">PAGE  </w:instrText>
    </w:r>
    <w:r w:rsidRPr="003055C1">
      <w:rPr>
        <w:rStyle w:val="PageNumber"/>
        <w:color w:val="1163A7"/>
      </w:rPr>
      <w:fldChar w:fldCharType="separate"/>
    </w:r>
    <w:r w:rsidR="0001298E">
      <w:rPr>
        <w:rStyle w:val="PageNumber"/>
        <w:noProof/>
        <w:color w:val="1163A7"/>
      </w:rPr>
      <w:t>2</w:t>
    </w:r>
    <w:r w:rsidRPr="003055C1">
      <w:rPr>
        <w:rStyle w:val="PageNumber"/>
        <w:color w:val="1163A7"/>
      </w:rPr>
      <w:fldChar w:fldCharType="end"/>
    </w:r>
  </w:p>
  <w:p w:rsidR="001337E9" w:rsidRDefault="001337E9" w:rsidP="003055C1">
    <w:pPr>
      <w:pStyle w:val="Footer"/>
      <w:pBdr>
        <w:top w:val="thickThinLargeGap" w:sz="24" w:space="1" w:color="1163A7"/>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1337E9" w:rsidP="002F6C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82" w:rsidRPr="00DB5E8F" w:rsidRDefault="003B5A82">
      <w:pPr>
        <w:rPr>
          <w:sz w:val="12"/>
          <w:szCs w:val="12"/>
        </w:rPr>
      </w:pPr>
      <w:r w:rsidRPr="00DB5E8F">
        <w:rPr>
          <w:sz w:val="12"/>
          <w:szCs w:val="12"/>
        </w:rPr>
        <w:separator/>
      </w:r>
    </w:p>
  </w:footnote>
  <w:footnote w:type="continuationSeparator" w:id="0">
    <w:p w:rsidR="003B5A82" w:rsidRDefault="003B5A82" w:rsidP="00A00E34">
      <w:r>
        <w:continuationSeparator/>
      </w:r>
    </w:p>
    <w:p w:rsidR="003B5A82" w:rsidRDefault="003B5A82"/>
  </w:footnote>
  <w:footnote w:type="continuationNotice" w:id="1">
    <w:p w:rsidR="003B5A82" w:rsidRDefault="003B5A82"/>
  </w:footnote>
  <w:footnote w:id="2">
    <w:p w:rsidR="008C64A7" w:rsidRDefault="008C64A7" w:rsidP="008C64A7">
      <w:pPr>
        <w:pStyle w:val="FootnoteText"/>
      </w:pPr>
      <w:r>
        <w:rPr>
          <w:rStyle w:val="FootnoteReference"/>
        </w:rPr>
        <w:footnoteRef/>
      </w:r>
      <w:r>
        <w:t xml:space="preserve"> Consumers International, Risky Business, </w:t>
      </w:r>
    </w:p>
  </w:footnote>
  <w:footnote w:id="3">
    <w:p w:rsidR="008C64A7" w:rsidRDefault="008C64A7" w:rsidP="008C64A7">
      <w:pPr>
        <w:pStyle w:val="FootnoteText"/>
      </w:pPr>
      <w:r>
        <w:rPr>
          <w:rStyle w:val="FootnoteReference"/>
        </w:rPr>
        <w:footnoteRef/>
      </w:r>
      <w:r>
        <w:t xml:space="preserve"> FCA, Risks to customers from performance management at firms, Finalised Guidance, page 3</w:t>
      </w:r>
    </w:p>
  </w:footnote>
  <w:footnote w:id="4">
    <w:p w:rsidR="00613E91" w:rsidRDefault="00613E91" w:rsidP="00613E91">
      <w:pPr>
        <w:pStyle w:val="FootnoteText"/>
      </w:pPr>
      <w:r>
        <w:rPr>
          <w:rStyle w:val="FootnoteReference"/>
        </w:rPr>
        <w:footnoteRef/>
      </w:r>
      <w:r>
        <w:t xml:space="preserve"> Policies and practices where the remuneration is based almost entirely on qualitative factors and the amounts are almost entirely at the discretion of the relevant manager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E9" w:rsidRDefault="0001298E">
    <w:sdt>
      <w:sdtPr>
        <w:id w:val="1051503992"/>
        <w:temporary/>
        <w:showingPlcHdr/>
      </w:sdtPr>
      <w:sdtEndPr/>
      <w:sdtContent>
        <w:r w:rsidR="001337E9">
          <w:t>[Type text]</w:t>
        </w:r>
      </w:sdtContent>
    </w:sdt>
    <w:r w:rsidR="001337E9">
      <w:ptab w:relativeTo="margin" w:alignment="center" w:leader="none"/>
    </w:r>
    <w:sdt>
      <w:sdtPr>
        <w:id w:val="731575129"/>
        <w:temporary/>
        <w:showingPlcHdr/>
      </w:sdtPr>
      <w:sdtEndPr/>
      <w:sdtContent>
        <w:r w:rsidR="001337E9">
          <w:t>[Type text]</w:t>
        </w:r>
      </w:sdtContent>
    </w:sdt>
    <w:r w:rsidR="001337E9">
      <w:ptab w:relativeTo="margin" w:alignment="right" w:leader="none"/>
    </w:r>
    <w:sdt>
      <w:sdtPr>
        <w:id w:val="364179191"/>
        <w:temporary/>
        <w:showingPlcHdr/>
      </w:sdtPr>
      <w:sdtEndPr/>
      <w:sdtContent>
        <w:r w:rsidR="001337E9">
          <w:t>[Type text]</w:t>
        </w:r>
      </w:sdtContent>
    </w:sdt>
  </w:p>
  <w:p w:rsidR="001337E9" w:rsidRDefault="001337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C1" w:rsidRPr="003055C1" w:rsidRDefault="003055C1" w:rsidP="003055C1">
    <w:pPr>
      <w:pStyle w:val="body"/>
      <w:pBdr>
        <w:top w:val="thickThinLargeGap" w:sz="24" w:space="1" w:color="1163A7"/>
      </w:pBdr>
      <w:spacing w:before="120"/>
      <w:ind w:right="4528"/>
      <w:rPr>
        <w:rFonts w:asciiTheme="majorHAnsi" w:hAnsiTheme="majorHAnsi"/>
        <w:b/>
        <w:smallCaps/>
        <w:color w:val="1163A7"/>
        <w:spacing w:val="26"/>
        <w:sz w:val="32"/>
        <w:szCs w:val="40"/>
      </w:rPr>
    </w:pPr>
    <w:r w:rsidRPr="003055C1">
      <w:rPr>
        <w:rFonts w:asciiTheme="majorHAnsi" w:hAnsiTheme="majorHAnsi"/>
        <w:b/>
        <w:smallCaps/>
        <w:color w:val="1163A7"/>
        <w:spacing w:val="26"/>
        <w:sz w:val="32"/>
        <w:szCs w:val="40"/>
      </w:rPr>
      <w:t>Banking Stakeholder Group</w:t>
    </w:r>
  </w:p>
  <w:p w:rsidR="001337E9" w:rsidRPr="00F9452C" w:rsidRDefault="001337E9" w:rsidP="002C0DCF">
    <w:pPr>
      <w:pStyle w:val="Runningtitle"/>
    </w:pPr>
    <w:r>
      <w:rPr>
        <w:noProof/>
        <w:lang w:val="en-GB" w:eastAsia="zh-CN"/>
      </w:rPr>
      <w:drawing>
        <wp:anchor distT="0" distB="0" distL="114300" distR="114300" simplePos="0" relativeHeight="251658240" behindDoc="1" locked="0" layoutInCell="1" allowOverlap="1" wp14:anchorId="48AAD485" wp14:editId="5CA7C58F">
          <wp:simplePos x="0" y="0"/>
          <wp:positionH relativeFrom="column">
            <wp:posOffset>4350385</wp:posOffset>
          </wp:positionH>
          <wp:positionV relativeFrom="page">
            <wp:posOffset>467995</wp:posOffset>
          </wp:positionV>
          <wp:extent cx="1207770" cy="447675"/>
          <wp:effectExtent l="0" t="0" r="0" b="9525"/>
          <wp:wrapTight wrapText="bothSides">
            <wp:wrapPolygon edited="0">
              <wp:start x="0" y="0"/>
              <wp:lineTo x="0" y="21140"/>
              <wp:lineTo x="21123" y="21140"/>
              <wp:lineTo x="211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4">
    <w:nsid w:val="0DB51648"/>
    <w:multiLevelType w:val="hybridMultilevel"/>
    <w:tmpl w:val="0994DD32"/>
    <w:lvl w:ilvl="0" w:tplc="448861FC">
      <w:start w:val="1"/>
      <w:numFmt w:val="bullet"/>
      <w:lvlText w:val="•"/>
      <w:lvlJc w:val="left"/>
      <w:pPr>
        <w:tabs>
          <w:tab w:val="num" w:pos="720"/>
        </w:tabs>
        <w:ind w:left="720" w:hanging="360"/>
      </w:pPr>
      <w:rPr>
        <w:rFonts w:ascii="Arial" w:hAnsi="Arial" w:hint="default"/>
      </w:rPr>
    </w:lvl>
    <w:lvl w:ilvl="1" w:tplc="92F8D190" w:tentative="1">
      <w:start w:val="1"/>
      <w:numFmt w:val="bullet"/>
      <w:lvlText w:val="•"/>
      <w:lvlJc w:val="left"/>
      <w:pPr>
        <w:tabs>
          <w:tab w:val="num" w:pos="1440"/>
        </w:tabs>
        <w:ind w:left="1440" w:hanging="360"/>
      </w:pPr>
      <w:rPr>
        <w:rFonts w:ascii="Arial" w:hAnsi="Arial" w:hint="default"/>
      </w:rPr>
    </w:lvl>
    <w:lvl w:ilvl="2" w:tplc="1D20D220" w:tentative="1">
      <w:start w:val="1"/>
      <w:numFmt w:val="bullet"/>
      <w:lvlText w:val="•"/>
      <w:lvlJc w:val="left"/>
      <w:pPr>
        <w:tabs>
          <w:tab w:val="num" w:pos="2160"/>
        </w:tabs>
        <w:ind w:left="2160" w:hanging="360"/>
      </w:pPr>
      <w:rPr>
        <w:rFonts w:ascii="Arial" w:hAnsi="Arial" w:hint="default"/>
      </w:rPr>
    </w:lvl>
    <w:lvl w:ilvl="3" w:tplc="A3D805D4" w:tentative="1">
      <w:start w:val="1"/>
      <w:numFmt w:val="bullet"/>
      <w:lvlText w:val="•"/>
      <w:lvlJc w:val="left"/>
      <w:pPr>
        <w:tabs>
          <w:tab w:val="num" w:pos="2880"/>
        </w:tabs>
        <w:ind w:left="2880" w:hanging="360"/>
      </w:pPr>
      <w:rPr>
        <w:rFonts w:ascii="Arial" w:hAnsi="Arial" w:hint="default"/>
      </w:rPr>
    </w:lvl>
    <w:lvl w:ilvl="4" w:tplc="ECCC147A" w:tentative="1">
      <w:start w:val="1"/>
      <w:numFmt w:val="bullet"/>
      <w:lvlText w:val="•"/>
      <w:lvlJc w:val="left"/>
      <w:pPr>
        <w:tabs>
          <w:tab w:val="num" w:pos="3600"/>
        </w:tabs>
        <w:ind w:left="3600" w:hanging="360"/>
      </w:pPr>
      <w:rPr>
        <w:rFonts w:ascii="Arial" w:hAnsi="Arial" w:hint="default"/>
      </w:rPr>
    </w:lvl>
    <w:lvl w:ilvl="5" w:tplc="07C8D96E" w:tentative="1">
      <w:start w:val="1"/>
      <w:numFmt w:val="bullet"/>
      <w:lvlText w:val="•"/>
      <w:lvlJc w:val="left"/>
      <w:pPr>
        <w:tabs>
          <w:tab w:val="num" w:pos="4320"/>
        </w:tabs>
        <w:ind w:left="4320" w:hanging="360"/>
      </w:pPr>
      <w:rPr>
        <w:rFonts w:ascii="Arial" w:hAnsi="Arial" w:hint="default"/>
      </w:rPr>
    </w:lvl>
    <w:lvl w:ilvl="6" w:tplc="E80493F8" w:tentative="1">
      <w:start w:val="1"/>
      <w:numFmt w:val="bullet"/>
      <w:lvlText w:val="•"/>
      <w:lvlJc w:val="left"/>
      <w:pPr>
        <w:tabs>
          <w:tab w:val="num" w:pos="5040"/>
        </w:tabs>
        <w:ind w:left="5040" w:hanging="360"/>
      </w:pPr>
      <w:rPr>
        <w:rFonts w:ascii="Arial" w:hAnsi="Arial" w:hint="default"/>
      </w:rPr>
    </w:lvl>
    <w:lvl w:ilvl="7" w:tplc="FDD80FF8" w:tentative="1">
      <w:start w:val="1"/>
      <w:numFmt w:val="bullet"/>
      <w:lvlText w:val="•"/>
      <w:lvlJc w:val="left"/>
      <w:pPr>
        <w:tabs>
          <w:tab w:val="num" w:pos="5760"/>
        </w:tabs>
        <w:ind w:left="5760" w:hanging="360"/>
      </w:pPr>
      <w:rPr>
        <w:rFonts w:ascii="Arial" w:hAnsi="Arial" w:hint="default"/>
      </w:rPr>
    </w:lvl>
    <w:lvl w:ilvl="8" w:tplc="F830F112" w:tentative="1">
      <w:start w:val="1"/>
      <w:numFmt w:val="bullet"/>
      <w:lvlText w:val="•"/>
      <w:lvlJc w:val="left"/>
      <w:pPr>
        <w:tabs>
          <w:tab w:val="num" w:pos="6480"/>
        </w:tabs>
        <w:ind w:left="6480" w:hanging="360"/>
      </w:pPr>
      <w:rPr>
        <w:rFonts w:ascii="Arial" w:hAnsi="Arial" w:hint="default"/>
      </w:rPr>
    </w:lvl>
  </w:abstractNum>
  <w:abstractNum w:abstractNumId="5">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8">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227369"/>
    <w:multiLevelType w:val="hybridMultilevel"/>
    <w:tmpl w:val="72E417C2"/>
    <w:lvl w:ilvl="0" w:tplc="AC42E13A">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63D61"/>
    <w:multiLevelType w:val="hybridMultilevel"/>
    <w:tmpl w:val="F13C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4578E"/>
    <w:multiLevelType w:val="hybridMultilevel"/>
    <w:tmpl w:val="062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5463A7"/>
    <w:multiLevelType w:val="hybridMultilevel"/>
    <w:tmpl w:val="798685BC"/>
    <w:lvl w:ilvl="0" w:tplc="EF427966">
      <w:start w:val="1"/>
      <w:numFmt w:val="bullet"/>
      <w:lvlText w:val="•"/>
      <w:lvlJc w:val="left"/>
      <w:pPr>
        <w:tabs>
          <w:tab w:val="num" w:pos="720"/>
        </w:tabs>
        <w:ind w:left="720" w:hanging="360"/>
      </w:pPr>
      <w:rPr>
        <w:rFonts w:ascii="Arial" w:hAnsi="Arial" w:hint="default"/>
      </w:rPr>
    </w:lvl>
    <w:lvl w:ilvl="1" w:tplc="CADA8B14" w:tentative="1">
      <w:start w:val="1"/>
      <w:numFmt w:val="bullet"/>
      <w:lvlText w:val="•"/>
      <w:lvlJc w:val="left"/>
      <w:pPr>
        <w:tabs>
          <w:tab w:val="num" w:pos="1440"/>
        </w:tabs>
        <w:ind w:left="1440" w:hanging="360"/>
      </w:pPr>
      <w:rPr>
        <w:rFonts w:ascii="Arial" w:hAnsi="Arial" w:hint="default"/>
      </w:rPr>
    </w:lvl>
    <w:lvl w:ilvl="2" w:tplc="E48A3B5A" w:tentative="1">
      <w:start w:val="1"/>
      <w:numFmt w:val="bullet"/>
      <w:lvlText w:val="•"/>
      <w:lvlJc w:val="left"/>
      <w:pPr>
        <w:tabs>
          <w:tab w:val="num" w:pos="2160"/>
        </w:tabs>
        <w:ind w:left="2160" w:hanging="360"/>
      </w:pPr>
      <w:rPr>
        <w:rFonts w:ascii="Arial" w:hAnsi="Arial" w:hint="default"/>
      </w:rPr>
    </w:lvl>
    <w:lvl w:ilvl="3" w:tplc="68D8AA10" w:tentative="1">
      <w:start w:val="1"/>
      <w:numFmt w:val="bullet"/>
      <w:lvlText w:val="•"/>
      <w:lvlJc w:val="left"/>
      <w:pPr>
        <w:tabs>
          <w:tab w:val="num" w:pos="2880"/>
        </w:tabs>
        <w:ind w:left="2880" w:hanging="360"/>
      </w:pPr>
      <w:rPr>
        <w:rFonts w:ascii="Arial" w:hAnsi="Arial" w:hint="default"/>
      </w:rPr>
    </w:lvl>
    <w:lvl w:ilvl="4" w:tplc="B7863E90" w:tentative="1">
      <w:start w:val="1"/>
      <w:numFmt w:val="bullet"/>
      <w:lvlText w:val="•"/>
      <w:lvlJc w:val="left"/>
      <w:pPr>
        <w:tabs>
          <w:tab w:val="num" w:pos="3600"/>
        </w:tabs>
        <w:ind w:left="3600" w:hanging="360"/>
      </w:pPr>
      <w:rPr>
        <w:rFonts w:ascii="Arial" w:hAnsi="Arial" w:hint="default"/>
      </w:rPr>
    </w:lvl>
    <w:lvl w:ilvl="5" w:tplc="9B8E127E" w:tentative="1">
      <w:start w:val="1"/>
      <w:numFmt w:val="bullet"/>
      <w:lvlText w:val="•"/>
      <w:lvlJc w:val="left"/>
      <w:pPr>
        <w:tabs>
          <w:tab w:val="num" w:pos="4320"/>
        </w:tabs>
        <w:ind w:left="4320" w:hanging="360"/>
      </w:pPr>
      <w:rPr>
        <w:rFonts w:ascii="Arial" w:hAnsi="Arial" w:hint="default"/>
      </w:rPr>
    </w:lvl>
    <w:lvl w:ilvl="6" w:tplc="C20E4F1C" w:tentative="1">
      <w:start w:val="1"/>
      <w:numFmt w:val="bullet"/>
      <w:lvlText w:val="•"/>
      <w:lvlJc w:val="left"/>
      <w:pPr>
        <w:tabs>
          <w:tab w:val="num" w:pos="5040"/>
        </w:tabs>
        <w:ind w:left="5040" w:hanging="360"/>
      </w:pPr>
      <w:rPr>
        <w:rFonts w:ascii="Arial" w:hAnsi="Arial" w:hint="default"/>
      </w:rPr>
    </w:lvl>
    <w:lvl w:ilvl="7" w:tplc="661A8CB8" w:tentative="1">
      <w:start w:val="1"/>
      <w:numFmt w:val="bullet"/>
      <w:lvlText w:val="•"/>
      <w:lvlJc w:val="left"/>
      <w:pPr>
        <w:tabs>
          <w:tab w:val="num" w:pos="5760"/>
        </w:tabs>
        <w:ind w:left="5760" w:hanging="360"/>
      </w:pPr>
      <w:rPr>
        <w:rFonts w:ascii="Arial" w:hAnsi="Arial" w:hint="default"/>
      </w:rPr>
    </w:lvl>
    <w:lvl w:ilvl="8" w:tplc="0894827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7"/>
  </w:num>
  <w:num w:numId="4">
    <w:abstractNumId w:val="8"/>
  </w:num>
  <w:num w:numId="5">
    <w:abstractNumId w:val="13"/>
  </w:num>
  <w:num w:numId="6">
    <w:abstractNumId w:val="1"/>
  </w:num>
  <w:num w:numId="7">
    <w:abstractNumId w:val="12"/>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0"/>
  </w:num>
  <w:num w:numId="16">
    <w:abstractNumId w:val="3"/>
  </w:num>
  <w:num w:numId="17">
    <w:abstractNumId w:val="6"/>
  </w:num>
  <w:num w:numId="18">
    <w:abstractNumId w:val="5"/>
  </w:num>
  <w:num w:numId="19">
    <w:abstractNumId w:val="15"/>
  </w:num>
  <w:num w:numId="20">
    <w:abstractNumId w:val="4"/>
  </w:num>
  <w:num w:numId="21">
    <w:abstractNumId w:val="11"/>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9B"/>
    <w:rsid w:val="00003F50"/>
    <w:rsid w:val="0001298E"/>
    <w:rsid w:val="00013281"/>
    <w:rsid w:val="00022D37"/>
    <w:rsid w:val="000231B7"/>
    <w:rsid w:val="00027CA0"/>
    <w:rsid w:val="00030D65"/>
    <w:rsid w:val="00037237"/>
    <w:rsid w:val="00042846"/>
    <w:rsid w:val="00060F40"/>
    <w:rsid w:val="0008394E"/>
    <w:rsid w:val="000843CD"/>
    <w:rsid w:val="000A1C81"/>
    <w:rsid w:val="000B1645"/>
    <w:rsid w:val="000C5A8A"/>
    <w:rsid w:val="000D1277"/>
    <w:rsid w:val="000D7A44"/>
    <w:rsid w:val="000E0C27"/>
    <w:rsid w:val="000E6D15"/>
    <w:rsid w:val="000F2A76"/>
    <w:rsid w:val="000F6495"/>
    <w:rsid w:val="000F6FD8"/>
    <w:rsid w:val="0011517F"/>
    <w:rsid w:val="00121BB0"/>
    <w:rsid w:val="0013090C"/>
    <w:rsid w:val="00131C5D"/>
    <w:rsid w:val="001337E9"/>
    <w:rsid w:val="00145D24"/>
    <w:rsid w:val="00152832"/>
    <w:rsid w:val="001600FC"/>
    <w:rsid w:val="00172007"/>
    <w:rsid w:val="0017446F"/>
    <w:rsid w:val="001834D4"/>
    <w:rsid w:val="0018792B"/>
    <w:rsid w:val="00192287"/>
    <w:rsid w:val="00197CE5"/>
    <w:rsid w:val="001A016C"/>
    <w:rsid w:val="001A2A81"/>
    <w:rsid w:val="001B2C0D"/>
    <w:rsid w:val="001B6017"/>
    <w:rsid w:val="001B7A0B"/>
    <w:rsid w:val="001B7EB3"/>
    <w:rsid w:val="001C1FD9"/>
    <w:rsid w:val="001C5BC2"/>
    <w:rsid w:val="001D0179"/>
    <w:rsid w:val="001E1188"/>
    <w:rsid w:val="001E3599"/>
    <w:rsid w:val="001F1CB9"/>
    <w:rsid w:val="001F7501"/>
    <w:rsid w:val="00205878"/>
    <w:rsid w:val="00213D7B"/>
    <w:rsid w:val="00214DEC"/>
    <w:rsid w:val="00224761"/>
    <w:rsid w:val="00224A3F"/>
    <w:rsid w:val="002306C7"/>
    <w:rsid w:val="00241BD8"/>
    <w:rsid w:val="002434B0"/>
    <w:rsid w:val="0027418E"/>
    <w:rsid w:val="00290DA3"/>
    <w:rsid w:val="002C0DCF"/>
    <w:rsid w:val="002D1867"/>
    <w:rsid w:val="002F2009"/>
    <w:rsid w:val="002F6CF0"/>
    <w:rsid w:val="00300924"/>
    <w:rsid w:val="003025A8"/>
    <w:rsid w:val="003055C1"/>
    <w:rsid w:val="003129B6"/>
    <w:rsid w:val="00314D6E"/>
    <w:rsid w:val="00320E57"/>
    <w:rsid w:val="003221EF"/>
    <w:rsid w:val="003248A2"/>
    <w:rsid w:val="0035477B"/>
    <w:rsid w:val="00372BEC"/>
    <w:rsid w:val="00392385"/>
    <w:rsid w:val="003B5A82"/>
    <w:rsid w:val="003C5E2C"/>
    <w:rsid w:val="003D05A5"/>
    <w:rsid w:val="003D7A72"/>
    <w:rsid w:val="00412567"/>
    <w:rsid w:val="00424530"/>
    <w:rsid w:val="0043577F"/>
    <w:rsid w:val="00441F85"/>
    <w:rsid w:val="0045301B"/>
    <w:rsid w:val="00455E0E"/>
    <w:rsid w:val="004719B4"/>
    <w:rsid w:val="00471CA1"/>
    <w:rsid w:val="00471CCE"/>
    <w:rsid w:val="00481AC4"/>
    <w:rsid w:val="00482FB6"/>
    <w:rsid w:val="004A5D8B"/>
    <w:rsid w:val="004B2FC0"/>
    <w:rsid w:val="004B7784"/>
    <w:rsid w:val="004C1B19"/>
    <w:rsid w:val="004C6392"/>
    <w:rsid w:val="004D4316"/>
    <w:rsid w:val="004E405B"/>
    <w:rsid w:val="004E657F"/>
    <w:rsid w:val="004F0AB6"/>
    <w:rsid w:val="004F63DB"/>
    <w:rsid w:val="005105EF"/>
    <w:rsid w:val="00523895"/>
    <w:rsid w:val="00531287"/>
    <w:rsid w:val="005410AB"/>
    <w:rsid w:val="00565691"/>
    <w:rsid w:val="00571BB6"/>
    <w:rsid w:val="00575BA7"/>
    <w:rsid w:val="00582AA7"/>
    <w:rsid w:val="0058477C"/>
    <w:rsid w:val="005A4259"/>
    <w:rsid w:val="005B5C09"/>
    <w:rsid w:val="005C498B"/>
    <w:rsid w:val="005D4005"/>
    <w:rsid w:val="005D40D1"/>
    <w:rsid w:val="00610305"/>
    <w:rsid w:val="00610419"/>
    <w:rsid w:val="00611DDB"/>
    <w:rsid w:val="00612C7B"/>
    <w:rsid w:val="00613E91"/>
    <w:rsid w:val="006224C1"/>
    <w:rsid w:val="006269B7"/>
    <w:rsid w:val="00633DC7"/>
    <w:rsid w:val="00636E1D"/>
    <w:rsid w:val="00663B0A"/>
    <w:rsid w:val="006641F8"/>
    <w:rsid w:val="00670254"/>
    <w:rsid w:val="006973AC"/>
    <w:rsid w:val="006C186D"/>
    <w:rsid w:val="006F445D"/>
    <w:rsid w:val="00703E4E"/>
    <w:rsid w:val="007071C6"/>
    <w:rsid w:val="00711E1C"/>
    <w:rsid w:val="00721FBA"/>
    <w:rsid w:val="00730352"/>
    <w:rsid w:val="00742839"/>
    <w:rsid w:val="00755505"/>
    <w:rsid w:val="0076316D"/>
    <w:rsid w:val="00772993"/>
    <w:rsid w:val="0077379B"/>
    <w:rsid w:val="007815FB"/>
    <w:rsid w:val="00781D80"/>
    <w:rsid w:val="007A0054"/>
    <w:rsid w:val="007A44A6"/>
    <w:rsid w:val="007A5353"/>
    <w:rsid w:val="007B3D63"/>
    <w:rsid w:val="007C55D0"/>
    <w:rsid w:val="007D4DB1"/>
    <w:rsid w:val="00813BAC"/>
    <w:rsid w:val="00813CD4"/>
    <w:rsid w:val="00821B9D"/>
    <w:rsid w:val="0084468C"/>
    <w:rsid w:val="00847035"/>
    <w:rsid w:val="008552A0"/>
    <w:rsid w:val="00865492"/>
    <w:rsid w:val="00867CB4"/>
    <w:rsid w:val="008708AB"/>
    <w:rsid w:val="00874ED5"/>
    <w:rsid w:val="008C5B82"/>
    <w:rsid w:val="008C64A7"/>
    <w:rsid w:val="008E1F18"/>
    <w:rsid w:val="008F3908"/>
    <w:rsid w:val="009014B6"/>
    <w:rsid w:val="00912882"/>
    <w:rsid w:val="00912895"/>
    <w:rsid w:val="009210DE"/>
    <w:rsid w:val="00936E72"/>
    <w:rsid w:val="00943B87"/>
    <w:rsid w:val="00947B0F"/>
    <w:rsid w:val="00953829"/>
    <w:rsid w:val="0096160F"/>
    <w:rsid w:val="00965B80"/>
    <w:rsid w:val="009C12C9"/>
    <w:rsid w:val="009C1CE7"/>
    <w:rsid w:val="009D55F7"/>
    <w:rsid w:val="009E76BE"/>
    <w:rsid w:val="009E79BF"/>
    <w:rsid w:val="009F3FE6"/>
    <w:rsid w:val="009F53AF"/>
    <w:rsid w:val="00A00E34"/>
    <w:rsid w:val="00A10257"/>
    <w:rsid w:val="00A14332"/>
    <w:rsid w:val="00A17A79"/>
    <w:rsid w:val="00A27D88"/>
    <w:rsid w:val="00A304D0"/>
    <w:rsid w:val="00A4607D"/>
    <w:rsid w:val="00A53EC9"/>
    <w:rsid w:val="00A92440"/>
    <w:rsid w:val="00AB104D"/>
    <w:rsid w:val="00AD0C73"/>
    <w:rsid w:val="00AE1A2D"/>
    <w:rsid w:val="00AE3600"/>
    <w:rsid w:val="00AE5347"/>
    <w:rsid w:val="00AE55F6"/>
    <w:rsid w:val="00AE56DB"/>
    <w:rsid w:val="00AF593C"/>
    <w:rsid w:val="00B13C87"/>
    <w:rsid w:val="00B1710D"/>
    <w:rsid w:val="00B32510"/>
    <w:rsid w:val="00B36D5E"/>
    <w:rsid w:val="00B41CA3"/>
    <w:rsid w:val="00B526A8"/>
    <w:rsid w:val="00B55FAB"/>
    <w:rsid w:val="00B6734E"/>
    <w:rsid w:val="00B83D9D"/>
    <w:rsid w:val="00B84529"/>
    <w:rsid w:val="00B96F7F"/>
    <w:rsid w:val="00BB2111"/>
    <w:rsid w:val="00BC5F40"/>
    <w:rsid w:val="00BC7FD2"/>
    <w:rsid w:val="00BE6574"/>
    <w:rsid w:val="00C03AE7"/>
    <w:rsid w:val="00C05D9D"/>
    <w:rsid w:val="00C35592"/>
    <w:rsid w:val="00C356AF"/>
    <w:rsid w:val="00C41927"/>
    <w:rsid w:val="00C439D6"/>
    <w:rsid w:val="00C43FD9"/>
    <w:rsid w:val="00C44EB2"/>
    <w:rsid w:val="00C47E8F"/>
    <w:rsid w:val="00C60915"/>
    <w:rsid w:val="00C964B8"/>
    <w:rsid w:val="00D01670"/>
    <w:rsid w:val="00D152E7"/>
    <w:rsid w:val="00D21F91"/>
    <w:rsid w:val="00D30519"/>
    <w:rsid w:val="00D44360"/>
    <w:rsid w:val="00D549B9"/>
    <w:rsid w:val="00D557EE"/>
    <w:rsid w:val="00D56058"/>
    <w:rsid w:val="00D57F4B"/>
    <w:rsid w:val="00D656AD"/>
    <w:rsid w:val="00D76E91"/>
    <w:rsid w:val="00D872D1"/>
    <w:rsid w:val="00DB4809"/>
    <w:rsid w:val="00DB5E8F"/>
    <w:rsid w:val="00DC7C3E"/>
    <w:rsid w:val="00DE30E0"/>
    <w:rsid w:val="00E00BB5"/>
    <w:rsid w:val="00E169F6"/>
    <w:rsid w:val="00E22BCE"/>
    <w:rsid w:val="00E326FF"/>
    <w:rsid w:val="00E361B0"/>
    <w:rsid w:val="00E62DB8"/>
    <w:rsid w:val="00E677EF"/>
    <w:rsid w:val="00E859DF"/>
    <w:rsid w:val="00E87041"/>
    <w:rsid w:val="00E95201"/>
    <w:rsid w:val="00EA1807"/>
    <w:rsid w:val="00EA4947"/>
    <w:rsid w:val="00EC0C41"/>
    <w:rsid w:val="00EC1594"/>
    <w:rsid w:val="00EE456B"/>
    <w:rsid w:val="00F00C37"/>
    <w:rsid w:val="00F034AC"/>
    <w:rsid w:val="00F045E9"/>
    <w:rsid w:val="00F160D2"/>
    <w:rsid w:val="00F4748D"/>
    <w:rsid w:val="00F612B3"/>
    <w:rsid w:val="00F62E26"/>
    <w:rsid w:val="00F7064A"/>
    <w:rsid w:val="00F747AD"/>
    <w:rsid w:val="00F77102"/>
    <w:rsid w:val="00F942CA"/>
    <w:rsid w:val="00F9452C"/>
    <w:rsid w:val="00FB7206"/>
    <w:rsid w:val="00FC1D72"/>
    <w:rsid w:val="00FE5577"/>
    <w:rsid w:val="00FF318F"/>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34"/>
    <w:qFormat/>
    <w:rsid w:val="00613E91"/>
    <w:pPr>
      <w:spacing w:after="160" w:line="259" w:lineRule="auto"/>
      <w:ind w:left="720"/>
      <w:contextualSpacing/>
    </w:pPr>
    <w:rPr>
      <w:rFonts w:asciiTheme="minorHAnsi" w:eastAsiaTheme="minorHAnsi" w:hAnsiTheme="minorHAns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footnote reference" w:qFormat="1"/>
    <w:lsdException w:name="List" w:qFormat="1"/>
    <w:lsdException w:name="List Bullet" w:semiHidden="0" w:uiPriority="0"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B"/>
    <w:rPr>
      <w:rFonts w:ascii="Lucida Bright" w:hAnsi="Lucida Bright"/>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77379B"/>
    <w:pPr>
      <w:spacing w:before="240" w:after="240"/>
    </w:pPr>
    <w:rPr>
      <w:rFonts w:ascii="Lucida Sans" w:eastAsiaTheme="majorEastAsia" w:hAnsi="Lucida Sans" w:cstheme="majorBidi"/>
      <w:bCs/>
      <w:color w:val="2F5773" w:themeColor="text2"/>
      <w:sz w:val="32"/>
    </w:rPr>
  </w:style>
  <w:style w:type="paragraph" w:customStyle="1" w:styleId="body">
    <w:name w:val="body"/>
    <w:qFormat/>
    <w:rsid w:val="003055C1"/>
    <w:pPr>
      <w:spacing w:before="240" w:after="120" w:line="276" w:lineRule="auto"/>
    </w:pPr>
    <w:rPr>
      <w:rFonts w:ascii="Lucida Bright" w:hAnsi="Lucida Bright"/>
      <w:sz w:val="22"/>
      <w:lang w:val="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77379B"/>
    <w:pPr>
      <w:pBdr>
        <w:bottom w:val="single" w:sz="8" w:space="4" w:color="2F5773" w:themeColor="accent1"/>
      </w:pBdr>
      <w:spacing w:after="300"/>
      <w:contextualSpacing/>
    </w:pPr>
    <w:rPr>
      <w:rFonts w:ascii="Lucida Fax" w:eastAsiaTheme="majorEastAsia" w:hAnsi="Lucida Fax" w:cstheme="majorBidi"/>
      <w:color w:val="2F5773" w:themeColor="text2"/>
      <w:spacing w:val="5"/>
      <w:kern w:val="28"/>
      <w:sz w:val="52"/>
      <w:szCs w:val="52"/>
    </w:rPr>
  </w:style>
  <w:style w:type="character" w:customStyle="1" w:styleId="TitleChar">
    <w:name w:val="Title Char"/>
    <w:basedOn w:val="DefaultParagraphFont"/>
    <w:link w:val="Title"/>
    <w:rsid w:val="0077379B"/>
    <w:rPr>
      <w:rFonts w:ascii="Lucida Fax" w:eastAsiaTheme="majorEastAsia" w:hAnsi="Lucida Fax"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77379B"/>
    <w:pPr>
      <w:numPr>
        <w:ilvl w:val="1"/>
      </w:numPr>
      <w:spacing w:before="120" w:after="120"/>
    </w:pPr>
    <w:rPr>
      <w:rFonts w:ascii="Lucida Bright" w:eastAsiaTheme="majorEastAsia" w:hAnsi="Lucida Bright" w:cstheme="majorBidi"/>
      <w:caps/>
      <w:color w:val="2F5773" w:themeColor="text2"/>
      <w:sz w:val="26"/>
      <w:szCs w:val="26"/>
      <w:lang w:val="en-GB"/>
    </w:rPr>
  </w:style>
  <w:style w:type="character" w:customStyle="1" w:styleId="SubtitleChar">
    <w:name w:val="Subtitle Char"/>
    <w:basedOn w:val="DefaultParagraphFont"/>
    <w:link w:val="Subtitle"/>
    <w:uiPriority w:val="11"/>
    <w:rsid w:val="0077379B"/>
    <w:rPr>
      <w:rFonts w:ascii="Lucida Bright" w:eastAsiaTheme="majorEastAsia" w:hAnsi="Lucida Bright" w:cstheme="majorBidi"/>
      <w:caps/>
      <w:color w:val="2F5773" w:themeColor="text2"/>
      <w:sz w:val="26"/>
      <w:szCs w:val="26"/>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Numberedparagraphcolour">
    <w:name w:val="Numbered paragraph colour"/>
    <w:basedOn w:val="numberedparagraph"/>
    <w:qFormat/>
    <w:rsid w:val="00F77102"/>
    <w:rPr>
      <w:color w:val="2F5773" w:themeColor="text2"/>
    </w:rPr>
  </w:style>
  <w:style w:type="paragraph" w:styleId="ListParagraph">
    <w:name w:val="List Paragraph"/>
    <w:basedOn w:val="Normal"/>
    <w:uiPriority w:val="34"/>
    <w:qFormat/>
    <w:rsid w:val="00613E91"/>
    <w:pPr>
      <w:spacing w:after="160" w:line="259" w:lineRule="auto"/>
      <w:ind w:left="720"/>
      <w:contextualSpacing/>
    </w:pPr>
    <w:rPr>
      <w:rFonts w:asciiTheme="minorHAnsi" w:eastAsiaTheme="minorHAnsi" w:hAnsiTheme="minorHAns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78668">
      <w:bodyDiv w:val="1"/>
      <w:marLeft w:val="0"/>
      <w:marRight w:val="0"/>
      <w:marTop w:val="0"/>
      <w:marBottom w:val="0"/>
      <w:divBdr>
        <w:top w:val="none" w:sz="0" w:space="0" w:color="auto"/>
        <w:left w:val="none" w:sz="0" w:space="0" w:color="auto"/>
        <w:bottom w:val="none" w:sz="0" w:space="0" w:color="auto"/>
        <w:right w:val="none" w:sz="0" w:space="0" w:color="auto"/>
      </w:divBdr>
      <w:divsChild>
        <w:div w:id="1432966165">
          <w:marLeft w:val="0"/>
          <w:marRight w:val="0"/>
          <w:marTop w:val="0"/>
          <w:marBottom w:val="0"/>
          <w:divBdr>
            <w:top w:val="none" w:sz="0" w:space="0" w:color="auto"/>
            <w:left w:val="none" w:sz="0" w:space="0" w:color="auto"/>
            <w:bottom w:val="none" w:sz="0" w:space="0" w:color="auto"/>
            <w:right w:val="none" w:sz="0" w:space="0" w:color="auto"/>
          </w:divBdr>
          <w:divsChild>
            <w:div w:id="2041197911">
              <w:marLeft w:val="0"/>
              <w:marRight w:val="0"/>
              <w:marTop w:val="0"/>
              <w:marBottom w:val="0"/>
              <w:divBdr>
                <w:top w:val="none" w:sz="0" w:space="0" w:color="auto"/>
                <w:left w:val="none" w:sz="0" w:space="0" w:color="auto"/>
                <w:bottom w:val="none" w:sz="0" w:space="0" w:color="auto"/>
                <w:right w:val="none" w:sz="0" w:space="0" w:color="auto"/>
              </w:divBdr>
              <w:divsChild>
                <w:div w:id="1073240470">
                  <w:marLeft w:val="0"/>
                  <w:marRight w:val="0"/>
                  <w:marTop w:val="0"/>
                  <w:marBottom w:val="0"/>
                  <w:divBdr>
                    <w:top w:val="none" w:sz="0" w:space="0" w:color="auto"/>
                    <w:left w:val="none" w:sz="0" w:space="0" w:color="auto"/>
                    <w:bottom w:val="none" w:sz="0" w:space="0" w:color="auto"/>
                    <w:right w:val="none" w:sz="0" w:space="0" w:color="auto"/>
                  </w:divBdr>
                  <w:divsChild>
                    <w:div w:id="1580361457">
                      <w:marLeft w:val="0"/>
                      <w:marRight w:val="0"/>
                      <w:marTop w:val="0"/>
                      <w:marBottom w:val="0"/>
                      <w:divBdr>
                        <w:top w:val="none" w:sz="0" w:space="0" w:color="auto"/>
                        <w:left w:val="none" w:sz="0" w:space="0" w:color="auto"/>
                        <w:bottom w:val="none" w:sz="0" w:space="0" w:color="auto"/>
                        <w:right w:val="none" w:sz="0" w:space="0" w:color="auto"/>
                      </w:divBdr>
                      <w:divsChild>
                        <w:div w:id="650326412">
                          <w:marLeft w:val="0"/>
                          <w:marRight w:val="0"/>
                          <w:marTop w:val="0"/>
                          <w:marBottom w:val="0"/>
                          <w:divBdr>
                            <w:top w:val="none" w:sz="0" w:space="0" w:color="auto"/>
                            <w:left w:val="none" w:sz="0" w:space="0" w:color="auto"/>
                            <w:bottom w:val="none" w:sz="0" w:space="0" w:color="auto"/>
                            <w:right w:val="none" w:sz="0" w:space="0" w:color="auto"/>
                          </w:divBdr>
                          <w:divsChild>
                            <w:div w:id="159082751">
                              <w:marLeft w:val="0"/>
                              <w:marRight w:val="0"/>
                              <w:marTop w:val="0"/>
                              <w:marBottom w:val="0"/>
                              <w:divBdr>
                                <w:top w:val="none" w:sz="0" w:space="0" w:color="auto"/>
                                <w:left w:val="none" w:sz="0" w:space="0" w:color="auto"/>
                                <w:bottom w:val="none" w:sz="0" w:space="0" w:color="auto"/>
                                <w:right w:val="none" w:sz="0" w:space="0" w:color="auto"/>
                              </w:divBdr>
                              <w:divsChild>
                                <w:div w:id="526216013">
                                  <w:marLeft w:val="0"/>
                                  <w:marRight w:val="0"/>
                                  <w:marTop w:val="0"/>
                                  <w:marBottom w:val="0"/>
                                  <w:divBdr>
                                    <w:top w:val="none" w:sz="0" w:space="0" w:color="auto"/>
                                    <w:left w:val="none" w:sz="0" w:space="0" w:color="auto"/>
                                    <w:bottom w:val="none" w:sz="0" w:space="0" w:color="auto"/>
                                    <w:right w:val="none" w:sz="0" w:space="0" w:color="auto"/>
                                  </w:divBdr>
                                  <w:divsChild>
                                    <w:div w:id="583806183">
                                      <w:marLeft w:val="0"/>
                                      <w:marRight w:val="0"/>
                                      <w:marTop w:val="0"/>
                                      <w:marBottom w:val="0"/>
                                      <w:divBdr>
                                        <w:top w:val="none" w:sz="0" w:space="0" w:color="auto"/>
                                        <w:left w:val="none" w:sz="0" w:space="0" w:color="auto"/>
                                        <w:bottom w:val="none" w:sz="0" w:space="0" w:color="auto"/>
                                        <w:right w:val="none" w:sz="0" w:space="0" w:color="auto"/>
                                      </w:divBdr>
                                      <w:divsChild>
                                        <w:div w:id="360980390">
                                          <w:marLeft w:val="0"/>
                                          <w:marRight w:val="0"/>
                                          <w:marTop w:val="0"/>
                                          <w:marBottom w:val="0"/>
                                          <w:divBdr>
                                            <w:top w:val="none" w:sz="0" w:space="0" w:color="auto"/>
                                            <w:left w:val="none" w:sz="0" w:space="0" w:color="auto"/>
                                            <w:bottom w:val="none" w:sz="0" w:space="0" w:color="auto"/>
                                            <w:right w:val="none" w:sz="0" w:space="0" w:color="auto"/>
                                          </w:divBdr>
                                          <w:divsChild>
                                            <w:div w:id="2417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Local\Temp\EBA%20BSG%20report%20template%20-%20201X-XX-XX%20BSG%20Opinion%20on%20EBA%20CP%20201X%20XX%20(2).dotx" TargetMode="Externa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2FC5-23F7-4A11-ABAF-319310DE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 BSG report template - 201X-XX-XX BSG Opinion on EBA CP 201X XX (2).dotx</Template>
  <TotalTime>0</TotalTime>
  <Pages>7</Pages>
  <Words>1941</Words>
  <Characters>11064</Characters>
  <Application>Microsoft Office Word</Application>
  <DocSecurity>0</DocSecurity>
  <Lines>92</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OP</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Staff/Research Student</cp:lastModifiedBy>
  <cp:revision>2</cp:revision>
  <cp:lastPrinted>2014-06-04T07:17:00Z</cp:lastPrinted>
  <dcterms:created xsi:type="dcterms:W3CDTF">2016-03-22T08:47:00Z</dcterms:created>
  <dcterms:modified xsi:type="dcterms:W3CDTF">2016-03-22T08:47:00Z</dcterms:modified>
</cp:coreProperties>
</file>