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6EF3" w:rsidRPr="00E56EF3" w:rsidRDefault="00E56EF3" w:rsidP="00783617">
      <w:pPr>
        <w:pStyle w:val="Titolo"/>
        <w:rPr>
          <w:rFonts w:ascii="Tahoma" w:hAnsi="Tahoma" w:cs="Tahoma"/>
          <w:sz w:val="20"/>
          <w:szCs w:val="20"/>
        </w:rPr>
      </w:pPr>
      <w:r w:rsidRPr="00E56EF3">
        <w:rPr>
          <w:rFonts w:ascii="Tahoma" w:hAnsi="Tahoma" w:cs="Tahoma"/>
          <w:sz w:val="20"/>
          <w:szCs w:val="20"/>
        </w:rPr>
        <w:fldChar w:fldCharType="begin"/>
      </w:r>
      <w:r w:rsidRPr="00E56EF3">
        <w:rPr>
          <w:rFonts w:ascii="Tahoma" w:hAnsi="Tahoma" w:cs="Tahoma"/>
          <w:sz w:val="20"/>
          <w:szCs w:val="20"/>
        </w:rPr>
        <w:instrText xml:space="preserve"> DOCPROPERTY  Subject  \* MERGEFORMAT </w:instrText>
      </w:r>
      <w:r w:rsidRPr="00E56EF3">
        <w:rPr>
          <w:rFonts w:ascii="Tahoma" w:hAnsi="Tahoma" w:cs="Tahoma"/>
          <w:sz w:val="20"/>
          <w:szCs w:val="20"/>
        </w:rPr>
        <w:fldChar w:fldCharType="separate"/>
      </w:r>
      <w:r w:rsidR="00783617">
        <w:rPr>
          <w:rFonts w:ascii="Tahoma" w:hAnsi="Tahoma" w:cs="Tahoma"/>
          <w:sz w:val="20"/>
          <w:szCs w:val="20"/>
        </w:rPr>
        <w:t>European Banking Authority</w:t>
      </w:r>
    </w:p>
    <w:p w:rsidR="008B2321" w:rsidRDefault="00783617" w:rsidP="008B2321">
      <w:pPr>
        <w:pStyle w:val="Titolo"/>
        <w:rPr>
          <w:rFonts w:ascii="Tahoma" w:hAnsi="Tahoma" w:cs="Tahoma"/>
          <w:sz w:val="20"/>
          <w:szCs w:val="20"/>
        </w:rPr>
      </w:pPr>
      <w:r>
        <w:rPr>
          <w:rFonts w:ascii="Tahoma" w:hAnsi="Tahoma" w:cs="Tahoma"/>
          <w:sz w:val="20"/>
          <w:szCs w:val="20"/>
        </w:rPr>
        <w:t xml:space="preserve">Consultation </w:t>
      </w:r>
      <w:r w:rsidR="00E56EF3" w:rsidRPr="00E56EF3">
        <w:rPr>
          <w:rFonts w:ascii="Tahoma" w:hAnsi="Tahoma" w:cs="Tahoma"/>
          <w:sz w:val="20"/>
          <w:szCs w:val="20"/>
        </w:rPr>
        <w:t>Paper</w:t>
      </w:r>
    </w:p>
    <w:p w:rsidR="008B2321" w:rsidRPr="008B2321" w:rsidRDefault="008B2321" w:rsidP="008B2321">
      <w:pPr>
        <w:pStyle w:val="Titolo"/>
        <w:rPr>
          <w:rFonts w:ascii="Tahoma" w:hAnsi="Tahoma" w:cs="Tahoma"/>
          <w:sz w:val="20"/>
          <w:szCs w:val="20"/>
        </w:rPr>
      </w:pPr>
      <w:r w:rsidRPr="008B2321">
        <w:rPr>
          <w:rFonts w:ascii="Tahoma" w:hAnsi="Tahoma" w:cs="Tahoma"/>
          <w:sz w:val="20"/>
          <w:szCs w:val="20"/>
        </w:rPr>
        <w:t>Draft Regulatory Technical Standards</w:t>
      </w:r>
    </w:p>
    <w:p w:rsidR="00E56EF3" w:rsidRPr="00E56EF3" w:rsidRDefault="008B2321" w:rsidP="008B2321">
      <w:pPr>
        <w:pStyle w:val="Titolo"/>
        <w:rPr>
          <w:rFonts w:ascii="Tahoma" w:hAnsi="Tahoma" w:cs="Tahoma"/>
          <w:sz w:val="20"/>
          <w:szCs w:val="20"/>
        </w:rPr>
      </w:pPr>
      <w:proofErr w:type="gramStart"/>
      <w:r w:rsidRPr="008B2321">
        <w:rPr>
          <w:rFonts w:ascii="Tahoma" w:hAnsi="Tahoma" w:cs="Tahoma"/>
          <w:sz w:val="20"/>
          <w:szCs w:val="20"/>
        </w:rPr>
        <w:t>on</w:t>
      </w:r>
      <w:proofErr w:type="gramEnd"/>
      <w:r w:rsidRPr="008B2321">
        <w:rPr>
          <w:rFonts w:ascii="Tahoma" w:hAnsi="Tahoma" w:cs="Tahoma"/>
          <w:sz w:val="20"/>
          <w:szCs w:val="20"/>
        </w:rPr>
        <w:t xml:space="preserve"> separation of payment card schemes and processing entities under Article 7 (6) of Regulation (EU) 2015/751</w:t>
      </w:r>
      <w:r w:rsidR="00E56EF3" w:rsidRPr="00E56EF3">
        <w:rPr>
          <w:rFonts w:ascii="Tahoma" w:hAnsi="Tahoma" w:cs="Tahoma"/>
          <w:sz w:val="20"/>
          <w:szCs w:val="20"/>
        </w:rPr>
        <w:fldChar w:fldCharType="end"/>
      </w:r>
    </w:p>
    <w:p w:rsidR="00E56EF3" w:rsidRPr="00E56EF3" w:rsidRDefault="00E56EF3" w:rsidP="00E56EF3">
      <w:pPr>
        <w:pStyle w:val="Titolo"/>
        <w:rPr>
          <w:rFonts w:ascii="Tahoma" w:hAnsi="Tahoma" w:cs="Tahoma"/>
          <w:sz w:val="20"/>
          <w:szCs w:val="20"/>
        </w:rPr>
      </w:pPr>
    </w:p>
    <w:p w:rsidR="00E56EF3" w:rsidRDefault="00E56EF3" w:rsidP="00E56EF3">
      <w:pPr>
        <w:pStyle w:val="Titolo"/>
        <w:rPr>
          <w:rFonts w:ascii="Tahoma" w:hAnsi="Tahoma" w:cs="Tahoma"/>
          <w:sz w:val="20"/>
          <w:szCs w:val="20"/>
        </w:rPr>
      </w:pPr>
      <w:r w:rsidRPr="00E56EF3">
        <w:rPr>
          <w:rFonts w:ascii="Tahoma" w:hAnsi="Tahoma" w:cs="Tahoma"/>
          <w:sz w:val="20"/>
          <w:szCs w:val="20"/>
        </w:rPr>
        <w:t>SIA</w:t>
      </w:r>
      <w:r w:rsidR="008B2321">
        <w:rPr>
          <w:rFonts w:ascii="Tahoma" w:hAnsi="Tahoma" w:cs="Tahoma"/>
          <w:sz w:val="20"/>
          <w:szCs w:val="20"/>
        </w:rPr>
        <w:t>’s</w:t>
      </w:r>
      <w:r w:rsidRPr="00E56EF3">
        <w:rPr>
          <w:rFonts w:ascii="Tahoma" w:hAnsi="Tahoma" w:cs="Tahoma"/>
          <w:sz w:val="20"/>
          <w:szCs w:val="20"/>
        </w:rPr>
        <w:t xml:space="preserve"> Response</w:t>
      </w:r>
    </w:p>
    <w:p w:rsidR="00E56EF3" w:rsidRDefault="00E56EF3" w:rsidP="00E56EF3">
      <w:pPr>
        <w:jc w:val="both"/>
        <w:rPr>
          <w:rFonts w:ascii="Tahoma" w:hAnsi="Tahoma" w:cs="Tahoma"/>
          <w:i/>
          <w:iCs/>
          <w:sz w:val="20"/>
          <w:szCs w:val="20"/>
          <w:lang w:val="en-GB"/>
        </w:rPr>
      </w:pPr>
    </w:p>
    <w:p w:rsidR="008B2321" w:rsidRPr="008B2321" w:rsidRDefault="008B2321" w:rsidP="00B55E48">
      <w:pPr>
        <w:autoSpaceDE w:val="0"/>
        <w:autoSpaceDN w:val="0"/>
        <w:jc w:val="both"/>
        <w:rPr>
          <w:rFonts w:ascii="Tahoma" w:hAnsi="Tahoma" w:cs="Tahoma"/>
          <w:color w:val="002060"/>
          <w:sz w:val="20"/>
          <w:szCs w:val="20"/>
          <w:lang w:val="en-GB"/>
        </w:rPr>
      </w:pPr>
      <w:r>
        <w:rPr>
          <w:rFonts w:ascii="Tahoma" w:hAnsi="Tahoma" w:cs="Tahoma"/>
          <w:color w:val="002060"/>
          <w:sz w:val="20"/>
          <w:szCs w:val="20"/>
          <w:lang w:val="en-GB"/>
        </w:rPr>
        <w:t xml:space="preserve">Please find below SIA’s comments </w:t>
      </w:r>
      <w:r w:rsidR="00B55E48">
        <w:rPr>
          <w:rFonts w:ascii="Tahoma" w:hAnsi="Tahoma" w:cs="Tahoma"/>
          <w:color w:val="002060"/>
          <w:sz w:val="20"/>
          <w:szCs w:val="20"/>
          <w:lang w:val="en-GB"/>
        </w:rPr>
        <w:t>on Draft Regulatory Technical Standards on separation of payment card schemes and processing entities. These comments need not be treated as confidential</w:t>
      </w:r>
      <w:r>
        <w:rPr>
          <w:rFonts w:ascii="Tahoma" w:hAnsi="Tahoma" w:cs="Tahoma"/>
          <w:color w:val="002060"/>
          <w:sz w:val="20"/>
          <w:szCs w:val="20"/>
          <w:lang w:val="en-GB"/>
        </w:rPr>
        <w:t>.</w:t>
      </w:r>
    </w:p>
    <w:p w:rsidR="008B2321" w:rsidRPr="008B2321" w:rsidRDefault="008B2321" w:rsidP="008B2321">
      <w:pPr>
        <w:autoSpaceDE w:val="0"/>
        <w:autoSpaceDN w:val="0"/>
        <w:jc w:val="both"/>
        <w:rPr>
          <w:rFonts w:ascii="Tahoma" w:hAnsi="Tahoma" w:cs="Tahoma"/>
          <w:color w:val="002060"/>
          <w:sz w:val="20"/>
          <w:szCs w:val="20"/>
          <w:lang w:val="en-GB"/>
        </w:rPr>
      </w:pPr>
    </w:p>
    <w:p w:rsidR="00FC2571" w:rsidRPr="00FC2571" w:rsidRDefault="00FC2571" w:rsidP="00FC2571">
      <w:pPr>
        <w:pStyle w:val="Default"/>
        <w:rPr>
          <w:sz w:val="28"/>
          <w:szCs w:val="28"/>
          <w:lang w:val="en-GB"/>
        </w:rPr>
      </w:pPr>
      <w:r w:rsidRPr="00FC2571">
        <w:rPr>
          <w:b/>
          <w:bCs/>
          <w:i/>
          <w:iCs/>
          <w:sz w:val="28"/>
          <w:szCs w:val="28"/>
          <w:lang w:val="en-GB"/>
        </w:rPr>
        <w:t xml:space="preserve">Section 2 </w:t>
      </w:r>
    </w:p>
    <w:p w:rsidR="00FC2571" w:rsidRPr="00FC2571" w:rsidRDefault="00FC2571" w:rsidP="00FC2571">
      <w:pPr>
        <w:pStyle w:val="Default"/>
        <w:rPr>
          <w:sz w:val="28"/>
          <w:szCs w:val="28"/>
          <w:lang w:val="en-GB"/>
        </w:rPr>
      </w:pPr>
      <w:r w:rsidRPr="00FC2571">
        <w:rPr>
          <w:b/>
          <w:bCs/>
          <w:i/>
          <w:iCs/>
          <w:sz w:val="28"/>
          <w:szCs w:val="28"/>
          <w:lang w:val="en-GB"/>
        </w:rPr>
        <w:t xml:space="preserve">Accounting </w:t>
      </w:r>
    </w:p>
    <w:p w:rsidR="00FC2571" w:rsidRPr="00FC2571" w:rsidRDefault="00FC2571" w:rsidP="00FC2571">
      <w:pPr>
        <w:pStyle w:val="Default"/>
        <w:rPr>
          <w:sz w:val="23"/>
          <w:szCs w:val="23"/>
          <w:lang w:val="en-GB"/>
        </w:rPr>
      </w:pPr>
      <w:r w:rsidRPr="00FC2571">
        <w:rPr>
          <w:i/>
          <w:iCs/>
          <w:sz w:val="23"/>
          <w:szCs w:val="23"/>
          <w:lang w:val="en-GB"/>
        </w:rPr>
        <w:t xml:space="preserve">Article 3 Financial information </w:t>
      </w:r>
    </w:p>
    <w:p w:rsidR="00FC2571" w:rsidRPr="00FC2571" w:rsidRDefault="00FC2571" w:rsidP="00FC2571">
      <w:pPr>
        <w:pStyle w:val="Default"/>
        <w:rPr>
          <w:sz w:val="23"/>
          <w:szCs w:val="23"/>
          <w:lang w:val="en-GB"/>
        </w:rPr>
      </w:pPr>
      <w:r w:rsidRPr="00FC2571">
        <w:rPr>
          <w:sz w:val="23"/>
          <w:szCs w:val="23"/>
          <w:lang w:val="en-GB"/>
        </w:rPr>
        <w:t xml:space="preserve">1. Payment card schemes and processing entities shall have accounting processes in place that enable them to produce, as a minimum, financial information related to separated balance sheets, profit and loss accounts and explanatory notes to this financial information for the payment card scheme and the processing entity respectively. </w:t>
      </w:r>
    </w:p>
    <w:p w:rsidR="00E56EF3" w:rsidRPr="00E56EF3" w:rsidRDefault="00E56EF3" w:rsidP="00E56EF3">
      <w:pPr>
        <w:autoSpaceDE w:val="0"/>
        <w:autoSpaceDN w:val="0"/>
        <w:jc w:val="both"/>
        <w:rPr>
          <w:rFonts w:ascii="Tahoma" w:hAnsi="Tahoma" w:cs="Tahoma"/>
          <w:color w:val="002060"/>
          <w:sz w:val="20"/>
          <w:szCs w:val="20"/>
          <w:lang w:val="en-GB"/>
        </w:rPr>
      </w:pPr>
    </w:p>
    <w:p w:rsidR="00C77797" w:rsidRDefault="00C51CA0" w:rsidP="00FE7F0D">
      <w:pPr>
        <w:autoSpaceDE w:val="0"/>
        <w:autoSpaceDN w:val="0"/>
        <w:jc w:val="both"/>
        <w:rPr>
          <w:rFonts w:ascii="Tahoma" w:hAnsi="Tahoma" w:cs="Tahoma"/>
          <w:color w:val="0070C0"/>
          <w:sz w:val="20"/>
          <w:szCs w:val="20"/>
          <w:lang w:val="en-GB"/>
        </w:rPr>
      </w:pPr>
      <w:r w:rsidRPr="00C51CA0">
        <w:rPr>
          <w:rFonts w:ascii="Tahoma" w:hAnsi="Tahoma" w:cs="Tahoma"/>
          <w:color w:val="0070C0"/>
          <w:sz w:val="20"/>
          <w:szCs w:val="20"/>
          <w:lang w:val="en-GB"/>
        </w:rPr>
        <w:t>Regarding processing entities we consider that this requirement should apply when the processing entity is owned or controlled by the scheme</w:t>
      </w:r>
      <w:r w:rsidR="00E56EF3" w:rsidRPr="00C51CA0">
        <w:rPr>
          <w:rFonts w:ascii="Tahoma" w:hAnsi="Tahoma" w:cs="Tahoma"/>
          <w:color w:val="0070C0"/>
          <w:sz w:val="20"/>
          <w:szCs w:val="20"/>
          <w:lang w:val="en-GB"/>
        </w:rPr>
        <w:t>.</w:t>
      </w:r>
      <w:r w:rsidRPr="00C51CA0">
        <w:rPr>
          <w:rFonts w:ascii="Tahoma" w:hAnsi="Tahoma" w:cs="Tahoma"/>
          <w:color w:val="0070C0"/>
          <w:sz w:val="20"/>
          <w:szCs w:val="20"/>
          <w:lang w:val="en-GB"/>
        </w:rPr>
        <w:t xml:space="preserve"> When there is a complete legal separation and a totally separate ownership of the two entities, we think that the </w:t>
      </w:r>
      <w:r>
        <w:rPr>
          <w:rFonts w:ascii="Tahoma" w:hAnsi="Tahoma" w:cs="Tahoma"/>
          <w:color w:val="0070C0"/>
          <w:sz w:val="20"/>
          <w:szCs w:val="20"/>
          <w:lang w:val="en-GB"/>
        </w:rPr>
        <w:t xml:space="preserve">disclosure of financial information should not be required as complete independence is already </w:t>
      </w:r>
      <w:r w:rsidR="00FE7F0D">
        <w:rPr>
          <w:rFonts w:ascii="Tahoma" w:hAnsi="Tahoma" w:cs="Tahoma"/>
          <w:i/>
          <w:iCs/>
          <w:color w:val="0070C0"/>
          <w:sz w:val="20"/>
          <w:szCs w:val="20"/>
          <w:lang w:val="en-GB"/>
        </w:rPr>
        <w:t xml:space="preserve">de facto </w:t>
      </w:r>
      <w:r>
        <w:rPr>
          <w:rFonts w:ascii="Tahoma" w:hAnsi="Tahoma" w:cs="Tahoma"/>
          <w:color w:val="0070C0"/>
          <w:sz w:val="20"/>
          <w:szCs w:val="20"/>
          <w:lang w:val="en-GB"/>
        </w:rPr>
        <w:t xml:space="preserve">achieved. </w:t>
      </w:r>
    </w:p>
    <w:p w:rsidR="00C51CA0" w:rsidRDefault="00C51CA0" w:rsidP="00C51CA0">
      <w:pPr>
        <w:autoSpaceDE w:val="0"/>
        <w:autoSpaceDN w:val="0"/>
        <w:jc w:val="both"/>
        <w:rPr>
          <w:rFonts w:ascii="Tahoma" w:hAnsi="Tahoma" w:cs="Tahoma"/>
          <w:color w:val="0070C0"/>
          <w:sz w:val="20"/>
          <w:szCs w:val="20"/>
          <w:lang w:val="en-GB"/>
        </w:rPr>
      </w:pPr>
    </w:p>
    <w:p w:rsidR="00FE7F0D" w:rsidRDefault="00C51CA0" w:rsidP="00FE7F0D">
      <w:p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 xml:space="preserve">We also consider that </w:t>
      </w:r>
      <w:r w:rsidR="00127CDA">
        <w:rPr>
          <w:rFonts w:ascii="Tahoma" w:hAnsi="Tahoma" w:cs="Tahoma"/>
          <w:color w:val="0070C0"/>
          <w:sz w:val="20"/>
          <w:szCs w:val="20"/>
          <w:lang w:val="en-GB"/>
        </w:rPr>
        <w:t xml:space="preserve">the information disclosure requirement should be applied only on scheme related processing activities. </w:t>
      </w:r>
      <w:r w:rsidR="006F77ED">
        <w:rPr>
          <w:rFonts w:ascii="Tahoma" w:hAnsi="Tahoma" w:cs="Tahoma"/>
          <w:color w:val="0070C0"/>
          <w:sz w:val="20"/>
          <w:szCs w:val="20"/>
          <w:lang w:val="en-GB"/>
        </w:rPr>
        <w:t>S</w:t>
      </w:r>
      <w:r w:rsidR="00127CDA">
        <w:rPr>
          <w:rFonts w:ascii="Tahoma" w:hAnsi="Tahoma" w:cs="Tahoma"/>
          <w:color w:val="0070C0"/>
          <w:sz w:val="20"/>
          <w:szCs w:val="20"/>
          <w:lang w:val="en-GB"/>
        </w:rPr>
        <w:t xml:space="preserve">cheme related processing activities </w:t>
      </w:r>
      <w:r w:rsidR="006F77ED">
        <w:rPr>
          <w:rFonts w:ascii="Tahoma" w:hAnsi="Tahoma" w:cs="Tahoma"/>
          <w:color w:val="0070C0"/>
          <w:sz w:val="20"/>
          <w:szCs w:val="20"/>
          <w:lang w:val="en-GB"/>
        </w:rPr>
        <w:t xml:space="preserve">include for instance authorisation and clearing switching but not the processing of card issuance </w:t>
      </w:r>
      <w:r w:rsidR="00FE7F0D">
        <w:rPr>
          <w:rFonts w:ascii="Tahoma" w:hAnsi="Tahoma" w:cs="Tahoma"/>
          <w:color w:val="0070C0"/>
          <w:sz w:val="20"/>
          <w:szCs w:val="20"/>
          <w:lang w:val="en-GB"/>
        </w:rPr>
        <w:t>to</w:t>
      </w:r>
      <w:r w:rsidR="006F77ED">
        <w:rPr>
          <w:rFonts w:ascii="Tahoma" w:hAnsi="Tahoma" w:cs="Tahoma"/>
          <w:color w:val="0070C0"/>
          <w:sz w:val="20"/>
          <w:szCs w:val="20"/>
          <w:lang w:val="en-GB"/>
        </w:rPr>
        <w:t xml:space="preserve"> an issuer or of merchant acquiring </w:t>
      </w:r>
      <w:r w:rsidR="00FE7F0D">
        <w:rPr>
          <w:rFonts w:ascii="Tahoma" w:hAnsi="Tahoma" w:cs="Tahoma"/>
          <w:color w:val="0070C0"/>
          <w:sz w:val="20"/>
          <w:szCs w:val="20"/>
          <w:lang w:val="en-GB"/>
        </w:rPr>
        <w:t xml:space="preserve">to </w:t>
      </w:r>
      <w:r w:rsidR="006F77ED">
        <w:rPr>
          <w:rFonts w:ascii="Tahoma" w:hAnsi="Tahoma" w:cs="Tahoma"/>
          <w:color w:val="0070C0"/>
          <w:sz w:val="20"/>
          <w:szCs w:val="20"/>
          <w:lang w:val="en-GB"/>
        </w:rPr>
        <w:t xml:space="preserve">an acquirer. </w:t>
      </w:r>
    </w:p>
    <w:p w:rsidR="00FE7F0D" w:rsidRDefault="00FE7F0D" w:rsidP="00FE7F0D">
      <w:pPr>
        <w:autoSpaceDE w:val="0"/>
        <w:autoSpaceDN w:val="0"/>
        <w:jc w:val="both"/>
        <w:rPr>
          <w:rFonts w:ascii="Tahoma" w:hAnsi="Tahoma" w:cs="Tahoma"/>
          <w:color w:val="0070C0"/>
          <w:sz w:val="20"/>
          <w:szCs w:val="20"/>
          <w:lang w:val="en-GB"/>
        </w:rPr>
      </w:pPr>
    </w:p>
    <w:p w:rsidR="00FC2D2E" w:rsidRDefault="006F77ED" w:rsidP="00FE7F0D">
      <w:p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 xml:space="preserve">Otherwise, processing entities that have no activities whatsoever in scheme related processing will be required to produce the financial information defined in article 3 1. </w:t>
      </w:r>
      <w:proofErr w:type="gramStart"/>
      <w:r>
        <w:rPr>
          <w:rFonts w:ascii="Tahoma" w:hAnsi="Tahoma" w:cs="Tahoma"/>
          <w:color w:val="0070C0"/>
          <w:sz w:val="20"/>
          <w:szCs w:val="20"/>
          <w:lang w:val="en-GB"/>
        </w:rPr>
        <w:t>even</w:t>
      </w:r>
      <w:proofErr w:type="gramEnd"/>
      <w:r>
        <w:rPr>
          <w:rFonts w:ascii="Tahoma" w:hAnsi="Tahoma" w:cs="Tahoma"/>
          <w:color w:val="0070C0"/>
          <w:sz w:val="20"/>
          <w:szCs w:val="20"/>
          <w:lang w:val="en-GB"/>
        </w:rPr>
        <w:t xml:space="preserve"> though they are outside the scope intended by article 7 1. (a) </w:t>
      </w:r>
      <w:proofErr w:type="gramStart"/>
      <w:r>
        <w:rPr>
          <w:rFonts w:ascii="Tahoma" w:hAnsi="Tahoma" w:cs="Tahoma"/>
          <w:color w:val="0070C0"/>
          <w:sz w:val="20"/>
          <w:szCs w:val="20"/>
          <w:lang w:val="en-GB"/>
        </w:rPr>
        <w:t>of</w:t>
      </w:r>
      <w:proofErr w:type="gramEnd"/>
      <w:r>
        <w:rPr>
          <w:rFonts w:ascii="Tahoma" w:hAnsi="Tahoma" w:cs="Tahoma"/>
          <w:color w:val="0070C0"/>
          <w:sz w:val="20"/>
          <w:szCs w:val="20"/>
          <w:lang w:val="en-GB"/>
        </w:rPr>
        <w:t xml:space="preserve"> the IFR as we understand it. </w:t>
      </w:r>
    </w:p>
    <w:p w:rsidR="00FC2D2E" w:rsidRDefault="00FC2D2E" w:rsidP="00FE7F0D">
      <w:pPr>
        <w:autoSpaceDE w:val="0"/>
        <w:autoSpaceDN w:val="0"/>
        <w:jc w:val="both"/>
        <w:rPr>
          <w:rFonts w:ascii="Tahoma" w:hAnsi="Tahoma" w:cs="Tahoma"/>
          <w:color w:val="0070C0"/>
          <w:sz w:val="20"/>
          <w:szCs w:val="20"/>
          <w:lang w:val="en-GB"/>
        </w:rPr>
      </w:pPr>
    </w:p>
    <w:p w:rsidR="00C51CA0" w:rsidRDefault="006F77ED" w:rsidP="00FE7F0D">
      <w:p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 xml:space="preserve">Our understanding is supported by </w:t>
      </w:r>
      <w:r w:rsidR="00AA7795">
        <w:rPr>
          <w:rFonts w:ascii="Tahoma" w:hAnsi="Tahoma" w:cs="Tahoma"/>
          <w:color w:val="0070C0"/>
          <w:sz w:val="20"/>
          <w:szCs w:val="20"/>
          <w:lang w:val="en-GB"/>
        </w:rPr>
        <w:t xml:space="preserve">paragraph 5. </w:t>
      </w:r>
      <w:proofErr w:type="gramStart"/>
      <w:r w:rsidR="00AA7795">
        <w:rPr>
          <w:rFonts w:ascii="Tahoma" w:hAnsi="Tahoma" w:cs="Tahoma"/>
          <w:color w:val="0070C0"/>
          <w:sz w:val="20"/>
          <w:szCs w:val="20"/>
          <w:lang w:val="en-GB"/>
        </w:rPr>
        <w:t>of</w:t>
      </w:r>
      <w:proofErr w:type="gramEnd"/>
      <w:r w:rsidR="00AA7795">
        <w:rPr>
          <w:rFonts w:ascii="Tahoma" w:hAnsi="Tahoma" w:cs="Tahoma"/>
          <w:color w:val="0070C0"/>
          <w:sz w:val="20"/>
          <w:szCs w:val="20"/>
          <w:lang w:val="en-GB"/>
        </w:rPr>
        <w:t xml:space="preserve"> 3.1 Background in the Consultation Paper which recites:</w:t>
      </w:r>
    </w:p>
    <w:p w:rsidR="006F77ED" w:rsidRDefault="006F77ED" w:rsidP="006F77ED">
      <w:pPr>
        <w:autoSpaceDE w:val="0"/>
        <w:autoSpaceDN w:val="0"/>
        <w:jc w:val="both"/>
        <w:rPr>
          <w:rFonts w:ascii="Tahoma" w:hAnsi="Tahoma" w:cs="Tahoma"/>
          <w:i/>
          <w:iCs/>
          <w:color w:val="0070C0"/>
          <w:sz w:val="20"/>
          <w:szCs w:val="20"/>
          <w:lang w:val="en-GB"/>
        </w:rPr>
      </w:pPr>
      <w:r w:rsidRPr="006F77ED">
        <w:rPr>
          <w:rFonts w:ascii="Tahoma" w:hAnsi="Tahoma" w:cs="Tahoma"/>
          <w:i/>
          <w:iCs/>
          <w:color w:val="0070C0"/>
          <w:sz w:val="20"/>
          <w:szCs w:val="20"/>
          <w:lang w:val="en-GB"/>
        </w:rPr>
        <w:t>5. Currently, card payment schemes often offer their own services for processing card payment transactions, which compete with services offered by other card processing providers. Processing services offered by card payment schemes are usually referred as the default scheme processing infrastructure, ensuring the reachability of all issuers and all acquirers participating in the scheme.</w:t>
      </w:r>
    </w:p>
    <w:p w:rsidR="00FE7F0D" w:rsidRDefault="00FE7F0D" w:rsidP="006F77ED">
      <w:pPr>
        <w:autoSpaceDE w:val="0"/>
        <w:autoSpaceDN w:val="0"/>
        <w:jc w:val="both"/>
        <w:rPr>
          <w:rFonts w:ascii="Tahoma" w:hAnsi="Tahoma" w:cs="Tahoma"/>
          <w:color w:val="0070C0"/>
          <w:sz w:val="20"/>
          <w:szCs w:val="20"/>
          <w:lang w:val="en-GB"/>
        </w:rPr>
      </w:pPr>
    </w:p>
    <w:p w:rsidR="00FE7F0D" w:rsidRDefault="00FE7F0D" w:rsidP="00FC2D2E">
      <w:p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Paragraph 5 clearly identifies t</w:t>
      </w:r>
      <w:r w:rsidR="00FC2D2E">
        <w:rPr>
          <w:rFonts w:ascii="Tahoma" w:hAnsi="Tahoma" w:cs="Tahoma"/>
          <w:color w:val="0070C0"/>
          <w:sz w:val="20"/>
          <w:szCs w:val="20"/>
          <w:lang w:val="en-GB"/>
        </w:rPr>
        <w:t>w</w:t>
      </w:r>
      <w:r>
        <w:rPr>
          <w:rFonts w:ascii="Tahoma" w:hAnsi="Tahoma" w:cs="Tahoma"/>
          <w:color w:val="0070C0"/>
          <w:sz w:val="20"/>
          <w:szCs w:val="20"/>
          <w:lang w:val="en-GB"/>
        </w:rPr>
        <w:t xml:space="preserve">o types of processing entities, those entities related to a scheme that offer ‘services </w:t>
      </w:r>
      <w:r w:rsidRPr="00FE7F0D">
        <w:rPr>
          <w:rFonts w:ascii="Tahoma" w:hAnsi="Tahoma" w:cs="Tahoma"/>
          <w:color w:val="0070C0"/>
          <w:sz w:val="20"/>
          <w:szCs w:val="20"/>
          <w:lang w:val="en-GB"/>
        </w:rPr>
        <w:t>for processing card payment transactions</w:t>
      </w:r>
      <w:r>
        <w:rPr>
          <w:rFonts w:ascii="Tahoma" w:hAnsi="Tahoma" w:cs="Tahoma"/>
          <w:color w:val="0070C0"/>
          <w:sz w:val="20"/>
          <w:szCs w:val="20"/>
          <w:lang w:val="en-GB"/>
        </w:rPr>
        <w:t>’, and ‘</w:t>
      </w:r>
      <w:r w:rsidRPr="00FE7F0D">
        <w:rPr>
          <w:rFonts w:ascii="Tahoma" w:hAnsi="Tahoma" w:cs="Tahoma"/>
          <w:color w:val="0070C0"/>
          <w:sz w:val="20"/>
          <w:szCs w:val="20"/>
          <w:lang w:val="en-GB"/>
        </w:rPr>
        <w:t>other card processing providers</w:t>
      </w:r>
      <w:r>
        <w:rPr>
          <w:rFonts w:ascii="Tahoma" w:hAnsi="Tahoma" w:cs="Tahoma"/>
          <w:color w:val="0070C0"/>
          <w:sz w:val="20"/>
          <w:szCs w:val="20"/>
          <w:lang w:val="en-GB"/>
        </w:rPr>
        <w:t>’.</w:t>
      </w:r>
      <w:r w:rsidR="00FC2D2E">
        <w:rPr>
          <w:rFonts w:ascii="Tahoma" w:hAnsi="Tahoma" w:cs="Tahoma"/>
          <w:color w:val="0070C0"/>
          <w:sz w:val="20"/>
          <w:szCs w:val="20"/>
          <w:lang w:val="en-GB"/>
        </w:rPr>
        <w:t xml:space="preserve"> It shows that the provision of article 7 of the IFR are aimed at covering services offered by entities related to a scheme which compete in the same services offered by ‘other’ card processing providers. The scope seems to be limited both to certain actors and to a certain range of services.</w:t>
      </w:r>
    </w:p>
    <w:p w:rsidR="00FC2D2E" w:rsidRDefault="00FC2D2E" w:rsidP="00FC2D2E">
      <w:pPr>
        <w:autoSpaceDE w:val="0"/>
        <w:autoSpaceDN w:val="0"/>
        <w:jc w:val="both"/>
        <w:rPr>
          <w:rFonts w:ascii="Tahoma" w:hAnsi="Tahoma" w:cs="Tahoma"/>
          <w:color w:val="0070C0"/>
          <w:sz w:val="20"/>
          <w:szCs w:val="20"/>
          <w:lang w:val="en-GB"/>
        </w:rPr>
      </w:pPr>
    </w:p>
    <w:p w:rsidR="00FC2D2E" w:rsidRDefault="00FC2D2E" w:rsidP="00FC2D2E">
      <w:p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We thus suggest:</w:t>
      </w:r>
    </w:p>
    <w:p w:rsidR="00FC2D2E" w:rsidRDefault="00FC2D2E" w:rsidP="00FC2D2E">
      <w:pPr>
        <w:pStyle w:val="Paragrafoelenco"/>
        <w:numPr>
          <w:ilvl w:val="0"/>
          <w:numId w:val="4"/>
        </w:num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To limit the application of the RTS to the scheme-owned or scheme-controlled entities</w:t>
      </w:r>
    </w:p>
    <w:p w:rsidR="00FC2D2E" w:rsidRDefault="00FC2D2E" w:rsidP="00FC2D2E">
      <w:pPr>
        <w:pStyle w:val="Paragrafoelenco"/>
        <w:numPr>
          <w:ilvl w:val="0"/>
          <w:numId w:val="4"/>
        </w:numPr>
        <w:autoSpaceDE w:val="0"/>
        <w:autoSpaceDN w:val="0"/>
        <w:jc w:val="both"/>
        <w:rPr>
          <w:rFonts w:ascii="Tahoma" w:hAnsi="Tahoma" w:cs="Tahoma"/>
          <w:color w:val="0070C0"/>
          <w:sz w:val="20"/>
          <w:szCs w:val="20"/>
          <w:lang w:val="en-GB"/>
        </w:rPr>
      </w:pPr>
      <w:r>
        <w:rPr>
          <w:rFonts w:ascii="Tahoma" w:hAnsi="Tahoma" w:cs="Tahoma"/>
          <w:color w:val="0070C0"/>
          <w:sz w:val="20"/>
          <w:szCs w:val="20"/>
          <w:lang w:val="en-GB"/>
        </w:rPr>
        <w:t xml:space="preserve">To limit the application of the RTS to the services </w:t>
      </w:r>
      <w:r w:rsidRPr="00FE7F0D">
        <w:rPr>
          <w:rFonts w:ascii="Tahoma" w:hAnsi="Tahoma" w:cs="Tahoma"/>
          <w:color w:val="0070C0"/>
          <w:sz w:val="20"/>
          <w:szCs w:val="20"/>
          <w:lang w:val="en-GB"/>
        </w:rPr>
        <w:t>for processing card payment transactions</w:t>
      </w:r>
      <w:r>
        <w:rPr>
          <w:rFonts w:ascii="Tahoma" w:hAnsi="Tahoma" w:cs="Tahoma"/>
          <w:color w:val="0070C0"/>
          <w:sz w:val="20"/>
          <w:szCs w:val="20"/>
          <w:lang w:val="en-GB"/>
        </w:rPr>
        <w:t xml:space="preserve"> that compete with the same services offered by other card processing providers</w:t>
      </w:r>
    </w:p>
    <w:p w:rsidR="00FC2D2E" w:rsidRPr="00FC2D2E" w:rsidRDefault="00FC2D2E" w:rsidP="00FC2D2E">
      <w:pPr>
        <w:autoSpaceDE w:val="0"/>
        <w:autoSpaceDN w:val="0"/>
        <w:jc w:val="both"/>
        <w:rPr>
          <w:rFonts w:ascii="Tahoma" w:hAnsi="Tahoma" w:cs="Tahoma"/>
          <w:color w:val="0070C0"/>
          <w:sz w:val="20"/>
          <w:szCs w:val="20"/>
          <w:lang w:val="en-GB"/>
        </w:rPr>
      </w:pPr>
    </w:p>
    <w:sectPr w:rsidR="00FC2D2E" w:rsidRPr="00FC2D2E" w:rsidSect="00C77797">
      <w:headerReference w:type="default" r:id="rId8"/>
      <w:headerReference w:type="first" r:id="rId9"/>
      <w:pgSz w:w="11906" w:h="16838"/>
      <w:pgMar w:top="311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96" w:rsidRDefault="005C1996">
      <w:r>
        <w:separator/>
      </w:r>
    </w:p>
  </w:endnote>
  <w:endnote w:type="continuationSeparator" w:id="0">
    <w:p w:rsidR="005C1996" w:rsidRDefault="005C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96" w:rsidRDefault="005C1996">
      <w:r>
        <w:separator/>
      </w:r>
    </w:p>
  </w:footnote>
  <w:footnote w:type="continuationSeparator" w:id="0">
    <w:p w:rsidR="005C1996" w:rsidRDefault="005C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97" w:rsidRDefault="00D81783" w:rsidP="00C77797">
    <w:pPr>
      <w:pStyle w:val="Intestazione"/>
      <w:ind w:right="71"/>
    </w:pPr>
    <w:r>
      <w:rPr>
        <w:noProof/>
        <w:lang w:bidi="he-IL"/>
      </w:rPr>
      <w:drawing>
        <wp:anchor distT="0" distB="0" distL="114300" distR="114300" simplePos="0" relativeHeight="251658752" behindDoc="0" locked="0" layoutInCell="1" allowOverlap="1">
          <wp:simplePos x="0" y="0"/>
          <wp:positionH relativeFrom="column">
            <wp:posOffset>-757555</wp:posOffset>
          </wp:positionH>
          <wp:positionV relativeFrom="paragraph">
            <wp:posOffset>-1905</wp:posOffset>
          </wp:positionV>
          <wp:extent cx="7379970" cy="597535"/>
          <wp:effectExtent l="0" t="0" r="0" b="0"/>
          <wp:wrapNone/>
          <wp:docPr id="22" name="Immagine 22" descr="Lettera_foglio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ttera_foglio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97" w:rsidRPr="006C1DF0" w:rsidRDefault="00D81783">
    <w:pPr>
      <w:pStyle w:val="Intestazione"/>
    </w:pPr>
    <w:r>
      <w:rPr>
        <w:noProof/>
        <w:lang w:bidi="he-IL"/>
      </w:rPr>
      <w:drawing>
        <wp:anchor distT="0" distB="0" distL="114300" distR="114300" simplePos="0" relativeHeight="251660800" behindDoc="0" locked="0" layoutInCell="1" allowOverlap="1">
          <wp:simplePos x="0" y="0"/>
          <wp:positionH relativeFrom="column">
            <wp:posOffset>-638810</wp:posOffset>
          </wp:positionH>
          <wp:positionV relativeFrom="paragraph">
            <wp:posOffset>-64770</wp:posOffset>
          </wp:positionV>
          <wp:extent cx="7289800" cy="1510665"/>
          <wp:effectExtent l="0" t="0" r="6350" b="0"/>
          <wp:wrapNone/>
          <wp:docPr id="23" name="Immagine 16" descr="Testatin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Testatin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1FB1"/>
    <w:multiLevelType w:val="hybridMultilevel"/>
    <w:tmpl w:val="DC986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DC5B53"/>
    <w:multiLevelType w:val="hybridMultilevel"/>
    <w:tmpl w:val="721C29C2"/>
    <w:lvl w:ilvl="0" w:tplc="6874AE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2546DB"/>
    <w:multiLevelType w:val="hybridMultilevel"/>
    <w:tmpl w:val="70B40C28"/>
    <w:lvl w:ilvl="0" w:tplc="160407A4">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886876"/>
    <w:multiLevelType w:val="hybridMultilevel"/>
    <w:tmpl w:val="A266C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70"/>
    <w:rsid w:val="0009050B"/>
    <w:rsid w:val="000C2BC9"/>
    <w:rsid w:val="00127CDA"/>
    <w:rsid w:val="00172B91"/>
    <w:rsid w:val="00175E3B"/>
    <w:rsid w:val="001D18FC"/>
    <w:rsid w:val="00261FFF"/>
    <w:rsid w:val="0039564E"/>
    <w:rsid w:val="00481F86"/>
    <w:rsid w:val="004D0755"/>
    <w:rsid w:val="005C1996"/>
    <w:rsid w:val="00645D22"/>
    <w:rsid w:val="006C1DF0"/>
    <w:rsid w:val="006F77ED"/>
    <w:rsid w:val="00783617"/>
    <w:rsid w:val="007E7FA9"/>
    <w:rsid w:val="007F48D1"/>
    <w:rsid w:val="00861173"/>
    <w:rsid w:val="008B2321"/>
    <w:rsid w:val="008D6415"/>
    <w:rsid w:val="009D3602"/>
    <w:rsid w:val="00A51B42"/>
    <w:rsid w:val="00A81A24"/>
    <w:rsid w:val="00AA7795"/>
    <w:rsid w:val="00B55E48"/>
    <w:rsid w:val="00BC1403"/>
    <w:rsid w:val="00C203F6"/>
    <w:rsid w:val="00C51CA0"/>
    <w:rsid w:val="00C76C96"/>
    <w:rsid w:val="00C77797"/>
    <w:rsid w:val="00CD173A"/>
    <w:rsid w:val="00D25F18"/>
    <w:rsid w:val="00D81783"/>
    <w:rsid w:val="00D91870"/>
    <w:rsid w:val="00DA479F"/>
    <w:rsid w:val="00E55E3E"/>
    <w:rsid w:val="00E56EF3"/>
    <w:rsid w:val="00EC0DBE"/>
    <w:rsid w:val="00ED7DBA"/>
    <w:rsid w:val="00F3254F"/>
    <w:rsid w:val="00FC2571"/>
    <w:rsid w:val="00FC2D2E"/>
    <w:rsid w:val="00FE7F0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12FD0A-9FE8-46BC-BCF2-DBBC324A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1B42"/>
    <w:rPr>
      <w:sz w:val="24"/>
      <w:szCs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D22C00"/>
    <w:rPr>
      <w:rFonts w:ascii="Courier New" w:hAnsi="Courier New" w:cs="Courier New"/>
      <w:sz w:val="20"/>
      <w:szCs w:val="20"/>
    </w:rPr>
  </w:style>
  <w:style w:type="paragraph" w:styleId="Intestazione">
    <w:name w:val="header"/>
    <w:basedOn w:val="Normale"/>
    <w:rsid w:val="00E83CF1"/>
    <w:pPr>
      <w:tabs>
        <w:tab w:val="center" w:pos="4819"/>
        <w:tab w:val="right" w:pos="9638"/>
      </w:tabs>
    </w:pPr>
  </w:style>
  <w:style w:type="paragraph" w:styleId="Pidipagina">
    <w:name w:val="footer"/>
    <w:basedOn w:val="Normale"/>
    <w:semiHidden/>
    <w:rsid w:val="00E83CF1"/>
    <w:pPr>
      <w:tabs>
        <w:tab w:val="center" w:pos="4819"/>
        <w:tab w:val="right" w:pos="9638"/>
      </w:tabs>
    </w:pPr>
  </w:style>
  <w:style w:type="paragraph" w:customStyle="1" w:styleId="TestoLettera">
    <w:name w:val="Testo Lettera"/>
    <w:basedOn w:val="Normale"/>
    <w:rsid w:val="0012164F"/>
    <w:pPr>
      <w:jc w:val="both"/>
    </w:pPr>
    <w:rPr>
      <w:rFonts w:ascii="Tahoma" w:hAnsi="Tahoma"/>
      <w:sz w:val="20"/>
      <w:szCs w:val="20"/>
    </w:rPr>
  </w:style>
  <w:style w:type="paragraph" w:customStyle="1" w:styleId="OggettoLettera">
    <w:name w:val="Oggetto Lettera"/>
    <w:basedOn w:val="TestoLettera"/>
    <w:rsid w:val="0012164F"/>
    <w:rPr>
      <w:b/>
    </w:rPr>
  </w:style>
  <w:style w:type="paragraph" w:styleId="Testofumetto">
    <w:name w:val="Balloon Text"/>
    <w:basedOn w:val="Normale"/>
    <w:link w:val="TestofumettoCarattere"/>
    <w:rsid w:val="0009050B"/>
    <w:rPr>
      <w:rFonts w:ascii="Tahoma" w:hAnsi="Tahoma" w:cs="Tahoma"/>
      <w:sz w:val="16"/>
      <w:szCs w:val="16"/>
    </w:rPr>
  </w:style>
  <w:style w:type="character" w:customStyle="1" w:styleId="TestofumettoCarattere">
    <w:name w:val="Testo fumetto Carattere"/>
    <w:basedOn w:val="Carpredefinitoparagrafo"/>
    <w:link w:val="Testofumetto"/>
    <w:rsid w:val="0009050B"/>
    <w:rPr>
      <w:rFonts w:ascii="Tahoma" w:hAnsi="Tahoma" w:cs="Tahoma"/>
      <w:sz w:val="16"/>
      <w:szCs w:val="16"/>
    </w:rPr>
  </w:style>
  <w:style w:type="paragraph" w:styleId="Paragrafoelenco">
    <w:name w:val="List Paragraph"/>
    <w:basedOn w:val="Normale"/>
    <w:uiPriority w:val="34"/>
    <w:qFormat/>
    <w:rsid w:val="00E56EF3"/>
    <w:pPr>
      <w:ind w:left="720"/>
      <w:contextualSpacing/>
    </w:pPr>
    <w:rPr>
      <w:rFonts w:ascii="Calibri" w:hAnsi="Calibri" w:cs="Calibri"/>
      <w:sz w:val="22"/>
      <w:szCs w:val="22"/>
      <w:lang w:eastAsia="zh-CN" w:bidi="he-IL"/>
    </w:rPr>
  </w:style>
  <w:style w:type="paragraph" w:styleId="Titolo">
    <w:name w:val="Title"/>
    <w:basedOn w:val="Normale"/>
    <w:link w:val="TitoloCarattere"/>
    <w:qFormat/>
    <w:rsid w:val="00E56EF3"/>
    <w:pPr>
      <w:jc w:val="center"/>
      <w:outlineLvl w:val="0"/>
    </w:pPr>
    <w:rPr>
      <w:rFonts w:cs="Arial"/>
      <w:b/>
      <w:bCs/>
      <w:kern w:val="28"/>
      <w:sz w:val="28"/>
      <w:szCs w:val="32"/>
      <w:lang w:val="en-GB" w:eastAsia="en-US"/>
    </w:rPr>
  </w:style>
  <w:style w:type="character" w:customStyle="1" w:styleId="TitoloCarattere">
    <w:name w:val="Titolo Carattere"/>
    <w:basedOn w:val="Carpredefinitoparagrafo"/>
    <w:link w:val="Titolo"/>
    <w:rsid w:val="00E56EF3"/>
    <w:rPr>
      <w:rFonts w:cs="Arial"/>
      <w:b/>
      <w:bCs/>
      <w:kern w:val="28"/>
      <w:sz w:val="28"/>
      <w:szCs w:val="32"/>
      <w:lang w:val="en-GB" w:eastAsia="en-US"/>
    </w:rPr>
  </w:style>
  <w:style w:type="paragraph" w:customStyle="1" w:styleId="Default">
    <w:name w:val="Default"/>
    <w:rsid w:val="00FC25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C565-2F95-4A02-ACDA-70DAF8A7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Prot: S-CLS-2007-T-3179-AAB</vt:lpstr>
    </vt:vector>
  </TitlesOfParts>
  <Company>SIA Spa</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S-CLS-2007-T-3179-AAB</dc:title>
  <dc:subject/>
  <dc:creator>JeanPhilippe.Joliveau@sia.eu</dc:creator>
  <cp:keywords/>
  <cp:lastModifiedBy>Joliveau Jean Philippe</cp:lastModifiedBy>
  <cp:revision>7</cp:revision>
  <cp:lastPrinted>2011-06-15T09:20:00Z</cp:lastPrinted>
  <dcterms:created xsi:type="dcterms:W3CDTF">2016-02-21T20:09:00Z</dcterms:created>
  <dcterms:modified xsi:type="dcterms:W3CDTF">2016-03-08T15:58:00Z</dcterms:modified>
</cp:coreProperties>
</file>