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E3676" w14:textId="77777777" w:rsidR="00AF5A9F" w:rsidRPr="007E4925" w:rsidRDefault="00AF5A9F" w:rsidP="00DF01A1">
      <w:pPr>
        <w:pBdr>
          <w:top w:val="single" w:sz="4" w:space="1" w:color="auto"/>
          <w:left w:val="single" w:sz="4" w:space="4" w:color="auto"/>
          <w:bottom w:val="single" w:sz="4" w:space="1" w:color="auto"/>
          <w:right w:val="single" w:sz="4" w:space="4" w:color="auto"/>
        </w:pBdr>
        <w:spacing w:after="200"/>
        <w:jc w:val="center"/>
        <w:rPr>
          <w:b/>
          <w:sz w:val="28"/>
          <w:szCs w:val="28"/>
          <w:lang w:val="en-GB"/>
        </w:rPr>
      </w:pPr>
      <w:bookmarkStart w:id="0" w:name="_GoBack"/>
      <w:bookmarkEnd w:id="0"/>
      <w:r w:rsidRPr="007E4925">
        <w:rPr>
          <w:b/>
          <w:sz w:val="28"/>
          <w:szCs w:val="28"/>
          <w:lang w:val="en-GB"/>
        </w:rPr>
        <w:t>MASTERCARD’S COMMENTS</w:t>
      </w:r>
    </w:p>
    <w:p w14:paraId="7BEDFCA4" w14:textId="59B98D4A" w:rsidR="000336E9" w:rsidRPr="007E4925" w:rsidRDefault="000336E9" w:rsidP="00DF01A1">
      <w:pPr>
        <w:pBdr>
          <w:top w:val="single" w:sz="4" w:space="1" w:color="auto"/>
          <w:left w:val="single" w:sz="4" w:space="4" w:color="auto"/>
          <w:bottom w:val="single" w:sz="4" w:space="1" w:color="auto"/>
          <w:right w:val="single" w:sz="4" w:space="4" w:color="auto"/>
        </w:pBdr>
        <w:spacing w:after="200"/>
        <w:jc w:val="center"/>
        <w:rPr>
          <w:b/>
          <w:sz w:val="28"/>
          <w:szCs w:val="28"/>
          <w:lang w:val="en-GB"/>
        </w:rPr>
      </w:pPr>
      <w:r w:rsidRPr="007E4925">
        <w:rPr>
          <w:b/>
          <w:sz w:val="28"/>
          <w:szCs w:val="28"/>
          <w:lang w:val="en-GB"/>
        </w:rPr>
        <w:t xml:space="preserve">EBA CONSULTATION PAPER ON </w:t>
      </w:r>
      <w:r w:rsidR="007E4925" w:rsidRPr="007E4925">
        <w:rPr>
          <w:b/>
          <w:sz w:val="28"/>
          <w:szCs w:val="28"/>
          <w:lang w:val="en-GB"/>
        </w:rPr>
        <w:t xml:space="preserve">DRAFT REGULATORY TECHNICAL STANDARDS (RTS) ON SEPARATION OF PAYMENT CARD SCHEMES AND PROCESSING ENTITIES </w:t>
      </w:r>
    </w:p>
    <w:p w14:paraId="74021F1A" w14:textId="1421D743" w:rsidR="000336E9" w:rsidRPr="007E4925" w:rsidRDefault="000336E9" w:rsidP="00DF01A1">
      <w:pPr>
        <w:pBdr>
          <w:top w:val="single" w:sz="4" w:space="1" w:color="auto"/>
          <w:left w:val="single" w:sz="4" w:space="4" w:color="auto"/>
          <w:bottom w:val="single" w:sz="4" w:space="1" w:color="auto"/>
          <w:right w:val="single" w:sz="4" w:space="4" w:color="auto"/>
        </w:pBdr>
        <w:spacing w:after="200"/>
        <w:jc w:val="center"/>
        <w:rPr>
          <w:b/>
          <w:sz w:val="28"/>
          <w:szCs w:val="28"/>
          <w:lang w:val="en-GB"/>
        </w:rPr>
      </w:pPr>
      <w:r w:rsidRPr="007E4925">
        <w:rPr>
          <w:b/>
          <w:sz w:val="28"/>
          <w:szCs w:val="28"/>
          <w:lang w:val="en-GB"/>
        </w:rPr>
        <w:t xml:space="preserve">DEADLINE FOR COMMENTS: </w:t>
      </w:r>
      <w:r w:rsidR="007E4925">
        <w:rPr>
          <w:b/>
          <w:sz w:val="28"/>
          <w:szCs w:val="28"/>
          <w:lang w:val="en-GB"/>
        </w:rPr>
        <w:t>MARCH</w:t>
      </w:r>
      <w:r w:rsidR="00111E66">
        <w:rPr>
          <w:b/>
          <w:sz w:val="28"/>
          <w:szCs w:val="28"/>
          <w:lang w:val="en-GB"/>
        </w:rPr>
        <w:t xml:space="preserve"> 8,</w:t>
      </w:r>
      <w:r w:rsidR="007E4925">
        <w:rPr>
          <w:b/>
          <w:sz w:val="28"/>
          <w:szCs w:val="28"/>
          <w:lang w:val="en-GB"/>
        </w:rPr>
        <w:t xml:space="preserve"> 2016</w:t>
      </w:r>
    </w:p>
    <w:p w14:paraId="3ABA2FB5" w14:textId="77777777" w:rsidR="00E964D4" w:rsidRPr="007E4925" w:rsidRDefault="00E964D4" w:rsidP="00DF01A1">
      <w:pPr>
        <w:spacing w:after="200"/>
        <w:ind w:left="0" w:firstLine="0"/>
        <w:jc w:val="both"/>
        <w:rPr>
          <w:lang w:val="en-GB"/>
        </w:rPr>
      </w:pPr>
    </w:p>
    <w:p w14:paraId="6A1834BF" w14:textId="4FC551F5" w:rsidR="00EF495E" w:rsidRPr="009D05C2" w:rsidRDefault="000336E9" w:rsidP="009D05C2">
      <w:pPr>
        <w:pStyle w:val="ListParagraph"/>
        <w:numPr>
          <w:ilvl w:val="0"/>
          <w:numId w:val="20"/>
        </w:numPr>
        <w:spacing w:after="200"/>
        <w:ind w:left="0" w:hanging="426"/>
        <w:contextualSpacing w:val="0"/>
        <w:jc w:val="both"/>
        <w:rPr>
          <w:lang w:val="en-GB"/>
        </w:rPr>
      </w:pPr>
      <w:r w:rsidRPr="00DF01A1">
        <w:rPr>
          <w:lang w:val="en-GB"/>
        </w:rPr>
        <w:t xml:space="preserve">MasterCard would like to thank the EBA for the opportunity to comment on the draft </w:t>
      </w:r>
      <w:r w:rsidR="00111E66" w:rsidRPr="00DF01A1">
        <w:rPr>
          <w:lang w:val="en-GB"/>
        </w:rPr>
        <w:t>Regulatory Technical Standards (</w:t>
      </w:r>
      <w:r w:rsidR="00135C00" w:rsidRPr="00DF01A1">
        <w:rPr>
          <w:lang w:val="en-GB"/>
        </w:rPr>
        <w:t>RTS</w:t>
      </w:r>
      <w:r w:rsidR="00111E66" w:rsidRPr="00DF01A1">
        <w:rPr>
          <w:lang w:val="en-GB"/>
        </w:rPr>
        <w:t>)</w:t>
      </w:r>
      <w:r w:rsidR="00135C00" w:rsidRPr="00DF01A1">
        <w:rPr>
          <w:lang w:val="en-GB"/>
        </w:rPr>
        <w:t xml:space="preserve"> on separation</w:t>
      </w:r>
      <w:r w:rsidR="00111E66" w:rsidRPr="00DF01A1">
        <w:rPr>
          <w:lang w:val="en-GB"/>
        </w:rPr>
        <w:t xml:space="preserve"> of payment card schemes and processing entities under Article 7(6) of Regulation (EU) 2015/751</w:t>
      </w:r>
      <w:r w:rsidR="00680CA6">
        <w:rPr>
          <w:lang w:val="en-GB"/>
        </w:rPr>
        <w:t xml:space="preserve"> (“IFR”)</w:t>
      </w:r>
      <w:r w:rsidRPr="00DF01A1">
        <w:rPr>
          <w:lang w:val="en-GB"/>
        </w:rPr>
        <w:t xml:space="preserve">. </w:t>
      </w:r>
      <w:r w:rsidR="003F3675" w:rsidRPr="00DF01A1">
        <w:rPr>
          <w:lang w:val="en-GB"/>
        </w:rPr>
        <w:t xml:space="preserve"> </w:t>
      </w:r>
      <w:r w:rsidRPr="00DF01A1">
        <w:rPr>
          <w:lang w:val="en-GB"/>
        </w:rPr>
        <w:t xml:space="preserve">Below MasterCard provides its views on the </w:t>
      </w:r>
      <w:r w:rsidR="00EF495E" w:rsidRPr="00DF01A1">
        <w:rPr>
          <w:lang w:val="en-GB"/>
        </w:rPr>
        <w:t xml:space="preserve">EBA </w:t>
      </w:r>
      <w:r w:rsidRPr="00DF01A1">
        <w:rPr>
          <w:lang w:val="en-GB"/>
        </w:rPr>
        <w:t xml:space="preserve">consultation </w:t>
      </w:r>
      <w:r w:rsidR="00EF495E" w:rsidRPr="00DF01A1">
        <w:rPr>
          <w:lang w:val="en-GB"/>
        </w:rPr>
        <w:t>paper</w:t>
      </w:r>
      <w:r w:rsidR="00111E66" w:rsidRPr="00DF01A1">
        <w:rPr>
          <w:lang w:val="en-GB"/>
        </w:rPr>
        <w:t xml:space="preserve"> (CP) of December 8, 2015.</w:t>
      </w:r>
    </w:p>
    <w:p w14:paraId="5741CE9E" w14:textId="457EF0FA" w:rsidR="00C968C2" w:rsidRPr="007E4925" w:rsidRDefault="00C968C2" w:rsidP="0001126C">
      <w:pPr>
        <w:pStyle w:val="ListParagraph"/>
        <w:numPr>
          <w:ilvl w:val="0"/>
          <w:numId w:val="20"/>
        </w:numPr>
        <w:spacing w:after="200"/>
        <w:ind w:left="0" w:hanging="426"/>
        <w:contextualSpacing w:val="0"/>
        <w:jc w:val="both"/>
        <w:rPr>
          <w:lang w:val="en-GB"/>
        </w:rPr>
      </w:pPr>
      <w:r w:rsidRPr="007E4925">
        <w:rPr>
          <w:lang w:val="en-GB"/>
        </w:rPr>
        <w:t xml:space="preserve">Should the EBA wish to discuss any of the below, please reach out to </w:t>
      </w:r>
      <w:r w:rsidR="00135C00">
        <w:rPr>
          <w:lang w:val="en-GB"/>
        </w:rPr>
        <w:t>Christoph Baert</w:t>
      </w:r>
      <w:r w:rsidRPr="007E4925">
        <w:rPr>
          <w:lang w:val="en-GB"/>
        </w:rPr>
        <w:t xml:space="preserve">, </w:t>
      </w:r>
      <w:r w:rsidR="00135C00" w:rsidRPr="00135C00">
        <w:rPr>
          <w:lang w:val="en-GB"/>
        </w:rPr>
        <w:t>Europe Region Senior Regulatory Counsel</w:t>
      </w:r>
      <w:r w:rsidRPr="007E4925">
        <w:rPr>
          <w:lang w:val="en-GB"/>
        </w:rPr>
        <w:t>, based in Waterloo, Belgium (</w:t>
      </w:r>
      <w:r w:rsidR="00135C00" w:rsidRPr="00135C00">
        <w:rPr>
          <w:lang w:val="en-GB"/>
        </w:rPr>
        <w:t>+32-2-352-5993</w:t>
      </w:r>
      <w:r w:rsidR="00135C00">
        <w:rPr>
          <w:lang w:val="en-GB"/>
        </w:rPr>
        <w:t xml:space="preserve"> </w:t>
      </w:r>
      <w:r w:rsidRPr="007E4925">
        <w:rPr>
          <w:lang w:val="en-GB"/>
        </w:rPr>
        <w:t xml:space="preserve">or </w:t>
      </w:r>
      <w:r w:rsidR="00135C00">
        <w:rPr>
          <w:lang w:val="en-GB"/>
        </w:rPr>
        <w:t>christoph</w:t>
      </w:r>
      <w:r w:rsidRPr="007E4925">
        <w:rPr>
          <w:lang w:val="en-GB"/>
        </w:rPr>
        <w:t>_</w:t>
      </w:r>
      <w:r w:rsidR="00135C00">
        <w:rPr>
          <w:lang w:val="en-GB"/>
        </w:rPr>
        <w:t>baert</w:t>
      </w:r>
      <w:r w:rsidRPr="007E4925">
        <w:rPr>
          <w:lang w:val="en-GB"/>
        </w:rPr>
        <w:t>@mastercard.com).</w:t>
      </w:r>
    </w:p>
    <w:p w14:paraId="1DDE3B59" w14:textId="3E2D9C04" w:rsidR="00EF495E" w:rsidRDefault="00DB3374" w:rsidP="00DF01A1">
      <w:pPr>
        <w:spacing w:after="200"/>
        <w:ind w:left="0" w:firstLine="0"/>
        <w:jc w:val="both"/>
        <w:rPr>
          <w:b/>
          <w:sz w:val="28"/>
          <w:szCs w:val="28"/>
          <w:lang w:val="en-GB"/>
        </w:rPr>
      </w:pPr>
      <w:r w:rsidRPr="00DB3374">
        <w:rPr>
          <w:b/>
          <w:sz w:val="28"/>
          <w:szCs w:val="28"/>
          <w:lang w:val="en-GB"/>
        </w:rPr>
        <w:lastRenderedPageBreak/>
        <w:t>Background and rationale</w:t>
      </w:r>
    </w:p>
    <w:p w14:paraId="502F4AB0" w14:textId="1D6C0FAA" w:rsidR="00D66F81" w:rsidRPr="00D66F81" w:rsidRDefault="00D66F81" w:rsidP="00DF01A1">
      <w:pPr>
        <w:spacing w:after="200"/>
        <w:ind w:left="0" w:firstLine="0"/>
        <w:jc w:val="both"/>
        <w:rPr>
          <w:b/>
          <w:i/>
          <w:lang w:val="en-GB"/>
        </w:rPr>
      </w:pPr>
      <w:r w:rsidRPr="00D66F81">
        <w:rPr>
          <w:b/>
          <w:i/>
          <w:lang w:val="en-GB"/>
        </w:rPr>
        <w:t xml:space="preserve"> </w:t>
      </w:r>
      <w:r w:rsidR="00E12307">
        <w:rPr>
          <w:b/>
          <w:i/>
          <w:lang w:val="en-GB"/>
        </w:rPr>
        <w:t xml:space="preserve">The IFR definition of </w:t>
      </w:r>
      <w:r w:rsidR="005C7DA7">
        <w:rPr>
          <w:b/>
          <w:i/>
          <w:lang w:val="en-GB"/>
        </w:rPr>
        <w:t>‘</w:t>
      </w:r>
      <w:r w:rsidR="00E12307">
        <w:rPr>
          <w:b/>
          <w:i/>
          <w:lang w:val="en-GB"/>
        </w:rPr>
        <w:t>p</w:t>
      </w:r>
      <w:r w:rsidRPr="00D66F81">
        <w:rPr>
          <w:b/>
          <w:i/>
          <w:lang w:val="en-GB"/>
        </w:rPr>
        <w:t>rocessing</w:t>
      </w:r>
      <w:r w:rsidR="005C7DA7">
        <w:rPr>
          <w:b/>
          <w:i/>
          <w:lang w:val="en-GB"/>
        </w:rPr>
        <w:t>’</w:t>
      </w:r>
      <w:r w:rsidR="00E12307">
        <w:rPr>
          <w:b/>
          <w:i/>
          <w:lang w:val="en-GB"/>
        </w:rPr>
        <w:t xml:space="preserve"> is clear and includes authorization, clearing and settlement</w:t>
      </w:r>
    </w:p>
    <w:p w14:paraId="44D765F8" w14:textId="03C86E16" w:rsidR="00DF01A1" w:rsidRPr="00E12AF1" w:rsidRDefault="00E12AF1" w:rsidP="00E12AF1">
      <w:pPr>
        <w:pStyle w:val="ListParagraph"/>
        <w:numPr>
          <w:ilvl w:val="0"/>
          <w:numId w:val="20"/>
        </w:numPr>
        <w:spacing w:after="200"/>
        <w:ind w:left="0" w:hanging="426"/>
        <w:contextualSpacing w:val="0"/>
        <w:jc w:val="both"/>
        <w:rPr>
          <w:lang w:val="en-GB"/>
        </w:rPr>
      </w:pPr>
      <w:r w:rsidRPr="00E12AF1">
        <w:rPr>
          <w:lang w:val="en-GB"/>
        </w:rPr>
        <w:t xml:space="preserve">We are surprised that there are different interpretations </w:t>
      </w:r>
      <w:r>
        <w:rPr>
          <w:lang w:val="en-GB"/>
        </w:rPr>
        <w:t>of</w:t>
      </w:r>
      <w:r w:rsidRPr="00E12AF1">
        <w:rPr>
          <w:lang w:val="en-GB"/>
        </w:rPr>
        <w:t xml:space="preserve"> the definition of ‘processing’ and that there is even a debate about </w:t>
      </w:r>
      <w:r>
        <w:rPr>
          <w:lang w:val="en-GB"/>
        </w:rPr>
        <w:t>this definition</w:t>
      </w:r>
      <w:r w:rsidRPr="00E12AF1">
        <w:rPr>
          <w:lang w:val="en-GB"/>
        </w:rPr>
        <w:t>.</w:t>
      </w:r>
      <w:r>
        <w:rPr>
          <w:lang w:val="en-GB"/>
        </w:rPr>
        <w:t xml:space="preserve">  </w:t>
      </w:r>
      <w:r w:rsidRPr="00E12AF1">
        <w:rPr>
          <w:lang w:val="en-GB"/>
        </w:rPr>
        <w:t>The definition of ‘p</w:t>
      </w:r>
      <w:r w:rsidR="00DF01A1" w:rsidRPr="00E12AF1">
        <w:rPr>
          <w:lang w:val="en-GB"/>
        </w:rPr>
        <w:t>rocessing</w:t>
      </w:r>
      <w:r w:rsidRPr="00E12AF1">
        <w:rPr>
          <w:lang w:val="en-GB"/>
        </w:rPr>
        <w:t>’</w:t>
      </w:r>
      <w:r w:rsidR="00DF01A1" w:rsidRPr="00E12AF1">
        <w:rPr>
          <w:lang w:val="en-GB"/>
        </w:rPr>
        <w:t xml:space="preserve"> is </w:t>
      </w:r>
      <w:r>
        <w:rPr>
          <w:lang w:val="en-GB"/>
        </w:rPr>
        <w:t xml:space="preserve">very clearly </w:t>
      </w:r>
      <w:r w:rsidR="00DF01A1" w:rsidRPr="00E12AF1">
        <w:rPr>
          <w:lang w:val="en-GB"/>
        </w:rPr>
        <w:t>explained in</w:t>
      </w:r>
      <w:r w:rsidR="00221840">
        <w:rPr>
          <w:lang w:val="en-GB"/>
        </w:rPr>
        <w:t xml:space="preserve"> the IFR (A</w:t>
      </w:r>
      <w:r w:rsidR="00DF01A1" w:rsidRPr="00E12AF1">
        <w:rPr>
          <w:lang w:val="en-GB"/>
        </w:rPr>
        <w:t>rticle 2</w:t>
      </w:r>
      <w:r w:rsidR="005C7DA7">
        <w:rPr>
          <w:lang w:val="en-GB"/>
        </w:rPr>
        <w:t>(27)</w:t>
      </w:r>
      <w:r w:rsidR="00221840">
        <w:rPr>
          <w:lang w:val="en-GB"/>
        </w:rPr>
        <w:t>)</w:t>
      </w:r>
      <w:r w:rsidR="00DF01A1" w:rsidRPr="00E12AF1">
        <w:rPr>
          <w:lang w:val="en-GB"/>
        </w:rPr>
        <w:t>:</w:t>
      </w:r>
    </w:p>
    <w:p w14:paraId="4489CE58" w14:textId="2D211AEB" w:rsidR="00DF01A1" w:rsidRDefault="005C7DA7" w:rsidP="005C1A5A">
      <w:pPr>
        <w:tabs>
          <w:tab w:val="left" w:pos="426"/>
        </w:tabs>
        <w:spacing w:after="200"/>
        <w:ind w:left="426" w:right="568" w:firstLine="0"/>
        <w:jc w:val="both"/>
        <w:rPr>
          <w:lang w:val="en-GB"/>
        </w:rPr>
      </w:pPr>
      <w:r>
        <w:rPr>
          <w:lang w:val="en-GB"/>
        </w:rPr>
        <w:t>“</w:t>
      </w:r>
      <w:r w:rsidR="00DF01A1" w:rsidRPr="005C7DA7">
        <w:rPr>
          <w:i/>
          <w:lang w:val="en-GB"/>
        </w:rPr>
        <w:t>‘processing’ means the performance of payment transaction processing services in terms of the actions required for the handling of a payment instruction between the acquirer and the issuer;</w:t>
      </w:r>
      <w:r>
        <w:rPr>
          <w:lang w:val="en-GB"/>
        </w:rPr>
        <w:t>”</w:t>
      </w:r>
    </w:p>
    <w:p w14:paraId="0D79D9D1" w14:textId="02D763E2" w:rsidR="00DF01A1" w:rsidRPr="00DF01A1" w:rsidRDefault="00680CA6" w:rsidP="00DF01A1">
      <w:pPr>
        <w:spacing w:after="200"/>
        <w:ind w:left="0" w:firstLine="0"/>
        <w:jc w:val="both"/>
        <w:rPr>
          <w:lang w:val="en-GB"/>
        </w:rPr>
      </w:pPr>
      <w:r>
        <w:rPr>
          <w:lang w:val="en-GB"/>
        </w:rPr>
        <w:t>In other words, the IFR definition of ‘</w:t>
      </w:r>
      <w:r w:rsidR="005C7DA7">
        <w:rPr>
          <w:lang w:val="en-GB"/>
        </w:rPr>
        <w:t>p</w:t>
      </w:r>
      <w:r w:rsidR="00DF01A1" w:rsidRPr="00DF01A1">
        <w:rPr>
          <w:lang w:val="en-GB"/>
        </w:rPr>
        <w:t>rocessing</w:t>
      </w:r>
      <w:r>
        <w:rPr>
          <w:lang w:val="en-GB"/>
        </w:rPr>
        <w:t>’</w:t>
      </w:r>
      <w:r w:rsidR="00DF01A1" w:rsidRPr="00DF01A1">
        <w:rPr>
          <w:lang w:val="en-GB"/>
        </w:rPr>
        <w:t xml:space="preserve"> includes </w:t>
      </w:r>
      <w:r>
        <w:rPr>
          <w:lang w:val="en-GB"/>
        </w:rPr>
        <w:t xml:space="preserve">only </w:t>
      </w:r>
      <w:r w:rsidR="00DF01A1" w:rsidRPr="00DF01A1">
        <w:rPr>
          <w:lang w:val="en-GB"/>
        </w:rPr>
        <w:t xml:space="preserve">the </w:t>
      </w:r>
      <w:r w:rsidR="00E12AF1">
        <w:rPr>
          <w:lang w:val="en-GB"/>
        </w:rPr>
        <w:t>following</w:t>
      </w:r>
      <w:r w:rsidR="00DF01A1" w:rsidRPr="00DF01A1">
        <w:rPr>
          <w:lang w:val="en-GB"/>
        </w:rPr>
        <w:t xml:space="preserve"> services:</w:t>
      </w:r>
    </w:p>
    <w:p w14:paraId="24D3EE08" w14:textId="6201D352" w:rsidR="00DF01A1" w:rsidRPr="005C7DA7" w:rsidRDefault="005C7DA7" w:rsidP="00227BBD">
      <w:pPr>
        <w:pStyle w:val="ListParagraph"/>
        <w:numPr>
          <w:ilvl w:val="0"/>
          <w:numId w:val="21"/>
        </w:numPr>
        <w:spacing w:after="200"/>
        <w:contextualSpacing w:val="0"/>
        <w:jc w:val="both"/>
        <w:rPr>
          <w:lang w:val="en-GB"/>
        </w:rPr>
      </w:pPr>
      <w:r w:rsidRPr="005C7DA7">
        <w:rPr>
          <w:lang w:val="en-GB"/>
        </w:rPr>
        <w:t>Authorisation</w:t>
      </w:r>
      <w:r w:rsidR="00DF01A1" w:rsidRPr="005C7DA7">
        <w:rPr>
          <w:lang w:val="en-GB"/>
        </w:rPr>
        <w:t>: routing of transactions between acquirers and issuers</w:t>
      </w:r>
    </w:p>
    <w:p w14:paraId="73A41F0B" w14:textId="6C825C8C" w:rsidR="00DF01A1" w:rsidRPr="005C7DA7" w:rsidRDefault="005C7DA7" w:rsidP="00227BBD">
      <w:pPr>
        <w:pStyle w:val="ListParagraph"/>
        <w:numPr>
          <w:ilvl w:val="0"/>
          <w:numId w:val="21"/>
        </w:numPr>
        <w:spacing w:after="200"/>
        <w:contextualSpacing w:val="0"/>
        <w:jc w:val="both"/>
        <w:rPr>
          <w:lang w:val="en-GB"/>
        </w:rPr>
      </w:pPr>
      <w:r w:rsidRPr="005C7DA7">
        <w:rPr>
          <w:lang w:val="en-GB"/>
        </w:rPr>
        <w:t>Clearing</w:t>
      </w:r>
      <w:r w:rsidR="00DF01A1" w:rsidRPr="005C7DA7">
        <w:rPr>
          <w:lang w:val="en-GB"/>
        </w:rPr>
        <w:t>: accounting statement between acquirers and issuers</w:t>
      </w:r>
    </w:p>
    <w:p w14:paraId="199F2625" w14:textId="307DBA73" w:rsidR="005C7DA7" w:rsidRPr="005C7DA7" w:rsidRDefault="00DF01A1" w:rsidP="00227BBD">
      <w:pPr>
        <w:pStyle w:val="ListParagraph"/>
        <w:numPr>
          <w:ilvl w:val="0"/>
          <w:numId w:val="21"/>
        </w:numPr>
        <w:spacing w:after="200"/>
        <w:ind w:left="714" w:hanging="357"/>
        <w:contextualSpacing w:val="0"/>
        <w:jc w:val="both"/>
        <w:rPr>
          <w:lang w:val="en-GB"/>
        </w:rPr>
      </w:pPr>
      <w:r w:rsidRPr="005C7DA7">
        <w:rPr>
          <w:lang w:val="en-GB"/>
        </w:rPr>
        <w:t>Settlement: inform</w:t>
      </w:r>
      <w:r w:rsidR="005C7DA7" w:rsidRPr="005C7DA7">
        <w:rPr>
          <w:lang w:val="en-GB"/>
        </w:rPr>
        <w:t>ing</w:t>
      </w:r>
      <w:r w:rsidRPr="005C7DA7">
        <w:rPr>
          <w:lang w:val="en-GB"/>
        </w:rPr>
        <w:t xml:space="preserve"> banks about settlement position </w:t>
      </w:r>
    </w:p>
    <w:p w14:paraId="7FE73D05" w14:textId="55A1AB66" w:rsidR="00680CA6" w:rsidRPr="00680CA6" w:rsidRDefault="00680CA6" w:rsidP="00680CA6">
      <w:pPr>
        <w:pStyle w:val="ListParagraph"/>
        <w:numPr>
          <w:ilvl w:val="0"/>
          <w:numId w:val="20"/>
        </w:numPr>
        <w:spacing w:after="200"/>
        <w:ind w:left="0" w:hanging="426"/>
        <w:contextualSpacing w:val="0"/>
        <w:jc w:val="both"/>
        <w:rPr>
          <w:lang w:val="en-GB"/>
        </w:rPr>
      </w:pPr>
      <w:r>
        <w:rPr>
          <w:lang w:val="en-GB"/>
        </w:rPr>
        <w:lastRenderedPageBreak/>
        <w:t xml:space="preserve">This is because </w:t>
      </w:r>
      <w:r w:rsidR="009D38D6">
        <w:rPr>
          <w:lang w:val="en-GB"/>
        </w:rPr>
        <w:t xml:space="preserve">only </w:t>
      </w:r>
      <w:r>
        <w:rPr>
          <w:lang w:val="en-GB"/>
        </w:rPr>
        <w:t xml:space="preserve">authorization, clearing and settlement are (1) actions that occur between the acquirer and the issuer, and (2) are </w:t>
      </w:r>
      <w:r w:rsidR="003352D5">
        <w:rPr>
          <w:lang w:val="en-GB"/>
        </w:rPr>
        <w:t xml:space="preserve">at the same time </w:t>
      </w:r>
      <w:r>
        <w:rPr>
          <w:lang w:val="en-GB"/>
        </w:rPr>
        <w:t>necessary for the handling of a payment instruction between them.</w:t>
      </w:r>
    </w:p>
    <w:p w14:paraId="1FA6CC25" w14:textId="09E51EE3" w:rsidR="00680CA6" w:rsidRDefault="00680CA6" w:rsidP="00B24B78">
      <w:pPr>
        <w:pStyle w:val="ListParagraph"/>
        <w:numPr>
          <w:ilvl w:val="0"/>
          <w:numId w:val="20"/>
        </w:numPr>
        <w:spacing w:after="200"/>
        <w:ind w:left="0" w:hanging="426"/>
        <w:jc w:val="both"/>
        <w:rPr>
          <w:lang w:val="en-GB"/>
        </w:rPr>
      </w:pPr>
      <w:r>
        <w:rPr>
          <w:lang w:val="en-GB"/>
        </w:rPr>
        <w:t xml:space="preserve">Thus, the IFR definition of ‘processing’ covers one of the three domains identified in the </w:t>
      </w:r>
      <w:r w:rsidRPr="00680CA6">
        <w:rPr>
          <w:lang w:val="en-GB"/>
        </w:rPr>
        <w:t xml:space="preserve">SEPA </w:t>
      </w:r>
      <w:r>
        <w:rPr>
          <w:lang w:val="en-GB"/>
        </w:rPr>
        <w:t>Cards Processing Framework Book 7:</w:t>
      </w:r>
      <w:r w:rsidRPr="00680CA6">
        <w:rPr>
          <w:lang w:val="en-GB"/>
        </w:rPr>
        <w:t xml:space="preserve"> the Inter-PSP domain </w:t>
      </w:r>
      <w:r w:rsidR="00B24B78">
        <w:rPr>
          <w:lang w:val="en-GB"/>
        </w:rPr>
        <w:t>(also called inter-bank domain), which covers the</w:t>
      </w:r>
      <w:r w:rsidRPr="00680CA6">
        <w:rPr>
          <w:lang w:val="en-GB"/>
        </w:rPr>
        <w:t xml:space="preserve"> services allowing Acquirer Processors to interact with Issuing Processors for the execution of the transactions</w:t>
      </w:r>
      <w:r w:rsidR="00B24B78">
        <w:rPr>
          <w:lang w:val="en-GB"/>
        </w:rPr>
        <w:t xml:space="preserve">. </w:t>
      </w:r>
      <w:r w:rsidR="000E470B">
        <w:rPr>
          <w:lang w:val="en-GB"/>
        </w:rPr>
        <w:t xml:space="preserve"> </w:t>
      </w:r>
      <w:r w:rsidR="00B24B78">
        <w:rPr>
          <w:lang w:val="en-GB"/>
        </w:rPr>
        <w:t xml:space="preserve">The other two domains identified in the </w:t>
      </w:r>
      <w:r w:rsidR="00B24B78" w:rsidRPr="00680CA6">
        <w:rPr>
          <w:lang w:val="en-GB"/>
        </w:rPr>
        <w:t xml:space="preserve">SEPA </w:t>
      </w:r>
      <w:r w:rsidR="00B24B78">
        <w:rPr>
          <w:lang w:val="en-GB"/>
        </w:rPr>
        <w:t>Cards Processing Framework Book 7 are instead excluded: (a) the Acquiring domain (</w:t>
      </w:r>
      <w:r w:rsidRPr="00680CA6">
        <w:rPr>
          <w:lang w:val="en-GB"/>
        </w:rPr>
        <w:t>services provided to Acquirers and their merchant customers for</w:t>
      </w:r>
      <w:r w:rsidR="00B24B78">
        <w:rPr>
          <w:lang w:val="en-GB"/>
        </w:rPr>
        <w:t xml:space="preserve"> </w:t>
      </w:r>
      <w:r w:rsidRPr="00B24B78">
        <w:rPr>
          <w:lang w:val="en-GB"/>
        </w:rPr>
        <w:t>acceptance of transactions</w:t>
      </w:r>
      <w:r w:rsidR="00B24B78">
        <w:rPr>
          <w:lang w:val="en-GB"/>
        </w:rPr>
        <w:t>) and (b) the Issuing domain (</w:t>
      </w:r>
      <w:r w:rsidRPr="00B24B78">
        <w:rPr>
          <w:lang w:val="en-GB"/>
        </w:rPr>
        <w:t>services provided to Issuers and their cardholder customers for issuance of</w:t>
      </w:r>
      <w:r w:rsidR="00B24B78">
        <w:rPr>
          <w:lang w:val="en-GB"/>
        </w:rPr>
        <w:t xml:space="preserve"> </w:t>
      </w:r>
      <w:r w:rsidRPr="00B24B78">
        <w:rPr>
          <w:lang w:val="en-GB"/>
        </w:rPr>
        <w:t>card payment products</w:t>
      </w:r>
      <w:r w:rsidR="00045BDB">
        <w:rPr>
          <w:lang w:val="en-GB"/>
        </w:rPr>
        <w:t>).</w:t>
      </w:r>
    </w:p>
    <w:p w14:paraId="0E452DDA" w14:textId="77777777" w:rsidR="00B24B78" w:rsidRPr="00B24B78" w:rsidRDefault="00B24B78" w:rsidP="00B24B78">
      <w:pPr>
        <w:spacing w:after="200"/>
        <w:jc w:val="both"/>
        <w:rPr>
          <w:lang w:val="en-GB"/>
        </w:rPr>
      </w:pPr>
    </w:p>
    <w:p w14:paraId="5CF275AA" w14:textId="43D88EBB" w:rsidR="00680CA6" w:rsidRPr="003352D5" w:rsidRDefault="00B24B78" w:rsidP="003352D5">
      <w:pPr>
        <w:pStyle w:val="ListParagraph"/>
        <w:numPr>
          <w:ilvl w:val="0"/>
          <w:numId w:val="20"/>
        </w:numPr>
        <w:spacing w:after="200"/>
        <w:ind w:left="0" w:hanging="426"/>
        <w:jc w:val="both"/>
        <w:rPr>
          <w:lang w:val="en-GB"/>
        </w:rPr>
      </w:pPr>
      <w:r>
        <w:rPr>
          <w:lang w:val="en-GB"/>
        </w:rPr>
        <w:t>EBA</w:t>
      </w:r>
      <w:r w:rsidR="00221840">
        <w:rPr>
          <w:lang w:val="en-GB"/>
        </w:rPr>
        <w:t xml:space="preserve">’s mandate under Article 7(6) </w:t>
      </w:r>
      <w:r w:rsidR="003352D5">
        <w:rPr>
          <w:lang w:val="en-GB"/>
        </w:rPr>
        <w:t xml:space="preserve">of the </w:t>
      </w:r>
      <w:r w:rsidR="00221840">
        <w:rPr>
          <w:lang w:val="en-GB"/>
        </w:rPr>
        <w:t>IFR is not to re-write the definition of ‘process</w:t>
      </w:r>
      <w:r w:rsidR="003352D5">
        <w:rPr>
          <w:lang w:val="en-GB"/>
        </w:rPr>
        <w:t xml:space="preserve">ing’ contained in the IFR.  There is no need to clarify this definition because it is already clear.  EBA </w:t>
      </w:r>
      <w:r w:rsidR="00221840">
        <w:rPr>
          <w:lang w:val="en-GB"/>
        </w:rPr>
        <w:t>should expressly en</w:t>
      </w:r>
      <w:r w:rsidR="003352D5">
        <w:rPr>
          <w:lang w:val="en-GB"/>
        </w:rPr>
        <w:t>dorse the IFR definition and</w:t>
      </w:r>
      <w:r w:rsidR="00221840">
        <w:rPr>
          <w:lang w:val="en-GB"/>
        </w:rPr>
        <w:t xml:space="preserve"> </w:t>
      </w:r>
      <w:r w:rsidR="003352D5">
        <w:rPr>
          <w:lang w:val="en-GB"/>
        </w:rPr>
        <w:t xml:space="preserve">refrain from stating that </w:t>
      </w:r>
      <w:r w:rsidR="00221840">
        <w:rPr>
          <w:lang w:val="en-GB"/>
        </w:rPr>
        <w:t xml:space="preserve">other </w:t>
      </w:r>
      <w:r w:rsidR="00221840">
        <w:rPr>
          <w:lang w:val="en-GB"/>
        </w:rPr>
        <w:lastRenderedPageBreak/>
        <w:t xml:space="preserve">interpretations </w:t>
      </w:r>
      <w:r w:rsidR="003352D5">
        <w:rPr>
          <w:lang w:val="en-GB"/>
        </w:rPr>
        <w:t xml:space="preserve">are possible.  No other interpretation is lawful under </w:t>
      </w:r>
      <w:r w:rsidRPr="00E12AF1">
        <w:rPr>
          <w:lang w:val="en-GB"/>
        </w:rPr>
        <w:t>Article 2</w:t>
      </w:r>
      <w:r>
        <w:rPr>
          <w:lang w:val="en-GB"/>
        </w:rPr>
        <w:t>(27)</w:t>
      </w:r>
      <w:r w:rsidRPr="00E12AF1">
        <w:rPr>
          <w:lang w:val="en-GB"/>
        </w:rPr>
        <w:t xml:space="preserve"> of the IFR</w:t>
      </w:r>
      <w:r>
        <w:rPr>
          <w:lang w:val="en-GB"/>
        </w:rPr>
        <w:t>.</w:t>
      </w:r>
      <w:r w:rsidR="003352D5">
        <w:rPr>
          <w:lang w:val="en-GB"/>
        </w:rPr>
        <w:t xml:space="preserve">  Thus, points 24, 25, 26 (page 9) of the CP should be deleted.</w:t>
      </w:r>
    </w:p>
    <w:p w14:paraId="41ECAC7E" w14:textId="00F55265" w:rsidR="00EF495E" w:rsidRPr="00EF495E" w:rsidRDefault="00EF495E" w:rsidP="00DF01A1">
      <w:pPr>
        <w:spacing w:after="200"/>
        <w:ind w:left="0" w:firstLine="0"/>
        <w:jc w:val="both"/>
        <w:rPr>
          <w:b/>
          <w:i/>
          <w:lang w:val="en-GB"/>
        </w:rPr>
      </w:pPr>
      <w:r>
        <w:rPr>
          <w:b/>
          <w:i/>
          <w:lang w:val="en-GB"/>
        </w:rPr>
        <w:t>One</w:t>
      </w:r>
      <w:r w:rsidR="00111E66">
        <w:rPr>
          <w:b/>
          <w:i/>
          <w:lang w:val="en-GB"/>
        </w:rPr>
        <w:t xml:space="preserve">-stop-shop for compliance </w:t>
      </w:r>
      <w:r w:rsidRPr="00EF495E">
        <w:rPr>
          <w:b/>
          <w:i/>
          <w:lang w:val="en-GB"/>
        </w:rPr>
        <w:t>is needed</w:t>
      </w:r>
      <w:r w:rsidR="000E470B">
        <w:rPr>
          <w:b/>
          <w:i/>
          <w:lang w:val="en-GB"/>
        </w:rPr>
        <w:t xml:space="preserve"> to achieve a </w:t>
      </w:r>
      <w:r w:rsidR="000E470B" w:rsidRPr="000E470B">
        <w:rPr>
          <w:b/>
          <w:i/>
          <w:lang w:val="en-GB"/>
        </w:rPr>
        <w:t>Single Market for electronic payments</w:t>
      </w:r>
      <w:r w:rsidRPr="00EF495E">
        <w:rPr>
          <w:b/>
          <w:i/>
          <w:lang w:val="en-GB"/>
        </w:rPr>
        <w:t xml:space="preserve">  </w:t>
      </w:r>
    </w:p>
    <w:p w14:paraId="1923A049" w14:textId="298ADED1" w:rsidR="00565E93" w:rsidRDefault="00EF495E" w:rsidP="0001126C">
      <w:pPr>
        <w:pStyle w:val="ListParagraph"/>
        <w:numPr>
          <w:ilvl w:val="0"/>
          <w:numId w:val="20"/>
        </w:numPr>
        <w:spacing w:after="200"/>
        <w:ind w:left="0" w:hanging="426"/>
        <w:contextualSpacing w:val="0"/>
        <w:jc w:val="both"/>
        <w:rPr>
          <w:lang w:val="en-GB"/>
        </w:rPr>
      </w:pPr>
      <w:r w:rsidRPr="00A13FF8">
        <w:rPr>
          <w:lang w:val="en-GB"/>
        </w:rPr>
        <w:t xml:space="preserve">There is no clarity </w:t>
      </w:r>
      <w:r w:rsidR="00565E93">
        <w:rPr>
          <w:lang w:val="en-GB"/>
        </w:rPr>
        <w:t xml:space="preserve">in the RTS </w:t>
      </w:r>
      <w:r w:rsidRPr="00A13FF8">
        <w:rPr>
          <w:lang w:val="en-GB"/>
        </w:rPr>
        <w:t xml:space="preserve">on whether </w:t>
      </w:r>
      <w:r w:rsidR="00565E93">
        <w:rPr>
          <w:lang w:val="en-GB"/>
        </w:rPr>
        <w:t xml:space="preserve">schemes </w:t>
      </w:r>
      <w:r w:rsidR="00565E93" w:rsidRPr="00A13FF8">
        <w:rPr>
          <w:lang w:val="en-GB"/>
        </w:rPr>
        <w:t>will be able to limit the</w:t>
      </w:r>
      <w:r w:rsidR="00111E66">
        <w:rPr>
          <w:lang w:val="en-GB"/>
        </w:rPr>
        <w:t>ir</w:t>
      </w:r>
      <w:r w:rsidR="00565E93" w:rsidRPr="00A13FF8">
        <w:rPr>
          <w:lang w:val="en-GB"/>
        </w:rPr>
        <w:t xml:space="preserve"> interactions in terms of compliance </w:t>
      </w:r>
      <w:r w:rsidR="00565E93">
        <w:rPr>
          <w:lang w:val="en-GB"/>
        </w:rPr>
        <w:t xml:space="preserve">with Article 7 </w:t>
      </w:r>
      <w:r w:rsidR="00565E93" w:rsidRPr="00A13FF8">
        <w:rPr>
          <w:lang w:val="en-GB"/>
        </w:rPr>
        <w:t xml:space="preserve">to a single </w:t>
      </w:r>
      <w:r w:rsidR="00565E93">
        <w:rPr>
          <w:lang w:val="en-GB"/>
        </w:rPr>
        <w:t xml:space="preserve">national </w:t>
      </w:r>
      <w:r w:rsidR="00565E93" w:rsidRPr="00A13FF8">
        <w:rPr>
          <w:lang w:val="en-GB"/>
        </w:rPr>
        <w:t xml:space="preserve">competent authority </w:t>
      </w:r>
      <w:r w:rsidR="00565E93">
        <w:rPr>
          <w:lang w:val="en-GB"/>
        </w:rPr>
        <w:t xml:space="preserve">(NCA). </w:t>
      </w:r>
      <w:r w:rsidR="00204C33">
        <w:rPr>
          <w:lang w:val="en-GB"/>
        </w:rPr>
        <w:t xml:space="preserve"> </w:t>
      </w:r>
      <w:r w:rsidR="00565E93">
        <w:rPr>
          <w:lang w:val="en-GB"/>
        </w:rPr>
        <w:t xml:space="preserve">International </w:t>
      </w:r>
      <w:r w:rsidR="00453FBD">
        <w:rPr>
          <w:lang w:val="en-GB"/>
        </w:rPr>
        <w:t xml:space="preserve">card </w:t>
      </w:r>
      <w:r w:rsidR="00565E93">
        <w:rPr>
          <w:lang w:val="en-GB"/>
        </w:rPr>
        <w:t>schemes offer their services across Europe but have a primary establishment in one single Member State</w:t>
      </w:r>
      <w:r w:rsidRPr="00A13FF8">
        <w:rPr>
          <w:lang w:val="en-GB"/>
        </w:rPr>
        <w:t>.</w:t>
      </w:r>
      <w:r w:rsidR="00111E66">
        <w:rPr>
          <w:lang w:val="en-GB"/>
        </w:rPr>
        <w:t xml:space="preserve">  The NCA of that </w:t>
      </w:r>
      <w:r w:rsidR="001C5B18">
        <w:rPr>
          <w:lang w:val="en-GB"/>
        </w:rPr>
        <w:t xml:space="preserve">single </w:t>
      </w:r>
      <w:r w:rsidR="00111E66">
        <w:rPr>
          <w:lang w:val="en-GB"/>
        </w:rPr>
        <w:t xml:space="preserve">State should </w:t>
      </w:r>
      <w:r w:rsidR="00AF5A9F">
        <w:rPr>
          <w:lang w:val="en-GB"/>
        </w:rPr>
        <w:t xml:space="preserve">be the only authority empowered </w:t>
      </w:r>
      <w:r w:rsidR="00111E66">
        <w:rPr>
          <w:lang w:val="en-GB"/>
        </w:rPr>
        <w:t xml:space="preserve">to assess compliance </w:t>
      </w:r>
      <w:r w:rsidR="00AF5A9F">
        <w:rPr>
          <w:lang w:val="en-GB"/>
        </w:rPr>
        <w:t>with Article</w:t>
      </w:r>
      <w:r w:rsidR="00453FBD">
        <w:rPr>
          <w:lang w:val="en-GB"/>
        </w:rPr>
        <w:t xml:space="preserve"> </w:t>
      </w:r>
      <w:r w:rsidR="00111E66">
        <w:rPr>
          <w:lang w:val="en-GB"/>
        </w:rPr>
        <w:t>7.</w:t>
      </w:r>
    </w:p>
    <w:p w14:paraId="182432BD" w14:textId="1BCFC3E8" w:rsidR="00B374CA" w:rsidRPr="001669CC" w:rsidRDefault="00B374CA" w:rsidP="00B374CA">
      <w:pPr>
        <w:pStyle w:val="ListParagraph"/>
        <w:numPr>
          <w:ilvl w:val="0"/>
          <w:numId w:val="20"/>
        </w:numPr>
        <w:spacing w:after="200"/>
        <w:ind w:left="0" w:hanging="426"/>
        <w:contextualSpacing w:val="0"/>
        <w:jc w:val="both"/>
        <w:rPr>
          <w:lang w:val="en-GB"/>
        </w:rPr>
      </w:pPr>
      <w:r w:rsidRPr="001669CC">
        <w:rPr>
          <w:lang w:val="en-GB"/>
        </w:rPr>
        <w:t>This would be consistent with Article 7</w:t>
      </w:r>
      <w:r w:rsidR="002F7E34">
        <w:rPr>
          <w:lang w:val="en-GB"/>
        </w:rPr>
        <w:t>(</w:t>
      </w:r>
      <w:r w:rsidRPr="001669CC">
        <w:rPr>
          <w:lang w:val="en-GB"/>
        </w:rPr>
        <w:t>2</w:t>
      </w:r>
      <w:r w:rsidR="002F7E34">
        <w:rPr>
          <w:lang w:val="en-GB"/>
        </w:rPr>
        <w:t>)</w:t>
      </w:r>
      <w:r w:rsidRPr="001669CC">
        <w:rPr>
          <w:lang w:val="en-GB"/>
        </w:rPr>
        <w:t xml:space="preserve"> </w:t>
      </w:r>
      <w:r w:rsidR="002F7E34">
        <w:rPr>
          <w:lang w:val="en-GB"/>
        </w:rPr>
        <w:t xml:space="preserve">of the </w:t>
      </w:r>
      <w:r w:rsidRPr="001669CC">
        <w:rPr>
          <w:lang w:val="en-GB"/>
        </w:rPr>
        <w:t>IFR</w:t>
      </w:r>
      <w:r>
        <w:rPr>
          <w:lang w:val="en-GB"/>
        </w:rPr>
        <w:t>, according to which it is only the NCA of the home Member State that may request a report confirming compliance with the separation requirements</w:t>
      </w:r>
      <w:r w:rsidRPr="001669CC">
        <w:rPr>
          <w:lang w:val="en-GB"/>
        </w:rPr>
        <w:t xml:space="preserve">.  Article 7(2) </w:t>
      </w:r>
      <w:r w:rsidR="002F7E34">
        <w:rPr>
          <w:lang w:val="en-GB"/>
        </w:rPr>
        <w:t xml:space="preserve">of the </w:t>
      </w:r>
      <w:r w:rsidRPr="001669CC">
        <w:rPr>
          <w:lang w:val="en-GB"/>
        </w:rPr>
        <w:t xml:space="preserve">IFR reads: </w:t>
      </w:r>
    </w:p>
    <w:p w14:paraId="3FBB3EF9" w14:textId="77777777" w:rsidR="00B374CA" w:rsidRPr="001669CC" w:rsidRDefault="00B374CA" w:rsidP="005C1A5A">
      <w:pPr>
        <w:tabs>
          <w:tab w:val="left" w:pos="8789"/>
        </w:tabs>
        <w:spacing w:after="200"/>
        <w:ind w:left="426" w:right="568" w:firstLine="0"/>
        <w:jc w:val="both"/>
        <w:rPr>
          <w:lang w:val="en-GB"/>
        </w:rPr>
      </w:pPr>
      <w:r w:rsidRPr="001669CC">
        <w:rPr>
          <w:lang w:val="en-GB"/>
        </w:rPr>
        <w:t>“</w:t>
      </w:r>
      <w:r w:rsidRPr="001669CC">
        <w:rPr>
          <w:i/>
          <w:lang w:val="en-GB"/>
        </w:rPr>
        <w:t>The competent authority of the Member State where the registered office of the scheme is located may require a payment card scheme to provide an independent report confirming its compliance with paragraph 1.</w:t>
      </w:r>
      <w:r w:rsidRPr="001669CC">
        <w:rPr>
          <w:lang w:val="en-GB"/>
        </w:rPr>
        <w:t xml:space="preserve">” </w:t>
      </w:r>
    </w:p>
    <w:p w14:paraId="304F8C6F" w14:textId="166DA296" w:rsidR="00B374CA" w:rsidRPr="000E470B" w:rsidRDefault="00B374CA" w:rsidP="000E470B">
      <w:pPr>
        <w:pStyle w:val="ListParagraph"/>
        <w:numPr>
          <w:ilvl w:val="0"/>
          <w:numId w:val="20"/>
        </w:numPr>
        <w:spacing w:after="200"/>
        <w:ind w:left="0" w:hanging="425"/>
        <w:contextualSpacing w:val="0"/>
        <w:jc w:val="both"/>
        <w:rPr>
          <w:lang w:val="en-GB"/>
        </w:rPr>
      </w:pPr>
      <w:r>
        <w:rPr>
          <w:lang w:val="en-GB"/>
        </w:rPr>
        <w:lastRenderedPageBreak/>
        <w:t xml:space="preserve">Indeed, it is a </w:t>
      </w:r>
      <w:r w:rsidR="00924BB6">
        <w:rPr>
          <w:lang w:val="en-GB"/>
        </w:rPr>
        <w:t>general</w:t>
      </w:r>
      <w:r>
        <w:rPr>
          <w:lang w:val="en-GB"/>
        </w:rPr>
        <w:t xml:space="preserve"> principle for payment </w:t>
      </w:r>
      <w:r w:rsidRPr="00C0428E">
        <w:rPr>
          <w:lang w:val="en-GB"/>
        </w:rPr>
        <w:t xml:space="preserve">systems </w:t>
      </w:r>
      <w:r w:rsidR="002F7E34">
        <w:rPr>
          <w:lang w:val="en-GB"/>
        </w:rPr>
        <w:t xml:space="preserve">and banks </w:t>
      </w:r>
      <w:r>
        <w:rPr>
          <w:lang w:val="en-GB"/>
        </w:rPr>
        <w:t xml:space="preserve">to be </w:t>
      </w:r>
      <w:r w:rsidRPr="00C0428E">
        <w:rPr>
          <w:lang w:val="en-GB"/>
        </w:rPr>
        <w:t>overseen by their home</w:t>
      </w:r>
      <w:r>
        <w:rPr>
          <w:lang w:val="en-GB"/>
        </w:rPr>
        <w:t xml:space="preserve"> NCA.  </w:t>
      </w:r>
      <w:r w:rsidRPr="00924BB6">
        <w:rPr>
          <w:lang w:val="en-GB"/>
        </w:rPr>
        <w:t xml:space="preserve">The PSD and PSD2 allow companies to deal primarily with a single NCA, which </w:t>
      </w:r>
      <w:r w:rsidR="002F7E34">
        <w:rPr>
          <w:lang w:val="en-GB"/>
        </w:rPr>
        <w:t>authorizes</w:t>
      </w:r>
      <w:r w:rsidRPr="00924BB6">
        <w:rPr>
          <w:lang w:val="en-GB"/>
        </w:rPr>
        <w:t xml:space="preserve"> them to operate across the entire EU through passporting.  </w:t>
      </w:r>
      <w:r w:rsidR="00924BB6" w:rsidRPr="000E470B">
        <w:rPr>
          <w:lang w:val="en-GB"/>
        </w:rPr>
        <w:t xml:space="preserve">For example, </w:t>
      </w:r>
      <w:r w:rsidRPr="000E470B">
        <w:rPr>
          <w:lang w:val="en-GB"/>
        </w:rPr>
        <w:t>the home NCA is competent for a number of compliance issues</w:t>
      </w:r>
      <w:r w:rsidR="000E470B">
        <w:rPr>
          <w:lang w:val="en-GB"/>
        </w:rPr>
        <w:t>, even when cross-border aspects are involved</w:t>
      </w:r>
      <w:r w:rsidRPr="000E470B">
        <w:rPr>
          <w:lang w:val="en-GB"/>
        </w:rPr>
        <w:t>:</w:t>
      </w:r>
    </w:p>
    <w:p w14:paraId="76CB437B" w14:textId="66DF70CE" w:rsidR="00B374CA" w:rsidRDefault="00B374CA" w:rsidP="00B374CA">
      <w:pPr>
        <w:pStyle w:val="ListParagraph"/>
        <w:numPr>
          <w:ilvl w:val="0"/>
          <w:numId w:val="22"/>
        </w:numPr>
        <w:spacing w:after="200"/>
        <w:contextualSpacing w:val="0"/>
        <w:jc w:val="both"/>
        <w:rPr>
          <w:lang w:val="en-GB"/>
        </w:rPr>
      </w:pPr>
      <w:r w:rsidRPr="001669CC">
        <w:rPr>
          <w:lang w:val="en-GB"/>
        </w:rPr>
        <w:t>authorisa</w:t>
      </w:r>
      <w:r w:rsidR="00924BB6">
        <w:rPr>
          <w:lang w:val="en-GB"/>
        </w:rPr>
        <w:t>tion and prudential supervision;</w:t>
      </w:r>
      <w:r w:rsidR="00924BB6">
        <w:rPr>
          <w:rStyle w:val="FootnoteReference"/>
          <w:lang w:val="en-GB"/>
        </w:rPr>
        <w:footnoteReference w:id="2"/>
      </w:r>
    </w:p>
    <w:p w14:paraId="6EE8B89F" w14:textId="26866F62" w:rsidR="00B374CA" w:rsidRDefault="00B374CA" w:rsidP="00B374CA">
      <w:pPr>
        <w:pStyle w:val="ListParagraph"/>
        <w:numPr>
          <w:ilvl w:val="0"/>
          <w:numId w:val="22"/>
        </w:numPr>
        <w:spacing w:after="200"/>
        <w:contextualSpacing w:val="0"/>
        <w:jc w:val="both"/>
        <w:rPr>
          <w:lang w:val="en-GB"/>
        </w:rPr>
      </w:pPr>
      <w:r>
        <w:rPr>
          <w:lang w:val="en-GB"/>
        </w:rPr>
        <w:t>taking m</w:t>
      </w:r>
      <w:r w:rsidRPr="00B8472F">
        <w:rPr>
          <w:lang w:val="en-GB"/>
        </w:rPr>
        <w:t xml:space="preserve">easures </w:t>
      </w:r>
      <w:r>
        <w:rPr>
          <w:lang w:val="en-GB"/>
        </w:rPr>
        <w:t>for</w:t>
      </w:r>
      <w:r w:rsidRPr="00B8472F">
        <w:rPr>
          <w:lang w:val="en-GB"/>
        </w:rPr>
        <w:t xml:space="preserve"> non-compliance</w:t>
      </w:r>
      <w:r w:rsidR="00924BB6">
        <w:rPr>
          <w:lang w:val="en-GB"/>
        </w:rPr>
        <w:t>;</w:t>
      </w:r>
      <w:r w:rsidR="00924BB6">
        <w:rPr>
          <w:rStyle w:val="FootnoteReference"/>
          <w:lang w:val="en-GB"/>
        </w:rPr>
        <w:footnoteReference w:id="3"/>
      </w:r>
      <w:r>
        <w:rPr>
          <w:lang w:val="en-GB"/>
        </w:rPr>
        <w:t xml:space="preserve"> </w:t>
      </w:r>
      <w:r w:rsidRPr="00B8472F">
        <w:rPr>
          <w:lang w:val="en-GB"/>
        </w:rPr>
        <w:t xml:space="preserve"> </w:t>
      </w:r>
    </w:p>
    <w:p w14:paraId="70FF9E2D" w14:textId="46B615A2" w:rsidR="00B374CA" w:rsidRDefault="00B374CA" w:rsidP="00B374CA">
      <w:pPr>
        <w:pStyle w:val="ListParagraph"/>
        <w:numPr>
          <w:ilvl w:val="0"/>
          <w:numId w:val="22"/>
        </w:numPr>
        <w:spacing w:after="200"/>
        <w:contextualSpacing w:val="0"/>
        <w:jc w:val="both"/>
        <w:rPr>
          <w:lang w:val="en-GB"/>
        </w:rPr>
      </w:pPr>
      <w:r>
        <w:rPr>
          <w:lang w:val="en-GB"/>
        </w:rPr>
        <w:t xml:space="preserve">receiving notifications of </w:t>
      </w:r>
      <w:r w:rsidRPr="00B817A4">
        <w:rPr>
          <w:lang w:val="en-GB"/>
        </w:rPr>
        <w:t>major operational or security incident</w:t>
      </w:r>
      <w:r w:rsidR="00924BB6">
        <w:rPr>
          <w:lang w:val="en-GB"/>
        </w:rPr>
        <w:t>s;</w:t>
      </w:r>
      <w:r w:rsidR="00924BB6">
        <w:rPr>
          <w:rStyle w:val="FootnoteReference"/>
          <w:lang w:val="en-GB"/>
        </w:rPr>
        <w:footnoteReference w:id="4"/>
      </w:r>
    </w:p>
    <w:p w14:paraId="19640C47" w14:textId="18B960F7" w:rsidR="00B374CA" w:rsidRPr="00517A4D" w:rsidRDefault="00B374CA" w:rsidP="00517A4D">
      <w:pPr>
        <w:pStyle w:val="ListParagraph"/>
        <w:numPr>
          <w:ilvl w:val="0"/>
          <w:numId w:val="20"/>
        </w:numPr>
        <w:spacing w:after="200"/>
        <w:ind w:left="0" w:hanging="426"/>
        <w:contextualSpacing w:val="0"/>
        <w:jc w:val="both"/>
        <w:rPr>
          <w:lang w:val="en-GB"/>
        </w:rPr>
      </w:pPr>
      <w:r w:rsidRPr="00517A4D">
        <w:rPr>
          <w:lang w:val="en-GB"/>
        </w:rPr>
        <w:lastRenderedPageBreak/>
        <w:t>The new regulation on Data Privacy has also endorsed the concept of one regulator</w:t>
      </w:r>
      <w:r w:rsidR="00924BB6">
        <w:rPr>
          <w:rStyle w:val="FootnoteReference"/>
          <w:lang w:val="en-GB"/>
        </w:rPr>
        <w:footnoteReference w:id="5"/>
      </w:r>
      <w:r w:rsidR="002C2264" w:rsidRPr="00517A4D">
        <w:rPr>
          <w:lang w:val="en-GB"/>
        </w:rPr>
        <w:t xml:space="preserve"> and so has the NIS Directive</w:t>
      </w:r>
      <w:r w:rsidR="00204C33" w:rsidRPr="00517A4D">
        <w:rPr>
          <w:lang w:val="en-GB"/>
        </w:rPr>
        <w:t>.</w:t>
      </w:r>
      <w:r w:rsidR="00924BB6">
        <w:rPr>
          <w:rStyle w:val="FootnoteReference"/>
          <w:lang w:val="en-GB"/>
        </w:rPr>
        <w:footnoteReference w:id="6"/>
      </w:r>
    </w:p>
    <w:p w14:paraId="298933E1" w14:textId="1E5E4158" w:rsidR="00B374CA" w:rsidRPr="00517A4D" w:rsidRDefault="00B374CA" w:rsidP="00517A4D">
      <w:pPr>
        <w:pStyle w:val="ListParagraph"/>
        <w:numPr>
          <w:ilvl w:val="0"/>
          <w:numId w:val="20"/>
        </w:numPr>
        <w:spacing w:after="200"/>
        <w:ind w:left="0" w:hanging="425"/>
        <w:contextualSpacing w:val="0"/>
        <w:jc w:val="both"/>
        <w:rPr>
          <w:lang w:val="en-GB"/>
        </w:rPr>
      </w:pPr>
      <w:r>
        <w:rPr>
          <w:lang w:val="en-GB"/>
        </w:rPr>
        <w:t>The reason why these regulations allow companies to deal primarily with a single national regulator is to guarantee</w:t>
      </w:r>
      <w:r w:rsidRPr="00AC221F">
        <w:rPr>
          <w:lang w:val="en-GB"/>
        </w:rPr>
        <w:t xml:space="preserve"> the proper functioning and completion of an integrated</w:t>
      </w:r>
      <w:r>
        <w:rPr>
          <w:lang w:val="en-GB"/>
        </w:rPr>
        <w:t xml:space="preserve"> Single M</w:t>
      </w:r>
      <w:r w:rsidRPr="00AC221F">
        <w:rPr>
          <w:lang w:val="en-GB"/>
        </w:rPr>
        <w:t>arket</w:t>
      </w:r>
      <w:r>
        <w:rPr>
          <w:lang w:val="en-GB"/>
        </w:rPr>
        <w:t>.</w:t>
      </w:r>
      <w:r w:rsidR="00517A4D">
        <w:rPr>
          <w:lang w:val="en-GB"/>
        </w:rPr>
        <w:t xml:space="preserve">  </w:t>
      </w:r>
      <w:r w:rsidRPr="00517A4D">
        <w:rPr>
          <w:lang w:val="en-GB"/>
        </w:rPr>
        <w:t xml:space="preserve">The PSD, the IFR and the PSD2 </w:t>
      </w:r>
      <w:r w:rsidR="002F7E34">
        <w:rPr>
          <w:lang w:val="en-GB"/>
        </w:rPr>
        <w:t xml:space="preserve">clearly state in their recitals that they </w:t>
      </w:r>
      <w:r w:rsidRPr="00517A4D">
        <w:rPr>
          <w:lang w:val="en-GB"/>
        </w:rPr>
        <w:t xml:space="preserve">have been adopted </w:t>
      </w:r>
      <w:r w:rsidR="002F7E34">
        <w:rPr>
          <w:lang w:val="en-GB"/>
        </w:rPr>
        <w:t>to</w:t>
      </w:r>
      <w:r w:rsidRPr="00517A4D">
        <w:rPr>
          <w:lang w:val="en-GB"/>
        </w:rPr>
        <w:t xml:space="preserve"> creat</w:t>
      </w:r>
      <w:r w:rsidR="002F7E34">
        <w:rPr>
          <w:lang w:val="en-GB"/>
        </w:rPr>
        <w:t>e</w:t>
      </w:r>
      <w:r w:rsidRPr="00517A4D">
        <w:rPr>
          <w:lang w:val="en-GB"/>
        </w:rPr>
        <w:t xml:space="preserve"> a Single Market for electronic payments.</w:t>
      </w:r>
    </w:p>
    <w:p w14:paraId="0F98028D" w14:textId="77777777" w:rsidR="00B374CA" w:rsidRPr="00AC221F" w:rsidRDefault="00B374CA" w:rsidP="00B374CA">
      <w:pPr>
        <w:pStyle w:val="ListParagraph"/>
        <w:numPr>
          <w:ilvl w:val="0"/>
          <w:numId w:val="20"/>
        </w:numPr>
        <w:spacing w:after="200"/>
        <w:ind w:left="0" w:hanging="425"/>
        <w:contextualSpacing w:val="0"/>
        <w:jc w:val="both"/>
        <w:rPr>
          <w:lang w:val="en-GB"/>
        </w:rPr>
      </w:pPr>
      <w:r w:rsidRPr="00AC221F">
        <w:rPr>
          <w:lang w:val="en-GB"/>
        </w:rPr>
        <w:t>If schemes had to liaise with 31 NCAs across Europe for the purpose of demonstrating compliance with Article 7, there would be a very high risk of inconsistent implementation of RTS across the EU Member States</w:t>
      </w:r>
      <w:r>
        <w:rPr>
          <w:lang w:val="en-GB"/>
        </w:rPr>
        <w:t>,</w:t>
      </w:r>
      <w:r w:rsidRPr="00AC221F">
        <w:rPr>
          <w:lang w:val="en-GB"/>
        </w:rPr>
        <w:t xml:space="preserve"> and this would jeopardize the objective of creating a </w:t>
      </w:r>
      <w:r>
        <w:rPr>
          <w:lang w:val="en-GB"/>
        </w:rPr>
        <w:t>S</w:t>
      </w:r>
      <w:r w:rsidRPr="00AC221F">
        <w:rPr>
          <w:lang w:val="en-GB"/>
        </w:rPr>
        <w:t xml:space="preserve">ingle </w:t>
      </w:r>
      <w:r>
        <w:rPr>
          <w:lang w:val="en-GB"/>
        </w:rPr>
        <w:t>M</w:t>
      </w:r>
      <w:r w:rsidRPr="00AC221F">
        <w:rPr>
          <w:lang w:val="en-GB"/>
        </w:rPr>
        <w:t xml:space="preserve">arket for </w:t>
      </w:r>
      <w:r>
        <w:rPr>
          <w:lang w:val="en-GB"/>
        </w:rPr>
        <w:t xml:space="preserve">electronic </w:t>
      </w:r>
      <w:r w:rsidRPr="00AC221F">
        <w:rPr>
          <w:lang w:val="en-GB"/>
        </w:rPr>
        <w:t>payments.</w:t>
      </w:r>
    </w:p>
    <w:p w14:paraId="4AA7825F" w14:textId="49B4947F" w:rsidR="00CE2417" w:rsidRPr="00517A4D" w:rsidRDefault="00B374CA" w:rsidP="00517A4D">
      <w:pPr>
        <w:pStyle w:val="ListParagraph"/>
        <w:numPr>
          <w:ilvl w:val="0"/>
          <w:numId w:val="20"/>
        </w:numPr>
        <w:spacing w:after="200"/>
        <w:ind w:left="0" w:hanging="426"/>
        <w:contextualSpacing w:val="0"/>
        <w:jc w:val="both"/>
        <w:rPr>
          <w:lang w:val="en-GB"/>
        </w:rPr>
      </w:pPr>
      <w:r>
        <w:rPr>
          <w:lang w:val="en-GB"/>
        </w:rPr>
        <w:lastRenderedPageBreak/>
        <w:t>The requirement to liaise with 31 NCAs across Europe would also be very complex, costly and inefficient.</w:t>
      </w:r>
      <w:r w:rsidR="00517A4D">
        <w:rPr>
          <w:lang w:val="en-GB"/>
        </w:rPr>
        <w:t xml:space="preserve">  </w:t>
      </w:r>
      <w:r w:rsidR="00A51C7A" w:rsidRPr="00517A4D">
        <w:rPr>
          <w:lang w:val="en-GB"/>
        </w:rPr>
        <w:t xml:space="preserve">EBA is </w:t>
      </w:r>
      <w:r w:rsidR="00BD091F" w:rsidRPr="00517A4D">
        <w:rPr>
          <w:lang w:val="en-GB"/>
        </w:rPr>
        <w:t>conscious</w:t>
      </w:r>
      <w:r w:rsidR="00A51C7A" w:rsidRPr="00517A4D">
        <w:rPr>
          <w:lang w:val="en-GB"/>
        </w:rPr>
        <w:t xml:space="preserve"> that compliance with Article 7 will increase the level of costs</w:t>
      </w:r>
      <w:r w:rsidR="00BD091F" w:rsidRPr="00517A4D">
        <w:rPr>
          <w:lang w:val="en-GB"/>
        </w:rPr>
        <w:t xml:space="preserve"> for schemes</w:t>
      </w:r>
      <w:r w:rsidR="00A51C7A" w:rsidRPr="00517A4D">
        <w:rPr>
          <w:lang w:val="en-GB"/>
        </w:rPr>
        <w:t xml:space="preserve"> and this could result in increased scheme access costs for all scheme participants</w:t>
      </w:r>
      <w:r w:rsidR="00111E66" w:rsidRPr="00517A4D">
        <w:rPr>
          <w:lang w:val="en-GB"/>
        </w:rPr>
        <w:t xml:space="preserve"> (point</w:t>
      </w:r>
      <w:r w:rsidR="00A51C7A" w:rsidRPr="00517A4D">
        <w:rPr>
          <w:lang w:val="en-GB"/>
        </w:rPr>
        <w:t xml:space="preserve"> 3.2.20</w:t>
      </w:r>
      <w:r w:rsidR="00111E66" w:rsidRPr="00517A4D">
        <w:rPr>
          <w:lang w:val="en-GB"/>
        </w:rPr>
        <w:t xml:space="preserve"> CP</w:t>
      </w:r>
      <w:r w:rsidR="00A51C7A" w:rsidRPr="00517A4D">
        <w:rPr>
          <w:lang w:val="en-GB"/>
        </w:rPr>
        <w:t>).</w:t>
      </w:r>
      <w:r w:rsidR="00BD091F" w:rsidRPr="00517A4D">
        <w:rPr>
          <w:lang w:val="en-GB"/>
        </w:rPr>
        <w:t xml:space="preserve"> </w:t>
      </w:r>
      <w:r w:rsidR="006B73F5" w:rsidRPr="00517A4D">
        <w:rPr>
          <w:lang w:val="en-GB"/>
        </w:rPr>
        <w:t xml:space="preserve"> </w:t>
      </w:r>
      <w:r w:rsidR="00BD091F" w:rsidRPr="00517A4D">
        <w:rPr>
          <w:lang w:val="en-GB"/>
        </w:rPr>
        <w:t xml:space="preserve">EBA itself has stated </w:t>
      </w:r>
      <w:r w:rsidR="006D6DA7" w:rsidRPr="00517A4D">
        <w:rPr>
          <w:lang w:val="en-GB"/>
        </w:rPr>
        <w:t>to have</w:t>
      </w:r>
      <w:r w:rsidR="00BD091F" w:rsidRPr="00517A4D">
        <w:rPr>
          <w:lang w:val="en-GB"/>
        </w:rPr>
        <w:t xml:space="preserve"> “</w:t>
      </w:r>
      <w:r w:rsidR="00BD091F" w:rsidRPr="00517A4D">
        <w:rPr>
          <w:i/>
          <w:lang w:val="en-GB"/>
        </w:rPr>
        <w:t>carefully considered the potential impacts on costs when developing the proposed draft RTS</w:t>
      </w:r>
      <w:r w:rsidR="00BD091F" w:rsidRPr="00517A4D">
        <w:rPr>
          <w:lang w:val="en-GB"/>
        </w:rPr>
        <w:t>” (point</w:t>
      </w:r>
      <w:r w:rsidR="00A51C7A" w:rsidRPr="00517A4D">
        <w:rPr>
          <w:lang w:val="en-GB"/>
        </w:rPr>
        <w:t xml:space="preserve"> 3.2.21</w:t>
      </w:r>
      <w:r w:rsidR="00111E66" w:rsidRPr="00517A4D">
        <w:rPr>
          <w:lang w:val="en-GB"/>
        </w:rPr>
        <w:t xml:space="preserve"> CP</w:t>
      </w:r>
      <w:r w:rsidR="00A51C7A" w:rsidRPr="00517A4D">
        <w:rPr>
          <w:lang w:val="en-GB"/>
        </w:rPr>
        <w:t>)</w:t>
      </w:r>
      <w:r w:rsidR="00BD091F" w:rsidRPr="00517A4D">
        <w:rPr>
          <w:lang w:val="en-GB"/>
        </w:rPr>
        <w:t>.</w:t>
      </w:r>
      <w:r w:rsidR="006B73F5" w:rsidRPr="00517A4D">
        <w:rPr>
          <w:lang w:val="en-GB"/>
        </w:rPr>
        <w:t xml:space="preserve">  EBA </w:t>
      </w:r>
      <w:r w:rsidR="00A51C7A" w:rsidRPr="00517A4D">
        <w:rPr>
          <w:lang w:val="en-GB"/>
        </w:rPr>
        <w:t>should apply th</w:t>
      </w:r>
      <w:r w:rsidR="00AF5A9F" w:rsidRPr="00517A4D">
        <w:rPr>
          <w:lang w:val="en-GB"/>
        </w:rPr>
        <w:t>e same approach</w:t>
      </w:r>
      <w:r w:rsidR="00A51C7A" w:rsidRPr="00517A4D">
        <w:rPr>
          <w:lang w:val="en-GB"/>
        </w:rPr>
        <w:t xml:space="preserve"> on this aspect too</w:t>
      </w:r>
      <w:r w:rsidR="00AF5A9F" w:rsidRPr="00517A4D">
        <w:rPr>
          <w:lang w:val="en-GB"/>
        </w:rPr>
        <w:t xml:space="preserve"> and expressly recognize</w:t>
      </w:r>
      <w:r w:rsidR="00111E66" w:rsidRPr="00517A4D">
        <w:rPr>
          <w:lang w:val="en-GB"/>
        </w:rPr>
        <w:t xml:space="preserve"> that it is impractical for a scheme to liaise with 31 NCAs across Europe</w:t>
      </w:r>
      <w:r w:rsidR="00A51C7A" w:rsidRPr="00517A4D">
        <w:rPr>
          <w:lang w:val="en-GB"/>
        </w:rPr>
        <w:t>.</w:t>
      </w:r>
    </w:p>
    <w:p w14:paraId="6AA4C90C" w14:textId="3EF4DBCF" w:rsidR="00166409" w:rsidRDefault="00166409" w:rsidP="0001126C">
      <w:pPr>
        <w:pStyle w:val="ListParagraph"/>
        <w:numPr>
          <w:ilvl w:val="0"/>
          <w:numId w:val="20"/>
        </w:numPr>
        <w:spacing w:after="200"/>
        <w:ind w:left="0" w:hanging="426"/>
        <w:contextualSpacing w:val="0"/>
        <w:jc w:val="both"/>
        <w:rPr>
          <w:lang w:val="en-GB"/>
        </w:rPr>
      </w:pPr>
      <w:r>
        <w:rPr>
          <w:lang w:val="en-GB"/>
        </w:rPr>
        <w:t xml:space="preserve">We propose </w:t>
      </w:r>
      <w:r w:rsidR="00AF5A9F">
        <w:rPr>
          <w:lang w:val="en-GB"/>
        </w:rPr>
        <w:t xml:space="preserve">therefore </w:t>
      </w:r>
      <w:r>
        <w:rPr>
          <w:lang w:val="en-GB"/>
        </w:rPr>
        <w:t xml:space="preserve">to add a new article </w:t>
      </w:r>
      <w:r w:rsidR="00B374CA">
        <w:rPr>
          <w:lang w:val="en-GB"/>
        </w:rPr>
        <w:t xml:space="preserve">in Section 5: </w:t>
      </w:r>
    </w:p>
    <w:p w14:paraId="68494D20" w14:textId="0642F52B" w:rsidR="00B374CA" w:rsidRDefault="00B374CA" w:rsidP="00B374CA">
      <w:pPr>
        <w:spacing w:after="200"/>
        <w:ind w:left="0" w:firstLine="0"/>
        <w:jc w:val="center"/>
        <w:rPr>
          <w:i/>
        </w:rPr>
      </w:pPr>
      <w:r>
        <w:rPr>
          <w:i/>
        </w:rPr>
        <w:t>Article 18</w:t>
      </w:r>
      <w:r>
        <w:rPr>
          <w:i/>
        </w:rPr>
        <w:br/>
        <w:t>Competent authorities</w:t>
      </w:r>
    </w:p>
    <w:p w14:paraId="5AD27F33" w14:textId="6F87A974" w:rsidR="00D86C27" w:rsidRPr="00D86C27" w:rsidRDefault="00D86C27" w:rsidP="009B5289">
      <w:pPr>
        <w:tabs>
          <w:tab w:val="left" w:pos="8789"/>
        </w:tabs>
        <w:spacing w:after="200"/>
        <w:ind w:left="426" w:right="568" w:firstLine="0"/>
        <w:jc w:val="both"/>
        <w:rPr>
          <w:i/>
        </w:rPr>
      </w:pPr>
      <w:r w:rsidRPr="00D86C27">
        <w:rPr>
          <w:i/>
        </w:rPr>
        <w:t xml:space="preserve">The </w:t>
      </w:r>
      <w:r>
        <w:rPr>
          <w:i/>
        </w:rPr>
        <w:t xml:space="preserve">tasks of ensuring compliance with this Regulation shall be the responsibility of the </w:t>
      </w:r>
      <w:r w:rsidRPr="00D86C27">
        <w:rPr>
          <w:i/>
        </w:rPr>
        <w:t>competent authorit</w:t>
      </w:r>
      <w:r>
        <w:rPr>
          <w:i/>
        </w:rPr>
        <w:t xml:space="preserve">y </w:t>
      </w:r>
      <w:r w:rsidRPr="00D86C27">
        <w:rPr>
          <w:i/>
        </w:rPr>
        <w:t>of the Member State where the registered office of the scheme is located.</w:t>
      </w:r>
    </w:p>
    <w:p w14:paraId="3E85F9C1" w14:textId="77777777" w:rsidR="00C63C42" w:rsidRDefault="00C63C42" w:rsidP="00C63C42">
      <w:pPr>
        <w:pStyle w:val="ListParagraph"/>
        <w:numPr>
          <w:ilvl w:val="0"/>
          <w:numId w:val="20"/>
        </w:numPr>
        <w:spacing w:after="200"/>
        <w:ind w:left="0" w:hanging="426"/>
        <w:contextualSpacing w:val="0"/>
        <w:jc w:val="both"/>
      </w:pPr>
      <w:r>
        <w:t xml:space="preserve">We also recommend </w:t>
      </w:r>
      <w:r w:rsidRPr="0003185E">
        <w:t>amend</w:t>
      </w:r>
      <w:r>
        <w:t>ing A</w:t>
      </w:r>
      <w:r w:rsidRPr="0003185E">
        <w:t xml:space="preserve">rticle </w:t>
      </w:r>
      <w:r>
        <w:t>6</w:t>
      </w:r>
      <w:r w:rsidRPr="0003185E">
        <w:t xml:space="preserve"> as follows:</w:t>
      </w:r>
    </w:p>
    <w:p w14:paraId="34CB4465" w14:textId="77777777" w:rsidR="00C63C42" w:rsidRPr="004D3E86" w:rsidRDefault="00C63C42" w:rsidP="00C63C42">
      <w:pPr>
        <w:spacing w:after="200"/>
        <w:ind w:left="0" w:firstLine="0"/>
        <w:jc w:val="center"/>
        <w:rPr>
          <w:i/>
        </w:rPr>
      </w:pPr>
      <w:r w:rsidRPr="004D3E86">
        <w:rPr>
          <w:i/>
        </w:rPr>
        <w:lastRenderedPageBreak/>
        <w:t>Article 6</w:t>
      </w:r>
      <w:r>
        <w:rPr>
          <w:i/>
        </w:rPr>
        <w:br/>
      </w:r>
      <w:r w:rsidRPr="004D3E86">
        <w:rPr>
          <w:i/>
        </w:rPr>
        <w:t>Frequency and availability of the financial information</w:t>
      </w:r>
    </w:p>
    <w:p w14:paraId="750BA404" w14:textId="77777777" w:rsidR="00C63C42" w:rsidRPr="004D3E86" w:rsidRDefault="00C63C42" w:rsidP="009B5289">
      <w:pPr>
        <w:spacing w:after="200"/>
        <w:ind w:left="426" w:right="568" w:firstLine="0"/>
        <w:jc w:val="both"/>
        <w:rPr>
          <w:i/>
        </w:rPr>
      </w:pPr>
      <w:r w:rsidRPr="004D3E86">
        <w:rPr>
          <w:i/>
        </w:rPr>
        <w:t>The financial information produced in accordance with Articles 3 and 4 shall be prepared</w:t>
      </w:r>
      <w:r>
        <w:rPr>
          <w:i/>
        </w:rPr>
        <w:t xml:space="preserve"> </w:t>
      </w:r>
      <w:r w:rsidRPr="004D3E86">
        <w:rPr>
          <w:i/>
        </w:rPr>
        <w:t>at least annually.</w:t>
      </w:r>
    </w:p>
    <w:p w14:paraId="35A2B852" w14:textId="4ADF7BFD" w:rsidR="00C63C42" w:rsidRPr="00C63C42" w:rsidRDefault="00C63C42" w:rsidP="009B5289">
      <w:pPr>
        <w:spacing w:after="200"/>
        <w:ind w:left="426" w:right="568" w:firstLine="0"/>
        <w:jc w:val="both"/>
        <w:rPr>
          <w:i/>
        </w:rPr>
      </w:pPr>
      <w:r w:rsidRPr="004D3E86">
        <w:rPr>
          <w:i/>
        </w:rPr>
        <w:t>The financial information, as well as the review by the independent auditor in accordance</w:t>
      </w:r>
      <w:r>
        <w:rPr>
          <w:i/>
        </w:rPr>
        <w:t xml:space="preserve"> </w:t>
      </w:r>
      <w:r w:rsidRPr="004D3E86">
        <w:rPr>
          <w:i/>
        </w:rPr>
        <w:t xml:space="preserve">with article 5 shall be made fully available to </w:t>
      </w:r>
      <w:r>
        <w:rPr>
          <w:i/>
          <w:u w:val="single"/>
        </w:rPr>
        <w:t xml:space="preserve">the </w:t>
      </w:r>
      <w:r w:rsidRPr="004D3E86">
        <w:rPr>
          <w:i/>
        </w:rPr>
        <w:t>competent authorit</w:t>
      </w:r>
      <w:r w:rsidRPr="004D3E86">
        <w:rPr>
          <w:i/>
          <w:u w:val="single"/>
        </w:rPr>
        <w:t>y</w:t>
      </w:r>
      <w:r w:rsidRPr="004D3E86">
        <w:rPr>
          <w:i/>
          <w:iCs/>
          <w:strike/>
        </w:rPr>
        <w:t>ies</w:t>
      </w:r>
      <w:r w:rsidRPr="004D3E86">
        <w:rPr>
          <w:i/>
        </w:rPr>
        <w:t xml:space="preserve"> </w:t>
      </w:r>
      <w:r w:rsidRPr="004D3E86">
        <w:rPr>
          <w:i/>
          <w:iCs/>
          <w:strike/>
        </w:rPr>
        <w:t>designated according to Article 13 of Regulation (EU) 2015/751</w:t>
      </w:r>
      <w:r w:rsidRPr="004D3E86">
        <w:rPr>
          <w:i/>
        </w:rPr>
        <w:t xml:space="preserve"> </w:t>
      </w:r>
      <w:r w:rsidRPr="00C63C42">
        <w:rPr>
          <w:i/>
          <w:u w:val="single"/>
        </w:rPr>
        <w:t>of the Member State where the registered office of the scheme is located</w:t>
      </w:r>
      <w:r w:rsidRPr="004D3E86">
        <w:rPr>
          <w:i/>
        </w:rPr>
        <w:t xml:space="preserve"> upon </w:t>
      </w:r>
      <w:r w:rsidRPr="004D3E86">
        <w:rPr>
          <w:i/>
          <w:iCs/>
          <w:strike/>
        </w:rPr>
        <w:t>their</w:t>
      </w:r>
      <w:r w:rsidRPr="004D3E86">
        <w:rPr>
          <w:i/>
        </w:rPr>
        <w:t xml:space="preserve"> request.</w:t>
      </w:r>
    </w:p>
    <w:p w14:paraId="76C6BCFE" w14:textId="6CAA8C48" w:rsidR="00A13FF8" w:rsidRPr="00A13FF8" w:rsidRDefault="00EF495E" w:rsidP="00DF01A1">
      <w:pPr>
        <w:spacing w:after="200"/>
        <w:ind w:left="0" w:firstLine="0"/>
        <w:jc w:val="both"/>
        <w:rPr>
          <w:b/>
          <w:i/>
          <w:lang w:val="en-GB"/>
        </w:rPr>
      </w:pPr>
      <w:r w:rsidRPr="00A13FF8">
        <w:rPr>
          <w:b/>
          <w:i/>
          <w:lang w:val="en-GB"/>
        </w:rPr>
        <w:t>Thr</w:t>
      </w:r>
      <w:r w:rsidR="006832B2">
        <w:rPr>
          <w:b/>
          <w:i/>
          <w:lang w:val="en-GB"/>
        </w:rPr>
        <w:t>ee-party schemes acting as a four-</w:t>
      </w:r>
      <w:r w:rsidRPr="00A13FF8">
        <w:rPr>
          <w:b/>
          <w:i/>
          <w:lang w:val="en-GB"/>
        </w:rPr>
        <w:t>party scheme mus</w:t>
      </w:r>
      <w:r w:rsidR="00304E77">
        <w:rPr>
          <w:b/>
          <w:i/>
          <w:lang w:val="en-GB"/>
        </w:rPr>
        <w:t>t also be subject to separation</w:t>
      </w:r>
      <w:r w:rsidR="00DB3374">
        <w:rPr>
          <w:b/>
          <w:i/>
          <w:lang w:val="en-GB"/>
        </w:rPr>
        <w:t xml:space="preserve"> for </w:t>
      </w:r>
      <w:r w:rsidR="00392D47">
        <w:rPr>
          <w:b/>
          <w:i/>
          <w:lang w:val="en-GB"/>
        </w:rPr>
        <w:t>their</w:t>
      </w:r>
      <w:r w:rsidR="00DB3374">
        <w:rPr>
          <w:b/>
          <w:i/>
          <w:lang w:val="en-GB"/>
        </w:rPr>
        <w:t xml:space="preserve"> entire operations</w:t>
      </w:r>
      <w:r w:rsidRPr="00A13FF8">
        <w:rPr>
          <w:b/>
          <w:i/>
          <w:lang w:val="en-GB"/>
        </w:rPr>
        <w:t xml:space="preserve">  </w:t>
      </w:r>
    </w:p>
    <w:p w14:paraId="3DE0F4C6" w14:textId="724FFD7D" w:rsidR="001B0113" w:rsidRDefault="00EF495E" w:rsidP="0001126C">
      <w:pPr>
        <w:pStyle w:val="ListParagraph"/>
        <w:numPr>
          <w:ilvl w:val="0"/>
          <w:numId w:val="20"/>
        </w:numPr>
        <w:spacing w:after="200"/>
        <w:ind w:left="0" w:hanging="426"/>
        <w:contextualSpacing w:val="0"/>
        <w:jc w:val="both"/>
        <w:rPr>
          <w:lang w:val="en-GB"/>
        </w:rPr>
      </w:pPr>
      <w:r w:rsidRPr="00EF495E">
        <w:rPr>
          <w:lang w:val="en-GB"/>
        </w:rPr>
        <w:t xml:space="preserve">We welcome the </w:t>
      </w:r>
      <w:r w:rsidR="006832B2">
        <w:rPr>
          <w:lang w:val="en-GB"/>
        </w:rPr>
        <w:t>acknowledgment in the CP that</w:t>
      </w:r>
      <w:r w:rsidR="001B0113">
        <w:rPr>
          <w:lang w:val="en-GB"/>
        </w:rPr>
        <w:t xml:space="preserve"> “</w:t>
      </w:r>
      <w:r w:rsidR="001B0113" w:rsidRPr="001B0113">
        <w:rPr>
          <w:i/>
          <w:lang w:val="en-GB"/>
        </w:rPr>
        <w:t>three-party payment card scheme operating under a four party scheme model will have to comply with the RTS as proposed in this Consultation Paper, unless they decide to migrate the limited number and amount of transactions processed under a four party scheme model to a three party scheme model as defined by the IFR.</w:t>
      </w:r>
      <w:r w:rsidR="001B0113">
        <w:rPr>
          <w:lang w:val="en-GB"/>
        </w:rPr>
        <w:t>”</w:t>
      </w:r>
      <w:r w:rsidR="00166409">
        <w:rPr>
          <w:lang w:val="en-GB"/>
        </w:rPr>
        <w:t xml:space="preserve"> (point 3</w:t>
      </w:r>
      <w:r w:rsidR="00166409" w:rsidRPr="00EF495E">
        <w:rPr>
          <w:lang w:val="en-GB"/>
        </w:rPr>
        <w:t>.</w:t>
      </w:r>
      <w:r w:rsidR="00166409">
        <w:rPr>
          <w:lang w:val="en-GB"/>
        </w:rPr>
        <w:t>2</w:t>
      </w:r>
      <w:r w:rsidR="00166409" w:rsidRPr="00EF495E">
        <w:rPr>
          <w:lang w:val="en-GB"/>
        </w:rPr>
        <w:t xml:space="preserve">.23 </w:t>
      </w:r>
      <w:r w:rsidR="00166409">
        <w:rPr>
          <w:lang w:val="en-GB"/>
        </w:rPr>
        <w:t>CP).</w:t>
      </w:r>
    </w:p>
    <w:p w14:paraId="109CE06E" w14:textId="2F26C8BA" w:rsidR="00A13FF8" w:rsidRPr="00F56653" w:rsidRDefault="001B0113" w:rsidP="0001126C">
      <w:pPr>
        <w:pStyle w:val="ListParagraph"/>
        <w:numPr>
          <w:ilvl w:val="0"/>
          <w:numId w:val="20"/>
        </w:numPr>
        <w:spacing w:after="200"/>
        <w:ind w:left="0" w:hanging="426"/>
        <w:contextualSpacing w:val="0"/>
        <w:jc w:val="both"/>
        <w:rPr>
          <w:lang w:val="en-GB"/>
        </w:rPr>
      </w:pPr>
      <w:r>
        <w:rPr>
          <w:lang w:val="en-GB"/>
        </w:rPr>
        <w:lastRenderedPageBreak/>
        <w:t xml:space="preserve">This provision </w:t>
      </w:r>
      <w:r w:rsidR="00EF495E" w:rsidRPr="00EF495E">
        <w:rPr>
          <w:lang w:val="en-GB"/>
        </w:rPr>
        <w:t xml:space="preserve">confirms our understanding that a </w:t>
      </w:r>
      <w:r w:rsidR="006832B2">
        <w:rPr>
          <w:lang w:val="en-GB"/>
        </w:rPr>
        <w:t>three</w:t>
      </w:r>
      <w:r w:rsidR="00EF495E" w:rsidRPr="00EF495E">
        <w:rPr>
          <w:lang w:val="en-GB"/>
        </w:rPr>
        <w:t xml:space="preserve">-party scheme acting as a </w:t>
      </w:r>
      <w:r w:rsidR="006832B2">
        <w:rPr>
          <w:lang w:val="en-GB"/>
        </w:rPr>
        <w:t>four</w:t>
      </w:r>
      <w:r w:rsidR="00EF495E" w:rsidRPr="00EF495E">
        <w:rPr>
          <w:lang w:val="en-GB"/>
        </w:rPr>
        <w:t>-party scheme is subject to the separation requirement for its entir</w:t>
      </w:r>
      <w:r w:rsidR="00392D47">
        <w:rPr>
          <w:lang w:val="en-GB"/>
        </w:rPr>
        <w:t xml:space="preserve">e operations across the EEA, </w:t>
      </w:r>
      <w:r w:rsidR="00EF495E" w:rsidRPr="00EF495E">
        <w:rPr>
          <w:lang w:val="en-GB"/>
        </w:rPr>
        <w:t>inc</w:t>
      </w:r>
      <w:r w:rsidR="00392D47">
        <w:rPr>
          <w:lang w:val="en-GB"/>
        </w:rPr>
        <w:t xml:space="preserve">luding its proprietary </w:t>
      </w:r>
      <w:r w:rsidR="00392D47" w:rsidRPr="00F56653">
        <w:rPr>
          <w:lang w:val="en-GB"/>
        </w:rPr>
        <w:t>business</w:t>
      </w:r>
      <w:r w:rsidR="00EF495E" w:rsidRPr="00F56653">
        <w:rPr>
          <w:lang w:val="en-GB"/>
        </w:rPr>
        <w:t>.</w:t>
      </w:r>
    </w:p>
    <w:p w14:paraId="526E0D6F" w14:textId="2FB19797" w:rsidR="001B148B" w:rsidRPr="00F56653" w:rsidRDefault="004A36F4" w:rsidP="001B148B">
      <w:pPr>
        <w:pStyle w:val="ListParagraph"/>
        <w:numPr>
          <w:ilvl w:val="0"/>
          <w:numId w:val="20"/>
        </w:numPr>
        <w:spacing w:after="200"/>
        <w:ind w:left="0" w:hanging="426"/>
        <w:contextualSpacing w:val="0"/>
        <w:jc w:val="both"/>
        <w:rPr>
          <w:lang w:val="en-GB"/>
        </w:rPr>
      </w:pPr>
      <w:r w:rsidRPr="00F56653">
        <w:rPr>
          <w:lang w:val="en-GB"/>
        </w:rPr>
        <w:t>This is in line with the PSD2</w:t>
      </w:r>
      <w:r w:rsidR="00F56653">
        <w:rPr>
          <w:lang w:val="en-GB"/>
        </w:rPr>
        <w:t xml:space="preserve"> rules</w:t>
      </w:r>
      <w:r w:rsidRPr="00F56653">
        <w:rPr>
          <w:lang w:val="en-GB"/>
        </w:rPr>
        <w:t xml:space="preserve"> on access</w:t>
      </w:r>
      <w:r w:rsidR="000E470B">
        <w:rPr>
          <w:lang w:val="en-GB"/>
        </w:rPr>
        <w:t xml:space="preserve"> to payment systems</w:t>
      </w:r>
      <w:r w:rsidRPr="00F56653">
        <w:rPr>
          <w:lang w:val="en-GB"/>
        </w:rPr>
        <w:t>.  According to the PSD2, a three-party schemes acting as a four-party scheme is subject to the access requirement for its entire operations across the EEA</w:t>
      </w:r>
      <w:r w:rsidR="001B148B" w:rsidRPr="00F56653">
        <w:rPr>
          <w:lang w:val="en-GB"/>
        </w:rPr>
        <w:t>.</w:t>
      </w:r>
      <w:r w:rsidR="000E470B">
        <w:rPr>
          <w:rStyle w:val="FootnoteReference"/>
          <w:lang w:val="en-GB"/>
        </w:rPr>
        <w:footnoteReference w:id="7"/>
      </w:r>
    </w:p>
    <w:p w14:paraId="78E8A52B" w14:textId="66ED9BA6" w:rsidR="00EF495E" w:rsidRDefault="00517A4D" w:rsidP="0001126C">
      <w:pPr>
        <w:pStyle w:val="ListParagraph"/>
        <w:numPr>
          <w:ilvl w:val="0"/>
          <w:numId w:val="20"/>
        </w:numPr>
        <w:spacing w:after="200"/>
        <w:ind w:left="0" w:hanging="426"/>
        <w:contextualSpacing w:val="0"/>
        <w:jc w:val="both"/>
        <w:rPr>
          <w:lang w:val="en-GB"/>
        </w:rPr>
      </w:pPr>
      <w:r>
        <w:rPr>
          <w:lang w:val="en-GB"/>
        </w:rPr>
        <w:t>W</w:t>
      </w:r>
      <w:r w:rsidR="00392D47">
        <w:rPr>
          <w:lang w:val="en-GB"/>
        </w:rPr>
        <w:t xml:space="preserve">e strongly recommend </w:t>
      </w:r>
      <w:r w:rsidR="002F7E34" w:rsidRPr="00EF495E">
        <w:rPr>
          <w:lang w:val="en-GB"/>
        </w:rPr>
        <w:t>confirm</w:t>
      </w:r>
      <w:r w:rsidR="002F7E34">
        <w:rPr>
          <w:lang w:val="en-GB"/>
        </w:rPr>
        <w:t>ing</w:t>
      </w:r>
      <w:r w:rsidR="002F7E34" w:rsidRPr="00EF495E">
        <w:rPr>
          <w:lang w:val="en-GB"/>
        </w:rPr>
        <w:t xml:space="preserve"> this point</w:t>
      </w:r>
      <w:r w:rsidR="002F7E34">
        <w:rPr>
          <w:lang w:val="en-GB"/>
        </w:rPr>
        <w:t xml:space="preserve"> expressly by adding the following new article</w:t>
      </w:r>
      <w:r>
        <w:rPr>
          <w:lang w:val="en-GB"/>
        </w:rPr>
        <w:t>:</w:t>
      </w:r>
    </w:p>
    <w:p w14:paraId="031ADA07" w14:textId="5B79F847" w:rsidR="00517A4D" w:rsidRPr="00517A4D" w:rsidRDefault="00517A4D" w:rsidP="00517A4D">
      <w:pPr>
        <w:spacing w:after="200"/>
        <w:ind w:firstLine="0"/>
        <w:jc w:val="center"/>
        <w:rPr>
          <w:i/>
        </w:rPr>
      </w:pPr>
      <w:r w:rsidRPr="00517A4D">
        <w:rPr>
          <w:i/>
        </w:rPr>
        <w:t xml:space="preserve">Article </w:t>
      </w:r>
      <w:r w:rsidR="00881F20">
        <w:rPr>
          <w:i/>
        </w:rPr>
        <w:t>1</w:t>
      </w:r>
      <w:r w:rsidRPr="00517A4D">
        <w:rPr>
          <w:i/>
        </w:rPr>
        <w:br/>
      </w:r>
      <w:r w:rsidR="00881F20">
        <w:rPr>
          <w:i/>
        </w:rPr>
        <w:t>Scope</w:t>
      </w:r>
    </w:p>
    <w:p w14:paraId="4313DE5C" w14:textId="2565A91D" w:rsidR="00517A4D" w:rsidRPr="00517A4D" w:rsidRDefault="00517A4D" w:rsidP="005C1A5A">
      <w:pPr>
        <w:tabs>
          <w:tab w:val="left" w:pos="8789"/>
        </w:tabs>
        <w:spacing w:after="200"/>
        <w:ind w:left="426" w:right="568" w:firstLine="0"/>
        <w:jc w:val="both"/>
        <w:rPr>
          <w:lang w:val="en-GB"/>
        </w:rPr>
      </w:pPr>
      <w:r w:rsidRPr="00517A4D">
        <w:rPr>
          <w:i/>
        </w:rPr>
        <w:t>Th</w:t>
      </w:r>
      <w:r w:rsidR="00881F20">
        <w:rPr>
          <w:i/>
        </w:rPr>
        <w:t xml:space="preserve">is Regulation shall apply to payment card schemes and processing entities, including </w:t>
      </w:r>
      <w:r w:rsidR="00881F20" w:rsidRPr="00881F20">
        <w:rPr>
          <w:i/>
        </w:rPr>
        <w:t>three party payment card scheme</w:t>
      </w:r>
      <w:r w:rsidR="00881F20">
        <w:rPr>
          <w:i/>
        </w:rPr>
        <w:t>s</w:t>
      </w:r>
      <w:r w:rsidR="00881F20" w:rsidRPr="00881F20">
        <w:rPr>
          <w:i/>
        </w:rPr>
        <w:t xml:space="preserve"> </w:t>
      </w:r>
      <w:r w:rsidR="00881F20">
        <w:rPr>
          <w:i/>
        </w:rPr>
        <w:t>that license</w:t>
      </w:r>
      <w:r w:rsidR="00881F20" w:rsidRPr="00881F20">
        <w:rPr>
          <w:i/>
        </w:rPr>
        <w:t xml:space="preserve"> other payment service providers for the issuance of card-based</w:t>
      </w:r>
      <w:r w:rsidR="00881F20">
        <w:rPr>
          <w:i/>
        </w:rPr>
        <w:t xml:space="preserve"> </w:t>
      </w:r>
      <w:r w:rsidR="00881F20" w:rsidRPr="00881F20">
        <w:rPr>
          <w:i/>
        </w:rPr>
        <w:t xml:space="preserve">payment instruments or the acquiring of card-based payment </w:t>
      </w:r>
      <w:r w:rsidR="00881F20" w:rsidRPr="00881F20">
        <w:rPr>
          <w:i/>
        </w:rPr>
        <w:lastRenderedPageBreak/>
        <w:t>transactions, or both, or issue card-based payment</w:t>
      </w:r>
      <w:r w:rsidR="00881F20">
        <w:rPr>
          <w:i/>
        </w:rPr>
        <w:t xml:space="preserve"> </w:t>
      </w:r>
      <w:r w:rsidR="00881F20" w:rsidRPr="00881F20">
        <w:rPr>
          <w:i/>
        </w:rPr>
        <w:t>instruments with a co-branding partner or through an agent</w:t>
      </w:r>
      <w:r w:rsidR="00881F20">
        <w:rPr>
          <w:i/>
        </w:rPr>
        <w:t>.</w:t>
      </w:r>
    </w:p>
    <w:p w14:paraId="6D260FA8" w14:textId="1CE5BD94" w:rsidR="001B0113" w:rsidRPr="001B0113" w:rsidRDefault="001B0113" w:rsidP="00DF01A1">
      <w:pPr>
        <w:spacing w:after="200"/>
        <w:ind w:left="0" w:firstLine="0"/>
        <w:jc w:val="both"/>
        <w:rPr>
          <w:b/>
          <w:i/>
          <w:lang w:val="en-GB"/>
        </w:rPr>
      </w:pPr>
      <w:r w:rsidRPr="001B0113">
        <w:rPr>
          <w:b/>
          <w:i/>
          <w:lang w:val="en-GB"/>
        </w:rPr>
        <w:t>Reference to hypothetical price discrimination through inter-regional interchange</w:t>
      </w:r>
      <w:r>
        <w:rPr>
          <w:b/>
          <w:i/>
          <w:lang w:val="en-GB"/>
        </w:rPr>
        <w:t xml:space="preserve"> or processing</w:t>
      </w:r>
      <w:r w:rsidRPr="001B0113">
        <w:rPr>
          <w:b/>
          <w:i/>
          <w:lang w:val="en-GB"/>
        </w:rPr>
        <w:t xml:space="preserve"> fees should be deleted </w:t>
      </w:r>
    </w:p>
    <w:p w14:paraId="68339511" w14:textId="591A7B52" w:rsidR="001B0113" w:rsidRDefault="00B9121C" w:rsidP="0001126C">
      <w:pPr>
        <w:pStyle w:val="ListParagraph"/>
        <w:numPr>
          <w:ilvl w:val="0"/>
          <w:numId w:val="20"/>
        </w:numPr>
        <w:spacing w:after="200"/>
        <w:ind w:left="0" w:hanging="426"/>
        <w:contextualSpacing w:val="0"/>
        <w:jc w:val="both"/>
        <w:rPr>
          <w:lang w:val="en-GB"/>
        </w:rPr>
      </w:pPr>
      <w:r>
        <w:rPr>
          <w:lang w:val="en-GB"/>
        </w:rPr>
        <w:t xml:space="preserve">We note that </w:t>
      </w:r>
      <w:r w:rsidR="00166409">
        <w:rPr>
          <w:lang w:val="en-GB"/>
        </w:rPr>
        <w:t>EBA</w:t>
      </w:r>
      <w:r>
        <w:rPr>
          <w:lang w:val="en-GB"/>
        </w:rPr>
        <w:t xml:space="preserve"> makes reference</w:t>
      </w:r>
      <w:r w:rsidR="00DB3374">
        <w:rPr>
          <w:lang w:val="en-GB"/>
        </w:rPr>
        <w:t>,</w:t>
      </w:r>
      <w:r>
        <w:rPr>
          <w:lang w:val="en-GB"/>
        </w:rPr>
        <w:t xml:space="preserve"> </w:t>
      </w:r>
      <w:r w:rsidR="00166409">
        <w:rPr>
          <w:lang w:val="en-GB"/>
        </w:rPr>
        <w:t>in relation to accounting separation</w:t>
      </w:r>
      <w:r w:rsidR="00DB3374">
        <w:rPr>
          <w:lang w:val="en-GB"/>
        </w:rPr>
        <w:t>,</w:t>
      </w:r>
      <w:r w:rsidR="00166409">
        <w:rPr>
          <w:lang w:val="en-GB"/>
        </w:rPr>
        <w:t xml:space="preserve"> </w:t>
      </w:r>
      <w:r>
        <w:rPr>
          <w:lang w:val="en-GB"/>
        </w:rPr>
        <w:t xml:space="preserve">to </w:t>
      </w:r>
      <w:r w:rsidR="00166409">
        <w:rPr>
          <w:lang w:val="en-GB"/>
        </w:rPr>
        <w:t xml:space="preserve">aspects of </w:t>
      </w:r>
      <w:r w:rsidR="00453FBD">
        <w:rPr>
          <w:lang w:val="en-GB"/>
        </w:rPr>
        <w:t xml:space="preserve">interchange fees and </w:t>
      </w:r>
      <w:r w:rsidR="00166409">
        <w:rPr>
          <w:lang w:val="en-GB"/>
        </w:rPr>
        <w:t>pricing, which have</w:t>
      </w:r>
      <w:r w:rsidR="001B0113" w:rsidRPr="00EF495E">
        <w:rPr>
          <w:lang w:val="en-GB"/>
        </w:rPr>
        <w:t xml:space="preserve"> nothing to do with se</w:t>
      </w:r>
      <w:r w:rsidR="001B0113">
        <w:rPr>
          <w:lang w:val="en-GB"/>
        </w:rPr>
        <w:t>paration</w:t>
      </w:r>
      <w:r w:rsidR="00342AA5">
        <w:rPr>
          <w:lang w:val="en-GB"/>
        </w:rPr>
        <w:t xml:space="preserve"> (point </w:t>
      </w:r>
      <w:r w:rsidR="00342AA5" w:rsidRPr="00EF495E">
        <w:rPr>
          <w:lang w:val="en-GB"/>
        </w:rPr>
        <w:t>3.2.17</w:t>
      </w:r>
      <w:r w:rsidR="00342AA5">
        <w:rPr>
          <w:lang w:val="en-GB"/>
        </w:rPr>
        <w:t xml:space="preserve"> CP).  We strongly recommend that this reference </w:t>
      </w:r>
      <w:r w:rsidR="00762B5A">
        <w:rPr>
          <w:lang w:val="en-GB"/>
        </w:rPr>
        <w:t>be</w:t>
      </w:r>
      <w:r w:rsidR="00342AA5">
        <w:rPr>
          <w:lang w:val="en-GB"/>
        </w:rPr>
        <w:t xml:space="preserve"> r</w:t>
      </w:r>
      <w:r w:rsidR="001B0113">
        <w:rPr>
          <w:lang w:val="en-GB"/>
        </w:rPr>
        <w:t>emoved.</w:t>
      </w:r>
    </w:p>
    <w:p w14:paraId="496192EF" w14:textId="512076A9" w:rsidR="00304E77" w:rsidRPr="00304E77" w:rsidRDefault="00EF495E" w:rsidP="00DF01A1">
      <w:pPr>
        <w:spacing w:after="200"/>
        <w:ind w:left="0" w:firstLine="0"/>
        <w:jc w:val="both"/>
        <w:rPr>
          <w:b/>
          <w:sz w:val="28"/>
          <w:szCs w:val="28"/>
          <w:lang w:val="en-GB"/>
        </w:rPr>
      </w:pPr>
      <w:r w:rsidRPr="00D87EBC">
        <w:rPr>
          <w:b/>
          <w:sz w:val="28"/>
          <w:szCs w:val="28"/>
          <w:lang w:val="en-GB"/>
        </w:rPr>
        <w:t xml:space="preserve">Section 2 </w:t>
      </w:r>
      <w:r w:rsidR="00D87EBC" w:rsidRPr="00EF495E">
        <w:rPr>
          <w:b/>
          <w:sz w:val="28"/>
          <w:szCs w:val="28"/>
          <w:lang w:val="en-GB"/>
        </w:rPr>
        <w:t>–</w:t>
      </w:r>
      <w:r w:rsidRPr="00D87EBC">
        <w:rPr>
          <w:b/>
          <w:sz w:val="28"/>
          <w:szCs w:val="28"/>
          <w:lang w:val="en-GB"/>
        </w:rPr>
        <w:t xml:space="preserve"> Accounting</w:t>
      </w:r>
    </w:p>
    <w:p w14:paraId="4EAEDB97" w14:textId="3DBB3D89" w:rsidR="00314883" w:rsidRPr="00304E77" w:rsidRDefault="00314883" w:rsidP="00DF01A1">
      <w:pPr>
        <w:spacing w:after="200"/>
        <w:ind w:left="0" w:firstLine="0"/>
        <w:jc w:val="both"/>
        <w:rPr>
          <w:b/>
          <w:i/>
          <w:lang w:val="en-GB"/>
        </w:rPr>
      </w:pPr>
      <w:r>
        <w:rPr>
          <w:b/>
          <w:i/>
          <w:lang w:val="en-GB"/>
        </w:rPr>
        <w:t>Separate b</w:t>
      </w:r>
      <w:r w:rsidRPr="00304E77">
        <w:rPr>
          <w:b/>
          <w:i/>
          <w:lang w:val="en-GB"/>
        </w:rPr>
        <w:t xml:space="preserve">alance sheet requirement is disproportionate </w:t>
      </w:r>
      <w:r>
        <w:rPr>
          <w:b/>
          <w:i/>
          <w:lang w:val="en-GB"/>
        </w:rPr>
        <w:t>(Article 3)</w:t>
      </w:r>
    </w:p>
    <w:p w14:paraId="5276BE15" w14:textId="5522BD4F" w:rsidR="00E12307" w:rsidRDefault="00E12307" w:rsidP="0001126C">
      <w:pPr>
        <w:pStyle w:val="ListParagraph"/>
        <w:numPr>
          <w:ilvl w:val="0"/>
          <w:numId w:val="20"/>
        </w:numPr>
        <w:spacing w:after="200"/>
        <w:ind w:left="0" w:hanging="426"/>
        <w:contextualSpacing w:val="0"/>
        <w:jc w:val="both"/>
        <w:rPr>
          <w:lang w:val="en-GB"/>
        </w:rPr>
      </w:pPr>
      <w:r w:rsidRPr="00B318AB">
        <w:rPr>
          <w:lang w:val="en-GB"/>
        </w:rPr>
        <w:t>The risk of cross-subsidization for which the IFR regulation was developed would not be mitigated with a separated balance sheet.</w:t>
      </w:r>
      <w:r>
        <w:rPr>
          <w:lang w:val="en-GB"/>
        </w:rPr>
        <w:t xml:space="preserve">  W</w:t>
      </w:r>
      <w:r w:rsidRPr="00B318AB">
        <w:rPr>
          <w:lang w:val="en-GB"/>
        </w:rPr>
        <w:t>e do not utilize balance sheet reporting in Europe to manage our busi</w:t>
      </w:r>
      <w:r>
        <w:rPr>
          <w:lang w:val="en-GB"/>
        </w:rPr>
        <w:t xml:space="preserve">ness, rather only </w:t>
      </w:r>
      <w:r w:rsidR="0074743B">
        <w:rPr>
          <w:lang w:val="en-GB"/>
        </w:rPr>
        <w:t>Profit &amp; Loss (</w:t>
      </w:r>
      <w:r>
        <w:rPr>
          <w:lang w:val="en-GB"/>
        </w:rPr>
        <w:t>P&amp;L</w:t>
      </w:r>
      <w:r w:rsidR="0074743B">
        <w:rPr>
          <w:lang w:val="en-GB"/>
        </w:rPr>
        <w:t>)</w:t>
      </w:r>
      <w:r>
        <w:rPr>
          <w:lang w:val="en-GB"/>
        </w:rPr>
        <w:t xml:space="preserve"> reporting</w:t>
      </w:r>
      <w:r w:rsidRPr="00B318AB">
        <w:rPr>
          <w:lang w:val="en-GB"/>
        </w:rPr>
        <w:t xml:space="preserve"> is used.  The balance sheet is managed at a corporate level by the parent company for the global business</w:t>
      </w:r>
      <w:r>
        <w:rPr>
          <w:lang w:val="en-GB"/>
        </w:rPr>
        <w:t>,</w:t>
      </w:r>
      <w:r w:rsidRPr="00B318AB">
        <w:rPr>
          <w:lang w:val="en-GB"/>
        </w:rPr>
        <w:t xml:space="preserve"> which is managed as one operating segment. </w:t>
      </w:r>
      <w:r>
        <w:rPr>
          <w:lang w:val="en-GB"/>
        </w:rPr>
        <w:t xml:space="preserve"> </w:t>
      </w:r>
      <w:r w:rsidRPr="00B318AB">
        <w:rPr>
          <w:lang w:val="en-GB"/>
        </w:rPr>
        <w:t xml:space="preserve">Therefore, a separated balance sheet would </w:t>
      </w:r>
      <w:r w:rsidRPr="00B318AB">
        <w:rPr>
          <w:lang w:val="en-GB"/>
        </w:rPr>
        <w:lastRenderedPageBreak/>
        <w:t xml:space="preserve">have no influence on how decisions are taken and how the business is managed within the EU Region. </w:t>
      </w:r>
    </w:p>
    <w:p w14:paraId="0669F9AA" w14:textId="3E12C331" w:rsidR="00AF5A9F" w:rsidRPr="00E12307" w:rsidRDefault="00E12307" w:rsidP="00E12307">
      <w:pPr>
        <w:pStyle w:val="ListParagraph"/>
        <w:numPr>
          <w:ilvl w:val="0"/>
          <w:numId w:val="20"/>
        </w:numPr>
        <w:spacing w:after="200"/>
        <w:ind w:left="0" w:hanging="426"/>
        <w:contextualSpacing w:val="0"/>
        <w:jc w:val="both"/>
        <w:rPr>
          <w:lang w:val="en-GB"/>
        </w:rPr>
      </w:pPr>
      <w:r>
        <w:rPr>
          <w:lang w:val="en-GB"/>
        </w:rPr>
        <w:t>Furthermore, t</w:t>
      </w:r>
      <w:r w:rsidR="00AF5A9F" w:rsidRPr="00E12307">
        <w:rPr>
          <w:lang w:val="en-GB"/>
        </w:rPr>
        <w:t>he cost and effort to MasterCard related to the balance sheet allocation will be particularly onerous as we do not currently tag our assets and liabilities to divisions or cost cent</w:t>
      </w:r>
      <w:r w:rsidR="00453FBD" w:rsidRPr="00E12307">
        <w:rPr>
          <w:lang w:val="en-GB"/>
        </w:rPr>
        <w:t>res</w:t>
      </w:r>
      <w:r w:rsidR="00AF5A9F" w:rsidRPr="00E12307">
        <w:rPr>
          <w:lang w:val="en-GB"/>
        </w:rPr>
        <w:t xml:space="preserve"> within the legal entity MC Europe S.A (MCE). </w:t>
      </w:r>
      <w:r w:rsidR="00314883" w:rsidRPr="00E12307">
        <w:rPr>
          <w:lang w:val="en-GB"/>
        </w:rPr>
        <w:t xml:space="preserve"> </w:t>
      </w:r>
      <w:r w:rsidR="00AF5A9F" w:rsidRPr="00E12307">
        <w:rPr>
          <w:lang w:val="en-GB"/>
        </w:rPr>
        <w:t>We question the value of allocating the balance sheet accounts to scheme vs. processing when there really is not a direct allocation for the majority of our balance sheet accounts. The regulation does not require us to have separate legal entities, therefore it would seem logical that a balance sheet allocation would not be required.</w:t>
      </w:r>
    </w:p>
    <w:p w14:paraId="2A9B999E" w14:textId="74C972D8" w:rsidR="00AF5A9F" w:rsidRDefault="00AF5A9F" w:rsidP="0001126C">
      <w:pPr>
        <w:pStyle w:val="ListParagraph"/>
        <w:numPr>
          <w:ilvl w:val="0"/>
          <w:numId w:val="20"/>
        </w:numPr>
        <w:spacing w:after="200"/>
        <w:ind w:left="0" w:hanging="426"/>
        <w:contextualSpacing w:val="0"/>
        <w:jc w:val="both"/>
        <w:rPr>
          <w:lang w:val="en-GB"/>
        </w:rPr>
      </w:pPr>
      <w:r w:rsidRPr="00AF5A9F">
        <w:rPr>
          <w:lang w:val="en-GB"/>
        </w:rPr>
        <w:t xml:space="preserve">There does not appear to be much value in going through an exercise to allocate our balance sheet accounts to scheme vs. processing as the majority will be common accounts to both businesses. </w:t>
      </w:r>
      <w:r w:rsidR="00314883">
        <w:rPr>
          <w:lang w:val="en-GB"/>
        </w:rPr>
        <w:t xml:space="preserve"> </w:t>
      </w:r>
      <w:r w:rsidR="00453FBD">
        <w:rPr>
          <w:lang w:val="en-GB"/>
        </w:rPr>
        <w:t>T</w:t>
      </w:r>
      <w:r w:rsidRPr="00AF5A9F">
        <w:rPr>
          <w:lang w:val="en-GB"/>
        </w:rPr>
        <w:t xml:space="preserve">he primary difference between the scheme and processing business in terms of assets will be the IT infrastructure; however MCE does not own these assets, rather they are owned by the parent company. </w:t>
      </w:r>
      <w:r w:rsidR="00314883">
        <w:rPr>
          <w:lang w:val="en-GB"/>
        </w:rPr>
        <w:t xml:space="preserve"> </w:t>
      </w:r>
      <w:r w:rsidRPr="00AF5A9F">
        <w:rPr>
          <w:lang w:val="en-GB"/>
        </w:rPr>
        <w:t>MCE receives an intercompany IT charge for the use of these assets in our business, so the relevant allocation is only on the P&amp;L side.</w:t>
      </w:r>
      <w:r w:rsidR="0074743B">
        <w:rPr>
          <w:lang w:val="en-GB"/>
        </w:rPr>
        <w:t xml:space="preserve"> This IT P&amp;L charge, which includes the amortization expense related to the IT assets </w:t>
      </w:r>
      <w:r w:rsidR="0074743B">
        <w:rPr>
          <w:lang w:val="en-GB"/>
        </w:rPr>
        <w:lastRenderedPageBreak/>
        <w:t>as well as other costs incurred to operate the IT infrastructure, would be allocated as part of the P&amp;L separation exercise.</w:t>
      </w:r>
    </w:p>
    <w:p w14:paraId="048D8D30" w14:textId="729E41B8" w:rsidR="00981D8B" w:rsidRDefault="00A80BEF" w:rsidP="00981D8B">
      <w:pPr>
        <w:pStyle w:val="ListParagraph"/>
        <w:numPr>
          <w:ilvl w:val="0"/>
          <w:numId w:val="20"/>
        </w:numPr>
        <w:spacing w:after="200"/>
        <w:ind w:left="0" w:hanging="426"/>
        <w:contextualSpacing w:val="0"/>
        <w:jc w:val="both"/>
        <w:rPr>
          <w:lang w:val="en-GB"/>
        </w:rPr>
      </w:pPr>
      <w:r>
        <w:rPr>
          <w:lang w:val="en-GB"/>
        </w:rPr>
        <w:t xml:space="preserve">Below we provide our proposed amended version </w:t>
      </w:r>
      <w:r w:rsidR="00981D8B">
        <w:rPr>
          <w:lang w:val="en-GB"/>
        </w:rPr>
        <w:t>of A</w:t>
      </w:r>
      <w:r w:rsidR="00981D8B" w:rsidRPr="00981D8B">
        <w:rPr>
          <w:lang w:val="en-GB"/>
        </w:rPr>
        <w:t>rticle 3</w:t>
      </w:r>
      <w:r w:rsidR="00981D8B">
        <w:rPr>
          <w:lang w:val="en-GB"/>
        </w:rPr>
        <w:t>:</w:t>
      </w:r>
    </w:p>
    <w:p w14:paraId="1B4FB78D" w14:textId="30E57AE7" w:rsidR="00981D8B" w:rsidRPr="00981D8B" w:rsidRDefault="00981D8B" w:rsidP="00A80BEF">
      <w:pPr>
        <w:autoSpaceDE w:val="0"/>
        <w:autoSpaceDN w:val="0"/>
        <w:adjustRightInd w:val="0"/>
        <w:ind w:firstLine="0"/>
        <w:jc w:val="center"/>
        <w:rPr>
          <w:rFonts w:cs="Times New Roman"/>
          <w:i/>
          <w:iCs/>
        </w:rPr>
      </w:pPr>
      <w:r w:rsidRPr="00981D8B">
        <w:rPr>
          <w:rFonts w:cs="Times New Roman"/>
          <w:i/>
          <w:iCs/>
        </w:rPr>
        <w:t>Article 3</w:t>
      </w:r>
      <w:r w:rsidR="00A80BEF">
        <w:rPr>
          <w:rFonts w:cs="Times New Roman"/>
          <w:i/>
          <w:iCs/>
        </w:rPr>
        <w:br/>
      </w:r>
      <w:r w:rsidRPr="00981D8B">
        <w:rPr>
          <w:rFonts w:cs="Times New Roman"/>
          <w:i/>
          <w:iCs/>
        </w:rPr>
        <w:t>Financial information</w:t>
      </w:r>
    </w:p>
    <w:p w14:paraId="7C9D3D58" w14:textId="3D4974F1" w:rsidR="00981D8B" w:rsidRPr="00981D8B" w:rsidRDefault="00981D8B" w:rsidP="005C1A5A">
      <w:pPr>
        <w:tabs>
          <w:tab w:val="left" w:pos="8789"/>
        </w:tabs>
        <w:autoSpaceDE w:val="0"/>
        <w:autoSpaceDN w:val="0"/>
        <w:adjustRightInd w:val="0"/>
        <w:ind w:left="426" w:right="568" w:firstLine="0"/>
        <w:jc w:val="both"/>
        <w:rPr>
          <w:rFonts w:cs="Times New Roman"/>
        </w:rPr>
      </w:pPr>
      <w:r w:rsidRPr="00981D8B">
        <w:rPr>
          <w:rFonts w:cs="Times New Roman"/>
        </w:rPr>
        <w:t>1</w:t>
      </w:r>
      <w:r w:rsidRPr="00981D8B">
        <w:rPr>
          <w:rFonts w:cs="Times New Roman"/>
          <w:i/>
        </w:rPr>
        <w:t xml:space="preserve">. Payment card schemes and processing entities shall have accounting processes in </w:t>
      </w:r>
      <w:r>
        <w:rPr>
          <w:rFonts w:cs="Times New Roman"/>
          <w:i/>
        </w:rPr>
        <w:t xml:space="preserve">place that enable </w:t>
      </w:r>
      <w:r w:rsidRPr="00981D8B">
        <w:rPr>
          <w:rFonts w:cs="Times New Roman"/>
          <w:i/>
        </w:rPr>
        <w:t xml:space="preserve">them to produce, as a minimum, financial information related to separated </w:t>
      </w:r>
      <w:r w:rsidRPr="00981D8B">
        <w:rPr>
          <w:rFonts w:cs="Times New Roman"/>
          <w:i/>
          <w:strike/>
        </w:rPr>
        <w:t>balance sheets</w:t>
      </w:r>
      <w:r w:rsidRPr="00E26625">
        <w:rPr>
          <w:rFonts w:cs="Times New Roman"/>
          <w:i/>
          <w:iCs/>
          <w:strike/>
        </w:rPr>
        <w:t>,</w:t>
      </w:r>
      <w:r w:rsidRPr="00E26625">
        <w:rPr>
          <w:rFonts w:cs="Times New Roman"/>
          <w:i/>
          <w:iCs/>
        </w:rPr>
        <w:t xml:space="preserve"> </w:t>
      </w:r>
      <w:r w:rsidRPr="00981D8B">
        <w:rPr>
          <w:rFonts w:cs="Times New Roman"/>
          <w:i/>
        </w:rPr>
        <w:t>profit and loss accounts and explanatory notes to this financial information for the payment card scheme and the processing entity respectively.</w:t>
      </w:r>
    </w:p>
    <w:p w14:paraId="1393C347" w14:textId="23AB46ED" w:rsidR="00981D8B" w:rsidRPr="00981D8B" w:rsidRDefault="00981D8B" w:rsidP="005C1A5A">
      <w:pPr>
        <w:tabs>
          <w:tab w:val="left" w:pos="8789"/>
        </w:tabs>
        <w:autoSpaceDE w:val="0"/>
        <w:autoSpaceDN w:val="0"/>
        <w:adjustRightInd w:val="0"/>
        <w:ind w:left="426" w:right="568" w:firstLine="0"/>
        <w:jc w:val="both"/>
        <w:rPr>
          <w:rFonts w:cs="Times New Roman"/>
          <w:i/>
        </w:rPr>
      </w:pPr>
      <w:r w:rsidRPr="00981D8B">
        <w:rPr>
          <w:rFonts w:cs="Times New Roman"/>
          <w:i/>
        </w:rPr>
        <w:t xml:space="preserve">2. The accounting processes referred under paragraph 1 shall enable payment card schemes and processing entities to allocate all relevant expenses </w:t>
      </w:r>
      <w:r w:rsidRPr="00981D8B">
        <w:rPr>
          <w:rFonts w:cs="Times New Roman"/>
          <w:i/>
          <w:u w:val="words"/>
        </w:rPr>
        <w:t>and</w:t>
      </w:r>
      <w:r w:rsidRPr="00981D8B">
        <w:rPr>
          <w:rFonts w:cs="Times New Roman"/>
          <w:i/>
          <w:strike/>
        </w:rPr>
        <w:t>,</w:t>
      </w:r>
      <w:r w:rsidRPr="00981D8B">
        <w:rPr>
          <w:rFonts w:cs="Times New Roman"/>
          <w:i/>
        </w:rPr>
        <w:t xml:space="preserve"> revenues</w:t>
      </w:r>
      <w:r w:rsidRPr="00981D8B">
        <w:rPr>
          <w:rFonts w:cs="Times New Roman"/>
          <w:i/>
          <w:strike/>
        </w:rPr>
        <w:t>, assets</w:t>
      </w:r>
      <w:r w:rsidRPr="00981D8B">
        <w:rPr>
          <w:rFonts w:cs="Times New Roman"/>
          <w:i/>
        </w:rPr>
        <w:t xml:space="preserve"> </w:t>
      </w:r>
      <w:r w:rsidRPr="00981D8B">
        <w:rPr>
          <w:rFonts w:cs="Times New Roman"/>
          <w:i/>
          <w:strike/>
        </w:rPr>
        <w:t>and liabilities</w:t>
      </w:r>
      <w:r w:rsidRPr="00981D8B">
        <w:rPr>
          <w:rFonts w:cs="Times New Roman"/>
          <w:i/>
        </w:rPr>
        <w:t xml:space="preserve"> in accordance with the provisions of Article 4.</w:t>
      </w:r>
    </w:p>
    <w:p w14:paraId="5D0A5E78" w14:textId="135EBE30" w:rsidR="00981D8B" w:rsidRPr="00981D8B" w:rsidRDefault="00981D8B" w:rsidP="009B5289">
      <w:pPr>
        <w:tabs>
          <w:tab w:val="left" w:pos="8789"/>
        </w:tabs>
        <w:spacing w:after="200"/>
        <w:ind w:left="567" w:right="568" w:firstLine="0"/>
        <w:jc w:val="both"/>
        <w:rPr>
          <w:i/>
        </w:rPr>
      </w:pPr>
      <w:r w:rsidRPr="00981D8B">
        <w:rPr>
          <w:i/>
        </w:rPr>
        <w:t>3. The resulting financial information referred to in paragraph 1 shall be consistent with the payment card schemes and processing entities applicable accounting</w:t>
      </w:r>
      <w:r>
        <w:rPr>
          <w:i/>
        </w:rPr>
        <w:t xml:space="preserve"> </w:t>
      </w:r>
      <w:r w:rsidRPr="00981D8B">
        <w:rPr>
          <w:i/>
        </w:rPr>
        <w:t>framework for preparing financial statements.</w:t>
      </w:r>
    </w:p>
    <w:p w14:paraId="594608E2" w14:textId="49FF5190" w:rsidR="00F56653" w:rsidRDefault="00F56653" w:rsidP="00F56653">
      <w:pPr>
        <w:pStyle w:val="ListParagraph"/>
        <w:numPr>
          <w:ilvl w:val="0"/>
          <w:numId w:val="20"/>
        </w:numPr>
        <w:spacing w:after="200"/>
        <w:ind w:left="0" w:hanging="426"/>
        <w:contextualSpacing w:val="0"/>
        <w:jc w:val="both"/>
        <w:rPr>
          <w:lang w:val="en-GB"/>
        </w:rPr>
      </w:pPr>
      <w:r>
        <w:rPr>
          <w:lang w:val="en-GB"/>
        </w:rPr>
        <w:lastRenderedPageBreak/>
        <w:t>Accordingly, Recital</w:t>
      </w:r>
      <w:r w:rsidR="005B4062">
        <w:rPr>
          <w:lang w:val="en-GB"/>
        </w:rPr>
        <w:t>s</w:t>
      </w:r>
      <w:r>
        <w:rPr>
          <w:lang w:val="en-GB"/>
        </w:rPr>
        <w:t xml:space="preserve"> 5</w:t>
      </w:r>
      <w:r w:rsidR="005B4062">
        <w:rPr>
          <w:lang w:val="en-GB"/>
        </w:rPr>
        <w:t xml:space="preserve"> and 6</w:t>
      </w:r>
      <w:r>
        <w:rPr>
          <w:lang w:val="en-GB"/>
        </w:rPr>
        <w:t xml:space="preserve"> should be amended as follows:</w:t>
      </w:r>
    </w:p>
    <w:p w14:paraId="4EEA4E4B" w14:textId="47414605" w:rsidR="00F56653" w:rsidRDefault="005B4062" w:rsidP="009B5289">
      <w:pPr>
        <w:spacing w:after="200"/>
        <w:ind w:left="567" w:right="568" w:firstLine="0"/>
        <w:jc w:val="both"/>
        <w:rPr>
          <w:i/>
        </w:rPr>
      </w:pPr>
      <w:r w:rsidRPr="005B4062">
        <w:rPr>
          <w:i/>
        </w:rPr>
        <w:t xml:space="preserve">(5) This Regulation specifies that for accounting independence, payment card schemes and processing entities shall have accounting processes in place that enable them to produce, as a minimum, financial information related to separated </w:t>
      </w:r>
      <w:r w:rsidRPr="005B4062">
        <w:rPr>
          <w:i/>
          <w:iCs/>
          <w:strike/>
        </w:rPr>
        <w:t>balance sheets,</w:t>
      </w:r>
      <w:r w:rsidRPr="005B4062">
        <w:rPr>
          <w:i/>
        </w:rPr>
        <w:t xml:space="preserve"> profit and loss accounts and explanatory notes to this financial information. These requirements are not meant to replace or amend accounting principles and standards or the annual financial statements that apply to payment card schemes and processing entities.</w:t>
      </w:r>
    </w:p>
    <w:p w14:paraId="019D99AA" w14:textId="166C18B4" w:rsidR="00D633BC" w:rsidRDefault="005B4062" w:rsidP="009B5289">
      <w:pPr>
        <w:tabs>
          <w:tab w:val="left" w:pos="8931"/>
        </w:tabs>
        <w:spacing w:after="200"/>
        <w:ind w:left="567" w:right="568" w:firstLine="0"/>
        <w:jc w:val="both"/>
        <w:rPr>
          <w:i/>
        </w:rPr>
      </w:pPr>
      <w:r w:rsidRPr="005B4062">
        <w:rPr>
          <w:i/>
        </w:rPr>
        <w:t>(6) To that purpose, this regulation specifies how ex</w:t>
      </w:r>
      <w:r>
        <w:rPr>
          <w:i/>
        </w:rPr>
        <w:t>penses and revenues</w:t>
      </w:r>
      <w:r w:rsidRPr="005B4062">
        <w:rPr>
          <w:i/>
          <w:iCs/>
          <w:strike/>
        </w:rPr>
        <w:t>, as well as assets and liabilities,</w:t>
      </w:r>
      <w:r w:rsidRPr="005B4062">
        <w:rPr>
          <w:i/>
        </w:rPr>
        <w:t xml:space="preserve"> shall be allocated under these accounting processes. It requires that</w:t>
      </w:r>
      <w:r>
        <w:rPr>
          <w:i/>
        </w:rPr>
        <w:t xml:space="preserve"> </w:t>
      </w:r>
      <w:r w:rsidRPr="005B4062">
        <w:rPr>
          <w:i/>
        </w:rPr>
        <w:t>payment card schemes and processing entities produce this financial information at least</w:t>
      </w:r>
      <w:r>
        <w:rPr>
          <w:i/>
        </w:rPr>
        <w:t xml:space="preserve"> </w:t>
      </w:r>
      <w:r w:rsidRPr="005B4062">
        <w:rPr>
          <w:i/>
        </w:rPr>
        <w:t>annually and that the financial information is reviewed by an independent auditor. Such</w:t>
      </w:r>
      <w:r>
        <w:rPr>
          <w:i/>
        </w:rPr>
        <w:t xml:space="preserve"> </w:t>
      </w:r>
      <w:r w:rsidRPr="005B4062">
        <w:rPr>
          <w:i/>
        </w:rPr>
        <w:t>financial information as well as the review by the independent auditor shall be made</w:t>
      </w:r>
      <w:r>
        <w:rPr>
          <w:i/>
        </w:rPr>
        <w:t xml:space="preserve"> </w:t>
      </w:r>
      <w:r w:rsidRPr="005B4062">
        <w:rPr>
          <w:i/>
        </w:rPr>
        <w:t xml:space="preserve">available to </w:t>
      </w:r>
      <w:r w:rsidRPr="005B4062">
        <w:rPr>
          <w:i/>
          <w:u w:val="single"/>
        </w:rPr>
        <w:t>the</w:t>
      </w:r>
      <w:r>
        <w:rPr>
          <w:i/>
        </w:rPr>
        <w:t xml:space="preserve"> </w:t>
      </w:r>
      <w:r w:rsidRPr="005B4062">
        <w:rPr>
          <w:i/>
        </w:rPr>
        <w:t xml:space="preserve">competent authority </w:t>
      </w:r>
      <w:r w:rsidRPr="005B4062">
        <w:rPr>
          <w:i/>
          <w:u w:val="single"/>
        </w:rPr>
        <w:t>of the Member State where the registered office of the scheme is located</w:t>
      </w:r>
      <w:r w:rsidRPr="005B4062">
        <w:rPr>
          <w:i/>
        </w:rPr>
        <w:t xml:space="preserve"> when requested.</w:t>
      </w:r>
    </w:p>
    <w:p w14:paraId="19ECEF53" w14:textId="766CD426" w:rsidR="00D633BC" w:rsidRPr="00D633BC" w:rsidRDefault="00D633BC" w:rsidP="00D633BC">
      <w:pPr>
        <w:pStyle w:val="ListParagraph"/>
        <w:numPr>
          <w:ilvl w:val="0"/>
          <w:numId w:val="20"/>
        </w:numPr>
        <w:spacing w:after="200"/>
        <w:ind w:left="0" w:hanging="426"/>
        <w:contextualSpacing w:val="0"/>
        <w:jc w:val="both"/>
        <w:rPr>
          <w:lang w:val="en-GB"/>
        </w:rPr>
      </w:pPr>
      <w:r>
        <w:rPr>
          <w:lang w:val="en-GB"/>
        </w:rPr>
        <w:lastRenderedPageBreak/>
        <w:t>For the same reasons, w</w:t>
      </w:r>
      <w:r w:rsidR="004D3E86">
        <w:rPr>
          <w:lang w:val="en-GB"/>
        </w:rPr>
        <w:t>e propose to delete Article 4</w:t>
      </w:r>
      <w:r w:rsidR="002F7E34">
        <w:rPr>
          <w:lang w:val="en-GB"/>
        </w:rPr>
        <w:t>(4)</w:t>
      </w:r>
      <w:r w:rsidR="004D3E86">
        <w:rPr>
          <w:lang w:val="en-GB"/>
        </w:rPr>
        <w:t xml:space="preserve"> </w:t>
      </w:r>
      <w:r w:rsidR="002F7E34">
        <w:rPr>
          <w:lang w:val="en-GB"/>
        </w:rPr>
        <w:t xml:space="preserve">entirely </w:t>
      </w:r>
      <w:r>
        <w:rPr>
          <w:lang w:val="en-GB"/>
        </w:rPr>
        <w:t>and the words “</w:t>
      </w:r>
      <w:r w:rsidRPr="00D633BC">
        <w:rPr>
          <w:i/>
          <w:lang w:val="en-GB"/>
        </w:rPr>
        <w:t>assets and liabilities</w:t>
      </w:r>
      <w:r>
        <w:rPr>
          <w:lang w:val="en-GB"/>
        </w:rPr>
        <w:t xml:space="preserve">” </w:t>
      </w:r>
      <w:r w:rsidR="002F7E34">
        <w:rPr>
          <w:lang w:val="en-GB"/>
        </w:rPr>
        <w:t>in</w:t>
      </w:r>
      <w:r>
        <w:rPr>
          <w:lang w:val="en-GB"/>
        </w:rPr>
        <w:t xml:space="preserve"> the title of Article 4.</w:t>
      </w:r>
    </w:p>
    <w:p w14:paraId="4ABD60B0" w14:textId="53349134" w:rsidR="00304E77" w:rsidRPr="00304E77" w:rsidRDefault="00304E77" w:rsidP="00DF01A1">
      <w:pPr>
        <w:spacing w:after="200"/>
        <w:ind w:left="0" w:firstLine="0"/>
        <w:jc w:val="both"/>
        <w:rPr>
          <w:b/>
          <w:i/>
          <w:lang w:val="en-GB"/>
        </w:rPr>
      </w:pPr>
      <w:r w:rsidRPr="00304E77">
        <w:rPr>
          <w:b/>
          <w:i/>
          <w:lang w:val="en-GB"/>
        </w:rPr>
        <w:t xml:space="preserve">The requirements imposed in terms Activity Based Costing are disproportionate and less heavy/costly alternatives exist </w:t>
      </w:r>
      <w:r w:rsidR="00314883">
        <w:rPr>
          <w:b/>
          <w:i/>
          <w:lang w:val="en-GB"/>
        </w:rPr>
        <w:t>(Article 4)</w:t>
      </w:r>
    </w:p>
    <w:p w14:paraId="3046E639" w14:textId="6AF95D14" w:rsidR="0003185E" w:rsidRPr="0003185E" w:rsidRDefault="00EF495E" w:rsidP="0001126C">
      <w:pPr>
        <w:pStyle w:val="ListParagraph"/>
        <w:numPr>
          <w:ilvl w:val="0"/>
          <w:numId w:val="20"/>
        </w:numPr>
        <w:spacing w:after="200"/>
        <w:ind w:left="0" w:hanging="426"/>
        <w:contextualSpacing w:val="0"/>
        <w:jc w:val="both"/>
        <w:rPr>
          <w:lang w:val="en-GB"/>
        </w:rPr>
      </w:pPr>
      <w:r w:rsidRPr="00EF495E">
        <w:rPr>
          <w:lang w:val="en-GB"/>
        </w:rPr>
        <w:t xml:space="preserve">The requirements imposed in terms Activity Based Costing are disproportionate for the type of functional separation imposed and less heavy/costly alternatives exist. </w:t>
      </w:r>
    </w:p>
    <w:p w14:paraId="09BFE0C6" w14:textId="48042561" w:rsidR="003955A1" w:rsidRDefault="0003185E" w:rsidP="0001126C">
      <w:pPr>
        <w:pStyle w:val="ListParagraph"/>
        <w:numPr>
          <w:ilvl w:val="0"/>
          <w:numId w:val="20"/>
        </w:numPr>
        <w:spacing w:after="200"/>
        <w:ind w:left="0" w:hanging="426"/>
        <w:contextualSpacing w:val="0"/>
        <w:jc w:val="both"/>
      </w:pPr>
      <w:r w:rsidRPr="0003185E">
        <w:t xml:space="preserve">MasterCard is of the opinion that activity-based costing (ABC) </w:t>
      </w:r>
      <w:r w:rsidR="00893AC4">
        <w:t xml:space="preserve">should not be listed </w:t>
      </w:r>
      <w:r w:rsidRPr="0003185E">
        <w:t xml:space="preserve">as the preferred method of cost allocation in the </w:t>
      </w:r>
      <w:r>
        <w:t>RTS</w:t>
      </w:r>
      <w:r w:rsidRPr="0003185E">
        <w:t xml:space="preserve"> as this might create too much focus on the method rather than on the </w:t>
      </w:r>
      <w:r w:rsidRPr="0001126C">
        <w:rPr>
          <w:lang w:val="en-GB"/>
        </w:rPr>
        <w:t>goal</w:t>
      </w:r>
      <w:r w:rsidRPr="0003185E">
        <w:t xml:space="preserve"> that needs to be achieved: a stand-alone P&amp;L for the processing division separate from a stand-alone P&amp;L for the payment scheme division.  In MasterCard’s view all methods to allocate costs that cannot </w:t>
      </w:r>
      <w:r>
        <w:t xml:space="preserve">be </w:t>
      </w:r>
      <w:r w:rsidRPr="0003185E">
        <w:t>directly allocated should be treated equally, without any preference over traditional methods, activity based costing</w:t>
      </w:r>
      <w:r w:rsidR="000B037E">
        <w:t xml:space="preserve">, </w:t>
      </w:r>
      <w:r w:rsidR="000B037E" w:rsidRPr="000B037E">
        <w:t>transfer pricing methods accepted by tax authorities</w:t>
      </w:r>
      <w:r w:rsidR="000B037E">
        <w:t>,</w:t>
      </w:r>
      <w:r w:rsidRPr="0003185E">
        <w:t xml:space="preserve"> or time driven activity based costing. </w:t>
      </w:r>
    </w:p>
    <w:p w14:paraId="6058EC21" w14:textId="54A9DAB0" w:rsidR="0003185E" w:rsidRPr="0003185E" w:rsidRDefault="0003185E" w:rsidP="0001126C">
      <w:pPr>
        <w:pStyle w:val="ListParagraph"/>
        <w:numPr>
          <w:ilvl w:val="0"/>
          <w:numId w:val="20"/>
        </w:numPr>
        <w:spacing w:after="200"/>
        <w:ind w:left="0" w:hanging="426"/>
        <w:contextualSpacing w:val="0"/>
        <w:jc w:val="both"/>
      </w:pPr>
      <w:r w:rsidRPr="0003185E">
        <w:t xml:space="preserve">It is widely accepted that </w:t>
      </w:r>
      <w:r w:rsidRPr="0001126C">
        <w:rPr>
          <w:lang w:val="en-GB"/>
        </w:rPr>
        <w:t>activity</w:t>
      </w:r>
      <w:r w:rsidRPr="0003185E">
        <w:t xml:space="preserve"> based costing is difficult</w:t>
      </w:r>
      <w:r w:rsidR="00981D8B">
        <w:t xml:space="preserve">, </w:t>
      </w:r>
      <w:r w:rsidRPr="0003185E">
        <w:t>costly to implement</w:t>
      </w:r>
      <w:r w:rsidR="00981D8B">
        <w:t xml:space="preserve"> </w:t>
      </w:r>
      <w:r w:rsidR="00981D8B" w:rsidRPr="00981D8B">
        <w:t>and sometimes subjective</w:t>
      </w:r>
      <w:r w:rsidRPr="0003185E">
        <w:t xml:space="preserve">.  We should avoid driving costs into the value chain where these costs </w:t>
      </w:r>
      <w:r w:rsidRPr="0003185E">
        <w:lastRenderedPageBreak/>
        <w:t>do not lead to a regulatory reporting providing significantly higher assurance of compliance with the IFR.  Focusing too much on the method might also have the adverse effect of applying activity based costing as a method in circumstances where another method might be more appropriate.  Therefore, activity based costing should not be presented as a safe haven.</w:t>
      </w:r>
    </w:p>
    <w:p w14:paraId="4E67947D" w14:textId="6A326E50" w:rsidR="0003185E" w:rsidRPr="0003185E" w:rsidRDefault="0000130B" w:rsidP="0001126C">
      <w:pPr>
        <w:pStyle w:val="ListParagraph"/>
        <w:numPr>
          <w:ilvl w:val="0"/>
          <w:numId w:val="20"/>
        </w:numPr>
        <w:spacing w:after="200"/>
        <w:ind w:left="0" w:hanging="426"/>
        <w:contextualSpacing w:val="0"/>
        <w:jc w:val="both"/>
      </w:pPr>
      <w:r>
        <w:t xml:space="preserve">The problem is compounded by the fact that international card schemes are </w:t>
      </w:r>
      <w:r w:rsidR="008772BE">
        <w:t xml:space="preserve">often globally </w:t>
      </w:r>
      <w:r>
        <w:t xml:space="preserve">integrated </w:t>
      </w:r>
      <w:r w:rsidRPr="0001126C">
        <w:rPr>
          <w:lang w:val="en-GB"/>
        </w:rPr>
        <w:t>companies</w:t>
      </w:r>
      <w:r w:rsidR="0003185E" w:rsidRPr="0003185E">
        <w:t xml:space="preserve">.  </w:t>
      </w:r>
      <w:r>
        <w:t>This means that s</w:t>
      </w:r>
      <w:r w:rsidR="0003185E" w:rsidRPr="0003185E">
        <w:t>ome costs are considered on a global level rather than on an EEA level.</w:t>
      </w:r>
    </w:p>
    <w:p w14:paraId="76B86BD4" w14:textId="4F8F8FFC" w:rsidR="0003185E" w:rsidRPr="0003185E" w:rsidRDefault="008772BE" w:rsidP="0001126C">
      <w:pPr>
        <w:pStyle w:val="ListParagraph"/>
        <w:numPr>
          <w:ilvl w:val="0"/>
          <w:numId w:val="20"/>
        </w:numPr>
        <w:spacing w:after="200"/>
        <w:ind w:left="0" w:hanging="426"/>
        <w:contextualSpacing w:val="0"/>
        <w:jc w:val="both"/>
      </w:pPr>
      <w:r>
        <w:t>We recommend therefore deleting</w:t>
      </w:r>
      <w:r w:rsidR="0003185E" w:rsidRPr="0003185E">
        <w:t xml:space="preserve"> article 4</w:t>
      </w:r>
      <w:r w:rsidR="002F7E34">
        <w:t>(</w:t>
      </w:r>
      <w:r w:rsidR="001E7262">
        <w:t>2</w:t>
      </w:r>
      <w:r w:rsidR="002F7E34">
        <w:t>)</w:t>
      </w:r>
      <w:r w:rsidR="0003185E" w:rsidRPr="0003185E">
        <w:t>(c) and amend</w:t>
      </w:r>
      <w:r w:rsidR="002F7E34">
        <w:t>ing</w:t>
      </w:r>
      <w:r w:rsidR="0003185E" w:rsidRPr="0003185E">
        <w:t xml:space="preserve"> article 4</w:t>
      </w:r>
      <w:r w:rsidR="002F7E34">
        <w:t>(2)</w:t>
      </w:r>
      <w:r w:rsidR="0003185E" w:rsidRPr="0003185E">
        <w:t>(d) as follows:</w:t>
      </w:r>
    </w:p>
    <w:p w14:paraId="491B633D" w14:textId="67C0BF29" w:rsidR="0003185E" w:rsidRPr="0003185E" w:rsidRDefault="0003185E" w:rsidP="009B5289">
      <w:pPr>
        <w:spacing w:after="200"/>
        <w:ind w:left="567" w:right="568" w:firstLine="0"/>
        <w:jc w:val="both"/>
        <w:rPr>
          <w:i/>
        </w:rPr>
      </w:pPr>
      <w:r w:rsidRPr="0003185E">
        <w:rPr>
          <w:i/>
        </w:rPr>
        <w:t xml:space="preserve">(d) where expenses are not directly attributable </w:t>
      </w:r>
      <w:r w:rsidRPr="0000130B">
        <w:rPr>
          <w:i/>
          <w:iCs/>
          <w:strike/>
        </w:rPr>
        <w:t>and cannot be allocated on an</w:t>
      </w:r>
      <w:r w:rsidR="0000130B" w:rsidRPr="0000130B">
        <w:rPr>
          <w:i/>
          <w:iCs/>
          <w:strike/>
        </w:rPr>
        <w:t xml:space="preserve"> </w:t>
      </w:r>
      <w:r w:rsidRPr="0000130B">
        <w:rPr>
          <w:i/>
          <w:iCs/>
          <w:strike/>
        </w:rPr>
        <w:t>activity-based costing (ABC)</w:t>
      </w:r>
      <w:r w:rsidRPr="0003185E">
        <w:rPr>
          <w:i/>
        </w:rPr>
        <w:t>, they sh</w:t>
      </w:r>
      <w:r w:rsidR="000B037E">
        <w:rPr>
          <w:i/>
        </w:rPr>
        <w:t xml:space="preserve">all be allocated according to a </w:t>
      </w:r>
      <w:r w:rsidRPr="0003185E">
        <w:rPr>
          <w:i/>
        </w:rPr>
        <w:t>methodology documented in a supporting note. The supporting</w:t>
      </w:r>
      <w:r w:rsidR="0000130B">
        <w:rPr>
          <w:i/>
        </w:rPr>
        <w:t xml:space="preserve"> </w:t>
      </w:r>
      <w:r w:rsidRPr="0003185E">
        <w:rPr>
          <w:i/>
        </w:rPr>
        <w:t>note shall indicate for each allocat</w:t>
      </w:r>
      <w:r w:rsidR="0000130B">
        <w:rPr>
          <w:i/>
        </w:rPr>
        <w:t>ed costs under that methodology</w:t>
      </w:r>
      <w:r w:rsidRPr="0003185E">
        <w:rPr>
          <w:i/>
        </w:rPr>
        <w:t>:</w:t>
      </w:r>
    </w:p>
    <w:p w14:paraId="3ABB0688" w14:textId="77777777" w:rsidR="0003185E" w:rsidRPr="0003185E" w:rsidRDefault="0003185E" w:rsidP="00DF01A1">
      <w:pPr>
        <w:spacing w:after="200"/>
        <w:ind w:left="720" w:firstLine="0"/>
        <w:jc w:val="both"/>
        <w:rPr>
          <w:i/>
        </w:rPr>
      </w:pPr>
      <w:r w:rsidRPr="0003185E">
        <w:rPr>
          <w:i/>
        </w:rPr>
        <w:t>i. the basis for allocation; and</w:t>
      </w:r>
    </w:p>
    <w:p w14:paraId="754A1B89" w14:textId="0C913C1F" w:rsidR="00E8234B" w:rsidRPr="000B037E" w:rsidRDefault="0003185E" w:rsidP="000B037E">
      <w:pPr>
        <w:spacing w:after="200"/>
        <w:ind w:left="720" w:firstLine="0"/>
        <w:jc w:val="both"/>
        <w:rPr>
          <w:i/>
        </w:rPr>
      </w:pPr>
      <w:r w:rsidRPr="0003185E">
        <w:rPr>
          <w:i/>
        </w:rPr>
        <w:lastRenderedPageBreak/>
        <w:t>ii. the rationale for that basis.</w:t>
      </w:r>
    </w:p>
    <w:p w14:paraId="62E96D92" w14:textId="69E290D3" w:rsidR="008A1A94" w:rsidRPr="00304E77" w:rsidRDefault="008A1A94" w:rsidP="008A1A94">
      <w:pPr>
        <w:spacing w:after="200"/>
        <w:ind w:left="0" w:firstLine="0"/>
        <w:jc w:val="both"/>
        <w:rPr>
          <w:b/>
          <w:i/>
          <w:lang w:val="en-GB"/>
        </w:rPr>
      </w:pPr>
      <w:r w:rsidRPr="00304E77">
        <w:rPr>
          <w:b/>
          <w:i/>
          <w:lang w:val="en-GB"/>
        </w:rPr>
        <w:t xml:space="preserve">The </w:t>
      </w:r>
      <w:r w:rsidR="0096479A">
        <w:rPr>
          <w:b/>
          <w:i/>
          <w:lang w:val="en-GB"/>
        </w:rPr>
        <w:t>title of Article 5</w:t>
      </w:r>
      <w:r w:rsidR="001B2F5B">
        <w:rPr>
          <w:b/>
          <w:i/>
          <w:lang w:val="en-GB"/>
        </w:rPr>
        <w:t xml:space="preserve"> on review of financial information should be amended </w:t>
      </w:r>
      <w:r>
        <w:rPr>
          <w:b/>
          <w:i/>
          <w:lang w:val="en-GB"/>
        </w:rPr>
        <w:t>(Article 5)</w:t>
      </w:r>
    </w:p>
    <w:p w14:paraId="2A6FE24E" w14:textId="226CC0B7" w:rsidR="00D606A6" w:rsidRDefault="00D606A6" w:rsidP="00227BBD">
      <w:pPr>
        <w:pStyle w:val="ListParagraph"/>
        <w:numPr>
          <w:ilvl w:val="0"/>
          <w:numId w:val="20"/>
        </w:numPr>
        <w:spacing w:after="200"/>
        <w:ind w:left="0" w:hanging="425"/>
        <w:contextualSpacing w:val="0"/>
        <w:jc w:val="both"/>
        <w:rPr>
          <w:lang w:val="en-GB"/>
        </w:rPr>
      </w:pPr>
      <w:r>
        <w:rPr>
          <w:lang w:val="en-GB"/>
        </w:rPr>
        <w:t>Despite the title of Article 5 reads “</w:t>
      </w:r>
      <w:r w:rsidRPr="00D606A6">
        <w:rPr>
          <w:i/>
          <w:lang w:val="en-GB"/>
        </w:rPr>
        <w:t>Audit of Financial Information</w:t>
      </w:r>
      <w:r>
        <w:rPr>
          <w:lang w:val="en-GB"/>
        </w:rPr>
        <w:t>”, the text</w:t>
      </w:r>
      <w:r w:rsidR="001E5590">
        <w:rPr>
          <w:lang w:val="en-GB"/>
        </w:rPr>
        <w:t>s</w:t>
      </w:r>
      <w:r>
        <w:rPr>
          <w:lang w:val="en-GB"/>
        </w:rPr>
        <w:t xml:space="preserve"> of </w:t>
      </w:r>
      <w:r w:rsidR="008A1A94" w:rsidRPr="008A1A94">
        <w:rPr>
          <w:lang w:val="en-GB"/>
        </w:rPr>
        <w:t xml:space="preserve">Article 5 </w:t>
      </w:r>
      <w:r w:rsidR="001B2F5B">
        <w:rPr>
          <w:lang w:val="en-GB"/>
        </w:rPr>
        <w:t xml:space="preserve">and Recital 6 </w:t>
      </w:r>
      <w:r w:rsidR="008A1A94">
        <w:rPr>
          <w:lang w:val="en-GB"/>
        </w:rPr>
        <w:t>require</w:t>
      </w:r>
      <w:r w:rsidR="008A1A94" w:rsidRPr="008A1A94">
        <w:rPr>
          <w:lang w:val="en-GB"/>
        </w:rPr>
        <w:t xml:space="preserve"> </w:t>
      </w:r>
      <w:r w:rsidR="00E806C2">
        <w:rPr>
          <w:lang w:val="en-GB"/>
        </w:rPr>
        <w:t xml:space="preserve">instead </w:t>
      </w:r>
      <w:r w:rsidR="008A1A94" w:rsidRPr="008A1A94">
        <w:rPr>
          <w:lang w:val="en-GB"/>
        </w:rPr>
        <w:t xml:space="preserve">a </w:t>
      </w:r>
      <w:r w:rsidR="008A1A94">
        <w:rPr>
          <w:lang w:val="en-GB"/>
        </w:rPr>
        <w:t>“</w:t>
      </w:r>
      <w:r w:rsidR="008A1A94" w:rsidRPr="00D606A6">
        <w:rPr>
          <w:i/>
          <w:lang w:val="en-GB"/>
        </w:rPr>
        <w:t>review</w:t>
      </w:r>
      <w:r w:rsidR="008A1A94">
        <w:rPr>
          <w:lang w:val="en-GB"/>
        </w:rPr>
        <w:t>” of the financial information</w:t>
      </w:r>
      <w:r>
        <w:rPr>
          <w:lang w:val="en-GB"/>
        </w:rPr>
        <w:t>,</w:t>
      </w:r>
      <w:r w:rsidR="008A1A94">
        <w:rPr>
          <w:lang w:val="en-GB"/>
        </w:rPr>
        <w:t xml:space="preserve"> as opposed to an “</w:t>
      </w:r>
      <w:r w:rsidR="008A1A94" w:rsidRPr="00D606A6">
        <w:rPr>
          <w:i/>
          <w:lang w:val="en-GB"/>
        </w:rPr>
        <w:t>audit</w:t>
      </w:r>
      <w:r w:rsidR="008A1A94">
        <w:rPr>
          <w:lang w:val="en-GB"/>
        </w:rPr>
        <w:t>”</w:t>
      </w:r>
      <w:r w:rsidR="008A1A94" w:rsidRPr="008A1A94">
        <w:rPr>
          <w:lang w:val="en-GB"/>
        </w:rPr>
        <w:t>.</w:t>
      </w:r>
      <w:r>
        <w:rPr>
          <w:lang w:val="en-GB"/>
        </w:rPr>
        <w:t xml:space="preserve">  </w:t>
      </w:r>
    </w:p>
    <w:p w14:paraId="669F5EA6" w14:textId="505EA747" w:rsidR="008A1A94" w:rsidRPr="001E5590" w:rsidRDefault="008A1A94" w:rsidP="001E5590">
      <w:pPr>
        <w:pStyle w:val="ListParagraph"/>
        <w:numPr>
          <w:ilvl w:val="0"/>
          <w:numId w:val="20"/>
        </w:numPr>
        <w:spacing w:after="200"/>
        <w:ind w:left="0" w:hanging="425"/>
        <w:contextualSpacing w:val="0"/>
        <w:jc w:val="both"/>
        <w:rPr>
          <w:lang w:val="en-GB"/>
        </w:rPr>
      </w:pPr>
      <w:r w:rsidRPr="001E5590">
        <w:rPr>
          <w:lang w:val="en-GB"/>
        </w:rPr>
        <w:t xml:space="preserve">A review is substantially </w:t>
      </w:r>
      <w:r w:rsidR="00E806C2" w:rsidRPr="001E5590">
        <w:rPr>
          <w:lang w:val="en-GB"/>
        </w:rPr>
        <w:t>different</w:t>
      </w:r>
      <w:r w:rsidRPr="001E5590">
        <w:rPr>
          <w:lang w:val="en-GB"/>
        </w:rPr>
        <w:t xml:space="preserve"> </w:t>
      </w:r>
      <w:r w:rsidR="00E806C2" w:rsidRPr="001E5590">
        <w:rPr>
          <w:lang w:val="en-GB"/>
        </w:rPr>
        <w:t>from</w:t>
      </w:r>
      <w:r w:rsidRPr="001E5590">
        <w:rPr>
          <w:lang w:val="en-GB"/>
        </w:rPr>
        <w:t xml:space="preserve"> an audit.  An audit requires the independent auditor to</w:t>
      </w:r>
      <w:r w:rsidR="001E5590" w:rsidRPr="001E5590">
        <w:rPr>
          <w:lang w:val="en-GB"/>
        </w:rPr>
        <w:t xml:space="preserve"> (1) i</w:t>
      </w:r>
      <w:r w:rsidRPr="001E5590">
        <w:rPr>
          <w:lang w:val="en-GB"/>
        </w:rPr>
        <w:t>ssue an opinion that the financial statements are presented fairly, in all material respects, in conformity with the applicable financial reporting framework</w:t>
      </w:r>
      <w:r w:rsidR="001E5590" w:rsidRPr="001E5590">
        <w:rPr>
          <w:lang w:val="en-GB"/>
        </w:rPr>
        <w:t xml:space="preserve">; (2) </w:t>
      </w:r>
      <w:r w:rsidRPr="001E5590">
        <w:rPr>
          <w:lang w:val="en-GB"/>
        </w:rPr>
        <w:t xml:space="preserve">obtain an understanding of the entity’s internal control and assess fraud risk; and </w:t>
      </w:r>
      <w:r w:rsidR="001E5590" w:rsidRPr="001E5590">
        <w:rPr>
          <w:lang w:val="en-GB"/>
        </w:rPr>
        <w:t xml:space="preserve">(3) </w:t>
      </w:r>
      <w:r w:rsidRPr="001E5590">
        <w:rPr>
          <w:lang w:val="en-GB"/>
        </w:rPr>
        <w:t xml:space="preserve">corroborate the amounts and disclosures included in the financial statements by obtaining audit evidence through inquiry, physical inspection, observation, third-party confirmations, examination, analytical </w:t>
      </w:r>
      <w:r w:rsidR="00C345E7">
        <w:rPr>
          <w:lang w:val="en-GB"/>
        </w:rPr>
        <w:t xml:space="preserve">and other </w:t>
      </w:r>
      <w:r w:rsidRPr="001E5590">
        <w:rPr>
          <w:lang w:val="en-GB"/>
        </w:rPr>
        <w:t>procedures.</w:t>
      </w:r>
    </w:p>
    <w:p w14:paraId="301D541B" w14:textId="4B8EC487" w:rsidR="008A1A94" w:rsidRDefault="008A1A94" w:rsidP="001E5590">
      <w:pPr>
        <w:pStyle w:val="ListParagraph"/>
        <w:numPr>
          <w:ilvl w:val="0"/>
          <w:numId w:val="20"/>
        </w:numPr>
        <w:spacing w:after="200"/>
        <w:ind w:left="0" w:hanging="425"/>
        <w:contextualSpacing w:val="0"/>
        <w:jc w:val="both"/>
        <w:rPr>
          <w:lang w:val="en-GB"/>
        </w:rPr>
      </w:pPr>
      <w:r w:rsidRPr="008A1A94">
        <w:rPr>
          <w:lang w:val="en-GB"/>
        </w:rPr>
        <w:t xml:space="preserve">A review </w:t>
      </w:r>
      <w:r w:rsidR="001E5590">
        <w:rPr>
          <w:lang w:val="en-GB"/>
        </w:rPr>
        <w:t xml:space="preserve">instead </w:t>
      </w:r>
      <w:r>
        <w:rPr>
          <w:lang w:val="en-GB"/>
        </w:rPr>
        <w:t xml:space="preserve">requires </w:t>
      </w:r>
      <w:r w:rsidRPr="008A1A94">
        <w:rPr>
          <w:lang w:val="en-GB"/>
        </w:rPr>
        <w:t>the independent auditor to</w:t>
      </w:r>
      <w:r w:rsidR="001E5590">
        <w:rPr>
          <w:lang w:val="en-GB"/>
        </w:rPr>
        <w:t xml:space="preserve"> </w:t>
      </w:r>
      <w:r w:rsidRPr="001E5590">
        <w:rPr>
          <w:lang w:val="en-GB"/>
        </w:rPr>
        <w:t>perform procedures (primarily analytical procedures and inquiries) that will provide a reasonable basis for obtaining as</w:t>
      </w:r>
      <w:r w:rsidRPr="001E5590">
        <w:rPr>
          <w:lang w:val="en-GB"/>
        </w:rPr>
        <w:lastRenderedPageBreak/>
        <w:t xml:space="preserve">surance that there are no material modifications that should be made to the financial statements for them to be in conformity with the applicable financial reporting framework. </w:t>
      </w:r>
      <w:r w:rsidR="003E42B9">
        <w:rPr>
          <w:lang w:val="en-GB"/>
        </w:rPr>
        <w:t xml:space="preserve"> </w:t>
      </w:r>
      <w:r w:rsidRPr="001E5590">
        <w:rPr>
          <w:lang w:val="en-GB"/>
        </w:rPr>
        <w:t>A review includes primarily applying analytical procedures to management’s financial data and making inquiries of management.</w:t>
      </w:r>
    </w:p>
    <w:p w14:paraId="0AE60E87" w14:textId="415ECA58" w:rsidR="003E42B9" w:rsidRDefault="00063EEB" w:rsidP="003E42B9">
      <w:pPr>
        <w:pStyle w:val="ListParagraph"/>
        <w:numPr>
          <w:ilvl w:val="0"/>
          <w:numId w:val="20"/>
        </w:numPr>
        <w:spacing w:after="200"/>
        <w:ind w:left="0" w:hanging="425"/>
        <w:contextualSpacing w:val="0"/>
        <w:jc w:val="both"/>
        <w:rPr>
          <w:lang w:val="en-GB"/>
        </w:rPr>
      </w:pPr>
      <w:r>
        <w:rPr>
          <w:lang w:val="en-GB"/>
        </w:rPr>
        <w:t>Since t</w:t>
      </w:r>
      <w:r w:rsidR="003E42B9">
        <w:rPr>
          <w:lang w:val="en-GB"/>
        </w:rPr>
        <w:t xml:space="preserve">he texts of </w:t>
      </w:r>
      <w:r w:rsidR="003E42B9" w:rsidRPr="008A1A94">
        <w:rPr>
          <w:lang w:val="en-GB"/>
        </w:rPr>
        <w:t xml:space="preserve">Article 5 </w:t>
      </w:r>
      <w:r w:rsidR="003E42B9">
        <w:rPr>
          <w:lang w:val="en-GB"/>
        </w:rPr>
        <w:t>and Recital 6 require a review and not an audit</w:t>
      </w:r>
      <w:r w:rsidR="009E285B">
        <w:rPr>
          <w:lang w:val="en-GB"/>
        </w:rPr>
        <w:t xml:space="preserve">, </w:t>
      </w:r>
      <w:r w:rsidR="003E42B9">
        <w:rPr>
          <w:lang w:val="en-GB"/>
        </w:rPr>
        <w:t xml:space="preserve">the title of Article 5 should be amended </w:t>
      </w:r>
      <w:r w:rsidR="003E42B9" w:rsidRPr="00D606A6">
        <w:rPr>
          <w:lang w:val="en-GB"/>
        </w:rPr>
        <w:t xml:space="preserve">as follows: </w:t>
      </w:r>
    </w:p>
    <w:p w14:paraId="36C7F6A8" w14:textId="77777777" w:rsidR="003E42B9" w:rsidRPr="00D606A6" w:rsidRDefault="003E42B9" w:rsidP="003E42B9">
      <w:pPr>
        <w:spacing w:after="200"/>
        <w:ind w:left="-425" w:firstLine="0"/>
        <w:jc w:val="center"/>
        <w:rPr>
          <w:lang w:val="en-GB"/>
        </w:rPr>
      </w:pPr>
      <w:r w:rsidRPr="00D606A6">
        <w:rPr>
          <w:rFonts w:cs="Times New Roman"/>
          <w:i/>
          <w:iCs/>
        </w:rPr>
        <w:t>Article 5</w:t>
      </w:r>
      <w:r w:rsidRPr="00D606A6">
        <w:rPr>
          <w:lang w:val="en-GB"/>
        </w:rPr>
        <w:br/>
      </w:r>
      <w:r w:rsidRPr="00D606A6">
        <w:rPr>
          <w:i/>
          <w:iCs/>
          <w:strike/>
          <w:lang w:val="en-GB"/>
        </w:rPr>
        <w:t xml:space="preserve">Audit </w:t>
      </w:r>
      <w:r w:rsidRPr="00D606A6">
        <w:rPr>
          <w:i/>
          <w:u w:val="single"/>
          <w:lang w:val="en-GB"/>
        </w:rPr>
        <w:t>Review</w:t>
      </w:r>
      <w:r w:rsidRPr="00D606A6">
        <w:rPr>
          <w:i/>
          <w:lang w:val="en-GB"/>
        </w:rPr>
        <w:t xml:space="preserve"> of financial information</w:t>
      </w:r>
    </w:p>
    <w:p w14:paraId="2FF9D732" w14:textId="77777777" w:rsidR="00314883" w:rsidRPr="009D05C2" w:rsidRDefault="00EF495E" w:rsidP="00DF01A1">
      <w:pPr>
        <w:spacing w:after="200"/>
        <w:ind w:left="0" w:firstLine="0"/>
        <w:jc w:val="both"/>
        <w:rPr>
          <w:b/>
          <w:sz w:val="28"/>
          <w:szCs w:val="28"/>
          <w:lang w:val="en-GB"/>
        </w:rPr>
      </w:pPr>
      <w:r w:rsidRPr="009D05C2">
        <w:rPr>
          <w:b/>
          <w:sz w:val="28"/>
          <w:szCs w:val="28"/>
          <w:lang w:val="en-GB"/>
        </w:rPr>
        <w:t xml:space="preserve">Section 3 </w:t>
      </w:r>
      <w:r w:rsidR="00D87EBC" w:rsidRPr="009D05C2">
        <w:rPr>
          <w:b/>
          <w:sz w:val="28"/>
          <w:szCs w:val="28"/>
          <w:lang w:val="en-GB"/>
        </w:rPr>
        <w:t>–</w:t>
      </w:r>
      <w:r w:rsidRPr="009D05C2">
        <w:rPr>
          <w:b/>
          <w:sz w:val="28"/>
          <w:szCs w:val="28"/>
          <w:lang w:val="en-GB"/>
        </w:rPr>
        <w:t xml:space="preserve"> Organization</w:t>
      </w:r>
    </w:p>
    <w:p w14:paraId="127CFE22" w14:textId="3935952F" w:rsidR="002F0D5C" w:rsidRPr="007F3C5F" w:rsidRDefault="002F0D5C" w:rsidP="00DF01A1">
      <w:pPr>
        <w:spacing w:after="200"/>
        <w:ind w:left="0" w:firstLine="0"/>
        <w:jc w:val="both"/>
        <w:rPr>
          <w:b/>
          <w:i/>
          <w:lang w:val="en-GB"/>
        </w:rPr>
      </w:pPr>
      <w:r w:rsidRPr="007F3C5F">
        <w:rPr>
          <w:b/>
          <w:i/>
          <w:lang w:val="en-GB"/>
        </w:rPr>
        <w:t xml:space="preserve">The provision on remuneration should be </w:t>
      </w:r>
      <w:r w:rsidR="00476E43">
        <w:rPr>
          <w:b/>
          <w:i/>
          <w:lang w:val="en-GB"/>
        </w:rPr>
        <w:t>amended</w:t>
      </w:r>
      <w:r w:rsidRPr="007F3C5F">
        <w:rPr>
          <w:b/>
          <w:i/>
          <w:lang w:val="en-GB"/>
        </w:rPr>
        <w:t xml:space="preserve"> (Article 11)</w:t>
      </w:r>
    </w:p>
    <w:p w14:paraId="505DBF61" w14:textId="77777777" w:rsidR="00A80BEF" w:rsidRDefault="002F0D5C" w:rsidP="008A1A94">
      <w:pPr>
        <w:pStyle w:val="ListParagraph"/>
        <w:numPr>
          <w:ilvl w:val="0"/>
          <w:numId w:val="23"/>
        </w:numPr>
        <w:spacing w:after="200"/>
        <w:contextualSpacing w:val="0"/>
        <w:jc w:val="both"/>
        <w:rPr>
          <w:lang w:val="en-GB"/>
        </w:rPr>
      </w:pPr>
      <w:r>
        <w:rPr>
          <w:lang w:val="en-GB"/>
        </w:rPr>
        <w:t xml:space="preserve">We propose that the remuneration may be linked to at least a portion of the company (including </w:t>
      </w:r>
      <w:r w:rsidR="00453FBD">
        <w:rPr>
          <w:lang w:val="en-GB"/>
        </w:rPr>
        <w:t>S</w:t>
      </w:r>
      <w:r>
        <w:rPr>
          <w:lang w:val="en-GB"/>
        </w:rPr>
        <w:t xml:space="preserve">cheme + </w:t>
      </w:r>
      <w:r w:rsidR="00453FBD">
        <w:rPr>
          <w:lang w:val="en-GB"/>
        </w:rPr>
        <w:t>P</w:t>
      </w:r>
      <w:r>
        <w:rPr>
          <w:lang w:val="en-GB"/>
        </w:rPr>
        <w:t>rocessing) overall performance.  This is important to motivate staff and make them feel that they belong to the same company (even if they work in separate units).</w:t>
      </w:r>
      <w:r w:rsidR="00454501">
        <w:rPr>
          <w:lang w:val="en-GB"/>
        </w:rPr>
        <w:t xml:space="preserve"> </w:t>
      </w:r>
    </w:p>
    <w:p w14:paraId="58FEB4A6" w14:textId="257A8426" w:rsidR="00A80BEF" w:rsidRDefault="002F7E34" w:rsidP="008A1A94">
      <w:pPr>
        <w:pStyle w:val="ListParagraph"/>
        <w:numPr>
          <w:ilvl w:val="0"/>
          <w:numId w:val="23"/>
        </w:numPr>
        <w:spacing w:after="200"/>
        <w:contextualSpacing w:val="0"/>
        <w:jc w:val="both"/>
        <w:rPr>
          <w:lang w:val="en-GB"/>
        </w:rPr>
      </w:pPr>
      <w:r>
        <w:rPr>
          <w:lang w:val="en-GB"/>
        </w:rPr>
        <w:lastRenderedPageBreak/>
        <w:t xml:space="preserve">For this reason, we recommend amending </w:t>
      </w:r>
      <w:r w:rsidR="00A80BEF">
        <w:rPr>
          <w:lang w:val="en-GB"/>
        </w:rPr>
        <w:t>A</w:t>
      </w:r>
      <w:r w:rsidR="00A80BEF" w:rsidRPr="00981D8B">
        <w:rPr>
          <w:lang w:val="en-GB"/>
        </w:rPr>
        <w:t xml:space="preserve">rticle </w:t>
      </w:r>
      <w:r w:rsidR="004A36F4">
        <w:rPr>
          <w:lang w:val="en-GB"/>
        </w:rPr>
        <w:t>11</w:t>
      </w:r>
      <w:r>
        <w:rPr>
          <w:lang w:val="en-GB"/>
        </w:rPr>
        <w:t xml:space="preserve"> as follows</w:t>
      </w:r>
      <w:r w:rsidR="00A80BEF">
        <w:rPr>
          <w:lang w:val="en-GB"/>
        </w:rPr>
        <w:t>:</w:t>
      </w:r>
    </w:p>
    <w:p w14:paraId="312B3620" w14:textId="11C485B8" w:rsidR="00A80BEF" w:rsidRPr="00A80BEF" w:rsidRDefault="00A80BEF" w:rsidP="00A80BEF">
      <w:pPr>
        <w:autoSpaceDE w:val="0"/>
        <w:autoSpaceDN w:val="0"/>
        <w:adjustRightInd w:val="0"/>
        <w:ind w:firstLine="0"/>
        <w:jc w:val="center"/>
        <w:rPr>
          <w:rFonts w:cs="Times New Roman"/>
          <w:i/>
          <w:iCs/>
        </w:rPr>
      </w:pPr>
      <w:r w:rsidRPr="00A80BEF">
        <w:rPr>
          <w:rFonts w:cs="Times New Roman"/>
          <w:i/>
          <w:iCs/>
        </w:rPr>
        <w:t xml:space="preserve">Article </w:t>
      </w:r>
      <w:r w:rsidR="00E703E7">
        <w:rPr>
          <w:rFonts w:cs="Times New Roman"/>
          <w:i/>
          <w:iCs/>
        </w:rPr>
        <w:t>11</w:t>
      </w:r>
      <w:r w:rsidRPr="00A80BEF">
        <w:rPr>
          <w:rFonts w:cs="Times New Roman"/>
          <w:i/>
          <w:iCs/>
        </w:rPr>
        <w:br/>
      </w:r>
      <w:r w:rsidR="00E703E7">
        <w:rPr>
          <w:rFonts w:cs="Times New Roman"/>
          <w:i/>
          <w:iCs/>
        </w:rPr>
        <w:t>Remuneration</w:t>
      </w:r>
    </w:p>
    <w:p w14:paraId="27C6188E" w14:textId="76D060E6" w:rsidR="004A36F4" w:rsidRPr="004A36F4" w:rsidRDefault="00A80BEF" w:rsidP="009B5289">
      <w:pPr>
        <w:autoSpaceDE w:val="0"/>
        <w:autoSpaceDN w:val="0"/>
        <w:adjustRightInd w:val="0"/>
        <w:ind w:left="567" w:right="568" w:firstLine="0"/>
        <w:jc w:val="both"/>
        <w:rPr>
          <w:rFonts w:cs="Times New Roman"/>
          <w:i/>
        </w:rPr>
      </w:pPr>
      <w:r w:rsidRPr="00A80BEF">
        <w:rPr>
          <w:rFonts w:cs="Times New Roman"/>
        </w:rPr>
        <w:t>1</w:t>
      </w:r>
      <w:r w:rsidRPr="00A80BEF">
        <w:rPr>
          <w:rFonts w:cs="Times New Roman"/>
          <w:i/>
        </w:rPr>
        <w:t xml:space="preserve">. </w:t>
      </w:r>
      <w:r w:rsidR="004A36F4" w:rsidRPr="004A36F4">
        <w:rPr>
          <w:rFonts w:cs="Times New Roman"/>
          <w:i/>
        </w:rPr>
        <w:t xml:space="preserve">Remuneration of the staff of processing entities shall reflect </w:t>
      </w:r>
      <w:r w:rsidR="004A36F4" w:rsidRPr="004A36F4">
        <w:rPr>
          <w:rFonts w:cs="Times New Roman"/>
          <w:i/>
          <w:iCs/>
          <w:strike/>
        </w:rPr>
        <w:t xml:space="preserve">solely </w:t>
      </w:r>
      <w:r w:rsidR="004A36F4" w:rsidRPr="004A36F4">
        <w:rPr>
          <w:rFonts w:cs="Times New Roman"/>
          <w:i/>
        </w:rPr>
        <w:t>the objectives</w:t>
      </w:r>
      <w:r w:rsidR="004A36F4">
        <w:rPr>
          <w:rFonts w:cs="Times New Roman"/>
          <w:i/>
        </w:rPr>
        <w:t xml:space="preserve"> </w:t>
      </w:r>
      <w:r w:rsidR="004A36F4" w:rsidRPr="004A36F4">
        <w:rPr>
          <w:rFonts w:cs="Times New Roman"/>
          <w:i/>
        </w:rPr>
        <w:t xml:space="preserve">of the processing entity and shall not be directly </w:t>
      </w:r>
      <w:r w:rsidR="004A36F4" w:rsidRPr="004A36F4">
        <w:rPr>
          <w:rFonts w:cs="Times New Roman"/>
          <w:i/>
          <w:iCs/>
          <w:strike/>
        </w:rPr>
        <w:t>or indirectly</w:t>
      </w:r>
      <w:r w:rsidR="004A36F4" w:rsidRPr="004A36F4">
        <w:rPr>
          <w:rFonts w:cs="Times New Roman"/>
          <w:i/>
        </w:rPr>
        <w:t xml:space="preserve"> linked to the</w:t>
      </w:r>
      <w:r w:rsidR="004A36F4">
        <w:rPr>
          <w:rFonts w:cs="Times New Roman"/>
          <w:i/>
        </w:rPr>
        <w:t xml:space="preserve"> </w:t>
      </w:r>
      <w:r w:rsidR="004A36F4" w:rsidRPr="004A36F4">
        <w:rPr>
          <w:rFonts w:cs="Times New Roman"/>
          <w:i/>
        </w:rPr>
        <w:t>performance of the payment card scheme to which the processing entity provides</w:t>
      </w:r>
      <w:r w:rsidR="004A36F4">
        <w:rPr>
          <w:rFonts w:cs="Times New Roman"/>
          <w:i/>
        </w:rPr>
        <w:t xml:space="preserve"> </w:t>
      </w:r>
      <w:r w:rsidR="004A36F4" w:rsidRPr="004A36F4">
        <w:rPr>
          <w:rFonts w:cs="Times New Roman"/>
          <w:i/>
        </w:rPr>
        <w:t>services.</w:t>
      </w:r>
    </w:p>
    <w:p w14:paraId="1B90BA1F" w14:textId="77777777" w:rsidR="005B4062" w:rsidRDefault="004A36F4" w:rsidP="009B5289">
      <w:pPr>
        <w:autoSpaceDE w:val="0"/>
        <w:autoSpaceDN w:val="0"/>
        <w:adjustRightInd w:val="0"/>
        <w:ind w:left="567" w:right="568" w:firstLine="0"/>
        <w:jc w:val="both"/>
        <w:rPr>
          <w:rFonts w:cs="Times New Roman"/>
          <w:i/>
        </w:rPr>
      </w:pPr>
      <w:r w:rsidRPr="004A36F4">
        <w:rPr>
          <w:rFonts w:cs="Times New Roman"/>
          <w:i/>
        </w:rPr>
        <w:t xml:space="preserve">2. Remuneration of the staff of payment card schemes shall reflect </w:t>
      </w:r>
      <w:r w:rsidRPr="004A36F4">
        <w:rPr>
          <w:rFonts w:cs="Times New Roman"/>
          <w:i/>
          <w:iCs/>
          <w:strike/>
        </w:rPr>
        <w:t xml:space="preserve">solely </w:t>
      </w:r>
      <w:r w:rsidRPr="004A36F4">
        <w:rPr>
          <w:rFonts w:cs="Times New Roman"/>
          <w:i/>
        </w:rPr>
        <w:t>the</w:t>
      </w:r>
      <w:r>
        <w:rPr>
          <w:rFonts w:cs="Times New Roman"/>
          <w:i/>
        </w:rPr>
        <w:t xml:space="preserve"> </w:t>
      </w:r>
      <w:r w:rsidRPr="004A36F4">
        <w:rPr>
          <w:rFonts w:cs="Times New Roman"/>
          <w:i/>
        </w:rPr>
        <w:t xml:space="preserve">objectives of the payment card schemes and shall not be directly </w:t>
      </w:r>
      <w:r w:rsidRPr="004A36F4">
        <w:rPr>
          <w:rFonts w:cs="Times New Roman"/>
          <w:i/>
          <w:iCs/>
          <w:strike/>
        </w:rPr>
        <w:t>or indirectly</w:t>
      </w:r>
      <w:r>
        <w:rPr>
          <w:rFonts w:cs="Times New Roman"/>
          <w:i/>
        </w:rPr>
        <w:t xml:space="preserve"> </w:t>
      </w:r>
      <w:r w:rsidRPr="004A36F4">
        <w:rPr>
          <w:rFonts w:cs="Times New Roman"/>
          <w:i/>
        </w:rPr>
        <w:t>linked to the performance of a processing entity.</w:t>
      </w:r>
    </w:p>
    <w:p w14:paraId="3E6518D3" w14:textId="7C4F464A" w:rsidR="00A80BEF" w:rsidRPr="005B4062" w:rsidRDefault="004A36F4" w:rsidP="008A1A94">
      <w:pPr>
        <w:pStyle w:val="ListParagraph"/>
        <w:numPr>
          <w:ilvl w:val="0"/>
          <w:numId w:val="23"/>
        </w:numPr>
        <w:spacing w:after="200"/>
        <w:contextualSpacing w:val="0"/>
        <w:jc w:val="both"/>
        <w:rPr>
          <w:rFonts w:cs="Times New Roman"/>
        </w:rPr>
      </w:pPr>
      <w:r w:rsidRPr="004A36F4">
        <w:rPr>
          <w:rFonts w:cs="Times New Roman"/>
          <w:i/>
        </w:rPr>
        <w:t xml:space="preserve"> </w:t>
      </w:r>
      <w:r w:rsidR="005B4062" w:rsidRPr="005B4062">
        <w:rPr>
          <w:rFonts w:cs="Times New Roman"/>
        </w:rPr>
        <w:t xml:space="preserve">Accordingly, Recitals </w:t>
      </w:r>
      <w:r w:rsidR="005B4062">
        <w:rPr>
          <w:rFonts w:cs="Times New Roman"/>
        </w:rPr>
        <w:t>9</w:t>
      </w:r>
      <w:r w:rsidR="005B4062" w:rsidRPr="005B4062">
        <w:rPr>
          <w:rFonts w:cs="Times New Roman"/>
        </w:rPr>
        <w:t xml:space="preserve"> should be amended as follows:</w:t>
      </w:r>
    </w:p>
    <w:p w14:paraId="4BDBA7AF" w14:textId="6637991D" w:rsidR="005B4062" w:rsidRPr="005B4062" w:rsidRDefault="005B4062" w:rsidP="009B5289">
      <w:pPr>
        <w:autoSpaceDE w:val="0"/>
        <w:autoSpaceDN w:val="0"/>
        <w:adjustRightInd w:val="0"/>
        <w:ind w:left="567" w:right="568" w:firstLine="0"/>
        <w:jc w:val="both"/>
        <w:rPr>
          <w:rFonts w:cs="Times New Roman"/>
          <w:i/>
        </w:rPr>
      </w:pPr>
      <w:r w:rsidRPr="005B4062">
        <w:rPr>
          <w:rFonts w:cs="Times New Roman"/>
          <w:i/>
        </w:rPr>
        <w:t>(9) The regulation also requires that remuneration fram</w:t>
      </w:r>
      <w:r>
        <w:rPr>
          <w:rFonts w:cs="Times New Roman"/>
          <w:i/>
        </w:rPr>
        <w:t xml:space="preserve">eworks for staff of the payment </w:t>
      </w:r>
      <w:r w:rsidRPr="005B4062">
        <w:rPr>
          <w:rFonts w:cs="Times New Roman"/>
          <w:i/>
        </w:rPr>
        <w:t xml:space="preserve">card scheme and staff of the processing entity are not set </w:t>
      </w:r>
      <w:r w:rsidR="001E7262" w:rsidRPr="001E7262">
        <w:rPr>
          <w:rFonts w:cs="Times New Roman"/>
          <w:i/>
          <w:u w:val="single"/>
        </w:rPr>
        <w:t>directly</w:t>
      </w:r>
      <w:r w:rsidR="001E7262">
        <w:rPr>
          <w:rFonts w:cs="Times New Roman"/>
          <w:i/>
        </w:rPr>
        <w:t xml:space="preserve"> </w:t>
      </w:r>
      <w:r w:rsidRPr="005B4062">
        <w:rPr>
          <w:rFonts w:cs="Times New Roman"/>
          <w:i/>
        </w:rPr>
        <w:t>on the economic performance of</w:t>
      </w:r>
      <w:r>
        <w:rPr>
          <w:rFonts w:cs="Times New Roman"/>
          <w:i/>
        </w:rPr>
        <w:t xml:space="preserve"> </w:t>
      </w:r>
      <w:r w:rsidRPr="005B4062">
        <w:rPr>
          <w:rFonts w:cs="Times New Roman"/>
          <w:i/>
        </w:rPr>
        <w:t xml:space="preserve">respectively a processing entity or a payment card scheme to </w:t>
      </w:r>
      <w:r w:rsidRPr="005B4062">
        <w:rPr>
          <w:rFonts w:cs="Times New Roman"/>
          <w:i/>
        </w:rPr>
        <w:lastRenderedPageBreak/>
        <w:t>avoid any incentives for staff</w:t>
      </w:r>
      <w:r>
        <w:rPr>
          <w:rFonts w:cs="Times New Roman"/>
          <w:i/>
        </w:rPr>
        <w:t xml:space="preserve"> </w:t>
      </w:r>
      <w:r w:rsidRPr="005B4062">
        <w:rPr>
          <w:rFonts w:cs="Times New Roman"/>
          <w:i/>
        </w:rPr>
        <w:t>of the payment card scheme or processing entity to provide each other with preferential</w:t>
      </w:r>
      <w:r>
        <w:rPr>
          <w:rFonts w:cs="Times New Roman"/>
          <w:i/>
        </w:rPr>
        <w:t xml:space="preserve"> </w:t>
      </w:r>
      <w:r w:rsidRPr="005B4062">
        <w:rPr>
          <w:rFonts w:cs="Times New Roman"/>
          <w:i/>
        </w:rPr>
        <w:t>treatment or privileged information not available to their competitors.</w:t>
      </w:r>
    </w:p>
    <w:p w14:paraId="1C7BC934" w14:textId="61AE2039" w:rsidR="007F3C5F" w:rsidRPr="007F3C5F" w:rsidRDefault="007F3C5F" w:rsidP="00DF01A1">
      <w:pPr>
        <w:spacing w:after="200"/>
        <w:ind w:left="0" w:firstLine="0"/>
        <w:jc w:val="both"/>
        <w:rPr>
          <w:b/>
          <w:i/>
          <w:lang w:val="en-GB"/>
        </w:rPr>
      </w:pPr>
      <w:r w:rsidRPr="007F3C5F">
        <w:rPr>
          <w:b/>
          <w:i/>
          <w:lang w:val="en-GB"/>
        </w:rPr>
        <w:t xml:space="preserve">The provisions on shared services </w:t>
      </w:r>
      <w:r w:rsidR="00762B5A">
        <w:rPr>
          <w:b/>
          <w:i/>
          <w:lang w:val="en-GB"/>
        </w:rPr>
        <w:t>appear</w:t>
      </w:r>
      <w:r w:rsidRPr="007F3C5F">
        <w:rPr>
          <w:b/>
          <w:i/>
          <w:lang w:val="en-GB"/>
        </w:rPr>
        <w:t xml:space="preserve"> balanced</w:t>
      </w:r>
      <w:r w:rsidR="00762B5A">
        <w:rPr>
          <w:b/>
          <w:i/>
          <w:lang w:val="en-GB"/>
        </w:rPr>
        <w:t xml:space="preserve"> (</w:t>
      </w:r>
      <w:r w:rsidR="00762B5A" w:rsidRPr="00762B5A">
        <w:rPr>
          <w:b/>
          <w:i/>
          <w:lang w:val="en-GB"/>
        </w:rPr>
        <w:t>Article 10</w:t>
      </w:r>
      <w:r w:rsidR="002F7E34">
        <w:rPr>
          <w:b/>
          <w:i/>
          <w:lang w:val="en-GB"/>
        </w:rPr>
        <w:t>(</w:t>
      </w:r>
      <w:r w:rsidR="00762B5A" w:rsidRPr="00762B5A">
        <w:rPr>
          <w:b/>
          <w:i/>
          <w:lang w:val="en-GB"/>
        </w:rPr>
        <w:t>2</w:t>
      </w:r>
      <w:r w:rsidR="002F7E34">
        <w:rPr>
          <w:b/>
          <w:i/>
          <w:lang w:val="en-GB"/>
        </w:rPr>
        <w:t>)</w:t>
      </w:r>
      <w:r w:rsidR="00762B5A" w:rsidRPr="00762B5A">
        <w:rPr>
          <w:b/>
          <w:i/>
          <w:lang w:val="en-GB"/>
        </w:rPr>
        <w:t>(a) and 10</w:t>
      </w:r>
      <w:r w:rsidR="002F7E34">
        <w:rPr>
          <w:b/>
          <w:i/>
          <w:lang w:val="en-GB"/>
        </w:rPr>
        <w:t>(</w:t>
      </w:r>
      <w:r w:rsidR="00762B5A" w:rsidRPr="00762B5A">
        <w:rPr>
          <w:b/>
          <w:i/>
          <w:lang w:val="en-GB"/>
        </w:rPr>
        <w:t>4</w:t>
      </w:r>
      <w:r w:rsidR="002F7E34">
        <w:rPr>
          <w:b/>
          <w:i/>
          <w:lang w:val="en-GB"/>
        </w:rPr>
        <w:t>)</w:t>
      </w:r>
      <w:r w:rsidR="00762B5A" w:rsidRPr="00762B5A">
        <w:rPr>
          <w:b/>
          <w:i/>
          <w:lang w:val="en-GB"/>
        </w:rPr>
        <w:t>(a) and Article 12</w:t>
      </w:r>
      <w:r w:rsidR="00762B5A">
        <w:rPr>
          <w:b/>
          <w:i/>
          <w:lang w:val="en-GB"/>
        </w:rPr>
        <w:t>)</w:t>
      </w:r>
    </w:p>
    <w:p w14:paraId="37556320" w14:textId="43FA1B5F" w:rsidR="00EF495E" w:rsidRPr="00EF495E" w:rsidRDefault="00EF495E" w:rsidP="008A1A94">
      <w:pPr>
        <w:pStyle w:val="ListParagraph"/>
        <w:numPr>
          <w:ilvl w:val="0"/>
          <w:numId w:val="23"/>
        </w:numPr>
        <w:spacing w:after="200"/>
        <w:contextualSpacing w:val="0"/>
        <w:jc w:val="both"/>
        <w:rPr>
          <w:lang w:val="en-GB"/>
        </w:rPr>
      </w:pPr>
      <w:r w:rsidRPr="00EF495E">
        <w:rPr>
          <w:lang w:val="en-GB"/>
        </w:rPr>
        <w:t>We agree with th</w:t>
      </w:r>
      <w:r w:rsidR="002F0D5C">
        <w:rPr>
          <w:lang w:val="en-GB"/>
        </w:rPr>
        <w:t xml:space="preserve">e provisions on shared services </w:t>
      </w:r>
      <w:r w:rsidR="004A36F4">
        <w:rPr>
          <w:lang w:val="en-GB"/>
        </w:rPr>
        <w:t>and</w:t>
      </w:r>
      <w:r w:rsidR="002F0D5C">
        <w:rPr>
          <w:lang w:val="en-GB"/>
        </w:rPr>
        <w:t xml:space="preserve"> </w:t>
      </w:r>
      <w:r w:rsidR="00B55846">
        <w:rPr>
          <w:lang w:val="en-GB"/>
        </w:rPr>
        <w:t>with R</w:t>
      </w:r>
      <w:r w:rsidR="002F0D5C">
        <w:rPr>
          <w:lang w:val="en-GB"/>
        </w:rPr>
        <w:t>ecital 11.</w:t>
      </w:r>
      <w:r w:rsidRPr="00EF495E">
        <w:rPr>
          <w:lang w:val="en-GB"/>
        </w:rPr>
        <w:t xml:space="preserve"> </w:t>
      </w:r>
    </w:p>
    <w:p w14:paraId="67643361" w14:textId="77777777" w:rsidR="00EF495E" w:rsidRPr="00EF495E" w:rsidRDefault="00EF495E" w:rsidP="00DF01A1">
      <w:pPr>
        <w:spacing w:after="200"/>
        <w:ind w:left="0" w:firstLine="0"/>
        <w:jc w:val="both"/>
        <w:rPr>
          <w:lang w:val="en-GB"/>
        </w:rPr>
      </w:pPr>
    </w:p>
    <w:p w14:paraId="0C726D79" w14:textId="3A2D5D05" w:rsidR="00EF495E" w:rsidRPr="00EF495E" w:rsidRDefault="00EF495E" w:rsidP="00DF01A1">
      <w:pPr>
        <w:spacing w:after="200"/>
        <w:ind w:left="0" w:firstLine="0"/>
        <w:jc w:val="center"/>
        <w:rPr>
          <w:lang w:val="en-GB"/>
        </w:rPr>
      </w:pPr>
      <w:r w:rsidRPr="00EF495E">
        <w:rPr>
          <w:lang w:val="en-GB"/>
        </w:rPr>
        <w:t>*  *  *</w:t>
      </w:r>
    </w:p>
    <w:p w14:paraId="5B8A1448" w14:textId="77777777" w:rsidR="00EF495E" w:rsidRPr="00EF495E" w:rsidRDefault="00EF495E" w:rsidP="00DF01A1">
      <w:pPr>
        <w:spacing w:after="200"/>
        <w:ind w:left="0" w:firstLine="0"/>
        <w:jc w:val="both"/>
        <w:rPr>
          <w:lang w:val="en-GB"/>
        </w:rPr>
      </w:pPr>
    </w:p>
    <w:p w14:paraId="7F836F34" w14:textId="18E8D0F7" w:rsidR="004819B7" w:rsidRPr="008972B5" w:rsidRDefault="004819B7" w:rsidP="00DF01A1">
      <w:pPr>
        <w:spacing w:after="200"/>
        <w:ind w:left="0" w:firstLine="0"/>
        <w:jc w:val="both"/>
        <w:rPr>
          <w:lang w:val="en-GB"/>
        </w:rPr>
      </w:pPr>
    </w:p>
    <w:sectPr w:rsidR="004819B7" w:rsidRPr="008972B5" w:rsidSect="00FE26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00" w:right="936" w:bottom="1440" w:left="1613"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7576A" w14:textId="77777777" w:rsidR="00E74EC0" w:rsidRDefault="00E74EC0" w:rsidP="000336E9">
      <w:pPr>
        <w:spacing w:before="0"/>
      </w:pPr>
      <w:r>
        <w:separator/>
      </w:r>
    </w:p>
  </w:endnote>
  <w:endnote w:type="continuationSeparator" w:id="0">
    <w:p w14:paraId="3A890585" w14:textId="77777777" w:rsidR="00E74EC0" w:rsidRDefault="00E74EC0" w:rsidP="000336E9">
      <w:pPr>
        <w:spacing w:before="0"/>
      </w:pPr>
      <w:r>
        <w:continuationSeparator/>
      </w:r>
    </w:p>
  </w:endnote>
  <w:endnote w:type="continuationNotice" w:id="1">
    <w:p w14:paraId="2D2802BF" w14:textId="77777777" w:rsidR="00E74EC0" w:rsidRDefault="00E74E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295877"/>
      <w:docPartObj>
        <w:docPartGallery w:val="Page Numbers (Bottom of Page)"/>
        <w:docPartUnique/>
      </w:docPartObj>
    </w:sdtPr>
    <w:sdtEndPr>
      <w:rPr>
        <w:noProof/>
      </w:rPr>
    </w:sdtEndPr>
    <w:sdtContent>
      <w:p w14:paraId="194AA933" w14:textId="77777777" w:rsidR="00063EEB" w:rsidRDefault="00063EEB">
        <w:pPr>
          <w:pStyle w:val="Footer"/>
          <w:jc w:val="center"/>
        </w:pPr>
        <w:r>
          <w:fldChar w:fldCharType="begin"/>
        </w:r>
        <w:r>
          <w:instrText xml:space="preserve"> PAGE   \* MERGEFORMAT </w:instrText>
        </w:r>
        <w:r>
          <w:fldChar w:fldCharType="separate"/>
        </w:r>
        <w:r w:rsidR="000C29DA">
          <w:rPr>
            <w:noProof/>
          </w:rPr>
          <w:t>6</w:t>
        </w:r>
        <w:r>
          <w:rPr>
            <w:noProof/>
          </w:rPr>
          <w:fldChar w:fldCharType="end"/>
        </w:r>
      </w:p>
    </w:sdtContent>
  </w:sdt>
  <w:p w14:paraId="6049D102" w14:textId="77777777" w:rsidR="00063EEB" w:rsidRDefault="00063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75677"/>
      <w:docPartObj>
        <w:docPartGallery w:val="Page Numbers (Bottom of Page)"/>
        <w:docPartUnique/>
      </w:docPartObj>
    </w:sdtPr>
    <w:sdtEndPr>
      <w:rPr>
        <w:noProof/>
      </w:rPr>
    </w:sdtEndPr>
    <w:sdtContent>
      <w:p w14:paraId="6C732077" w14:textId="77777777" w:rsidR="00063EEB" w:rsidRDefault="00063EEB">
        <w:pPr>
          <w:pStyle w:val="Footer"/>
          <w:jc w:val="center"/>
        </w:pPr>
        <w:r>
          <w:fldChar w:fldCharType="begin"/>
        </w:r>
        <w:r>
          <w:instrText xml:space="preserve"> PAGE   \* MERGEFORMAT </w:instrText>
        </w:r>
        <w:r>
          <w:fldChar w:fldCharType="separate"/>
        </w:r>
        <w:r w:rsidR="000C29DA">
          <w:rPr>
            <w:noProof/>
          </w:rPr>
          <w:t>7</w:t>
        </w:r>
        <w:r>
          <w:rPr>
            <w:noProof/>
          </w:rPr>
          <w:fldChar w:fldCharType="end"/>
        </w:r>
      </w:p>
    </w:sdtContent>
  </w:sdt>
  <w:p w14:paraId="17B15AC3" w14:textId="77777777" w:rsidR="00063EEB" w:rsidRDefault="00063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55428"/>
      <w:docPartObj>
        <w:docPartGallery w:val="Page Numbers (Bottom of Page)"/>
        <w:docPartUnique/>
      </w:docPartObj>
    </w:sdtPr>
    <w:sdtEndPr>
      <w:rPr>
        <w:noProof/>
      </w:rPr>
    </w:sdtEndPr>
    <w:sdtContent>
      <w:p w14:paraId="7775A828" w14:textId="77777777" w:rsidR="00063EEB" w:rsidRDefault="00063EEB">
        <w:pPr>
          <w:pStyle w:val="Footer"/>
          <w:jc w:val="center"/>
        </w:pPr>
        <w:r>
          <w:fldChar w:fldCharType="begin"/>
        </w:r>
        <w:r>
          <w:instrText xml:space="preserve"> PAGE   \* MERGEFORMAT </w:instrText>
        </w:r>
        <w:r>
          <w:fldChar w:fldCharType="separate"/>
        </w:r>
        <w:r w:rsidR="000C29DA">
          <w:rPr>
            <w:noProof/>
          </w:rPr>
          <w:t>1</w:t>
        </w:r>
        <w:r>
          <w:rPr>
            <w:noProof/>
          </w:rPr>
          <w:fldChar w:fldCharType="end"/>
        </w:r>
      </w:p>
    </w:sdtContent>
  </w:sdt>
  <w:p w14:paraId="77C0FD70" w14:textId="77777777" w:rsidR="00063EEB" w:rsidRDefault="00063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CC12" w14:textId="77777777" w:rsidR="00E74EC0" w:rsidRDefault="00E74EC0" w:rsidP="000336E9">
      <w:pPr>
        <w:spacing w:before="0"/>
      </w:pPr>
      <w:r>
        <w:separator/>
      </w:r>
    </w:p>
  </w:footnote>
  <w:footnote w:type="continuationSeparator" w:id="0">
    <w:p w14:paraId="710FE7C0" w14:textId="77777777" w:rsidR="00E74EC0" w:rsidRDefault="00E74EC0" w:rsidP="000336E9">
      <w:pPr>
        <w:spacing w:before="0"/>
      </w:pPr>
      <w:r>
        <w:continuationSeparator/>
      </w:r>
    </w:p>
  </w:footnote>
  <w:footnote w:type="continuationNotice" w:id="1">
    <w:p w14:paraId="087B1434" w14:textId="77777777" w:rsidR="00E74EC0" w:rsidRDefault="00E74EC0">
      <w:pPr>
        <w:spacing w:before="0"/>
      </w:pPr>
    </w:p>
  </w:footnote>
  <w:footnote w:id="2">
    <w:p w14:paraId="753F8109" w14:textId="77B93F2C" w:rsidR="00063EEB" w:rsidRPr="00924BB6" w:rsidRDefault="00063EEB" w:rsidP="002F7E34">
      <w:pPr>
        <w:pStyle w:val="FootnoteText"/>
        <w:ind w:left="142" w:hanging="142"/>
        <w:rPr>
          <w:lang w:val="it-IT"/>
        </w:rPr>
      </w:pPr>
      <w:r>
        <w:rPr>
          <w:rStyle w:val="FootnoteReference"/>
        </w:rPr>
        <w:footnoteRef/>
      </w:r>
      <w:r>
        <w:t xml:space="preserve"> </w:t>
      </w:r>
      <w:r w:rsidRPr="00924BB6">
        <w:t>Article 22(4) of PSD2</w:t>
      </w:r>
      <w:r>
        <w:t xml:space="preserve"> and </w:t>
      </w:r>
      <w:r w:rsidRPr="00924BB6">
        <w:t xml:space="preserve">Article 49(1)) of Directive 2013/36/EU on access to the activity of credit institutions and the prudential supervision of credit institutions and investment firms </w:t>
      </w:r>
      <w:r>
        <w:t>(</w:t>
      </w:r>
      <w:r w:rsidRPr="00924BB6">
        <w:t>CRD IV package</w:t>
      </w:r>
      <w:r>
        <w:t>).</w:t>
      </w:r>
    </w:p>
  </w:footnote>
  <w:footnote w:id="3">
    <w:p w14:paraId="4A656037" w14:textId="3E6B040C" w:rsidR="00063EEB" w:rsidRPr="00924BB6" w:rsidRDefault="00063EEB">
      <w:pPr>
        <w:pStyle w:val="FootnoteText"/>
        <w:rPr>
          <w:lang w:val="it-IT"/>
        </w:rPr>
      </w:pPr>
      <w:r>
        <w:rPr>
          <w:rStyle w:val="FootnoteReference"/>
        </w:rPr>
        <w:footnoteRef/>
      </w:r>
      <w:r>
        <w:t xml:space="preserve"> </w:t>
      </w:r>
      <w:r w:rsidRPr="00924BB6">
        <w:t>Article 30 of PSD2</w:t>
      </w:r>
      <w:r>
        <w:t>.</w:t>
      </w:r>
    </w:p>
  </w:footnote>
  <w:footnote w:id="4">
    <w:p w14:paraId="2BBA0BFE" w14:textId="32BAAC26" w:rsidR="00063EEB" w:rsidRPr="00924BB6" w:rsidRDefault="00063EEB">
      <w:pPr>
        <w:pStyle w:val="FootnoteText"/>
        <w:rPr>
          <w:lang w:val="it-IT"/>
        </w:rPr>
      </w:pPr>
      <w:r>
        <w:rPr>
          <w:rStyle w:val="FootnoteReference"/>
        </w:rPr>
        <w:footnoteRef/>
      </w:r>
      <w:r>
        <w:t xml:space="preserve"> </w:t>
      </w:r>
      <w:r w:rsidRPr="00924BB6">
        <w:t>Article 96(1) of PSD2</w:t>
      </w:r>
      <w:r>
        <w:t>.</w:t>
      </w:r>
    </w:p>
  </w:footnote>
  <w:footnote w:id="5">
    <w:p w14:paraId="1498DDB8" w14:textId="146C920A" w:rsidR="00063EEB" w:rsidRPr="00924BB6" w:rsidRDefault="00063EEB">
      <w:pPr>
        <w:pStyle w:val="FootnoteText"/>
        <w:rPr>
          <w:lang w:val="it-IT"/>
        </w:rPr>
      </w:pPr>
      <w:r>
        <w:rPr>
          <w:rStyle w:val="FootnoteReference"/>
        </w:rPr>
        <w:footnoteRef/>
      </w:r>
      <w:r>
        <w:t xml:space="preserve"> </w:t>
      </w:r>
      <w:r w:rsidRPr="00924BB6">
        <w:t>Article 51a(1) of the Proposal for a General Data Protection Regulation – Political Agreement of Jan 28, 2016</w:t>
      </w:r>
      <w:r>
        <w:t>.</w:t>
      </w:r>
    </w:p>
  </w:footnote>
  <w:footnote w:id="6">
    <w:p w14:paraId="1A0BBAF3" w14:textId="5AF5E4DF" w:rsidR="00063EEB" w:rsidRPr="00924BB6" w:rsidRDefault="00063EEB" w:rsidP="00924BB6">
      <w:pPr>
        <w:pStyle w:val="FootnoteText"/>
        <w:ind w:left="142" w:hanging="142"/>
        <w:rPr>
          <w:lang w:val="it-IT"/>
        </w:rPr>
      </w:pPr>
      <w:r>
        <w:rPr>
          <w:rStyle w:val="FootnoteReference"/>
        </w:rPr>
        <w:footnoteRef/>
      </w:r>
      <w:r>
        <w:t xml:space="preserve"> </w:t>
      </w:r>
      <w:r w:rsidRPr="00924BB6">
        <w:t>Article 15 of the Proposal for a Directive concerning measures to ensure a high common level of network and information security across the Union – Political Agreement of Feb 10, 2016</w:t>
      </w:r>
      <w:r>
        <w:t>.</w:t>
      </w:r>
    </w:p>
  </w:footnote>
  <w:footnote w:id="7">
    <w:p w14:paraId="67AF165C" w14:textId="355B47FA" w:rsidR="00063EEB" w:rsidRPr="000E470B" w:rsidRDefault="00063EEB">
      <w:pPr>
        <w:pStyle w:val="FootnoteText"/>
        <w:rPr>
          <w:lang w:val="it-IT"/>
        </w:rPr>
      </w:pPr>
      <w:r>
        <w:rPr>
          <w:rStyle w:val="FootnoteReference"/>
        </w:rPr>
        <w:footnoteRef/>
      </w:r>
      <w:r>
        <w:t xml:space="preserve"> </w:t>
      </w:r>
      <w:r w:rsidRPr="000E470B">
        <w:t>Article 35.2(b) of the PSD2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E8A2" w14:textId="22C421F5" w:rsidR="00063EEB" w:rsidRPr="0091406D" w:rsidRDefault="00063EEB" w:rsidP="000336E9">
    <w:pPr>
      <w:pStyle w:val="Header"/>
      <w:jc w:val="right"/>
      <w:rPr>
        <w:i/>
        <w:lang w:val="nl-BE"/>
      </w:rPr>
    </w:pPr>
  </w:p>
  <w:p w14:paraId="3B2B6EFC" w14:textId="77777777" w:rsidR="00063EEB" w:rsidRPr="0091406D" w:rsidRDefault="00063EEB">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2BAA" w14:textId="18EB755E" w:rsidR="00063EEB" w:rsidRPr="00E76C10" w:rsidRDefault="00063EEB" w:rsidP="00E76C10">
    <w:pPr>
      <w:pStyle w:val="Header"/>
      <w:jc w:val="right"/>
      <w:rPr>
        <w:i/>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52D2" w14:textId="1C026407" w:rsidR="00063EEB" w:rsidRPr="0091406D" w:rsidRDefault="00063EEB" w:rsidP="000336E9">
    <w:pPr>
      <w:pStyle w:val="Header"/>
      <w:jc w:val="right"/>
      <w:rPr>
        <w:i/>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500"/>
    <w:multiLevelType w:val="hybridMultilevel"/>
    <w:tmpl w:val="700E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623FB"/>
    <w:multiLevelType w:val="hybridMultilevel"/>
    <w:tmpl w:val="1E203C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458A0"/>
    <w:multiLevelType w:val="hybridMultilevel"/>
    <w:tmpl w:val="71C4C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23A4C"/>
    <w:multiLevelType w:val="hybridMultilevel"/>
    <w:tmpl w:val="EDE637C2"/>
    <w:lvl w:ilvl="0" w:tplc="5A722318">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440C94"/>
    <w:multiLevelType w:val="hybridMultilevel"/>
    <w:tmpl w:val="8E3ABAA6"/>
    <w:lvl w:ilvl="0" w:tplc="D47669E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01FDA"/>
    <w:multiLevelType w:val="hybridMultilevel"/>
    <w:tmpl w:val="EB2A3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94FA0"/>
    <w:multiLevelType w:val="hybridMultilevel"/>
    <w:tmpl w:val="EB06C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A14CF3"/>
    <w:multiLevelType w:val="hybridMultilevel"/>
    <w:tmpl w:val="FF60ACC6"/>
    <w:lvl w:ilvl="0" w:tplc="75C68EC8">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052E5B"/>
    <w:multiLevelType w:val="hybridMultilevel"/>
    <w:tmpl w:val="F4E810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824F7"/>
    <w:multiLevelType w:val="hybridMultilevel"/>
    <w:tmpl w:val="C5168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B91512"/>
    <w:multiLevelType w:val="hybridMultilevel"/>
    <w:tmpl w:val="16AC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96DFB"/>
    <w:multiLevelType w:val="hybridMultilevel"/>
    <w:tmpl w:val="216A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D0811"/>
    <w:multiLevelType w:val="hybridMultilevel"/>
    <w:tmpl w:val="4B28C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09765E"/>
    <w:multiLevelType w:val="hybridMultilevel"/>
    <w:tmpl w:val="325434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B0C33"/>
    <w:multiLevelType w:val="hybridMultilevel"/>
    <w:tmpl w:val="544C7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427F3B"/>
    <w:multiLevelType w:val="hybridMultilevel"/>
    <w:tmpl w:val="295E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A0552"/>
    <w:multiLevelType w:val="hybridMultilevel"/>
    <w:tmpl w:val="B1D0E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81CE9"/>
    <w:multiLevelType w:val="hybridMultilevel"/>
    <w:tmpl w:val="65AA8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C75134"/>
    <w:multiLevelType w:val="hybridMultilevel"/>
    <w:tmpl w:val="C964822C"/>
    <w:lvl w:ilvl="0" w:tplc="0409000F">
      <w:start w:val="1"/>
      <w:numFmt w:val="decimal"/>
      <w:lvlText w:val="%1."/>
      <w:lvlJc w:val="left"/>
      <w:pPr>
        <w:ind w:left="108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81011"/>
    <w:multiLevelType w:val="hybridMultilevel"/>
    <w:tmpl w:val="19A065B6"/>
    <w:lvl w:ilvl="0" w:tplc="4DB8ED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24A19"/>
    <w:multiLevelType w:val="hybridMultilevel"/>
    <w:tmpl w:val="AFA4A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37500"/>
    <w:multiLevelType w:val="hybridMultilevel"/>
    <w:tmpl w:val="94C4B0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85B132A"/>
    <w:multiLevelType w:val="hybridMultilevel"/>
    <w:tmpl w:val="22A8F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
  </w:num>
  <w:num w:numId="4">
    <w:abstractNumId w:val="3"/>
  </w:num>
  <w:num w:numId="5">
    <w:abstractNumId w:val="4"/>
  </w:num>
  <w:num w:numId="6">
    <w:abstractNumId w:val="7"/>
  </w:num>
  <w:num w:numId="7">
    <w:abstractNumId w:val="16"/>
  </w:num>
  <w:num w:numId="8">
    <w:abstractNumId w:val="18"/>
  </w:num>
  <w:num w:numId="9">
    <w:abstractNumId w:val="13"/>
  </w:num>
  <w:num w:numId="10">
    <w:abstractNumId w:val="20"/>
  </w:num>
  <w:num w:numId="11">
    <w:abstractNumId w:val="8"/>
  </w:num>
  <w:num w:numId="12">
    <w:abstractNumId w:val="21"/>
  </w:num>
  <w:num w:numId="13">
    <w:abstractNumId w:val="11"/>
  </w:num>
  <w:num w:numId="14">
    <w:abstractNumId w:val="10"/>
  </w:num>
  <w:num w:numId="15">
    <w:abstractNumId w:val="19"/>
  </w:num>
  <w:num w:numId="16">
    <w:abstractNumId w:val="5"/>
  </w:num>
  <w:num w:numId="17">
    <w:abstractNumId w:val="0"/>
  </w:num>
  <w:num w:numId="18">
    <w:abstractNumId w:val="12"/>
  </w:num>
  <w:num w:numId="19">
    <w:abstractNumId w:val="17"/>
  </w:num>
  <w:num w:numId="20">
    <w:abstractNumId w:val="14"/>
  </w:num>
  <w:num w:numId="21">
    <w:abstractNumId w:val="2"/>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evenAndOddHeaders/>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A8"/>
    <w:rsid w:val="0000130B"/>
    <w:rsid w:val="000110F6"/>
    <w:rsid w:val="0001126C"/>
    <w:rsid w:val="00021659"/>
    <w:rsid w:val="0003185E"/>
    <w:rsid w:val="000336E9"/>
    <w:rsid w:val="00034247"/>
    <w:rsid w:val="0004290A"/>
    <w:rsid w:val="00045BDB"/>
    <w:rsid w:val="00063099"/>
    <w:rsid w:val="00063EEB"/>
    <w:rsid w:val="000737A6"/>
    <w:rsid w:val="00087819"/>
    <w:rsid w:val="0009232C"/>
    <w:rsid w:val="000A6E15"/>
    <w:rsid w:val="000B037E"/>
    <w:rsid w:val="000B4AED"/>
    <w:rsid w:val="000B4D36"/>
    <w:rsid w:val="000B7911"/>
    <w:rsid w:val="000C29DA"/>
    <w:rsid w:val="000D5BC2"/>
    <w:rsid w:val="000E470B"/>
    <w:rsid w:val="00111E66"/>
    <w:rsid w:val="0011370F"/>
    <w:rsid w:val="00135C00"/>
    <w:rsid w:val="00140A7C"/>
    <w:rsid w:val="001660EA"/>
    <w:rsid w:val="00166409"/>
    <w:rsid w:val="00172AFC"/>
    <w:rsid w:val="0019768A"/>
    <w:rsid w:val="001A6F98"/>
    <w:rsid w:val="001B0113"/>
    <w:rsid w:val="001B148B"/>
    <w:rsid w:val="001B2F5B"/>
    <w:rsid w:val="001C5B18"/>
    <w:rsid w:val="001D4351"/>
    <w:rsid w:val="001E5590"/>
    <w:rsid w:val="001E7262"/>
    <w:rsid w:val="00204C33"/>
    <w:rsid w:val="00221840"/>
    <w:rsid w:val="00227BB2"/>
    <w:rsid w:val="00227BBD"/>
    <w:rsid w:val="00230EA9"/>
    <w:rsid w:val="00242B2E"/>
    <w:rsid w:val="00257FE8"/>
    <w:rsid w:val="00271E6B"/>
    <w:rsid w:val="0027682A"/>
    <w:rsid w:val="00284FF5"/>
    <w:rsid w:val="002C2264"/>
    <w:rsid w:val="002C6BB7"/>
    <w:rsid w:val="002E08D0"/>
    <w:rsid w:val="002E49C2"/>
    <w:rsid w:val="002F0D5C"/>
    <w:rsid w:val="002F5AA8"/>
    <w:rsid w:val="002F6043"/>
    <w:rsid w:val="002F7E34"/>
    <w:rsid w:val="00304E77"/>
    <w:rsid w:val="003100D9"/>
    <w:rsid w:val="00310B35"/>
    <w:rsid w:val="00314883"/>
    <w:rsid w:val="003300BE"/>
    <w:rsid w:val="003352D5"/>
    <w:rsid w:val="00342AA5"/>
    <w:rsid w:val="00347188"/>
    <w:rsid w:val="00366FAE"/>
    <w:rsid w:val="00371C78"/>
    <w:rsid w:val="00374D52"/>
    <w:rsid w:val="003868E5"/>
    <w:rsid w:val="003913B8"/>
    <w:rsid w:val="00392D47"/>
    <w:rsid w:val="0039476C"/>
    <w:rsid w:val="003955A1"/>
    <w:rsid w:val="00395C8A"/>
    <w:rsid w:val="003B3844"/>
    <w:rsid w:val="003C6110"/>
    <w:rsid w:val="003E42B9"/>
    <w:rsid w:val="003F3675"/>
    <w:rsid w:val="00405F95"/>
    <w:rsid w:val="00406FD5"/>
    <w:rsid w:val="00420BF8"/>
    <w:rsid w:val="004308B5"/>
    <w:rsid w:val="00436473"/>
    <w:rsid w:val="00453FBD"/>
    <w:rsid w:val="00454501"/>
    <w:rsid w:val="004760A9"/>
    <w:rsid w:val="00476E43"/>
    <w:rsid w:val="004819B7"/>
    <w:rsid w:val="004837ED"/>
    <w:rsid w:val="00492B10"/>
    <w:rsid w:val="004A36F4"/>
    <w:rsid w:val="004A4B35"/>
    <w:rsid w:val="004D3E86"/>
    <w:rsid w:val="004E146A"/>
    <w:rsid w:val="00505F90"/>
    <w:rsid w:val="00517A4D"/>
    <w:rsid w:val="0052189C"/>
    <w:rsid w:val="00533A44"/>
    <w:rsid w:val="00565E93"/>
    <w:rsid w:val="00575811"/>
    <w:rsid w:val="00586B40"/>
    <w:rsid w:val="005B4062"/>
    <w:rsid w:val="005C1A5A"/>
    <w:rsid w:val="005C7DA7"/>
    <w:rsid w:val="005D6DA8"/>
    <w:rsid w:val="005E37C6"/>
    <w:rsid w:val="005E5198"/>
    <w:rsid w:val="006008A6"/>
    <w:rsid w:val="00607FD0"/>
    <w:rsid w:val="006233C3"/>
    <w:rsid w:val="00624EE2"/>
    <w:rsid w:val="00625BAB"/>
    <w:rsid w:val="006430B8"/>
    <w:rsid w:val="00645F7F"/>
    <w:rsid w:val="006537F2"/>
    <w:rsid w:val="00654CA2"/>
    <w:rsid w:val="00671F10"/>
    <w:rsid w:val="006777B8"/>
    <w:rsid w:val="00680CA6"/>
    <w:rsid w:val="006832B2"/>
    <w:rsid w:val="006A0B34"/>
    <w:rsid w:val="006A24FD"/>
    <w:rsid w:val="006A6A1F"/>
    <w:rsid w:val="006B23FB"/>
    <w:rsid w:val="006B240E"/>
    <w:rsid w:val="006B73F5"/>
    <w:rsid w:val="006D6DA7"/>
    <w:rsid w:val="006E646A"/>
    <w:rsid w:val="007146E1"/>
    <w:rsid w:val="007257FC"/>
    <w:rsid w:val="00727428"/>
    <w:rsid w:val="0073040A"/>
    <w:rsid w:val="007407B3"/>
    <w:rsid w:val="00745F72"/>
    <w:rsid w:val="0074743B"/>
    <w:rsid w:val="00747977"/>
    <w:rsid w:val="00762B5A"/>
    <w:rsid w:val="00767B5A"/>
    <w:rsid w:val="00787AD4"/>
    <w:rsid w:val="00790177"/>
    <w:rsid w:val="007A322C"/>
    <w:rsid w:val="007B4C29"/>
    <w:rsid w:val="007E1B0B"/>
    <w:rsid w:val="007E4925"/>
    <w:rsid w:val="007F3C5F"/>
    <w:rsid w:val="00830FBE"/>
    <w:rsid w:val="008472A5"/>
    <w:rsid w:val="00854EBF"/>
    <w:rsid w:val="008772BE"/>
    <w:rsid w:val="008803B5"/>
    <w:rsid w:val="00881F20"/>
    <w:rsid w:val="008820B2"/>
    <w:rsid w:val="00882BC3"/>
    <w:rsid w:val="00893AC4"/>
    <w:rsid w:val="008972B5"/>
    <w:rsid w:val="008A1A94"/>
    <w:rsid w:val="008A4356"/>
    <w:rsid w:val="008E1D19"/>
    <w:rsid w:val="008E3F33"/>
    <w:rsid w:val="009067E8"/>
    <w:rsid w:val="0091406D"/>
    <w:rsid w:val="00923F42"/>
    <w:rsid w:val="00924BB6"/>
    <w:rsid w:val="009254D7"/>
    <w:rsid w:val="009322D2"/>
    <w:rsid w:val="009445A0"/>
    <w:rsid w:val="00961671"/>
    <w:rsid w:val="0096479A"/>
    <w:rsid w:val="00981D8B"/>
    <w:rsid w:val="00986F17"/>
    <w:rsid w:val="0099785B"/>
    <w:rsid w:val="009A100B"/>
    <w:rsid w:val="009A7F94"/>
    <w:rsid w:val="009B087E"/>
    <w:rsid w:val="009B5289"/>
    <w:rsid w:val="009D05C2"/>
    <w:rsid w:val="009D38D6"/>
    <w:rsid w:val="009D7A30"/>
    <w:rsid w:val="009E285B"/>
    <w:rsid w:val="009E6F2D"/>
    <w:rsid w:val="00A026FF"/>
    <w:rsid w:val="00A07208"/>
    <w:rsid w:val="00A13FF8"/>
    <w:rsid w:val="00A15B51"/>
    <w:rsid w:val="00A175C8"/>
    <w:rsid w:val="00A225A1"/>
    <w:rsid w:val="00A369D5"/>
    <w:rsid w:val="00A43D9F"/>
    <w:rsid w:val="00A51C7A"/>
    <w:rsid w:val="00A80BEF"/>
    <w:rsid w:val="00AB4025"/>
    <w:rsid w:val="00AF523E"/>
    <w:rsid w:val="00AF5A9F"/>
    <w:rsid w:val="00B00A0B"/>
    <w:rsid w:val="00B22FD0"/>
    <w:rsid w:val="00B24865"/>
    <w:rsid w:val="00B24B78"/>
    <w:rsid w:val="00B25FC9"/>
    <w:rsid w:val="00B27574"/>
    <w:rsid w:val="00B318AB"/>
    <w:rsid w:val="00B35BE4"/>
    <w:rsid w:val="00B374CA"/>
    <w:rsid w:val="00B55846"/>
    <w:rsid w:val="00B90629"/>
    <w:rsid w:val="00B9121C"/>
    <w:rsid w:val="00BB0D9F"/>
    <w:rsid w:val="00BC1243"/>
    <w:rsid w:val="00BD091F"/>
    <w:rsid w:val="00BF475A"/>
    <w:rsid w:val="00C067F2"/>
    <w:rsid w:val="00C1052B"/>
    <w:rsid w:val="00C12B27"/>
    <w:rsid w:val="00C345E7"/>
    <w:rsid w:val="00C377C6"/>
    <w:rsid w:val="00C402F3"/>
    <w:rsid w:val="00C57C68"/>
    <w:rsid w:val="00C63C42"/>
    <w:rsid w:val="00C848EC"/>
    <w:rsid w:val="00C86F6F"/>
    <w:rsid w:val="00C968C2"/>
    <w:rsid w:val="00CA5D04"/>
    <w:rsid w:val="00CA6BAE"/>
    <w:rsid w:val="00CA6CD7"/>
    <w:rsid w:val="00CB1FBC"/>
    <w:rsid w:val="00CC7611"/>
    <w:rsid w:val="00CE2417"/>
    <w:rsid w:val="00D07189"/>
    <w:rsid w:val="00D400EC"/>
    <w:rsid w:val="00D41D8F"/>
    <w:rsid w:val="00D424CC"/>
    <w:rsid w:val="00D606A6"/>
    <w:rsid w:val="00D633BC"/>
    <w:rsid w:val="00D66F81"/>
    <w:rsid w:val="00D840E4"/>
    <w:rsid w:val="00D86C27"/>
    <w:rsid w:val="00D87896"/>
    <w:rsid w:val="00D87EBC"/>
    <w:rsid w:val="00D966C7"/>
    <w:rsid w:val="00DA6405"/>
    <w:rsid w:val="00DB2CC2"/>
    <w:rsid w:val="00DB3374"/>
    <w:rsid w:val="00DB3642"/>
    <w:rsid w:val="00DB49AD"/>
    <w:rsid w:val="00DD795F"/>
    <w:rsid w:val="00DE47A8"/>
    <w:rsid w:val="00DF01A1"/>
    <w:rsid w:val="00DF0C8F"/>
    <w:rsid w:val="00DF48A8"/>
    <w:rsid w:val="00DF54CB"/>
    <w:rsid w:val="00DF6184"/>
    <w:rsid w:val="00E07637"/>
    <w:rsid w:val="00E12307"/>
    <w:rsid w:val="00E12AF1"/>
    <w:rsid w:val="00E21EB0"/>
    <w:rsid w:val="00E26326"/>
    <w:rsid w:val="00E26625"/>
    <w:rsid w:val="00E32344"/>
    <w:rsid w:val="00E532B5"/>
    <w:rsid w:val="00E625FD"/>
    <w:rsid w:val="00E70306"/>
    <w:rsid w:val="00E703E7"/>
    <w:rsid w:val="00E7256D"/>
    <w:rsid w:val="00E74EC0"/>
    <w:rsid w:val="00E76C10"/>
    <w:rsid w:val="00E80325"/>
    <w:rsid w:val="00E806C2"/>
    <w:rsid w:val="00E8234B"/>
    <w:rsid w:val="00E964D4"/>
    <w:rsid w:val="00E9767A"/>
    <w:rsid w:val="00EA40D5"/>
    <w:rsid w:val="00EB02EB"/>
    <w:rsid w:val="00EC0DD8"/>
    <w:rsid w:val="00ED049E"/>
    <w:rsid w:val="00EE1A28"/>
    <w:rsid w:val="00EE6855"/>
    <w:rsid w:val="00EF495E"/>
    <w:rsid w:val="00EF5FD6"/>
    <w:rsid w:val="00F06071"/>
    <w:rsid w:val="00F30E1D"/>
    <w:rsid w:val="00F310CA"/>
    <w:rsid w:val="00F34E78"/>
    <w:rsid w:val="00F56653"/>
    <w:rsid w:val="00F57216"/>
    <w:rsid w:val="00F77648"/>
    <w:rsid w:val="00FA6885"/>
    <w:rsid w:val="00FD214F"/>
    <w:rsid w:val="00FE265C"/>
    <w:rsid w:val="00FE4A81"/>
    <w:rsid w:val="00FF2830"/>
    <w:rsid w:val="00FF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CAD27D2-A53F-4806-8C82-33B02BC2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8A8"/>
    <w:pPr>
      <w:ind w:left="720"/>
      <w:contextualSpacing/>
    </w:pPr>
  </w:style>
  <w:style w:type="character" w:styleId="Hyperlink">
    <w:name w:val="Hyperlink"/>
    <w:basedOn w:val="DefaultParagraphFont"/>
    <w:uiPriority w:val="99"/>
    <w:unhideWhenUsed/>
    <w:rsid w:val="00A369D5"/>
    <w:rPr>
      <w:color w:val="0000FF" w:themeColor="hyperlink"/>
      <w:u w:val="single"/>
    </w:rPr>
  </w:style>
  <w:style w:type="paragraph" w:styleId="BalloonText">
    <w:name w:val="Balloon Text"/>
    <w:basedOn w:val="Normal"/>
    <w:link w:val="BalloonTextChar"/>
    <w:uiPriority w:val="99"/>
    <w:semiHidden/>
    <w:unhideWhenUsed/>
    <w:rsid w:val="007257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7FC"/>
    <w:rPr>
      <w:rFonts w:ascii="Tahoma" w:hAnsi="Tahoma" w:cs="Tahoma"/>
      <w:sz w:val="16"/>
      <w:szCs w:val="16"/>
    </w:rPr>
  </w:style>
  <w:style w:type="paragraph" w:customStyle="1" w:styleId="Default">
    <w:name w:val="Default"/>
    <w:rsid w:val="00E7256D"/>
    <w:pPr>
      <w:autoSpaceDE w:val="0"/>
      <w:autoSpaceDN w:val="0"/>
      <w:adjustRightInd w:val="0"/>
      <w:spacing w:before="0"/>
      <w:ind w:left="0" w:firstLine="0"/>
    </w:pPr>
    <w:rPr>
      <w:rFonts w:ascii="Calibri" w:hAnsi="Calibri" w:cs="Calibri"/>
      <w:color w:val="000000"/>
      <w:sz w:val="24"/>
      <w:szCs w:val="24"/>
    </w:rPr>
  </w:style>
  <w:style w:type="paragraph" w:styleId="Header">
    <w:name w:val="header"/>
    <w:basedOn w:val="Normal"/>
    <w:link w:val="HeaderChar"/>
    <w:uiPriority w:val="99"/>
    <w:unhideWhenUsed/>
    <w:rsid w:val="000336E9"/>
    <w:pPr>
      <w:tabs>
        <w:tab w:val="center" w:pos="4513"/>
        <w:tab w:val="right" w:pos="9026"/>
      </w:tabs>
      <w:spacing w:before="0"/>
    </w:pPr>
  </w:style>
  <w:style w:type="character" w:customStyle="1" w:styleId="HeaderChar">
    <w:name w:val="Header Char"/>
    <w:basedOn w:val="DefaultParagraphFont"/>
    <w:link w:val="Header"/>
    <w:uiPriority w:val="99"/>
    <w:rsid w:val="000336E9"/>
  </w:style>
  <w:style w:type="paragraph" w:styleId="Footer">
    <w:name w:val="footer"/>
    <w:basedOn w:val="Normal"/>
    <w:link w:val="FooterChar"/>
    <w:uiPriority w:val="99"/>
    <w:unhideWhenUsed/>
    <w:rsid w:val="000336E9"/>
    <w:pPr>
      <w:tabs>
        <w:tab w:val="center" w:pos="4513"/>
        <w:tab w:val="right" w:pos="9026"/>
      </w:tabs>
      <w:spacing w:before="0"/>
    </w:pPr>
  </w:style>
  <w:style w:type="character" w:customStyle="1" w:styleId="FooterChar">
    <w:name w:val="Footer Char"/>
    <w:basedOn w:val="DefaultParagraphFont"/>
    <w:link w:val="Footer"/>
    <w:uiPriority w:val="99"/>
    <w:rsid w:val="000336E9"/>
  </w:style>
  <w:style w:type="paragraph" w:styleId="FootnoteText">
    <w:name w:val="footnote text"/>
    <w:basedOn w:val="Normal"/>
    <w:link w:val="FootnoteTextChar"/>
    <w:uiPriority w:val="99"/>
    <w:unhideWhenUsed/>
    <w:rsid w:val="00961671"/>
    <w:pPr>
      <w:spacing w:before="0"/>
    </w:pPr>
    <w:rPr>
      <w:sz w:val="20"/>
      <w:szCs w:val="20"/>
    </w:rPr>
  </w:style>
  <w:style w:type="character" w:customStyle="1" w:styleId="FootnoteTextChar">
    <w:name w:val="Footnote Text Char"/>
    <w:basedOn w:val="DefaultParagraphFont"/>
    <w:link w:val="FootnoteText"/>
    <w:uiPriority w:val="99"/>
    <w:rsid w:val="00961671"/>
    <w:rPr>
      <w:sz w:val="20"/>
      <w:szCs w:val="20"/>
    </w:rPr>
  </w:style>
  <w:style w:type="character" w:styleId="FootnoteReference">
    <w:name w:val="footnote reference"/>
    <w:basedOn w:val="DefaultParagraphFont"/>
    <w:uiPriority w:val="99"/>
    <w:unhideWhenUsed/>
    <w:rsid w:val="00961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54275">
      <w:bodyDiv w:val="1"/>
      <w:marLeft w:val="0"/>
      <w:marRight w:val="0"/>
      <w:marTop w:val="0"/>
      <w:marBottom w:val="0"/>
      <w:divBdr>
        <w:top w:val="none" w:sz="0" w:space="0" w:color="auto"/>
        <w:left w:val="none" w:sz="0" w:space="0" w:color="auto"/>
        <w:bottom w:val="none" w:sz="0" w:space="0" w:color="auto"/>
        <w:right w:val="none" w:sz="0" w:space="0" w:color="auto"/>
      </w:divBdr>
    </w:div>
    <w:div w:id="625740985">
      <w:bodyDiv w:val="1"/>
      <w:marLeft w:val="0"/>
      <w:marRight w:val="0"/>
      <w:marTop w:val="0"/>
      <w:marBottom w:val="0"/>
      <w:divBdr>
        <w:top w:val="none" w:sz="0" w:space="0" w:color="auto"/>
        <w:left w:val="none" w:sz="0" w:space="0" w:color="auto"/>
        <w:bottom w:val="none" w:sz="0" w:space="0" w:color="auto"/>
        <w:right w:val="none" w:sz="0" w:space="0" w:color="auto"/>
      </w:divBdr>
    </w:div>
    <w:div w:id="921796349">
      <w:bodyDiv w:val="1"/>
      <w:marLeft w:val="0"/>
      <w:marRight w:val="0"/>
      <w:marTop w:val="0"/>
      <w:marBottom w:val="0"/>
      <w:divBdr>
        <w:top w:val="none" w:sz="0" w:space="0" w:color="auto"/>
        <w:left w:val="none" w:sz="0" w:space="0" w:color="auto"/>
        <w:bottom w:val="none" w:sz="0" w:space="0" w:color="auto"/>
        <w:right w:val="none" w:sz="0" w:space="0" w:color="auto"/>
      </w:divBdr>
    </w:div>
    <w:div w:id="1223558467">
      <w:bodyDiv w:val="1"/>
      <w:marLeft w:val="0"/>
      <w:marRight w:val="0"/>
      <w:marTop w:val="0"/>
      <w:marBottom w:val="0"/>
      <w:divBdr>
        <w:top w:val="none" w:sz="0" w:space="0" w:color="auto"/>
        <w:left w:val="none" w:sz="0" w:space="0" w:color="auto"/>
        <w:bottom w:val="none" w:sz="0" w:space="0" w:color="auto"/>
        <w:right w:val="none" w:sz="0" w:space="0" w:color="auto"/>
      </w:divBdr>
    </w:div>
    <w:div w:id="1750887324">
      <w:bodyDiv w:val="1"/>
      <w:marLeft w:val="0"/>
      <w:marRight w:val="0"/>
      <w:marTop w:val="0"/>
      <w:marBottom w:val="0"/>
      <w:divBdr>
        <w:top w:val="none" w:sz="0" w:space="0" w:color="auto"/>
        <w:left w:val="none" w:sz="0" w:space="0" w:color="auto"/>
        <w:bottom w:val="none" w:sz="0" w:space="0" w:color="auto"/>
        <w:right w:val="none" w:sz="0" w:space="0" w:color="auto"/>
      </w:divBdr>
    </w:div>
    <w:div w:id="19405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5456-D881-4A12-A7C4-DA97A72D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2618</Words>
  <Characters>14926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MasterCard Worldwide</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e024568</dc:creator>
  <cp:lastModifiedBy>Baert, Christoph</cp:lastModifiedBy>
  <cp:revision>2</cp:revision>
  <cp:lastPrinted>2016-02-17T22:33:00Z</cp:lastPrinted>
  <dcterms:created xsi:type="dcterms:W3CDTF">2016-03-04T07:57:00Z</dcterms:created>
  <dcterms:modified xsi:type="dcterms:W3CDTF">2016-03-04T07:57:00Z</dcterms:modified>
</cp:coreProperties>
</file>