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9CB7" w14:textId="77777777" w:rsidR="00916833" w:rsidRPr="00E2682F" w:rsidRDefault="00916833" w:rsidP="00916833">
      <w:pPr>
        <w:rPr>
          <w:lang w:val="en-GB"/>
        </w:rPr>
      </w:pPr>
    </w:p>
    <w:p w14:paraId="1D7A9FE7" w14:textId="11B1A2B6" w:rsidR="00916833" w:rsidRDefault="000E57CD" w:rsidP="00916833">
      <w:pPr>
        <w:rPr>
          <w:rFonts w:asciiTheme="majorHAnsi" w:eastAsiaTheme="majorEastAsia" w:hAnsiTheme="majorHAnsi" w:cstheme="majorBidi"/>
          <w:color w:val="2F5496" w:themeColor="accent1" w:themeShade="BF"/>
          <w:sz w:val="32"/>
          <w:szCs w:val="32"/>
          <w:lang w:val="en-GB"/>
        </w:rPr>
      </w:pPr>
      <w:r>
        <w:rPr>
          <w:rFonts w:asciiTheme="majorHAnsi" w:eastAsiaTheme="majorEastAsia" w:hAnsiTheme="majorHAnsi" w:cstheme="majorBidi"/>
          <w:color w:val="2F5496" w:themeColor="accent1" w:themeShade="BF"/>
          <w:sz w:val="32"/>
          <w:szCs w:val="32"/>
          <w:lang w:val="en-GB"/>
        </w:rPr>
        <w:t xml:space="preserve">ABBL’s Response to the Consultation on </w:t>
      </w:r>
      <w:r w:rsidRPr="007A03DE">
        <w:rPr>
          <w:rFonts w:asciiTheme="majorHAnsi" w:eastAsiaTheme="majorEastAsia" w:hAnsiTheme="majorHAnsi" w:cstheme="majorBidi"/>
          <w:color w:val="2F5496" w:themeColor="accent1" w:themeShade="BF"/>
          <w:sz w:val="32"/>
          <w:szCs w:val="32"/>
          <w:lang w:val="en-GB"/>
        </w:rPr>
        <w:t xml:space="preserve">Draft Regulatory Technical Standards on information for application for authorisation to offer to the public and to seek admission to trading of asset-referenced tokens and Draft Implementing Technical Standards on standard forms, </w:t>
      </w:r>
      <w:proofErr w:type="gramStart"/>
      <w:r w:rsidRPr="007A03DE">
        <w:rPr>
          <w:rFonts w:asciiTheme="majorHAnsi" w:eastAsiaTheme="majorEastAsia" w:hAnsiTheme="majorHAnsi" w:cstheme="majorBidi"/>
          <w:color w:val="2F5496" w:themeColor="accent1" w:themeShade="BF"/>
          <w:sz w:val="32"/>
          <w:szCs w:val="32"/>
          <w:lang w:val="en-GB"/>
        </w:rPr>
        <w:t>templates</w:t>
      </w:r>
      <w:proofErr w:type="gramEnd"/>
      <w:r w:rsidRPr="007A03DE">
        <w:rPr>
          <w:rFonts w:asciiTheme="majorHAnsi" w:eastAsiaTheme="majorEastAsia" w:hAnsiTheme="majorHAnsi" w:cstheme="majorBidi"/>
          <w:color w:val="2F5496" w:themeColor="accent1" w:themeShade="BF"/>
          <w:sz w:val="32"/>
          <w:szCs w:val="32"/>
          <w:lang w:val="en-GB"/>
        </w:rPr>
        <w:t xml:space="preserve"> and procedures for the information to be included in the application, under Article 18(6) and (7) of Regulation (EU) 2023/1114</w:t>
      </w:r>
    </w:p>
    <w:p w14:paraId="670B9C72" w14:textId="77777777" w:rsidR="000A2D7A" w:rsidRPr="00E2682F" w:rsidRDefault="000A2D7A" w:rsidP="00916833">
      <w:pPr>
        <w:rPr>
          <w:lang w:val="en-GB"/>
        </w:rPr>
      </w:pPr>
    </w:p>
    <w:p w14:paraId="045522A2" w14:textId="0281EC6D" w:rsidR="00916833" w:rsidRPr="00E2682F" w:rsidRDefault="00916833" w:rsidP="00916833">
      <w:pPr>
        <w:pStyle w:val="Heading3"/>
        <w:rPr>
          <w:lang w:val="en-GB"/>
        </w:rPr>
      </w:pPr>
      <w:r w:rsidRPr="00E2682F">
        <w:rPr>
          <w:lang w:val="en-GB"/>
        </w:rPr>
        <w:t xml:space="preserve">Date: </w:t>
      </w:r>
      <w:r w:rsidR="003423CD">
        <w:rPr>
          <w:lang w:val="en-GB"/>
        </w:rPr>
        <w:t>1</w:t>
      </w:r>
      <w:r w:rsidR="006A6A73">
        <w:rPr>
          <w:lang w:val="en-GB"/>
        </w:rPr>
        <w:t>2</w:t>
      </w:r>
      <w:r w:rsidR="003423CD" w:rsidRPr="00E2682F">
        <w:rPr>
          <w:lang w:val="en-GB"/>
        </w:rPr>
        <w:t xml:space="preserve"> </w:t>
      </w:r>
      <w:r>
        <w:rPr>
          <w:lang w:val="en-GB"/>
        </w:rPr>
        <w:t>October</w:t>
      </w:r>
      <w:r w:rsidRPr="00E2682F">
        <w:rPr>
          <w:lang w:val="en-GB"/>
        </w:rPr>
        <w:t xml:space="preserve"> 2023</w:t>
      </w:r>
    </w:p>
    <w:p w14:paraId="61A81019" w14:textId="77777777" w:rsidR="00916833" w:rsidRPr="00037EAA" w:rsidRDefault="00916833" w:rsidP="00916833">
      <w:pPr>
        <w:rPr>
          <w:rFonts w:asciiTheme="majorHAnsi" w:hAnsiTheme="majorHAnsi" w:cstheme="majorHAnsi"/>
          <w:lang w:val="en-GB"/>
        </w:rPr>
      </w:pPr>
    </w:p>
    <w:p w14:paraId="077E7045" w14:textId="77777777" w:rsidR="00916833" w:rsidRPr="00037EAA" w:rsidRDefault="00916833" w:rsidP="00916833">
      <w:pPr>
        <w:rPr>
          <w:rFonts w:asciiTheme="majorHAnsi" w:hAnsiTheme="majorHAnsi" w:cstheme="majorHAnsi"/>
          <w:lang w:val="en-GB"/>
        </w:rPr>
      </w:pPr>
    </w:p>
    <w:tbl>
      <w:tblPr>
        <w:tblStyle w:val="TableGrid"/>
        <w:tblW w:w="5000" w:type="pct"/>
        <w:jc w:val="center"/>
        <w:tblLook w:val="04A0" w:firstRow="1" w:lastRow="0" w:firstColumn="1" w:lastColumn="0" w:noHBand="0" w:noVBand="1"/>
      </w:tblPr>
      <w:tblGrid>
        <w:gridCol w:w="9016"/>
      </w:tblGrid>
      <w:tr w:rsidR="00916833" w:rsidRPr="00037EAA" w14:paraId="2693B375" w14:textId="77777777" w:rsidTr="000961C1">
        <w:trPr>
          <w:trHeight w:val="229"/>
          <w:jc w:val="center"/>
        </w:trPr>
        <w:tc>
          <w:tcPr>
            <w:tcW w:w="5000" w:type="pct"/>
            <w:shd w:val="clear" w:color="auto" w:fill="002060"/>
            <w:hideMark/>
          </w:tcPr>
          <w:p w14:paraId="18A5AABC" w14:textId="77777777" w:rsidR="00916833" w:rsidRPr="00037EAA" w:rsidRDefault="00916833" w:rsidP="000961C1">
            <w:pPr>
              <w:rPr>
                <w:rFonts w:asciiTheme="majorHAnsi" w:hAnsiTheme="majorHAnsi" w:cstheme="majorHAnsi"/>
                <w:b/>
                <w:bCs/>
                <w:lang w:val="en-GB"/>
              </w:rPr>
            </w:pPr>
            <w:r w:rsidRPr="00037EAA">
              <w:rPr>
                <w:rFonts w:asciiTheme="majorHAnsi" w:hAnsiTheme="majorHAnsi" w:cstheme="majorHAnsi"/>
                <w:b/>
                <w:bCs/>
                <w:lang w:val="en-GB"/>
              </w:rPr>
              <w:t>Questions</w:t>
            </w:r>
          </w:p>
        </w:tc>
      </w:tr>
      <w:tr w:rsidR="00F13134" w:rsidRPr="00F13134" w14:paraId="57D15D88" w14:textId="77777777" w:rsidTr="000961C1">
        <w:trPr>
          <w:trHeight w:val="702"/>
          <w:jc w:val="center"/>
        </w:trPr>
        <w:tc>
          <w:tcPr>
            <w:tcW w:w="5000" w:type="pct"/>
          </w:tcPr>
          <w:p w14:paraId="0B585C16" w14:textId="68077A04" w:rsidR="00916833" w:rsidRPr="00A9454D" w:rsidRDefault="00916833" w:rsidP="000961C1">
            <w:pPr>
              <w:rPr>
                <w:rFonts w:cstheme="minorHAnsi"/>
                <w:b/>
                <w:bCs/>
                <w:lang w:val="en-GB"/>
              </w:rPr>
            </w:pPr>
            <w:r w:rsidRPr="00A9454D">
              <w:rPr>
                <w:rFonts w:cstheme="minorHAnsi"/>
                <w:b/>
                <w:bCs/>
                <w:lang w:val="en-GB"/>
              </w:rPr>
              <w:t xml:space="preserve">Q1: </w:t>
            </w:r>
            <w:r w:rsidR="00DE0925" w:rsidRPr="00A9454D">
              <w:rPr>
                <w:rFonts w:cstheme="minorHAnsi"/>
                <w:b/>
                <w:bCs/>
                <w:lang w:val="en-GB"/>
              </w:rPr>
              <w:t xml:space="preserve">Do you consider that letter (a) of Article 3(2) captures in a clear and realistic manner all necessary requirements of the offer to the public or admission to trading of the asset-referenced tokens, including the mechanism for the issuance, </w:t>
            </w:r>
            <w:proofErr w:type="gramStart"/>
            <w:r w:rsidR="00DE0925" w:rsidRPr="00A9454D">
              <w:rPr>
                <w:rFonts w:cstheme="minorHAnsi"/>
                <w:b/>
                <w:bCs/>
                <w:lang w:val="en-GB"/>
              </w:rPr>
              <w:t>redemption</w:t>
            </w:r>
            <w:proofErr w:type="gramEnd"/>
            <w:r w:rsidR="00DE0925" w:rsidRPr="00A9454D">
              <w:rPr>
                <w:rFonts w:cstheme="minorHAnsi"/>
                <w:b/>
                <w:bCs/>
                <w:lang w:val="en-GB"/>
              </w:rPr>
              <w:t xml:space="preserve"> and distribution of the asset-referenced tokens?</w:t>
            </w:r>
          </w:p>
        </w:tc>
      </w:tr>
      <w:tr w:rsidR="00F13134" w:rsidRPr="00F13134" w14:paraId="77AFCF3A" w14:textId="77777777" w:rsidTr="000961C1">
        <w:trPr>
          <w:trHeight w:val="907"/>
          <w:jc w:val="center"/>
        </w:trPr>
        <w:tc>
          <w:tcPr>
            <w:tcW w:w="5000" w:type="pct"/>
          </w:tcPr>
          <w:p w14:paraId="167D1146" w14:textId="19D05498" w:rsidR="006A6A73" w:rsidRDefault="006A6A73" w:rsidP="00DE0925">
            <w:pPr>
              <w:rPr>
                <w:rFonts w:cstheme="minorHAnsi"/>
                <w:lang w:val="en-GB"/>
              </w:rPr>
            </w:pPr>
            <w:r>
              <w:rPr>
                <w:rFonts w:cstheme="minorHAnsi"/>
                <w:lang w:val="en-GB"/>
              </w:rPr>
              <w:t>Partially</w:t>
            </w:r>
          </w:p>
          <w:p w14:paraId="10DA3AB0" w14:textId="77777777" w:rsidR="006A6A73" w:rsidRDefault="006A6A73" w:rsidP="00DE0925">
            <w:pPr>
              <w:rPr>
                <w:rFonts w:cstheme="minorHAnsi"/>
                <w:lang w:val="en-GB"/>
              </w:rPr>
            </w:pPr>
          </w:p>
          <w:p w14:paraId="11817CD1" w14:textId="6B6E54F3" w:rsidR="00916833" w:rsidRPr="00A9454D" w:rsidRDefault="006A6A73" w:rsidP="00DE0925">
            <w:pPr>
              <w:rPr>
                <w:rFonts w:cstheme="minorHAnsi"/>
                <w:lang w:val="en-GB"/>
              </w:rPr>
            </w:pPr>
            <w:r>
              <w:rPr>
                <w:rFonts w:cstheme="minorHAnsi"/>
                <w:lang w:val="en-GB"/>
              </w:rPr>
              <w:t>In general,</w:t>
            </w:r>
            <w:r w:rsidR="00DE0925" w:rsidRPr="00A9454D">
              <w:rPr>
                <w:rFonts w:cstheme="minorHAnsi"/>
                <w:lang w:val="en-GB"/>
              </w:rPr>
              <w:t xml:space="preserve"> the requirements in letter (a) of article 3(2) of the draft RTS are sufficient to capture all necessary requirements for the offer to the public or admission to trading of ART (incl. the issuance, </w:t>
            </w:r>
            <w:proofErr w:type="gramStart"/>
            <w:r w:rsidR="00DE0925" w:rsidRPr="00A9454D">
              <w:rPr>
                <w:rFonts w:cstheme="minorHAnsi"/>
                <w:lang w:val="en-GB"/>
              </w:rPr>
              <w:t>redemption</w:t>
            </w:r>
            <w:proofErr w:type="gramEnd"/>
            <w:r w:rsidR="00DE0925" w:rsidRPr="00A9454D">
              <w:rPr>
                <w:rFonts w:cstheme="minorHAnsi"/>
                <w:lang w:val="en-GB"/>
              </w:rPr>
              <w:t xml:space="preserve"> and distribution of ART)</w:t>
            </w:r>
            <w:r w:rsidR="006335EE" w:rsidRPr="00A9454D">
              <w:rPr>
                <w:rFonts w:cstheme="minorHAnsi"/>
                <w:lang w:val="en-GB"/>
              </w:rPr>
              <w:t>.</w:t>
            </w:r>
          </w:p>
          <w:p w14:paraId="69BEAA45" w14:textId="77777777" w:rsidR="000955E5" w:rsidRDefault="000955E5" w:rsidP="00DE0925">
            <w:pPr>
              <w:rPr>
                <w:rFonts w:cstheme="minorHAnsi"/>
                <w:lang w:val="en-GB"/>
              </w:rPr>
            </w:pPr>
          </w:p>
          <w:p w14:paraId="75A19564" w14:textId="0D008B24" w:rsidR="0091548C" w:rsidRPr="00A9454D" w:rsidRDefault="00A26B97" w:rsidP="00DE0925">
            <w:pPr>
              <w:rPr>
                <w:rFonts w:cstheme="minorHAnsi"/>
                <w:lang w:val="en-GB"/>
              </w:rPr>
            </w:pPr>
            <w:r>
              <w:rPr>
                <w:rFonts w:cstheme="minorHAnsi"/>
                <w:lang w:val="en-GB"/>
              </w:rPr>
              <w:t>However</w:t>
            </w:r>
            <w:r w:rsidR="0091548C" w:rsidRPr="00A9454D">
              <w:rPr>
                <w:rFonts w:cstheme="minorHAnsi"/>
                <w:lang w:val="en-GB"/>
              </w:rPr>
              <w:t xml:space="preserve">, we have the following comments: </w:t>
            </w:r>
          </w:p>
          <w:p w14:paraId="2347EC4F" w14:textId="77777777" w:rsidR="0091548C" w:rsidRPr="00A9454D" w:rsidRDefault="0091548C" w:rsidP="00DE0925">
            <w:pPr>
              <w:rPr>
                <w:rFonts w:cstheme="minorHAnsi"/>
                <w:lang w:val="en-GB"/>
              </w:rPr>
            </w:pPr>
          </w:p>
          <w:p w14:paraId="01B83227" w14:textId="77777777" w:rsidR="0091548C" w:rsidRPr="00A9454D" w:rsidRDefault="0091548C" w:rsidP="0091548C">
            <w:pPr>
              <w:pStyle w:val="ListParagraph"/>
              <w:numPr>
                <w:ilvl w:val="0"/>
                <w:numId w:val="3"/>
              </w:numPr>
              <w:spacing w:line="280" w:lineRule="exact"/>
              <w:contextualSpacing w:val="0"/>
              <w:jc w:val="both"/>
              <w:rPr>
                <w:rFonts w:cstheme="minorHAnsi"/>
                <w:lang w:val="en-GB"/>
              </w:rPr>
            </w:pPr>
            <w:r w:rsidRPr="00A9454D">
              <w:rPr>
                <w:rFonts w:cstheme="minorHAnsi"/>
                <w:b/>
                <w:bCs/>
                <w:lang w:val="en-GB"/>
              </w:rPr>
              <w:t>Article 3(2)(a)(i)</w:t>
            </w:r>
            <w:r w:rsidRPr="00A9454D">
              <w:rPr>
                <w:rFonts w:cstheme="minorHAnsi"/>
                <w:lang w:val="en-GB"/>
              </w:rPr>
              <w:t>: in our perspective, the following wording of the Delegated Regulation seems incorrect: “</w:t>
            </w:r>
            <w:r w:rsidRPr="00A9454D">
              <w:rPr>
                <w:rFonts w:cstheme="minorHAnsi"/>
                <w:i/>
                <w:iCs/>
                <w:lang w:val="en-GB"/>
              </w:rPr>
              <w:t>main features of</w:t>
            </w:r>
            <w:r w:rsidRPr="00A9454D">
              <w:rPr>
                <w:rFonts w:cstheme="minorHAnsi"/>
                <w:lang w:val="en-GB"/>
              </w:rPr>
              <w:t xml:space="preserve"> </w:t>
            </w:r>
            <w:r w:rsidRPr="00A9454D">
              <w:rPr>
                <w:rFonts w:cstheme="minorHAnsi"/>
                <w:i/>
                <w:iCs/>
                <w:lang w:val="en-GB"/>
              </w:rPr>
              <w:t>the asset-referenced token for which the authorisation is sought</w:t>
            </w:r>
            <w:r w:rsidRPr="00A9454D">
              <w:rPr>
                <w:rFonts w:cstheme="minorHAnsi"/>
                <w:lang w:val="en-GB"/>
              </w:rPr>
              <w:t>”. The authorisation is sought, not for the ARTs themselves, but more specifically for the offering of ARTs to the public and their admission to trading (</w:t>
            </w:r>
            <w:hyperlink r:id="rId7" w:anchor="d1e2951-40-1" w:history="1">
              <w:r w:rsidRPr="003423CD">
                <w:rPr>
                  <w:rStyle w:val="Hyperlink"/>
                  <w:rFonts w:cstheme="minorHAnsi"/>
                  <w:lang w:val="en-GB"/>
                </w:rPr>
                <w:t>Art. 16-1 MiCA</w:t>
              </w:r>
            </w:hyperlink>
            <w:r w:rsidRPr="00A9454D">
              <w:rPr>
                <w:rFonts w:cstheme="minorHAnsi"/>
                <w:lang w:val="en-GB"/>
              </w:rPr>
              <w:t>). Therefore, we suggest the following wording for this Article: “</w:t>
            </w:r>
            <w:r w:rsidRPr="00A9454D">
              <w:rPr>
                <w:rFonts w:cstheme="minorHAnsi"/>
                <w:i/>
                <w:iCs/>
                <w:lang w:val="en-GB"/>
              </w:rPr>
              <w:t xml:space="preserve">main features of the asset-referenced token for which the authorisation </w:t>
            </w:r>
            <w:r w:rsidRPr="00A9454D">
              <w:rPr>
                <w:rFonts w:cstheme="minorHAnsi"/>
                <w:b/>
                <w:bCs/>
                <w:i/>
                <w:iCs/>
                <w:u w:val="single"/>
                <w:lang w:val="en-GB"/>
              </w:rPr>
              <w:t>to offer to the public and for admission to trading</w:t>
            </w:r>
            <w:r w:rsidRPr="00A9454D">
              <w:rPr>
                <w:rFonts w:cstheme="minorHAnsi"/>
                <w:i/>
                <w:iCs/>
                <w:lang w:val="en-GB"/>
              </w:rPr>
              <w:t xml:space="preserve"> is sought, including all of the following</w:t>
            </w:r>
            <w:r w:rsidRPr="00A9454D">
              <w:rPr>
                <w:rFonts w:cstheme="minorHAnsi"/>
                <w:lang w:val="en-GB"/>
              </w:rPr>
              <w:t xml:space="preserve">” (in this regard, see </w:t>
            </w:r>
            <w:hyperlink r:id="rId8" w:anchor="d1e32-188-1" w:history="1">
              <w:r w:rsidRPr="003423CD">
                <w:rPr>
                  <w:rStyle w:val="Hyperlink"/>
                  <w:rFonts w:cstheme="minorHAnsi"/>
                  <w:lang w:val="en-GB"/>
                </w:rPr>
                <w:t>MiCA’s Annex II, Part C, §12 and Part D, §5</w:t>
              </w:r>
            </w:hyperlink>
            <w:r w:rsidRPr="00A9454D">
              <w:rPr>
                <w:rFonts w:cstheme="minorHAnsi"/>
                <w:lang w:val="en-GB"/>
              </w:rPr>
              <w:t>).</w:t>
            </w:r>
          </w:p>
          <w:p w14:paraId="1268B5B9" w14:textId="77777777" w:rsidR="0091548C" w:rsidRPr="00A9454D" w:rsidRDefault="0091548C" w:rsidP="0091548C">
            <w:pPr>
              <w:pStyle w:val="ListParagraph"/>
              <w:spacing w:line="280" w:lineRule="exact"/>
              <w:jc w:val="both"/>
              <w:rPr>
                <w:rFonts w:cstheme="minorHAnsi"/>
                <w:lang w:val="en-GB"/>
              </w:rPr>
            </w:pPr>
          </w:p>
          <w:p w14:paraId="56102C7C" w14:textId="77777777" w:rsidR="0091548C" w:rsidRPr="00A9454D" w:rsidRDefault="0091548C" w:rsidP="0091548C">
            <w:pPr>
              <w:pStyle w:val="ListParagraph"/>
              <w:numPr>
                <w:ilvl w:val="0"/>
                <w:numId w:val="3"/>
              </w:numPr>
              <w:spacing w:line="280" w:lineRule="exact"/>
              <w:contextualSpacing w:val="0"/>
              <w:jc w:val="both"/>
              <w:rPr>
                <w:rFonts w:cstheme="minorHAnsi"/>
                <w:lang w:val="en-GB"/>
              </w:rPr>
            </w:pPr>
            <w:r w:rsidRPr="00A9454D">
              <w:rPr>
                <w:rFonts w:cstheme="minorHAnsi"/>
                <w:b/>
                <w:bCs/>
                <w:lang w:val="en-GB"/>
              </w:rPr>
              <w:t>Article 3(2)(a)(i)(2)</w:t>
            </w:r>
            <w:r w:rsidRPr="00A9454D">
              <w:rPr>
                <w:rFonts w:cstheme="minorHAnsi"/>
                <w:lang w:val="en-GB"/>
              </w:rPr>
              <w:t xml:space="preserve">: Drawing up a crypto-asset white paper is an obligation that equally applies to those exempted from an authorisation – including to issuers who address offers of ARTs solely to qualified investors </w:t>
            </w:r>
            <w:r w:rsidRPr="00A9454D">
              <w:rPr>
                <w:rFonts w:cstheme="minorHAnsi"/>
                <w:b/>
                <w:bCs/>
                <w:u w:val="single"/>
                <w:lang w:val="en-GB"/>
              </w:rPr>
              <w:t>and</w:t>
            </w:r>
            <w:r w:rsidRPr="00A9454D">
              <w:rPr>
                <w:rFonts w:cstheme="minorHAnsi"/>
                <w:lang w:val="en-GB"/>
              </w:rPr>
              <w:t xml:space="preserve"> where ARTs can only be held by such qualified investors (</w:t>
            </w:r>
            <w:hyperlink r:id="rId9" w:anchor="d1e2951-40-1" w:history="1">
              <w:r w:rsidRPr="003423CD">
                <w:rPr>
                  <w:rStyle w:val="Hyperlink"/>
                  <w:rFonts w:cstheme="minorHAnsi"/>
                  <w:lang w:val="en-GB"/>
                </w:rPr>
                <w:t>Art. 16-2(b), last para., MiCA</w:t>
              </w:r>
            </w:hyperlink>
            <w:r w:rsidRPr="00A9454D">
              <w:rPr>
                <w:rFonts w:cstheme="minorHAnsi"/>
                <w:lang w:val="en-GB"/>
              </w:rPr>
              <w:t xml:space="preserve">). We believe this Article 16-2 provides a double cumulative condition for an issuer to be exempted from an authorisation: (1) the offer of ARTs may only be addressed to qualified investors, </w:t>
            </w:r>
            <w:r w:rsidRPr="00A9454D">
              <w:rPr>
                <w:rFonts w:cstheme="minorHAnsi"/>
                <w:b/>
                <w:bCs/>
                <w:u w:val="single"/>
                <w:lang w:val="en-GB"/>
              </w:rPr>
              <w:t>and</w:t>
            </w:r>
            <w:r w:rsidRPr="00A9454D">
              <w:rPr>
                <w:rFonts w:cstheme="minorHAnsi"/>
                <w:lang w:val="en-GB"/>
              </w:rPr>
              <w:t xml:space="preserve"> (2) only qualified investors can hold these ARTs. </w:t>
            </w:r>
            <w:r w:rsidRPr="00A9454D">
              <w:rPr>
                <w:rFonts w:cstheme="minorHAnsi"/>
                <w:b/>
                <w:bCs/>
                <w:u w:val="single"/>
                <w:lang w:val="en-GB"/>
              </w:rPr>
              <w:t>Therefore</w:t>
            </w:r>
            <w:r w:rsidRPr="00A9454D">
              <w:rPr>
                <w:rFonts w:cstheme="minorHAnsi"/>
                <w:lang w:val="en-GB"/>
              </w:rPr>
              <w:t xml:space="preserve">, offers of ARTs addressed to retail investors, and offers addressed to qualified investors that can subsequently be held by retail investors, may require an authorisation. In our opinion, article 3(2)(i)(2) Delegated Regulation should also request information </w:t>
            </w:r>
            <w:r w:rsidRPr="00A9454D">
              <w:rPr>
                <w:rFonts w:cstheme="minorHAnsi"/>
                <w:lang w:val="en-GB"/>
              </w:rPr>
              <w:lastRenderedPageBreak/>
              <w:t>regarding the public to which is addressed the offer of ARTs and who may hold these ARTs.</w:t>
            </w:r>
          </w:p>
          <w:p w14:paraId="45877D51" w14:textId="77777777" w:rsidR="0091548C" w:rsidRPr="003423CD" w:rsidRDefault="0091548C" w:rsidP="0091548C">
            <w:pPr>
              <w:rPr>
                <w:rFonts w:cstheme="minorHAnsi"/>
                <w:lang w:val="en-GB"/>
              </w:rPr>
            </w:pPr>
          </w:p>
          <w:p w14:paraId="1FCDF620" w14:textId="60F45695" w:rsidR="0091548C" w:rsidRPr="00A9454D" w:rsidRDefault="0091548C" w:rsidP="00A9454D">
            <w:pPr>
              <w:pStyle w:val="ListParagraph"/>
              <w:numPr>
                <w:ilvl w:val="0"/>
                <w:numId w:val="3"/>
              </w:numPr>
              <w:spacing w:line="280" w:lineRule="exact"/>
              <w:contextualSpacing w:val="0"/>
              <w:jc w:val="both"/>
              <w:rPr>
                <w:rFonts w:cstheme="minorHAnsi"/>
                <w:b/>
                <w:bCs/>
                <w:lang w:val="en-GB"/>
              </w:rPr>
            </w:pPr>
            <w:r w:rsidRPr="00A9454D">
              <w:rPr>
                <w:rFonts w:cstheme="minorHAnsi"/>
                <w:b/>
                <w:bCs/>
                <w:lang w:val="en-GB"/>
              </w:rPr>
              <w:t xml:space="preserve">Article 3(2)(a)(i)(7): </w:t>
            </w:r>
            <w:r w:rsidR="00F162D4">
              <w:rPr>
                <w:rFonts w:cstheme="minorHAnsi"/>
                <w:lang w:val="en-GB"/>
              </w:rPr>
              <w:t>w</w:t>
            </w:r>
            <w:r w:rsidRPr="00A9454D">
              <w:rPr>
                <w:rFonts w:cstheme="minorHAnsi"/>
                <w:lang w:val="en-GB"/>
              </w:rPr>
              <w:t>e are unsure how someone may provide information on all bridges regarding the DLT where it intends to issue an ART, especially DLTs that it does not control (since MiCA does not seem to prevent an issuance of ARTs in a decentralised DLT). We are even less sure how someone may provide information on all the “bridges between different DLTs”. We consider that the issuer of ARTs may at best provide (1) information on bridges regarding the specific DLT where it intends to issue an ART, (2) as made available in the whitepaper/documentation of that DLT project, (3) at the time of its application for an offer of ARTs.</w:t>
            </w:r>
          </w:p>
          <w:p w14:paraId="23059693" w14:textId="77777777" w:rsidR="00C91314" w:rsidRPr="00A9454D" w:rsidRDefault="00C91314" w:rsidP="00DE0925">
            <w:pPr>
              <w:rPr>
                <w:rFonts w:cstheme="minorHAnsi"/>
                <w:lang w:val="en-GB"/>
              </w:rPr>
            </w:pPr>
          </w:p>
          <w:p w14:paraId="4CF8966E" w14:textId="367D7056" w:rsidR="00573C40" w:rsidRPr="00A9454D" w:rsidRDefault="00573C40" w:rsidP="00DE0925">
            <w:pPr>
              <w:rPr>
                <w:rFonts w:cstheme="minorHAnsi"/>
                <w:lang w:val="en-GB"/>
              </w:rPr>
            </w:pPr>
          </w:p>
        </w:tc>
      </w:tr>
      <w:tr w:rsidR="00F13134" w:rsidRPr="00F13134" w14:paraId="5E6BF693" w14:textId="77777777" w:rsidTr="000961C1">
        <w:trPr>
          <w:trHeight w:val="624"/>
          <w:jc w:val="center"/>
        </w:trPr>
        <w:tc>
          <w:tcPr>
            <w:tcW w:w="5000" w:type="pct"/>
          </w:tcPr>
          <w:p w14:paraId="65714D50" w14:textId="77777777" w:rsidR="00DE0925" w:rsidRPr="00A9454D" w:rsidRDefault="00916833" w:rsidP="00DE0925">
            <w:pPr>
              <w:rPr>
                <w:rFonts w:cstheme="minorHAnsi"/>
                <w:b/>
                <w:bCs/>
                <w:lang w:val="en-GB"/>
              </w:rPr>
            </w:pPr>
            <w:r w:rsidRPr="00A9454D">
              <w:rPr>
                <w:rFonts w:cstheme="minorHAnsi"/>
                <w:b/>
                <w:bCs/>
                <w:lang w:val="en-GB"/>
              </w:rPr>
              <w:lastRenderedPageBreak/>
              <w:t xml:space="preserve">Q2:  </w:t>
            </w:r>
            <w:r w:rsidR="00DE0925" w:rsidRPr="00A9454D">
              <w:rPr>
                <w:rFonts w:cstheme="minorHAnsi"/>
                <w:b/>
                <w:bCs/>
                <w:lang w:val="en-GB"/>
              </w:rPr>
              <w:t xml:space="preserve">Do you consider that the information requirements about the internal control framework are sufficiently clear and exhaustive? </w:t>
            </w:r>
          </w:p>
          <w:p w14:paraId="2EADD909" w14:textId="46AFEA47" w:rsidR="00916833" w:rsidRPr="00A9454D" w:rsidRDefault="00916833" w:rsidP="000961C1">
            <w:pPr>
              <w:rPr>
                <w:rFonts w:cstheme="minorHAnsi"/>
                <w:b/>
                <w:bCs/>
                <w:lang w:val="en-GB"/>
              </w:rPr>
            </w:pPr>
          </w:p>
        </w:tc>
      </w:tr>
      <w:tr w:rsidR="00F13134" w:rsidRPr="00F13134" w14:paraId="0DF3CCDF" w14:textId="77777777" w:rsidTr="000961C1">
        <w:trPr>
          <w:trHeight w:val="841"/>
          <w:jc w:val="center"/>
        </w:trPr>
        <w:tc>
          <w:tcPr>
            <w:tcW w:w="5000" w:type="pct"/>
          </w:tcPr>
          <w:p w14:paraId="3E65A2AB" w14:textId="41FCD272" w:rsidR="00946CD5" w:rsidRDefault="00946CD5" w:rsidP="00037EAA">
            <w:pPr>
              <w:rPr>
                <w:rFonts w:cstheme="minorHAnsi"/>
                <w:lang w:val="en-GB"/>
              </w:rPr>
            </w:pPr>
            <w:r>
              <w:rPr>
                <w:rFonts w:cstheme="minorHAnsi"/>
                <w:lang w:val="en-GB"/>
              </w:rPr>
              <w:t>Partially</w:t>
            </w:r>
          </w:p>
          <w:p w14:paraId="103A908E" w14:textId="77777777" w:rsidR="00946CD5" w:rsidRDefault="00946CD5" w:rsidP="00037EAA">
            <w:pPr>
              <w:rPr>
                <w:rFonts w:cstheme="minorHAnsi"/>
                <w:lang w:val="en-GB"/>
              </w:rPr>
            </w:pPr>
          </w:p>
          <w:p w14:paraId="2854F83B" w14:textId="5C1E4499" w:rsidR="00C91314" w:rsidRPr="00A9454D" w:rsidRDefault="00DE0925" w:rsidP="00037EAA">
            <w:pPr>
              <w:rPr>
                <w:rFonts w:cstheme="minorHAnsi"/>
                <w:lang w:val="en-GB"/>
              </w:rPr>
            </w:pPr>
            <w:r w:rsidRPr="00A9454D">
              <w:rPr>
                <w:rFonts w:cstheme="minorHAnsi"/>
                <w:lang w:val="en-GB"/>
              </w:rPr>
              <w:t>We are of the view that the requirements in article 6 of the Draft RTS Authorisation are sufficiently clear and exhaustive regarding the information to be provided on the internal control framework of the applicant issuer</w:t>
            </w:r>
            <w:r w:rsidR="00177222" w:rsidRPr="00A9454D">
              <w:rPr>
                <w:rFonts w:cstheme="minorHAnsi"/>
                <w:lang w:val="en-GB"/>
              </w:rPr>
              <w:t>.</w:t>
            </w:r>
          </w:p>
          <w:p w14:paraId="24F0CA5E" w14:textId="77777777" w:rsidR="0091548C" w:rsidRPr="003423CD" w:rsidRDefault="0091548C" w:rsidP="0091548C">
            <w:pPr>
              <w:rPr>
                <w:rFonts w:cstheme="minorHAnsi"/>
                <w:lang w:val="en-GB"/>
              </w:rPr>
            </w:pPr>
          </w:p>
          <w:p w14:paraId="4490415A" w14:textId="77777777" w:rsidR="0091548C" w:rsidRDefault="0091548C" w:rsidP="0091548C">
            <w:pPr>
              <w:rPr>
                <w:rFonts w:cstheme="minorHAnsi"/>
                <w:lang w:val="en-GB"/>
              </w:rPr>
            </w:pPr>
            <w:r w:rsidRPr="003423CD">
              <w:rPr>
                <w:rFonts w:cstheme="minorHAnsi"/>
                <w:lang w:val="en-GB"/>
              </w:rPr>
              <w:t>We noticed that the Delegated Regulation does not require any description on the DLT used for the issuance/offer of ARTs: public, private, permissioned, permissionless, etc. Since the Delegated Regulation requires from the issuer a detailed description of the transparency mechanisms “</w:t>
            </w:r>
            <w:r w:rsidRPr="003423CD">
              <w:rPr>
                <w:rFonts w:cstheme="minorHAnsi"/>
                <w:i/>
                <w:iCs/>
                <w:lang w:val="en-GB"/>
              </w:rPr>
              <w:t>in case the proprietary distributed ledger technology is permissioned</w:t>
            </w:r>
            <w:r w:rsidRPr="003423CD">
              <w:rPr>
                <w:rFonts w:cstheme="minorHAnsi"/>
                <w:lang w:val="en-GB"/>
              </w:rPr>
              <w:t>” (</w:t>
            </w:r>
            <w:hyperlink r:id="rId10" w:history="1">
              <w:r w:rsidRPr="003423CD">
                <w:rPr>
                  <w:rStyle w:val="Hyperlink"/>
                  <w:rFonts w:cstheme="minorHAnsi"/>
                  <w:lang w:val="en-GB"/>
                </w:rPr>
                <w:t>Art. 6-4(e) Delegated Regulation</w:t>
              </w:r>
            </w:hyperlink>
            <w:r w:rsidRPr="003423CD">
              <w:rPr>
                <w:rFonts w:cstheme="minorHAnsi"/>
                <w:lang w:val="en-GB"/>
              </w:rPr>
              <w:t>), we would suggest to generalise this request to all DLTs and not only to proprietary DLTs.</w:t>
            </w:r>
          </w:p>
          <w:p w14:paraId="6D28054A" w14:textId="77777777" w:rsidR="0091548C" w:rsidRPr="003423CD" w:rsidRDefault="0091548C" w:rsidP="0091548C">
            <w:pPr>
              <w:rPr>
                <w:rFonts w:cstheme="minorHAnsi"/>
                <w:lang w:val="en-GB"/>
              </w:rPr>
            </w:pPr>
          </w:p>
          <w:p w14:paraId="335FE1CB" w14:textId="77777777" w:rsidR="0091548C" w:rsidRPr="003423CD" w:rsidRDefault="0091548C" w:rsidP="0091548C">
            <w:pPr>
              <w:rPr>
                <w:rFonts w:cstheme="minorHAnsi"/>
                <w:lang w:val="en-GB"/>
              </w:rPr>
            </w:pPr>
            <w:r w:rsidRPr="003423CD">
              <w:rPr>
                <w:rFonts w:cstheme="minorHAnsi"/>
                <w:lang w:val="en-GB"/>
              </w:rPr>
              <w:t>We also noticed that the Delegated Regulation uses at times the terms “</w:t>
            </w:r>
            <w:r w:rsidRPr="003423CD">
              <w:rPr>
                <w:rFonts w:cstheme="minorHAnsi"/>
                <w:i/>
                <w:iCs/>
                <w:lang w:val="en-GB"/>
              </w:rPr>
              <w:t>distributed ledger technology</w:t>
            </w:r>
            <w:r w:rsidRPr="003423CD">
              <w:rPr>
                <w:rFonts w:cstheme="minorHAnsi"/>
                <w:lang w:val="en-GB"/>
              </w:rPr>
              <w:t>” and, other times, its acronym (DLT), without any apparent logic. We consider that the usage of these terms should be harmonised in the Delegated Regulation.</w:t>
            </w:r>
          </w:p>
          <w:p w14:paraId="6A7E64F4" w14:textId="286E3E33" w:rsidR="00916833" w:rsidRPr="00A9454D" w:rsidRDefault="00037EAA" w:rsidP="00037EAA">
            <w:pPr>
              <w:rPr>
                <w:rFonts w:cstheme="minorHAnsi"/>
                <w:lang w:val="en-LU"/>
              </w:rPr>
            </w:pPr>
            <w:r w:rsidRPr="00A9454D">
              <w:rPr>
                <w:rFonts w:cstheme="minorHAnsi"/>
                <w:lang w:val="en-GB"/>
              </w:rPr>
              <w:br/>
            </w:r>
          </w:p>
        </w:tc>
      </w:tr>
      <w:tr w:rsidR="00F13134" w:rsidRPr="00F13134" w14:paraId="776A5574" w14:textId="77777777" w:rsidTr="000961C1">
        <w:trPr>
          <w:trHeight w:val="398"/>
          <w:jc w:val="center"/>
        </w:trPr>
        <w:tc>
          <w:tcPr>
            <w:tcW w:w="5000" w:type="pct"/>
          </w:tcPr>
          <w:p w14:paraId="5D072D86" w14:textId="24AF64D2" w:rsidR="00916833" w:rsidRPr="00A9454D" w:rsidRDefault="00916833" w:rsidP="00FF127F">
            <w:pPr>
              <w:rPr>
                <w:rFonts w:cstheme="minorHAnsi"/>
                <w:b/>
                <w:bCs/>
                <w:lang w:val="en-GB"/>
              </w:rPr>
            </w:pPr>
            <w:r w:rsidRPr="00A9454D">
              <w:rPr>
                <w:rFonts w:cstheme="minorHAnsi"/>
                <w:b/>
                <w:bCs/>
                <w:lang w:val="en-GB"/>
              </w:rPr>
              <w:t xml:space="preserve">Q3: </w:t>
            </w:r>
            <w:r w:rsidR="001202C0" w:rsidRPr="00A9454D">
              <w:rPr>
                <w:rFonts w:cstheme="minorHAnsi"/>
                <w:b/>
                <w:bCs/>
                <w:lang w:val="en-GB"/>
              </w:rPr>
              <w:t xml:space="preserve">Do you consider that Article 6(4) captures in a clear and correct manner all necessary information about the functioning of proprietary DLT or other similar technology where ARTs are issued, transferred and stored and that is operated by the issuer or a </w:t>
            </w:r>
            <w:proofErr w:type="gramStart"/>
            <w:r w:rsidR="001202C0" w:rsidRPr="00A9454D">
              <w:rPr>
                <w:rFonts w:cstheme="minorHAnsi"/>
                <w:b/>
                <w:bCs/>
                <w:lang w:val="en-GB"/>
              </w:rPr>
              <w:t>third party</w:t>
            </w:r>
            <w:proofErr w:type="gramEnd"/>
            <w:r w:rsidR="001202C0" w:rsidRPr="00A9454D">
              <w:rPr>
                <w:rFonts w:cstheme="minorHAnsi"/>
                <w:b/>
                <w:bCs/>
                <w:lang w:val="en-GB"/>
              </w:rPr>
              <w:t xml:space="preserve"> operator acting on the issuer’s behalf?</w:t>
            </w:r>
          </w:p>
        </w:tc>
      </w:tr>
      <w:tr w:rsidR="00F13134" w:rsidRPr="00F13134" w14:paraId="23C13962" w14:textId="77777777" w:rsidTr="000961C1">
        <w:trPr>
          <w:trHeight w:val="679"/>
          <w:jc w:val="center"/>
        </w:trPr>
        <w:tc>
          <w:tcPr>
            <w:tcW w:w="5000" w:type="pct"/>
          </w:tcPr>
          <w:p w14:paraId="4BE02729" w14:textId="181689D6" w:rsidR="00946CD5" w:rsidRDefault="00946CD5" w:rsidP="001202C0">
            <w:pPr>
              <w:pStyle w:val="NormalWeb"/>
              <w:spacing w:before="60" w:beforeAutospacing="0" w:after="0" w:afterAutospacing="0"/>
              <w:rPr>
                <w:rFonts w:asciiTheme="minorHAnsi" w:eastAsia="Arial" w:hAnsiTheme="minorHAnsi" w:cstheme="minorHAnsi"/>
                <w:noProof/>
                <w:kern w:val="24"/>
                <w:lang w:val="en-GB"/>
              </w:rPr>
            </w:pPr>
            <w:r>
              <w:rPr>
                <w:rFonts w:asciiTheme="minorHAnsi" w:eastAsia="Arial" w:hAnsiTheme="minorHAnsi" w:cstheme="minorHAnsi"/>
                <w:noProof/>
                <w:kern w:val="24"/>
                <w:lang w:val="en-GB"/>
              </w:rPr>
              <w:t>Partially</w:t>
            </w:r>
          </w:p>
          <w:p w14:paraId="6DE5A7F0" w14:textId="77777777" w:rsidR="00946CD5" w:rsidRDefault="00946CD5" w:rsidP="001202C0">
            <w:pPr>
              <w:pStyle w:val="NormalWeb"/>
              <w:spacing w:before="60" w:beforeAutospacing="0" w:after="0" w:afterAutospacing="0"/>
              <w:rPr>
                <w:rFonts w:asciiTheme="minorHAnsi" w:eastAsia="Arial" w:hAnsiTheme="minorHAnsi" w:cstheme="minorHAnsi"/>
                <w:noProof/>
                <w:kern w:val="24"/>
                <w:lang w:val="en-GB"/>
              </w:rPr>
            </w:pPr>
          </w:p>
          <w:p w14:paraId="09F46A65" w14:textId="714B3964" w:rsidR="00C956D6" w:rsidRPr="00A9454D" w:rsidRDefault="001202C0" w:rsidP="001202C0">
            <w:pPr>
              <w:pStyle w:val="NormalWeb"/>
              <w:spacing w:before="60" w:beforeAutospacing="0" w:after="0" w:afterAutospacing="0"/>
              <w:rPr>
                <w:rFonts w:asciiTheme="minorHAnsi" w:eastAsia="Arial" w:hAnsiTheme="minorHAnsi" w:cstheme="minorHAnsi"/>
                <w:noProof/>
                <w:kern w:val="24"/>
                <w:lang w:val="en-GB"/>
              </w:rPr>
            </w:pPr>
            <w:r w:rsidRPr="00A9454D">
              <w:rPr>
                <w:rFonts w:asciiTheme="minorHAnsi" w:eastAsia="Arial" w:hAnsiTheme="minorHAnsi" w:cstheme="minorHAnsi"/>
                <w:noProof/>
                <w:kern w:val="24"/>
                <w:lang w:val="en-GB"/>
              </w:rPr>
              <w:t xml:space="preserve">We are of the view that the requirements in article 6 (4) of the draft RTS are sufficient to </w:t>
            </w:r>
            <w:r w:rsidRPr="00A9454D">
              <w:rPr>
                <w:rFonts w:asciiTheme="minorHAnsi" w:eastAsia="Arial" w:hAnsiTheme="minorHAnsi" w:cstheme="minorHAnsi"/>
                <w:kern w:val="24"/>
                <w:lang w:val="en-GB"/>
              </w:rPr>
              <w:t xml:space="preserve">capture in a clear and correct manner all necessary information about the functioning of proprietary DLT or other similar technology where ART are issued, transferred and stored and that is operated by the issuer or a </w:t>
            </w:r>
            <w:proofErr w:type="gramStart"/>
            <w:r w:rsidRPr="00A9454D">
              <w:rPr>
                <w:rFonts w:asciiTheme="minorHAnsi" w:eastAsia="Arial" w:hAnsiTheme="minorHAnsi" w:cstheme="minorHAnsi"/>
                <w:kern w:val="24"/>
                <w:lang w:val="en-GB"/>
              </w:rPr>
              <w:t>third party</w:t>
            </w:r>
            <w:proofErr w:type="gramEnd"/>
            <w:r w:rsidRPr="00A9454D">
              <w:rPr>
                <w:rFonts w:asciiTheme="minorHAnsi" w:eastAsia="Arial" w:hAnsiTheme="minorHAnsi" w:cstheme="minorHAnsi"/>
                <w:kern w:val="24"/>
                <w:lang w:val="en-GB"/>
              </w:rPr>
              <w:t xml:space="preserve"> operator acting on the issuer’s behalf</w:t>
            </w:r>
            <w:r w:rsidRPr="00A9454D">
              <w:rPr>
                <w:rFonts w:asciiTheme="minorHAnsi" w:eastAsia="Arial" w:hAnsiTheme="minorHAnsi" w:cstheme="minorHAnsi"/>
                <w:noProof/>
                <w:kern w:val="24"/>
                <w:lang w:val="en-GB"/>
              </w:rPr>
              <w:t xml:space="preserve">. </w:t>
            </w:r>
            <w:r w:rsidR="00541C36" w:rsidRPr="00A9454D">
              <w:rPr>
                <w:rFonts w:asciiTheme="minorHAnsi" w:eastAsia="Arial" w:hAnsiTheme="minorHAnsi" w:cstheme="minorHAnsi"/>
                <w:noProof/>
                <w:kern w:val="24"/>
                <w:lang w:val="en-GB"/>
              </w:rPr>
              <w:br/>
            </w:r>
          </w:p>
          <w:p w14:paraId="05FCE4FF" w14:textId="77777777" w:rsidR="00946CD5" w:rsidRPr="009D4018" w:rsidRDefault="00946CD5" w:rsidP="00946CD5">
            <w:pPr>
              <w:rPr>
                <w:rFonts w:cstheme="minorHAnsi"/>
                <w:lang w:val="en-GB"/>
              </w:rPr>
            </w:pPr>
            <w:r>
              <w:rPr>
                <w:rFonts w:cstheme="minorHAnsi"/>
                <w:lang w:val="en-GB"/>
              </w:rPr>
              <w:lastRenderedPageBreak/>
              <w:t>However, concerning the</w:t>
            </w:r>
            <w:r w:rsidRPr="00E852A3">
              <w:rPr>
                <w:rFonts w:cstheme="minorHAnsi"/>
                <w:lang w:val="en-GB"/>
              </w:rPr>
              <w:t xml:space="preserve"> </w:t>
            </w:r>
            <w:r w:rsidRPr="009D4018">
              <w:rPr>
                <w:rFonts w:cstheme="minorHAnsi"/>
                <w:lang w:val="en-GB"/>
              </w:rPr>
              <w:t>Article 6(4)</w:t>
            </w:r>
            <w:r>
              <w:rPr>
                <w:rFonts w:cstheme="minorHAnsi"/>
                <w:lang w:val="en-GB"/>
              </w:rPr>
              <w:t xml:space="preserve">, </w:t>
            </w:r>
            <w:r w:rsidRPr="009D4018">
              <w:rPr>
                <w:rFonts w:cstheme="minorHAnsi"/>
                <w:lang w:val="en-GB"/>
              </w:rPr>
              <w:t xml:space="preserve">to limit the risk of confusion and diverging interpretations by competent authorities, it would be useful to clarify in article 6 (4) of the draft RTS or at least </w:t>
            </w:r>
            <w:r>
              <w:rPr>
                <w:rFonts w:cstheme="minorHAnsi"/>
                <w:lang w:val="en-GB"/>
              </w:rPr>
              <w:t>i</w:t>
            </w:r>
            <w:r w:rsidRPr="009D4018">
              <w:rPr>
                <w:rFonts w:cstheme="minorHAnsi"/>
                <w:lang w:val="en-GB"/>
              </w:rPr>
              <w:t xml:space="preserve">n a recital of the draft RTS that these requirements do not apply when the ART are issued, </w:t>
            </w:r>
            <w:proofErr w:type="gramStart"/>
            <w:r w:rsidRPr="009D4018">
              <w:rPr>
                <w:rFonts w:cstheme="minorHAnsi"/>
                <w:lang w:val="en-GB"/>
              </w:rPr>
              <w:t>stored</w:t>
            </w:r>
            <w:proofErr w:type="gramEnd"/>
            <w:r w:rsidRPr="009D4018">
              <w:rPr>
                <w:rFonts w:cstheme="minorHAnsi"/>
                <w:lang w:val="en-GB"/>
              </w:rPr>
              <w:t xml:space="preserve"> and transferred using a public blockchain (whether it is permissioned or permissionless)</w:t>
            </w:r>
            <w:r>
              <w:rPr>
                <w:rFonts w:cstheme="minorHAnsi"/>
                <w:lang w:val="en-GB"/>
              </w:rPr>
              <w:t>.</w:t>
            </w:r>
          </w:p>
          <w:p w14:paraId="0B99BBAB" w14:textId="77777777" w:rsidR="001202C0" w:rsidRPr="00A9454D" w:rsidRDefault="001202C0" w:rsidP="001202C0">
            <w:pPr>
              <w:pStyle w:val="NormalWeb"/>
              <w:spacing w:before="60" w:beforeAutospacing="0" w:after="0" w:afterAutospacing="0"/>
              <w:rPr>
                <w:rFonts w:asciiTheme="minorHAnsi" w:eastAsia="Arial" w:hAnsiTheme="minorHAnsi" w:cstheme="minorHAnsi"/>
                <w:noProof/>
                <w:kern w:val="24"/>
              </w:rPr>
            </w:pPr>
          </w:p>
        </w:tc>
      </w:tr>
      <w:tr w:rsidR="00F13134" w:rsidRPr="00F13134" w14:paraId="5CDBAFE9" w14:textId="77777777" w:rsidTr="000961C1">
        <w:trPr>
          <w:trHeight w:val="679"/>
          <w:jc w:val="center"/>
        </w:trPr>
        <w:tc>
          <w:tcPr>
            <w:tcW w:w="5000" w:type="pct"/>
          </w:tcPr>
          <w:p w14:paraId="4731CEEA" w14:textId="3BC85702" w:rsidR="00916833" w:rsidRPr="00A9454D" w:rsidRDefault="001202C0" w:rsidP="00A3093E">
            <w:pPr>
              <w:pStyle w:val="NormalWeb"/>
              <w:spacing w:before="60"/>
              <w:jc w:val="both"/>
              <w:rPr>
                <w:rFonts w:asciiTheme="minorHAnsi" w:hAnsiTheme="minorHAnsi" w:cstheme="minorHAnsi"/>
              </w:rPr>
            </w:pPr>
            <w:r w:rsidRPr="00A9454D">
              <w:rPr>
                <w:rFonts w:asciiTheme="minorHAnsi" w:hAnsiTheme="minorHAnsi" w:cstheme="minorHAnsi"/>
                <w:b/>
                <w:bCs/>
                <w:lang w:val="en-GB"/>
              </w:rPr>
              <w:lastRenderedPageBreak/>
              <w:t>Q4</w:t>
            </w:r>
            <w:r w:rsidRPr="00A9454D">
              <w:rPr>
                <w:rFonts w:asciiTheme="minorHAnsi" w:hAnsiTheme="minorHAnsi" w:cstheme="minorHAnsi"/>
                <w:lang w:val="en-GB"/>
              </w:rPr>
              <w:t xml:space="preserve">: </w:t>
            </w:r>
            <w:r w:rsidRPr="00A9454D">
              <w:rPr>
                <w:rFonts w:asciiTheme="minorHAnsi" w:hAnsiTheme="minorHAnsi" w:cstheme="minorHAnsi"/>
                <w:b/>
                <w:bCs/>
                <w:lang w:val="en-GB"/>
              </w:rPr>
              <w:t>Do you consider that the information requirements about the policies and procedures on the composition and management of the reserve of assets, as well as on the custody and investment of the reserve of assets are sufficiently clear and comprehensive?</w:t>
            </w:r>
            <w:r w:rsidRPr="00A9454D">
              <w:rPr>
                <w:rFonts w:asciiTheme="minorHAnsi" w:hAnsiTheme="minorHAnsi" w:cstheme="minorHAnsi"/>
                <w:lang w:val="en-GB"/>
              </w:rPr>
              <w:t xml:space="preserve"> </w:t>
            </w:r>
          </w:p>
        </w:tc>
      </w:tr>
      <w:tr w:rsidR="00F13134" w:rsidRPr="00F13134" w14:paraId="3776B968" w14:textId="77777777" w:rsidTr="000961C1">
        <w:trPr>
          <w:trHeight w:val="679"/>
          <w:jc w:val="center"/>
        </w:trPr>
        <w:tc>
          <w:tcPr>
            <w:tcW w:w="5000" w:type="pct"/>
          </w:tcPr>
          <w:p w14:paraId="5B17BC2F" w14:textId="77777777" w:rsidR="001202C0" w:rsidRPr="00A9454D" w:rsidRDefault="001202C0" w:rsidP="00A3093E">
            <w:pPr>
              <w:pStyle w:val="NormalWeb"/>
              <w:jc w:val="both"/>
              <w:rPr>
                <w:rFonts w:asciiTheme="minorHAnsi" w:eastAsia="Arial" w:hAnsiTheme="minorHAnsi" w:cstheme="minorHAnsi"/>
                <w:noProof/>
                <w:kern w:val="24"/>
                <w:lang w:val="en-GB"/>
              </w:rPr>
            </w:pPr>
            <w:r w:rsidRPr="00A9454D">
              <w:rPr>
                <w:rFonts w:asciiTheme="minorHAnsi" w:eastAsia="Arial" w:hAnsiTheme="minorHAnsi" w:cstheme="minorHAnsi"/>
                <w:noProof/>
                <w:kern w:val="24"/>
                <w:lang w:val="en-GB"/>
              </w:rPr>
              <w:t>We are of the view that the requirements in article 7 of the draft RTS are sufficiently clear and comprehensive regarding the information to be provided about the policies and procedures on the composition and management of the reserve of assets, as well as on the custody and investment of the reserve of assets</w:t>
            </w:r>
            <w:r w:rsidR="00A3093E" w:rsidRPr="00A9454D">
              <w:rPr>
                <w:rFonts w:asciiTheme="minorHAnsi" w:eastAsia="Arial" w:hAnsiTheme="minorHAnsi" w:cstheme="minorHAnsi"/>
                <w:noProof/>
                <w:kern w:val="24"/>
                <w:lang w:val="en-GB"/>
              </w:rPr>
              <w:t>.</w:t>
            </w:r>
          </w:p>
          <w:p w14:paraId="5C796078" w14:textId="031DC080" w:rsidR="009B3D9A" w:rsidRPr="00A9454D" w:rsidRDefault="009B3D9A" w:rsidP="00A3093E">
            <w:pPr>
              <w:pStyle w:val="NormalWeb"/>
              <w:jc w:val="both"/>
              <w:rPr>
                <w:rFonts w:asciiTheme="minorHAnsi" w:eastAsia="Arial" w:hAnsiTheme="minorHAnsi" w:cstheme="minorHAnsi"/>
                <w:noProof/>
                <w:kern w:val="24"/>
              </w:rPr>
            </w:pPr>
          </w:p>
        </w:tc>
      </w:tr>
      <w:tr w:rsidR="00F13134" w:rsidRPr="00F13134" w14:paraId="294FC56B" w14:textId="77777777" w:rsidTr="000961C1">
        <w:trPr>
          <w:trHeight w:val="679"/>
          <w:jc w:val="center"/>
        </w:trPr>
        <w:tc>
          <w:tcPr>
            <w:tcW w:w="5000" w:type="pct"/>
          </w:tcPr>
          <w:p w14:paraId="12538631" w14:textId="1E350A71" w:rsidR="001202C0" w:rsidRPr="00A9454D" w:rsidRDefault="001202C0" w:rsidP="001168D6">
            <w:pPr>
              <w:pStyle w:val="NormalWeb"/>
              <w:spacing w:before="60"/>
              <w:jc w:val="both"/>
              <w:rPr>
                <w:rFonts w:asciiTheme="minorHAnsi" w:hAnsiTheme="minorHAnsi" w:cstheme="minorHAnsi"/>
                <w:b/>
                <w:bCs/>
                <w:lang w:val="en-GB"/>
              </w:rPr>
            </w:pPr>
            <w:r w:rsidRPr="00A9454D">
              <w:rPr>
                <w:rFonts w:asciiTheme="minorHAnsi" w:hAnsiTheme="minorHAnsi" w:cstheme="minorHAnsi"/>
                <w:b/>
                <w:bCs/>
                <w:lang w:val="en-GB"/>
              </w:rPr>
              <w:t>Q5. Do you agree with the general content and level of detail of the information to be contained in the application?</w:t>
            </w:r>
            <w:r w:rsidR="00177222" w:rsidRPr="00A9454D">
              <w:rPr>
                <w:rFonts w:asciiTheme="minorHAnsi" w:hAnsiTheme="minorHAnsi" w:cstheme="minorHAnsi"/>
                <w:b/>
                <w:bCs/>
                <w:lang w:val="en-GB"/>
              </w:rPr>
              <w:t xml:space="preserve"> </w:t>
            </w:r>
          </w:p>
        </w:tc>
      </w:tr>
      <w:tr w:rsidR="00F13134" w:rsidRPr="00F13134" w14:paraId="0D4B12EA" w14:textId="77777777" w:rsidTr="000961C1">
        <w:trPr>
          <w:trHeight w:val="679"/>
          <w:jc w:val="center"/>
        </w:trPr>
        <w:tc>
          <w:tcPr>
            <w:tcW w:w="5000" w:type="pct"/>
          </w:tcPr>
          <w:p w14:paraId="2580207D" w14:textId="77777777" w:rsidR="00177222" w:rsidRPr="00A9454D" w:rsidRDefault="00177222" w:rsidP="00177222">
            <w:pPr>
              <w:pStyle w:val="NormalWeb"/>
              <w:spacing w:before="60"/>
              <w:rPr>
                <w:rFonts w:asciiTheme="minorHAnsi" w:eastAsia="Arial" w:hAnsiTheme="minorHAnsi" w:cstheme="minorHAnsi"/>
                <w:noProof/>
                <w:kern w:val="24"/>
              </w:rPr>
            </w:pPr>
            <w:r w:rsidRPr="00A9454D">
              <w:rPr>
                <w:rFonts w:asciiTheme="minorHAnsi" w:eastAsia="Arial" w:hAnsiTheme="minorHAnsi" w:cstheme="minorHAnsi"/>
                <w:noProof/>
                <w:kern w:val="24"/>
              </w:rPr>
              <w:t>As a matter of principle, we agree with the general content and level of detail of the information to be contained in the application as further detailed in articles 2 to 9 of the draft RTS. However, based on our experience with authorisation processes for other types of financial institutions, certain of the requirements set out in the draft RTS, while being relatively detailed, could still give rise to divergent interpretations by competent authorities and it would therefore be worth clarifying such requirements to limit the risk of forum shopping, either in the draft RTS or in the draft ITS. In particular, the following elements of the draft RTS would require clarifications:</w:t>
            </w:r>
          </w:p>
          <w:p w14:paraId="277D7041" w14:textId="53A376C8" w:rsidR="00177222" w:rsidRPr="00A9454D" w:rsidRDefault="00177222" w:rsidP="00F13134">
            <w:pPr>
              <w:pStyle w:val="NormalWeb"/>
              <w:numPr>
                <w:ilvl w:val="0"/>
                <w:numId w:val="2"/>
              </w:numPr>
              <w:spacing w:before="60"/>
              <w:rPr>
                <w:rFonts w:asciiTheme="minorHAnsi" w:eastAsia="Arial" w:hAnsiTheme="minorHAnsi" w:cstheme="minorHAnsi"/>
                <w:noProof/>
                <w:kern w:val="24"/>
              </w:rPr>
            </w:pPr>
            <w:r w:rsidRPr="00A9454D">
              <w:rPr>
                <w:rFonts w:asciiTheme="minorHAnsi" w:eastAsia="Arial" w:hAnsiTheme="minorHAnsi" w:cstheme="minorHAnsi"/>
                <w:noProof/>
                <w:kern w:val="24"/>
              </w:rPr>
              <w:t>article 8 (1) (e): requesting criminal records of proposed members of the management body in respect of the nationality(ies) and places of residence of the last ten years may prove relatively cumbersome (especially where the relevant person has to request a criminal record in a country in which it is no longer residing as this is not always possible). Also, it would be worth clarifying that (i) n case of residence in a federal State a criminal record should only be obtained in the State in which the person is residing and not in all States constituting that federal State and (ii) criminal records, when available, do not have to be supplemented by other types of background checks (such as FBI checks). Finally in order to ensure consistency with the requirements in other pieces of financial legislation, the reference period should be the last five years instead of the last ten years</w:t>
            </w:r>
          </w:p>
          <w:p w14:paraId="26E9F358" w14:textId="54387827" w:rsidR="00177222" w:rsidRPr="00A9454D" w:rsidRDefault="00177222" w:rsidP="00177222">
            <w:pPr>
              <w:pStyle w:val="NormalWeb"/>
              <w:numPr>
                <w:ilvl w:val="0"/>
                <w:numId w:val="2"/>
              </w:numPr>
              <w:spacing w:before="60"/>
              <w:rPr>
                <w:rFonts w:asciiTheme="minorHAnsi" w:eastAsia="Arial" w:hAnsiTheme="minorHAnsi" w:cstheme="minorHAnsi"/>
                <w:noProof/>
                <w:kern w:val="24"/>
              </w:rPr>
            </w:pPr>
            <w:r w:rsidRPr="00A9454D">
              <w:rPr>
                <w:rFonts w:asciiTheme="minorHAnsi" w:eastAsia="Arial" w:hAnsiTheme="minorHAnsi" w:cstheme="minorHAnsi"/>
                <w:noProof/>
                <w:kern w:val="24"/>
              </w:rPr>
              <w:t>article 8 (1) (f)(v): the concept of “positions of international, national or local political influence” should be clarified, for instance by cross-referring to the concept of politically exposed persons in the AML Directive</w:t>
            </w:r>
          </w:p>
          <w:p w14:paraId="4D16E820" w14:textId="7D79B03A" w:rsidR="00177222" w:rsidRPr="00A9454D" w:rsidRDefault="00177222" w:rsidP="00177222">
            <w:pPr>
              <w:pStyle w:val="NormalWeb"/>
              <w:numPr>
                <w:ilvl w:val="0"/>
                <w:numId w:val="2"/>
              </w:numPr>
              <w:spacing w:before="60"/>
              <w:rPr>
                <w:rFonts w:asciiTheme="minorHAnsi" w:eastAsia="Arial" w:hAnsiTheme="minorHAnsi" w:cstheme="minorHAnsi"/>
                <w:noProof/>
                <w:kern w:val="24"/>
              </w:rPr>
            </w:pPr>
            <w:r w:rsidRPr="00A9454D">
              <w:rPr>
                <w:rFonts w:asciiTheme="minorHAnsi" w:eastAsia="Arial" w:hAnsiTheme="minorHAnsi" w:cstheme="minorHAnsi"/>
                <w:noProof/>
                <w:kern w:val="24"/>
              </w:rPr>
              <w:t>article 8 (1) (g)(v): the types of responsibilities that should be described should be clarified. Shall this cover only responsibilities involving management tasks ?</w:t>
            </w:r>
          </w:p>
          <w:p w14:paraId="06BC75BF" w14:textId="77777777" w:rsidR="001202C0" w:rsidRPr="00A9454D" w:rsidRDefault="00177222" w:rsidP="00177222">
            <w:pPr>
              <w:pStyle w:val="NormalWeb"/>
              <w:numPr>
                <w:ilvl w:val="0"/>
                <w:numId w:val="2"/>
              </w:numPr>
              <w:spacing w:before="60" w:beforeAutospacing="0" w:after="0" w:afterAutospacing="0"/>
              <w:rPr>
                <w:rFonts w:asciiTheme="minorHAnsi" w:eastAsia="Arial" w:hAnsiTheme="minorHAnsi" w:cstheme="minorHAnsi"/>
                <w:noProof/>
                <w:kern w:val="24"/>
              </w:rPr>
            </w:pPr>
            <w:r w:rsidRPr="00A9454D">
              <w:rPr>
                <w:rFonts w:asciiTheme="minorHAnsi" w:eastAsia="Arial" w:hAnsiTheme="minorHAnsi" w:cstheme="minorHAnsi"/>
                <w:noProof/>
                <w:kern w:val="24"/>
                <w:lang w:val="en-US"/>
              </w:rPr>
              <w:t>article 8 (5): the concept of minimum requisite experience should be clarified</w:t>
            </w:r>
          </w:p>
          <w:p w14:paraId="06FDE15A" w14:textId="77777777" w:rsidR="00A70B1B" w:rsidRPr="00A9454D" w:rsidRDefault="00A70B1B" w:rsidP="00A70B1B">
            <w:pPr>
              <w:pStyle w:val="ListParagraph"/>
              <w:rPr>
                <w:rFonts w:eastAsia="Arial" w:cstheme="minorHAnsi"/>
                <w:noProof/>
                <w:kern w:val="24"/>
                <w:lang w:val="en-LU"/>
              </w:rPr>
            </w:pPr>
          </w:p>
          <w:p w14:paraId="08BE72E9" w14:textId="5C9CF17F" w:rsidR="00A70B1B" w:rsidRPr="00A9454D" w:rsidRDefault="00A70B1B" w:rsidP="00A70B1B">
            <w:pPr>
              <w:pStyle w:val="NormalWeb"/>
              <w:spacing w:before="60" w:beforeAutospacing="0" w:after="0" w:afterAutospacing="0"/>
              <w:ind w:left="720"/>
              <w:rPr>
                <w:rFonts w:asciiTheme="minorHAnsi" w:eastAsia="Arial" w:hAnsiTheme="minorHAnsi" w:cstheme="minorHAnsi"/>
                <w:noProof/>
                <w:kern w:val="24"/>
              </w:rPr>
            </w:pPr>
          </w:p>
        </w:tc>
      </w:tr>
      <w:tr w:rsidR="00F13134" w:rsidRPr="00F13134" w14:paraId="56E2C3F6" w14:textId="77777777" w:rsidTr="000961C1">
        <w:trPr>
          <w:trHeight w:val="679"/>
          <w:jc w:val="center"/>
        </w:trPr>
        <w:tc>
          <w:tcPr>
            <w:tcW w:w="5000" w:type="pct"/>
          </w:tcPr>
          <w:p w14:paraId="389568D0" w14:textId="57E7E540" w:rsidR="00177222" w:rsidRPr="00A9454D" w:rsidRDefault="00177222" w:rsidP="00F13134">
            <w:pPr>
              <w:pStyle w:val="NormalWeb"/>
              <w:spacing w:before="60"/>
              <w:jc w:val="both"/>
              <w:rPr>
                <w:rFonts w:asciiTheme="minorHAnsi" w:hAnsiTheme="minorHAnsi" w:cstheme="minorHAnsi"/>
                <w:b/>
                <w:bCs/>
                <w:lang w:val="en-GB"/>
              </w:rPr>
            </w:pPr>
            <w:r w:rsidRPr="00A9454D">
              <w:rPr>
                <w:rFonts w:asciiTheme="minorHAnsi" w:hAnsiTheme="minorHAnsi" w:cstheme="minorHAnsi"/>
                <w:b/>
                <w:bCs/>
                <w:lang w:val="en-GB"/>
              </w:rPr>
              <w:lastRenderedPageBreak/>
              <w:t>Q6: Do you consider that Annex II to the ITS is sufficiently clear in the identification of the information requested for each field and sub-field?</w:t>
            </w:r>
          </w:p>
        </w:tc>
      </w:tr>
      <w:tr w:rsidR="00F13134" w:rsidRPr="00F13134" w14:paraId="39693D10" w14:textId="77777777" w:rsidTr="000961C1">
        <w:trPr>
          <w:trHeight w:val="679"/>
          <w:jc w:val="center"/>
        </w:trPr>
        <w:tc>
          <w:tcPr>
            <w:tcW w:w="5000" w:type="pct"/>
          </w:tcPr>
          <w:p w14:paraId="790F1E3E" w14:textId="7652AC5A" w:rsidR="00177222" w:rsidRPr="00A9454D" w:rsidRDefault="00177222" w:rsidP="00177222">
            <w:pPr>
              <w:pStyle w:val="NormalWeb"/>
              <w:spacing w:before="60" w:beforeAutospacing="0" w:after="0" w:afterAutospacing="0"/>
              <w:rPr>
                <w:rFonts w:asciiTheme="minorHAnsi" w:eastAsia="Arial" w:hAnsiTheme="minorHAnsi" w:cstheme="minorHAnsi"/>
                <w:noProof/>
                <w:kern w:val="24"/>
                <w:lang w:val="en-GB"/>
              </w:rPr>
            </w:pPr>
            <w:r w:rsidRPr="00A9454D">
              <w:rPr>
                <w:rFonts w:asciiTheme="minorHAnsi" w:eastAsia="Arial" w:hAnsiTheme="minorHAnsi" w:cstheme="minorHAnsi"/>
                <w:noProof/>
                <w:kern w:val="24"/>
                <w:lang w:val="en-GB"/>
              </w:rPr>
              <w:t>As a matter of principle, we are of the view that Annex II to the ITS is sufficiently clear in the identification of the information requested for each field and sub-field. However, we refer to our answer to question 5 regarding certain elements to be clarified.</w:t>
            </w:r>
          </w:p>
          <w:p w14:paraId="24387708" w14:textId="77777777" w:rsidR="00F13134" w:rsidRPr="00A9454D" w:rsidRDefault="00F13134" w:rsidP="00177222">
            <w:pPr>
              <w:pStyle w:val="NormalWeb"/>
              <w:spacing w:before="60" w:beforeAutospacing="0" w:after="0" w:afterAutospacing="0"/>
              <w:rPr>
                <w:rFonts w:asciiTheme="minorHAnsi" w:hAnsiTheme="minorHAnsi" w:cstheme="minorHAnsi"/>
              </w:rPr>
            </w:pPr>
          </w:p>
          <w:p w14:paraId="1D3357DE" w14:textId="77777777" w:rsidR="001168D6" w:rsidRPr="00A9454D" w:rsidRDefault="00177222" w:rsidP="00F13134">
            <w:pPr>
              <w:pStyle w:val="NormalWeb"/>
              <w:spacing w:before="60" w:beforeAutospacing="0" w:after="0" w:afterAutospacing="0"/>
              <w:rPr>
                <w:rFonts w:asciiTheme="minorHAnsi" w:eastAsia="Arial" w:hAnsiTheme="minorHAnsi" w:cstheme="minorHAnsi"/>
                <w:noProof/>
                <w:kern w:val="24"/>
                <w:lang w:val="en-GB"/>
              </w:rPr>
            </w:pPr>
            <w:r w:rsidRPr="00A9454D">
              <w:rPr>
                <w:rFonts w:asciiTheme="minorHAnsi" w:eastAsia="Arial" w:hAnsiTheme="minorHAnsi" w:cstheme="minorHAnsi"/>
                <w:noProof/>
                <w:kern w:val="24"/>
                <w:lang w:val="en-GB"/>
              </w:rPr>
              <w:t>Furthermore, we note that pursuant to article 1 and article 2 of the draft ITS, competent authorities may request that information be submitted in paper form and that if they do so the application shall not be considered as complete until the receipt of the information in paper form. In addition, in case of missing</w:t>
            </w:r>
            <w:r w:rsidR="00F13134" w:rsidRPr="00A9454D">
              <w:rPr>
                <w:rFonts w:asciiTheme="minorHAnsi" w:eastAsia="Arial" w:hAnsiTheme="minorHAnsi" w:cstheme="minorHAnsi"/>
                <w:noProof/>
                <w:kern w:val="24"/>
                <w:lang w:val="en-GB"/>
              </w:rPr>
              <w:t xml:space="preserve"> </w:t>
            </w:r>
            <w:r w:rsidRPr="00A9454D">
              <w:rPr>
                <w:rFonts w:asciiTheme="minorHAnsi" w:eastAsia="Arial" w:hAnsiTheme="minorHAnsi" w:cstheme="minorHAnsi"/>
                <w:noProof/>
                <w:kern w:val="24"/>
                <w:lang w:val="en-GB"/>
              </w:rPr>
              <w:t xml:space="preserve"> information, the competent authority may notify the applicant in paper format. The fact that the assessment process may differ depending on the discretion of competent authorities as to the possibility to request information in paper form (and without clear harmonised list of the information that can be requested in such format) creates a risk of forum shopping and could therefore affect the level-playing field within the EU. Therefore, either this possibility should be deleted or the circumstances in which competent authorities may exercise this right should be harmonised. If these provisions are maintained as such, it should at a minimum be specified that competent authorities may request information to be provided in original in paper form only where available (for instance, criminal records may be available only in electronic format in certain jurisdictions)</w:t>
            </w:r>
            <w:r w:rsidR="00F13134" w:rsidRPr="00A9454D">
              <w:rPr>
                <w:rFonts w:asciiTheme="minorHAnsi" w:eastAsia="Arial" w:hAnsiTheme="minorHAnsi" w:cstheme="minorHAnsi"/>
                <w:noProof/>
                <w:kern w:val="24"/>
                <w:lang w:val="en-GB"/>
              </w:rPr>
              <w:t>.</w:t>
            </w:r>
          </w:p>
          <w:p w14:paraId="14615E65" w14:textId="77777777" w:rsidR="00C91314" w:rsidRPr="00A9454D" w:rsidRDefault="00C91314" w:rsidP="00F13134">
            <w:pPr>
              <w:pStyle w:val="NormalWeb"/>
              <w:spacing w:before="60" w:beforeAutospacing="0" w:after="0" w:afterAutospacing="0"/>
              <w:rPr>
                <w:rFonts w:asciiTheme="minorHAnsi" w:eastAsia="Arial" w:hAnsiTheme="minorHAnsi" w:cstheme="minorHAnsi"/>
                <w:noProof/>
                <w:kern w:val="24"/>
                <w:lang w:val="en-GB"/>
              </w:rPr>
            </w:pPr>
          </w:p>
          <w:p w14:paraId="7BBDBF85" w14:textId="4D034982" w:rsidR="00F13134" w:rsidRPr="00A9454D" w:rsidRDefault="00F13134" w:rsidP="00F13134">
            <w:pPr>
              <w:pStyle w:val="NormalWeb"/>
              <w:spacing w:before="60" w:beforeAutospacing="0" w:after="0" w:afterAutospacing="0"/>
              <w:rPr>
                <w:rFonts w:asciiTheme="minorHAnsi" w:eastAsia="Arial" w:hAnsiTheme="minorHAnsi" w:cstheme="minorHAnsi"/>
                <w:noProof/>
                <w:kern w:val="24"/>
              </w:rPr>
            </w:pPr>
          </w:p>
        </w:tc>
      </w:tr>
    </w:tbl>
    <w:p w14:paraId="72F873BB" w14:textId="77777777" w:rsidR="00916833" w:rsidRPr="00F13134" w:rsidRDefault="00916833" w:rsidP="00916833">
      <w:pPr>
        <w:rPr>
          <w:rFonts w:asciiTheme="majorHAnsi" w:hAnsiTheme="majorHAnsi" w:cstheme="majorHAnsi"/>
        </w:rPr>
      </w:pPr>
    </w:p>
    <w:p w14:paraId="407CB0F7" w14:textId="77777777" w:rsidR="00916833" w:rsidRPr="00037EAA" w:rsidRDefault="00916833" w:rsidP="00916833">
      <w:pPr>
        <w:rPr>
          <w:rFonts w:asciiTheme="majorHAnsi" w:hAnsiTheme="majorHAnsi" w:cstheme="majorHAnsi"/>
          <w:lang w:val="en-GB"/>
        </w:rPr>
      </w:pPr>
    </w:p>
    <w:p w14:paraId="0A9DBA17" w14:textId="77777777" w:rsidR="00916833" w:rsidRPr="00212A52" w:rsidRDefault="00916833" w:rsidP="00916833">
      <w:pPr>
        <w:rPr>
          <w:rFonts w:asciiTheme="majorHAnsi" w:hAnsiTheme="majorHAnsi" w:cstheme="majorHAnsi"/>
          <w:lang w:val="en-GB"/>
        </w:rPr>
      </w:pPr>
    </w:p>
    <w:p w14:paraId="5FF8CD56" w14:textId="77777777" w:rsidR="00916833" w:rsidRPr="00212A52" w:rsidRDefault="00916833" w:rsidP="00916833">
      <w:pPr>
        <w:rPr>
          <w:rFonts w:asciiTheme="majorHAnsi" w:hAnsiTheme="majorHAnsi" w:cstheme="majorHAnsi"/>
          <w:lang w:val="en-GB"/>
        </w:rPr>
      </w:pPr>
      <w:r w:rsidRPr="00212A52">
        <w:rPr>
          <w:rFonts w:asciiTheme="majorHAnsi" w:hAnsiTheme="majorHAnsi" w:cstheme="majorHAnsi"/>
          <w:lang w:val="en-GB"/>
        </w:rPr>
        <w:t xml:space="preserve">Contacts: </w:t>
      </w:r>
      <w:hyperlink r:id="rId11" w:history="1">
        <w:r w:rsidRPr="00212A52">
          <w:rPr>
            <w:rStyle w:val="Hyperlink"/>
            <w:rFonts w:asciiTheme="majorHAnsi" w:hAnsiTheme="majorHAnsi" w:cstheme="majorHAnsi"/>
            <w:lang w:val="en-GB"/>
          </w:rPr>
          <w:t>digital@abbl.lu</w:t>
        </w:r>
      </w:hyperlink>
      <w:r w:rsidRPr="00212A52">
        <w:rPr>
          <w:rFonts w:asciiTheme="majorHAnsi" w:hAnsiTheme="majorHAnsi" w:cstheme="majorHAnsi"/>
          <w:lang w:val="en-GB"/>
        </w:rPr>
        <w:t xml:space="preserve"> </w:t>
      </w:r>
    </w:p>
    <w:p w14:paraId="66EA32EF" w14:textId="77777777" w:rsidR="00916833" w:rsidRPr="00212A52" w:rsidRDefault="00916833" w:rsidP="00916833">
      <w:pPr>
        <w:rPr>
          <w:rFonts w:asciiTheme="majorHAnsi" w:hAnsiTheme="majorHAnsi" w:cstheme="majorHAnsi"/>
          <w:lang w:val="en-GB"/>
        </w:rPr>
      </w:pPr>
    </w:p>
    <w:p w14:paraId="122FFA82" w14:textId="295B3EC3" w:rsidR="008D4F9B" w:rsidRDefault="008D4F9B" w:rsidP="00D23FC5"/>
    <w:sectPr w:rsidR="008D4F9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9E14" w14:textId="77777777" w:rsidR="008E5581" w:rsidRDefault="008E5581">
      <w:r>
        <w:separator/>
      </w:r>
    </w:p>
  </w:endnote>
  <w:endnote w:type="continuationSeparator" w:id="0">
    <w:p w14:paraId="1A3EF03F" w14:textId="77777777" w:rsidR="008E5581" w:rsidRDefault="008E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CC20" w14:textId="77777777" w:rsidR="00E20597" w:rsidRDefault="00E2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CE32" w14:textId="77777777" w:rsidR="00E20597" w:rsidRDefault="00000000">
    <w:pPr>
      <w:pStyle w:val="Footer"/>
    </w:pPr>
    <w:r>
      <w:rPr>
        <w:noProof/>
      </w:rPr>
      <w:drawing>
        <wp:anchor distT="0" distB="0" distL="114300" distR="114300" simplePos="0" relativeHeight="251660288" behindDoc="1" locked="1" layoutInCell="1" allowOverlap="1" wp14:anchorId="1E6C4453" wp14:editId="3A85E8A3">
          <wp:simplePos x="0" y="0"/>
          <wp:positionH relativeFrom="page">
            <wp:posOffset>19050</wp:posOffset>
          </wp:positionH>
          <wp:positionV relativeFrom="page">
            <wp:posOffset>9775825</wp:posOffset>
          </wp:positionV>
          <wp:extent cx="7555865" cy="914400"/>
          <wp:effectExtent l="0" t="0" r="0" b="0"/>
          <wp:wrapThrough wrapText="bothSides">
            <wp:wrapPolygon edited="0">
              <wp:start x="18008" y="2400"/>
              <wp:lineTo x="1017" y="6000"/>
              <wp:lineTo x="944" y="9300"/>
              <wp:lineTo x="944" y="13200"/>
              <wp:lineTo x="1888" y="14100"/>
              <wp:lineTo x="12380" y="14100"/>
              <wp:lineTo x="20295" y="13200"/>
              <wp:lineTo x="20259" y="12600"/>
              <wp:lineTo x="20585" y="9600"/>
              <wp:lineTo x="20585" y="8400"/>
              <wp:lineTo x="20331" y="7800"/>
              <wp:lineTo x="20259" y="6300"/>
              <wp:lineTo x="19895" y="2400"/>
              <wp:lineTo x="18008" y="2400"/>
            </wp:wrapPolygon>
          </wp:wrapThrough>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srcRect t="91441"/>
                  <a:stretch/>
                </pic:blipFill>
                <pic:spPr bwMode="auto">
                  <a:xfrm>
                    <a:off x="0" y="0"/>
                    <a:ext cx="7555865"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FDC4" w14:textId="77777777" w:rsidR="00E20597" w:rsidRDefault="00E2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800E" w14:textId="77777777" w:rsidR="008E5581" w:rsidRDefault="008E5581">
      <w:r>
        <w:separator/>
      </w:r>
    </w:p>
  </w:footnote>
  <w:footnote w:type="continuationSeparator" w:id="0">
    <w:p w14:paraId="0AEFD571" w14:textId="77777777" w:rsidR="008E5581" w:rsidRDefault="008E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ABC" w14:textId="77777777" w:rsidR="00E20597" w:rsidRDefault="00E20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897E" w14:textId="77777777" w:rsidR="00E20597" w:rsidRDefault="00000000">
    <w:pPr>
      <w:pStyle w:val="Header"/>
    </w:pPr>
    <w:r>
      <w:rPr>
        <w:noProof/>
      </w:rPr>
      <w:drawing>
        <wp:anchor distT="0" distB="0" distL="114300" distR="114300" simplePos="0" relativeHeight="251659264" behindDoc="0" locked="0" layoutInCell="1" allowOverlap="1" wp14:anchorId="50F3E350" wp14:editId="37645060">
          <wp:simplePos x="0" y="0"/>
          <wp:positionH relativeFrom="column">
            <wp:posOffset>-941502</wp:posOffset>
          </wp:positionH>
          <wp:positionV relativeFrom="paragraph">
            <wp:posOffset>-330835</wp:posOffset>
          </wp:positionV>
          <wp:extent cx="3599815" cy="1180465"/>
          <wp:effectExtent l="0" t="0" r="0" b="0"/>
          <wp:wrapThrough wrapText="bothSides">
            <wp:wrapPolygon edited="0">
              <wp:start x="3429" y="6739"/>
              <wp:lineTo x="2210" y="14408"/>
              <wp:lineTo x="10135" y="14873"/>
              <wp:lineTo x="15088" y="14873"/>
              <wp:lineTo x="16308" y="12084"/>
              <wp:lineTo x="16460" y="11154"/>
              <wp:lineTo x="19356" y="10690"/>
              <wp:lineTo x="19203" y="9063"/>
              <wp:lineTo x="7163" y="6739"/>
              <wp:lineTo x="3429" y="6739"/>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9815" cy="1180465"/>
                  </a:xfrm>
                  <a:prstGeom prst="rect">
                    <a:avLst/>
                  </a:prstGeom>
                </pic:spPr>
              </pic:pic>
            </a:graphicData>
          </a:graphic>
          <wp14:sizeRelH relativeFrom="page">
            <wp14:pctWidth>0</wp14:pctWidth>
          </wp14:sizeRelH>
          <wp14:sizeRelV relativeFrom="page">
            <wp14:pctHeight>0</wp14:pctHeight>
          </wp14:sizeRelV>
        </wp:anchor>
      </w:drawing>
    </w:r>
  </w:p>
  <w:p w14:paraId="10099359" w14:textId="77777777" w:rsidR="00E20597" w:rsidRDefault="00E20597">
    <w:pPr>
      <w:pStyle w:val="Header"/>
    </w:pPr>
  </w:p>
  <w:p w14:paraId="5A667860" w14:textId="77777777" w:rsidR="00E20597" w:rsidRDefault="00E20597">
    <w:pPr>
      <w:pStyle w:val="Header"/>
    </w:pPr>
  </w:p>
  <w:p w14:paraId="2824D9D0" w14:textId="77777777" w:rsidR="00E20597" w:rsidRDefault="00E2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88A0" w14:textId="77777777" w:rsidR="00E20597" w:rsidRDefault="00E2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87E"/>
    <w:multiLevelType w:val="hybridMultilevel"/>
    <w:tmpl w:val="3F6C7F2A"/>
    <w:lvl w:ilvl="0" w:tplc="C816A6D2">
      <w:start w:val="2"/>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1CD384B"/>
    <w:multiLevelType w:val="hybridMultilevel"/>
    <w:tmpl w:val="C374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17AE"/>
    <w:multiLevelType w:val="hybridMultilevel"/>
    <w:tmpl w:val="BD7A733A"/>
    <w:lvl w:ilvl="0" w:tplc="0D60986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623941">
    <w:abstractNumId w:val="2"/>
  </w:num>
  <w:num w:numId="2" w16cid:durableId="868032323">
    <w:abstractNumId w:val="1"/>
  </w:num>
  <w:num w:numId="3" w16cid:durableId="184550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C5"/>
    <w:rsid w:val="00037EAA"/>
    <w:rsid w:val="00044163"/>
    <w:rsid w:val="000955E5"/>
    <w:rsid w:val="0009675E"/>
    <w:rsid w:val="000A2D7A"/>
    <w:rsid w:val="000D01BB"/>
    <w:rsid w:val="000E57CD"/>
    <w:rsid w:val="000F46F9"/>
    <w:rsid w:val="000F5A01"/>
    <w:rsid w:val="001168D6"/>
    <w:rsid w:val="001202C0"/>
    <w:rsid w:val="001254CC"/>
    <w:rsid w:val="00174988"/>
    <w:rsid w:val="00177222"/>
    <w:rsid w:val="001C153B"/>
    <w:rsid w:val="0020309B"/>
    <w:rsid w:val="002336C0"/>
    <w:rsid w:val="002C2C78"/>
    <w:rsid w:val="003243D8"/>
    <w:rsid w:val="003423CD"/>
    <w:rsid w:val="00360633"/>
    <w:rsid w:val="003A7F9C"/>
    <w:rsid w:val="003B0D37"/>
    <w:rsid w:val="0045017C"/>
    <w:rsid w:val="004E7952"/>
    <w:rsid w:val="00541C36"/>
    <w:rsid w:val="00573C40"/>
    <w:rsid w:val="0058067A"/>
    <w:rsid w:val="005A119B"/>
    <w:rsid w:val="006335EE"/>
    <w:rsid w:val="0065486C"/>
    <w:rsid w:val="0066501A"/>
    <w:rsid w:val="006A6A73"/>
    <w:rsid w:val="007047FD"/>
    <w:rsid w:val="007E3C01"/>
    <w:rsid w:val="00833255"/>
    <w:rsid w:val="00896503"/>
    <w:rsid w:val="008D4F9B"/>
    <w:rsid w:val="008E5581"/>
    <w:rsid w:val="0091548C"/>
    <w:rsid w:val="00916833"/>
    <w:rsid w:val="00946CD5"/>
    <w:rsid w:val="00973164"/>
    <w:rsid w:val="009753D5"/>
    <w:rsid w:val="009B3D9A"/>
    <w:rsid w:val="009D1010"/>
    <w:rsid w:val="00A26B97"/>
    <w:rsid w:val="00A3093E"/>
    <w:rsid w:val="00A70B1B"/>
    <w:rsid w:val="00A9454D"/>
    <w:rsid w:val="00B50AA7"/>
    <w:rsid w:val="00B57134"/>
    <w:rsid w:val="00C654E3"/>
    <w:rsid w:val="00C740FB"/>
    <w:rsid w:val="00C91314"/>
    <w:rsid w:val="00C956D6"/>
    <w:rsid w:val="00D23FC5"/>
    <w:rsid w:val="00D31A90"/>
    <w:rsid w:val="00D9787B"/>
    <w:rsid w:val="00DE0925"/>
    <w:rsid w:val="00DF7F1D"/>
    <w:rsid w:val="00E20597"/>
    <w:rsid w:val="00F13134"/>
    <w:rsid w:val="00F162D4"/>
    <w:rsid w:val="00F42AD4"/>
    <w:rsid w:val="00F72AF1"/>
    <w:rsid w:val="00F75234"/>
    <w:rsid w:val="00F861E6"/>
    <w:rsid w:val="00FF127F"/>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decimalSymbol w:val=","/>
  <w:listSeparator w:val=","/>
  <w14:docId w14:val="78902C8A"/>
  <w15:chartTrackingRefBased/>
  <w15:docId w15:val="{01F8CF56-19D1-614E-93A5-22314BE2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33"/>
    <w:rPr>
      <w:kern w:val="0"/>
      <w:lang w:val="en-US"/>
      <w14:ligatures w14:val="none"/>
    </w:rPr>
  </w:style>
  <w:style w:type="paragraph" w:styleId="Heading3">
    <w:name w:val="heading 3"/>
    <w:basedOn w:val="Normal"/>
    <w:next w:val="Normal"/>
    <w:link w:val="Heading3Char"/>
    <w:uiPriority w:val="9"/>
    <w:unhideWhenUsed/>
    <w:qFormat/>
    <w:rsid w:val="0091683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134"/>
    <w:pPr>
      <w:autoSpaceDE w:val="0"/>
      <w:autoSpaceDN w:val="0"/>
      <w:adjustRightInd w:val="0"/>
    </w:pPr>
    <w:rPr>
      <w:rFonts w:ascii="Calibri" w:hAnsi="Calibri" w:cs="Calibri"/>
      <w:color w:val="000000"/>
      <w:kern w:val="0"/>
      <w:lang w:val="en-US"/>
    </w:rPr>
  </w:style>
  <w:style w:type="character" w:customStyle="1" w:styleId="Heading3Char">
    <w:name w:val="Heading 3 Char"/>
    <w:basedOn w:val="DefaultParagraphFont"/>
    <w:link w:val="Heading3"/>
    <w:uiPriority w:val="9"/>
    <w:rsid w:val="00916833"/>
    <w:rPr>
      <w:rFonts w:asciiTheme="majorHAnsi" w:eastAsiaTheme="majorEastAsia" w:hAnsiTheme="majorHAnsi" w:cstheme="majorBidi"/>
      <w:color w:val="1F3763" w:themeColor="accent1" w:themeShade="7F"/>
      <w:kern w:val="0"/>
      <w:lang w:val="en-US"/>
      <w14:ligatures w14:val="none"/>
    </w:rPr>
  </w:style>
  <w:style w:type="paragraph" w:styleId="Header">
    <w:name w:val="header"/>
    <w:basedOn w:val="Normal"/>
    <w:link w:val="HeaderChar"/>
    <w:uiPriority w:val="99"/>
    <w:unhideWhenUsed/>
    <w:rsid w:val="00916833"/>
    <w:pPr>
      <w:tabs>
        <w:tab w:val="center" w:pos="4513"/>
        <w:tab w:val="right" w:pos="9026"/>
      </w:tabs>
    </w:pPr>
  </w:style>
  <w:style w:type="character" w:customStyle="1" w:styleId="HeaderChar">
    <w:name w:val="Header Char"/>
    <w:basedOn w:val="DefaultParagraphFont"/>
    <w:link w:val="Header"/>
    <w:uiPriority w:val="99"/>
    <w:rsid w:val="00916833"/>
    <w:rPr>
      <w:kern w:val="0"/>
      <w:lang w:val="en-US"/>
      <w14:ligatures w14:val="none"/>
    </w:rPr>
  </w:style>
  <w:style w:type="paragraph" w:styleId="Footer">
    <w:name w:val="footer"/>
    <w:basedOn w:val="Normal"/>
    <w:link w:val="FooterChar"/>
    <w:uiPriority w:val="99"/>
    <w:unhideWhenUsed/>
    <w:rsid w:val="00916833"/>
    <w:pPr>
      <w:tabs>
        <w:tab w:val="center" w:pos="4513"/>
        <w:tab w:val="right" w:pos="9026"/>
      </w:tabs>
    </w:pPr>
  </w:style>
  <w:style w:type="character" w:customStyle="1" w:styleId="FooterChar">
    <w:name w:val="Footer Char"/>
    <w:basedOn w:val="DefaultParagraphFont"/>
    <w:link w:val="Footer"/>
    <w:uiPriority w:val="99"/>
    <w:rsid w:val="00916833"/>
    <w:rPr>
      <w:kern w:val="0"/>
      <w:lang w:val="en-US"/>
      <w14:ligatures w14:val="none"/>
    </w:rPr>
  </w:style>
  <w:style w:type="paragraph" w:styleId="ListParagraph">
    <w:name w:val="List Paragraph"/>
    <w:aliases w:val="List Paragraph Main,List first level,Paragraphe EI,Paragraphe de liste1,EC,OBC Bullet,List Paragraph11,List Paragrap,Colorful List - Accent 12,Bullet Styl,Bullet,No Spacing11,L,Recommendation,Recommendati,Recommendatio,List Paragraph3,lp1"/>
    <w:basedOn w:val="Normal"/>
    <w:link w:val="ListParagraphChar"/>
    <w:uiPriority w:val="34"/>
    <w:qFormat/>
    <w:rsid w:val="00916833"/>
    <w:pPr>
      <w:ind w:left="720"/>
      <w:contextualSpacing/>
    </w:pPr>
  </w:style>
  <w:style w:type="character" w:customStyle="1" w:styleId="ListParagraphChar">
    <w:name w:val="List Paragraph Char"/>
    <w:aliases w:val="List Paragraph Main Char,List first level Char,Paragraphe EI Char,Paragraphe de liste1 Char,EC Char,OBC Bullet Char,List Paragraph11 Char,List Paragrap Char,Colorful List - Accent 12 Char,Bullet Styl Char,Bullet Char,L Char,lp1 Char"/>
    <w:basedOn w:val="DefaultParagraphFont"/>
    <w:link w:val="ListParagraph"/>
    <w:uiPriority w:val="34"/>
    <w:qFormat/>
    <w:locked/>
    <w:rsid w:val="00916833"/>
    <w:rPr>
      <w:kern w:val="0"/>
      <w:lang w:val="en-US"/>
      <w14:ligatures w14:val="none"/>
    </w:rPr>
  </w:style>
  <w:style w:type="character" w:styleId="Hyperlink">
    <w:name w:val="Hyperlink"/>
    <w:basedOn w:val="DefaultParagraphFont"/>
    <w:uiPriority w:val="99"/>
    <w:unhideWhenUsed/>
    <w:rsid w:val="00916833"/>
    <w:rPr>
      <w:color w:val="0563C1" w:themeColor="hyperlink"/>
      <w:u w:val="single"/>
    </w:rPr>
  </w:style>
  <w:style w:type="paragraph" w:styleId="NormalWeb">
    <w:name w:val="Normal (Web)"/>
    <w:basedOn w:val="Normal"/>
    <w:uiPriority w:val="99"/>
    <w:unhideWhenUsed/>
    <w:rsid w:val="00DE0925"/>
    <w:pPr>
      <w:spacing w:before="100" w:beforeAutospacing="1" w:after="100" w:afterAutospacing="1"/>
    </w:pPr>
    <w:rPr>
      <w:rFonts w:ascii="Times New Roman" w:eastAsia="Times New Roman" w:hAnsi="Times New Roman" w:cs="Times New Roman"/>
      <w:lang w:val="en-LU"/>
    </w:rPr>
  </w:style>
  <w:style w:type="paragraph" w:styleId="Revision">
    <w:name w:val="Revision"/>
    <w:hidden/>
    <w:uiPriority w:val="99"/>
    <w:semiHidden/>
    <w:rsid w:val="0091548C"/>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694">
      <w:bodyDiv w:val="1"/>
      <w:marLeft w:val="0"/>
      <w:marRight w:val="0"/>
      <w:marTop w:val="0"/>
      <w:marBottom w:val="0"/>
      <w:divBdr>
        <w:top w:val="none" w:sz="0" w:space="0" w:color="auto"/>
        <w:left w:val="none" w:sz="0" w:space="0" w:color="auto"/>
        <w:bottom w:val="none" w:sz="0" w:space="0" w:color="auto"/>
        <w:right w:val="none" w:sz="0" w:space="0" w:color="auto"/>
      </w:divBdr>
    </w:div>
    <w:div w:id="28720975">
      <w:bodyDiv w:val="1"/>
      <w:marLeft w:val="0"/>
      <w:marRight w:val="0"/>
      <w:marTop w:val="0"/>
      <w:marBottom w:val="0"/>
      <w:divBdr>
        <w:top w:val="none" w:sz="0" w:space="0" w:color="auto"/>
        <w:left w:val="none" w:sz="0" w:space="0" w:color="auto"/>
        <w:bottom w:val="none" w:sz="0" w:space="0" w:color="auto"/>
        <w:right w:val="none" w:sz="0" w:space="0" w:color="auto"/>
      </w:divBdr>
    </w:div>
    <w:div w:id="668485334">
      <w:bodyDiv w:val="1"/>
      <w:marLeft w:val="0"/>
      <w:marRight w:val="0"/>
      <w:marTop w:val="0"/>
      <w:marBottom w:val="0"/>
      <w:divBdr>
        <w:top w:val="none" w:sz="0" w:space="0" w:color="auto"/>
        <w:left w:val="none" w:sz="0" w:space="0" w:color="auto"/>
        <w:bottom w:val="none" w:sz="0" w:space="0" w:color="auto"/>
        <w:right w:val="none" w:sz="0" w:space="0" w:color="auto"/>
      </w:divBdr>
    </w:div>
    <w:div w:id="697779901">
      <w:bodyDiv w:val="1"/>
      <w:marLeft w:val="0"/>
      <w:marRight w:val="0"/>
      <w:marTop w:val="0"/>
      <w:marBottom w:val="0"/>
      <w:divBdr>
        <w:top w:val="none" w:sz="0" w:space="0" w:color="auto"/>
        <w:left w:val="none" w:sz="0" w:space="0" w:color="auto"/>
        <w:bottom w:val="none" w:sz="0" w:space="0" w:color="auto"/>
        <w:right w:val="none" w:sz="0" w:space="0" w:color="auto"/>
      </w:divBdr>
    </w:div>
    <w:div w:id="735738505">
      <w:bodyDiv w:val="1"/>
      <w:marLeft w:val="0"/>
      <w:marRight w:val="0"/>
      <w:marTop w:val="0"/>
      <w:marBottom w:val="0"/>
      <w:divBdr>
        <w:top w:val="none" w:sz="0" w:space="0" w:color="auto"/>
        <w:left w:val="none" w:sz="0" w:space="0" w:color="auto"/>
        <w:bottom w:val="none" w:sz="0" w:space="0" w:color="auto"/>
        <w:right w:val="none" w:sz="0" w:space="0" w:color="auto"/>
      </w:divBdr>
    </w:div>
    <w:div w:id="909316788">
      <w:bodyDiv w:val="1"/>
      <w:marLeft w:val="0"/>
      <w:marRight w:val="0"/>
      <w:marTop w:val="0"/>
      <w:marBottom w:val="0"/>
      <w:divBdr>
        <w:top w:val="none" w:sz="0" w:space="0" w:color="auto"/>
        <w:left w:val="none" w:sz="0" w:space="0" w:color="auto"/>
        <w:bottom w:val="none" w:sz="0" w:space="0" w:color="auto"/>
        <w:right w:val="none" w:sz="0" w:space="0" w:color="auto"/>
      </w:divBdr>
    </w:div>
    <w:div w:id="1207984392">
      <w:bodyDiv w:val="1"/>
      <w:marLeft w:val="0"/>
      <w:marRight w:val="0"/>
      <w:marTop w:val="0"/>
      <w:marBottom w:val="0"/>
      <w:divBdr>
        <w:top w:val="none" w:sz="0" w:space="0" w:color="auto"/>
        <w:left w:val="none" w:sz="0" w:space="0" w:color="auto"/>
        <w:bottom w:val="none" w:sz="0" w:space="0" w:color="auto"/>
        <w:right w:val="none" w:sz="0" w:space="0" w:color="auto"/>
      </w:divBdr>
    </w:div>
    <w:div w:id="1210193482">
      <w:bodyDiv w:val="1"/>
      <w:marLeft w:val="0"/>
      <w:marRight w:val="0"/>
      <w:marTop w:val="0"/>
      <w:marBottom w:val="0"/>
      <w:divBdr>
        <w:top w:val="none" w:sz="0" w:space="0" w:color="auto"/>
        <w:left w:val="none" w:sz="0" w:space="0" w:color="auto"/>
        <w:bottom w:val="none" w:sz="0" w:space="0" w:color="auto"/>
        <w:right w:val="none" w:sz="0" w:space="0" w:color="auto"/>
      </w:divBdr>
    </w:div>
    <w:div w:id="1212424548">
      <w:bodyDiv w:val="1"/>
      <w:marLeft w:val="0"/>
      <w:marRight w:val="0"/>
      <w:marTop w:val="0"/>
      <w:marBottom w:val="0"/>
      <w:divBdr>
        <w:top w:val="none" w:sz="0" w:space="0" w:color="auto"/>
        <w:left w:val="none" w:sz="0" w:space="0" w:color="auto"/>
        <w:bottom w:val="none" w:sz="0" w:space="0" w:color="auto"/>
        <w:right w:val="none" w:sz="0" w:space="0" w:color="auto"/>
      </w:divBdr>
      <w:divsChild>
        <w:div w:id="604075678">
          <w:marLeft w:val="547"/>
          <w:marRight w:val="0"/>
          <w:marTop w:val="240"/>
          <w:marBottom w:val="0"/>
          <w:divBdr>
            <w:top w:val="none" w:sz="0" w:space="0" w:color="auto"/>
            <w:left w:val="none" w:sz="0" w:space="0" w:color="auto"/>
            <w:bottom w:val="none" w:sz="0" w:space="0" w:color="auto"/>
            <w:right w:val="none" w:sz="0" w:space="0" w:color="auto"/>
          </w:divBdr>
        </w:div>
        <w:div w:id="783772819">
          <w:marLeft w:val="547"/>
          <w:marRight w:val="0"/>
          <w:marTop w:val="240"/>
          <w:marBottom w:val="0"/>
          <w:divBdr>
            <w:top w:val="none" w:sz="0" w:space="0" w:color="auto"/>
            <w:left w:val="none" w:sz="0" w:space="0" w:color="auto"/>
            <w:bottom w:val="none" w:sz="0" w:space="0" w:color="auto"/>
            <w:right w:val="none" w:sz="0" w:space="0" w:color="auto"/>
          </w:divBdr>
        </w:div>
        <w:div w:id="1682585630">
          <w:marLeft w:val="547"/>
          <w:marRight w:val="0"/>
          <w:marTop w:val="240"/>
          <w:marBottom w:val="0"/>
          <w:divBdr>
            <w:top w:val="none" w:sz="0" w:space="0" w:color="auto"/>
            <w:left w:val="none" w:sz="0" w:space="0" w:color="auto"/>
            <w:bottom w:val="none" w:sz="0" w:space="0" w:color="auto"/>
            <w:right w:val="none" w:sz="0" w:space="0" w:color="auto"/>
          </w:divBdr>
        </w:div>
        <w:div w:id="1854610052">
          <w:marLeft w:val="547"/>
          <w:marRight w:val="0"/>
          <w:marTop w:val="240"/>
          <w:marBottom w:val="0"/>
          <w:divBdr>
            <w:top w:val="none" w:sz="0" w:space="0" w:color="auto"/>
            <w:left w:val="none" w:sz="0" w:space="0" w:color="auto"/>
            <w:bottom w:val="none" w:sz="0" w:space="0" w:color="auto"/>
            <w:right w:val="none" w:sz="0" w:space="0" w:color="auto"/>
          </w:divBdr>
        </w:div>
      </w:divsChild>
    </w:div>
    <w:div w:id="1267884813">
      <w:bodyDiv w:val="1"/>
      <w:marLeft w:val="0"/>
      <w:marRight w:val="0"/>
      <w:marTop w:val="0"/>
      <w:marBottom w:val="0"/>
      <w:divBdr>
        <w:top w:val="none" w:sz="0" w:space="0" w:color="auto"/>
        <w:left w:val="none" w:sz="0" w:space="0" w:color="auto"/>
        <w:bottom w:val="none" w:sz="0" w:space="0" w:color="auto"/>
        <w:right w:val="none" w:sz="0" w:space="0" w:color="auto"/>
      </w:divBdr>
    </w:div>
    <w:div w:id="1460958227">
      <w:bodyDiv w:val="1"/>
      <w:marLeft w:val="0"/>
      <w:marRight w:val="0"/>
      <w:marTop w:val="0"/>
      <w:marBottom w:val="0"/>
      <w:divBdr>
        <w:top w:val="none" w:sz="0" w:space="0" w:color="auto"/>
        <w:left w:val="none" w:sz="0" w:space="0" w:color="auto"/>
        <w:bottom w:val="none" w:sz="0" w:space="0" w:color="auto"/>
        <w:right w:val="none" w:sz="0" w:space="0" w:color="auto"/>
      </w:divBdr>
    </w:div>
    <w:div w:id="1620331271">
      <w:bodyDiv w:val="1"/>
      <w:marLeft w:val="0"/>
      <w:marRight w:val="0"/>
      <w:marTop w:val="0"/>
      <w:marBottom w:val="0"/>
      <w:divBdr>
        <w:top w:val="none" w:sz="0" w:space="0" w:color="auto"/>
        <w:left w:val="none" w:sz="0" w:space="0" w:color="auto"/>
        <w:bottom w:val="none" w:sz="0" w:space="0" w:color="auto"/>
        <w:right w:val="none" w:sz="0" w:space="0" w:color="auto"/>
      </w:divBdr>
    </w:div>
    <w:div w:id="1662856813">
      <w:bodyDiv w:val="1"/>
      <w:marLeft w:val="0"/>
      <w:marRight w:val="0"/>
      <w:marTop w:val="0"/>
      <w:marBottom w:val="0"/>
      <w:divBdr>
        <w:top w:val="none" w:sz="0" w:space="0" w:color="auto"/>
        <w:left w:val="none" w:sz="0" w:space="0" w:color="auto"/>
        <w:bottom w:val="none" w:sz="0" w:space="0" w:color="auto"/>
        <w:right w:val="none" w:sz="0" w:space="0" w:color="auto"/>
      </w:divBdr>
    </w:div>
    <w:div w:id="168343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32023R11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N/TXT/HTML/?uri=CELEX:32023R11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gital@abbl.l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ba.europa.eu/sites/default/documents/files/document_library/Publications/Consultations/2023/Consultation%20paper%20on%20draft%20Technical%20Standards%20on%20information%20for%20authorisation/1057529/MiCAR%20CP%20RTS-ITS%20information%20for%20authorisatio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EN/TXT/HTML/?uri=CELEX:32023R111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ABBL</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ABBL</dc:creator>
  <cp:keywords/>
  <dc:description/>
  <cp:lastModifiedBy>ABBL</cp:lastModifiedBy>
  <cp:revision>4</cp:revision>
  <dcterms:created xsi:type="dcterms:W3CDTF">2023-10-12T15:52:00Z</dcterms:created>
  <dcterms:modified xsi:type="dcterms:W3CDTF">2023-10-12T16:01:00Z</dcterms:modified>
</cp:coreProperties>
</file>