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83D" w:rsidRPr="0022076B" w:rsidRDefault="0022076B" w:rsidP="0022076B">
      <w:pPr>
        <w:spacing w:line="264" w:lineRule="auto"/>
        <w:ind w:left="1134"/>
        <w:jc w:val="right"/>
        <w:rPr>
          <w:b/>
          <w:sz w:val="22"/>
          <w:szCs w:val="22"/>
        </w:rPr>
      </w:pPr>
      <w:r w:rsidRPr="0022076B">
        <w:rPr>
          <w:b/>
          <w:sz w:val="22"/>
          <w:szCs w:val="22"/>
        </w:rPr>
        <w:t xml:space="preserve">Confidential </w:t>
      </w:r>
    </w:p>
    <w:p w:rsidR="00EB75F6" w:rsidRPr="000E0650" w:rsidRDefault="00870203" w:rsidP="003F1CA7">
      <w:pPr>
        <w:spacing w:line="264" w:lineRule="auto"/>
        <w:ind w:left="1134"/>
        <w:jc w:val="left"/>
        <w:rPr>
          <w:sz w:val="22"/>
          <w:szCs w:val="22"/>
        </w:rPr>
      </w:pPr>
      <w:r>
        <w:rPr>
          <w:sz w:val="22"/>
          <w:szCs w:val="22"/>
        </w:rPr>
        <w:t>14</w:t>
      </w:r>
      <w:r w:rsidR="003F1CA7">
        <w:rPr>
          <w:sz w:val="22"/>
          <w:szCs w:val="22"/>
        </w:rPr>
        <w:t xml:space="preserve"> </w:t>
      </w:r>
      <w:r w:rsidR="009B2742">
        <w:rPr>
          <w:sz w:val="22"/>
          <w:szCs w:val="22"/>
        </w:rPr>
        <w:t>April</w:t>
      </w:r>
      <w:r w:rsidR="00F71DA9">
        <w:rPr>
          <w:sz w:val="22"/>
          <w:szCs w:val="22"/>
        </w:rPr>
        <w:t xml:space="preserve"> </w:t>
      </w:r>
      <w:r w:rsidR="0020183D">
        <w:rPr>
          <w:sz w:val="22"/>
          <w:szCs w:val="22"/>
        </w:rPr>
        <w:t>201</w:t>
      </w:r>
      <w:r w:rsidR="00C664CC">
        <w:rPr>
          <w:sz w:val="22"/>
          <w:szCs w:val="22"/>
        </w:rPr>
        <w:t>5</w:t>
      </w:r>
    </w:p>
    <w:p w:rsidR="00E36754" w:rsidRPr="000E0650" w:rsidRDefault="00E36754" w:rsidP="00412CB7">
      <w:pPr>
        <w:spacing w:line="264" w:lineRule="auto"/>
        <w:ind w:left="1134"/>
        <w:rPr>
          <w:sz w:val="22"/>
          <w:szCs w:val="22"/>
        </w:rPr>
      </w:pPr>
    </w:p>
    <w:p w:rsidR="004819EC" w:rsidRDefault="004819EC" w:rsidP="00412CB7">
      <w:pPr>
        <w:autoSpaceDE w:val="0"/>
        <w:autoSpaceDN w:val="0"/>
        <w:adjustRightInd w:val="0"/>
        <w:spacing w:before="0" w:line="264" w:lineRule="auto"/>
        <w:ind w:left="1134"/>
        <w:jc w:val="left"/>
        <w:rPr>
          <w:rFonts w:ascii="Cambria" w:hAnsi="Cambria" w:cs="Cambria"/>
          <w:sz w:val="22"/>
          <w:szCs w:val="22"/>
          <w:lang w:val="en-US"/>
        </w:rPr>
      </w:pPr>
      <w:bookmarkStart w:id="0" w:name="Text6"/>
      <w:r>
        <w:rPr>
          <w:rFonts w:ascii="Cambria" w:hAnsi="Cambria" w:cs="Cambria"/>
          <w:sz w:val="22"/>
          <w:szCs w:val="22"/>
          <w:lang w:val="en-US"/>
        </w:rPr>
        <w:t>European Banking Authority</w:t>
      </w:r>
    </w:p>
    <w:p w:rsidR="00606900" w:rsidRDefault="00606900" w:rsidP="00606900">
      <w:pPr>
        <w:autoSpaceDE w:val="0"/>
        <w:autoSpaceDN w:val="0"/>
        <w:adjustRightInd w:val="0"/>
        <w:spacing w:before="0" w:line="264" w:lineRule="auto"/>
        <w:ind w:left="1134"/>
        <w:jc w:val="left"/>
        <w:rPr>
          <w:rFonts w:ascii="Cambria" w:hAnsi="Cambria" w:cs="Cambria"/>
          <w:sz w:val="22"/>
          <w:szCs w:val="22"/>
          <w:lang w:val="en-US"/>
        </w:rPr>
      </w:pPr>
      <w:r>
        <w:rPr>
          <w:rFonts w:ascii="Cambria" w:hAnsi="Cambria" w:cs="Cambria"/>
          <w:sz w:val="22"/>
          <w:szCs w:val="22"/>
          <w:lang w:val="en-US"/>
        </w:rPr>
        <w:t>Floor 46</w:t>
      </w:r>
    </w:p>
    <w:p w:rsidR="00606900" w:rsidRDefault="00606900" w:rsidP="00606900">
      <w:pPr>
        <w:autoSpaceDE w:val="0"/>
        <w:autoSpaceDN w:val="0"/>
        <w:adjustRightInd w:val="0"/>
        <w:spacing w:before="0" w:line="264" w:lineRule="auto"/>
        <w:ind w:left="1134"/>
        <w:jc w:val="left"/>
        <w:rPr>
          <w:rFonts w:ascii="Cambria" w:hAnsi="Cambria" w:cs="Cambria"/>
          <w:sz w:val="22"/>
          <w:szCs w:val="22"/>
          <w:lang w:val="en-US"/>
        </w:rPr>
      </w:pPr>
      <w:r>
        <w:rPr>
          <w:rFonts w:ascii="Cambria" w:hAnsi="Cambria" w:cs="Cambria"/>
          <w:sz w:val="22"/>
          <w:szCs w:val="22"/>
          <w:lang w:val="en-US"/>
        </w:rPr>
        <w:t>One Canada Square</w:t>
      </w:r>
    </w:p>
    <w:p w:rsidR="00606900" w:rsidRDefault="00606900" w:rsidP="00606900">
      <w:pPr>
        <w:autoSpaceDE w:val="0"/>
        <w:autoSpaceDN w:val="0"/>
        <w:adjustRightInd w:val="0"/>
        <w:spacing w:before="0" w:line="264" w:lineRule="auto"/>
        <w:ind w:left="1134"/>
        <w:jc w:val="left"/>
        <w:rPr>
          <w:rFonts w:ascii="Cambria" w:hAnsi="Cambria" w:cs="Cambria"/>
          <w:sz w:val="22"/>
          <w:szCs w:val="22"/>
          <w:lang w:val="en-US"/>
        </w:rPr>
      </w:pPr>
      <w:r>
        <w:rPr>
          <w:rFonts w:ascii="Cambria" w:hAnsi="Cambria" w:cs="Cambria"/>
          <w:sz w:val="22"/>
          <w:szCs w:val="22"/>
          <w:lang w:val="en-US"/>
        </w:rPr>
        <w:t xml:space="preserve">London </w:t>
      </w:r>
    </w:p>
    <w:p w:rsidR="004819EC" w:rsidRDefault="00606900" w:rsidP="00606900">
      <w:pPr>
        <w:autoSpaceDE w:val="0"/>
        <w:autoSpaceDN w:val="0"/>
        <w:adjustRightInd w:val="0"/>
        <w:spacing w:before="0" w:line="264" w:lineRule="auto"/>
        <w:ind w:left="1134"/>
        <w:jc w:val="left"/>
        <w:rPr>
          <w:rFonts w:ascii="Cambria" w:hAnsi="Cambria" w:cs="Cambria"/>
          <w:sz w:val="22"/>
          <w:szCs w:val="22"/>
          <w:lang w:val="en-US"/>
        </w:rPr>
      </w:pPr>
      <w:r w:rsidRPr="00B441DA">
        <w:rPr>
          <w:rFonts w:ascii="Cambria" w:hAnsi="Cambria" w:cs="Cambria"/>
          <w:sz w:val="22"/>
          <w:szCs w:val="22"/>
          <w:lang w:val="en-US"/>
        </w:rPr>
        <w:t>E14 5AA</w:t>
      </w:r>
    </w:p>
    <w:p w:rsidR="00606900" w:rsidRDefault="00606900" w:rsidP="00606900">
      <w:pPr>
        <w:autoSpaceDE w:val="0"/>
        <w:autoSpaceDN w:val="0"/>
        <w:adjustRightInd w:val="0"/>
        <w:spacing w:before="0" w:line="264" w:lineRule="auto"/>
        <w:ind w:left="1134"/>
        <w:jc w:val="left"/>
        <w:rPr>
          <w:rFonts w:ascii="Cambria" w:hAnsi="Cambria" w:cs="Cambria"/>
          <w:sz w:val="22"/>
          <w:szCs w:val="22"/>
          <w:lang w:val="en-US"/>
        </w:rPr>
      </w:pPr>
    </w:p>
    <w:p w:rsidR="004819EC" w:rsidRDefault="00F670BF" w:rsidP="00412CB7">
      <w:pPr>
        <w:autoSpaceDE w:val="0"/>
        <w:autoSpaceDN w:val="0"/>
        <w:adjustRightInd w:val="0"/>
        <w:spacing w:before="0" w:line="264" w:lineRule="auto"/>
        <w:ind w:left="1134"/>
        <w:jc w:val="left"/>
        <w:rPr>
          <w:rFonts w:ascii="Cambria" w:hAnsi="Cambria" w:cs="Cambria"/>
          <w:sz w:val="22"/>
          <w:szCs w:val="22"/>
          <w:lang w:val="en-US"/>
        </w:rPr>
      </w:pPr>
      <w:r>
        <w:rPr>
          <w:rFonts w:ascii="Cambria" w:hAnsi="Cambria" w:cs="Cambria"/>
          <w:sz w:val="22"/>
          <w:szCs w:val="22"/>
          <w:lang w:val="en-US"/>
        </w:rPr>
        <w:t>Submitted via the EBA website</w:t>
      </w:r>
    </w:p>
    <w:p w:rsidR="004819EC" w:rsidRDefault="004819EC" w:rsidP="00412CB7">
      <w:pPr>
        <w:autoSpaceDE w:val="0"/>
        <w:autoSpaceDN w:val="0"/>
        <w:adjustRightInd w:val="0"/>
        <w:spacing w:before="0" w:line="264" w:lineRule="auto"/>
        <w:ind w:left="1134"/>
        <w:jc w:val="left"/>
        <w:rPr>
          <w:rFonts w:ascii="Cambria" w:hAnsi="Cambria" w:cs="Cambria"/>
          <w:sz w:val="22"/>
          <w:szCs w:val="22"/>
          <w:lang w:val="en-US"/>
        </w:rPr>
      </w:pPr>
    </w:p>
    <w:bookmarkEnd w:id="0"/>
    <w:p w:rsidR="00EB75F6" w:rsidRPr="004819EC" w:rsidRDefault="004819EC" w:rsidP="00412CB7">
      <w:pPr>
        <w:pStyle w:val="Title"/>
        <w:spacing w:before="120" w:after="120" w:line="264" w:lineRule="auto"/>
        <w:ind w:left="1134" w:right="545"/>
        <w:jc w:val="both"/>
        <w:rPr>
          <w:rFonts w:asciiTheme="majorHAnsi" w:hAnsiTheme="majorHAnsi"/>
          <w:sz w:val="24"/>
          <w:szCs w:val="24"/>
        </w:rPr>
      </w:pPr>
      <w:r w:rsidRPr="004819EC">
        <w:rPr>
          <w:rFonts w:asciiTheme="majorHAnsi" w:hAnsiTheme="majorHAnsi"/>
          <w:sz w:val="24"/>
          <w:szCs w:val="24"/>
        </w:rPr>
        <w:t xml:space="preserve">Consultation paper on draft </w:t>
      </w:r>
      <w:r w:rsidR="009B2742">
        <w:rPr>
          <w:rFonts w:asciiTheme="majorHAnsi" w:hAnsiTheme="majorHAnsi"/>
          <w:sz w:val="24"/>
          <w:szCs w:val="24"/>
        </w:rPr>
        <w:t>I</w:t>
      </w:r>
      <w:r w:rsidR="00A617B1">
        <w:rPr>
          <w:rFonts w:asciiTheme="majorHAnsi" w:hAnsiTheme="majorHAnsi"/>
          <w:sz w:val="24"/>
          <w:szCs w:val="24"/>
        </w:rPr>
        <w:t>TS</w:t>
      </w:r>
      <w:r w:rsidR="00087D0D">
        <w:rPr>
          <w:rFonts w:asciiTheme="majorHAnsi" w:hAnsiTheme="majorHAnsi"/>
          <w:sz w:val="24"/>
          <w:szCs w:val="24"/>
        </w:rPr>
        <w:t xml:space="preserve"> on </w:t>
      </w:r>
      <w:r w:rsidR="009B2742">
        <w:rPr>
          <w:rFonts w:asciiTheme="majorHAnsi" w:hAnsiTheme="majorHAnsi"/>
          <w:sz w:val="24"/>
          <w:szCs w:val="24"/>
        </w:rPr>
        <w:t>procedures, forms and templates for the provision of information for resolution plans</w:t>
      </w:r>
      <w:r w:rsidR="00A617B1">
        <w:rPr>
          <w:rFonts w:asciiTheme="majorHAnsi" w:hAnsiTheme="majorHAnsi"/>
          <w:sz w:val="24"/>
          <w:szCs w:val="24"/>
        </w:rPr>
        <w:t xml:space="preserve"> </w:t>
      </w:r>
      <w:r w:rsidR="00BB648B">
        <w:rPr>
          <w:rFonts w:asciiTheme="majorHAnsi" w:hAnsiTheme="majorHAnsi"/>
          <w:sz w:val="24"/>
          <w:szCs w:val="24"/>
        </w:rPr>
        <w:t>under Article 11(3) of Directive 2014/59/EU</w:t>
      </w:r>
    </w:p>
    <w:p w:rsidR="00E36754" w:rsidRDefault="00E36754" w:rsidP="00412CB7">
      <w:pPr>
        <w:spacing w:after="120" w:line="264" w:lineRule="auto"/>
      </w:pPr>
      <w:bookmarkStart w:id="1" w:name="Text7"/>
    </w:p>
    <w:p w:rsidR="00EB75F6" w:rsidRPr="000E0650" w:rsidRDefault="00BD6226" w:rsidP="00412CB7">
      <w:pPr>
        <w:spacing w:after="120" w:line="264" w:lineRule="auto"/>
        <w:ind w:left="1134"/>
        <w:rPr>
          <w:sz w:val="22"/>
          <w:szCs w:val="22"/>
        </w:rPr>
      </w:pPr>
      <w:r w:rsidRPr="000E0650">
        <w:rPr>
          <w:sz w:val="22"/>
          <w:szCs w:val="22"/>
        </w:rPr>
        <w:t>Dear S</w:t>
      </w:r>
      <w:r w:rsidR="00340C4E" w:rsidRPr="000E0650">
        <w:rPr>
          <w:sz w:val="22"/>
          <w:szCs w:val="22"/>
        </w:rPr>
        <w:t>ir</w:t>
      </w:r>
      <w:bookmarkEnd w:id="1"/>
      <w:r w:rsidRPr="000E0650">
        <w:rPr>
          <w:sz w:val="22"/>
          <w:szCs w:val="22"/>
        </w:rPr>
        <w:t xml:space="preserve"> / Madam</w:t>
      </w:r>
      <w:r w:rsidR="00340C4E" w:rsidRPr="000E0650">
        <w:rPr>
          <w:sz w:val="22"/>
          <w:szCs w:val="22"/>
        </w:rPr>
        <w:t xml:space="preserve"> </w:t>
      </w:r>
    </w:p>
    <w:p w:rsidR="00E36754" w:rsidRPr="000E0650" w:rsidRDefault="00E36754" w:rsidP="00412CB7">
      <w:pPr>
        <w:spacing w:after="120" w:line="264" w:lineRule="auto"/>
        <w:ind w:left="1134"/>
        <w:rPr>
          <w:sz w:val="22"/>
          <w:szCs w:val="22"/>
        </w:rPr>
      </w:pPr>
    </w:p>
    <w:p w:rsidR="004819EC" w:rsidRDefault="004819EC" w:rsidP="00412CB7">
      <w:pPr>
        <w:autoSpaceDE w:val="0"/>
        <w:autoSpaceDN w:val="0"/>
        <w:adjustRightInd w:val="0"/>
        <w:spacing w:before="0" w:line="264" w:lineRule="auto"/>
        <w:ind w:left="1134" w:right="545"/>
        <w:rPr>
          <w:rFonts w:ascii="Cambria" w:hAnsi="Cambria" w:cs="Cambria"/>
          <w:sz w:val="22"/>
          <w:szCs w:val="22"/>
          <w:lang w:val="en-US"/>
        </w:rPr>
      </w:pPr>
      <w:bookmarkStart w:id="2" w:name="Text9"/>
      <w:r>
        <w:rPr>
          <w:rFonts w:ascii="Cambria" w:hAnsi="Cambria" w:cs="Cambria"/>
          <w:sz w:val="22"/>
          <w:szCs w:val="22"/>
          <w:lang w:val="en-US"/>
        </w:rPr>
        <w:t xml:space="preserve">Please find enclosed </w:t>
      </w:r>
      <w:r w:rsidR="009B2742">
        <w:rPr>
          <w:rFonts w:ascii="Cambria" w:hAnsi="Cambria" w:cs="Cambria"/>
          <w:sz w:val="22"/>
          <w:szCs w:val="22"/>
          <w:lang w:val="en-US"/>
        </w:rPr>
        <w:t>the Association for Financial Markets in Europe’s</w:t>
      </w:r>
      <w:r>
        <w:rPr>
          <w:rFonts w:ascii="Cambria" w:hAnsi="Cambria" w:cs="Cambria"/>
          <w:sz w:val="22"/>
          <w:szCs w:val="22"/>
          <w:lang w:val="en-US"/>
        </w:rPr>
        <w:t xml:space="preserve"> response to the </w:t>
      </w:r>
      <w:r w:rsidR="000C4A2A">
        <w:rPr>
          <w:rFonts w:ascii="Cambria" w:hAnsi="Cambria" w:cs="Cambria"/>
          <w:sz w:val="22"/>
          <w:szCs w:val="22"/>
          <w:lang w:val="en-US"/>
        </w:rPr>
        <w:t xml:space="preserve">EBA </w:t>
      </w:r>
      <w:r w:rsidR="00E10149">
        <w:rPr>
          <w:rFonts w:ascii="Cambria" w:hAnsi="Cambria" w:cs="Cambria"/>
          <w:sz w:val="22"/>
          <w:szCs w:val="22"/>
          <w:lang w:val="en-US"/>
        </w:rPr>
        <w:t>c</w:t>
      </w:r>
      <w:r w:rsidR="00897449" w:rsidRPr="00897449">
        <w:rPr>
          <w:rFonts w:ascii="Cambria" w:hAnsi="Cambria" w:cs="Cambria"/>
          <w:sz w:val="22"/>
          <w:szCs w:val="22"/>
          <w:lang w:val="en-US"/>
        </w:rPr>
        <w:t xml:space="preserve">onsultation paper </w:t>
      </w:r>
      <w:r w:rsidR="00C47476" w:rsidRPr="00C47476">
        <w:rPr>
          <w:rFonts w:ascii="Cambria" w:hAnsi="Cambria" w:cs="Cambria"/>
          <w:sz w:val="22"/>
          <w:szCs w:val="22"/>
          <w:lang w:val="en-US"/>
        </w:rPr>
        <w:t xml:space="preserve">on draft </w:t>
      </w:r>
      <w:r w:rsidR="009B2742">
        <w:rPr>
          <w:rFonts w:ascii="Cambria" w:hAnsi="Cambria" w:cs="Cambria"/>
          <w:sz w:val="22"/>
          <w:szCs w:val="22"/>
          <w:lang w:val="en-US"/>
        </w:rPr>
        <w:t>Implementing</w:t>
      </w:r>
      <w:r w:rsidR="0088739D">
        <w:rPr>
          <w:rFonts w:ascii="Cambria" w:hAnsi="Cambria" w:cs="Cambria"/>
          <w:sz w:val="22"/>
          <w:szCs w:val="22"/>
          <w:lang w:val="en-US"/>
        </w:rPr>
        <w:t xml:space="preserve"> Technical Standards </w:t>
      </w:r>
      <w:r w:rsidR="0022076B" w:rsidRPr="0022076B">
        <w:rPr>
          <w:rFonts w:ascii="Cambria" w:hAnsi="Cambria" w:cs="Cambria"/>
          <w:sz w:val="22"/>
          <w:szCs w:val="22"/>
          <w:lang w:val="en-US"/>
        </w:rPr>
        <w:t xml:space="preserve">on </w:t>
      </w:r>
      <w:r w:rsidR="009B2742" w:rsidRPr="009B2742">
        <w:rPr>
          <w:rFonts w:ascii="Cambria" w:hAnsi="Cambria" w:cs="Cambria"/>
          <w:sz w:val="22"/>
          <w:szCs w:val="22"/>
          <w:lang w:val="en-US"/>
        </w:rPr>
        <w:t xml:space="preserve">Consultation paper on draft ITS on procedures, forms and templates for the provision of information for resolution plans </w:t>
      </w:r>
      <w:r w:rsidR="009B2742">
        <w:rPr>
          <w:rFonts w:ascii="Cambria" w:hAnsi="Cambria" w:cs="Cambria"/>
          <w:sz w:val="22"/>
          <w:szCs w:val="22"/>
          <w:lang w:val="en-US"/>
        </w:rPr>
        <w:t>under Article 11(3)</w:t>
      </w:r>
      <w:r w:rsidR="004A6FA4">
        <w:rPr>
          <w:rFonts w:ascii="Cambria" w:hAnsi="Cambria" w:cs="Cambria"/>
          <w:sz w:val="22"/>
          <w:szCs w:val="22"/>
          <w:lang w:val="en-US"/>
        </w:rPr>
        <w:t xml:space="preserve"> of </w:t>
      </w:r>
      <w:r w:rsidR="0022076B" w:rsidRPr="0022076B">
        <w:rPr>
          <w:rFonts w:ascii="Cambria" w:hAnsi="Cambria" w:cs="Cambria"/>
          <w:sz w:val="22"/>
          <w:szCs w:val="22"/>
          <w:lang w:val="en-US"/>
        </w:rPr>
        <w:t>Directive 2014/59/EU</w:t>
      </w:r>
      <w:r w:rsidR="0088739D">
        <w:rPr>
          <w:rFonts w:ascii="Cambria" w:hAnsi="Cambria" w:cs="Cambria"/>
          <w:sz w:val="22"/>
          <w:szCs w:val="22"/>
          <w:lang w:val="en-US"/>
        </w:rPr>
        <w:t xml:space="preserve"> </w:t>
      </w:r>
      <w:r w:rsidR="00897449" w:rsidRPr="00C152E5">
        <w:rPr>
          <w:rFonts w:ascii="Cambria" w:hAnsi="Cambria" w:cs="Cambria"/>
          <w:sz w:val="22"/>
          <w:szCs w:val="22"/>
          <w:lang w:val="en-US"/>
        </w:rPr>
        <w:t>(EBA/CP/</w:t>
      </w:r>
      <w:r w:rsidRPr="00C152E5">
        <w:rPr>
          <w:rFonts w:ascii="Cambria" w:hAnsi="Cambria" w:cs="Cambria"/>
          <w:sz w:val="22"/>
          <w:szCs w:val="22"/>
          <w:lang w:val="en-US"/>
        </w:rPr>
        <w:t>201</w:t>
      </w:r>
      <w:r w:rsidR="009B2742">
        <w:rPr>
          <w:rFonts w:ascii="Cambria" w:hAnsi="Cambria" w:cs="Cambria"/>
          <w:sz w:val="22"/>
          <w:szCs w:val="22"/>
          <w:lang w:val="en-US"/>
        </w:rPr>
        <w:t>5</w:t>
      </w:r>
      <w:r w:rsidRPr="00C152E5">
        <w:rPr>
          <w:rFonts w:ascii="Cambria" w:hAnsi="Cambria" w:cs="Cambria"/>
          <w:sz w:val="22"/>
          <w:szCs w:val="22"/>
          <w:lang w:val="en-US"/>
        </w:rPr>
        <w:t>/</w:t>
      </w:r>
      <w:r w:rsidR="009B2742">
        <w:rPr>
          <w:rFonts w:ascii="Cambria" w:hAnsi="Cambria" w:cs="Cambria"/>
          <w:sz w:val="22"/>
          <w:szCs w:val="22"/>
          <w:lang w:val="en-US"/>
        </w:rPr>
        <w:t>01</w:t>
      </w:r>
      <w:r w:rsidRPr="00C152E5">
        <w:rPr>
          <w:rFonts w:ascii="Cambria" w:hAnsi="Cambria" w:cs="Cambria"/>
          <w:sz w:val="22"/>
          <w:szCs w:val="22"/>
          <w:lang w:val="en-US"/>
        </w:rPr>
        <w:t>).</w:t>
      </w:r>
    </w:p>
    <w:p w:rsidR="004819EC" w:rsidRDefault="004819EC" w:rsidP="00412CB7">
      <w:pPr>
        <w:autoSpaceDE w:val="0"/>
        <w:autoSpaceDN w:val="0"/>
        <w:adjustRightInd w:val="0"/>
        <w:spacing w:before="0" w:line="264" w:lineRule="auto"/>
        <w:ind w:left="1134"/>
        <w:jc w:val="left"/>
        <w:rPr>
          <w:rFonts w:ascii="Cambria" w:hAnsi="Cambria" w:cs="Cambria"/>
          <w:sz w:val="22"/>
          <w:szCs w:val="22"/>
          <w:lang w:val="en-US"/>
        </w:rPr>
      </w:pPr>
    </w:p>
    <w:p w:rsidR="00E36754" w:rsidRDefault="005F3D7B" w:rsidP="000004F0">
      <w:pPr>
        <w:autoSpaceDE w:val="0"/>
        <w:autoSpaceDN w:val="0"/>
        <w:adjustRightInd w:val="0"/>
        <w:spacing w:before="0" w:line="264" w:lineRule="auto"/>
        <w:ind w:left="1134" w:right="545"/>
        <w:rPr>
          <w:rFonts w:ascii="Cambria" w:hAnsi="Cambria" w:cs="Cambria"/>
          <w:sz w:val="22"/>
          <w:szCs w:val="22"/>
          <w:lang w:val="en-US"/>
        </w:rPr>
      </w:pPr>
      <w:r>
        <w:rPr>
          <w:rFonts w:ascii="Cambria" w:hAnsi="Cambria" w:cs="Cambria"/>
          <w:sz w:val="22"/>
          <w:szCs w:val="22"/>
          <w:lang w:val="en-US"/>
        </w:rPr>
        <w:t>Please do not hesitate to contact us i</w:t>
      </w:r>
      <w:r w:rsidR="004819EC">
        <w:rPr>
          <w:rFonts w:ascii="Cambria" w:hAnsi="Cambria" w:cs="Cambria"/>
          <w:sz w:val="22"/>
          <w:szCs w:val="22"/>
          <w:lang w:val="en-US"/>
        </w:rPr>
        <w:t>f you have any questions</w:t>
      </w:r>
      <w:r w:rsidR="000004F0">
        <w:rPr>
          <w:rFonts w:ascii="Cambria" w:hAnsi="Cambria" w:cs="Cambria"/>
          <w:sz w:val="22"/>
          <w:szCs w:val="22"/>
          <w:lang w:val="en-US"/>
        </w:rPr>
        <w:t xml:space="preserve"> or wish to discuss these issues further</w:t>
      </w:r>
      <w:r>
        <w:rPr>
          <w:rFonts w:ascii="Cambria" w:hAnsi="Cambria" w:cs="Cambria"/>
          <w:sz w:val="22"/>
          <w:szCs w:val="22"/>
          <w:lang w:val="en-US"/>
        </w:rPr>
        <w:t>.</w:t>
      </w:r>
    </w:p>
    <w:p w:rsidR="004819EC" w:rsidRPr="000E0650" w:rsidRDefault="004819EC" w:rsidP="00412CB7">
      <w:pPr>
        <w:autoSpaceDE w:val="0"/>
        <w:autoSpaceDN w:val="0"/>
        <w:adjustRightInd w:val="0"/>
        <w:spacing w:before="0" w:line="264" w:lineRule="auto"/>
        <w:ind w:left="1134"/>
        <w:jc w:val="left"/>
        <w:rPr>
          <w:sz w:val="22"/>
          <w:szCs w:val="22"/>
        </w:rPr>
      </w:pPr>
    </w:p>
    <w:p w:rsidR="00EB75F6" w:rsidRDefault="00340C4E" w:rsidP="00412CB7">
      <w:pPr>
        <w:spacing w:after="120" w:line="264" w:lineRule="auto"/>
        <w:ind w:left="1134" w:right="686"/>
        <w:rPr>
          <w:sz w:val="22"/>
          <w:szCs w:val="22"/>
        </w:rPr>
      </w:pPr>
      <w:r w:rsidRPr="000E0650">
        <w:rPr>
          <w:sz w:val="22"/>
          <w:szCs w:val="22"/>
        </w:rPr>
        <w:t xml:space="preserve">Yours </w:t>
      </w:r>
      <w:bookmarkEnd w:id="2"/>
      <w:r w:rsidR="00BA45D8">
        <w:rPr>
          <w:sz w:val="22"/>
          <w:szCs w:val="22"/>
        </w:rPr>
        <w:t>faithfully</w:t>
      </w:r>
      <w:r w:rsidRPr="000E0650">
        <w:rPr>
          <w:sz w:val="22"/>
          <w:szCs w:val="22"/>
        </w:rPr>
        <w:t xml:space="preserve"> </w:t>
      </w:r>
    </w:p>
    <w:p w:rsidR="006223FC" w:rsidRDefault="00067476" w:rsidP="00067476">
      <w:pPr>
        <w:spacing w:after="120" w:line="264" w:lineRule="auto"/>
        <w:ind w:left="1134" w:right="686"/>
        <w:rPr>
          <w:sz w:val="22"/>
          <w:szCs w:val="22"/>
        </w:rPr>
      </w:pPr>
      <w:r>
        <w:rPr>
          <w:noProof/>
          <w:sz w:val="22"/>
          <w:szCs w:val="22"/>
          <w:lang w:val="en-US"/>
        </w:rPr>
        <w:drawing>
          <wp:inline distT="0" distB="0" distL="0" distR="0">
            <wp:extent cx="1214528" cy="302258"/>
            <wp:effectExtent l="19050" t="0" r="4672"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17226" cy="302929"/>
                    </a:xfrm>
                    <a:prstGeom prst="rect">
                      <a:avLst/>
                    </a:prstGeom>
                    <a:noFill/>
                    <a:ln w="9525">
                      <a:noFill/>
                      <a:miter lim="800000"/>
                      <a:headEnd/>
                      <a:tailEnd/>
                    </a:ln>
                  </pic:spPr>
                </pic:pic>
              </a:graphicData>
            </a:graphic>
          </wp:inline>
        </w:drawing>
      </w:r>
    </w:p>
    <w:p w:rsidR="006223FC" w:rsidRPr="000E0650" w:rsidRDefault="006223FC" w:rsidP="00412CB7">
      <w:pPr>
        <w:spacing w:after="120" w:line="264" w:lineRule="auto"/>
        <w:ind w:left="1134" w:right="686"/>
        <w:rPr>
          <w:sz w:val="22"/>
          <w:szCs w:val="22"/>
        </w:rPr>
      </w:pPr>
      <w:r>
        <w:rPr>
          <w:sz w:val="22"/>
          <w:szCs w:val="22"/>
        </w:rPr>
        <w:t>Gilbey Strub</w:t>
      </w:r>
    </w:p>
    <w:p w:rsidR="00340C4E" w:rsidRDefault="00340C4E" w:rsidP="00412CB7">
      <w:pPr>
        <w:spacing w:after="120" w:line="264" w:lineRule="auto"/>
        <w:ind w:left="1134"/>
        <w:rPr>
          <w:sz w:val="22"/>
          <w:szCs w:val="22"/>
        </w:rPr>
      </w:pPr>
      <w:bookmarkStart w:id="3" w:name="Text10"/>
    </w:p>
    <w:p w:rsidR="005F3D7B" w:rsidRDefault="005F3D7B" w:rsidP="00F23C1F">
      <w:pPr>
        <w:spacing w:after="120" w:line="264" w:lineRule="auto"/>
        <w:ind w:left="851"/>
        <w:rPr>
          <w:sz w:val="22"/>
          <w:szCs w:val="22"/>
        </w:rPr>
      </w:pPr>
    </w:p>
    <w:p w:rsidR="005F3D7B" w:rsidRDefault="005F3D7B" w:rsidP="00412CB7">
      <w:pPr>
        <w:spacing w:after="120" w:line="264" w:lineRule="auto"/>
        <w:ind w:left="1134"/>
        <w:rPr>
          <w:sz w:val="22"/>
          <w:szCs w:val="22"/>
        </w:rPr>
      </w:pPr>
    </w:p>
    <w:p w:rsidR="005F3D7B" w:rsidRPr="000E0650" w:rsidRDefault="005F3D7B" w:rsidP="00412CB7">
      <w:pPr>
        <w:spacing w:after="120" w:line="264" w:lineRule="auto"/>
        <w:ind w:left="1134"/>
        <w:rPr>
          <w:sz w:val="22"/>
          <w:szCs w:val="22"/>
        </w:rPr>
      </w:pPr>
    </w:p>
    <w:bookmarkEnd w:id="3"/>
    <w:p w:rsidR="00313DB3" w:rsidRDefault="008E4D26" w:rsidP="00412CB7">
      <w:pPr>
        <w:spacing w:line="264" w:lineRule="auto"/>
        <w:ind w:left="142"/>
        <w:sectPr w:rsidR="00313DB3" w:rsidSect="005A0A66">
          <w:headerReference w:type="default" r:id="rId9"/>
          <w:footerReference w:type="default" r:id="rId10"/>
          <w:headerReference w:type="first" r:id="rId11"/>
          <w:footerReference w:type="first" r:id="rId12"/>
          <w:pgSz w:w="11907" w:h="16839" w:code="9"/>
          <w:pgMar w:top="1440" w:right="850" w:bottom="1440" w:left="1440" w:header="709" w:footer="709" w:gutter="0"/>
          <w:cols w:space="708"/>
          <w:titlePg/>
          <w:docGrid w:linePitch="360"/>
        </w:sectPr>
      </w:pPr>
      <w:r>
        <w:br w:type="page"/>
      </w:r>
    </w:p>
    <w:p w:rsidR="00264A11" w:rsidRDefault="00264A11" w:rsidP="00412CB7">
      <w:pPr>
        <w:spacing w:line="264" w:lineRule="auto"/>
        <w:ind w:left="142"/>
        <w:sectPr w:rsidR="00264A11" w:rsidSect="00264A11">
          <w:headerReference w:type="default" r:id="rId13"/>
          <w:pgSz w:w="11907" w:h="16839" w:code="9"/>
          <w:pgMar w:top="1440" w:right="1440" w:bottom="1440" w:left="1440" w:header="1417" w:footer="709" w:gutter="0"/>
          <w:pgNumType w:start="1"/>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3"/>
      </w:tblGrid>
      <w:tr w:rsidR="001D285C" w:rsidRPr="007C6571" w:rsidTr="00264A11">
        <w:tc>
          <w:tcPr>
            <w:tcW w:w="9243" w:type="dxa"/>
            <w:tcBorders>
              <w:top w:val="single" w:sz="24" w:space="0" w:color="78A22F"/>
              <w:bottom w:val="single" w:sz="24" w:space="0" w:color="78A22F"/>
            </w:tcBorders>
          </w:tcPr>
          <w:p w:rsidR="00DD31D1" w:rsidRPr="008E4D26" w:rsidRDefault="00DD31D1" w:rsidP="00412CB7">
            <w:pPr>
              <w:spacing w:line="264" w:lineRule="auto"/>
              <w:ind w:left="142"/>
              <w:rPr>
                <w:b/>
                <w:color w:val="78A22F"/>
                <w:sz w:val="36"/>
                <w:szCs w:val="36"/>
              </w:rPr>
            </w:pPr>
            <w:r w:rsidRPr="008E4D26">
              <w:rPr>
                <w:b/>
                <w:color w:val="78A22F"/>
                <w:sz w:val="36"/>
                <w:szCs w:val="36"/>
              </w:rPr>
              <w:lastRenderedPageBreak/>
              <w:t xml:space="preserve">Consultation </w:t>
            </w:r>
            <w:r w:rsidR="008E4D26" w:rsidRPr="008E4D26">
              <w:rPr>
                <w:b/>
                <w:color w:val="78A22F"/>
                <w:sz w:val="36"/>
                <w:szCs w:val="36"/>
              </w:rPr>
              <w:t>r</w:t>
            </w:r>
            <w:r w:rsidRPr="008E4D26">
              <w:rPr>
                <w:b/>
                <w:color w:val="78A22F"/>
                <w:sz w:val="36"/>
                <w:szCs w:val="36"/>
              </w:rPr>
              <w:t>esponse</w:t>
            </w:r>
            <w:r w:rsidR="00846554" w:rsidRPr="008E4D26">
              <w:rPr>
                <w:b/>
                <w:color w:val="78A22F"/>
                <w:sz w:val="36"/>
                <w:szCs w:val="36"/>
              </w:rPr>
              <w:t xml:space="preserve">                                                                 </w:t>
            </w:r>
          </w:p>
          <w:p w:rsidR="0022076B" w:rsidRDefault="009B2742" w:rsidP="009B2742">
            <w:pPr>
              <w:spacing w:line="264" w:lineRule="auto"/>
              <w:ind w:left="142"/>
              <w:rPr>
                <w:rFonts w:cs="Arial"/>
                <w:b/>
                <w:sz w:val="28"/>
                <w:szCs w:val="28"/>
              </w:rPr>
            </w:pPr>
            <w:r>
              <w:rPr>
                <w:rFonts w:cs="Arial"/>
                <w:b/>
                <w:sz w:val="28"/>
                <w:szCs w:val="28"/>
              </w:rPr>
              <w:t>Implementing</w:t>
            </w:r>
            <w:r w:rsidR="0022076B" w:rsidRPr="0022076B">
              <w:rPr>
                <w:rFonts w:cs="Arial"/>
                <w:b/>
                <w:sz w:val="28"/>
                <w:szCs w:val="28"/>
              </w:rPr>
              <w:t xml:space="preserve"> Technical Standards on </w:t>
            </w:r>
            <w:r w:rsidRPr="009B2742">
              <w:rPr>
                <w:rFonts w:cs="Arial"/>
                <w:b/>
                <w:sz w:val="28"/>
                <w:szCs w:val="28"/>
              </w:rPr>
              <w:t>procedures, forms and templates for the provision of information for resolution plans</w:t>
            </w:r>
            <w:r>
              <w:rPr>
                <w:rFonts w:cs="Arial"/>
                <w:b/>
                <w:sz w:val="28"/>
                <w:szCs w:val="28"/>
              </w:rPr>
              <w:t xml:space="preserve"> under Article 11(3) BRRD</w:t>
            </w:r>
          </w:p>
          <w:p w:rsidR="00DD31D1" w:rsidRPr="00EB75F6" w:rsidRDefault="00BB648B" w:rsidP="009B2742">
            <w:pPr>
              <w:spacing w:line="264" w:lineRule="auto"/>
              <w:ind w:left="142"/>
              <w:jc w:val="left"/>
              <w:rPr>
                <w:sz w:val="28"/>
                <w:szCs w:val="28"/>
              </w:rPr>
            </w:pPr>
            <w:r>
              <w:rPr>
                <w:rFonts w:cs="Arial"/>
                <w:sz w:val="28"/>
                <w:szCs w:val="28"/>
              </w:rPr>
              <w:t>14</w:t>
            </w:r>
            <w:r w:rsidR="00EB75F6" w:rsidRPr="00EB75F6">
              <w:rPr>
                <w:rFonts w:cs="Arial"/>
                <w:sz w:val="28"/>
                <w:szCs w:val="28"/>
              </w:rPr>
              <w:t xml:space="preserve"> </w:t>
            </w:r>
            <w:r w:rsidR="002661E9">
              <w:rPr>
                <w:rFonts w:cs="Arial"/>
                <w:sz w:val="28"/>
                <w:szCs w:val="28"/>
              </w:rPr>
              <w:t xml:space="preserve"> </w:t>
            </w:r>
            <w:r w:rsidR="009B2742">
              <w:rPr>
                <w:rFonts w:cs="Arial"/>
                <w:sz w:val="28"/>
                <w:szCs w:val="28"/>
              </w:rPr>
              <w:t>April</w:t>
            </w:r>
            <w:r w:rsidR="00171BDF">
              <w:rPr>
                <w:rFonts w:cs="Arial"/>
                <w:sz w:val="28"/>
                <w:szCs w:val="28"/>
              </w:rPr>
              <w:t xml:space="preserve"> </w:t>
            </w:r>
            <w:r w:rsidR="00EB75F6" w:rsidRPr="00EB75F6">
              <w:rPr>
                <w:rFonts w:cs="Arial"/>
                <w:sz w:val="28"/>
                <w:szCs w:val="28"/>
              </w:rPr>
              <w:t>20</w:t>
            </w:r>
            <w:r w:rsidR="0088739D">
              <w:rPr>
                <w:rFonts w:cs="Arial"/>
                <w:sz w:val="28"/>
                <w:szCs w:val="28"/>
              </w:rPr>
              <w:t>15</w:t>
            </w:r>
            <w:r w:rsidR="00B67AEA" w:rsidRPr="00EB75F6">
              <w:rPr>
                <w:rFonts w:cs="Arial"/>
                <w:sz w:val="28"/>
                <w:szCs w:val="28"/>
              </w:rPr>
              <w:t xml:space="preserve">          </w:t>
            </w:r>
            <w:r w:rsidR="003422FB">
              <w:rPr>
                <w:rFonts w:cs="Arial"/>
                <w:sz w:val="28"/>
                <w:szCs w:val="28"/>
              </w:rPr>
              <w:t xml:space="preserve">   </w:t>
            </w:r>
            <w:r w:rsidR="00C74CF1" w:rsidRPr="00EB75F6">
              <w:rPr>
                <w:rFonts w:cs="Arial"/>
                <w:sz w:val="28"/>
                <w:szCs w:val="28"/>
              </w:rPr>
              <w:t xml:space="preserve">  </w:t>
            </w:r>
            <w:r w:rsidR="00C0371C" w:rsidRPr="00EB75F6">
              <w:rPr>
                <w:rFonts w:cs="Arial"/>
                <w:sz w:val="28"/>
                <w:szCs w:val="28"/>
              </w:rPr>
              <w:br/>
            </w:r>
          </w:p>
        </w:tc>
      </w:tr>
    </w:tbl>
    <w:p w:rsidR="003422FB" w:rsidRDefault="003422FB" w:rsidP="00412CB7">
      <w:pPr>
        <w:pStyle w:val="Default"/>
        <w:spacing w:before="0" w:after="120" w:line="264" w:lineRule="auto"/>
        <w:ind w:left="142"/>
        <w:rPr>
          <w:rFonts w:asciiTheme="majorHAnsi" w:hAnsiTheme="majorHAnsi" w:cs="Arial"/>
          <w:sz w:val="22"/>
          <w:szCs w:val="22"/>
          <w:lang w:val="en-GB"/>
        </w:rPr>
      </w:pPr>
    </w:p>
    <w:p w:rsidR="00602E7C" w:rsidRDefault="00602E7C" w:rsidP="00412CB7">
      <w:pPr>
        <w:pStyle w:val="Default"/>
        <w:spacing w:before="0" w:after="120" w:line="264" w:lineRule="auto"/>
        <w:rPr>
          <w:bCs/>
          <w:sz w:val="22"/>
          <w:szCs w:val="22"/>
        </w:rPr>
      </w:pPr>
      <w:r w:rsidRPr="00E45DE8">
        <w:rPr>
          <w:sz w:val="22"/>
          <w:szCs w:val="22"/>
        </w:rPr>
        <w:t>The Association for Financial Markets in Europe (</w:t>
      </w:r>
      <w:r w:rsidR="002F3918">
        <w:rPr>
          <w:sz w:val="22"/>
          <w:szCs w:val="22"/>
        </w:rPr>
        <w:t>“</w:t>
      </w:r>
      <w:r w:rsidRPr="001D4E8B">
        <w:rPr>
          <w:b/>
          <w:sz w:val="22"/>
          <w:szCs w:val="22"/>
        </w:rPr>
        <w:t>AFME</w:t>
      </w:r>
      <w:r w:rsidR="002F3918">
        <w:rPr>
          <w:sz w:val="22"/>
          <w:szCs w:val="22"/>
        </w:rPr>
        <w:t>”</w:t>
      </w:r>
      <w:r w:rsidRPr="00E45DE8">
        <w:rPr>
          <w:sz w:val="22"/>
          <w:szCs w:val="22"/>
        </w:rPr>
        <w:t>) welcomes the opportunity to comment on the</w:t>
      </w:r>
      <w:r>
        <w:rPr>
          <w:sz w:val="22"/>
          <w:szCs w:val="22"/>
        </w:rPr>
        <w:t xml:space="preserve"> </w:t>
      </w:r>
      <w:r w:rsidRPr="006F1754">
        <w:rPr>
          <w:bCs/>
          <w:sz w:val="22"/>
          <w:szCs w:val="22"/>
        </w:rPr>
        <w:t>European Banking Authority (</w:t>
      </w:r>
      <w:r w:rsidR="002F3918">
        <w:rPr>
          <w:bCs/>
          <w:sz w:val="22"/>
          <w:szCs w:val="22"/>
        </w:rPr>
        <w:t>“</w:t>
      </w:r>
      <w:r w:rsidRPr="001D4E8B">
        <w:rPr>
          <w:b/>
          <w:bCs/>
          <w:sz w:val="22"/>
          <w:szCs w:val="22"/>
        </w:rPr>
        <w:t>EBA</w:t>
      </w:r>
      <w:r w:rsidR="002F3918">
        <w:rPr>
          <w:bCs/>
          <w:sz w:val="22"/>
          <w:szCs w:val="22"/>
        </w:rPr>
        <w:t>”</w:t>
      </w:r>
      <w:r w:rsidRPr="006F1754">
        <w:rPr>
          <w:bCs/>
          <w:sz w:val="22"/>
          <w:szCs w:val="22"/>
        </w:rPr>
        <w:t xml:space="preserve">) Consultation Paper </w:t>
      </w:r>
      <w:r w:rsidRPr="00602E7C">
        <w:rPr>
          <w:sz w:val="22"/>
          <w:szCs w:val="22"/>
        </w:rPr>
        <w:t>(</w:t>
      </w:r>
      <w:r w:rsidR="003654A3">
        <w:rPr>
          <w:sz w:val="22"/>
          <w:szCs w:val="22"/>
        </w:rPr>
        <w:t xml:space="preserve">the </w:t>
      </w:r>
      <w:r w:rsidR="002F3918">
        <w:rPr>
          <w:sz w:val="22"/>
          <w:szCs w:val="22"/>
        </w:rPr>
        <w:t>“</w:t>
      </w:r>
      <w:r w:rsidRPr="001D4E8B">
        <w:rPr>
          <w:b/>
          <w:sz w:val="22"/>
          <w:szCs w:val="22"/>
        </w:rPr>
        <w:t>CP</w:t>
      </w:r>
      <w:r w:rsidR="002F3918">
        <w:rPr>
          <w:sz w:val="22"/>
          <w:szCs w:val="22"/>
        </w:rPr>
        <w:t>”</w:t>
      </w:r>
      <w:r w:rsidRPr="00602E7C">
        <w:rPr>
          <w:sz w:val="22"/>
          <w:szCs w:val="22"/>
        </w:rPr>
        <w:t xml:space="preserve">) on </w:t>
      </w:r>
      <w:r w:rsidR="0088739D" w:rsidRPr="0088739D">
        <w:rPr>
          <w:sz w:val="22"/>
          <w:szCs w:val="22"/>
        </w:rPr>
        <w:t xml:space="preserve">draft </w:t>
      </w:r>
      <w:r w:rsidR="009B2742">
        <w:rPr>
          <w:sz w:val="22"/>
          <w:szCs w:val="22"/>
        </w:rPr>
        <w:t>Implementing</w:t>
      </w:r>
      <w:r w:rsidR="0088739D" w:rsidRPr="0088739D">
        <w:rPr>
          <w:sz w:val="22"/>
          <w:szCs w:val="22"/>
        </w:rPr>
        <w:t xml:space="preserve"> Technical Standards </w:t>
      </w:r>
      <w:r w:rsidR="0088739D">
        <w:rPr>
          <w:sz w:val="22"/>
          <w:szCs w:val="22"/>
        </w:rPr>
        <w:t>(“</w:t>
      </w:r>
      <w:r w:rsidR="009B2742">
        <w:rPr>
          <w:b/>
          <w:sz w:val="22"/>
          <w:szCs w:val="22"/>
        </w:rPr>
        <w:t>I</w:t>
      </w:r>
      <w:r w:rsidR="0088739D" w:rsidRPr="0088739D">
        <w:rPr>
          <w:b/>
          <w:sz w:val="22"/>
          <w:szCs w:val="22"/>
        </w:rPr>
        <w:t>TS</w:t>
      </w:r>
      <w:r w:rsidR="0088739D">
        <w:rPr>
          <w:sz w:val="22"/>
          <w:szCs w:val="22"/>
        </w:rPr>
        <w:t xml:space="preserve">”) </w:t>
      </w:r>
      <w:r w:rsidR="00742ED9">
        <w:rPr>
          <w:sz w:val="22"/>
          <w:szCs w:val="22"/>
        </w:rPr>
        <w:t xml:space="preserve">on </w:t>
      </w:r>
      <w:r w:rsidR="009B2742" w:rsidRPr="009B2742">
        <w:rPr>
          <w:sz w:val="22"/>
          <w:szCs w:val="22"/>
        </w:rPr>
        <w:t>procedures, forms and templates for the provision of information for resolution plans</w:t>
      </w:r>
      <w:r w:rsidR="004A6FA4">
        <w:rPr>
          <w:sz w:val="22"/>
          <w:szCs w:val="22"/>
        </w:rPr>
        <w:t xml:space="preserve"> </w:t>
      </w:r>
      <w:r w:rsidR="009B2742">
        <w:rPr>
          <w:sz w:val="22"/>
          <w:szCs w:val="22"/>
        </w:rPr>
        <w:t xml:space="preserve">under Article 11(3) </w:t>
      </w:r>
      <w:r w:rsidR="004A6FA4">
        <w:rPr>
          <w:sz w:val="22"/>
          <w:szCs w:val="22"/>
        </w:rPr>
        <w:t xml:space="preserve">of the </w:t>
      </w:r>
      <w:r w:rsidR="0088739D" w:rsidRPr="0088739D">
        <w:rPr>
          <w:sz w:val="22"/>
          <w:szCs w:val="22"/>
        </w:rPr>
        <w:t xml:space="preserve">Bank Recovery and Resolution Directive </w:t>
      </w:r>
      <w:r w:rsidR="0022076B">
        <w:rPr>
          <w:sz w:val="22"/>
          <w:szCs w:val="22"/>
        </w:rPr>
        <w:t>(</w:t>
      </w:r>
      <w:r w:rsidR="0022076B" w:rsidRPr="0022076B">
        <w:rPr>
          <w:sz w:val="22"/>
          <w:szCs w:val="22"/>
        </w:rPr>
        <w:t>2014/59/EU</w:t>
      </w:r>
      <w:r w:rsidR="0022076B">
        <w:rPr>
          <w:sz w:val="22"/>
          <w:szCs w:val="22"/>
        </w:rPr>
        <w:t>)</w:t>
      </w:r>
      <w:r w:rsidR="0022076B" w:rsidRPr="0022076B">
        <w:rPr>
          <w:sz w:val="22"/>
          <w:szCs w:val="22"/>
        </w:rPr>
        <w:t xml:space="preserve"> </w:t>
      </w:r>
      <w:r w:rsidR="0088739D">
        <w:rPr>
          <w:sz w:val="22"/>
          <w:szCs w:val="22"/>
        </w:rPr>
        <w:t>(the “</w:t>
      </w:r>
      <w:r w:rsidR="0088739D" w:rsidRPr="0088739D">
        <w:rPr>
          <w:b/>
          <w:sz w:val="22"/>
          <w:szCs w:val="22"/>
        </w:rPr>
        <w:t>BRRD</w:t>
      </w:r>
      <w:r w:rsidR="0088739D">
        <w:rPr>
          <w:sz w:val="22"/>
          <w:szCs w:val="22"/>
        </w:rPr>
        <w:t>”)</w:t>
      </w:r>
      <w:r w:rsidR="009B2742">
        <w:rPr>
          <w:sz w:val="22"/>
          <w:szCs w:val="22"/>
        </w:rPr>
        <w:t xml:space="preserve"> (EBA/CP/2015/01)</w:t>
      </w:r>
      <w:r>
        <w:rPr>
          <w:sz w:val="22"/>
          <w:szCs w:val="22"/>
        </w:rPr>
        <w:t>.</w:t>
      </w:r>
    </w:p>
    <w:p w:rsidR="005A0A66" w:rsidRPr="003E3E21" w:rsidRDefault="005A0A66" w:rsidP="00412CB7">
      <w:pPr>
        <w:pStyle w:val="Default"/>
        <w:spacing w:before="0" w:after="120" w:line="264" w:lineRule="auto"/>
        <w:rPr>
          <w:sz w:val="22"/>
          <w:szCs w:val="22"/>
        </w:rPr>
      </w:pPr>
      <w:r w:rsidRPr="00E917F3">
        <w:rPr>
          <w:sz w:val="22"/>
          <w:szCs w:val="22"/>
          <w:lang w:val="en-GB"/>
        </w:rPr>
        <w:t xml:space="preserve">AFME represents a broad array of European and global participants in the wholesale financial </w:t>
      </w:r>
      <w:r w:rsidRPr="003E3E21">
        <w:rPr>
          <w:sz w:val="22"/>
          <w:szCs w:val="22"/>
        </w:rPr>
        <w:t>markets. Its members comprise pan-EU and global banks as well as key regional banks, brokers, law firms, investors and other financial market participants. We advocate stable, competitive, sustainable European financial markets that support economic growth and benefit society.</w:t>
      </w:r>
      <w:r w:rsidR="00602E7C" w:rsidRPr="00564683">
        <w:rPr>
          <w:sz w:val="18"/>
          <w:vertAlign w:val="superscript"/>
        </w:rPr>
        <w:footnoteReference w:id="1"/>
      </w:r>
    </w:p>
    <w:p w:rsidR="00F368D3" w:rsidRDefault="00F368D3" w:rsidP="00C25D93">
      <w:pPr>
        <w:spacing w:after="120"/>
        <w:rPr>
          <w:bCs/>
          <w:sz w:val="22"/>
          <w:szCs w:val="22"/>
        </w:rPr>
      </w:pPr>
    </w:p>
    <w:p w:rsidR="00F368D3" w:rsidRPr="00F368D3" w:rsidRDefault="00F368D3" w:rsidP="00C25D93">
      <w:pPr>
        <w:spacing w:after="120"/>
        <w:rPr>
          <w:b/>
          <w:color w:val="78A22F"/>
          <w:szCs w:val="36"/>
        </w:rPr>
      </w:pPr>
      <w:r w:rsidRPr="00F368D3">
        <w:rPr>
          <w:b/>
          <w:color w:val="78A22F"/>
          <w:szCs w:val="36"/>
        </w:rPr>
        <w:t xml:space="preserve">A. General comments on the draft </w:t>
      </w:r>
      <w:r w:rsidR="009B2742">
        <w:rPr>
          <w:b/>
          <w:color w:val="78A22F"/>
          <w:szCs w:val="36"/>
        </w:rPr>
        <w:t>I</w:t>
      </w:r>
      <w:r w:rsidRPr="00F368D3">
        <w:rPr>
          <w:b/>
          <w:color w:val="78A22F"/>
          <w:szCs w:val="36"/>
        </w:rPr>
        <w:t>TS</w:t>
      </w:r>
    </w:p>
    <w:p w:rsidR="009B2742" w:rsidRDefault="009B2742" w:rsidP="006223FC">
      <w:pPr>
        <w:pStyle w:val="NormalWeb"/>
        <w:rPr>
          <w:bCs/>
          <w:sz w:val="22"/>
          <w:szCs w:val="22"/>
        </w:rPr>
      </w:pPr>
      <w:r>
        <w:rPr>
          <w:bCs/>
          <w:sz w:val="22"/>
          <w:szCs w:val="22"/>
        </w:rPr>
        <w:t xml:space="preserve">We support the proposed approach of </w:t>
      </w:r>
      <w:r w:rsidR="00870203">
        <w:rPr>
          <w:bCs/>
          <w:sz w:val="22"/>
          <w:szCs w:val="22"/>
        </w:rPr>
        <w:t xml:space="preserve">the ITS to </w:t>
      </w:r>
      <w:r>
        <w:rPr>
          <w:bCs/>
          <w:sz w:val="22"/>
          <w:szCs w:val="22"/>
        </w:rPr>
        <w:t>requir</w:t>
      </w:r>
      <w:r w:rsidR="00870203">
        <w:rPr>
          <w:bCs/>
          <w:sz w:val="22"/>
          <w:szCs w:val="22"/>
        </w:rPr>
        <w:t>e</w:t>
      </w:r>
      <w:r>
        <w:rPr>
          <w:bCs/>
          <w:sz w:val="22"/>
          <w:szCs w:val="22"/>
        </w:rPr>
        <w:t xml:space="preserve"> resolution authorities to first request </w:t>
      </w:r>
      <w:r w:rsidR="00C138CE">
        <w:rPr>
          <w:bCs/>
          <w:sz w:val="22"/>
          <w:szCs w:val="22"/>
        </w:rPr>
        <w:t xml:space="preserve">resolution planning </w:t>
      </w:r>
      <w:r>
        <w:rPr>
          <w:bCs/>
          <w:sz w:val="22"/>
          <w:szCs w:val="22"/>
        </w:rPr>
        <w:t>information from competent authorities</w:t>
      </w:r>
      <w:r w:rsidR="009C2411">
        <w:rPr>
          <w:bCs/>
          <w:sz w:val="22"/>
          <w:szCs w:val="22"/>
        </w:rPr>
        <w:t xml:space="preserve"> </w:t>
      </w:r>
      <w:r w:rsidR="00870203">
        <w:rPr>
          <w:bCs/>
          <w:sz w:val="22"/>
          <w:szCs w:val="22"/>
        </w:rPr>
        <w:t>before making a request to an institution</w:t>
      </w:r>
      <w:r>
        <w:rPr>
          <w:bCs/>
          <w:sz w:val="22"/>
          <w:szCs w:val="22"/>
        </w:rPr>
        <w:t xml:space="preserve"> </w:t>
      </w:r>
      <w:r w:rsidR="009C2411">
        <w:rPr>
          <w:bCs/>
          <w:sz w:val="22"/>
          <w:szCs w:val="22"/>
        </w:rPr>
        <w:t xml:space="preserve">as this embodies </w:t>
      </w:r>
      <w:r w:rsidR="00057EC8">
        <w:rPr>
          <w:bCs/>
          <w:sz w:val="22"/>
          <w:szCs w:val="22"/>
        </w:rPr>
        <w:t xml:space="preserve">the spirit of cooperation </w:t>
      </w:r>
      <w:r w:rsidR="00BB648B">
        <w:rPr>
          <w:bCs/>
          <w:sz w:val="22"/>
          <w:szCs w:val="22"/>
        </w:rPr>
        <w:t xml:space="preserve">required </w:t>
      </w:r>
      <w:r w:rsidR="00057EC8">
        <w:rPr>
          <w:bCs/>
          <w:sz w:val="22"/>
          <w:szCs w:val="22"/>
        </w:rPr>
        <w:t xml:space="preserve">between resolution and competent authorities </w:t>
      </w:r>
      <w:r w:rsidR="00BB648B">
        <w:rPr>
          <w:bCs/>
          <w:sz w:val="22"/>
          <w:szCs w:val="22"/>
        </w:rPr>
        <w:t xml:space="preserve">under </w:t>
      </w:r>
      <w:r w:rsidR="00057EC8">
        <w:rPr>
          <w:bCs/>
          <w:sz w:val="22"/>
          <w:szCs w:val="22"/>
        </w:rPr>
        <w:t xml:space="preserve"> </w:t>
      </w:r>
      <w:r w:rsidR="009C2411">
        <w:rPr>
          <w:bCs/>
          <w:sz w:val="22"/>
          <w:szCs w:val="22"/>
        </w:rPr>
        <w:t>BRRD article</w:t>
      </w:r>
      <w:r w:rsidR="00057EC8">
        <w:rPr>
          <w:bCs/>
          <w:sz w:val="22"/>
          <w:szCs w:val="22"/>
        </w:rPr>
        <w:t>s</w:t>
      </w:r>
      <w:r w:rsidR="009C2411">
        <w:rPr>
          <w:bCs/>
          <w:sz w:val="22"/>
          <w:szCs w:val="22"/>
        </w:rPr>
        <w:t xml:space="preserve"> 11</w:t>
      </w:r>
      <w:r w:rsidR="00057EC8">
        <w:rPr>
          <w:bCs/>
          <w:sz w:val="22"/>
          <w:szCs w:val="22"/>
        </w:rPr>
        <w:t xml:space="preserve"> and 13</w:t>
      </w:r>
      <w:r w:rsidR="009C2411">
        <w:rPr>
          <w:bCs/>
          <w:sz w:val="22"/>
          <w:szCs w:val="22"/>
        </w:rPr>
        <w:t xml:space="preserve">.  </w:t>
      </w:r>
      <w:r w:rsidR="00F2014F">
        <w:rPr>
          <w:bCs/>
          <w:sz w:val="22"/>
          <w:szCs w:val="22"/>
        </w:rPr>
        <w:t>Ar</w:t>
      </w:r>
      <w:r w:rsidR="009C2411">
        <w:rPr>
          <w:bCs/>
          <w:sz w:val="22"/>
          <w:szCs w:val="22"/>
        </w:rPr>
        <w:t xml:space="preserve">ticle 11(2) requires competent authorities to </w:t>
      </w:r>
      <w:r w:rsidR="00F2014F">
        <w:rPr>
          <w:bCs/>
          <w:sz w:val="22"/>
          <w:szCs w:val="22"/>
        </w:rPr>
        <w:t>cooperate with</w:t>
      </w:r>
      <w:r w:rsidR="009C2411">
        <w:rPr>
          <w:bCs/>
          <w:sz w:val="22"/>
          <w:szCs w:val="22"/>
        </w:rPr>
        <w:t xml:space="preserve"> resolution authorities </w:t>
      </w:r>
      <w:r w:rsidR="00F2014F">
        <w:rPr>
          <w:bCs/>
          <w:sz w:val="22"/>
          <w:szCs w:val="22"/>
        </w:rPr>
        <w:t xml:space="preserve">to verify whether </w:t>
      </w:r>
      <w:r w:rsidR="009C2411">
        <w:rPr>
          <w:bCs/>
          <w:sz w:val="22"/>
          <w:szCs w:val="22"/>
        </w:rPr>
        <w:t xml:space="preserve">the information </w:t>
      </w:r>
      <w:r w:rsidR="00F2014F">
        <w:rPr>
          <w:bCs/>
          <w:sz w:val="22"/>
          <w:szCs w:val="22"/>
        </w:rPr>
        <w:t>is already available and if so to provide it to the resolution authority</w:t>
      </w:r>
      <w:r w:rsidR="009C2411">
        <w:rPr>
          <w:bCs/>
          <w:sz w:val="22"/>
          <w:szCs w:val="22"/>
        </w:rPr>
        <w:t xml:space="preserve">. </w:t>
      </w:r>
      <w:r w:rsidR="002F2B69">
        <w:rPr>
          <w:rFonts w:asciiTheme="majorHAnsi" w:hAnsiTheme="majorHAnsi" w:cstheme="minorBidi"/>
          <w:bCs/>
          <w:sz w:val="22"/>
          <w:szCs w:val="22"/>
        </w:rPr>
        <w:t>W</w:t>
      </w:r>
      <w:r w:rsidR="00030EF0">
        <w:rPr>
          <w:rFonts w:asciiTheme="majorHAnsi" w:hAnsiTheme="majorHAnsi" w:cstheme="minorBidi"/>
          <w:bCs/>
          <w:sz w:val="22"/>
          <w:szCs w:val="22"/>
        </w:rPr>
        <w:t>e believe</w:t>
      </w:r>
      <w:r w:rsidR="00870203">
        <w:rPr>
          <w:rFonts w:asciiTheme="majorHAnsi" w:hAnsiTheme="majorHAnsi" w:cstheme="minorBidi"/>
          <w:bCs/>
          <w:sz w:val="22"/>
          <w:szCs w:val="22"/>
        </w:rPr>
        <w:t xml:space="preserve">, however, that the ITS should go further and </w:t>
      </w:r>
      <w:r w:rsidR="009C2411">
        <w:rPr>
          <w:rFonts w:asciiTheme="majorHAnsi" w:hAnsiTheme="majorHAnsi" w:cstheme="minorBidi"/>
          <w:bCs/>
          <w:sz w:val="22"/>
          <w:szCs w:val="22"/>
        </w:rPr>
        <w:t>not allow resolution authorities to go direct to the institution simp</w:t>
      </w:r>
      <w:r w:rsidR="00870203">
        <w:rPr>
          <w:rFonts w:asciiTheme="majorHAnsi" w:hAnsiTheme="majorHAnsi" w:cstheme="minorBidi"/>
          <w:bCs/>
          <w:sz w:val="22"/>
          <w:szCs w:val="22"/>
        </w:rPr>
        <w:t>ly because the information</w:t>
      </w:r>
      <w:r w:rsidR="00F2014F">
        <w:rPr>
          <w:rFonts w:asciiTheme="majorHAnsi" w:hAnsiTheme="majorHAnsi" w:cstheme="minorBidi"/>
          <w:bCs/>
          <w:sz w:val="22"/>
          <w:szCs w:val="22"/>
        </w:rPr>
        <w:t xml:space="preserve"> provided by the </w:t>
      </w:r>
      <w:r w:rsidR="00870203">
        <w:rPr>
          <w:rFonts w:asciiTheme="majorHAnsi" w:hAnsiTheme="majorHAnsi" w:cstheme="minorBidi"/>
          <w:bCs/>
          <w:sz w:val="22"/>
          <w:szCs w:val="22"/>
        </w:rPr>
        <w:t>competent authority is not in a format</w:t>
      </w:r>
      <w:r w:rsidR="00030EF0">
        <w:rPr>
          <w:rFonts w:asciiTheme="majorHAnsi" w:hAnsiTheme="majorHAnsi" w:cstheme="minorBidi"/>
          <w:bCs/>
          <w:sz w:val="22"/>
          <w:szCs w:val="22"/>
        </w:rPr>
        <w:t xml:space="preserve"> </w:t>
      </w:r>
      <w:r w:rsidR="009C2411">
        <w:rPr>
          <w:rFonts w:asciiTheme="majorHAnsi" w:hAnsiTheme="majorHAnsi" w:cstheme="minorBidi"/>
          <w:bCs/>
          <w:sz w:val="22"/>
          <w:szCs w:val="22"/>
        </w:rPr>
        <w:t>that is satisfactory to the</w:t>
      </w:r>
      <w:r w:rsidR="00BB648B">
        <w:rPr>
          <w:rFonts w:asciiTheme="majorHAnsi" w:hAnsiTheme="majorHAnsi" w:cstheme="minorBidi"/>
          <w:bCs/>
          <w:sz w:val="22"/>
          <w:szCs w:val="22"/>
        </w:rPr>
        <w:t xml:space="preserve"> </w:t>
      </w:r>
      <w:r w:rsidR="00030EF0">
        <w:rPr>
          <w:rFonts w:asciiTheme="majorHAnsi" w:hAnsiTheme="majorHAnsi" w:cstheme="minorBidi"/>
          <w:bCs/>
          <w:sz w:val="22"/>
          <w:szCs w:val="22"/>
        </w:rPr>
        <w:t>resolution authority</w:t>
      </w:r>
      <w:r w:rsidR="009C2411">
        <w:rPr>
          <w:rFonts w:asciiTheme="majorHAnsi" w:hAnsiTheme="majorHAnsi" w:cstheme="minorBidi"/>
          <w:bCs/>
          <w:sz w:val="22"/>
          <w:szCs w:val="22"/>
        </w:rPr>
        <w:t>.</w:t>
      </w:r>
      <w:r w:rsidR="00F2014F">
        <w:rPr>
          <w:rFonts w:asciiTheme="majorHAnsi" w:hAnsiTheme="majorHAnsi" w:cstheme="minorBidi"/>
          <w:bCs/>
          <w:sz w:val="22"/>
          <w:szCs w:val="22"/>
        </w:rPr>
        <w:t xml:space="preserve"> </w:t>
      </w:r>
      <w:r w:rsidR="009C2411">
        <w:rPr>
          <w:rFonts w:asciiTheme="majorHAnsi" w:hAnsiTheme="majorHAnsi" w:cstheme="minorBidi"/>
          <w:bCs/>
          <w:sz w:val="22"/>
          <w:szCs w:val="22"/>
        </w:rPr>
        <w:t xml:space="preserve"> </w:t>
      </w:r>
      <w:r w:rsidR="00F2014F">
        <w:rPr>
          <w:rFonts w:asciiTheme="majorHAnsi" w:hAnsiTheme="majorHAnsi" w:cstheme="minorBidi"/>
          <w:bCs/>
          <w:sz w:val="22"/>
          <w:szCs w:val="22"/>
        </w:rPr>
        <w:t>A</w:t>
      </w:r>
      <w:r w:rsidR="009C2411">
        <w:rPr>
          <w:rFonts w:asciiTheme="majorHAnsi" w:hAnsiTheme="majorHAnsi" w:cstheme="minorBidi"/>
          <w:bCs/>
          <w:sz w:val="22"/>
          <w:szCs w:val="22"/>
        </w:rPr>
        <w:t xml:space="preserve">uthorities </w:t>
      </w:r>
      <w:r w:rsidR="00F2014F">
        <w:rPr>
          <w:rFonts w:asciiTheme="majorHAnsi" w:hAnsiTheme="majorHAnsi" w:cstheme="minorBidi"/>
          <w:bCs/>
          <w:sz w:val="22"/>
          <w:szCs w:val="22"/>
        </w:rPr>
        <w:t>are in the best position to agree</w:t>
      </w:r>
      <w:r w:rsidR="009C2411">
        <w:rPr>
          <w:rFonts w:asciiTheme="majorHAnsi" w:hAnsiTheme="majorHAnsi" w:cstheme="minorBidi"/>
          <w:bCs/>
          <w:sz w:val="22"/>
          <w:szCs w:val="22"/>
        </w:rPr>
        <w:t xml:space="preserve"> the format </w:t>
      </w:r>
      <w:r w:rsidR="00BB648B">
        <w:rPr>
          <w:rFonts w:asciiTheme="majorHAnsi" w:hAnsiTheme="majorHAnsi" w:cstheme="minorBidi"/>
          <w:bCs/>
          <w:sz w:val="22"/>
          <w:szCs w:val="22"/>
        </w:rPr>
        <w:t>the competent authority should use to provide</w:t>
      </w:r>
      <w:r w:rsidR="009C2411">
        <w:rPr>
          <w:rFonts w:asciiTheme="majorHAnsi" w:hAnsiTheme="majorHAnsi" w:cstheme="minorBidi"/>
          <w:bCs/>
          <w:sz w:val="22"/>
          <w:szCs w:val="22"/>
        </w:rPr>
        <w:t xml:space="preserve"> information</w:t>
      </w:r>
      <w:r w:rsidR="00F2014F">
        <w:rPr>
          <w:rFonts w:asciiTheme="majorHAnsi" w:hAnsiTheme="majorHAnsi" w:cstheme="minorBidi"/>
          <w:bCs/>
          <w:sz w:val="22"/>
          <w:szCs w:val="22"/>
        </w:rPr>
        <w:t xml:space="preserve"> </w:t>
      </w:r>
      <w:r w:rsidR="00BB648B">
        <w:rPr>
          <w:rFonts w:asciiTheme="majorHAnsi" w:hAnsiTheme="majorHAnsi" w:cstheme="minorBidi"/>
          <w:bCs/>
          <w:sz w:val="22"/>
          <w:szCs w:val="22"/>
        </w:rPr>
        <w:t>to the resolution authority and so should they do. Only w</w:t>
      </w:r>
      <w:r w:rsidR="004F756B">
        <w:rPr>
          <w:rFonts w:asciiTheme="majorHAnsi" w:hAnsiTheme="majorHAnsi" w:cstheme="minorBidi"/>
          <w:bCs/>
          <w:sz w:val="22"/>
          <w:szCs w:val="22"/>
        </w:rPr>
        <w:t>here additional information is neede</w:t>
      </w:r>
      <w:r w:rsidR="00F2014F">
        <w:rPr>
          <w:rFonts w:asciiTheme="majorHAnsi" w:hAnsiTheme="majorHAnsi" w:cstheme="minorBidi"/>
          <w:bCs/>
          <w:sz w:val="22"/>
          <w:szCs w:val="22"/>
        </w:rPr>
        <w:t xml:space="preserve">d and it </w:t>
      </w:r>
      <w:r w:rsidR="004F756B">
        <w:rPr>
          <w:rFonts w:asciiTheme="majorHAnsi" w:hAnsiTheme="majorHAnsi" w:cstheme="minorBidi"/>
          <w:bCs/>
          <w:sz w:val="22"/>
          <w:szCs w:val="22"/>
        </w:rPr>
        <w:t xml:space="preserve">is unavailable from the competent authority should the resolution authority be able to go direct to the institution.  This approach creates incentives for the authorities to cooperate </w:t>
      </w:r>
      <w:r w:rsidR="00456758">
        <w:rPr>
          <w:rFonts w:asciiTheme="majorHAnsi" w:hAnsiTheme="majorHAnsi" w:cstheme="minorBidi"/>
          <w:bCs/>
          <w:sz w:val="22"/>
          <w:szCs w:val="22"/>
        </w:rPr>
        <w:t>as required by</w:t>
      </w:r>
      <w:r w:rsidR="004F756B">
        <w:rPr>
          <w:rFonts w:asciiTheme="majorHAnsi" w:hAnsiTheme="majorHAnsi" w:cstheme="minorBidi"/>
          <w:bCs/>
          <w:sz w:val="22"/>
          <w:szCs w:val="22"/>
        </w:rPr>
        <w:t xml:space="preserve"> the level 1 text.  Our remaining comments apply to where the resolution authority</w:t>
      </w:r>
      <w:r w:rsidR="00456758">
        <w:rPr>
          <w:rFonts w:asciiTheme="majorHAnsi" w:hAnsiTheme="majorHAnsi" w:cstheme="minorBidi"/>
          <w:bCs/>
          <w:sz w:val="22"/>
          <w:szCs w:val="22"/>
        </w:rPr>
        <w:t xml:space="preserve"> must</w:t>
      </w:r>
      <w:r w:rsidR="004F756B">
        <w:rPr>
          <w:rFonts w:asciiTheme="majorHAnsi" w:hAnsiTheme="majorHAnsi" w:cstheme="minorBidi"/>
          <w:bCs/>
          <w:sz w:val="22"/>
          <w:szCs w:val="22"/>
        </w:rPr>
        <w:t xml:space="preserve"> go direct to the institution, which we envision to be the exception to the rule </w:t>
      </w:r>
      <w:r w:rsidR="00456758">
        <w:rPr>
          <w:rFonts w:asciiTheme="majorHAnsi" w:hAnsiTheme="majorHAnsi" w:cstheme="minorBidi"/>
          <w:bCs/>
          <w:sz w:val="22"/>
          <w:szCs w:val="22"/>
        </w:rPr>
        <w:t xml:space="preserve">rather than the </w:t>
      </w:r>
      <w:r w:rsidR="00F2014F">
        <w:rPr>
          <w:rFonts w:asciiTheme="majorHAnsi" w:hAnsiTheme="majorHAnsi" w:cstheme="minorBidi"/>
          <w:bCs/>
          <w:sz w:val="22"/>
          <w:szCs w:val="22"/>
        </w:rPr>
        <w:t>standard practice</w:t>
      </w:r>
      <w:r w:rsidR="004F756B">
        <w:rPr>
          <w:rFonts w:asciiTheme="majorHAnsi" w:hAnsiTheme="majorHAnsi" w:cstheme="minorBidi"/>
          <w:bCs/>
          <w:sz w:val="22"/>
          <w:szCs w:val="22"/>
        </w:rPr>
        <w:t xml:space="preserve">. </w:t>
      </w:r>
    </w:p>
    <w:p w:rsidR="008B0404" w:rsidRDefault="00BB648B" w:rsidP="00C25D93">
      <w:pPr>
        <w:spacing w:after="120"/>
        <w:rPr>
          <w:bCs/>
          <w:sz w:val="22"/>
          <w:szCs w:val="22"/>
        </w:rPr>
      </w:pPr>
      <w:r>
        <w:rPr>
          <w:bCs/>
          <w:sz w:val="22"/>
          <w:szCs w:val="22"/>
        </w:rPr>
        <w:t xml:space="preserve">Where the resolution authority </w:t>
      </w:r>
      <w:r w:rsidR="002133CB">
        <w:rPr>
          <w:bCs/>
          <w:sz w:val="22"/>
          <w:szCs w:val="22"/>
        </w:rPr>
        <w:t>makes a direct request</w:t>
      </w:r>
      <w:r>
        <w:rPr>
          <w:bCs/>
          <w:sz w:val="22"/>
          <w:szCs w:val="22"/>
        </w:rPr>
        <w:t xml:space="preserve"> to </w:t>
      </w:r>
      <w:r w:rsidR="002133CB">
        <w:rPr>
          <w:bCs/>
          <w:sz w:val="22"/>
          <w:szCs w:val="22"/>
        </w:rPr>
        <w:t>an</w:t>
      </w:r>
      <w:r>
        <w:rPr>
          <w:bCs/>
          <w:sz w:val="22"/>
          <w:szCs w:val="22"/>
        </w:rPr>
        <w:t xml:space="preserve"> institution </w:t>
      </w:r>
      <w:r w:rsidR="00336F85">
        <w:rPr>
          <w:bCs/>
          <w:sz w:val="22"/>
          <w:szCs w:val="22"/>
        </w:rPr>
        <w:t>a</w:t>
      </w:r>
      <w:r w:rsidR="009B2742">
        <w:rPr>
          <w:bCs/>
          <w:sz w:val="22"/>
          <w:szCs w:val="22"/>
        </w:rPr>
        <w:t xml:space="preserve">rticle 2(4) of the draft ITS </w:t>
      </w:r>
      <w:r>
        <w:rPr>
          <w:bCs/>
          <w:sz w:val="22"/>
          <w:szCs w:val="22"/>
        </w:rPr>
        <w:t>r</w:t>
      </w:r>
      <w:r w:rsidR="00336F85">
        <w:rPr>
          <w:bCs/>
          <w:sz w:val="22"/>
          <w:szCs w:val="22"/>
        </w:rPr>
        <w:t>equire</w:t>
      </w:r>
      <w:r>
        <w:rPr>
          <w:bCs/>
          <w:sz w:val="22"/>
          <w:szCs w:val="22"/>
        </w:rPr>
        <w:t>s the information to be provided in the standard forms and templates contained in the annexes to the regulation</w:t>
      </w:r>
      <w:r w:rsidR="002133CB">
        <w:rPr>
          <w:bCs/>
          <w:sz w:val="22"/>
          <w:szCs w:val="22"/>
        </w:rPr>
        <w:t xml:space="preserve"> for certain basic information listed in article 3 (structure, governance, etc).  For information not listed in article 3 the resolution authority shall specify the </w:t>
      </w:r>
      <w:r w:rsidR="002133CB">
        <w:rPr>
          <w:bCs/>
          <w:sz w:val="22"/>
          <w:szCs w:val="22"/>
        </w:rPr>
        <w:lastRenderedPageBreak/>
        <w:t>format</w:t>
      </w:r>
      <w:r>
        <w:rPr>
          <w:bCs/>
          <w:sz w:val="22"/>
          <w:szCs w:val="22"/>
        </w:rPr>
        <w:t xml:space="preserve">.  We think </w:t>
      </w:r>
      <w:r w:rsidR="002133CB">
        <w:rPr>
          <w:bCs/>
          <w:sz w:val="22"/>
          <w:szCs w:val="22"/>
        </w:rPr>
        <w:t>the title of article 3</w:t>
      </w:r>
      <w:r w:rsidR="001933C6">
        <w:rPr>
          <w:bCs/>
          <w:sz w:val="22"/>
          <w:szCs w:val="22"/>
        </w:rPr>
        <w:t xml:space="preserve"> “Minimum set of information included in t</w:t>
      </w:r>
      <w:r w:rsidR="002133CB">
        <w:rPr>
          <w:bCs/>
          <w:sz w:val="22"/>
          <w:szCs w:val="22"/>
        </w:rPr>
        <w:t>he standard forms and templates</w:t>
      </w:r>
      <w:r w:rsidR="001933C6">
        <w:rPr>
          <w:bCs/>
          <w:sz w:val="22"/>
          <w:szCs w:val="22"/>
        </w:rPr>
        <w:t xml:space="preserve">” </w:t>
      </w:r>
      <w:r w:rsidR="00336F85">
        <w:rPr>
          <w:bCs/>
          <w:sz w:val="22"/>
          <w:szCs w:val="22"/>
        </w:rPr>
        <w:t>i</w:t>
      </w:r>
      <w:r w:rsidR="002133CB">
        <w:rPr>
          <w:bCs/>
          <w:sz w:val="22"/>
          <w:szCs w:val="22"/>
        </w:rPr>
        <w:t xml:space="preserve">s misleading because it may imply </w:t>
      </w:r>
      <w:r w:rsidR="00336F85">
        <w:rPr>
          <w:bCs/>
          <w:sz w:val="22"/>
          <w:szCs w:val="22"/>
        </w:rPr>
        <w:t xml:space="preserve">that it requires a minimum set of information to be provided by institutions regardless of whether or not it is requested by the resolution authority from the </w:t>
      </w:r>
      <w:r w:rsidR="002133CB">
        <w:rPr>
          <w:bCs/>
          <w:sz w:val="22"/>
          <w:szCs w:val="22"/>
        </w:rPr>
        <w:t>institution under article 2(3), when in reality it is simply the information for which the EBA has developed templates.</w:t>
      </w:r>
    </w:p>
    <w:p w:rsidR="00C138CE" w:rsidRDefault="002133CB" w:rsidP="008B0404">
      <w:pPr>
        <w:autoSpaceDE w:val="0"/>
        <w:autoSpaceDN w:val="0"/>
        <w:adjustRightInd w:val="0"/>
        <w:spacing w:line="264" w:lineRule="auto"/>
        <w:rPr>
          <w:bCs/>
          <w:sz w:val="22"/>
          <w:szCs w:val="22"/>
        </w:rPr>
      </w:pPr>
      <w:r>
        <w:rPr>
          <w:bCs/>
          <w:sz w:val="22"/>
          <w:szCs w:val="22"/>
        </w:rPr>
        <w:t>We suggest</w:t>
      </w:r>
      <w:r w:rsidR="00C138CE">
        <w:rPr>
          <w:bCs/>
          <w:sz w:val="22"/>
          <w:szCs w:val="22"/>
        </w:rPr>
        <w:t xml:space="preserve"> the ITS clarify that the institution must fill out a template only to the exten</w:t>
      </w:r>
      <w:r>
        <w:rPr>
          <w:bCs/>
          <w:sz w:val="22"/>
          <w:szCs w:val="22"/>
        </w:rPr>
        <w:t xml:space="preserve">t of the information requested.  </w:t>
      </w:r>
      <w:r w:rsidR="00C138CE">
        <w:rPr>
          <w:bCs/>
          <w:sz w:val="22"/>
          <w:szCs w:val="22"/>
        </w:rPr>
        <w:t>On the face of the annexes it would appear that an institution must complet</w:t>
      </w:r>
      <w:r w:rsidR="00A422D1">
        <w:rPr>
          <w:bCs/>
          <w:sz w:val="22"/>
          <w:szCs w:val="22"/>
        </w:rPr>
        <w:t>e the templates in toto even if only some of the information is being requested.</w:t>
      </w:r>
    </w:p>
    <w:p w:rsidR="000D0CC4" w:rsidRDefault="000D0CC4" w:rsidP="008B0404">
      <w:pPr>
        <w:autoSpaceDE w:val="0"/>
        <w:autoSpaceDN w:val="0"/>
        <w:adjustRightInd w:val="0"/>
        <w:spacing w:line="264" w:lineRule="auto"/>
        <w:rPr>
          <w:bCs/>
          <w:sz w:val="22"/>
          <w:szCs w:val="22"/>
        </w:rPr>
      </w:pPr>
      <w:r>
        <w:rPr>
          <w:bCs/>
          <w:sz w:val="22"/>
          <w:szCs w:val="22"/>
        </w:rPr>
        <w:t>We recommend article</w:t>
      </w:r>
      <w:r w:rsidR="00DD0D16" w:rsidRPr="00DD0D16">
        <w:rPr>
          <w:bCs/>
          <w:sz w:val="22"/>
          <w:szCs w:val="22"/>
        </w:rPr>
        <w:t xml:space="preserve"> 2(6)(a)</w:t>
      </w:r>
      <w:r>
        <w:rPr>
          <w:bCs/>
          <w:sz w:val="22"/>
          <w:szCs w:val="22"/>
        </w:rPr>
        <w:t xml:space="preserve"> of the draft RTS </w:t>
      </w:r>
      <w:r w:rsidR="00DD0D16" w:rsidRPr="00DD0D16">
        <w:rPr>
          <w:bCs/>
          <w:sz w:val="22"/>
          <w:szCs w:val="22"/>
        </w:rPr>
        <w:t xml:space="preserve">place some level of obligation on </w:t>
      </w:r>
      <w:r>
        <w:rPr>
          <w:bCs/>
          <w:sz w:val="22"/>
          <w:szCs w:val="22"/>
        </w:rPr>
        <w:t>resolution authorities</w:t>
      </w:r>
      <w:r w:rsidR="00DD0D16" w:rsidRPr="00DD0D16">
        <w:rPr>
          <w:bCs/>
          <w:sz w:val="22"/>
          <w:szCs w:val="22"/>
        </w:rPr>
        <w:t xml:space="preserve">s in relation to the timeframes they can set </w:t>
      </w:r>
      <w:r>
        <w:rPr>
          <w:bCs/>
          <w:sz w:val="22"/>
          <w:szCs w:val="22"/>
        </w:rPr>
        <w:t xml:space="preserve">for </w:t>
      </w:r>
      <w:r w:rsidR="00DD0D16" w:rsidRPr="00DD0D16">
        <w:rPr>
          <w:bCs/>
          <w:sz w:val="22"/>
          <w:szCs w:val="22"/>
        </w:rPr>
        <w:t>firms to provide the info</w:t>
      </w:r>
      <w:r>
        <w:rPr>
          <w:bCs/>
          <w:sz w:val="22"/>
          <w:szCs w:val="22"/>
        </w:rPr>
        <w:t xml:space="preserve">rmation instead of </w:t>
      </w:r>
      <w:r w:rsidR="00DD0D16" w:rsidRPr="00DD0D16">
        <w:rPr>
          <w:bCs/>
          <w:sz w:val="22"/>
          <w:szCs w:val="22"/>
        </w:rPr>
        <w:t>just “appropriate timeframe</w:t>
      </w:r>
      <w:r>
        <w:rPr>
          <w:bCs/>
          <w:sz w:val="22"/>
          <w:szCs w:val="22"/>
        </w:rPr>
        <w:t>.</w:t>
      </w:r>
      <w:r w:rsidR="00DD0D16" w:rsidRPr="00DD0D16">
        <w:rPr>
          <w:bCs/>
          <w:sz w:val="22"/>
          <w:szCs w:val="22"/>
        </w:rPr>
        <w:t xml:space="preserve">” </w:t>
      </w:r>
      <w:r>
        <w:rPr>
          <w:bCs/>
          <w:sz w:val="22"/>
          <w:szCs w:val="22"/>
        </w:rPr>
        <w:t xml:space="preserve">(It is unclear;  </w:t>
      </w:r>
      <w:r w:rsidR="00DD0D16" w:rsidRPr="00DD0D16">
        <w:rPr>
          <w:bCs/>
          <w:sz w:val="22"/>
          <w:szCs w:val="22"/>
        </w:rPr>
        <w:t xml:space="preserve">“appropriate” by reference to what?).  In setting timeframes </w:t>
      </w:r>
      <w:r>
        <w:rPr>
          <w:bCs/>
          <w:sz w:val="22"/>
          <w:szCs w:val="22"/>
        </w:rPr>
        <w:t>resolution authoritie</w:t>
      </w:r>
      <w:r w:rsidR="00DD0D16" w:rsidRPr="00DD0D16">
        <w:rPr>
          <w:bCs/>
          <w:sz w:val="22"/>
          <w:szCs w:val="22"/>
        </w:rPr>
        <w:t>s should be required to take into account the volume and complexity of the information required, etc.</w:t>
      </w:r>
    </w:p>
    <w:p w:rsidR="008B0404" w:rsidRPr="00030EF0" w:rsidRDefault="004A67A6" w:rsidP="008B0404">
      <w:pPr>
        <w:autoSpaceDE w:val="0"/>
        <w:autoSpaceDN w:val="0"/>
        <w:adjustRightInd w:val="0"/>
        <w:spacing w:line="264" w:lineRule="auto"/>
        <w:rPr>
          <w:b/>
          <w:bCs/>
          <w:sz w:val="22"/>
          <w:szCs w:val="22"/>
        </w:rPr>
      </w:pPr>
      <w:r>
        <w:rPr>
          <w:bCs/>
          <w:sz w:val="22"/>
          <w:szCs w:val="22"/>
        </w:rPr>
        <w:t xml:space="preserve">The information provided should be limited to that which is relevant to the development of resolution plans. </w:t>
      </w:r>
      <w:r w:rsidR="002133CB">
        <w:rPr>
          <w:bCs/>
          <w:sz w:val="22"/>
          <w:szCs w:val="22"/>
        </w:rPr>
        <w:t xml:space="preserve"> </w:t>
      </w:r>
      <w:r w:rsidR="00E8613E">
        <w:rPr>
          <w:bCs/>
          <w:sz w:val="22"/>
          <w:szCs w:val="22"/>
        </w:rPr>
        <w:t>F</w:t>
      </w:r>
      <w:r w:rsidR="008B0404">
        <w:rPr>
          <w:bCs/>
          <w:sz w:val="22"/>
          <w:szCs w:val="22"/>
        </w:rPr>
        <w:t xml:space="preserve">or the reporting in the templates to </w:t>
      </w:r>
      <w:r w:rsidR="008B0404" w:rsidRPr="008B0404">
        <w:rPr>
          <w:bCs/>
          <w:sz w:val="22"/>
          <w:szCs w:val="22"/>
        </w:rPr>
        <w:t xml:space="preserve">be practical and useful, </w:t>
      </w:r>
      <w:r w:rsidR="008B0404">
        <w:rPr>
          <w:bCs/>
          <w:sz w:val="22"/>
          <w:szCs w:val="22"/>
        </w:rPr>
        <w:t xml:space="preserve">we believe they </w:t>
      </w:r>
      <w:r w:rsidR="00837F4B">
        <w:rPr>
          <w:bCs/>
          <w:sz w:val="22"/>
          <w:szCs w:val="22"/>
        </w:rPr>
        <w:t>could</w:t>
      </w:r>
      <w:r w:rsidR="008B0404">
        <w:rPr>
          <w:bCs/>
          <w:sz w:val="22"/>
          <w:szCs w:val="22"/>
        </w:rPr>
        <w:t xml:space="preserve"> </w:t>
      </w:r>
      <w:r w:rsidR="008B0404" w:rsidRPr="008B0404">
        <w:rPr>
          <w:bCs/>
          <w:sz w:val="22"/>
          <w:szCs w:val="22"/>
        </w:rPr>
        <w:t xml:space="preserve">(i) provide clearer instructions, (ii) focus on Significant Legal Entities only and allow firms to define a level of materiality threshold reflecting their business model, </w:t>
      </w:r>
      <w:r w:rsidR="008B0404">
        <w:rPr>
          <w:bCs/>
          <w:sz w:val="22"/>
          <w:szCs w:val="22"/>
        </w:rPr>
        <w:t xml:space="preserve">and </w:t>
      </w:r>
      <w:r w:rsidR="008B0404" w:rsidRPr="008B0404">
        <w:rPr>
          <w:bCs/>
          <w:sz w:val="22"/>
          <w:szCs w:val="22"/>
        </w:rPr>
        <w:t>(iii) avoid ‘catch-all’ categories which leave room for interpretation.</w:t>
      </w:r>
      <w:r w:rsidR="00030EF0">
        <w:rPr>
          <w:bCs/>
          <w:sz w:val="22"/>
          <w:szCs w:val="22"/>
        </w:rPr>
        <w:t xml:space="preserve">  </w:t>
      </w:r>
    </w:p>
    <w:p w:rsidR="00C138CE" w:rsidRPr="00852425" w:rsidRDefault="00C138CE" w:rsidP="00C138CE">
      <w:pPr>
        <w:pStyle w:val="NormalWeb"/>
        <w:rPr>
          <w:rFonts w:asciiTheme="majorHAnsi" w:hAnsiTheme="majorHAnsi" w:cstheme="minorBidi"/>
          <w:bCs/>
          <w:sz w:val="22"/>
          <w:szCs w:val="22"/>
        </w:rPr>
      </w:pPr>
      <w:r>
        <w:rPr>
          <w:rFonts w:asciiTheme="majorHAnsi" w:hAnsiTheme="majorHAnsi" w:cstheme="minorBidi"/>
          <w:bCs/>
          <w:sz w:val="22"/>
          <w:szCs w:val="22"/>
        </w:rPr>
        <w:t xml:space="preserve">We recommend that the </w:t>
      </w:r>
      <w:r w:rsidRPr="00852425">
        <w:rPr>
          <w:rFonts w:asciiTheme="majorHAnsi" w:hAnsiTheme="majorHAnsi" w:cstheme="minorBidi"/>
          <w:bCs/>
          <w:sz w:val="22"/>
          <w:szCs w:val="22"/>
        </w:rPr>
        <w:t xml:space="preserve">templates </w:t>
      </w:r>
      <w:r>
        <w:rPr>
          <w:rFonts w:asciiTheme="majorHAnsi" w:hAnsiTheme="majorHAnsi" w:cstheme="minorBidi"/>
          <w:bCs/>
          <w:sz w:val="22"/>
          <w:szCs w:val="22"/>
        </w:rPr>
        <w:t xml:space="preserve">using a quantitative materiality threshold include </w:t>
      </w:r>
      <w:r w:rsidR="00456758">
        <w:rPr>
          <w:rFonts w:asciiTheme="majorHAnsi" w:hAnsiTheme="majorHAnsi" w:cstheme="minorBidi"/>
          <w:bCs/>
          <w:sz w:val="22"/>
          <w:szCs w:val="22"/>
        </w:rPr>
        <w:t xml:space="preserve">Annex IV - Critical counterparties, </w:t>
      </w:r>
      <w:r>
        <w:rPr>
          <w:rFonts w:asciiTheme="majorHAnsi" w:hAnsiTheme="majorHAnsi" w:cstheme="minorBidi"/>
          <w:bCs/>
          <w:sz w:val="22"/>
          <w:szCs w:val="22"/>
        </w:rPr>
        <w:t xml:space="preserve">Annex VI – Funding sources, Annex VII – Off-balance sheet, </w:t>
      </w:r>
      <w:r w:rsidRPr="00852425">
        <w:rPr>
          <w:rFonts w:asciiTheme="majorHAnsi" w:hAnsiTheme="majorHAnsi" w:cstheme="minorBidi"/>
          <w:bCs/>
          <w:sz w:val="22"/>
          <w:szCs w:val="22"/>
        </w:rPr>
        <w:t>Annex VIII - Payment Systems</w:t>
      </w:r>
      <w:r>
        <w:rPr>
          <w:rFonts w:asciiTheme="majorHAnsi" w:hAnsiTheme="majorHAnsi" w:cstheme="minorBidi"/>
          <w:bCs/>
          <w:sz w:val="22"/>
          <w:szCs w:val="22"/>
        </w:rPr>
        <w:t xml:space="preserve">, </w:t>
      </w:r>
      <w:r w:rsidRPr="00852425">
        <w:rPr>
          <w:rFonts w:asciiTheme="majorHAnsi" w:hAnsiTheme="majorHAnsi" w:cstheme="minorBidi"/>
          <w:bCs/>
          <w:sz w:val="22"/>
          <w:szCs w:val="22"/>
        </w:rPr>
        <w:t>Annex IX - Information Systems</w:t>
      </w:r>
      <w:r>
        <w:rPr>
          <w:rFonts w:asciiTheme="majorHAnsi" w:hAnsiTheme="majorHAnsi" w:cstheme="minorBidi"/>
          <w:bCs/>
          <w:sz w:val="22"/>
          <w:szCs w:val="22"/>
        </w:rPr>
        <w:t xml:space="preserve"> and </w:t>
      </w:r>
      <w:r w:rsidRPr="00852425">
        <w:rPr>
          <w:rFonts w:asciiTheme="majorHAnsi" w:hAnsiTheme="majorHAnsi" w:cstheme="minorBidi"/>
          <w:bCs/>
          <w:sz w:val="22"/>
          <w:szCs w:val="22"/>
        </w:rPr>
        <w:t>Annex X – Interconnectedness.</w:t>
      </w:r>
    </w:p>
    <w:p w:rsidR="00D2434F" w:rsidRDefault="00D2434F" w:rsidP="00852425">
      <w:pPr>
        <w:pStyle w:val="NormalWeb"/>
        <w:rPr>
          <w:rFonts w:asciiTheme="majorHAnsi" w:hAnsiTheme="majorHAnsi" w:cstheme="minorBidi"/>
          <w:bCs/>
          <w:sz w:val="22"/>
          <w:szCs w:val="22"/>
        </w:rPr>
      </w:pPr>
      <w:r>
        <w:rPr>
          <w:rFonts w:asciiTheme="majorHAnsi" w:hAnsiTheme="majorHAnsi" w:cstheme="minorBidi"/>
          <w:bCs/>
          <w:sz w:val="22"/>
          <w:szCs w:val="22"/>
        </w:rPr>
        <w:t>Fu</w:t>
      </w:r>
      <w:r w:rsidR="00852425" w:rsidRPr="00852425">
        <w:rPr>
          <w:rFonts w:asciiTheme="majorHAnsi" w:hAnsiTheme="majorHAnsi" w:cstheme="minorBidi"/>
          <w:bCs/>
          <w:sz w:val="22"/>
          <w:szCs w:val="22"/>
        </w:rPr>
        <w:t>rther clarification</w:t>
      </w:r>
      <w:r>
        <w:rPr>
          <w:rFonts w:asciiTheme="majorHAnsi" w:hAnsiTheme="majorHAnsi" w:cstheme="minorBidi"/>
          <w:bCs/>
          <w:sz w:val="22"/>
          <w:szCs w:val="22"/>
        </w:rPr>
        <w:t xml:space="preserve"> would be helpful</w:t>
      </w:r>
      <w:r w:rsidR="00852425" w:rsidRPr="00852425">
        <w:rPr>
          <w:rFonts w:asciiTheme="majorHAnsi" w:hAnsiTheme="majorHAnsi" w:cstheme="minorBidi"/>
          <w:bCs/>
          <w:sz w:val="22"/>
          <w:szCs w:val="22"/>
        </w:rPr>
        <w:t xml:space="preserve"> in regards </w:t>
      </w:r>
      <w:r>
        <w:rPr>
          <w:rFonts w:asciiTheme="majorHAnsi" w:hAnsiTheme="majorHAnsi" w:cstheme="minorBidi"/>
          <w:bCs/>
          <w:sz w:val="22"/>
          <w:szCs w:val="22"/>
        </w:rPr>
        <w:t xml:space="preserve">to </w:t>
      </w:r>
      <w:r w:rsidR="00852425" w:rsidRPr="00852425">
        <w:rPr>
          <w:rFonts w:asciiTheme="majorHAnsi" w:hAnsiTheme="majorHAnsi" w:cstheme="minorBidi"/>
          <w:bCs/>
          <w:sz w:val="22"/>
          <w:szCs w:val="22"/>
        </w:rPr>
        <w:t xml:space="preserve">the scope of subsidiaries </w:t>
      </w:r>
      <w:r>
        <w:rPr>
          <w:rFonts w:asciiTheme="majorHAnsi" w:hAnsiTheme="majorHAnsi" w:cstheme="minorBidi"/>
          <w:bCs/>
          <w:sz w:val="22"/>
          <w:szCs w:val="22"/>
        </w:rPr>
        <w:t xml:space="preserve">required </w:t>
      </w:r>
      <w:r w:rsidR="00852425" w:rsidRPr="00852425">
        <w:rPr>
          <w:rFonts w:asciiTheme="majorHAnsi" w:hAnsiTheme="majorHAnsi" w:cstheme="minorBidi"/>
          <w:bCs/>
          <w:sz w:val="22"/>
          <w:szCs w:val="22"/>
        </w:rPr>
        <w:t xml:space="preserve">to report information. </w:t>
      </w:r>
      <w:r>
        <w:rPr>
          <w:rFonts w:asciiTheme="majorHAnsi" w:hAnsiTheme="majorHAnsi" w:cstheme="minorBidi"/>
          <w:bCs/>
          <w:sz w:val="22"/>
          <w:szCs w:val="22"/>
        </w:rPr>
        <w:t xml:space="preserve"> For example, it may not be necessary to include in a template </w:t>
      </w:r>
      <w:r w:rsidR="00852425" w:rsidRPr="00852425">
        <w:rPr>
          <w:rFonts w:asciiTheme="majorHAnsi" w:hAnsiTheme="majorHAnsi" w:cstheme="minorBidi"/>
          <w:bCs/>
          <w:sz w:val="22"/>
          <w:szCs w:val="22"/>
        </w:rPr>
        <w:t>subsidiaries</w:t>
      </w:r>
      <w:r>
        <w:rPr>
          <w:rFonts w:asciiTheme="majorHAnsi" w:hAnsiTheme="majorHAnsi" w:cstheme="minorBidi"/>
          <w:bCs/>
          <w:sz w:val="22"/>
          <w:szCs w:val="22"/>
        </w:rPr>
        <w:t xml:space="preserve"> located in third countries belonging to a group that has a multiple point of entry resolution strategy</w:t>
      </w:r>
      <w:r w:rsidR="00852425" w:rsidRPr="00852425">
        <w:rPr>
          <w:rFonts w:asciiTheme="majorHAnsi" w:hAnsiTheme="majorHAnsi" w:cstheme="minorBidi"/>
          <w:bCs/>
          <w:sz w:val="22"/>
          <w:szCs w:val="22"/>
        </w:rPr>
        <w:t xml:space="preserve"> </w:t>
      </w:r>
      <w:r>
        <w:rPr>
          <w:rFonts w:asciiTheme="majorHAnsi" w:hAnsiTheme="majorHAnsi" w:cstheme="minorBidi"/>
          <w:bCs/>
          <w:sz w:val="22"/>
          <w:szCs w:val="22"/>
        </w:rPr>
        <w:t xml:space="preserve">particularly where the subsidiaries are themselves resolution entities. </w:t>
      </w:r>
    </w:p>
    <w:p w:rsidR="00852425" w:rsidRPr="00852425" w:rsidRDefault="00852425" w:rsidP="00852425">
      <w:pPr>
        <w:pStyle w:val="NormalWeb"/>
        <w:rPr>
          <w:rFonts w:asciiTheme="majorHAnsi" w:hAnsiTheme="majorHAnsi" w:cstheme="minorBidi"/>
          <w:bCs/>
          <w:sz w:val="22"/>
          <w:szCs w:val="22"/>
        </w:rPr>
      </w:pPr>
      <w:r w:rsidRPr="00852425">
        <w:rPr>
          <w:rFonts w:asciiTheme="majorHAnsi" w:hAnsiTheme="majorHAnsi" w:cstheme="minorBidi"/>
          <w:bCs/>
          <w:sz w:val="22"/>
          <w:szCs w:val="22"/>
        </w:rPr>
        <w:t xml:space="preserve">The proportionality principle should be taken into account as the amount of information required is quite exhaustive and probably small and less interconnected institutions should not be required to </w:t>
      </w:r>
      <w:r w:rsidR="00D2434F">
        <w:rPr>
          <w:rFonts w:asciiTheme="majorHAnsi" w:hAnsiTheme="majorHAnsi" w:cstheme="minorBidi"/>
          <w:bCs/>
          <w:sz w:val="22"/>
          <w:szCs w:val="22"/>
        </w:rPr>
        <w:t>complete</w:t>
      </w:r>
      <w:r w:rsidRPr="00852425">
        <w:rPr>
          <w:rFonts w:asciiTheme="majorHAnsi" w:hAnsiTheme="majorHAnsi" w:cstheme="minorBidi"/>
          <w:bCs/>
          <w:sz w:val="22"/>
          <w:szCs w:val="22"/>
        </w:rPr>
        <w:t xml:space="preserve"> all the templates.</w:t>
      </w:r>
    </w:p>
    <w:p w:rsidR="00852425" w:rsidRPr="00852425" w:rsidRDefault="00852425" w:rsidP="00433ECA">
      <w:pPr>
        <w:pStyle w:val="NormalWeb"/>
        <w:rPr>
          <w:rFonts w:asciiTheme="majorHAnsi" w:hAnsiTheme="majorHAnsi" w:cstheme="minorBidi"/>
          <w:bCs/>
          <w:sz w:val="22"/>
          <w:szCs w:val="22"/>
        </w:rPr>
      </w:pPr>
      <w:r w:rsidRPr="00852425">
        <w:rPr>
          <w:rFonts w:asciiTheme="majorHAnsi" w:hAnsiTheme="majorHAnsi" w:cstheme="minorBidi"/>
          <w:bCs/>
          <w:sz w:val="22"/>
          <w:szCs w:val="22"/>
        </w:rPr>
        <w:t>The</w:t>
      </w:r>
      <w:r w:rsidR="00433ECA">
        <w:rPr>
          <w:rFonts w:asciiTheme="majorHAnsi" w:hAnsiTheme="majorHAnsi" w:cstheme="minorBidi"/>
          <w:bCs/>
          <w:sz w:val="22"/>
          <w:szCs w:val="22"/>
        </w:rPr>
        <w:t xml:space="preserve"> appropriateness of</w:t>
      </w:r>
      <w:r w:rsidRPr="00852425">
        <w:rPr>
          <w:rFonts w:asciiTheme="majorHAnsi" w:hAnsiTheme="majorHAnsi" w:cstheme="minorBidi"/>
          <w:bCs/>
          <w:sz w:val="22"/>
          <w:szCs w:val="22"/>
        </w:rPr>
        <w:t xml:space="preserve"> </w:t>
      </w:r>
      <w:r w:rsidR="00433ECA">
        <w:rPr>
          <w:rFonts w:asciiTheme="majorHAnsi" w:hAnsiTheme="majorHAnsi" w:cstheme="minorBidi"/>
          <w:bCs/>
          <w:sz w:val="22"/>
          <w:szCs w:val="22"/>
        </w:rPr>
        <w:t xml:space="preserve">the </w:t>
      </w:r>
      <w:r w:rsidRPr="00852425">
        <w:rPr>
          <w:rFonts w:asciiTheme="majorHAnsi" w:hAnsiTheme="majorHAnsi" w:cstheme="minorBidi"/>
          <w:bCs/>
          <w:sz w:val="22"/>
          <w:szCs w:val="22"/>
        </w:rPr>
        <w:t>granularity of the information required is a particular concern.</w:t>
      </w:r>
      <w:r w:rsidR="00D2434F">
        <w:rPr>
          <w:rFonts w:asciiTheme="majorHAnsi" w:hAnsiTheme="majorHAnsi" w:cstheme="minorBidi"/>
          <w:bCs/>
          <w:sz w:val="22"/>
          <w:szCs w:val="22"/>
        </w:rPr>
        <w:t xml:space="preserve">  </w:t>
      </w:r>
      <w:r w:rsidR="00433ECA">
        <w:rPr>
          <w:rFonts w:asciiTheme="majorHAnsi" w:hAnsiTheme="majorHAnsi" w:cstheme="minorBidi"/>
          <w:bCs/>
          <w:sz w:val="22"/>
          <w:szCs w:val="22"/>
        </w:rPr>
        <w:t>L</w:t>
      </w:r>
      <w:r w:rsidR="00D2434F">
        <w:rPr>
          <w:rFonts w:asciiTheme="majorHAnsi" w:hAnsiTheme="majorHAnsi" w:cstheme="minorBidi"/>
          <w:bCs/>
          <w:sz w:val="22"/>
          <w:szCs w:val="22"/>
        </w:rPr>
        <w:t xml:space="preserve">arge, global banks </w:t>
      </w:r>
      <w:r w:rsidRPr="00852425">
        <w:rPr>
          <w:rFonts w:asciiTheme="majorHAnsi" w:hAnsiTheme="majorHAnsi" w:cstheme="minorBidi"/>
          <w:bCs/>
          <w:sz w:val="22"/>
          <w:szCs w:val="22"/>
        </w:rPr>
        <w:t>may comprise a large number of legal entities, many of them neither material nor connected with critical functions.</w:t>
      </w:r>
      <w:r w:rsidR="00D2434F">
        <w:rPr>
          <w:rFonts w:asciiTheme="majorHAnsi" w:hAnsiTheme="majorHAnsi" w:cstheme="minorBidi"/>
          <w:bCs/>
          <w:sz w:val="22"/>
          <w:szCs w:val="22"/>
        </w:rPr>
        <w:t xml:space="preserve">  Requiring</w:t>
      </w:r>
      <w:r w:rsidRPr="00852425">
        <w:rPr>
          <w:rFonts w:asciiTheme="majorHAnsi" w:hAnsiTheme="majorHAnsi" w:cstheme="minorBidi"/>
          <w:bCs/>
          <w:sz w:val="22"/>
          <w:szCs w:val="22"/>
        </w:rPr>
        <w:t xml:space="preserve"> information for those entities within the group could be </w:t>
      </w:r>
      <w:r w:rsidR="00433ECA">
        <w:rPr>
          <w:rFonts w:asciiTheme="majorHAnsi" w:hAnsiTheme="majorHAnsi" w:cstheme="minorBidi"/>
          <w:bCs/>
          <w:sz w:val="22"/>
          <w:szCs w:val="22"/>
        </w:rPr>
        <w:t xml:space="preserve">an </w:t>
      </w:r>
      <w:r w:rsidRPr="00852425">
        <w:rPr>
          <w:rFonts w:asciiTheme="majorHAnsi" w:hAnsiTheme="majorHAnsi" w:cstheme="minorBidi"/>
          <w:bCs/>
          <w:sz w:val="22"/>
          <w:szCs w:val="22"/>
        </w:rPr>
        <w:t xml:space="preserve">excessive burden and </w:t>
      </w:r>
      <w:r w:rsidR="00433ECA">
        <w:rPr>
          <w:rFonts w:asciiTheme="majorHAnsi" w:hAnsiTheme="majorHAnsi" w:cstheme="minorBidi"/>
          <w:bCs/>
          <w:sz w:val="22"/>
          <w:szCs w:val="22"/>
        </w:rPr>
        <w:t xml:space="preserve">may </w:t>
      </w:r>
      <w:r w:rsidRPr="00852425">
        <w:rPr>
          <w:rFonts w:asciiTheme="majorHAnsi" w:hAnsiTheme="majorHAnsi" w:cstheme="minorBidi"/>
          <w:bCs/>
          <w:sz w:val="22"/>
          <w:szCs w:val="22"/>
        </w:rPr>
        <w:t xml:space="preserve">not </w:t>
      </w:r>
      <w:r w:rsidR="00433ECA">
        <w:rPr>
          <w:rFonts w:asciiTheme="majorHAnsi" w:hAnsiTheme="majorHAnsi" w:cstheme="minorBidi"/>
          <w:bCs/>
          <w:sz w:val="22"/>
          <w:szCs w:val="22"/>
        </w:rPr>
        <w:t>be relevant</w:t>
      </w:r>
      <w:r w:rsidRPr="00852425">
        <w:rPr>
          <w:rFonts w:asciiTheme="majorHAnsi" w:hAnsiTheme="majorHAnsi" w:cstheme="minorBidi"/>
          <w:bCs/>
          <w:sz w:val="22"/>
          <w:szCs w:val="22"/>
        </w:rPr>
        <w:t xml:space="preserve"> for resolution purposes</w:t>
      </w:r>
      <w:r w:rsidR="004F756B">
        <w:rPr>
          <w:rFonts w:asciiTheme="majorHAnsi" w:hAnsiTheme="majorHAnsi" w:cstheme="minorBidi"/>
          <w:bCs/>
          <w:sz w:val="22"/>
          <w:szCs w:val="22"/>
        </w:rPr>
        <w:t xml:space="preserve">. </w:t>
      </w:r>
      <w:r w:rsidR="00A422D1">
        <w:rPr>
          <w:rFonts w:asciiTheme="majorHAnsi" w:hAnsiTheme="majorHAnsi" w:cstheme="minorBidi"/>
          <w:bCs/>
          <w:sz w:val="22"/>
          <w:szCs w:val="22"/>
        </w:rPr>
        <w:t xml:space="preserve">Accordingly, </w:t>
      </w:r>
      <w:r w:rsidR="004A67A6">
        <w:rPr>
          <w:rFonts w:asciiTheme="majorHAnsi" w:hAnsiTheme="majorHAnsi" w:cstheme="minorBidi"/>
          <w:bCs/>
          <w:sz w:val="22"/>
          <w:szCs w:val="22"/>
        </w:rPr>
        <w:t xml:space="preserve">we suggest that </w:t>
      </w:r>
      <w:r w:rsidR="00A422D1">
        <w:rPr>
          <w:rFonts w:asciiTheme="majorHAnsi" w:hAnsiTheme="majorHAnsi" w:cstheme="minorBidi"/>
          <w:bCs/>
          <w:sz w:val="22"/>
          <w:szCs w:val="22"/>
        </w:rPr>
        <w:t>the templates should focus on Significant Legal Entities</w:t>
      </w:r>
      <w:r w:rsidR="004A67A6">
        <w:rPr>
          <w:rFonts w:asciiTheme="majorHAnsi" w:hAnsiTheme="majorHAnsi" w:cstheme="minorBidi"/>
          <w:bCs/>
          <w:sz w:val="22"/>
          <w:szCs w:val="22"/>
        </w:rPr>
        <w:t xml:space="preserve"> only</w:t>
      </w:r>
      <w:r w:rsidR="00A422D1">
        <w:rPr>
          <w:rFonts w:asciiTheme="majorHAnsi" w:hAnsiTheme="majorHAnsi" w:cstheme="minorBidi"/>
          <w:bCs/>
          <w:sz w:val="22"/>
          <w:szCs w:val="22"/>
        </w:rPr>
        <w:t xml:space="preserve">.  </w:t>
      </w:r>
    </w:p>
    <w:p w:rsidR="006223FC" w:rsidRDefault="006223FC" w:rsidP="00D2434F">
      <w:pPr>
        <w:spacing w:after="120"/>
        <w:rPr>
          <w:b/>
          <w:color w:val="78A22F"/>
          <w:szCs w:val="36"/>
        </w:rPr>
      </w:pPr>
      <w:r w:rsidRPr="006223FC">
        <w:rPr>
          <w:b/>
          <w:color w:val="78A22F"/>
          <w:szCs w:val="36"/>
        </w:rPr>
        <w:t xml:space="preserve">B. Specific comments on the draft templates in the annexes </w:t>
      </w:r>
    </w:p>
    <w:p w:rsidR="00D2434F" w:rsidRDefault="00D2434F" w:rsidP="00D2434F">
      <w:pPr>
        <w:spacing w:after="120"/>
        <w:rPr>
          <w:bCs/>
          <w:sz w:val="22"/>
          <w:szCs w:val="22"/>
        </w:rPr>
      </w:pPr>
      <w:r w:rsidRPr="00D2434F">
        <w:rPr>
          <w:bCs/>
          <w:sz w:val="22"/>
          <w:szCs w:val="22"/>
        </w:rPr>
        <w:t>We have the following comments on the draft templates:</w:t>
      </w:r>
    </w:p>
    <w:p w:rsidR="006223FC" w:rsidRPr="006223FC" w:rsidRDefault="006223FC" w:rsidP="00D2434F">
      <w:pPr>
        <w:spacing w:after="120"/>
        <w:rPr>
          <w:b/>
          <w:bCs/>
          <w:sz w:val="22"/>
          <w:szCs w:val="22"/>
        </w:rPr>
      </w:pPr>
      <w:r w:rsidRPr="006223FC">
        <w:rPr>
          <w:b/>
          <w:bCs/>
          <w:sz w:val="22"/>
          <w:szCs w:val="22"/>
        </w:rPr>
        <w:t>Annex I – Organisational structure</w:t>
      </w:r>
    </w:p>
    <w:p w:rsidR="008B0404" w:rsidRDefault="004071BB" w:rsidP="006223FC">
      <w:pPr>
        <w:spacing w:after="120"/>
        <w:rPr>
          <w:bCs/>
          <w:sz w:val="22"/>
          <w:szCs w:val="22"/>
        </w:rPr>
      </w:pPr>
      <w:r w:rsidRPr="001933C6">
        <w:rPr>
          <w:bCs/>
          <w:sz w:val="22"/>
          <w:szCs w:val="22"/>
        </w:rPr>
        <w:t xml:space="preserve">It </w:t>
      </w:r>
      <w:r w:rsidR="001933C6" w:rsidRPr="001933C6">
        <w:rPr>
          <w:bCs/>
          <w:sz w:val="22"/>
          <w:szCs w:val="22"/>
        </w:rPr>
        <w:t xml:space="preserve">would be </w:t>
      </w:r>
      <w:r w:rsidR="006223FC">
        <w:rPr>
          <w:bCs/>
          <w:sz w:val="22"/>
          <w:szCs w:val="22"/>
        </w:rPr>
        <w:t>useful</w:t>
      </w:r>
      <w:r w:rsidR="001933C6" w:rsidRPr="001933C6">
        <w:rPr>
          <w:bCs/>
          <w:sz w:val="22"/>
          <w:szCs w:val="22"/>
        </w:rPr>
        <w:t xml:space="preserve"> if institutions had the option of merging annex 1 (Organisational structure) and annex 2 (Governance and management) in order to avoid </w:t>
      </w:r>
      <w:r w:rsidR="00E8613E">
        <w:rPr>
          <w:bCs/>
          <w:sz w:val="22"/>
          <w:szCs w:val="22"/>
        </w:rPr>
        <w:t xml:space="preserve">having to provide the same information in </w:t>
      </w:r>
      <w:r w:rsidR="001933C6" w:rsidRPr="001933C6">
        <w:rPr>
          <w:bCs/>
          <w:sz w:val="22"/>
          <w:szCs w:val="22"/>
        </w:rPr>
        <w:t xml:space="preserve">both annexes, ie legal entity, entity name and legal identifier.  </w:t>
      </w:r>
      <w:r w:rsidR="00E8613E">
        <w:rPr>
          <w:bCs/>
          <w:sz w:val="22"/>
          <w:szCs w:val="22"/>
        </w:rPr>
        <w:t>In addition, s</w:t>
      </w:r>
      <w:r w:rsidR="008B0404">
        <w:rPr>
          <w:bCs/>
          <w:sz w:val="22"/>
          <w:szCs w:val="22"/>
        </w:rPr>
        <w:t>ome of the information required by Annex I is already in the ha</w:t>
      </w:r>
      <w:r w:rsidR="00837F4B">
        <w:rPr>
          <w:bCs/>
          <w:sz w:val="22"/>
          <w:szCs w:val="22"/>
        </w:rPr>
        <w:t xml:space="preserve">nds of the competent authority </w:t>
      </w:r>
      <w:r w:rsidR="008B0404">
        <w:rPr>
          <w:bCs/>
          <w:sz w:val="22"/>
          <w:szCs w:val="22"/>
        </w:rPr>
        <w:t>such as licensing authority or type of banking license</w:t>
      </w:r>
      <w:r w:rsidR="00E8613E">
        <w:rPr>
          <w:bCs/>
          <w:sz w:val="22"/>
          <w:szCs w:val="22"/>
        </w:rPr>
        <w:t>, and accordingly could be omitted.</w:t>
      </w:r>
    </w:p>
    <w:p w:rsidR="00456758" w:rsidRPr="001933C6" w:rsidRDefault="00456758" w:rsidP="006223FC">
      <w:pPr>
        <w:spacing w:after="120"/>
        <w:rPr>
          <w:rFonts w:ascii="Calibri" w:hAnsi="Calibri"/>
          <w:color w:val="1F497D"/>
          <w:sz w:val="22"/>
          <w:szCs w:val="22"/>
        </w:rPr>
      </w:pPr>
    </w:p>
    <w:p w:rsidR="004071BB" w:rsidRDefault="004071BB" w:rsidP="004071BB">
      <w:pPr>
        <w:rPr>
          <w:b/>
          <w:bCs/>
          <w:sz w:val="22"/>
          <w:szCs w:val="22"/>
        </w:rPr>
      </w:pPr>
      <w:r w:rsidRPr="004071BB">
        <w:rPr>
          <w:b/>
          <w:bCs/>
          <w:sz w:val="22"/>
          <w:szCs w:val="22"/>
        </w:rPr>
        <w:lastRenderedPageBreak/>
        <w:t>Annex II</w:t>
      </w:r>
      <w:r w:rsidR="001933C6">
        <w:rPr>
          <w:b/>
          <w:bCs/>
          <w:sz w:val="22"/>
          <w:szCs w:val="22"/>
        </w:rPr>
        <w:t xml:space="preserve"> - Governance and management</w:t>
      </w:r>
    </w:p>
    <w:p w:rsidR="004071BB" w:rsidRDefault="006223FC" w:rsidP="006223FC">
      <w:pPr>
        <w:rPr>
          <w:bCs/>
          <w:sz w:val="22"/>
          <w:szCs w:val="22"/>
        </w:rPr>
      </w:pPr>
      <w:r>
        <w:rPr>
          <w:bCs/>
          <w:sz w:val="22"/>
          <w:szCs w:val="22"/>
        </w:rPr>
        <w:t>C</w:t>
      </w:r>
      <w:r w:rsidR="001933C6" w:rsidRPr="006223FC">
        <w:rPr>
          <w:bCs/>
          <w:sz w:val="22"/>
          <w:szCs w:val="22"/>
        </w:rPr>
        <w:t>olumn 030 “L</w:t>
      </w:r>
      <w:r w:rsidR="004071BB" w:rsidRPr="006223FC">
        <w:rPr>
          <w:bCs/>
          <w:sz w:val="22"/>
          <w:szCs w:val="22"/>
        </w:rPr>
        <w:t xml:space="preserve">ocation” </w:t>
      </w:r>
      <w:r w:rsidR="00EC477D" w:rsidRPr="006223FC">
        <w:rPr>
          <w:bCs/>
          <w:sz w:val="22"/>
          <w:szCs w:val="22"/>
        </w:rPr>
        <w:t xml:space="preserve">requiring the city where the entity is legally registered is duplicative of </w:t>
      </w:r>
      <w:r w:rsidR="001933C6" w:rsidRPr="006223FC">
        <w:rPr>
          <w:bCs/>
          <w:sz w:val="22"/>
          <w:szCs w:val="22"/>
        </w:rPr>
        <w:t xml:space="preserve">column 040 </w:t>
      </w:r>
      <w:r w:rsidR="00EC477D" w:rsidRPr="006223FC">
        <w:rPr>
          <w:bCs/>
          <w:sz w:val="22"/>
          <w:szCs w:val="22"/>
        </w:rPr>
        <w:t>“J</w:t>
      </w:r>
      <w:r w:rsidR="004071BB" w:rsidRPr="006223FC">
        <w:rPr>
          <w:bCs/>
          <w:sz w:val="22"/>
          <w:szCs w:val="22"/>
        </w:rPr>
        <w:t>urisdiction</w:t>
      </w:r>
      <w:r w:rsidR="00EC477D" w:rsidRPr="006223FC">
        <w:rPr>
          <w:bCs/>
          <w:sz w:val="22"/>
          <w:szCs w:val="22"/>
        </w:rPr>
        <w:t xml:space="preserve"> of incorporation</w:t>
      </w:r>
      <w:r w:rsidR="004071BB" w:rsidRPr="006223FC">
        <w:rPr>
          <w:bCs/>
          <w:sz w:val="22"/>
          <w:szCs w:val="22"/>
        </w:rPr>
        <w:t xml:space="preserve">” </w:t>
      </w:r>
      <w:r w:rsidR="00EC477D" w:rsidRPr="006223FC">
        <w:rPr>
          <w:bCs/>
          <w:sz w:val="22"/>
          <w:szCs w:val="22"/>
        </w:rPr>
        <w:t>and could be eliminated</w:t>
      </w:r>
      <w:r w:rsidR="004071BB" w:rsidRPr="006223FC">
        <w:rPr>
          <w:bCs/>
          <w:sz w:val="22"/>
          <w:szCs w:val="22"/>
        </w:rPr>
        <w:t xml:space="preserve">. </w:t>
      </w:r>
    </w:p>
    <w:p w:rsidR="00456758" w:rsidRPr="006223FC" w:rsidRDefault="00456758" w:rsidP="006223FC">
      <w:pPr>
        <w:rPr>
          <w:bCs/>
          <w:sz w:val="22"/>
          <w:szCs w:val="22"/>
        </w:rPr>
      </w:pPr>
    </w:p>
    <w:p w:rsidR="004071BB" w:rsidRPr="004071BB" w:rsidRDefault="004071BB" w:rsidP="004071BB">
      <w:pPr>
        <w:rPr>
          <w:b/>
          <w:bCs/>
          <w:sz w:val="22"/>
          <w:szCs w:val="22"/>
        </w:rPr>
      </w:pPr>
      <w:r w:rsidRPr="004071BB">
        <w:rPr>
          <w:b/>
          <w:bCs/>
          <w:sz w:val="22"/>
          <w:szCs w:val="22"/>
        </w:rPr>
        <w:t xml:space="preserve">Annex III </w:t>
      </w:r>
      <w:r w:rsidR="00EC477D">
        <w:rPr>
          <w:b/>
          <w:bCs/>
          <w:sz w:val="22"/>
          <w:szCs w:val="22"/>
        </w:rPr>
        <w:t>– Critical functions and core business lines</w:t>
      </w:r>
    </w:p>
    <w:p w:rsidR="004071BB" w:rsidRDefault="00475506" w:rsidP="004071BB">
      <w:pPr>
        <w:rPr>
          <w:bCs/>
          <w:sz w:val="22"/>
          <w:szCs w:val="22"/>
        </w:rPr>
      </w:pPr>
      <w:r>
        <w:rPr>
          <w:bCs/>
          <w:sz w:val="22"/>
          <w:szCs w:val="22"/>
        </w:rPr>
        <w:t xml:space="preserve">Columns 060 to </w:t>
      </w:r>
      <w:r w:rsidR="004071BB" w:rsidRPr="004071BB">
        <w:rPr>
          <w:bCs/>
          <w:sz w:val="22"/>
          <w:szCs w:val="22"/>
        </w:rPr>
        <w:t>0</w:t>
      </w:r>
      <w:r>
        <w:rPr>
          <w:bCs/>
          <w:sz w:val="22"/>
          <w:szCs w:val="22"/>
        </w:rPr>
        <w:t>9</w:t>
      </w:r>
      <w:r w:rsidR="004071BB" w:rsidRPr="004071BB">
        <w:rPr>
          <w:bCs/>
          <w:sz w:val="22"/>
          <w:szCs w:val="22"/>
        </w:rPr>
        <w:t xml:space="preserve">0 </w:t>
      </w:r>
      <w:r>
        <w:rPr>
          <w:bCs/>
          <w:sz w:val="22"/>
          <w:szCs w:val="22"/>
        </w:rPr>
        <w:t>call for amounts of “material assets” and “material liabilities” relating to the institution’s critical functions and core business lines.  Although thes</w:t>
      </w:r>
      <w:r w:rsidR="006223FC">
        <w:rPr>
          <w:bCs/>
          <w:sz w:val="22"/>
          <w:szCs w:val="22"/>
        </w:rPr>
        <w:t>e</w:t>
      </w:r>
      <w:r>
        <w:rPr>
          <w:bCs/>
          <w:sz w:val="22"/>
          <w:szCs w:val="22"/>
        </w:rPr>
        <w:t xml:space="preserve"> terms emanate from the level 1 text (BRRD Annex, Section B, (4)), it would be helpful if there was guidance as to a threshold of materiality or specification of materiality in relation to the whole group or to the institution concerned. Or perhaps the</w:t>
      </w:r>
      <w:r w:rsidR="003034B4">
        <w:rPr>
          <w:bCs/>
          <w:sz w:val="22"/>
          <w:szCs w:val="22"/>
        </w:rPr>
        <w:t xml:space="preserve"> total</w:t>
      </w:r>
      <w:r w:rsidR="004071BB" w:rsidRPr="004071BB">
        <w:rPr>
          <w:bCs/>
          <w:sz w:val="22"/>
          <w:szCs w:val="22"/>
        </w:rPr>
        <w:t xml:space="preserve"> balance sheet</w:t>
      </w:r>
      <w:r>
        <w:rPr>
          <w:bCs/>
          <w:sz w:val="22"/>
          <w:szCs w:val="22"/>
        </w:rPr>
        <w:t xml:space="preserve"> </w:t>
      </w:r>
      <w:r w:rsidR="003034B4">
        <w:rPr>
          <w:bCs/>
          <w:sz w:val="22"/>
          <w:szCs w:val="22"/>
        </w:rPr>
        <w:t>related to the activity</w:t>
      </w:r>
      <w:r>
        <w:rPr>
          <w:bCs/>
          <w:sz w:val="22"/>
          <w:szCs w:val="22"/>
        </w:rPr>
        <w:t xml:space="preserve"> concerned could be </w:t>
      </w:r>
      <w:r w:rsidR="008B0404">
        <w:rPr>
          <w:bCs/>
          <w:sz w:val="22"/>
          <w:szCs w:val="22"/>
        </w:rPr>
        <w:t>referenced</w:t>
      </w:r>
      <w:r w:rsidR="00E8613E">
        <w:rPr>
          <w:bCs/>
          <w:sz w:val="22"/>
          <w:szCs w:val="22"/>
        </w:rPr>
        <w:t>.</w:t>
      </w:r>
      <w:r w:rsidR="00456758">
        <w:rPr>
          <w:bCs/>
          <w:sz w:val="22"/>
          <w:szCs w:val="22"/>
        </w:rPr>
        <w:t xml:space="preserve">  More broadly we note the listing of Critical Functions and Core Business Lines as columns in the same template assumes that there is always a direct and simple link between them which is not always the case in practice.</w:t>
      </w:r>
    </w:p>
    <w:p w:rsidR="00057EC8" w:rsidRDefault="00057EC8" w:rsidP="004071BB">
      <w:pPr>
        <w:rPr>
          <w:bCs/>
          <w:sz w:val="22"/>
          <w:szCs w:val="22"/>
        </w:rPr>
      </w:pPr>
      <w:r>
        <w:rPr>
          <w:bCs/>
          <w:sz w:val="22"/>
          <w:szCs w:val="22"/>
        </w:rPr>
        <w:t>Where Annex III requires contact information of an individual (which can become outdated quickly) we would suggest adding the name of a department or responsible area.</w:t>
      </w:r>
    </w:p>
    <w:p w:rsidR="008B0404" w:rsidRPr="004071BB" w:rsidRDefault="008B0404" w:rsidP="004071BB">
      <w:pPr>
        <w:rPr>
          <w:bCs/>
          <w:sz w:val="22"/>
          <w:szCs w:val="22"/>
        </w:rPr>
      </w:pPr>
    </w:p>
    <w:p w:rsidR="00475506" w:rsidRDefault="004071BB" w:rsidP="004071BB">
      <w:pPr>
        <w:rPr>
          <w:b/>
          <w:bCs/>
          <w:sz w:val="22"/>
          <w:szCs w:val="22"/>
        </w:rPr>
      </w:pPr>
      <w:r w:rsidRPr="00475506">
        <w:rPr>
          <w:b/>
          <w:bCs/>
          <w:sz w:val="22"/>
          <w:szCs w:val="22"/>
        </w:rPr>
        <w:t>Annex IV</w:t>
      </w:r>
      <w:r w:rsidR="00475506">
        <w:rPr>
          <w:b/>
          <w:bCs/>
          <w:sz w:val="22"/>
          <w:szCs w:val="22"/>
        </w:rPr>
        <w:t>, Section 1 – Critical counterparties (Assets)</w:t>
      </w:r>
    </w:p>
    <w:p w:rsidR="003034B4" w:rsidRDefault="00475506" w:rsidP="004071BB">
      <w:pPr>
        <w:rPr>
          <w:bCs/>
          <w:sz w:val="22"/>
          <w:szCs w:val="22"/>
        </w:rPr>
      </w:pPr>
      <w:r>
        <w:rPr>
          <w:bCs/>
          <w:sz w:val="22"/>
          <w:szCs w:val="22"/>
        </w:rPr>
        <w:t xml:space="preserve">This template requires the identification of the major or most critical counterparties of the institution as well as an analysis of </w:t>
      </w:r>
      <w:r w:rsidR="00F12E64">
        <w:rPr>
          <w:bCs/>
          <w:sz w:val="22"/>
          <w:szCs w:val="22"/>
        </w:rPr>
        <w:t>the</w:t>
      </w:r>
      <w:r>
        <w:rPr>
          <w:bCs/>
          <w:sz w:val="22"/>
          <w:szCs w:val="22"/>
        </w:rPr>
        <w:t xml:space="preserve"> impact of the failure of major counterparties in the institution’s financial sit</w:t>
      </w:r>
      <w:r w:rsidR="00F12E64">
        <w:rPr>
          <w:bCs/>
          <w:sz w:val="22"/>
          <w:szCs w:val="22"/>
        </w:rPr>
        <w:t xml:space="preserve">uation.  </w:t>
      </w:r>
      <w:r w:rsidR="003034B4">
        <w:rPr>
          <w:bCs/>
          <w:sz w:val="22"/>
          <w:szCs w:val="22"/>
        </w:rPr>
        <w:t>It’s not clear what constitutes a major or most critical counterparty so we suggest limiting r</w:t>
      </w:r>
      <w:r w:rsidR="00E8613E">
        <w:rPr>
          <w:bCs/>
          <w:sz w:val="22"/>
          <w:szCs w:val="22"/>
        </w:rPr>
        <w:t>eporting to the top 10 or 20 cou</w:t>
      </w:r>
      <w:r w:rsidR="003034B4">
        <w:rPr>
          <w:bCs/>
          <w:sz w:val="22"/>
          <w:szCs w:val="22"/>
        </w:rPr>
        <w:t>nterparties</w:t>
      </w:r>
      <w:r w:rsidR="00456758">
        <w:rPr>
          <w:bCs/>
          <w:sz w:val="22"/>
          <w:szCs w:val="22"/>
        </w:rPr>
        <w:t xml:space="preserve"> which would be aligned with the Large Exposure reporting under COREP.</w:t>
      </w:r>
    </w:p>
    <w:p w:rsidR="004071BB" w:rsidRDefault="00F12E64" w:rsidP="004071BB">
      <w:pPr>
        <w:rPr>
          <w:bCs/>
          <w:sz w:val="22"/>
          <w:szCs w:val="22"/>
        </w:rPr>
      </w:pPr>
      <w:r>
        <w:rPr>
          <w:bCs/>
          <w:sz w:val="22"/>
          <w:szCs w:val="22"/>
        </w:rPr>
        <w:t xml:space="preserve">Column 060 calls for </w:t>
      </w:r>
      <w:r w:rsidR="004071BB" w:rsidRPr="004071BB">
        <w:rPr>
          <w:bCs/>
          <w:sz w:val="22"/>
          <w:szCs w:val="22"/>
        </w:rPr>
        <w:t>guarantee</w:t>
      </w:r>
      <w:r>
        <w:rPr>
          <w:bCs/>
          <w:sz w:val="22"/>
          <w:szCs w:val="22"/>
        </w:rPr>
        <w:t xml:space="preserve">s. </w:t>
      </w:r>
      <w:r w:rsidR="003034B4">
        <w:rPr>
          <w:bCs/>
          <w:sz w:val="22"/>
          <w:szCs w:val="22"/>
        </w:rPr>
        <w:t>It is unclear if all types of guara</w:t>
      </w:r>
      <w:r w:rsidR="00E8613E">
        <w:rPr>
          <w:bCs/>
          <w:sz w:val="22"/>
          <w:szCs w:val="22"/>
        </w:rPr>
        <w:t>ntees must be reported or only cash g</w:t>
      </w:r>
      <w:r w:rsidR="003034B4">
        <w:rPr>
          <w:bCs/>
          <w:sz w:val="22"/>
          <w:szCs w:val="22"/>
        </w:rPr>
        <w:t>uarantees as in the example.  The definition of guarantee should be clarified.</w:t>
      </w:r>
    </w:p>
    <w:p w:rsidR="00456758" w:rsidRPr="004071BB" w:rsidRDefault="00456758" w:rsidP="004071BB">
      <w:pPr>
        <w:rPr>
          <w:bCs/>
          <w:sz w:val="22"/>
          <w:szCs w:val="22"/>
        </w:rPr>
      </w:pPr>
    </w:p>
    <w:p w:rsidR="00F12E64" w:rsidRDefault="00F12E64" w:rsidP="00F12E64">
      <w:pPr>
        <w:rPr>
          <w:b/>
          <w:bCs/>
          <w:sz w:val="22"/>
          <w:szCs w:val="22"/>
        </w:rPr>
      </w:pPr>
      <w:r w:rsidRPr="00475506">
        <w:rPr>
          <w:b/>
          <w:bCs/>
          <w:sz w:val="22"/>
          <w:szCs w:val="22"/>
        </w:rPr>
        <w:t>Annex IV</w:t>
      </w:r>
      <w:r>
        <w:rPr>
          <w:b/>
          <w:bCs/>
          <w:sz w:val="22"/>
          <w:szCs w:val="22"/>
        </w:rPr>
        <w:t>, Section 1 – Critical counterparties (Liabilities)</w:t>
      </w:r>
    </w:p>
    <w:p w:rsidR="004071BB" w:rsidRDefault="00837F4B" w:rsidP="004071BB">
      <w:pPr>
        <w:rPr>
          <w:bCs/>
          <w:sz w:val="22"/>
          <w:szCs w:val="22"/>
        </w:rPr>
      </w:pPr>
      <w:r>
        <w:rPr>
          <w:bCs/>
          <w:sz w:val="22"/>
          <w:szCs w:val="22"/>
        </w:rPr>
        <w:t>In c</w:t>
      </w:r>
      <w:r w:rsidR="00F12E64">
        <w:rPr>
          <w:bCs/>
          <w:sz w:val="22"/>
          <w:szCs w:val="22"/>
        </w:rPr>
        <w:t xml:space="preserve">olumn 050-060, </w:t>
      </w:r>
      <w:r w:rsidR="00456758">
        <w:rPr>
          <w:bCs/>
          <w:sz w:val="22"/>
          <w:szCs w:val="22"/>
        </w:rPr>
        <w:t xml:space="preserve">it is unclear </w:t>
      </w:r>
      <w:r>
        <w:rPr>
          <w:bCs/>
          <w:sz w:val="22"/>
          <w:szCs w:val="22"/>
        </w:rPr>
        <w:t xml:space="preserve">what </w:t>
      </w:r>
      <w:r w:rsidR="00F12E64">
        <w:rPr>
          <w:bCs/>
          <w:sz w:val="22"/>
          <w:szCs w:val="22"/>
        </w:rPr>
        <w:t>t</w:t>
      </w:r>
      <w:r w:rsidR="004071BB" w:rsidRPr="004071BB">
        <w:rPr>
          <w:bCs/>
          <w:sz w:val="22"/>
          <w:szCs w:val="22"/>
        </w:rPr>
        <w:t>he definition of “funding</w:t>
      </w:r>
      <w:r w:rsidR="00456758" w:rsidRPr="004071BB">
        <w:rPr>
          <w:bCs/>
          <w:sz w:val="22"/>
          <w:szCs w:val="22"/>
        </w:rPr>
        <w:t>”</w:t>
      </w:r>
      <w:r w:rsidR="00456758">
        <w:rPr>
          <w:bCs/>
          <w:sz w:val="22"/>
          <w:szCs w:val="22"/>
        </w:rPr>
        <w:t xml:space="preserve"> is </w:t>
      </w:r>
      <w:r w:rsidR="004071BB" w:rsidRPr="004071BB">
        <w:rPr>
          <w:bCs/>
          <w:sz w:val="22"/>
          <w:szCs w:val="22"/>
        </w:rPr>
        <w:t xml:space="preserve">compared to </w:t>
      </w:r>
      <w:r w:rsidR="00F12E64">
        <w:rPr>
          <w:bCs/>
          <w:sz w:val="22"/>
          <w:szCs w:val="22"/>
        </w:rPr>
        <w:t>“</w:t>
      </w:r>
      <w:r w:rsidR="004071BB" w:rsidRPr="004071BB">
        <w:rPr>
          <w:bCs/>
          <w:sz w:val="22"/>
          <w:szCs w:val="22"/>
        </w:rPr>
        <w:t>liability</w:t>
      </w:r>
      <w:r w:rsidR="00456758">
        <w:rPr>
          <w:bCs/>
          <w:sz w:val="22"/>
          <w:szCs w:val="22"/>
        </w:rPr>
        <w:t>.</w:t>
      </w:r>
      <w:r w:rsidR="00F12E64">
        <w:rPr>
          <w:bCs/>
          <w:sz w:val="22"/>
          <w:szCs w:val="22"/>
        </w:rPr>
        <w:t>”</w:t>
      </w:r>
    </w:p>
    <w:p w:rsidR="00837F4B" w:rsidRPr="004071BB" w:rsidRDefault="00837F4B" w:rsidP="004071BB">
      <w:pPr>
        <w:rPr>
          <w:bCs/>
          <w:sz w:val="22"/>
          <w:szCs w:val="22"/>
        </w:rPr>
      </w:pPr>
    </w:p>
    <w:p w:rsidR="004071BB" w:rsidRPr="00F12E64" w:rsidRDefault="004071BB" w:rsidP="004071BB">
      <w:pPr>
        <w:rPr>
          <w:b/>
          <w:bCs/>
          <w:sz w:val="22"/>
          <w:szCs w:val="22"/>
        </w:rPr>
      </w:pPr>
      <w:r w:rsidRPr="00F12E64">
        <w:rPr>
          <w:b/>
          <w:bCs/>
          <w:sz w:val="22"/>
          <w:szCs w:val="22"/>
        </w:rPr>
        <w:t>Annex V</w:t>
      </w:r>
      <w:r w:rsidR="00F12E64">
        <w:rPr>
          <w:b/>
          <w:bCs/>
          <w:sz w:val="22"/>
          <w:szCs w:val="22"/>
        </w:rPr>
        <w:t xml:space="preserve"> - Liabilities structure</w:t>
      </w:r>
    </w:p>
    <w:p w:rsidR="00BF759C" w:rsidRDefault="00837F4B" w:rsidP="00F12E64">
      <w:pPr>
        <w:rPr>
          <w:bCs/>
          <w:sz w:val="22"/>
          <w:szCs w:val="22"/>
        </w:rPr>
      </w:pPr>
      <w:r>
        <w:rPr>
          <w:bCs/>
          <w:sz w:val="22"/>
          <w:szCs w:val="22"/>
        </w:rPr>
        <w:t>We have the following</w:t>
      </w:r>
      <w:r w:rsidR="00BF759C">
        <w:rPr>
          <w:bCs/>
          <w:sz w:val="22"/>
          <w:szCs w:val="22"/>
        </w:rPr>
        <w:t xml:space="preserve"> comments on Annex V:</w:t>
      </w:r>
    </w:p>
    <w:p w:rsidR="004071BB" w:rsidRPr="004071BB" w:rsidRDefault="00BF759C" w:rsidP="00F12E64">
      <w:pPr>
        <w:rPr>
          <w:bCs/>
          <w:sz w:val="22"/>
          <w:szCs w:val="22"/>
        </w:rPr>
      </w:pPr>
      <w:r>
        <w:rPr>
          <w:bCs/>
          <w:sz w:val="22"/>
          <w:szCs w:val="22"/>
        </w:rPr>
        <w:t xml:space="preserve">1.  </w:t>
      </w:r>
      <w:r w:rsidR="00F12E64">
        <w:rPr>
          <w:bCs/>
          <w:sz w:val="22"/>
          <w:szCs w:val="22"/>
        </w:rPr>
        <w:t xml:space="preserve">Row 030 asks for governing law of the liabilities, EU or third country.  Could the instructions to the template confirm whether </w:t>
      </w:r>
      <w:r w:rsidR="004071BB" w:rsidRPr="004071BB">
        <w:rPr>
          <w:bCs/>
          <w:sz w:val="22"/>
          <w:szCs w:val="22"/>
        </w:rPr>
        <w:t xml:space="preserve">an entity </w:t>
      </w:r>
      <w:r w:rsidR="0002640E">
        <w:rPr>
          <w:bCs/>
          <w:sz w:val="22"/>
          <w:szCs w:val="22"/>
        </w:rPr>
        <w:t>with</w:t>
      </w:r>
      <w:r w:rsidR="00F12E64">
        <w:rPr>
          <w:bCs/>
          <w:sz w:val="22"/>
          <w:szCs w:val="22"/>
        </w:rPr>
        <w:t xml:space="preserve"> liabilities under multiple laws must </w:t>
      </w:r>
      <w:r w:rsidR="0002640E">
        <w:rPr>
          <w:bCs/>
          <w:sz w:val="22"/>
          <w:szCs w:val="22"/>
        </w:rPr>
        <w:t xml:space="preserve">provide </w:t>
      </w:r>
      <w:r w:rsidR="00F12E64">
        <w:rPr>
          <w:bCs/>
          <w:sz w:val="22"/>
          <w:szCs w:val="22"/>
        </w:rPr>
        <w:t xml:space="preserve">a separate sheet for each?  </w:t>
      </w:r>
    </w:p>
    <w:p w:rsidR="002C1967" w:rsidRDefault="00BF759C" w:rsidP="006223FC">
      <w:pPr>
        <w:pStyle w:val="NormalWeb"/>
        <w:spacing w:before="120" w:beforeAutospacing="0" w:after="120" w:afterAutospacing="0"/>
        <w:rPr>
          <w:bCs/>
          <w:sz w:val="22"/>
          <w:szCs w:val="22"/>
        </w:rPr>
      </w:pPr>
      <w:r>
        <w:rPr>
          <w:bCs/>
          <w:sz w:val="22"/>
          <w:szCs w:val="22"/>
        </w:rPr>
        <w:t xml:space="preserve">2.  </w:t>
      </w:r>
      <w:r>
        <w:rPr>
          <w:rFonts w:asciiTheme="majorHAnsi" w:hAnsiTheme="majorHAnsi" w:cstheme="minorBidi"/>
          <w:bCs/>
          <w:sz w:val="22"/>
          <w:szCs w:val="22"/>
        </w:rPr>
        <w:t>We recommend that u</w:t>
      </w:r>
      <w:r w:rsidRPr="00852425">
        <w:rPr>
          <w:rFonts w:asciiTheme="majorHAnsi" w:hAnsiTheme="majorHAnsi" w:cstheme="minorBidi"/>
          <w:bCs/>
          <w:sz w:val="22"/>
          <w:szCs w:val="22"/>
        </w:rPr>
        <w:t xml:space="preserve">nsecured </w:t>
      </w:r>
      <w:r>
        <w:rPr>
          <w:rFonts w:asciiTheme="majorHAnsi" w:hAnsiTheme="majorHAnsi" w:cstheme="minorBidi"/>
          <w:bCs/>
          <w:sz w:val="22"/>
          <w:szCs w:val="22"/>
        </w:rPr>
        <w:t>liabilities be broken down into two categories of d</w:t>
      </w:r>
      <w:r w:rsidRPr="00852425">
        <w:rPr>
          <w:rFonts w:asciiTheme="majorHAnsi" w:hAnsiTheme="majorHAnsi" w:cstheme="minorBidi"/>
          <w:bCs/>
          <w:sz w:val="22"/>
          <w:szCs w:val="22"/>
        </w:rPr>
        <w:t xml:space="preserve">eposits </w:t>
      </w:r>
      <w:r>
        <w:rPr>
          <w:rFonts w:asciiTheme="majorHAnsi" w:hAnsiTheme="majorHAnsi" w:cstheme="minorBidi"/>
          <w:bCs/>
          <w:sz w:val="22"/>
          <w:szCs w:val="22"/>
        </w:rPr>
        <w:t xml:space="preserve">for </w:t>
      </w:r>
      <w:r w:rsidRPr="00852425">
        <w:rPr>
          <w:rFonts w:asciiTheme="majorHAnsi" w:hAnsiTheme="majorHAnsi" w:cstheme="minorBidi"/>
          <w:bCs/>
          <w:sz w:val="22"/>
          <w:szCs w:val="22"/>
        </w:rPr>
        <w:t xml:space="preserve">"Corporates" and "SMEs and Individuals deposits" </w:t>
      </w:r>
      <w:r>
        <w:rPr>
          <w:rFonts w:asciiTheme="majorHAnsi" w:hAnsiTheme="majorHAnsi" w:cstheme="minorBidi"/>
          <w:bCs/>
          <w:sz w:val="22"/>
          <w:szCs w:val="22"/>
        </w:rPr>
        <w:t xml:space="preserve">to reflect their </w:t>
      </w:r>
      <w:r w:rsidRPr="00852425">
        <w:rPr>
          <w:rFonts w:asciiTheme="majorHAnsi" w:hAnsiTheme="majorHAnsi" w:cstheme="minorBidi"/>
          <w:bCs/>
          <w:sz w:val="22"/>
          <w:szCs w:val="22"/>
        </w:rPr>
        <w:t xml:space="preserve">different position within the liability hierarchy </w:t>
      </w:r>
      <w:r>
        <w:rPr>
          <w:rFonts w:asciiTheme="majorHAnsi" w:hAnsiTheme="majorHAnsi" w:cstheme="minorBidi"/>
          <w:bCs/>
          <w:sz w:val="22"/>
          <w:szCs w:val="22"/>
        </w:rPr>
        <w:t>under article 108 of the BRRD.</w:t>
      </w:r>
      <w:r w:rsidR="006223FC">
        <w:rPr>
          <w:rFonts w:asciiTheme="majorHAnsi" w:hAnsiTheme="majorHAnsi" w:cstheme="minorBidi"/>
          <w:bCs/>
          <w:sz w:val="22"/>
          <w:szCs w:val="22"/>
        </w:rPr>
        <w:t xml:space="preserve">   </w:t>
      </w:r>
      <w:r w:rsidR="0002640E">
        <w:rPr>
          <w:bCs/>
          <w:sz w:val="22"/>
          <w:szCs w:val="22"/>
        </w:rPr>
        <w:t xml:space="preserve">We </w:t>
      </w:r>
      <w:r w:rsidR="006223FC">
        <w:rPr>
          <w:bCs/>
          <w:sz w:val="22"/>
          <w:szCs w:val="22"/>
        </w:rPr>
        <w:t xml:space="preserve">further </w:t>
      </w:r>
      <w:r w:rsidR="0002640E">
        <w:rPr>
          <w:bCs/>
          <w:sz w:val="22"/>
          <w:szCs w:val="22"/>
        </w:rPr>
        <w:t xml:space="preserve">note the absence of </w:t>
      </w:r>
      <w:r w:rsidR="004071BB" w:rsidRPr="004071BB">
        <w:rPr>
          <w:bCs/>
          <w:sz w:val="22"/>
          <w:szCs w:val="22"/>
        </w:rPr>
        <w:t>information req</w:t>
      </w:r>
      <w:r w:rsidR="0002640E">
        <w:rPr>
          <w:bCs/>
          <w:sz w:val="22"/>
          <w:szCs w:val="22"/>
        </w:rPr>
        <w:t xml:space="preserve">uested on maturity for deposits.  </w:t>
      </w:r>
    </w:p>
    <w:p w:rsidR="004071BB" w:rsidRPr="004071BB" w:rsidRDefault="00BF759C" w:rsidP="0002640E">
      <w:pPr>
        <w:rPr>
          <w:bCs/>
          <w:sz w:val="22"/>
          <w:szCs w:val="22"/>
        </w:rPr>
      </w:pPr>
      <w:r>
        <w:rPr>
          <w:bCs/>
          <w:sz w:val="22"/>
          <w:szCs w:val="22"/>
        </w:rPr>
        <w:t xml:space="preserve">3. </w:t>
      </w:r>
      <w:r w:rsidR="0002640E">
        <w:rPr>
          <w:bCs/>
          <w:sz w:val="22"/>
          <w:szCs w:val="22"/>
        </w:rPr>
        <w:t>Institutions w</w:t>
      </w:r>
      <w:r w:rsidR="004071BB" w:rsidRPr="004071BB">
        <w:rPr>
          <w:bCs/>
          <w:sz w:val="22"/>
          <w:szCs w:val="22"/>
        </w:rPr>
        <w:t xml:space="preserve">ould </w:t>
      </w:r>
      <w:r>
        <w:rPr>
          <w:bCs/>
          <w:sz w:val="22"/>
          <w:szCs w:val="22"/>
        </w:rPr>
        <w:t>prefer to</w:t>
      </w:r>
      <w:r w:rsidR="004071BB" w:rsidRPr="004071BB">
        <w:rPr>
          <w:bCs/>
          <w:sz w:val="22"/>
          <w:szCs w:val="22"/>
        </w:rPr>
        <w:t xml:space="preserve"> report interbank deposits in t</w:t>
      </w:r>
      <w:r w:rsidR="0002640E">
        <w:rPr>
          <w:bCs/>
          <w:sz w:val="22"/>
          <w:szCs w:val="22"/>
        </w:rPr>
        <w:t>his category rather than in column 170 for “Other liabilities excluded by article 44(2) of BRRD</w:t>
      </w:r>
      <w:r w:rsidR="002C1967">
        <w:rPr>
          <w:bCs/>
          <w:sz w:val="22"/>
          <w:szCs w:val="22"/>
        </w:rPr>
        <w:t>”</w:t>
      </w:r>
      <w:r w:rsidR="0002640E">
        <w:rPr>
          <w:bCs/>
          <w:sz w:val="22"/>
          <w:szCs w:val="22"/>
        </w:rPr>
        <w:t xml:space="preserve"> </w:t>
      </w:r>
      <w:r w:rsidR="004071BB" w:rsidRPr="004071BB">
        <w:rPr>
          <w:bCs/>
          <w:sz w:val="22"/>
          <w:szCs w:val="22"/>
        </w:rPr>
        <w:t>for consistency reasons</w:t>
      </w:r>
      <w:r w:rsidR="002C1967">
        <w:rPr>
          <w:bCs/>
          <w:sz w:val="22"/>
          <w:szCs w:val="22"/>
        </w:rPr>
        <w:t>.</w:t>
      </w:r>
    </w:p>
    <w:p w:rsidR="002C1967" w:rsidRDefault="00BF759C" w:rsidP="004071BB">
      <w:pPr>
        <w:rPr>
          <w:bCs/>
          <w:sz w:val="22"/>
          <w:szCs w:val="22"/>
        </w:rPr>
      </w:pPr>
      <w:r>
        <w:rPr>
          <w:bCs/>
          <w:sz w:val="22"/>
          <w:szCs w:val="22"/>
        </w:rPr>
        <w:t xml:space="preserve">4. </w:t>
      </w:r>
      <w:r w:rsidR="0002640E">
        <w:rPr>
          <w:bCs/>
          <w:sz w:val="22"/>
          <w:szCs w:val="22"/>
        </w:rPr>
        <w:t xml:space="preserve">It is not clear where </w:t>
      </w:r>
      <w:r w:rsidR="004071BB" w:rsidRPr="004071BB">
        <w:rPr>
          <w:bCs/>
          <w:sz w:val="22"/>
          <w:szCs w:val="22"/>
        </w:rPr>
        <w:t xml:space="preserve">derivatives </w:t>
      </w:r>
      <w:r w:rsidR="0002640E">
        <w:rPr>
          <w:bCs/>
          <w:sz w:val="22"/>
          <w:szCs w:val="22"/>
        </w:rPr>
        <w:t>should be reported</w:t>
      </w:r>
      <w:r w:rsidR="002C1967">
        <w:rPr>
          <w:bCs/>
          <w:sz w:val="22"/>
          <w:szCs w:val="22"/>
        </w:rPr>
        <w:t xml:space="preserve"> and whether </w:t>
      </w:r>
      <w:r w:rsidR="0002640E">
        <w:rPr>
          <w:bCs/>
          <w:sz w:val="22"/>
          <w:szCs w:val="22"/>
        </w:rPr>
        <w:t>t</w:t>
      </w:r>
      <w:r w:rsidR="004071BB" w:rsidRPr="004071BB">
        <w:rPr>
          <w:bCs/>
          <w:sz w:val="22"/>
          <w:szCs w:val="22"/>
        </w:rPr>
        <w:t xml:space="preserve">he net liability (after netting) </w:t>
      </w:r>
      <w:r w:rsidR="002C1967">
        <w:rPr>
          <w:bCs/>
          <w:sz w:val="22"/>
          <w:szCs w:val="22"/>
        </w:rPr>
        <w:t xml:space="preserve">should </w:t>
      </w:r>
      <w:r w:rsidR="0002640E">
        <w:rPr>
          <w:bCs/>
          <w:sz w:val="22"/>
          <w:szCs w:val="22"/>
        </w:rPr>
        <w:t xml:space="preserve">be set forth </w:t>
      </w:r>
      <w:r w:rsidR="004071BB" w:rsidRPr="004071BB">
        <w:rPr>
          <w:bCs/>
          <w:sz w:val="22"/>
          <w:szCs w:val="22"/>
        </w:rPr>
        <w:t>in senior unsecured debts?</w:t>
      </w:r>
    </w:p>
    <w:p w:rsidR="00BF759C" w:rsidRDefault="006223FC" w:rsidP="006223FC">
      <w:pPr>
        <w:rPr>
          <w:bCs/>
          <w:sz w:val="22"/>
          <w:szCs w:val="22"/>
        </w:rPr>
      </w:pPr>
      <w:r>
        <w:rPr>
          <w:bCs/>
          <w:sz w:val="22"/>
          <w:szCs w:val="22"/>
        </w:rPr>
        <w:t xml:space="preserve">5.  </w:t>
      </w:r>
      <w:r w:rsidR="00BF759C">
        <w:rPr>
          <w:bCs/>
          <w:sz w:val="22"/>
          <w:szCs w:val="22"/>
        </w:rPr>
        <w:t xml:space="preserve">We </w:t>
      </w:r>
      <w:r w:rsidR="00BF759C" w:rsidRPr="00852425">
        <w:rPr>
          <w:bCs/>
          <w:sz w:val="22"/>
          <w:szCs w:val="22"/>
        </w:rPr>
        <w:t>underst</w:t>
      </w:r>
      <w:r w:rsidR="00BF759C">
        <w:rPr>
          <w:bCs/>
          <w:sz w:val="22"/>
          <w:szCs w:val="22"/>
        </w:rPr>
        <w:t xml:space="preserve">ood from the EBA consultation paper on minimum requirement for own funds and eligible liabilities (MREL) that excludable </w:t>
      </w:r>
      <w:r w:rsidR="00BF759C" w:rsidRPr="00852425">
        <w:rPr>
          <w:bCs/>
          <w:sz w:val="22"/>
          <w:szCs w:val="22"/>
        </w:rPr>
        <w:t xml:space="preserve">liabilities </w:t>
      </w:r>
      <w:r w:rsidR="00BF759C">
        <w:rPr>
          <w:bCs/>
          <w:sz w:val="22"/>
          <w:szCs w:val="22"/>
        </w:rPr>
        <w:t xml:space="preserve">on a discretionary basis (on grounds of </w:t>
      </w:r>
      <w:r w:rsidR="00BF759C">
        <w:rPr>
          <w:bCs/>
          <w:sz w:val="22"/>
          <w:szCs w:val="22"/>
        </w:rPr>
        <w:lastRenderedPageBreak/>
        <w:t>practicality, preservation of critical functions, or avoiding c</w:t>
      </w:r>
      <w:r>
        <w:rPr>
          <w:bCs/>
          <w:sz w:val="22"/>
          <w:szCs w:val="22"/>
        </w:rPr>
        <w:t>on</w:t>
      </w:r>
      <w:r w:rsidR="00BF759C">
        <w:rPr>
          <w:bCs/>
          <w:sz w:val="22"/>
          <w:szCs w:val="22"/>
        </w:rPr>
        <w:t xml:space="preserve">tagion) under article 44(3) of the BRRD would be reported on a template </w:t>
      </w:r>
      <w:r w:rsidR="00A422D1">
        <w:rPr>
          <w:bCs/>
          <w:sz w:val="22"/>
          <w:szCs w:val="22"/>
        </w:rPr>
        <w:t xml:space="preserve">for </w:t>
      </w:r>
      <w:r w:rsidR="00BF759C" w:rsidRPr="00852425">
        <w:rPr>
          <w:bCs/>
          <w:sz w:val="22"/>
          <w:szCs w:val="22"/>
        </w:rPr>
        <w:t>purposes as stated in the Article 5 of the EBA’s Consultation Paper 2014/41</w:t>
      </w:r>
      <w:r w:rsidR="00837F4B">
        <w:rPr>
          <w:bCs/>
          <w:sz w:val="22"/>
          <w:szCs w:val="22"/>
        </w:rPr>
        <w:t>.  We are wondering where that template fits in with these.</w:t>
      </w:r>
    </w:p>
    <w:p w:rsidR="00FD6B18" w:rsidRDefault="00FD6B18" w:rsidP="006223FC">
      <w:pPr>
        <w:rPr>
          <w:bCs/>
          <w:sz w:val="22"/>
          <w:szCs w:val="22"/>
        </w:rPr>
      </w:pPr>
      <w:r>
        <w:rPr>
          <w:bCs/>
          <w:sz w:val="22"/>
          <w:szCs w:val="22"/>
        </w:rPr>
        <w:t xml:space="preserve">6. In general, issuances are performed through syndicates, dealers and in-house distribution to both institutional and retail clients (primary markets). </w:t>
      </w:r>
      <w:r w:rsidR="00030EF0">
        <w:rPr>
          <w:bCs/>
          <w:sz w:val="22"/>
          <w:szCs w:val="22"/>
        </w:rPr>
        <w:t xml:space="preserve"> </w:t>
      </w:r>
      <w:r w:rsidR="00A422D1">
        <w:rPr>
          <w:bCs/>
          <w:sz w:val="22"/>
          <w:szCs w:val="22"/>
        </w:rPr>
        <w:t xml:space="preserve">Institutions may not have access to the identity of secondary holders of their securities.  </w:t>
      </w:r>
      <w:r>
        <w:rPr>
          <w:bCs/>
          <w:sz w:val="22"/>
          <w:szCs w:val="22"/>
        </w:rPr>
        <w:t xml:space="preserve">We recommend providing only line 140 (totals) for these types of products.  </w:t>
      </w:r>
      <w:r w:rsidR="00A422D1">
        <w:rPr>
          <w:bCs/>
          <w:sz w:val="22"/>
          <w:szCs w:val="22"/>
        </w:rPr>
        <w:t>While maturity is rel</w:t>
      </w:r>
      <w:r w:rsidR="00837F4B">
        <w:rPr>
          <w:bCs/>
          <w:sz w:val="22"/>
          <w:szCs w:val="22"/>
        </w:rPr>
        <w:t>evant we don’t believe the date</w:t>
      </w:r>
      <w:r w:rsidR="00A422D1">
        <w:rPr>
          <w:bCs/>
          <w:sz w:val="22"/>
          <w:szCs w:val="22"/>
        </w:rPr>
        <w:t xml:space="preserve"> of issuance is necessarily relevant for resolution planning purposes. </w:t>
      </w:r>
    </w:p>
    <w:p w:rsidR="00112BE9" w:rsidRDefault="00112BE9" w:rsidP="006223FC">
      <w:pPr>
        <w:rPr>
          <w:bCs/>
          <w:sz w:val="22"/>
          <w:szCs w:val="22"/>
        </w:rPr>
      </w:pPr>
    </w:p>
    <w:p w:rsidR="00112BE9" w:rsidRPr="00112BE9" w:rsidRDefault="00DD0D16" w:rsidP="006223FC">
      <w:pPr>
        <w:rPr>
          <w:b/>
          <w:bCs/>
          <w:sz w:val="22"/>
          <w:szCs w:val="22"/>
        </w:rPr>
      </w:pPr>
      <w:r w:rsidRPr="00DD0D16">
        <w:rPr>
          <w:b/>
          <w:bCs/>
          <w:sz w:val="22"/>
          <w:szCs w:val="22"/>
        </w:rPr>
        <w:t>Annex VI – Funding sources</w:t>
      </w:r>
    </w:p>
    <w:p w:rsidR="00112BE9" w:rsidRPr="000D0CC4" w:rsidRDefault="00DD0D16" w:rsidP="00112BE9">
      <w:pPr>
        <w:rPr>
          <w:bCs/>
          <w:sz w:val="22"/>
          <w:szCs w:val="22"/>
        </w:rPr>
      </w:pPr>
      <w:r w:rsidRPr="00DD0D16">
        <w:rPr>
          <w:bCs/>
          <w:sz w:val="22"/>
          <w:szCs w:val="22"/>
        </w:rPr>
        <w:t>Section B(7) of the annex to the BRRD requires the identification of processes needed to determine to whom the firm has pledged collateral, the person who holds the collateral and the jurisdiction.  The ITS does go further, however, by asking the issuer of the collateral, the type of collateral, the amount and the currency</w:t>
      </w:r>
    </w:p>
    <w:p w:rsidR="00112BE9" w:rsidRPr="000D0CC4" w:rsidRDefault="00112BE9" w:rsidP="00112BE9">
      <w:pPr>
        <w:rPr>
          <w:bCs/>
          <w:sz w:val="22"/>
          <w:szCs w:val="22"/>
        </w:rPr>
      </w:pPr>
    </w:p>
    <w:p w:rsidR="006F42CC" w:rsidRDefault="006F42CC" w:rsidP="006223FC">
      <w:pPr>
        <w:rPr>
          <w:b/>
          <w:bCs/>
          <w:sz w:val="22"/>
          <w:szCs w:val="22"/>
        </w:rPr>
      </w:pPr>
      <w:r w:rsidRPr="006F42CC">
        <w:rPr>
          <w:b/>
          <w:bCs/>
          <w:sz w:val="22"/>
          <w:szCs w:val="22"/>
        </w:rPr>
        <w:t>Annex VII</w:t>
      </w:r>
      <w:r w:rsidR="00FD6B18">
        <w:rPr>
          <w:b/>
          <w:bCs/>
          <w:sz w:val="22"/>
          <w:szCs w:val="22"/>
        </w:rPr>
        <w:t xml:space="preserve"> – Off-balance sheet</w:t>
      </w:r>
    </w:p>
    <w:p w:rsidR="00E8613E" w:rsidRDefault="00FD6B18" w:rsidP="006223FC">
      <w:pPr>
        <w:rPr>
          <w:b/>
          <w:bCs/>
          <w:sz w:val="22"/>
          <w:szCs w:val="22"/>
        </w:rPr>
      </w:pPr>
      <w:r>
        <w:rPr>
          <w:bCs/>
          <w:sz w:val="22"/>
          <w:szCs w:val="22"/>
        </w:rPr>
        <w:t xml:space="preserve">Further guidance is necessary on whether Annex VII requires a detailed breakdown of every off-balance sheet account which would seem excessively burdensome and irrelevant for resolution planning purposes.   We believe the total per account and the connection to critical operations and core business lines, if any, should be sufficient to satisfy the requirement.  </w:t>
      </w:r>
    </w:p>
    <w:p w:rsidR="00837F4B" w:rsidRPr="006F42CC" w:rsidRDefault="00837F4B" w:rsidP="006223FC">
      <w:pPr>
        <w:rPr>
          <w:b/>
          <w:bCs/>
          <w:sz w:val="22"/>
          <w:szCs w:val="22"/>
        </w:rPr>
      </w:pPr>
    </w:p>
    <w:p w:rsidR="002C1967" w:rsidRDefault="004071BB" w:rsidP="002C1967">
      <w:pPr>
        <w:rPr>
          <w:bCs/>
          <w:sz w:val="22"/>
          <w:szCs w:val="22"/>
        </w:rPr>
      </w:pPr>
      <w:r w:rsidRPr="004071BB">
        <w:rPr>
          <w:b/>
          <w:bCs/>
          <w:sz w:val="22"/>
          <w:szCs w:val="22"/>
        </w:rPr>
        <w:t>Annex IX</w:t>
      </w:r>
      <w:r w:rsidR="002C1967">
        <w:rPr>
          <w:b/>
          <w:bCs/>
          <w:sz w:val="22"/>
          <w:szCs w:val="22"/>
        </w:rPr>
        <w:t>, Templates 1, 2 and 3 – Information systems (General information, Contractual information and Mapping)</w:t>
      </w:r>
    </w:p>
    <w:p w:rsidR="003034B4" w:rsidRDefault="003034B4" w:rsidP="002C1967">
      <w:pPr>
        <w:rPr>
          <w:bCs/>
          <w:sz w:val="22"/>
          <w:szCs w:val="22"/>
        </w:rPr>
      </w:pPr>
      <w:r>
        <w:rPr>
          <w:bCs/>
          <w:sz w:val="22"/>
          <w:szCs w:val="22"/>
        </w:rPr>
        <w:t>It would be helpful if the ITS provide</w:t>
      </w:r>
      <w:r w:rsidR="00030EF0">
        <w:rPr>
          <w:bCs/>
          <w:sz w:val="22"/>
          <w:szCs w:val="22"/>
        </w:rPr>
        <w:t>d</w:t>
      </w:r>
      <w:r>
        <w:rPr>
          <w:bCs/>
          <w:sz w:val="22"/>
          <w:szCs w:val="22"/>
        </w:rPr>
        <w:t xml:space="preserve"> clear definitions of payment systems in order for the data to be meaningful.  </w:t>
      </w:r>
      <w:r w:rsidR="00E8613E">
        <w:rPr>
          <w:bCs/>
          <w:sz w:val="22"/>
          <w:szCs w:val="22"/>
        </w:rPr>
        <w:t>For</w:t>
      </w:r>
      <w:r>
        <w:rPr>
          <w:bCs/>
          <w:sz w:val="22"/>
          <w:szCs w:val="22"/>
        </w:rPr>
        <w:t xml:space="preserve"> ‘financial market infrastructures’ the ITS could use the definition adopted by the Committee on Payments and Settlements Systems (CPSS) and the Technical Committee of the International Organisation of Securities Commissions (IOSCO).  Similarly, the EBA needs to clarify what ‘substitutable’ means.</w:t>
      </w:r>
    </w:p>
    <w:p w:rsidR="003034B4" w:rsidRDefault="003034B4" w:rsidP="002C1967">
      <w:pPr>
        <w:rPr>
          <w:bCs/>
          <w:sz w:val="22"/>
          <w:szCs w:val="22"/>
        </w:rPr>
      </w:pPr>
    </w:p>
    <w:p w:rsidR="004071BB" w:rsidRDefault="002C1967" w:rsidP="002C1967">
      <w:pPr>
        <w:rPr>
          <w:bCs/>
          <w:sz w:val="22"/>
          <w:szCs w:val="22"/>
        </w:rPr>
      </w:pPr>
      <w:r>
        <w:rPr>
          <w:bCs/>
          <w:sz w:val="22"/>
          <w:szCs w:val="22"/>
        </w:rPr>
        <w:t>W</w:t>
      </w:r>
      <w:r w:rsidR="004071BB" w:rsidRPr="002C1967">
        <w:rPr>
          <w:bCs/>
          <w:sz w:val="22"/>
          <w:szCs w:val="22"/>
        </w:rPr>
        <w:t xml:space="preserve">e </w:t>
      </w:r>
      <w:r w:rsidR="00201340">
        <w:rPr>
          <w:bCs/>
          <w:sz w:val="22"/>
          <w:szCs w:val="22"/>
        </w:rPr>
        <w:t xml:space="preserve">also </w:t>
      </w:r>
      <w:r w:rsidR="004071BB" w:rsidRPr="002C1967">
        <w:rPr>
          <w:bCs/>
          <w:sz w:val="22"/>
          <w:szCs w:val="22"/>
        </w:rPr>
        <w:t xml:space="preserve">suggest that the </w:t>
      </w:r>
      <w:r w:rsidR="00DA56EE" w:rsidRPr="002C1967">
        <w:rPr>
          <w:bCs/>
          <w:sz w:val="22"/>
          <w:szCs w:val="22"/>
        </w:rPr>
        <w:t>three</w:t>
      </w:r>
      <w:r w:rsidR="004071BB" w:rsidRPr="002C1967">
        <w:rPr>
          <w:bCs/>
          <w:sz w:val="22"/>
          <w:szCs w:val="22"/>
        </w:rPr>
        <w:t xml:space="preserve"> </w:t>
      </w:r>
      <w:r>
        <w:rPr>
          <w:bCs/>
          <w:sz w:val="22"/>
          <w:szCs w:val="22"/>
        </w:rPr>
        <w:t>template</w:t>
      </w:r>
      <w:r w:rsidR="004071BB" w:rsidRPr="002C1967">
        <w:rPr>
          <w:bCs/>
          <w:sz w:val="22"/>
          <w:szCs w:val="22"/>
        </w:rPr>
        <w:t xml:space="preserve">s </w:t>
      </w:r>
      <w:r>
        <w:rPr>
          <w:bCs/>
          <w:sz w:val="22"/>
          <w:szCs w:val="22"/>
        </w:rPr>
        <w:t xml:space="preserve">for Annex IX </w:t>
      </w:r>
      <w:r w:rsidR="004071BB" w:rsidRPr="002C1967">
        <w:rPr>
          <w:bCs/>
          <w:sz w:val="22"/>
          <w:szCs w:val="22"/>
        </w:rPr>
        <w:t>could be merged in</w:t>
      </w:r>
      <w:r>
        <w:rPr>
          <w:bCs/>
          <w:sz w:val="22"/>
          <w:szCs w:val="22"/>
        </w:rPr>
        <w:t>to</w:t>
      </w:r>
      <w:r w:rsidR="004071BB" w:rsidRPr="002C1967">
        <w:rPr>
          <w:bCs/>
          <w:sz w:val="22"/>
          <w:szCs w:val="22"/>
        </w:rPr>
        <w:t xml:space="preserve"> </w:t>
      </w:r>
      <w:r>
        <w:rPr>
          <w:bCs/>
          <w:sz w:val="22"/>
          <w:szCs w:val="22"/>
        </w:rPr>
        <w:t xml:space="preserve">a single </w:t>
      </w:r>
      <w:r w:rsidR="004071BB" w:rsidRPr="002C1967">
        <w:rPr>
          <w:bCs/>
          <w:sz w:val="22"/>
          <w:szCs w:val="22"/>
        </w:rPr>
        <w:t xml:space="preserve">one </w:t>
      </w:r>
      <w:r>
        <w:rPr>
          <w:bCs/>
          <w:sz w:val="22"/>
          <w:szCs w:val="22"/>
        </w:rPr>
        <w:t xml:space="preserve">in order </w:t>
      </w:r>
      <w:r w:rsidR="004071BB" w:rsidRPr="002C1967">
        <w:rPr>
          <w:bCs/>
          <w:sz w:val="22"/>
          <w:szCs w:val="22"/>
        </w:rPr>
        <w:t xml:space="preserve">to have the information </w:t>
      </w:r>
      <w:r>
        <w:rPr>
          <w:bCs/>
          <w:sz w:val="22"/>
          <w:szCs w:val="22"/>
        </w:rPr>
        <w:t>related to the same</w:t>
      </w:r>
      <w:r w:rsidR="004071BB" w:rsidRPr="002C1967">
        <w:rPr>
          <w:bCs/>
          <w:sz w:val="22"/>
          <w:szCs w:val="22"/>
        </w:rPr>
        <w:t xml:space="preserve"> system on </w:t>
      </w:r>
      <w:r w:rsidR="00852425">
        <w:rPr>
          <w:bCs/>
          <w:sz w:val="22"/>
          <w:szCs w:val="22"/>
        </w:rPr>
        <w:t>the same</w:t>
      </w:r>
      <w:r w:rsidR="004071BB" w:rsidRPr="002C1967">
        <w:rPr>
          <w:bCs/>
          <w:sz w:val="22"/>
          <w:szCs w:val="22"/>
        </w:rPr>
        <w:t xml:space="preserve"> page</w:t>
      </w:r>
      <w:r>
        <w:rPr>
          <w:bCs/>
          <w:sz w:val="22"/>
          <w:szCs w:val="22"/>
        </w:rPr>
        <w:t>.  We note template 1 calls for the owner, template 2</w:t>
      </w:r>
      <w:r w:rsidR="00852425">
        <w:rPr>
          <w:bCs/>
          <w:sz w:val="22"/>
          <w:szCs w:val="22"/>
        </w:rPr>
        <w:t>,</w:t>
      </w:r>
      <w:r>
        <w:rPr>
          <w:bCs/>
          <w:sz w:val="22"/>
          <w:szCs w:val="22"/>
        </w:rPr>
        <w:t xml:space="preserve"> </w:t>
      </w:r>
      <w:r w:rsidR="00852425">
        <w:rPr>
          <w:bCs/>
          <w:sz w:val="22"/>
          <w:szCs w:val="22"/>
        </w:rPr>
        <w:t>[</w:t>
      </w:r>
      <w:r w:rsidR="004071BB" w:rsidRPr="002C1967">
        <w:rPr>
          <w:bCs/>
          <w:sz w:val="22"/>
          <w:szCs w:val="22"/>
        </w:rPr>
        <w:t>the provider,</w:t>
      </w:r>
      <w:r w:rsidR="00852425">
        <w:rPr>
          <w:bCs/>
          <w:sz w:val="22"/>
          <w:szCs w:val="22"/>
        </w:rPr>
        <w:t>] and template</w:t>
      </w:r>
      <w:r w:rsidR="004071BB" w:rsidRPr="002C1967">
        <w:rPr>
          <w:bCs/>
          <w:sz w:val="22"/>
          <w:szCs w:val="22"/>
        </w:rPr>
        <w:t xml:space="preserve"> 3</w:t>
      </w:r>
      <w:r w:rsidR="00852425">
        <w:rPr>
          <w:bCs/>
          <w:sz w:val="22"/>
          <w:szCs w:val="22"/>
        </w:rPr>
        <w:t>,</w:t>
      </w:r>
      <w:r w:rsidR="004071BB" w:rsidRPr="002C1967">
        <w:rPr>
          <w:bCs/>
          <w:sz w:val="22"/>
          <w:szCs w:val="22"/>
        </w:rPr>
        <w:t xml:space="preserve"> the user of the </w:t>
      </w:r>
      <w:r w:rsidR="00852425">
        <w:rPr>
          <w:bCs/>
          <w:sz w:val="22"/>
          <w:szCs w:val="22"/>
        </w:rPr>
        <w:t>management information system.</w:t>
      </w:r>
    </w:p>
    <w:p w:rsidR="00837F4B" w:rsidRDefault="00837F4B" w:rsidP="002C1967">
      <w:pPr>
        <w:rPr>
          <w:bCs/>
          <w:sz w:val="22"/>
          <w:szCs w:val="22"/>
        </w:rPr>
      </w:pPr>
    </w:p>
    <w:p w:rsidR="006F42CC" w:rsidRDefault="006F42CC" w:rsidP="002C1967">
      <w:pPr>
        <w:rPr>
          <w:b/>
          <w:bCs/>
          <w:sz w:val="22"/>
          <w:szCs w:val="22"/>
        </w:rPr>
      </w:pPr>
      <w:r w:rsidRPr="006F42CC">
        <w:rPr>
          <w:b/>
          <w:bCs/>
          <w:sz w:val="22"/>
          <w:szCs w:val="22"/>
        </w:rPr>
        <w:t>Annex XII</w:t>
      </w:r>
      <w:r w:rsidR="00201340">
        <w:rPr>
          <w:b/>
          <w:bCs/>
          <w:sz w:val="22"/>
          <w:szCs w:val="22"/>
        </w:rPr>
        <w:t xml:space="preserve"> – Legal impact of resolution</w:t>
      </w:r>
    </w:p>
    <w:p w:rsidR="00201340" w:rsidRPr="00201340" w:rsidRDefault="00201340" w:rsidP="00201340">
      <w:pPr>
        <w:autoSpaceDE w:val="0"/>
        <w:autoSpaceDN w:val="0"/>
        <w:adjustRightInd w:val="0"/>
        <w:spacing w:line="264" w:lineRule="auto"/>
        <w:rPr>
          <w:bCs/>
          <w:sz w:val="22"/>
          <w:szCs w:val="22"/>
        </w:rPr>
      </w:pPr>
      <w:r w:rsidRPr="00201340">
        <w:rPr>
          <w:bCs/>
          <w:sz w:val="22"/>
          <w:szCs w:val="22"/>
        </w:rPr>
        <w:t xml:space="preserve">We believe this assessment should be done by resolution authorities in the context of the resolution college or the Crisis Management Group at global level. Indeed, assessing the legal impact of resolution would be a matter of interpretation impossible to quantify. </w:t>
      </w:r>
      <w:r>
        <w:rPr>
          <w:bCs/>
          <w:sz w:val="22"/>
          <w:szCs w:val="22"/>
        </w:rPr>
        <w:t xml:space="preserve"> </w:t>
      </w:r>
      <w:r w:rsidRPr="00201340">
        <w:rPr>
          <w:bCs/>
          <w:sz w:val="22"/>
          <w:szCs w:val="22"/>
        </w:rPr>
        <w:t xml:space="preserve">We do not see this request as adequate for reporting templates. </w:t>
      </w:r>
    </w:p>
    <w:p w:rsidR="00201340" w:rsidRPr="006F42CC" w:rsidRDefault="00201340" w:rsidP="002C1967">
      <w:pPr>
        <w:rPr>
          <w:b/>
          <w:bCs/>
          <w:sz w:val="22"/>
          <w:szCs w:val="22"/>
        </w:rPr>
      </w:pPr>
    </w:p>
    <w:p w:rsidR="00E71717" w:rsidRDefault="00E71717" w:rsidP="00E71717">
      <w:pPr>
        <w:keepNext/>
        <w:spacing w:after="120"/>
        <w:rPr>
          <w:b/>
          <w:color w:val="78A22F"/>
          <w:szCs w:val="36"/>
        </w:rPr>
      </w:pPr>
    </w:p>
    <w:p w:rsidR="002D5B5E" w:rsidRDefault="006223FC" w:rsidP="00E71717">
      <w:pPr>
        <w:keepNext/>
        <w:spacing w:after="120"/>
        <w:rPr>
          <w:b/>
        </w:rPr>
      </w:pPr>
      <w:r>
        <w:rPr>
          <w:b/>
          <w:color w:val="78A22F"/>
          <w:szCs w:val="36"/>
        </w:rPr>
        <w:t>C</w:t>
      </w:r>
      <w:r w:rsidR="00F368D3" w:rsidRPr="00F368D3">
        <w:rPr>
          <w:b/>
          <w:color w:val="78A22F"/>
          <w:szCs w:val="36"/>
        </w:rPr>
        <w:t>. Comments in response to</w:t>
      </w:r>
      <w:r w:rsidR="00F368D3">
        <w:rPr>
          <w:b/>
          <w:color w:val="78A22F"/>
          <w:szCs w:val="36"/>
        </w:rPr>
        <w:t xml:space="preserve"> the</w:t>
      </w:r>
      <w:r w:rsidR="00F368D3" w:rsidRPr="00F368D3">
        <w:rPr>
          <w:b/>
          <w:color w:val="78A22F"/>
          <w:szCs w:val="36"/>
        </w:rPr>
        <w:t xml:space="preserve"> questions </w:t>
      </w:r>
      <w:r w:rsidR="00F368D3">
        <w:rPr>
          <w:b/>
          <w:color w:val="78A22F"/>
          <w:szCs w:val="36"/>
        </w:rPr>
        <w:t xml:space="preserve">raised </w:t>
      </w:r>
      <w:r w:rsidR="00F368D3" w:rsidRPr="00F368D3">
        <w:rPr>
          <w:b/>
          <w:color w:val="78A22F"/>
          <w:szCs w:val="36"/>
        </w:rPr>
        <w:t>in the CP</w:t>
      </w:r>
    </w:p>
    <w:p w:rsidR="00F368D3" w:rsidRPr="00F368D3" w:rsidRDefault="00F368D3" w:rsidP="002D5B5E">
      <w:pPr>
        <w:rPr>
          <w:b/>
        </w:rPr>
      </w:pPr>
    </w:p>
    <w:p w:rsidR="002D5B5E" w:rsidRDefault="002D5B5E" w:rsidP="002D5B5E">
      <w:pPr>
        <w:autoSpaceDE w:val="0"/>
        <w:autoSpaceDN w:val="0"/>
        <w:adjustRightInd w:val="0"/>
        <w:spacing w:before="0"/>
        <w:rPr>
          <w:b/>
          <w:bCs/>
          <w:sz w:val="22"/>
          <w:szCs w:val="22"/>
        </w:rPr>
      </w:pPr>
      <w:r w:rsidRPr="00F368D3">
        <w:rPr>
          <w:b/>
          <w:bCs/>
          <w:sz w:val="22"/>
          <w:szCs w:val="22"/>
        </w:rPr>
        <w:lastRenderedPageBreak/>
        <w:t xml:space="preserve">Q1: Do you </w:t>
      </w:r>
      <w:r w:rsidR="0083107D">
        <w:rPr>
          <w:b/>
          <w:bCs/>
          <w:sz w:val="22"/>
          <w:szCs w:val="22"/>
        </w:rPr>
        <w:t>agree with the level of details of this minimum set of forms and templates for resolution planning?</w:t>
      </w:r>
      <w:r w:rsidRPr="00F368D3">
        <w:rPr>
          <w:b/>
          <w:bCs/>
          <w:sz w:val="22"/>
          <w:szCs w:val="22"/>
        </w:rPr>
        <w:t xml:space="preserve"> </w:t>
      </w:r>
    </w:p>
    <w:p w:rsidR="00030EF0" w:rsidRDefault="00030EF0" w:rsidP="002D5B5E">
      <w:pPr>
        <w:autoSpaceDE w:val="0"/>
        <w:autoSpaceDN w:val="0"/>
        <w:adjustRightInd w:val="0"/>
        <w:spacing w:before="0"/>
        <w:rPr>
          <w:b/>
          <w:bCs/>
          <w:sz w:val="22"/>
          <w:szCs w:val="22"/>
        </w:rPr>
      </w:pPr>
    </w:p>
    <w:p w:rsidR="00030EF0" w:rsidRDefault="00A422D1" w:rsidP="0042175C">
      <w:pPr>
        <w:pStyle w:val="NormalWeb"/>
        <w:rPr>
          <w:rFonts w:asciiTheme="majorHAnsi" w:hAnsiTheme="majorHAnsi" w:cstheme="minorBidi"/>
          <w:bCs/>
          <w:sz w:val="22"/>
          <w:szCs w:val="22"/>
        </w:rPr>
      </w:pPr>
      <w:r>
        <w:rPr>
          <w:rFonts w:asciiTheme="majorHAnsi" w:hAnsiTheme="majorHAnsi" w:cstheme="minorBidi"/>
          <w:bCs/>
          <w:sz w:val="22"/>
          <w:szCs w:val="22"/>
        </w:rPr>
        <w:t xml:space="preserve">We believe </w:t>
      </w:r>
      <w:r w:rsidR="004A67A6">
        <w:rPr>
          <w:rFonts w:asciiTheme="majorHAnsi" w:hAnsiTheme="majorHAnsi" w:cstheme="minorBidi"/>
          <w:bCs/>
          <w:sz w:val="22"/>
          <w:szCs w:val="22"/>
        </w:rPr>
        <w:t xml:space="preserve">that </w:t>
      </w:r>
      <w:r>
        <w:rPr>
          <w:rFonts w:asciiTheme="majorHAnsi" w:hAnsiTheme="majorHAnsi" w:cstheme="minorBidi"/>
          <w:bCs/>
          <w:sz w:val="22"/>
          <w:szCs w:val="22"/>
        </w:rPr>
        <w:t xml:space="preserve">article </w:t>
      </w:r>
      <w:r w:rsidR="00030EF0">
        <w:rPr>
          <w:rFonts w:asciiTheme="majorHAnsi" w:hAnsiTheme="majorHAnsi" w:cstheme="minorBidi"/>
          <w:bCs/>
          <w:sz w:val="22"/>
          <w:szCs w:val="22"/>
        </w:rPr>
        <w:t xml:space="preserve">2 </w:t>
      </w:r>
      <w:r w:rsidR="0042175C">
        <w:rPr>
          <w:rFonts w:asciiTheme="majorHAnsi" w:hAnsiTheme="majorHAnsi" w:cstheme="minorBidi"/>
          <w:bCs/>
          <w:sz w:val="22"/>
          <w:szCs w:val="22"/>
        </w:rPr>
        <w:t xml:space="preserve">is overly prescriptive and should clarify that </w:t>
      </w:r>
      <w:r w:rsidR="00565784" w:rsidRPr="00565784">
        <w:rPr>
          <w:rFonts w:asciiTheme="majorHAnsi" w:hAnsiTheme="majorHAnsi" w:cstheme="minorBidi"/>
          <w:bCs/>
          <w:sz w:val="22"/>
          <w:szCs w:val="22"/>
        </w:rPr>
        <w:t>the resolution authorities have the flexibility to adjust the information and the format of the templates according to their needs</w:t>
      </w:r>
      <w:r w:rsidR="0042175C">
        <w:rPr>
          <w:rFonts w:asciiTheme="majorHAnsi" w:hAnsiTheme="majorHAnsi" w:cstheme="minorBidi"/>
          <w:bCs/>
          <w:sz w:val="22"/>
          <w:szCs w:val="22"/>
        </w:rPr>
        <w:t xml:space="preserve"> in view of information that has already been provided by the institution or as agreed between the institution and the resolution authority.  </w:t>
      </w:r>
    </w:p>
    <w:p w:rsidR="0042175C" w:rsidRDefault="00982776" w:rsidP="00030EF0">
      <w:pPr>
        <w:pStyle w:val="NormalWeb"/>
        <w:rPr>
          <w:rFonts w:asciiTheme="majorHAnsi" w:hAnsiTheme="majorHAnsi" w:cstheme="minorBidi"/>
          <w:bCs/>
          <w:sz w:val="22"/>
          <w:szCs w:val="22"/>
        </w:rPr>
      </w:pPr>
      <w:r>
        <w:rPr>
          <w:rFonts w:asciiTheme="majorHAnsi" w:hAnsiTheme="majorHAnsi" w:cstheme="minorBidi"/>
          <w:bCs/>
          <w:sz w:val="22"/>
          <w:szCs w:val="22"/>
        </w:rPr>
        <w:t>We believe it would be helpful if the</w:t>
      </w:r>
      <w:r w:rsidR="00030EF0">
        <w:rPr>
          <w:rFonts w:asciiTheme="majorHAnsi" w:hAnsiTheme="majorHAnsi" w:cstheme="minorBidi"/>
          <w:bCs/>
          <w:sz w:val="22"/>
          <w:szCs w:val="22"/>
        </w:rPr>
        <w:t xml:space="preserve"> ITS</w:t>
      </w:r>
      <w:r w:rsidR="00030EF0" w:rsidRPr="00F1670B">
        <w:rPr>
          <w:rFonts w:asciiTheme="majorHAnsi" w:hAnsiTheme="majorHAnsi" w:cstheme="minorBidi"/>
          <w:bCs/>
          <w:sz w:val="22"/>
          <w:szCs w:val="22"/>
        </w:rPr>
        <w:t xml:space="preserve"> </w:t>
      </w:r>
      <w:r>
        <w:rPr>
          <w:rFonts w:asciiTheme="majorHAnsi" w:hAnsiTheme="majorHAnsi" w:cstheme="minorBidi"/>
          <w:bCs/>
          <w:sz w:val="22"/>
          <w:szCs w:val="22"/>
        </w:rPr>
        <w:t>clarified</w:t>
      </w:r>
      <w:r w:rsidR="00030EF0">
        <w:rPr>
          <w:rFonts w:asciiTheme="majorHAnsi" w:hAnsiTheme="majorHAnsi" w:cstheme="minorBidi"/>
          <w:bCs/>
          <w:sz w:val="22"/>
          <w:szCs w:val="22"/>
        </w:rPr>
        <w:t xml:space="preserve"> that they are not introducing</w:t>
      </w:r>
      <w:r w:rsidR="00030EF0" w:rsidRPr="00F1670B">
        <w:rPr>
          <w:rFonts w:asciiTheme="majorHAnsi" w:hAnsiTheme="majorHAnsi" w:cstheme="minorBidi"/>
          <w:bCs/>
          <w:sz w:val="22"/>
          <w:szCs w:val="22"/>
        </w:rPr>
        <w:t xml:space="preserve"> </w:t>
      </w:r>
      <w:r w:rsidR="0042175C">
        <w:rPr>
          <w:rFonts w:asciiTheme="majorHAnsi" w:hAnsiTheme="majorHAnsi" w:cstheme="minorBidi"/>
          <w:bCs/>
          <w:sz w:val="22"/>
          <w:szCs w:val="22"/>
        </w:rPr>
        <w:t xml:space="preserve">any new information requirements, but simply implementing standards for procedures, forms and templates for requiring the information under article 11 of the BRRD.   </w:t>
      </w:r>
    </w:p>
    <w:p w:rsidR="0083107D" w:rsidRDefault="0042175C" w:rsidP="002D5B5E">
      <w:pPr>
        <w:autoSpaceDE w:val="0"/>
        <w:autoSpaceDN w:val="0"/>
        <w:adjustRightInd w:val="0"/>
        <w:spacing w:before="0"/>
        <w:rPr>
          <w:bCs/>
          <w:sz w:val="22"/>
          <w:szCs w:val="22"/>
        </w:rPr>
      </w:pPr>
      <w:r>
        <w:rPr>
          <w:bCs/>
          <w:sz w:val="22"/>
          <w:szCs w:val="22"/>
        </w:rPr>
        <w:t xml:space="preserve">As discussed above, </w:t>
      </w:r>
      <w:r w:rsidR="00030EF0">
        <w:rPr>
          <w:bCs/>
          <w:sz w:val="22"/>
          <w:szCs w:val="22"/>
        </w:rPr>
        <w:t>fu</w:t>
      </w:r>
      <w:r w:rsidR="00030EF0" w:rsidRPr="00852425">
        <w:rPr>
          <w:bCs/>
          <w:sz w:val="22"/>
          <w:szCs w:val="22"/>
        </w:rPr>
        <w:t>rther clarification</w:t>
      </w:r>
      <w:r w:rsidR="00030EF0">
        <w:rPr>
          <w:bCs/>
          <w:sz w:val="22"/>
          <w:szCs w:val="22"/>
        </w:rPr>
        <w:t xml:space="preserve"> would be helpful</w:t>
      </w:r>
      <w:r w:rsidR="00030EF0" w:rsidRPr="00852425">
        <w:rPr>
          <w:bCs/>
          <w:sz w:val="22"/>
          <w:szCs w:val="22"/>
        </w:rPr>
        <w:t xml:space="preserve"> in </w:t>
      </w:r>
      <w:r w:rsidR="004A67A6">
        <w:rPr>
          <w:bCs/>
          <w:sz w:val="22"/>
          <w:szCs w:val="22"/>
        </w:rPr>
        <w:t>relation</w:t>
      </w:r>
      <w:r w:rsidR="00030EF0" w:rsidRPr="00852425">
        <w:rPr>
          <w:bCs/>
          <w:sz w:val="22"/>
          <w:szCs w:val="22"/>
        </w:rPr>
        <w:t xml:space="preserve"> </w:t>
      </w:r>
      <w:r w:rsidR="00030EF0">
        <w:rPr>
          <w:bCs/>
          <w:sz w:val="22"/>
          <w:szCs w:val="22"/>
        </w:rPr>
        <w:t xml:space="preserve">to </w:t>
      </w:r>
      <w:r w:rsidR="00030EF0" w:rsidRPr="00852425">
        <w:rPr>
          <w:bCs/>
          <w:sz w:val="22"/>
          <w:szCs w:val="22"/>
        </w:rPr>
        <w:t xml:space="preserve">the scope of subsidiaries </w:t>
      </w:r>
      <w:r w:rsidR="00030EF0">
        <w:rPr>
          <w:bCs/>
          <w:sz w:val="22"/>
          <w:szCs w:val="22"/>
        </w:rPr>
        <w:t xml:space="preserve">required </w:t>
      </w:r>
      <w:r w:rsidR="00030EF0" w:rsidRPr="00852425">
        <w:rPr>
          <w:bCs/>
          <w:sz w:val="22"/>
          <w:szCs w:val="22"/>
        </w:rPr>
        <w:t>to report information.</w:t>
      </w:r>
      <w:r w:rsidR="00030EF0">
        <w:rPr>
          <w:bCs/>
          <w:sz w:val="22"/>
          <w:szCs w:val="22"/>
        </w:rPr>
        <w:t xml:space="preserve"> To this end, we </w:t>
      </w:r>
      <w:r w:rsidR="004A67A6">
        <w:rPr>
          <w:bCs/>
          <w:sz w:val="22"/>
          <w:szCs w:val="22"/>
        </w:rPr>
        <w:t>consider it</w:t>
      </w:r>
      <w:r w:rsidR="00030EF0">
        <w:rPr>
          <w:bCs/>
          <w:sz w:val="22"/>
          <w:szCs w:val="22"/>
        </w:rPr>
        <w:t xml:space="preserve"> unsatisfactory that article 2 (6c) leaves open-ended whether this </w:t>
      </w:r>
      <w:r w:rsidR="004A67A6">
        <w:rPr>
          <w:bCs/>
          <w:sz w:val="22"/>
          <w:szCs w:val="22"/>
        </w:rPr>
        <w:t>template</w:t>
      </w:r>
      <w:r w:rsidR="00030EF0">
        <w:rPr>
          <w:bCs/>
          <w:sz w:val="22"/>
          <w:szCs w:val="22"/>
        </w:rPr>
        <w:t xml:space="preserve"> would be </w:t>
      </w:r>
      <w:r w:rsidR="004B4CD4">
        <w:rPr>
          <w:bCs/>
          <w:sz w:val="22"/>
          <w:szCs w:val="22"/>
        </w:rPr>
        <w:t>completed</w:t>
      </w:r>
      <w:r w:rsidR="00030EF0">
        <w:rPr>
          <w:bCs/>
          <w:sz w:val="22"/>
          <w:szCs w:val="22"/>
        </w:rPr>
        <w:t xml:space="preserve"> on a solo or group level basis and whether with </w:t>
      </w:r>
      <w:r>
        <w:rPr>
          <w:bCs/>
          <w:sz w:val="22"/>
          <w:szCs w:val="22"/>
        </w:rPr>
        <w:t>an</w:t>
      </w:r>
      <w:r w:rsidR="00030EF0">
        <w:rPr>
          <w:bCs/>
          <w:sz w:val="22"/>
          <w:szCs w:val="22"/>
        </w:rPr>
        <w:t xml:space="preserve"> EU-wide or global scope. </w:t>
      </w:r>
      <w:r>
        <w:rPr>
          <w:bCs/>
          <w:sz w:val="22"/>
          <w:szCs w:val="22"/>
        </w:rPr>
        <w:t xml:space="preserve"> </w:t>
      </w:r>
      <w:r w:rsidR="00030EF0">
        <w:rPr>
          <w:bCs/>
          <w:sz w:val="22"/>
          <w:szCs w:val="22"/>
        </w:rPr>
        <w:t xml:space="preserve">From a general standpoint, the determination on whether the templates would be </w:t>
      </w:r>
      <w:r w:rsidR="004B4CD4">
        <w:rPr>
          <w:bCs/>
          <w:sz w:val="22"/>
          <w:szCs w:val="22"/>
        </w:rPr>
        <w:t>completed</w:t>
      </w:r>
      <w:r w:rsidR="00030EF0">
        <w:rPr>
          <w:bCs/>
          <w:sz w:val="22"/>
          <w:szCs w:val="22"/>
        </w:rPr>
        <w:t xml:space="preserve"> on a solo or group level, and what scope of application would apply, would be highly dependent on the </w:t>
      </w:r>
      <w:r>
        <w:rPr>
          <w:bCs/>
          <w:sz w:val="22"/>
          <w:szCs w:val="22"/>
        </w:rPr>
        <w:t>resolution strategy agreed by the institution’s Crisis Management Group</w:t>
      </w:r>
      <w:r w:rsidR="00030EF0">
        <w:rPr>
          <w:bCs/>
          <w:sz w:val="22"/>
          <w:szCs w:val="22"/>
        </w:rPr>
        <w:t xml:space="preserve">. </w:t>
      </w:r>
      <w:r>
        <w:rPr>
          <w:bCs/>
          <w:sz w:val="22"/>
          <w:szCs w:val="22"/>
        </w:rPr>
        <w:t>I</w:t>
      </w:r>
      <w:r w:rsidR="00030EF0">
        <w:rPr>
          <w:bCs/>
          <w:sz w:val="22"/>
          <w:szCs w:val="22"/>
        </w:rPr>
        <w:t xml:space="preserve">t may not be necessary for an EU-headquartered parent to fill out templates for </w:t>
      </w:r>
      <w:r w:rsidR="00030EF0" w:rsidRPr="00852425">
        <w:rPr>
          <w:bCs/>
          <w:sz w:val="22"/>
          <w:szCs w:val="22"/>
        </w:rPr>
        <w:t>subsidiaries</w:t>
      </w:r>
      <w:r w:rsidR="00030EF0">
        <w:rPr>
          <w:bCs/>
          <w:sz w:val="22"/>
          <w:szCs w:val="22"/>
        </w:rPr>
        <w:t xml:space="preserve"> located in third countries belonging to a group that has a multiple point of entry resolution strategy</w:t>
      </w:r>
      <w:r>
        <w:rPr>
          <w:bCs/>
          <w:sz w:val="22"/>
          <w:szCs w:val="22"/>
        </w:rPr>
        <w:t>. This might be</w:t>
      </w:r>
      <w:r w:rsidR="00030EF0" w:rsidRPr="00852425">
        <w:rPr>
          <w:bCs/>
          <w:sz w:val="22"/>
          <w:szCs w:val="22"/>
        </w:rPr>
        <w:t xml:space="preserve"> </w:t>
      </w:r>
      <w:r w:rsidR="00030EF0">
        <w:rPr>
          <w:bCs/>
          <w:sz w:val="22"/>
          <w:szCs w:val="22"/>
        </w:rPr>
        <w:t xml:space="preserve">particularly </w:t>
      </w:r>
      <w:r>
        <w:rPr>
          <w:bCs/>
          <w:sz w:val="22"/>
          <w:szCs w:val="22"/>
        </w:rPr>
        <w:t xml:space="preserve">so </w:t>
      </w:r>
      <w:r w:rsidR="00030EF0">
        <w:rPr>
          <w:bCs/>
          <w:sz w:val="22"/>
          <w:szCs w:val="22"/>
        </w:rPr>
        <w:t>where the subsidiaries are themselves</w:t>
      </w:r>
      <w:r>
        <w:rPr>
          <w:bCs/>
          <w:sz w:val="22"/>
          <w:szCs w:val="22"/>
        </w:rPr>
        <w:t xml:space="preserve"> neither</w:t>
      </w:r>
      <w:r w:rsidR="00030EF0">
        <w:rPr>
          <w:bCs/>
          <w:sz w:val="22"/>
          <w:szCs w:val="22"/>
        </w:rPr>
        <w:t xml:space="preserve"> resolution entities nor for that EU-parent undertaking to include those templates per subsidiary as part of the “resolution pack” submitted to the EU authorities. This desired outcome would still ensure coordination and cooperation between authorities when planning for resolution purposes as it would maintain coherence with the principles provided by the FSB in its Appendix I (I-Annex 1) to the Key Attributes on “Information sharing for resolution purposes,” which could, if necessary, be still further enhanced </w:t>
      </w:r>
      <w:r w:rsidR="000D3FC6">
        <w:rPr>
          <w:bCs/>
          <w:sz w:val="22"/>
          <w:szCs w:val="22"/>
        </w:rPr>
        <w:t>by the agreement of the firm specific cross-border cooperation agreements.</w:t>
      </w:r>
    </w:p>
    <w:p w:rsidR="000D0CC4" w:rsidRDefault="000D0CC4" w:rsidP="002D5B5E">
      <w:pPr>
        <w:autoSpaceDE w:val="0"/>
        <w:autoSpaceDN w:val="0"/>
        <w:adjustRightInd w:val="0"/>
        <w:spacing w:before="0"/>
        <w:rPr>
          <w:bCs/>
          <w:sz w:val="22"/>
          <w:szCs w:val="22"/>
        </w:rPr>
      </w:pPr>
    </w:p>
    <w:p w:rsidR="00000000" w:rsidRDefault="00DD0D16">
      <w:pPr>
        <w:rPr>
          <w:bCs/>
          <w:sz w:val="22"/>
          <w:szCs w:val="22"/>
        </w:rPr>
      </w:pPr>
      <w:r w:rsidRPr="00DD0D16">
        <w:rPr>
          <w:bCs/>
          <w:sz w:val="22"/>
          <w:szCs w:val="22"/>
        </w:rPr>
        <w:t>We would discourage the inclusion of “Comments” in the templates – in particular as a substitute for specific heads of information.  These risk being interpreted in an open-ended fashion</w:t>
      </w:r>
      <w:r w:rsidR="000D0CC4">
        <w:rPr>
          <w:bCs/>
          <w:sz w:val="22"/>
          <w:szCs w:val="22"/>
        </w:rPr>
        <w:t xml:space="preserve"> </w:t>
      </w:r>
      <w:r w:rsidRPr="00DD0D16">
        <w:rPr>
          <w:bCs/>
          <w:sz w:val="22"/>
          <w:szCs w:val="22"/>
        </w:rPr>
        <w:t>and</w:t>
      </w:r>
      <w:r w:rsidR="000D0CC4">
        <w:rPr>
          <w:bCs/>
          <w:sz w:val="22"/>
          <w:szCs w:val="22"/>
        </w:rPr>
        <w:t xml:space="preserve"> </w:t>
      </w:r>
      <w:r w:rsidRPr="00DD0D16">
        <w:rPr>
          <w:bCs/>
          <w:sz w:val="22"/>
          <w:szCs w:val="22"/>
        </w:rPr>
        <w:t xml:space="preserve">makes it difficult for firms to know whether they have provided the information required.  Resolution authorities in different jurisdictions may take differing views on what is required which will lead to the sort of cross-border discrepancies in interpretation that the forms are supposed to avoid (see e.g. recital (2) of the draft RTS, which states that the purpose of the forms is to ensure collection of info in a consistent manner across the EU).  All of this will create material (and unnecessary) additional regulatory risk for firms.  Among the annexes with this issue are Annex VIII Section 2 and Annex XI. </w:t>
      </w:r>
    </w:p>
    <w:p w:rsidR="004A6FA4" w:rsidRDefault="002D5B5E" w:rsidP="0083107D">
      <w:pPr>
        <w:rPr>
          <w:b/>
          <w:bCs/>
          <w:sz w:val="22"/>
          <w:szCs w:val="22"/>
        </w:rPr>
      </w:pPr>
      <w:r w:rsidRPr="00293DD2">
        <w:rPr>
          <w:b/>
          <w:bCs/>
          <w:sz w:val="22"/>
          <w:szCs w:val="22"/>
        </w:rPr>
        <w:t xml:space="preserve">Q2: Do you </w:t>
      </w:r>
      <w:r w:rsidR="0083107D">
        <w:rPr>
          <w:b/>
          <w:bCs/>
          <w:sz w:val="22"/>
          <w:szCs w:val="22"/>
        </w:rPr>
        <w:t>think that forms and templates capturing necessary information for resolution planning purposes are missing in this minimum set?</w:t>
      </w:r>
    </w:p>
    <w:p w:rsidR="0083107D" w:rsidRPr="00F2014F" w:rsidRDefault="000D0CC4" w:rsidP="0083107D">
      <w:pPr>
        <w:rPr>
          <w:bCs/>
          <w:sz w:val="22"/>
          <w:szCs w:val="22"/>
        </w:rPr>
      </w:pPr>
      <w:r>
        <w:rPr>
          <w:bCs/>
          <w:sz w:val="22"/>
          <w:szCs w:val="22"/>
        </w:rPr>
        <w:t>No</w:t>
      </w:r>
      <w:r w:rsidR="00F2014F" w:rsidRPr="00F2014F">
        <w:rPr>
          <w:bCs/>
          <w:sz w:val="22"/>
          <w:szCs w:val="22"/>
        </w:rPr>
        <w:t>.</w:t>
      </w:r>
    </w:p>
    <w:p w:rsidR="0083107D" w:rsidRPr="00F2014F" w:rsidRDefault="0083107D" w:rsidP="0083107D">
      <w:pPr>
        <w:rPr>
          <w:bCs/>
          <w:sz w:val="22"/>
          <w:szCs w:val="22"/>
        </w:rPr>
      </w:pPr>
    </w:p>
    <w:p w:rsidR="00293DD2" w:rsidRDefault="00293DD2" w:rsidP="00C25D93">
      <w:pPr>
        <w:spacing w:after="120"/>
        <w:rPr>
          <w:bCs/>
          <w:sz w:val="22"/>
          <w:szCs w:val="22"/>
        </w:rPr>
      </w:pPr>
    </w:p>
    <w:sectPr w:rsidR="00293DD2" w:rsidSect="00C60748">
      <w:type w:val="continuous"/>
      <w:pgSz w:w="11907" w:h="16839" w:code="9"/>
      <w:pgMar w:top="1702" w:right="1440" w:bottom="1440" w:left="1440" w:header="153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37C" w:rsidRDefault="0081637C" w:rsidP="00AD5A26">
      <w:pPr>
        <w:spacing w:before="0"/>
      </w:pPr>
      <w:r>
        <w:separator/>
      </w:r>
    </w:p>
  </w:endnote>
  <w:endnote w:type="continuationSeparator" w:id="0">
    <w:p w:rsidR="0081637C" w:rsidRDefault="0081637C" w:rsidP="00AD5A26">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377751"/>
      <w:docPartObj>
        <w:docPartGallery w:val="Page Numbers (Bottom of Page)"/>
        <w:docPartUnique/>
      </w:docPartObj>
    </w:sdtPr>
    <w:sdtContent>
      <w:p w:rsidR="00057EC8" w:rsidRDefault="00DD0D16">
        <w:pPr>
          <w:pStyle w:val="Footer"/>
          <w:jc w:val="center"/>
        </w:pPr>
        <w:fldSimple w:instr=" PAGE   \* MERGEFORMAT ">
          <w:r w:rsidR="00067476">
            <w:rPr>
              <w:noProof/>
            </w:rPr>
            <w:t>5</w:t>
          </w:r>
        </w:fldSimple>
      </w:p>
    </w:sdtContent>
  </w:sdt>
  <w:p w:rsidR="00057EC8" w:rsidRDefault="00057EC8" w:rsidP="009959D7">
    <w:pPr>
      <w:pStyle w:val="Footer2"/>
      <w:spacing w:line="240" w:lineRule="auto"/>
      <w:ind w:left="-85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C8" w:rsidRPr="00C962A2" w:rsidRDefault="00057EC8" w:rsidP="00BC0014">
    <w:pPr>
      <w:pStyle w:val="Footer1"/>
      <w:spacing w:after="60" w:line="240" w:lineRule="auto"/>
      <w:ind w:left="-851"/>
      <w:rPr>
        <w:rFonts w:asciiTheme="majorHAnsi" w:hAnsiTheme="majorHAnsi"/>
        <w:b/>
        <w:color w:val="808285"/>
        <w:kern w:val="1"/>
      </w:rPr>
    </w:pPr>
    <w:r w:rsidRPr="00C962A2">
      <w:rPr>
        <w:rFonts w:asciiTheme="majorHAnsi" w:hAnsiTheme="majorHAnsi"/>
        <w:b/>
        <w:color w:val="808285"/>
        <w:kern w:val="1"/>
      </w:rPr>
      <w:t>Association for Financial Markets in Europe</w:t>
    </w:r>
  </w:p>
  <w:p w:rsidR="00057EC8" w:rsidRPr="00C962A2" w:rsidRDefault="00057EC8" w:rsidP="00BC0014">
    <w:pPr>
      <w:pStyle w:val="Footer1"/>
      <w:spacing w:after="0" w:line="240" w:lineRule="auto"/>
      <w:ind w:left="-851"/>
      <w:rPr>
        <w:rFonts w:asciiTheme="majorHAnsi" w:hAnsiTheme="majorHAnsi"/>
        <w:color w:val="808285"/>
        <w:kern w:val="1"/>
        <w:sz w:val="16"/>
        <w:szCs w:val="16"/>
      </w:rPr>
    </w:pPr>
    <w:r w:rsidRPr="00C962A2">
      <w:rPr>
        <w:rFonts w:asciiTheme="majorHAnsi" w:hAnsiTheme="majorHAnsi"/>
        <w:color w:val="808285"/>
        <w:kern w:val="1"/>
        <w:sz w:val="16"/>
        <w:szCs w:val="16"/>
      </w:rPr>
      <w:t xml:space="preserve">London Office: St. Michael’s House, 1 George Yard, London EC3V 9DH   T: +44 (0)20 7743 9300    F: +44 (0)20 7743 9301    </w:t>
    </w:r>
  </w:p>
  <w:p w:rsidR="00057EC8" w:rsidRPr="00A860BC" w:rsidRDefault="00057EC8" w:rsidP="00946EAA">
    <w:pPr>
      <w:pStyle w:val="Footer2"/>
      <w:spacing w:line="240" w:lineRule="auto"/>
      <w:ind w:left="-851"/>
      <w:rPr>
        <w:rFonts w:asciiTheme="majorHAnsi" w:hAnsiTheme="majorHAnsi"/>
        <w:color w:val="808285"/>
        <w:kern w:val="1"/>
        <w:szCs w:val="16"/>
        <w:lang w:val="fr-BE"/>
      </w:rPr>
    </w:pPr>
    <w:r w:rsidRPr="00A860BC">
      <w:rPr>
        <w:rFonts w:asciiTheme="majorHAnsi" w:hAnsiTheme="majorHAnsi"/>
        <w:color w:val="808285"/>
        <w:kern w:val="1"/>
        <w:szCs w:val="16"/>
        <w:lang w:val="fr-BE"/>
      </w:rPr>
      <w:t xml:space="preserve">Brussels Office: Rue de la Loi 82, 1040 Brussels, Belgium   T: +32 (0)2 788 3971  </w:t>
    </w:r>
  </w:p>
  <w:p w:rsidR="00057EC8" w:rsidRDefault="00057EC8" w:rsidP="00BC0014">
    <w:pPr>
      <w:pStyle w:val="Footer2"/>
      <w:spacing w:line="240" w:lineRule="auto"/>
      <w:ind w:left="-851"/>
      <w:rPr>
        <w:rFonts w:asciiTheme="majorHAnsi" w:hAnsiTheme="majorHAnsi"/>
        <w:color w:val="808285"/>
        <w:kern w:val="1"/>
      </w:rPr>
    </w:pPr>
    <w:r w:rsidRPr="00C962A2">
      <w:rPr>
        <w:rFonts w:asciiTheme="majorHAnsi" w:hAnsiTheme="majorHAnsi"/>
        <w:color w:val="808285"/>
        <w:kern w:val="1"/>
        <w:szCs w:val="16"/>
      </w:rPr>
      <w:t>Company Registration No: 6996678   Registered Office: St. Michael’s House, 1 George Yard, London EC3V 9DH</w:t>
    </w:r>
    <w:r w:rsidRPr="00C962A2">
      <w:rPr>
        <w:rFonts w:asciiTheme="majorHAnsi" w:hAnsiTheme="majorHAnsi"/>
        <w:color w:val="808285"/>
        <w:kern w:val="1"/>
        <w:szCs w:val="16"/>
      </w:rPr>
      <w:br/>
    </w:r>
    <w:hyperlink r:id="rId1" w:history="1">
      <w:r w:rsidRPr="008219F8">
        <w:rPr>
          <w:rStyle w:val="Hyperlink"/>
          <w:rFonts w:asciiTheme="majorHAnsi" w:hAnsiTheme="majorHAnsi"/>
          <w:kern w:val="1"/>
        </w:rPr>
        <w:t>www.afme.eu</w:t>
      </w:r>
    </w:hyperlink>
  </w:p>
  <w:p w:rsidR="00057EC8" w:rsidRDefault="00057EC8" w:rsidP="00F91E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37C" w:rsidRDefault="0081637C" w:rsidP="00AD5A26">
      <w:pPr>
        <w:spacing w:before="0"/>
      </w:pPr>
      <w:r>
        <w:separator/>
      </w:r>
    </w:p>
  </w:footnote>
  <w:footnote w:type="continuationSeparator" w:id="0">
    <w:p w:rsidR="0081637C" w:rsidRDefault="0081637C" w:rsidP="00AD5A26">
      <w:pPr>
        <w:spacing w:before="0"/>
      </w:pPr>
      <w:r>
        <w:continuationSeparator/>
      </w:r>
    </w:p>
  </w:footnote>
  <w:footnote w:id="1">
    <w:p w:rsidR="00057EC8" w:rsidRPr="009126DA" w:rsidRDefault="00057EC8" w:rsidP="00602E7C">
      <w:pPr>
        <w:pStyle w:val="FootnoteText"/>
        <w:rPr>
          <w:sz w:val="18"/>
          <w:szCs w:val="18"/>
        </w:rPr>
      </w:pPr>
      <w:r w:rsidRPr="009126DA">
        <w:rPr>
          <w:rStyle w:val="FootnoteReference"/>
          <w:sz w:val="18"/>
          <w:szCs w:val="18"/>
        </w:rPr>
        <w:footnoteRef/>
      </w:r>
      <w:r w:rsidRPr="009126DA">
        <w:rPr>
          <w:sz w:val="18"/>
          <w:szCs w:val="18"/>
        </w:rPr>
        <w:t xml:space="preserve"> AFME is the European member of the Global Financial Markets Association (GFMA) a global alliance with the Securities Industry and Financial Markets Association (SIFMA) in the US, and the Asia Securities Industry and Financial Markets Association (ASIFMA) in Asia. AFME is listed on the EU Register of Interest Representatives, registration number 65110063986-76.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C8" w:rsidRDefault="00057EC8">
    <w:pPr>
      <w:pStyle w:val="Header"/>
    </w:pPr>
    <w:r>
      <w:rPr>
        <w:noProof/>
        <w:lang w:val="en-US"/>
      </w:rPr>
      <w:drawing>
        <wp:inline distT="0" distB="0" distL="0" distR="0">
          <wp:extent cx="1079500" cy="431800"/>
          <wp:effectExtent l="19050" t="0" r="6350" b="0"/>
          <wp:docPr id="3" name="Picture 2" descr="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ll.JPG"/>
                  <pic:cNvPicPr/>
                </pic:nvPicPr>
                <pic:blipFill>
                  <a:blip r:embed="rId1"/>
                  <a:stretch>
                    <a:fillRect/>
                  </a:stretch>
                </pic:blipFill>
                <pic:spPr>
                  <a:xfrm>
                    <a:off x="0" y="0"/>
                    <a:ext cx="1079500" cy="43180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C8" w:rsidRDefault="00057EC8">
    <w:pPr>
      <w:pStyle w:val="Header"/>
    </w:pPr>
    <w:r w:rsidRPr="00EB75F6">
      <w:rPr>
        <w:noProof/>
        <w:lang w:val="en-US"/>
      </w:rPr>
      <w:drawing>
        <wp:anchor distT="0" distB="0" distL="114300" distR="114300" simplePos="0" relativeHeight="251656704" behindDoc="0" locked="0" layoutInCell="1" allowOverlap="1">
          <wp:simplePos x="0" y="0"/>
          <wp:positionH relativeFrom="page">
            <wp:posOffset>361950</wp:posOffset>
          </wp:positionH>
          <wp:positionV relativeFrom="page">
            <wp:posOffset>361950</wp:posOffset>
          </wp:positionV>
          <wp:extent cx="1270000" cy="504825"/>
          <wp:effectExtent l="19050" t="0" r="6350" b="0"/>
          <wp:wrapSquare wrapText="bothSides"/>
          <wp:docPr id="1" name="Picture 1" descr="AF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E LOGO"/>
                  <pic:cNvPicPr>
                    <a:picLocks noChangeAspect="1" noChangeArrowheads="1"/>
                  </pic:cNvPicPr>
                </pic:nvPicPr>
                <pic:blipFill>
                  <a:blip r:embed="rId1"/>
                  <a:srcRect/>
                  <a:stretch>
                    <a:fillRect/>
                  </a:stretch>
                </pic:blipFill>
                <pic:spPr bwMode="auto">
                  <a:xfrm>
                    <a:off x="0" y="0"/>
                    <a:ext cx="1270000" cy="5080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C8" w:rsidRDefault="00057EC8" w:rsidP="001625BE">
    <w:pPr>
      <w:pStyle w:val="Header"/>
      <w:tabs>
        <w:tab w:val="clear" w:pos="4513"/>
        <w:tab w:val="clear" w:pos="9026"/>
        <w:tab w:val="left" w:pos="3570"/>
      </w:tabs>
    </w:pPr>
    <w:r w:rsidRPr="008F09EB">
      <w:rPr>
        <w:noProof/>
        <w:lang w:val="en-US"/>
      </w:rPr>
      <w:drawing>
        <wp:anchor distT="0" distB="0" distL="114300" distR="114300" simplePos="0" relativeHeight="251657728" behindDoc="0" locked="0" layoutInCell="1" allowOverlap="1">
          <wp:simplePos x="0" y="0"/>
          <wp:positionH relativeFrom="page">
            <wp:posOffset>521970</wp:posOffset>
          </wp:positionH>
          <wp:positionV relativeFrom="page">
            <wp:posOffset>514350</wp:posOffset>
          </wp:positionV>
          <wp:extent cx="1270000" cy="504825"/>
          <wp:effectExtent l="19050" t="0" r="6350" b="0"/>
          <wp:wrapSquare wrapText="bothSides"/>
          <wp:docPr id="9" name="Picture 1" descr="AF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E LOGO"/>
                  <pic:cNvPicPr>
                    <a:picLocks noChangeAspect="1" noChangeArrowheads="1"/>
                  </pic:cNvPicPr>
                </pic:nvPicPr>
                <pic:blipFill>
                  <a:blip r:embed="rId1"/>
                  <a:srcRect/>
                  <a:stretch>
                    <a:fillRect/>
                  </a:stretch>
                </pic:blipFill>
                <pic:spPr bwMode="auto">
                  <a:xfrm>
                    <a:off x="0" y="0"/>
                    <a:ext cx="1270000" cy="504825"/>
                  </a:xfrm>
                  <a:prstGeom prst="rect">
                    <a:avLst/>
                  </a:prstGeom>
                  <a:noFill/>
                  <a:ln w="9525">
                    <a:noFill/>
                    <a:miter lim="800000"/>
                    <a:headEnd/>
                    <a:tailEnd/>
                  </a:ln>
                </pic:spPr>
              </pic:pic>
            </a:graphicData>
          </a:graphic>
        </wp:anchor>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E0B"/>
    <w:multiLevelType w:val="hybridMultilevel"/>
    <w:tmpl w:val="C1B2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35567"/>
    <w:multiLevelType w:val="hybridMultilevel"/>
    <w:tmpl w:val="8ED4DBA2"/>
    <w:lvl w:ilvl="0" w:tplc="BFF837AE">
      <w:numFmt w:val="bullet"/>
      <w:lvlText w:val="-"/>
      <w:lvlJc w:val="left"/>
      <w:pPr>
        <w:ind w:left="1087" w:hanging="360"/>
      </w:pPr>
      <w:rPr>
        <w:rFonts w:ascii="Cambria" w:eastAsiaTheme="minorHAnsi" w:hAnsi="Cambria" w:cs="Cambria"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2">
    <w:nsid w:val="028A1BB6"/>
    <w:multiLevelType w:val="hybridMultilevel"/>
    <w:tmpl w:val="95324DC8"/>
    <w:lvl w:ilvl="0" w:tplc="5AA846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5E848D6"/>
    <w:multiLevelType w:val="hybridMultilevel"/>
    <w:tmpl w:val="25C66362"/>
    <w:lvl w:ilvl="0" w:tplc="6E48177A">
      <w:start w:val="1"/>
      <w:numFmt w:val="decimal"/>
      <w:lvlText w:val="%1."/>
      <w:lvlJc w:val="left"/>
      <w:pPr>
        <w:ind w:left="0" w:firstLine="714"/>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
    <w:nsid w:val="0F2E0830"/>
    <w:multiLevelType w:val="hybridMultilevel"/>
    <w:tmpl w:val="D1BEF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114F0E"/>
    <w:multiLevelType w:val="hybridMultilevel"/>
    <w:tmpl w:val="1DFE117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nsid w:val="16700006"/>
    <w:multiLevelType w:val="hybridMultilevel"/>
    <w:tmpl w:val="13EE0718"/>
    <w:lvl w:ilvl="0" w:tplc="BFF837AE">
      <w:numFmt w:val="bullet"/>
      <w:lvlText w:val="-"/>
      <w:lvlJc w:val="left"/>
      <w:pPr>
        <w:ind w:left="1229" w:hanging="360"/>
      </w:pPr>
      <w:rPr>
        <w:rFonts w:ascii="Cambria" w:eastAsiaTheme="minorHAnsi" w:hAnsi="Cambria" w:cs="Cambria"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nsid w:val="283C3EB0"/>
    <w:multiLevelType w:val="hybridMultilevel"/>
    <w:tmpl w:val="2DB0158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B023619"/>
    <w:multiLevelType w:val="hybridMultilevel"/>
    <w:tmpl w:val="28E0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B85514"/>
    <w:multiLevelType w:val="hybridMultilevel"/>
    <w:tmpl w:val="5ED80876"/>
    <w:lvl w:ilvl="0" w:tplc="04090017">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362B20"/>
    <w:multiLevelType w:val="hybridMultilevel"/>
    <w:tmpl w:val="67C2EAB8"/>
    <w:lvl w:ilvl="0" w:tplc="BFF837AE">
      <w:numFmt w:val="bullet"/>
      <w:lvlText w:val="-"/>
      <w:lvlJc w:val="left"/>
      <w:pPr>
        <w:ind w:left="1087"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7E1E4B"/>
    <w:multiLevelType w:val="hybridMultilevel"/>
    <w:tmpl w:val="889E9D96"/>
    <w:lvl w:ilvl="0" w:tplc="34FE7E9C">
      <w:start w:val="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985B19"/>
    <w:multiLevelType w:val="hybridMultilevel"/>
    <w:tmpl w:val="75128D7C"/>
    <w:lvl w:ilvl="0" w:tplc="997837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C23B20"/>
    <w:multiLevelType w:val="hybridMultilevel"/>
    <w:tmpl w:val="14CC5C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AC7B90"/>
    <w:multiLevelType w:val="hybridMultilevel"/>
    <w:tmpl w:val="15F2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DA497B"/>
    <w:multiLevelType w:val="hybridMultilevel"/>
    <w:tmpl w:val="822096A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42201719"/>
    <w:multiLevelType w:val="hybridMultilevel"/>
    <w:tmpl w:val="FE34A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25754DD"/>
    <w:multiLevelType w:val="hybridMultilevel"/>
    <w:tmpl w:val="E9E8FD3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nsid w:val="4C6053EE"/>
    <w:multiLevelType w:val="hybridMultilevel"/>
    <w:tmpl w:val="34F047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F9A7F0F"/>
    <w:multiLevelType w:val="hybridMultilevel"/>
    <w:tmpl w:val="B3DECA1E"/>
    <w:lvl w:ilvl="0" w:tplc="472012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CB3ABF"/>
    <w:multiLevelType w:val="hybridMultilevel"/>
    <w:tmpl w:val="D86A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0D25F1"/>
    <w:multiLevelType w:val="hybridMultilevel"/>
    <w:tmpl w:val="CF64B2FC"/>
    <w:lvl w:ilvl="0" w:tplc="CE16E0CE">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68CB7DCD"/>
    <w:multiLevelType w:val="hybridMultilevel"/>
    <w:tmpl w:val="F970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E67B17"/>
    <w:multiLevelType w:val="hybridMultilevel"/>
    <w:tmpl w:val="0C72C754"/>
    <w:lvl w:ilvl="0" w:tplc="04090017">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
    <w:nsid w:val="6C04209D"/>
    <w:multiLevelType w:val="hybridMultilevel"/>
    <w:tmpl w:val="D7182E0E"/>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934BEF"/>
    <w:multiLevelType w:val="hybridMultilevel"/>
    <w:tmpl w:val="C71E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BB3258"/>
    <w:multiLevelType w:val="hybridMultilevel"/>
    <w:tmpl w:val="2C40F8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ED5608"/>
    <w:multiLevelType w:val="hybridMultilevel"/>
    <w:tmpl w:val="7BDAD24A"/>
    <w:lvl w:ilvl="0" w:tplc="34FE7E9C">
      <w:start w:val="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CF664B"/>
    <w:multiLevelType w:val="hybridMultilevel"/>
    <w:tmpl w:val="872AB65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9E349E0"/>
    <w:multiLevelType w:val="hybridMultilevel"/>
    <w:tmpl w:val="633A1C80"/>
    <w:lvl w:ilvl="0" w:tplc="D026CEBA">
      <w:start w:val="45"/>
      <w:numFmt w:val="bullet"/>
      <w:lvlText w:val="-"/>
      <w:lvlJc w:val="left"/>
      <w:pPr>
        <w:ind w:left="720" w:hanging="360"/>
      </w:pPr>
      <w:rPr>
        <w:rFonts w:ascii="Cambria" w:eastAsiaTheme="minorHAnsi" w:hAnsi="Cambria"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5C1420"/>
    <w:multiLevelType w:val="hybridMultilevel"/>
    <w:tmpl w:val="D48489C2"/>
    <w:lvl w:ilvl="0" w:tplc="FC70E8E2">
      <w:start w:val="1"/>
      <w:numFmt w:val="decimal"/>
      <w:lvlText w:val="%1."/>
      <w:lvlJc w:val="left"/>
      <w:pPr>
        <w:ind w:left="0" w:firstLine="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E88768B"/>
    <w:multiLevelType w:val="hybridMultilevel"/>
    <w:tmpl w:val="0EC2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30"/>
  </w:num>
  <w:num w:numId="4">
    <w:abstractNumId w:val="21"/>
  </w:num>
  <w:num w:numId="5">
    <w:abstractNumId w:val="15"/>
  </w:num>
  <w:num w:numId="6">
    <w:abstractNumId w:val="4"/>
  </w:num>
  <w:num w:numId="7">
    <w:abstractNumId w:val="17"/>
  </w:num>
  <w:num w:numId="8">
    <w:abstractNumId w:val="5"/>
  </w:num>
  <w:num w:numId="9">
    <w:abstractNumId w:val="1"/>
  </w:num>
  <w:num w:numId="10">
    <w:abstractNumId w:val="6"/>
  </w:num>
  <w:num w:numId="11">
    <w:abstractNumId w:val="10"/>
  </w:num>
  <w:num w:numId="12">
    <w:abstractNumId w:val="24"/>
  </w:num>
  <w:num w:numId="13">
    <w:abstractNumId w:val="13"/>
  </w:num>
  <w:num w:numId="14">
    <w:abstractNumId w:val="19"/>
  </w:num>
  <w:num w:numId="15">
    <w:abstractNumId w:val="14"/>
  </w:num>
  <w:num w:numId="16">
    <w:abstractNumId w:val="25"/>
  </w:num>
  <w:num w:numId="17">
    <w:abstractNumId w:val="11"/>
  </w:num>
  <w:num w:numId="18">
    <w:abstractNumId w:val="27"/>
  </w:num>
  <w:num w:numId="19">
    <w:abstractNumId w:val="28"/>
  </w:num>
  <w:num w:numId="20">
    <w:abstractNumId w:val="8"/>
  </w:num>
  <w:num w:numId="21">
    <w:abstractNumId w:val="22"/>
  </w:num>
  <w:num w:numId="22">
    <w:abstractNumId w:val="20"/>
  </w:num>
  <w:num w:numId="23">
    <w:abstractNumId w:val="0"/>
  </w:num>
  <w:num w:numId="24">
    <w:abstractNumId w:val="31"/>
  </w:num>
  <w:num w:numId="25">
    <w:abstractNumId w:val="29"/>
  </w:num>
  <w:num w:numId="26">
    <w:abstractNumId w:val="9"/>
  </w:num>
  <w:num w:numId="27">
    <w:abstractNumId w:val="2"/>
  </w:num>
  <w:num w:numId="28">
    <w:abstractNumId w:val="26"/>
  </w:num>
  <w:num w:numId="29">
    <w:abstractNumId w:val="18"/>
  </w:num>
  <w:num w:numId="30">
    <w:abstractNumId w:val="23"/>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hyphenationZone w:val="425"/>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5F3D7B"/>
    <w:rsid w:val="000001DB"/>
    <w:rsid w:val="0000031C"/>
    <w:rsid w:val="000004F0"/>
    <w:rsid w:val="00000DCB"/>
    <w:rsid w:val="000033D0"/>
    <w:rsid w:val="0000408D"/>
    <w:rsid w:val="00004C97"/>
    <w:rsid w:val="0001009C"/>
    <w:rsid w:val="00011F8A"/>
    <w:rsid w:val="00012D06"/>
    <w:rsid w:val="00013F3D"/>
    <w:rsid w:val="00014103"/>
    <w:rsid w:val="00015F62"/>
    <w:rsid w:val="000160E0"/>
    <w:rsid w:val="00022233"/>
    <w:rsid w:val="00025ED1"/>
    <w:rsid w:val="00025F41"/>
    <w:rsid w:val="0002632D"/>
    <w:rsid w:val="0002640E"/>
    <w:rsid w:val="00026F49"/>
    <w:rsid w:val="000274AB"/>
    <w:rsid w:val="00030EF0"/>
    <w:rsid w:val="00033AA8"/>
    <w:rsid w:val="00036D4F"/>
    <w:rsid w:val="000404DE"/>
    <w:rsid w:val="0004078F"/>
    <w:rsid w:val="00040833"/>
    <w:rsid w:val="00043BBE"/>
    <w:rsid w:val="000447E6"/>
    <w:rsid w:val="00050477"/>
    <w:rsid w:val="00053AE7"/>
    <w:rsid w:val="000576C4"/>
    <w:rsid w:val="00057EC8"/>
    <w:rsid w:val="00062255"/>
    <w:rsid w:val="00062602"/>
    <w:rsid w:val="00063E55"/>
    <w:rsid w:val="000644E8"/>
    <w:rsid w:val="0006474E"/>
    <w:rsid w:val="00064AD4"/>
    <w:rsid w:val="00066189"/>
    <w:rsid w:val="00067476"/>
    <w:rsid w:val="000678A1"/>
    <w:rsid w:val="00067C5D"/>
    <w:rsid w:val="00070284"/>
    <w:rsid w:val="00071971"/>
    <w:rsid w:val="00073F2D"/>
    <w:rsid w:val="00074AB4"/>
    <w:rsid w:val="000770BB"/>
    <w:rsid w:val="0008166E"/>
    <w:rsid w:val="00082CD9"/>
    <w:rsid w:val="000830E2"/>
    <w:rsid w:val="00083351"/>
    <w:rsid w:val="0008427A"/>
    <w:rsid w:val="000874B0"/>
    <w:rsid w:val="00087B1C"/>
    <w:rsid w:val="00087D0D"/>
    <w:rsid w:val="000927D3"/>
    <w:rsid w:val="00093D81"/>
    <w:rsid w:val="00094720"/>
    <w:rsid w:val="00094798"/>
    <w:rsid w:val="00095E8D"/>
    <w:rsid w:val="000975C3"/>
    <w:rsid w:val="00097736"/>
    <w:rsid w:val="000A2E4C"/>
    <w:rsid w:val="000A580B"/>
    <w:rsid w:val="000A757A"/>
    <w:rsid w:val="000B1F2A"/>
    <w:rsid w:val="000B7EA3"/>
    <w:rsid w:val="000B7F77"/>
    <w:rsid w:val="000C0E42"/>
    <w:rsid w:val="000C0F9A"/>
    <w:rsid w:val="000C1291"/>
    <w:rsid w:val="000C1424"/>
    <w:rsid w:val="000C41FB"/>
    <w:rsid w:val="000C4A2A"/>
    <w:rsid w:val="000C597B"/>
    <w:rsid w:val="000C7B55"/>
    <w:rsid w:val="000D0515"/>
    <w:rsid w:val="000D0CC4"/>
    <w:rsid w:val="000D298B"/>
    <w:rsid w:val="000D36CC"/>
    <w:rsid w:val="000D3FC6"/>
    <w:rsid w:val="000D41A2"/>
    <w:rsid w:val="000D5AFC"/>
    <w:rsid w:val="000D61EB"/>
    <w:rsid w:val="000D6FFE"/>
    <w:rsid w:val="000E029B"/>
    <w:rsid w:val="000E0650"/>
    <w:rsid w:val="000E4644"/>
    <w:rsid w:val="000E475B"/>
    <w:rsid w:val="000E5DDE"/>
    <w:rsid w:val="000E78A5"/>
    <w:rsid w:val="000F07C5"/>
    <w:rsid w:val="000F0862"/>
    <w:rsid w:val="000F1638"/>
    <w:rsid w:val="000F2E2B"/>
    <w:rsid w:val="000F48E1"/>
    <w:rsid w:val="000F6586"/>
    <w:rsid w:val="000F7517"/>
    <w:rsid w:val="0010158A"/>
    <w:rsid w:val="001023DC"/>
    <w:rsid w:val="00103D7E"/>
    <w:rsid w:val="00104464"/>
    <w:rsid w:val="00105E90"/>
    <w:rsid w:val="00110DDD"/>
    <w:rsid w:val="00111A64"/>
    <w:rsid w:val="00112BE9"/>
    <w:rsid w:val="00113542"/>
    <w:rsid w:val="00113C7E"/>
    <w:rsid w:val="00114CED"/>
    <w:rsid w:val="0012175E"/>
    <w:rsid w:val="0012202C"/>
    <w:rsid w:val="00122802"/>
    <w:rsid w:val="00123B89"/>
    <w:rsid w:val="0012587B"/>
    <w:rsid w:val="001267A4"/>
    <w:rsid w:val="0012779B"/>
    <w:rsid w:val="00127B85"/>
    <w:rsid w:val="001303D8"/>
    <w:rsid w:val="0013358A"/>
    <w:rsid w:val="00133664"/>
    <w:rsid w:val="001341C9"/>
    <w:rsid w:val="001416FC"/>
    <w:rsid w:val="00142B2E"/>
    <w:rsid w:val="00144695"/>
    <w:rsid w:val="00147BFB"/>
    <w:rsid w:val="00147CD2"/>
    <w:rsid w:val="001524CD"/>
    <w:rsid w:val="00153651"/>
    <w:rsid w:val="0015490E"/>
    <w:rsid w:val="00154AF1"/>
    <w:rsid w:val="00156A81"/>
    <w:rsid w:val="00156B3E"/>
    <w:rsid w:val="0016002D"/>
    <w:rsid w:val="001625BE"/>
    <w:rsid w:val="0016315D"/>
    <w:rsid w:val="001631C1"/>
    <w:rsid w:val="0016340A"/>
    <w:rsid w:val="0017034E"/>
    <w:rsid w:val="00171BDF"/>
    <w:rsid w:val="00173095"/>
    <w:rsid w:val="001736C4"/>
    <w:rsid w:val="00173DF7"/>
    <w:rsid w:val="00174602"/>
    <w:rsid w:val="00175322"/>
    <w:rsid w:val="00177178"/>
    <w:rsid w:val="00180A60"/>
    <w:rsid w:val="00180F21"/>
    <w:rsid w:val="001813AB"/>
    <w:rsid w:val="00181517"/>
    <w:rsid w:val="0018271A"/>
    <w:rsid w:val="00184FF7"/>
    <w:rsid w:val="00185358"/>
    <w:rsid w:val="00186635"/>
    <w:rsid w:val="001900EE"/>
    <w:rsid w:val="0019157B"/>
    <w:rsid w:val="001933C6"/>
    <w:rsid w:val="0019359E"/>
    <w:rsid w:val="00194D11"/>
    <w:rsid w:val="001956A3"/>
    <w:rsid w:val="00197A89"/>
    <w:rsid w:val="001A1AC9"/>
    <w:rsid w:val="001A7008"/>
    <w:rsid w:val="001A77DF"/>
    <w:rsid w:val="001A7C27"/>
    <w:rsid w:val="001B0092"/>
    <w:rsid w:val="001B188A"/>
    <w:rsid w:val="001B1B5A"/>
    <w:rsid w:val="001B224C"/>
    <w:rsid w:val="001B34B8"/>
    <w:rsid w:val="001B383D"/>
    <w:rsid w:val="001B49D0"/>
    <w:rsid w:val="001C392F"/>
    <w:rsid w:val="001C4C3B"/>
    <w:rsid w:val="001C6396"/>
    <w:rsid w:val="001D03AA"/>
    <w:rsid w:val="001D066C"/>
    <w:rsid w:val="001D1DA9"/>
    <w:rsid w:val="001D1E05"/>
    <w:rsid w:val="001D20C8"/>
    <w:rsid w:val="001D285C"/>
    <w:rsid w:val="001D3D33"/>
    <w:rsid w:val="001D4745"/>
    <w:rsid w:val="001D4E8B"/>
    <w:rsid w:val="001D650A"/>
    <w:rsid w:val="001D769A"/>
    <w:rsid w:val="001D7FFD"/>
    <w:rsid w:val="001E0C63"/>
    <w:rsid w:val="001E216E"/>
    <w:rsid w:val="001E22A2"/>
    <w:rsid w:val="001E792C"/>
    <w:rsid w:val="001F22B2"/>
    <w:rsid w:val="001F2766"/>
    <w:rsid w:val="001F4231"/>
    <w:rsid w:val="001F49FF"/>
    <w:rsid w:val="001F4A44"/>
    <w:rsid w:val="001F4EAE"/>
    <w:rsid w:val="001F56A9"/>
    <w:rsid w:val="001F5F5F"/>
    <w:rsid w:val="001F63A0"/>
    <w:rsid w:val="001F7D42"/>
    <w:rsid w:val="00201340"/>
    <w:rsid w:val="0020183D"/>
    <w:rsid w:val="0020431C"/>
    <w:rsid w:val="00212C90"/>
    <w:rsid w:val="002133CB"/>
    <w:rsid w:val="00213410"/>
    <w:rsid w:val="00213BF0"/>
    <w:rsid w:val="002161AC"/>
    <w:rsid w:val="002174C1"/>
    <w:rsid w:val="00217C0C"/>
    <w:rsid w:val="0022076B"/>
    <w:rsid w:val="00222DA6"/>
    <w:rsid w:val="00224C52"/>
    <w:rsid w:val="00224CCD"/>
    <w:rsid w:val="00225048"/>
    <w:rsid w:val="002260ED"/>
    <w:rsid w:val="00226543"/>
    <w:rsid w:val="002265F0"/>
    <w:rsid w:val="0023059E"/>
    <w:rsid w:val="00230DD2"/>
    <w:rsid w:val="00231DC6"/>
    <w:rsid w:val="00232396"/>
    <w:rsid w:val="0023244D"/>
    <w:rsid w:val="00232F39"/>
    <w:rsid w:val="002334B2"/>
    <w:rsid w:val="00233A35"/>
    <w:rsid w:val="00233D20"/>
    <w:rsid w:val="00235A75"/>
    <w:rsid w:val="00236D9C"/>
    <w:rsid w:val="00242C8A"/>
    <w:rsid w:val="0024326A"/>
    <w:rsid w:val="00243A36"/>
    <w:rsid w:val="002469D8"/>
    <w:rsid w:val="002473F4"/>
    <w:rsid w:val="002475D0"/>
    <w:rsid w:val="00247BA7"/>
    <w:rsid w:val="00255BD8"/>
    <w:rsid w:val="002568B4"/>
    <w:rsid w:val="0026027C"/>
    <w:rsid w:val="00261E16"/>
    <w:rsid w:val="00263992"/>
    <w:rsid w:val="00264036"/>
    <w:rsid w:val="00264A11"/>
    <w:rsid w:val="00264E20"/>
    <w:rsid w:val="0026618B"/>
    <w:rsid w:val="002661E9"/>
    <w:rsid w:val="002703DA"/>
    <w:rsid w:val="0027133D"/>
    <w:rsid w:val="002721D9"/>
    <w:rsid w:val="00276AB0"/>
    <w:rsid w:val="00276C0A"/>
    <w:rsid w:val="00277002"/>
    <w:rsid w:val="00277822"/>
    <w:rsid w:val="00281F5D"/>
    <w:rsid w:val="00283FC8"/>
    <w:rsid w:val="00286673"/>
    <w:rsid w:val="00287AE2"/>
    <w:rsid w:val="0029091A"/>
    <w:rsid w:val="0029184B"/>
    <w:rsid w:val="002922E2"/>
    <w:rsid w:val="00293CF1"/>
    <w:rsid w:val="00293DD2"/>
    <w:rsid w:val="00293F8B"/>
    <w:rsid w:val="00294323"/>
    <w:rsid w:val="00294BA6"/>
    <w:rsid w:val="00297351"/>
    <w:rsid w:val="002976BF"/>
    <w:rsid w:val="002A0232"/>
    <w:rsid w:val="002A46E2"/>
    <w:rsid w:val="002B0B25"/>
    <w:rsid w:val="002B5E1E"/>
    <w:rsid w:val="002B6682"/>
    <w:rsid w:val="002B6D46"/>
    <w:rsid w:val="002C0711"/>
    <w:rsid w:val="002C1967"/>
    <w:rsid w:val="002C414C"/>
    <w:rsid w:val="002C6995"/>
    <w:rsid w:val="002C6B9A"/>
    <w:rsid w:val="002D1E78"/>
    <w:rsid w:val="002D2597"/>
    <w:rsid w:val="002D2C20"/>
    <w:rsid w:val="002D4562"/>
    <w:rsid w:val="002D497C"/>
    <w:rsid w:val="002D5B5E"/>
    <w:rsid w:val="002D7DF5"/>
    <w:rsid w:val="002E0835"/>
    <w:rsid w:val="002E1ABF"/>
    <w:rsid w:val="002E348F"/>
    <w:rsid w:val="002E40C5"/>
    <w:rsid w:val="002E4CA6"/>
    <w:rsid w:val="002E5055"/>
    <w:rsid w:val="002E6826"/>
    <w:rsid w:val="002E6A0C"/>
    <w:rsid w:val="002E7FB7"/>
    <w:rsid w:val="002F07E1"/>
    <w:rsid w:val="002F1A62"/>
    <w:rsid w:val="002F2B69"/>
    <w:rsid w:val="002F3918"/>
    <w:rsid w:val="002F4C3E"/>
    <w:rsid w:val="002F5009"/>
    <w:rsid w:val="002F7567"/>
    <w:rsid w:val="0030251D"/>
    <w:rsid w:val="00302D57"/>
    <w:rsid w:val="003034B4"/>
    <w:rsid w:val="00303E6C"/>
    <w:rsid w:val="003054EC"/>
    <w:rsid w:val="00306032"/>
    <w:rsid w:val="0031134D"/>
    <w:rsid w:val="00313DB3"/>
    <w:rsid w:val="003170D1"/>
    <w:rsid w:val="00317F68"/>
    <w:rsid w:val="003204BB"/>
    <w:rsid w:val="00320B1F"/>
    <w:rsid w:val="00321C3E"/>
    <w:rsid w:val="0032229A"/>
    <w:rsid w:val="00324233"/>
    <w:rsid w:val="003242C1"/>
    <w:rsid w:val="00325E6E"/>
    <w:rsid w:val="0032694A"/>
    <w:rsid w:val="00330FD1"/>
    <w:rsid w:val="00331567"/>
    <w:rsid w:val="00334650"/>
    <w:rsid w:val="00334DCE"/>
    <w:rsid w:val="00334E0C"/>
    <w:rsid w:val="00336639"/>
    <w:rsid w:val="00336F85"/>
    <w:rsid w:val="00340C4E"/>
    <w:rsid w:val="003422FB"/>
    <w:rsid w:val="0034530E"/>
    <w:rsid w:val="0034597A"/>
    <w:rsid w:val="00351B68"/>
    <w:rsid w:val="00355BF5"/>
    <w:rsid w:val="00356479"/>
    <w:rsid w:val="00362310"/>
    <w:rsid w:val="00362C52"/>
    <w:rsid w:val="00364222"/>
    <w:rsid w:val="003654A3"/>
    <w:rsid w:val="00366C80"/>
    <w:rsid w:val="00370968"/>
    <w:rsid w:val="00371D7D"/>
    <w:rsid w:val="00374E91"/>
    <w:rsid w:val="0037698C"/>
    <w:rsid w:val="00380F58"/>
    <w:rsid w:val="003826D4"/>
    <w:rsid w:val="00383917"/>
    <w:rsid w:val="00384F7C"/>
    <w:rsid w:val="003850DC"/>
    <w:rsid w:val="00386C98"/>
    <w:rsid w:val="00386EA8"/>
    <w:rsid w:val="00386F77"/>
    <w:rsid w:val="003902F7"/>
    <w:rsid w:val="003929C5"/>
    <w:rsid w:val="00393DAB"/>
    <w:rsid w:val="0039511E"/>
    <w:rsid w:val="00395351"/>
    <w:rsid w:val="0039582F"/>
    <w:rsid w:val="003A0FEA"/>
    <w:rsid w:val="003A102D"/>
    <w:rsid w:val="003A208F"/>
    <w:rsid w:val="003A3545"/>
    <w:rsid w:val="003A38FD"/>
    <w:rsid w:val="003A42B6"/>
    <w:rsid w:val="003A54C7"/>
    <w:rsid w:val="003A659F"/>
    <w:rsid w:val="003A6B7F"/>
    <w:rsid w:val="003A7D92"/>
    <w:rsid w:val="003B2642"/>
    <w:rsid w:val="003B52A9"/>
    <w:rsid w:val="003B5380"/>
    <w:rsid w:val="003B5997"/>
    <w:rsid w:val="003B5F4C"/>
    <w:rsid w:val="003B64C8"/>
    <w:rsid w:val="003B6981"/>
    <w:rsid w:val="003C068D"/>
    <w:rsid w:val="003C2C3A"/>
    <w:rsid w:val="003C3F4C"/>
    <w:rsid w:val="003C5646"/>
    <w:rsid w:val="003C7665"/>
    <w:rsid w:val="003D1782"/>
    <w:rsid w:val="003D619C"/>
    <w:rsid w:val="003D629D"/>
    <w:rsid w:val="003D6A09"/>
    <w:rsid w:val="003E0A06"/>
    <w:rsid w:val="003E0A65"/>
    <w:rsid w:val="003E34DB"/>
    <w:rsid w:val="003E3E21"/>
    <w:rsid w:val="003E439A"/>
    <w:rsid w:val="003E747B"/>
    <w:rsid w:val="003F1CA7"/>
    <w:rsid w:val="003F2753"/>
    <w:rsid w:val="003F27F3"/>
    <w:rsid w:val="003F55A0"/>
    <w:rsid w:val="003F5ECE"/>
    <w:rsid w:val="003F6062"/>
    <w:rsid w:val="00400CFF"/>
    <w:rsid w:val="00402305"/>
    <w:rsid w:val="00402C14"/>
    <w:rsid w:val="00404140"/>
    <w:rsid w:val="00404650"/>
    <w:rsid w:val="00405083"/>
    <w:rsid w:val="00405553"/>
    <w:rsid w:val="00406BAB"/>
    <w:rsid w:val="00406CE2"/>
    <w:rsid w:val="004071BB"/>
    <w:rsid w:val="004112DC"/>
    <w:rsid w:val="004115CD"/>
    <w:rsid w:val="0041281F"/>
    <w:rsid w:val="0041291E"/>
    <w:rsid w:val="00412CB7"/>
    <w:rsid w:val="00412FEE"/>
    <w:rsid w:val="0041307B"/>
    <w:rsid w:val="00413590"/>
    <w:rsid w:val="00414795"/>
    <w:rsid w:val="00416A54"/>
    <w:rsid w:val="004173BA"/>
    <w:rsid w:val="004176F7"/>
    <w:rsid w:val="00420205"/>
    <w:rsid w:val="00420A3A"/>
    <w:rsid w:val="00420C1C"/>
    <w:rsid w:val="0042175C"/>
    <w:rsid w:val="0042217E"/>
    <w:rsid w:val="004224FC"/>
    <w:rsid w:val="004239D2"/>
    <w:rsid w:val="00424AB4"/>
    <w:rsid w:val="004258B1"/>
    <w:rsid w:val="00427A0A"/>
    <w:rsid w:val="00432585"/>
    <w:rsid w:val="004327CC"/>
    <w:rsid w:val="00433ECA"/>
    <w:rsid w:val="00434077"/>
    <w:rsid w:val="0043584D"/>
    <w:rsid w:val="004368B7"/>
    <w:rsid w:val="00437B98"/>
    <w:rsid w:val="00441709"/>
    <w:rsid w:val="00441DD4"/>
    <w:rsid w:val="00442BD6"/>
    <w:rsid w:val="00443632"/>
    <w:rsid w:val="00444C4D"/>
    <w:rsid w:val="0044524B"/>
    <w:rsid w:val="004453E5"/>
    <w:rsid w:val="0045529C"/>
    <w:rsid w:val="00456758"/>
    <w:rsid w:val="00456B6D"/>
    <w:rsid w:val="00460EAA"/>
    <w:rsid w:val="004657BB"/>
    <w:rsid w:val="00465F27"/>
    <w:rsid w:val="00466D34"/>
    <w:rsid w:val="0047145C"/>
    <w:rsid w:val="0047186A"/>
    <w:rsid w:val="00474989"/>
    <w:rsid w:val="00474C9B"/>
    <w:rsid w:val="00475506"/>
    <w:rsid w:val="004758F2"/>
    <w:rsid w:val="004801EF"/>
    <w:rsid w:val="00480D49"/>
    <w:rsid w:val="004817A8"/>
    <w:rsid w:val="004819EC"/>
    <w:rsid w:val="00483F20"/>
    <w:rsid w:val="004906DA"/>
    <w:rsid w:val="0049131E"/>
    <w:rsid w:val="00495A70"/>
    <w:rsid w:val="004A1146"/>
    <w:rsid w:val="004A537B"/>
    <w:rsid w:val="004A66E4"/>
    <w:rsid w:val="004A67A6"/>
    <w:rsid w:val="004A6F39"/>
    <w:rsid w:val="004A6FA4"/>
    <w:rsid w:val="004A7F15"/>
    <w:rsid w:val="004B07AA"/>
    <w:rsid w:val="004B4CD4"/>
    <w:rsid w:val="004B6CA6"/>
    <w:rsid w:val="004B75A3"/>
    <w:rsid w:val="004C3C23"/>
    <w:rsid w:val="004C4348"/>
    <w:rsid w:val="004C6475"/>
    <w:rsid w:val="004C702A"/>
    <w:rsid w:val="004C71F4"/>
    <w:rsid w:val="004D16CF"/>
    <w:rsid w:val="004D3178"/>
    <w:rsid w:val="004D48E9"/>
    <w:rsid w:val="004D5049"/>
    <w:rsid w:val="004D5843"/>
    <w:rsid w:val="004E01BB"/>
    <w:rsid w:val="004E0C98"/>
    <w:rsid w:val="004E2B11"/>
    <w:rsid w:val="004E30A3"/>
    <w:rsid w:val="004E7807"/>
    <w:rsid w:val="004F0BB9"/>
    <w:rsid w:val="004F0D62"/>
    <w:rsid w:val="004F1284"/>
    <w:rsid w:val="004F1D6F"/>
    <w:rsid w:val="004F33DD"/>
    <w:rsid w:val="004F756B"/>
    <w:rsid w:val="004F7574"/>
    <w:rsid w:val="00500F6B"/>
    <w:rsid w:val="005018FB"/>
    <w:rsid w:val="005054C8"/>
    <w:rsid w:val="00510740"/>
    <w:rsid w:val="0051194E"/>
    <w:rsid w:val="00512D9F"/>
    <w:rsid w:val="005147E9"/>
    <w:rsid w:val="00517339"/>
    <w:rsid w:val="00522EC1"/>
    <w:rsid w:val="005230A9"/>
    <w:rsid w:val="00524CDE"/>
    <w:rsid w:val="00526AA8"/>
    <w:rsid w:val="00526CAC"/>
    <w:rsid w:val="0052778D"/>
    <w:rsid w:val="00531193"/>
    <w:rsid w:val="00532E87"/>
    <w:rsid w:val="005375D7"/>
    <w:rsid w:val="00540410"/>
    <w:rsid w:val="00540774"/>
    <w:rsid w:val="005416D3"/>
    <w:rsid w:val="00544E10"/>
    <w:rsid w:val="00547099"/>
    <w:rsid w:val="005517AA"/>
    <w:rsid w:val="005518C2"/>
    <w:rsid w:val="00551DF9"/>
    <w:rsid w:val="00553271"/>
    <w:rsid w:val="00554089"/>
    <w:rsid w:val="00554513"/>
    <w:rsid w:val="005550C2"/>
    <w:rsid w:val="005568A8"/>
    <w:rsid w:val="00564683"/>
    <w:rsid w:val="00565784"/>
    <w:rsid w:val="00566251"/>
    <w:rsid w:val="005679EA"/>
    <w:rsid w:val="00571B6E"/>
    <w:rsid w:val="00573814"/>
    <w:rsid w:val="00576331"/>
    <w:rsid w:val="005810E9"/>
    <w:rsid w:val="00583232"/>
    <w:rsid w:val="00583970"/>
    <w:rsid w:val="005844C0"/>
    <w:rsid w:val="00584958"/>
    <w:rsid w:val="00585EF8"/>
    <w:rsid w:val="0059311E"/>
    <w:rsid w:val="00593B10"/>
    <w:rsid w:val="0059649B"/>
    <w:rsid w:val="00597B7D"/>
    <w:rsid w:val="005A0A66"/>
    <w:rsid w:val="005A69BE"/>
    <w:rsid w:val="005A740A"/>
    <w:rsid w:val="005B006B"/>
    <w:rsid w:val="005B09A9"/>
    <w:rsid w:val="005B11DF"/>
    <w:rsid w:val="005B3731"/>
    <w:rsid w:val="005B3C18"/>
    <w:rsid w:val="005B42EA"/>
    <w:rsid w:val="005B4C0E"/>
    <w:rsid w:val="005B4D1E"/>
    <w:rsid w:val="005B5C85"/>
    <w:rsid w:val="005B68DA"/>
    <w:rsid w:val="005B6ACC"/>
    <w:rsid w:val="005B7614"/>
    <w:rsid w:val="005C2B9A"/>
    <w:rsid w:val="005C3F22"/>
    <w:rsid w:val="005C6155"/>
    <w:rsid w:val="005C7B6F"/>
    <w:rsid w:val="005D0515"/>
    <w:rsid w:val="005D0D4C"/>
    <w:rsid w:val="005D57F3"/>
    <w:rsid w:val="005D70B5"/>
    <w:rsid w:val="005D7586"/>
    <w:rsid w:val="005D7659"/>
    <w:rsid w:val="005E0DD0"/>
    <w:rsid w:val="005E2089"/>
    <w:rsid w:val="005E2AE4"/>
    <w:rsid w:val="005E37FB"/>
    <w:rsid w:val="005E6592"/>
    <w:rsid w:val="005F01A9"/>
    <w:rsid w:val="005F04D3"/>
    <w:rsid w:val="005F2A44"/>
    <w:rsid w:val="005F3D7B"/>
    <w:rsid w:val="005F3D8A"/>
    <w:rsid w:val="005F49F4"/>
    <w:rsid w:val="005F4A3A"/>
    <w:rsid w:val="005F615B"/>
    <w:rsid w:val="005F7179"/>
    <w:rsid w:val="005F7334"/>
    <w:rsid w:val="00600612"/>
    <w:rsid w:val="00602E7C"/>
    <w:rsid w:val="00603322"/>
    <w:rsid w:val="00603F16"/>
    <w:rsid w:val="00605939"/>
    <w:rsid w:val="00606900"/>
    <w:rsid w:val="00606E33"/>
    <w:rsid w:val="00612569"/>
    <w:rsid w:val="00613651"/>
    <w:rsid w:val="00620987"/>
    <w:rsid w:val="006223FC"/>
    <w:rsid w:val="00622539"/>
    <w:rsid w:val="00623446"/>
    <w:rsid w:val="00623618"/>
    <w:rsid w:val="00623E00"/>
    <w:rsid w:val="00623EA8"/>
    <w:rsid w:val="006248CE"/>
    <w:rsid w:val="006253EB"/>
    <w:rsid w:val="006277F1"/>
    <w:rsid w:val="00630404"/>
    <w:rsid w:val="00632066"/>
    <w:rsid w:val="0063271C"/>
    <w:rsid w:val="00632AD9"/>
    <w:rsid w:val="00633ED6"/>
    <w:rsid w:val="00634783"/>
    <w:rsid w:val="00635FEB"/>
    <w:rsid w:val="0063654F"/>
    <w:rsid w:val="006411CD"/>
    <w:rsid w:val="00641700"/>
    <w:rsid w:val="0064228A"/>
    <w:rsid w:val="00642400"/>
    <w:rsid w:val="00642827"/>
    <w:rsid w:val="00642EAE"/>
    <w:rsid w:val="00647B10"/>
    <w:rsid w:val="00650291"/>
    <w:rsid w:val="006548F0"/>
    <w:rsid w:val="00654A45"/>
    <w:rsid w:val="0066064B"/>
    <w:rsid w:val="00660678"/>
    <w:rsid w:val="006650FD"/>
    <w:rsid w:val="00666C8D"/>
    <w:rsid w:val="0066729E"/>
    <w:rsid w:val="00667DDE"/>
    <w:rsid w:val="00670BA9"/>
    <w:rsid w:val="00671092"/>
    <w:rsid w:val="00671C09"/>
    <w:rsid w:val="00671C19"/>
    <w:rsid w:val="006722E5"/>
    <w:rsid w:val="00672AF6"/>
    <w:rsid w:val="00677C44"/>
    <w:rsid w:val="00677E3A"/>
    <w:rsid w:val="00682617"/>
    <w:rsid w:val="00682909"/>
    <w:rsid w:val="00684A9D"/>
    <w:rsid w:val="006856A8"/>
    <w:rsid w:val="00691B6B"/>
    <w:rsid w:val="00694185"/>
    <w:rsid w:val="00696839"/>
    <w:rsid w:val="006975AA"/>
    <w:rsid w:val="006A47C8"/>
    <w:rsid w:val="006A48E4"/>
    <w:rsid w:val="006A4B80"/>
    <w:rsid w:val="006A5C65"/>
    <w:rsid w:val="006A7520"/>
    <w:rsid w:val="006B0BB2"/>
    <w:rsid w:val="006B2DDE"/>
    <w:rsid w:val="006B3803"/>
    <w:rsid w:val="006B5A19"/>
    <w:rsid w:val="006B623F"/>
    <w:rsid w:val="006B66F6"/>
    <w:rsid w:val="006B741D"/>
    <w:rsid w:val="006C522C"/>
    <w:rsid w:val="006C5FED"/>
    <w:rsid w:val="006C6BD3"/>
    <w:rsid w:val="006C7B52"/>
    <w:rsid w:val="006D1521"/>
    <w:rsid w:val="006D6D33"/>
    <w:rsid w:val="006D7680"/>
    <w:rsid w:val="006D77AE"/>
    <w:rsid w:val="006D7886"/>
    <w:rsid w:val="006D7C7E"/>
    <w:rsid w:val="006E2BC0"/>
    <w:rsid w:val="006E2DCB"/>
    <w:rsid w:val="006E7A3D"/>
    <w:rsid w:val="006F074B"/>
    <w:rsid w:val="006F2AB2"/>
    <w:rsid w:val="006F3305"/>
    <w:rsid w:val="006F4297"/>
    <w:rsid w:val="006F42CC"/>
    <w:rsid w:val="006F698B"/>
    <w:rsid w:val="00700202"/>
    <w:rsid w:val="00704817"/>
    <w:rsid w:val="00704953"/>
    <w:rsid w:val="007051F6"/>
    <w:rsid w:val="00705548"/>
    <w:rsid w:val="007056E3"/>
    <w:rsid w:val="007067DE"/>
    <w:rsid w:val="0070690F"/>
    <w:rsid w:val="00706C8C"/>
    <w:rsid w:val="00707F36"/>
    <w:rsid w:val="00715D03"/>
    <w:rsid w:val="00717DD2"/>
    <w:rsid w:val="00722331"/>
    <w:rsid w:val="007229F2"/>
    <w:rsid w:val="00725C30"/>
    <w:rsid w:val="0072738E"/>
    <w:rsid w:val="00727F1F"/>
    <w:rsid w:val="00732723"/>
    <w:rsid w:val="00735CDD"/>
    <w:rsid w:val="00735F24"/>
    <w:rsid w:val="0073614F"/>
    <w:rsid w:val="0073693F"/>
    <w:rsid w:val="00736A1F"/>
    <w:rsid w:val="00737DE4"/>
    <w:rsid w:val="00740106"/>
    <w:rsid w:val="00741316"/>
    <w:rsid w:val="00742ED9"/>
    <w:rsid w:val="00743D12"/>
    <w:rsid w:val="00745376"/>
    <w:rsid w:val="00745444"/>
    <w:rsid w:val="00745D21"/>
    <w:rsid w:val="007475BD"/>
    <w:rsid w:val="00750902"/>
    <w:rsid w:val="00752EC7"/>
    <w:rsid w:val="00754F4D"/>
    <w:rsid w:val="00756872"/>
    <w:rsid w:val="00761F40"/>
    <w:rsid w:val="00762851"/>
    <w:rsid w:val="007651FA"/>
    <w:rsid w:val="00766896"/>
    <w:rsid w:val="007670D0"/>
    <w:rsid w:val="007702B1"/>
    <w:rsid w:val="00770FD7"/>
    <w:rsid w:val="007716E2"/>
    <w:rsid w:val="007720B6"/>
    <w:rsid w:val="00775C2E"/>
    <w:rsid w:val="007806BA"/>
    <w:rsid w:val="007825B8"/>
    <w:rsid w:val="007825EF"/>
    <w:rsid w:val="0078305D"/>
    <w:rsid w:val="00783BC5"/>
    <w:rsid w:val="00786E88"/>
    <w:rsid w:val="00787328"/>
    <w:rsid w:val="0079072C"/>
    <w:rsid w:val="0079204C"/>
    <w:rsid w:val="00792DBB"/>
    <w:rsid w:val="0079481A"/>
    <w:rsid w:val="007968FD"/>
    <w:rsid w:val="00796BA9"/>
    <w:rsid w:val="00797B37"/>
    <w:rsid w:val="007A17C4"/>
    <w:rsid w:val="007A29A6"/>
    <w:rsid w:val="007A66CC"/>
    <w:rsid w:val="007A72CD"/>
    <w:rsid w:val="007A7F29"/>
    <w:rsid w:val="007B013E"/>
    <w:rsid w:val="007B05C6"/>
    <w:rsid w:val="007B10D3"/>
    <w:rsid w:val="007B156A"/>
    <w:rsid w:val="007B5C06"/>
    <w:rsid w:val="007B7874"/>
    <w:rsid w:val="007B78B1"/>
    <w:rsid w:val="007B7C46"/>
    <w:rsid w:val="007C359B"/>
    <w:rsid w:val="007C6571"/>
    <w:rsid w:val="007C71DC"/>
    <w:rsid w:val="007C77A8"/>
    <w:rsid w:val="007D025A"/>
    <w:rsid w:val="007D02F7"/>
    <w:rsid w:val="007D03CB"/>
    <w:rsid w:val="007D0F8F"/>
    <w:rsid w:val="007D46C1"/>
    <w:rsid w:val="007D5AE2"/>
    <w:rsid w:val="007D6412"/>
    <w:rsid w:val="007E0040"/>
    <w:rsid w:val="007E1D4E"/>
    <w:rsid w:val="007E2BFF"/>
    <w:rsid w:val="007E31FE"/>
    <w:rsid w:val="007E4687"/>
    <w:rsid w:val="007E4E2C"/>
    <w:rsid w:val="007E760E"/>
    <w:rsid w:val="007F346F"/>
    <w:rsid w:val="007F47CA"/>
    <w:rsid w:val="00800790"/>
    <w:rsid w:val="00804483"/>
    <w:rsid w:val="00805720"/>
    <w:rsid w:val="00805A97"/>
    <w:rsid w:val="00805C38"/>
    <w:rsid w:val="008070CF"/>
    <w:rsid w:val="00811C1A"/>
    <w:rsid w:val="00813562"/>
    <w:rsid w:val="008137F4"/>
    <w:rsid w:val="00813DF8"/>
    <w:rsid w:val="00814F79"/>
    <w:rsid w:val="00816035"/>
    <w:rsid w:val="0081637C"/>
    <w:rsid w:val="008172DF"/>
    <w:rsid w:val="0082025C"/>
    <w:rsid w:val="00821D15"/>
    <w:rsid w:val="00822BB2"/>
    <w:rsid w:val="008258D9"/>
    <w:rsid w:val="00825AAC"/>
    <w:rsid w:val="008267E2"/>
    <w:rsid w:val="00826C5C"/>
    <w:rsid w:val="00830555"/>
    <w:rsid w:val="0083107D"/>
    <w:rsid w:val="00832763"/>
    <w:rsid w:val="00832A26"/>
    <w:rsid w:val="00833ED2"/>
    <w:rsid w:val="00837F4B"/>
    <w:rsid w:val="00840DD0"/>
    <w:rsid w:val="00843021"/>
    <w:rsid w:val="0084360E"/>
    <w:rsid w:val="0084369A"/>
    <w:rsid w:val="00846554"/>
    <w:rsid w:val="00847378"/>
    <w:rsid w:val="00852425"/>
    <w:rsid w:val="0085411F"/>
    <w:rsid w:val="00861CC0"/>
    <w:rsid w:val="00863D46"/>
    <w:rsid w:val="0086414A"/>
    <w:rsid w:val="00864AA9"/>
    <w:rsid w:val="008652C7"/>
    <w:rsid w:val="00870203"/>
    <w:rsid w:val="00871E0E"/>
    <w:rsid w:val="00872ACA"/>
    <w:rsid w:val="00872B32"/>
    <w:rsid w:val="00873571"/>
    <w:rsid w:val="008735C5"/>
    <w:rsid w:val="00874654"/>
    <w:rsid w:val="00874732"/>
    <w:rsid w:val="0087553B"/>
    <w:rsid w:val="00876890"/>
    <w:rsid w:val="008776FF"/>
    <w:rsid w:val="00877D75"/>
    <w:rsid w:val="0088237A"/>
    <w:rsid w:val="00882ECD"/>
    <w:rsid w:val="00883269"/>
    <w:rsid w:val="00883532"/>
    <w:rsid w:val="00884AB2"/>
    <w:rsid w:val="0088739D"/>
    <w:rsid w:val="00890DE5"/>
    <w:rsid w:val="00890F3A"/>
    <w:rsid w:val="00892756"/>
    <w:rsid w:val="00897449"/>
    <w:rsid w:val="008A1C26"/>
    <w:rsid w:val="008A24D7"/>
    <w:rsid w:val="008A36A3"/>
    <w:rsid w:val="008A59E2"/>
    <w:rsid w:val="008A5D3A"/>
    <w:rsid w:val="008A6D11"/>
    <w:rsid w:val="008B032B"/>
    <w:rsid w:val="008B0404"/>
    <w:rsid w:val="008B47F0"/>
    <w:rsid w:val="008B51FF"/>
    <w:rsid w:val="008B587E"/>
    <w:rsid w:val="008B5949"/>
    <w:rsid w:val="008B5F40"/>
    <w:rsid w:val="008B6464"/>
    <w:rsid w:val="008C280D"/>
    <w:rsid w:val="008C3A35"/>
    <w:rsid w:val="008C41C7"/>
    <w:rsid w:val="008C5113"/>
    <w:rsid w:val="008C76A7"/>
    <w:rsid w:val="008D18DA"/>
    <w:rsid w:val="008D552D"/>
    <w:rsid w:val="008D59BA"/>
    <w:rsid w:val="008D6758"/>
    <w:rsid w:val="008E07A1"/>
    <w:rsid w:val="008E21A9"/>
    <w:rsid w:val="008E4D26"/>
    <w:rsid w:val="008E65A3"/>
    <w:rsid w:val="008E792D"/>
    <w:rsid w:val="008E7958"/>
    <w:rsid w:val="008F09EB"/>
    <w:rsid w:val="008F15DC"/>
    <w:rsid w:val="008F1A79"/>
    <w:rsid w:val="008F363F"/>
    <w:rsid w:val="008F395D"/>
    <w:rsid w:val="008F3EA6"/>
    <w:rsid w:val="008F3EF7"/>
    <w:rsid w:val="008F424C"/>
    <w:rsid w:val="008F4426"/>
    <w:rsid w:val="008F45C1"/>
    <w:rsid w:val="008F5C72"/>
    <w:rsid w:val="008F63DE"/>
    <w:rsid w:val="008F76BD"/>
    <w:rsid w:val="00901625"/>
    <w:rsid w:val="00901F31"/>
    <w:rsid w:val="009020DB"/>
    <w:rsid w:val="00904311"/>
    <w:rsid w:val="00906F5C"/>
    <w:rsid w:val="0090734C"/>
    <w:rsid w:val="00907D68"/>
    <w:rsid w:val="009126DA"/>
    <w:rsid w:val="009152DB"/>
    <w:rsid w:val="00915498"/>
    <w:rsid w:val="009154C3"/>
    <w:rsid w:val="00916609"/>
    <w:rsid w:val="009176FC"/>
    <w:rsid w:val="009227F0"/>
    <w:rsid w:val="009238F5"/>
    <w:rsid w:val="009264F9"/>
    <w:rsid w:val="00930268"/>
    <w:rsid w:val="00930382"/>
    <w:rsid w:val="0093079C"/>
    <w:rsid w:val="00930F1D"/>
    <w:rsid w:val="0093114A"/>
    <w:rsid w:val="00931A26"/>
    <w:rsid w:val="009334C0"/>
    <w:rsid w:val="00935D53"/>
    <w:rsid w:val="00937596"/>
    <w:rsid w:val="00937A6C"/>
    <w:rsid w:val="00941547"/>
    <w:rsid w:val="00942CDF"/>
    <w:rsid w:val="009455CE"/>
    <w:rsid w:val="009459BD"/>
    <w:rsid w:val="00945D19"/>
    <w:rsid w:val="00946EAA"/>
    <w:rsid w:val="009470EB"/>
    <w:rsid w:val="00951116"/>
    <w:rsid w:val="0095258C"/>
    <w:rsid w:val="00956828"/>
    <w:rsid w:val="00956D3E"/>
    <w:rsid w:val="00957F08"/>
    <w:rsid w:val="009613E4"/>
    <w:rsid w:val="00962A0D"/>
    <w:rsid w:val="0096505E"/>
    <w:rsid w:val="00966FE5"/>
    <w:rsid w:val="00972D6D"/>
    <w:rsid w:val="00977045"/>
    <w:rsid w:val="00981315"/>
    <w:rsid w:val="00982413"/>
    <w:rsid w:val="00982776"/>
    <w:rsid w:val="00982EBC"/>
    <w:rsid w:val="0098386C"/>
    <w:rsid w:val="00983B85"/>
    <w:rsid w:val="0098410F"/>
    <w:rsid w:val="00985F61"/>
    <w:rsid w:val="009909F8"/>
    <w:rsid w:val="00990C5C"/>
    <w:rsid w:val="009929F8"/>
    <w:rsid w:val="00992DBC"/>
    <w:rsid w:val="0099332A"/>
    <w:rsid w:val="00994FFF"/>
    <w:rsid w:val="009959D7"/>
    <w:rsid w:val="00996005"/>
    <w:rsid w:val="009A292D"/>
    <w:rsid w:val="009A507B"/>
    <w:rsid w:val="009A53FD"/>
    <w:rsid w:val="009A58A1"/>
    <w:rsid w:val="009A5F69"/>
    <w:rsid w:val="009B0B78"/>
    <w:rsid w:val="009B1498"/>
    <w:rsid w:val="009B2405"/>
    <w:rsid w:val="009B2742"/>
    <w:rsid w:val="009B7EF3"/>
    <w:rsid w:val="009B7F0C"/>
    <w:rsid w:val="009C11DF"/>
    <w:rsid w:val="009C2411"/>
    <w:rsid w:val="009C4039"/>
    <w:rsid w:val="009C40CA"/>
    <w:rsid w:val="009C47E0"/>
    <w:rsid w:val="009C61E4"/>
    <w:rsid w:val="009C68B6"/>
    <w:rsid w:val="009C6B21"/>
    <w:rsid w:val="009D5FC5"/>
    <w:rsid w:val="009D7CF6"/>
    <w:rsid w:val="009D7F30"/>
    <w:rsid w:val="009E0483"/>
    <w:rsid w:val="009E1DD9"/>
    <w:rsid w:val="009E2BA5"/>
    <w:rsid w:val="009E3579"/>
    <w:rsid w:val="009E550D"/>
    <w:rsid w:val="009F0638"/>
    <w:rsid w:val="009F0811"/>
    <w:rsid w:val="009F1ECE"/>
    <w:rsid w:val="009F2300"/>
    <w:rsid w:val="009F5412"/>
    <w:rsid w:val="009F5DDF"/>
    <w:rsid w:val="009F7975"/>
    <w:rsid w:val="009F7CC5"/>
    <w:rsid w:val="00A0057D"/>
    <w:rsid w:val="00A01EE0"/>
    <w:rsid w:val="00A01F68"/>
    <w:rsid w:val="00A03C47"/>
    <w:rsid w:val="00A05C56"/>
    <w:rsid w:val="00A05D36"/>
    <w:rsid w:val="00A064D9"/>
    <w:rsid w:val="00A07CB6"/>
    <w:rsid w:val="00A11CA7"/>
    <w:rsid w:val="00A1355D"/>
    <w:rsid w:val="00A14D19"/>
    <w:rsid w:val="00A15DD7"/>
    <w:rsid w:val="00A24E12"/>
    <w:rsid w:val="00A24F41"/>
    <w:rsid w:val="00A2569C"/>
    <w:rsid w:val="00A26763"/>
    <w:rsid w:val="00A306BF"/>
    <w:rsid w:val="00A31124"/>
    <w:rsid w:val="00A32C6D"/>
    <w:rsid w:val="00A32E87"/>
    <w:rsid w:val="00A34171"/>
    <w:rsid w:val="00A34A73"/>
    <w:rsid w:val="00A366F0"/>
    <w:rsid w:val="00A3770F"/>
    <w:rsid w:val="00A422A4"/>
    <w:rsid w:val="00A422D1"/>
    <w:rsid w:val="00A43898"/>
    <w:rsid w:val="00A462A5"/>
    <w:rsid w:val="00A55409"/>
    <w:rsid w:val="00A6153B"/>
    <w:rsid w:val="00A617B1"/>
    <w:rsid w:val="00A6336D"/>
    <w:rsid w:val="00A633B9"/>
    <w:rsid w:val="00A6515D"/>
    <w:rsid w:val="00A70741"/>
    <w:rsid w:val="00A71CF6"/>
    <w:rsid w:val="00A721A4"/>
    <w:rsid w:val="00A73546"/>
    <w:rsid w:val="00A73BEE"/>
    <w:rsid w:val="00A74875"/>
    <w:rsid w:val="00A75AA2"/>
    <w:rsid w:val="00A77800"/>
    <w:rsid w:val="00A811CE"/>
    <w:rsid w:val="00A8153D"/>
    <w:rsid w:val="00A82649"/>
    <w:rsid w:val="00A860BC"/>
    <w:rsid w:val="00A860EF"/>
    <w:rsid w:val="00A90FC8"/>
    <w:rsid w:val="00A921B9"/>
    <w:rsid w:val="00A93AF6"/>
    <w:rsid w:val="00A93AFD"/>
    <w:rsid w:val="00A94568"/>
    <w:rsid w:val="00A955AC"/>
    <w:rsid w:val="00A973E5"/>
    <w:rsid w:val="00A97B2D"/>
    <w:rsid w:val="00A97F28"/>
    <w:rsid w:val="00AA10CE"/>
    <w:rsid w:val="00AA1CD4"/>
    <w:rsid w:val="00AA3230"/>
    <w:rsid w:val="00AA3BD7"/>
    <w:rsid w:val="00AA5A50"/>
    <w:rsid w:val="00AB2898"/>
    <w:rsid w:val="00AB2EB4"/>
    <w:rsid w:val="00AB3847"/>
    <w:rsid w:val="00AB45A6"/>
    <w:rsid w:val="00AB763B"/>
    <w:rsid w:val="00AC1AA0"/>
    <w:rsid w:val="00AC275C"/>
    <w:rsid w:val="00AC3696"/>
    <w:rsid w:val="00AC3DB2"/>
    <w:rsid w:val="00AD4242"/>
    <w:rsid w:val="00AD5A26"/>
    <w:rsid w:val="00AD5DD1"/>
    <w:rsid w:val="00AD73F8"/>
    <w:rsid w:val="00AE03A6"/>
    <w:rsid w:val="00AE2D7B"/>
    <w:rsid w:val="00AE3101"/>
    <w:rsid w:val="00AE3ADF"/>
    <w:rsid w:val="00AE427F"/>
    <w:rsid w:val="00AF1EAA"/>
    <w:rsid w:val="00AF24CA"/>
    <w:rsid w:val="00AF29D0"/>
    <w:rsid w:val="00AF5A8B"/>
    <w:rsid w:val="00AF7861"/>
    <w:rsid w:val="00B00951"/>
    <w:rsid w:val="00B021E6"/>
    <w:rsid w:val="00B039A7"/>
    <w:rsid w:val="00B05B8B"/>
    <w:rsid w:val="00B07624"/>
    <w:rsid w:val="00B10068"/>
    <w:rsid w:val="00B108FE"/>
    <w:rsid w:val="00B110DE"/>
    <w:rsid w:val="00B11394"/>
    <w:rsid w:val="00B12256"/>
    <w:rsid w:val="00B1317A"/>
    <w:rsid w:val="00B144F0"/>
    <w:rsid w:val="00B14511"/>
    <w:rsid w:val="00B14817"/>
    <w:rsid w:val="00B16837"/>
    <w:rsid w:val="00B20003"/>
    <w:rsid w:val="00B24DE3"/>
    <w:rsid w:val="00B3189E"/>
    <w:rsid w:val="00B31F2F"/>
    <w:rsid w:val="00B32496"/>
    <w:rsid w:val="00B33C33"/>
    <w:rsid w:val="00B34BE8"/>
    <w:rsid w:val="00B35180"/>
    <w:rsid w:val="00B35A3D"/>
    <w:rsid w:val="00B432C0"/>
    <w:rsid w:val="00B4359F"/>
    <w:rsid w:val="00B465B0"/>
    <w:rsid w:val="00B47BF3"/>
    <w:rsid w:val="00B615E7"/>
    <w:rsid w:val="00B620FD"/>
    <w:rsid w:val="00B6368B"/>
    <w:rsid w:val="00B67040"/>
    <w:rsid w:val="00B67AEA"/>
    <w:rsid w:val="00B708F8"/>
    <w:rsid w:val="00B712C4"/>
    <w:rsid w:val="00B746F0"/>
    <w:rsid w:val="00B74C9D"/>
    <w:rsid w:val="00B76976"/>
    <w:rsid w:val="00B85607"/>
    <w:rsid w:val="00B861B6"/>
    <w:rsid w:val="00B87854"/>
    <w:rsid w:val="00B90F10"/>
    <w:rsid w:val="00B91EC4"/>
    <w:rsid w:val="00B96474"/>
    <w:rsid w:val="00B966C1"/>
    <w:rsid w:val="00B96DC5"/>
    <w:rsid w:val="00B97C90"/>
    <w:rsid w:val="00BA2753"/>
    <w:rsid w:val="00BA45D8"/>
    <w:rsid w:val="00BA76D4"/>
    <w:rsid w:val="00BB0F7F"/>
    <w:rsid w:val="00BB259B"/>
    <w:rsid w:val="00BB431C"/>
    <w:rsid w:val="00BB449F"/>
    <w:rsid w:val="00BB4D51"/>
    <w:rsid w:val="00BB648B"/>
    <w:rsid w:val="00BB6668"/>
    <w:rsid w:val="00BC0014"/>
    <w:rsid w:val="00BC1223"/>
    <w:rsid w:val="00BC2F99"/>
    <w:rsid w:val="00BC5F20"/>
    <w:rsid w:val="00BD2A6B"/>
    <w:rsid w:val="00BD34DF"/>
    <w:rsid w:val="00BD4AB3"/>
    <w:rsid w:val="00BD4F40"/>
    <w:rsid w:val="00BD5063"/>
    <w:rsid w:val="00BD5C40"/>
    <w:rsid w:val="00BD6226"/>
    <w:rsid w:val="00BD6972"/>
    <w:rsid w:val="00BD717F"/>
    <w:rsid w:val="00BE300C"/>
    <w:rsid w:val="00BE4384"/>
    <w:rsid w:val="00BE527C"/>
    <w:rsid w:val="00BE5D13"/>
    <w:rsid w:val="00BF066A"/>
    <w:rsid w:val="00BF4461"/>
    <w:rsid w:val="00BF759C"/>
    <w:rsid w:val="00C0086B"/>
    <w:rsid w:val="00C00BBB"/>
    <w:rsid w:val="00C0371C"/>
    <w:rsid w:val="00C1000E"/>
    <w:rsid w:val="00C12CC6"/>
    <w:rsid w:val="00C138CE"/>
    <w:rsid w:val="00C1402B"/>
    <w:rsid w:val="00C152E5"/>
    <w:rsid w:val="00C17922"/>
    <w:rsid w:val="00C17D48"/>
    <w:rsid w:val="00C2040F"/>
    <w:rsid w:val="00C20B0A"/>
    <w:rsid w:val="00C22CE5"/>
    <w:rsid w:val="00C25173"/>
    <w:rsid w:val="00C25D93"/>
    <w:rsid w:val="00C32EE7"/>
    <w:rsid w:val="00C360FA"/>
    <w:rsid w:val="00C361E8"/>
    <w:rsid w:val="00C4137A"/>
    <w:rsid w:val="00C424D8"/>
    <w:rsid w:val="00C43343"/>
    <w:rsid w:val="00C435A7"/>
    <w:rsid w:val="00C43661"/>
    <w:rsid w:val="00C466AF"/>
    <w:rsid w:val="00C4705B"/>
    <w:rsid w:val="00C47476"/>
    <w:rsid w:val="00C51F73"/>
    <w:rsid w:val="00C52247"/>
    <w:rsid w:val="00C545B8"/>
    <w:rsid w:val="00C55BAE"/>
    <w:rsid w:val="00C5798B"/>
    <w:rsid w:val="00C60748"/>
    <w:rsid w:val="00C6142B"/>
    <w:rsid w:val="00C61463"/>
    <w:rsid w:val="00C61C56"/>
    <w:rsid w:val="00C664CC"/>
    <w:rsid w:val="00C70901"/>
    <w:rsid w:val="00C70C72"/>
    <w:rsid w:val="00C73937"/>
    <w:rsid w:val="00C73DFE"/>
    <w:rsid w:val="00C74CF1"/>
    <w:rsid w:val="00C75F88"/>
    <w:rsid w:val="00C76075"/>
    <w:rsid w:val="00C76EF4"/>
    <w:rsid w:val="00C77181"/>
    <w:rsid w:val="00C80E42"/>
    <w:rsid w:val="00C87010"/>
    <w:rsid w:val="00C90DA1"/>
    <w:rsid w:val="00C91687"/>
    <w:rsid w:val="00C91B96"/>
    <w:rsid w:val="00C92799"/>
    <w:rsid w:val="00C936D1"/>
    <w:rsid w:val="00C962A2"/>
    <w:rsid w:val="00C97AD0"/>
    <w:rsid w:val="00CA19E9"/>
    <w:rsid w:val="00CA2728"/>
    <w:rsid w:val="00CA34CE"/>
    <w:rsid w:val="00CA3D60"/>
    <w:rsid w:val="00CA3FB9"/>
    <w:rsid w:val="00CA60FE"/>
    <w:rsid w:val="00CA6720"/>
    <w:rsid w:val="00CA69DE"/>
    <w:rsid w:val="00CA7533"/>
    <w:rsid w:val="00CB0CDD"/>
    <w:rsid w:val="00CB4F31"/>
    <w:rsid w:val="00CB6968"/>
    <w:rsid w:val="00CC10F6"/>
    <w:rsid w:val="00CC15CB"/>
    <w:rsid w:val="00CC2AC9"/>
    <w:rsid w:val="00CC3EF2"/>
    <w:rsid w:val="00CC4148"/>
    <w:rsid w:val="00CC4E33"/>
    <w:rsid w:val="00CC6783"/>
    <w:rsid w:val="00CD2A6F"/>
    <w:rsid w:val="00CD2CEC"/>
    <w:rsid w:val="00CD45F9"/>
    <w:rsid w:val="00CD4666"/>
    <w:rsid w:val="00CD4B33"/>
    <w:rsid w:val="00CD6961"/>
    <w:rsid w:val="00CD7A6F"/>
    <w:rsid w:val="00CD7C5C"/>
    <w:rsid w:val="00CE1ADE"/>
    <w:rsid w:val="00CE2E0A"/>
    <w:rsid w:val="00CE3786"/>
    <w:rsid w:val="00CE7534"/>
    <w:rsid w:val="00CF10B0"/>
    <w:rsid w:val="00CF3B89"/>
    <w:rsid w:val="00CF6531"/>
    <w:rsid w:val="00D007BF"/>
    <w:rsid w:val="00D022FF"/>
    <w:rsid w:val="00D04BAE"/>
    <w:rsid w:val="00D057A1"/>
    <w:rsid w:val="00D066C3"/>
    <w:rsid w:val="00D07784"/>
    <w:rsid w:val="00D105F8"/>
    <w:rsid w:val="00D109F9"/>
    <w:rsid w:val="00D13F33"/>
    <w:rsid w:val="00D14DC8"/>
    <w:rsid w:val="00D152E0"/>
    <w:rsid w:val="00D15647"/>
    <w:rsid w:val="00D16A43"/>
    <w:rsid w:val="00D21717"/>
    <w:rsid w:val="00D2434F"/>
    <w:rsid w:val="00D24600"/>
    <w:rsid w:val="00D25E34"/>
    <w:rsid w:val="00D26067"/>
    <w:rsid w:val="00D26D8D"/>
    <w:rsid w:val="00D30D72"/>
    <w:rsid w:val="00D31ED0"/>
    <w:rsid w:val="00D33848"/>
    <w:rsid w:val="00D366A3"/>
    <w:rsid w:val="00D36A56"/>
    <w:rsid w:val="00D36DA8"/>
    <w:rsid w:val="00D43C63"/>
    <w:rsid w:val="00D462BC"/>
    <w:rsid w:val="00D4651C"/>
    <w:rsid w:val="00D46601"/>
    <w:rsid w:val="00D47C12"/>
    <w:rsid w:val="00D5309D"/>
    <w:rsid w:val="00D54159"/>
    <w:rsid w:val="00D54B22"/>
    <w:rsid w:val="00D6251C"/>
    <w:rsid w:val="00D6372B"/>
    <w:rsid w:val="00D64142"/>
    <w:rsid w:val="00D66E2E"/>
    <w:rsid w:val="00D703F1"/>
    <w:rsid w:val="00D72335"/>
    <w:rsid w:val="00D7301B"/>
    <w:rsid w:val="00D761B5"/>
    <w:rsid w:val="00D77EE4"/>
    <w:rsid w:val="00D803BB"/>
    <w:rsid w:val="00D81212"/>
    <w:rsid w:val="00D85DD0"/>
    <w:rsid w:val="00D9446C"/>
    <w:rsid w:val="00D9491D"/>
    <w:rsid w:val="00DA01C5"/>
    <w:rsid w:val="00DA071A"/>
    <w:rsid w:val="00DA56EE"/>
    <w:rsid w:val="00DA6A77"/>
    <w:rsid w:val="00DB07A0"/>
    <w:rsid w:val="00DB2F37"/>
    <w:rsid w:val="00DB4001"/>
    <w:rsid w:val="00DB608C"/>
    <w:rsid w:val="00DC0946"/>
    <w:rsid w:val="00DC1041"/>
    <w:rsid w:val="00DC450B"/>
    <w:rsid w:val="00DC5650"/>
    <w:rsid w:val="00DC5A73"/>
    <w:rsid w:val="00DC61C4"/>
    <w:rsid w:val="00DC73EB"/>
    <w:rsid w:val="00DC7795"/>
    <w:rsid w:val="00DD0D16"/>
    <w:rsid w:val="00DD1BB2"/>
    <w:rsid w:val="00DD31D1"/>
    <w:rsid w:val="00DD37AF"/>
    <w:rsid w:val="00DD4BC1"/>
    <w:rsid w:val="00DD7544"/>
    <w:rsid w:val="00DE6B68"/>
    <w:rsid w:val="00DF030E"/>
    <w:rsid w:val="00DF0909"/>
    <w:rsid w:val="00DF2266"/>
    <w:rsid w:val="00DF2AFE"/>
    <w:rsid w:val="00DF2C66"/>
    <w:rsid w:val="00DF2F25"/>
    <w:rsid w:val="00DF30E1"/>
    <w:rsid w:val="00DF410B"/>
    <w:rsid w:val="00DF4533"/>
    <w:rsid w:val="00DF46D9"/>
    <w:rsid w:val="00DF614A"/>
    <w:rsid w:val="00DF66B1"/>
    <w:rsid w:val="00DF69CA"/>
    <w:rsid w:val="00DF6A7E"/>
    <w:rsid w:val="00E00A3C"/>
    <w:rsid w:val="00E01D31"/>
    <w:rsid w:val="00E02E3A"/>
    <w:rsid w:val="00E04AD3"/>
    <w:rsid w:val="00E06074"/>
    <w:rsid w:val="00E06670"/>
    <w:rsid w:val="00E10149"/>
    <w:rsid w:val="00E11C20"/>
    <w:rsid w:val="00E12F7F"/>
    <w:rsid w:val="00E205B9"/>
    <w:rsid w:val="00E20FBD"/>
    <w:rsid w:val="00E21505"/>
    <w:rsid w:val="00E2596F"/>
    <w:rsid w:val="00E30ADE"/>
    <w:rsid w:val="00E31882"/>
    <w:rsid w:val="00E340E9"/>
    <w:rsid w:val="00E357A7"/>
    <w:rsid w:val="00E35BCF"/>
    <w:rsid w:val="00E361D6"/>
    <w:rsid w:val="00E36754"/>
    <w:rsid w:val="00E4327D"/>
    <w:rsid w:val="00E46562"/>
    <w:rsid w:val="00E47581"/>
    <w:rsid w:val="00E508BE"/>
    <w:rsid w:val="00E51325"/>
    <w:rsid w:val="00E514FF"/>
    <w:rsid w:val="00E52D47"/>
    <w:rsid w:val="00E53371"/>
    <w:rsid w:val="00E563AB"/>
    <w:rsid w:val="00E56FA3"/>
    <w:rsid w:val="00E61FF3"/>
    <w:rsid w:val="00E70D1B"/>
    <w:rsid w:val="00E70D76"/>
    <w:rsid w:val="00E70DDF"/>
    <w:rsid w:val="00E71717"/>
    <w:rsid w:val="00E7217E"/>
    <w:rsid w:val="00E73D49"/>
    <w:rsid w:val="00E741C6"/>
    <w:rsid w:val="00E7430A"/>
    <w:rsid w:val="00E74A90"/>
    <w:rsid w:val="00E7598B"/>
    <w:rsid w:val="00E76AB1"/>
    <w:rsid w:val="00E77A1F"/>
    <w:rsid w:val="00E80EE8"/>
    <w:rsid w:val="00E82B4B"/>
    <w:rsid w:val="00E8519A"/>
    <w:rsid w:val="00E8613E"/>
    <w:rsid w:val="00E9118E"/>
    <w:rsid w:val="00E913EA"/>
    <w:rsid w:val="00E917F3"/>
    <w:rsid w:val="00E922A6"/>
    <w:rsid w:val="00E92997"/>
    <w:rsid w:val="00E94A49"/>
    <w:rsid w:val="00E95129"/>
    <w:rsid w:val="00E96259"/>
    <w:rsid w:val="00E962A7"/>
    <w:rsid w:val="00E9686C"/>
    <w:rsid w:val="00E975F8"/>
    <w:rsid w:val="00EA25DB"/>
    <w:rsid w:val="00EA3199"/>
    <w:rsid w:val="00EA42A2"/>
    <w:rsid w:val="00EA4A80"/>
    <w:rsid w:val="00EB030F"/>
    <w:rsid w:val="00EB11CA"/>
    <w:rsid w:val="00EB21E5"/>
    <w:rsid w:val="00EB3806"/>
    <w:rsid w:val="00EB4002"/>
    <w:rsid w:val="00EB75F6"/>
    <w:rsid w:val="00EC477D"/>
    <w:rsid w:val="00EC554F"/>
    <w:rsid w:val="00EC6127"/>
    <w:rsid w:val="00EC7CCB"/>
    <w:rsid w:val="00ED13CB"/>
    <w:rsid w:val="00ED151A"/>
    <w:rsid w:val="00ED1ABE"/>
    <w:rsid w:val="00ED2F28"/>
    <w:rsid w:val="00ED554F"/>
    <w:rsid w:val="00ED5EEA"/>
    <w:rsid w:val="00ED63B1"/>
    <w:rsid w:val="00EE1CF7"/>
    <w:rsid w:val="00EE4476"/>
    <w:rsid w:val="00EF2A32"/>
    <w:rsid w:val="00EF3015"/>
    <w:rsid w:val="00EF3390"/>
    <w:rsid w:val="00EF449C"/>
    <w:rsid w:val="00EF564F"/>
    <w:rsid w:val="00EF59EB"/>
    <w:rsid w:val="00EF7CC1"/>
    <w:rsid w:val="00F000EC"/>
    <w:rsid w:val="00F04CC6"/>
    <w:rsid w:val="00F056EA"/>
    <w:rsid w:val="00F05796"/>
    <w:rsid w:val="00F06575"/>
    <w:rsid w:val="00F066B9"/>
    <w:rsid w:val="00F06C1A"/>
    <w:rsid w:val="00F07699"/>
    <w:rsid w:val="00F121AA"/>
    <w:rsid w:val="00F12E64"/>
    <w:rsid w:val="00F1305B"/>
    <w:rsid w:val="00F13664"/>
    <w:rsid w:val="00F2014F"/>
    <w:rsid w:val="00F21642"/>
    <w:rsid w:val="00F223E6"/>
    <w:rsid w:val="00F23173"/>
    <w:rsid w:val="00F23386"/>
    <w:rsid w:val="00F23C1F"/>
    <w:rsid w:val="00F24F97"/>
    <w:rsid w:val="00F274A0"/>
    <w:rsid w:val="00F3153C"/>
    <w:rsid w:val="00F32A64"/>
    <w:rsid w:val="00F32A6A"/>
    <w:rsid w:val="00F34313"/>
    <w:rsid w:val="00F34C73"/>
    <w:rsid w:val="00F3510F"/>
    <w:rsid w:val="00F360B0"/>
    <w:rsid w:val="00F368D3"/>
    <w:rsid w:val="00F36D06"/>
    <w:rsid w:val="00F3775A"/>
    <w:rsid w:val="00F40DE1"/>
    <w:rsid w:val="00F42564"/>
    <w:rsid w:val="00F43AD4"/>
    <w:rsid w:val="00F44E78"/>
    <w:rsid w:val="00F45D2D"/>
    <w:rsid w:val="00F46888"/>
    <w:rsid w:val="00F46FC7"/>
    <w:rsid w:val="00F4743A"/>
    <w:rsid w:val="00F502F3"/>
    <w:rsid w:val="00F50BB8"/>
    <w:rsid w:val="00F5261B"/>
    <w:rsid w:val="00F53712"/>
    <w:rsid w:val="00F537C1"/>
    <w:rsid w:val="00F564E8"/>
    <w:rsid w:val="00F56745"/>
    <w:rsid w:val="00F57219"/>
    <w:rsid w:val="00F604F3"/>
    <w:rsid w:val="00F6191A"/>
    <w:rsid w:val="00F6449D"/>
    <w:rsid w:val="00F64F09"/>
    <w:rsid w:val="00F650B7"/>
    <w:rsid w:val="00F6691F"/>
    <w:rsid w:val="00F66BDE"/>
    <w:rsid w:val="00F670BF"/>
    <w:rsid w:val="00F672BB"/>
    <w:rsid w:val="00F677E6"/>
    <w:rsid w:val="00F71DA9"/>
    <w:rsid w:val="00F724B3"/>
    <w:rsid w:val="00F7502C"/>
    <w:rsid w:val="00F818B5"/>
    <w:rsid w:val="00F81B42"/>
    <w:rsid w:val="00F81BF9"/>
    <w:rsid w:val="00F831C6"/>
    <w:rsid w:val="00F8537A"/>
    <w:rsid w:val="00F859C2"/>
    <w:rsid w:val="00F85D5E"/>
    <w:rsid w:val="00F86B4B"/>
    <w:rsid w:val="00F876AA"/>
    <w:rsid w:val="00F91ECD"/>
    <w:rsid w:val="00F92537"/>
    <w:rsid w:val="00F96042"/>
    <w:rsid w:val="00F965B8"/>
    <w:rsid w:val="00FA225E"/>
    <w:rsid w:val="00FA35E7"/>
    <w:rsid w:val="00FA595A"/>
    <w:rsid w:val="00FA6ED8"/>
    <w:rsid w:val="00FA7115"/>
    <w:rsid w:val="00FA7BE4"/>
    <w:rsid w:val="00FB01F5"/>
    <w:rsid w:val="00FB5A72"/>
    <w:rsid w:val="00FB71A7"/>
    <w:rsid w:val="00FB71D7"/>
    <w:rsid w:val="00FB7947"/>
    <w:rsid w:val="00FC67D4"/>
    <w:rsid w:val="00FD0B74"/>
    <w:rsid w:val="00FD202D"/>
    <w:rsid w:val="00FD29C3"/>
    <w:rsid w:val="00FD31F4"/>
    <w:rsid w:val="00FD325E"/>
    <w:rsid w:val="00FD3360"/>
    <w:rsid w:val="00FD3790"/>
    <w:rsid w:val="00FD4CCE"/>
    <w:rsid w:val="00FD5816"/>
    <w:rsid w:val="00FD6B18"/>
    <w:rsid w:val="00FE08FB"/>
    <w:rsid w:val="00FE330B"/>
    <w:rsid w:val="00FE42BA"/>
    <w:rsid w:val="00FE53AB"/>
    <w:rsid w:val="00FE5B14"/>
    <w:rsid w:val="00FE7831"/>
    <w:rsid w:val="00FF01D8"/>
    <w:rsid w:val="00FF1269"/>
    <w:rsid w:val="00FF3070"/>
    <w:rsid w:val="00FF46E7"/>
    <w:rsid w:val="00FF7F01"/>
    <w:rsid w:val="00FF7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4"/>
        <w:szCs w:val="24"/>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3B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31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D31D1"/>
    <w:pPr>
      <w:autoSpaceDE w:val="0"/>
      <w:autoSpaceDN w:val="0"/>
      <w:adjustRightInd w:val="0"/>
    </w:pPr>
    <w:rPr>
      <w:rFonts w:ascii="Cambria" w:hAnsi="Cambria" w:cs="Cambria"/>
      <w:color w:val="000000"/>
    </w:rPr>
  </w:style>
  <w:style w:type="paragraph" w:styleId="NormalWeb">
    <w:name w:val="Normal (Web)"/>
    <w:basedOn w:val="Normal"/>
    <w:uiPriority w:val="99"/>
    <w:unhideWhenUsed/>
    <w:rsid w:val="00DD31D1"/>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CD6961"/>
    <w:rPr>
      <w:rFonts w:ascii="Tahoma" w:hAnsi="Tahoma" w:cs="Tahoma"/>
      <w:sz w:val="16"/>
      <w:szCs w:val="16"/>
    </w:rPr>
  </w:style>
  <w:style w:type="character" w:customStyle="1" w:styleId="BalloonTextChar">
    <w:name w:val="Balloon Text Char"/>
    <w:basedOn w:val="DefaultParagraphFont"/>
    <w:link w:val="BalloonText"/>
    <w:uiPriority w:val="99"/>
    <w:semiHidden/>
    <w:rsid w:val="00CD6961"/>
    <w:rPr>
      <w:rFonts w:ascii="Tahoma" w:hAnsi="Tahoma" w:cs="Tahoma"/>
      <w:sz w:val="16"/>
      <w:szCs w:val="16"/>
    </w:rPr>
  </w:style>
  <w:style w:type="character" w:styleId="PlaceholderText">
    <w:name w:val="Placeholder Text"/>
    <w:basedOn w:val="DefaultParagraphFont"/>
    <w:uiPriority w:val="99"/>
    <w:semiHidden/>
    <w:rsid w:val="00C74CF1"/>
    <w:rPr>
      <w:color w:val="808080"/>
    </w:rPr>
  </w:style>
  <w:style w:type="paragraph" w:styleId="Header">
    <w:name w:val="header"/>
    <w:basedOn w:val="Normal"/>
    <w:link w:val="HeaderChar"/>
    <w:uiPriority w:val="99"/>
    <w:semiHidden/>
    <w:unhideWhenUsed/>
    <w:rsid w:val="00AD5A26"/>
    <w:pPr>
      <w:tabs>
        <w:tab w:val="center" w:pos="4513"/>
        <w:tab w:val="right" w:pos="9026"/>
      </w:tabs>
      <w:spacing w:before="0"/>
    </w:pPr>
  </w:style>
  <w:style w:type="character" w:customStyle="1" w:styleId="HeaderChar">
    <w:name w:val="Header Char"/>
    <w:basedOn w:val="DefaultParagraphFont"/>
    <w:link w:val="Header"/>
    <w:uiPriority w:val="99"/>
    <w:semiHidden/>
    <w:rsid w:val="00AD5A26"/>
    <w:rPr>
      <w:lang w:val="en-GB"/>
    </w:rPr>
  </w:style>
  <w:style w:type="paragraph" w:styleId="Footer">
    <w:name w:val="footer"/>
    <w:basedOn w:val="Normal"/>
    <w:link w:val="FooterChar"/>
    <w:uiPriority w:val="99"/>
    <w:unhideWhenUsed/>
    <w:rsid w:val="00AD5A26"/>
    <w:pPr>
      <w:tabs>
        <w:tab w:val="center" w:pos="4513"/>
        <w:tab w:val="right" w:pos="9026"/>
      </w:tabs>
      <w:spacing w:before="0"/>
    </w:pPr>
  </w:style>
  <w:style w:type="character" w:customStyle="1" w:styleId="FooterChar">
    <w:name w:val="Footer Char"/>
    <w:basedOn w:val="DefaultParagraphFont"/>
    <w:link w:val="Footer"/>
    <w:uiPriority w:val="99"/>
    <w:rsid w:val="00AD5A26"/>
    <w:rPr>
      <w:lang w:val="en-GB"/>
    </w:rPr>
  </w:style>
  <w:style w:type="character" w:styleId="Hyperlink">
    <w:name w:val="Hyperlink"/>
    <w:basedOn w:val="DefaultParagraphFont"/>
    <w:unhideWhenUsed/>
    <w:rsid w:val="00B4359F"/>
    <w:rPr>
      <w:color w:val="0000FF"/>
      <w:u w:val="single"/>
    </w:rPr>
  </w:style>
  <w:style w:type="paragraph" w:styleId="Title">
    <w:name w:val="Title"/>
    <w:basedOn w:val="Normal"/>
    <w:next w:val="Normal"/>
    <w:link w:val="TitleChar"/>
    <w:uiPriority w:val="10"/>
    <w:qFormat/>
    <w:rsid w:val="00EB75F6"/>
    <w:pPr>
      <w:spacing w:before="0" w:line="340" w:lineRule="exact"/>
      <w:jc w:val="left"/>
      <w:outlineLvl w:val="0"/>
    </w:pPr>
    <w:rPr>
      <w:rFonts w:ascii="Times New Roman" w:eastAsiaTheme="majorEastAsia" w:hAnsi="Times New Roman"/>
      <w:b/>
      <w:bCs/>
      <w:color w:val="78A32E"/>
      <w:kern w:val="28"/>
      <w:sz w:val="32"/>
      <w:szCs w:val="32"/>
      <w:lang w:eastAsia="en-GB"/>
    </w:rPr>
  </w:style>
  <w:style w:type="character" w:customStyle="1" w:styleId="TitleChar">
    <w:name w:val="Title Char"/>
    <w:basedOn w:val="DefaultParagraphFont"/>
    <w:link w:val="Title"/>
    <w:uiPriority w:val="10"/>
    <w:rsid w:val="00EB75F6"/>
    <w:rPr>
      <w:rFonts w:ascii="Times New Roman" w:eastAsiaTheme="majorEastAsia" w:hAnsi="Times New Roman"/>
      <w:b/>
      <w:bCs/>
      <w:color w:val="78A32E"/>
      <w:kern w:val="28"/>
      <w:sz w:val="32"/>
      <w:szCs w:val="32"/>
      <w:lang w:val="en-GB" w:eastAsia="en-GB"/>
    </w:rPr>
  </w:style>
  <w:style w:type="paragraph" w:customStyle="1" w:styleId="Footer1">
    <w:name w:val="Footer1"/>
    <w:basedOn w:val="Normal"/>
    <w:qFormat/>
    <w:rsid w:val="00E36754"/>
    <w:pPr>
      <w:spacing w:before="0" w:after="140" w:line="200" w:lineRule="exact"/>
      <w:jc w:val="left"/>
    </w:pPr>
    <w:rPr>
      <w:rFonts w:ascii="Times New Roman" w:eastAsiaTheme="minorEastAsia" w:hAnsi="Times New Roman"/>
      <w:sz w:val="20"/>
      <w:szCs w:val="22"/>
      <w:lang w:eastAsia="en-GB"/>
    </w:rPr>
  </w:style>
  <w:style w:type="paragraph" w:customStyle="1" w:styleId="Footer2">
    <w:name w:val="Footer2"/>
    <w:basedOn w:val="Normal"/>
    <w:qFormat/>
    <w:rsid w:val="00E36754"/>
    <w:pPr>
      <w:spacing w:before="0" w:line="160" w:lineRule="exact"/>
      <w:jc w:val="left"/>
    </w:pPr>
    <w:rPr>
      <w:rFonts w:ascii="Times New Roman" w:eastAsiaTheme="minorEastAsia" w:hAnsi="Times New Roman"/>
      <w:sz w:val="16"/>
      <w:szCs w:val="22"/>
      <w:lang w:eastAsia="en-GB"/>
    </w:rPr>
  </w:style>
  <w:style w:type="paragraph" w:customStyle="1" w:styleId="Footer3">
    <w:name w:val="Footer3"/>
    <w:basedOn w:val="Footer2"/>
    <w:qFormat/>
    <w:rsid w:val="00E36754"/>
    <w:pPr>
      <w:spacing w:line="200" w:lineRule="exact"/>
    </w:pPr>
    <w:rPr>
      <w:sz w:val="14"/>
    </w:rPr>
  </w:style>
  <w:style w:type="paragraph" w:styleId="ListParagraph">
    <w:name w:val="List Paragraph"/>
    <w:basedOn w:val="Normal"/>
    <w:uiPriority w:val="34"/>
    <w:qFormat/>
    <w:rsid w:val="00E917F3"/>
    <w:pPr>
      <w:spacing w:before="0" w:after="200" w:line="276" w:lineRule="auto"/>
      <w:ind w:left="720"/>
      <w:contextualSpacing/>
      <w:jc w:val="left"/>
    </w:pPr>
    <w:rPr>
      <w:rFonts w:ascii="Cambria" w:eastAsia="Calibri" w:hAnsi="Cambria" w:cs="Times New Roman"/>
    </w:rPr>
  </w:style>
  <w:style w:type="paragraph" w:styleId="FootnoteText">
    <w:name w:val="footnote text"/>
    <w:basedOn w:val="Normal"/>
    <w:link w:val="FootnoteTextChar"/>
    <w:uiPriority w:val="99"/>
    <w:unhideWhenUsed/>
    <w:rsid w:val="00602E7C"/>
    <w:pPr>
      <w:spacing w:before="0"/>
    </w:pPr>
    <w:rPr>
      <w:sz w:val="20"/>
      <w:szCs w:val="20"/>
    </w:rPr>
  </w:style>
  <w:style w:type="character" w:customStyle="1" w:styleId="FootnoteTextChar">
    <w:name w:val="Footnote Text Char"/>
    <w:basedOn w:val="DefaultParagraphFont"/>
    <w:link w:val="FootnoteText"/>
    <w:uiPriority w:val="99"/>
    <w:rsid w:val="00602E7C"/>
    <w:rPr>
      <w:sz w:val="20"/>
      <w:szCs w:val="20"/>
      <w:lang w:val="en-GB"/>
    </w:rPr>
  </w:style>
  <w:style w:type="character" w:styleId="FootnoteReference">
    <w:name w:val="footnote reference"/>
    <w:basedOn w:val="DefaultParagraphFont"/>
    <w:uiPriority w:val="99"/>
    <w:semiHidden/>
    <w:unhideWhenUsed/>
    <w:rsid w:val="00602E7C"/>
    <w:rPr>
      <w:vertAlign w:val="superscript"/>
    </w:rPr>
  </w:style>
  <w:style w:type="character" w:styleId="CommentReference">
    <w:name w:val="annotation reference"/>
    <w:basedOn w:val="DefaultParagraphFont"/>
    <w:uiPriority w:val="99"/>
    <w:semiHidden/>
    <w:unhideWhenUsed/>
    <w:rsid w:val="00BD6972"/>
    <w:rPr>
      <w:sz w:val="16"/>
      <w:szCs w:val="16"/>
    </w:rPr>
  </w:style>
  <w:style w:type="paragraph" w:styleId="CommentText">
    <w:name w:val="annotation text"/>
    <w:basedOn w:val="Normal"/>
    <w:link w:val="CommentTextChar"/>
    <w:uiPriority w:val="99"/>
    <w:semiHidden/>
    <w:unhideWhenUsed/>
    <w:rsid w:val="00BD6972"/>
    <w:rPr>
      <w:sz w:val="20"/>
      <w:szCs w:val="20"/>
    </w:rPr>
  </w:style>
  <w:style w:type="character" w:customStyle="1" w:styleId="CommentTextChar">
    <w:name w:val="Comment Text Char"/>
    <w:basedOn w:val="DefaultParagraphFont"/>
    <w:link w:val="CommentText"/>
    <w:uiPriority w:val="99"/>
    <w:semiHidden/>
    <w:rsid w:val="00BD6972"/>
    <w:rPr>
      <w:sz w:val="20"/>
      <w:szCs w:val="20"/>
      <w:lang w:val="en-GB"/>
    </w:rPr>
  </w:style>
  <w:style w:type="paragraph" w:styleId="CommentSubject">
    <w:name w:val="annotation subject"/>
    <w:basedOn w:val="CommentText"/>
    <w:next w:val="CommentText"/>
    <w:link w:val="CommentSubjectChar"/>
    <w:uiPriority w:val="99"/>
    <w:semiHidden/>
    <w:unhideWhenUsed/>
    <w:rsid w:val="00904311"/>
    <w:rPr>
      <w:b/>
      <w:bCs/>
    </w:rPr>
  </w:style>
  <w:style w:type="character" w:customStyle="1" w:styleId="CommentSubjectChar">
    <w:name w:val="Comment Subject Char"/>
    <w:basedOn w:val="CommentTextChar"/>
    <w:link w:val="CommentSubject"/>
    <w:uiPriority w:val="99"/>
    <w:semiHidden/>
    <w:rsid w:val="00904311"/>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4"/>
        <w:szCs w:val="24"/>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3B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31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D31D1"/>
    <w:pPr>
      <w:autoSpaceDE w:val="0"/>
      <w:autoSpaceDN w:val="0"/>
      <w:adjustRightInd w:val="0"/>
    </w:pPr>
    <w:rPr>
      <w:rFonts w:ascii="Cambria" w:hAnsi="Cambria" w:cs="Cambria"/>
      <w:color w:val="000000"/>
    </w:rPr>
  </w:style>
  <w:style w:type="paragraph" w:styleId="NormalWeb">
    <w:name w:val="Normal (Web)"/>
    <w:basedOn w:val="Normal"/>
    <w:uiPriority w:val="99"/>
    <w:unhideWhenUsed/>
    <w:rsid w:val="00DD31D1"/>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CD6961"/>
    <w:rPr>
      <w:rFonts w:ascii="Tahoma" w:hAnsi="Tahoma" w:cs="Tahoma"/>
      <w:sz w:val="16"/>
      <w:szCs w:val="16"/>
    </w:rPr>
  </w:style>
  <w:style w:type="character" w:customStyle="1" w:styleId="BalloonTextChar">
    <w:name w:val="Balloon Text Char"/>
    <w:basedOn w:val="DefaultParagraphFont"/>
    <w:link w:val="BalloonText"/>
    <w:uiPriority w:val="99"/>
    <w:semiHidden/>
    <w:rsid w:val="00CD6961"/>
    <w:rPr>
      <w:rFonts w:ascii="Tahoma" w:hAnsi="Tahoma" w:cs="Tahoma"/>
      <w:sz w:val="16"/>
      <w:szCs w:val="16"/>
    </w:rPr>
  </w:style>
  <w:style w:type="character" w:styleId="PlaceholderText">
    <w:name w:val="Placeholder Text"/>
    <w:basedOn w:val="DefaultParagraphFont"/>
    <w:uiPriority w:val="99"/>
    <w:semiHidden/>
    <w:rsid w:val="00C74CF1"/>
    <w:rPr>
      <w:color w:val="808080"/>
    </w:rPr>
  </w:style>
  <w:style w:type="paragraph" w:styleId="Header">
    <w:name w:val="header"/>
    <w:basedOn w:val="Normal"/>
    <w:link w:val="HeaderChar"/>
    <w:uiPriority w:val="99"/>
    <w:semiHidden/>
    <w:unhideWhenUsed/>
    <w:rsid w:val="00AD5A26"/>
    <w:pPr>
      <w:tabs>
        <w:tab w:val="center" w:pos="4513"/>
        <w:tab w:val="right" w:pos="9026"/>
      </w:tabs>
      <w:spacing w:before="0"/>
    </w:pPr>
  </w:style>
  <w:style w:type="character" w:customStyle="1" w:styleId="HeaderChar">
    <w:name w:val="Header Char"/>
    <w:basedOn w:val="DefaultParagraphFont"/>
    <w:link w:val="Header"/>
    <w:uiPriority w:val="99"/>
    <w:semiHidden/>
    <w:rsid w:val="00AD5A26"/>
    <w:rPr>
      <w:lang w:val="en-GB"/>
    </w:rPr>
  </w:style>
  <w:style w:type="paragraph" w:styleId="Footer">
    <w:name w:val="footer"/>
    <w:basedOn w:val="Normal"/>
    <w:link w:val="FooterChar"/>
    <w:uiPriority w:val="99"/>
    <w:unhideWhenUsed/>
    <w:rsid w:val="00AD5A26"/>
    <w:pPr>
      <w:tabs>
        <w:tab w:val="center" w:pos="4513"/>
        <w:tab w:val="right" w:pos="9026"/>
      </w:tabs>
      <w:spacing w:before="0"/>
    </w:pPr>
  </w:style>
  <w:style w:type="character" w:customStyle="1" w:styleId="FooterChar">
    <w:name w:val="Footer Char"/>
    <w:basedOn w:val="DefaultParagraphFont"/>
    <w:link w:val="Footer"/>
    <w:uiPriority w:val="99"/>
    <w:rsid w:val="00AD5A26"/>
    <w:rPr>
      <w:lang w:val="en-GB"/>
    </w:rPr>
  </w:style>
  <w:style w:type="character" w:styleId="Hyperlink">
    <w:name w:val="Hyperlink"/>
    <w:basedOn w:val="DefaultParagraphFont"/>
    <w:unhideWhenUsed/>
    <w:rsid w:val="00B4359F"/>
    <w:rPr>
      <w:color w:val="0000FF"/>
      <w:u w:val="single"/>
    </w:rPr>
  </w:style>
  <w:style w:type="paragraph" w:styleId="Title">
    <w:name w:val="Title"/>
    <w:basedOn w:val="Normal"/>
    <w:next w:val="Normal"/>
    <w:link w:val="TitleChar"/>
    <w:uiPriority w:val="10"/>
    <w:qFormat/>
    <w:rsid w:val="00EB75F6"/>
    <w:pPr>
      <w:spacing w:before="0" w:line="340" w:lineRule="exact"/>
      <w:jc w:val="left"/>
      <w:outlineLvl w:val="0"/>
    </w:pPr>
    <w:rPr>
      <w:rFonts w:ascii="Times New Roman" w:eastAsiaTheme="majorEastAsia" w:hAnsi="Times New Roman"/>
      <w:b/>
      <w:bCs/>
      <w:color w:val="78A32E"/>
      <w:kern w:val="28"/>
      <w:sz w:val="32"/>
      <w:szCs w:val="32"/>
      <w:lang w:eastAsia="en-GB"/>
    </w:rPr>
  </w:style>
  <w:style w:type="character" w:customStyle="1" w:styleId="TitleChar">
    <w:name w:val="Title Char"/>
    <w:basedOn w:val="DefaultParagraphFont"/>
    <w:link w:val="Title"/>
    <w:uiPriority w:val="10"/>
    <w:rsid w:val="00EB75F6"/>
    <w:rPr>
      <w:rFonts w:ascii="Times New Roman" w:eastAsiaTheme="majorEastAsia" w:hAnsi="Times New Roman"/>
      <w:b/>
      <w:bCs/>
      <w:color w:val="78A32E"/>
      <w:kern w:val="28"/>
      <w:sz w:val="32"/>
      <w:szCs w:val="32"/>
      <w:lang w:val="en-GB" w:eastAsia="en-GB"/>
    </w:rPr>
  </w:style>
  <w:style w:type="paragraph" w:customStyle="1" w:styleId="Footer1">
    <w:name w:val="Footer1"/>
    <w:basedOn w:val="Normal"/>
    <w:qFormat/>
    <w:rsid w:val="00E36754"/>
    <w:pPr>
      <w:spacing w:before="0" w:after="140" w:line="200" w:lineRule="exact"/>
      <w:jc w:val="left"/>
    </w:pPr>
    <w:rPr>
      <w:rFonts w:ascii="Times New Roman" w:eastAsiaTheme="minorEastAsia" w:hAnsi="Times New Roman"/>
      <w:sz w:val="20"/>
      <w:szCs w:val="22"/>
      <w:lang w:eastAsia="en-GB"/>
    </w:rPr>
  </w:style>
  <w:style w:type="paragraph" w:customStyle="1" w:styleId="Footer2">
    <w:name w:val="Footer2"/>
    <w:basedOn w:val="Normal"/>
    <w:qFormat/>
    <w:rsid w:val="00E36754"/>
    <w:pPr>
      <w:spacing w:before="0" w:line="160" w:lineRule="exact"/>
      <w:jc w:val="left"/>
    </w:pPr>
    <w:rPr>
      <w:rFonts w:ascii="Times New Roman" w:eastAsiaTheme="minorEastAsia" w:hAnsi="Times New Roman"/>
      <w:sz w:val="16"/>
      <w:szCs w:val="22"/>
      <w:lang w:eastAsia="en-GB"/>
    </w:rPr>
  </w:style>
  <w:style w:type="paragraph" w:customStyle="1" w:styleId="Footer3">
    <w:name w:val="Footer3"/>
    <w:basedOn w:val="Footer2"/>
    <w:qFormat/>
    <w:rsid w:val="00E36754"/>
    <w:pPr>
      <w:spacing w:line="200" w:lineRule="exact"/>
    </w:pPr>
    <w:rPr>
      <w:sz w:val="14"/>
    </w:rPr>
  </w:style>
  <w:style w:type="paragraph" w:styleId="ListParagraph">
    <w:name w:val="List Paragraph"/>
    <w:basedOn w:val="Normal"/>
    <w:uiPriority w:val="34"/>
    <w:qFormat/>
    <w:rsid w:val="00E917F3"/>
    <w:pPr>
      <w:spacing w:before="0" w:after="200" w:line="276" w:lineRule="auto"/>
      <w:ind w:left="720"/>
      <w:contextualSpacing/>
      <w:jc w:val="left"/>
    </w:pPr>
    <w:rPr>
      <w:rFonts w:ascii="Cambria" w:eastAsia="Calibri" w:hAnsi="Cambria" w:cs="Times New Roman"/>
    </w:rPr>
  </w:style>
  <w:style w:type="paragraph" w:styleId="FootnoteText">
    <w:name w:val="footnote text"/>
    <w:basedOn w:val="Normal"/>
    <w:link w:val="FootnoteTextChar"/>
    <w:uiPriority w:val="99"/>
    <w:unhideWhenUsed/>
    <w:rsid w:val="00602E7C"/>
    <w:pPr>
      <w:spacing w:before="0"/>
    </w:pPr>
    <w:rPr>
      <w:sz w:val="20"/>
      <w:szCs w:val="20"/>
    </w:rPr>
  </w:style>
  <w:style w:type="character" w:customStyle="1" w:styleId="FootnoteTextChar">
    <w:name w:val="Footnote Text Char"/>
    <w:basedOn w:val="DefaultParagraphFont"/>
    <w:link w:val="FootnoteText"/>
    <w:uiPriority w:val="99"/>
    <w:rsid w:val="00602E7C"/>
    <w:rPr>
      <w:sz w:val="20"/>
      <w:szCs w:val="20"/>
      <w:lang w:val="en-GB"/>
    </w:rPr>
  </w:style>
  <w:style w:type="character" w:styleId="FootnoteReference">
    <w:name w:val="footnote reference"/>
    <w:basedOn w:val="DefaultParagraphFont"/>
    <w:uiPriority w:val="99"/>
    <w:semiHidden/>
    <w:unhideWhenUsed/>
    <w:rsid w:val="00602E7C"/>
    <w:rPr>
      <w:vertAlign w:val="superscript"/>
    </w:rPr>
  </w:style>
  <w:style w:type="character" w:styleId="CommentReference">
    <w:name w:val="annotation reference"/>
    <w:basedOn w:val="DefaultParagraphFont"/>
    <w:uiPriority w:val="99"/>
    <w:semiHidden/>
    <w:unhideWhenUsed/>
    <w:rsid w:val="00BD6972"/>
    <w:rPr>
      <w:sz w:val="16"/>
      <w:szCs w:val="16"/>
    </w:rPr>
  </w:style>
  <w:style w:type="paragraph" w:styleId="CommentText">
    <w:name w:val="annotation text"/>
    <w:basedOn w:val="Normal"/>
    <w:link w:val="CommentTextChar"/>
    <w:uiPriority w:val="99"/>
    <w:semiHidden/>
    <w:unhideWhenUsed/>
    <w:rsid w:val="00BD6972"/>
    <w:rPr>
      <w:sz w:val="20"/>
      <w:szCs w:val="20"/>
    </w:rPr>
  </w:style>
  <w:style w:type="character" w:customStyle="1" w:styleId="CommentTextChar">
    <w:name w:val="Comment Text Char"/>
    <w:basedOn w:val="DefaultParagraphFont"/>
    <w:link w:val="CommentText"/>
    <w:uiPriority w:val="99"/>
    <w:semiHidden/>
    <w:rsid w:val="00BD6972"/>
    <w:rPr>
      <w:sz w:val="20"/>
      <w:szCs w:val="20"/>
      <w:lang w:val="en-GB"/>
    </w:rPr>
  </w:style>
  <w:style w:type="paragraph" w:styleId="CommentSubject">
    <w:name w:val="annotation subject"/>
    <w:basedOn w:val="CommentText"/>
    <w:next w:val="CommentText"/>
    <w:link w:val="CommentSubjectChar"/>
    <w:uiPriority w:val="99"/>
    <w:semiHidden/>
    <w:unhideWhenUsed/>
    <w:rsid w:val="00904311"/>
    <w:rPr>
      <w:b/>
      <w:bCs/>
    </w:rPr>
  </w:style>
  <w:style w:type="character" w:customStyle="1" w:styleId="CommentSubjectChar">
    <w:name w:val="Comment Subject Char"/>
    <w:basedOn w:val="CommentTextChar"/>
    <w:link w:val="CommentSubject"/>
    <w:uiPriority w:val="99"/>
    <w:semiHidden/>
    <w:rsid w:val="00904311"/>
    <w:rPr>
      <w:b/>
      <w:bCs/>
      <w:sz w:val="20"/>
      <w:szCs w:val="20"/>
      <w:lang w:val="en-GB"/>
    </w:rPr>
  </w:style>
</w:styles>
</file>

<file path=word/webSettings.xml><?xml version="1.0" encoding="utf-8"?>
<w:webSettings xmlns:r="http://schemas.openxmlformats.org/officeDocument/2006/relationships" xmlns:w="http://schemas.openxmlformats.org/wordprocessingml/2006/main">
  <w:divs>
    <w:div w:id="66609279">
      <w:bodyDiv w:val="1"/>
      <w:marLeft w:val="0"/>
      <w:marRight w:val="0"/>
      <w:marTop w:val="0"/>
      <w:marBottom w:val="0"/>
      <w:divBdr>
        <w:top w:val="none" w:sz="0" w:space="0" w:color="auto"/>
        <w:left w:val="none" w:sz="0" w:space="0" w:color="auto"/>
        <w:bottom w:val="none" w:sz="0" w:space="0" w:color="auto"/>
        <w:right w:val="none" w:sz="0" w:space="0" w:color="auto"/>
      </w:divBdr>
    </w:div>
    <w:div w:id="808017550">
      <w:bodyDiv w:val="1"/>
      <w:marLeft w:val="0"/>
      <w:marRight w:val="0"/>
      <w:marTop w:val="0"/>
      <w:marBottom w:val="0"/>
      <w:divBdr>
        <w:top w:val="none" w:sz="0" w:space="0" w:color="auto"/>
        <w:left w:val="none" w:sz="0" w:space="0" w:color="auto"/>
        <w:bottom w:val="none" w:sz="0" w:space="0" w:color="auto"/>
        <w:right w:val="none" w:sz="0" w:space="0" w:color="auto"/>
      </w:divBdr>
    </w:div>
    <w:div w:id="881359691">
      <w:bodyDiv w:val="1"/>
      <w:marLeft w:val="0"/>
      <w:marRight w:val="0"/>
      <w:marTop w:val="0"/>
      <w:marBottom w:val="0"/>
      <w:divBdr>
        <w:top w:val="none" w:sz="0" w:space="0" w:color="auto"/>
        <w:left w:val="none" w:sz="0" w:space="0" w:color="auto"/>
        <w:bottom w:val="none" w:sz="0" w:space="0" w:color="auto"/>
        <w:right w:val="none" w:sz="0" w:space="0" w:color="auto"/>
      </w:divBdr>
    </w:div>
    <w:div w:id="935753289">
      <w:bodyDiv w:val="1"/>
      <w:marLeft w:val="0"/>
      <w:marRight w:val="0"/>
      <w:marTop w:val="0"/>
      <w:marBottom w:val="0"/>
      <w:divBdr>
        <w:top w:val="none" w:sz="0" w:space="0" w:color="auto"/>
        <w:left w:val="none" w:sz="0" w:space="0" w:color="auto"/>
        <w:bottom w:val="none" w:sz="0" w:space="0" w:color="auto"/>
        <w:right w:val="none" w:sz="0" w:space="0" w:color="auto"/>
      </w:divBdr>
    </w:div>
    <w:div w:id="955211309">
      <w:bodyDiv w:val="1"/>
      <w:marLeft w:val="0"/>
      <w:marRight w:val="0"/>
      <w:marTop w:val="0"/>
      <w:marBottom w:val="0"/>
      <w:divBdr>
        <w:top w:val="none" w:sz="0" w:space="0" w:color="auto"/>
        <w:left w:val="none" w:sz="0" w:space="0" w:color="auto"/>
        <w:bottom w:val="none" w:sz="0" w:space="0" w:color="auto"/>
        <w:right w:val="none" w:sz="0" w:space="0" w:color="auto"/>
      </w:divBdr>
    </w:div>
    <w:div w:id="1160272973">
      <w:bodyDiv w:val="1"/>
      <w:marLeft w:val="0"/>
      <w:marRight w:val="0"/>
      <w:marTop w:val="0"/>
      <w:marBottom w:val="0"/>
      <w:divBdr>
        <w:top w:val="none" w:sz="0" w:space="0" w:color="auto"/>
        <w:left w:val="none" w:sz="0" w:space="0" w:color="auto"/>
        <w:bottom w:val="none" w:sz="0" w:space="0" w:color="auto"/>
        <w:right w:val="none" w:sz="0" w:space="0" w:color="auto"/>
      </w:divBdr>
    </w:div>
    <w:div w:id="1290211060">
      <w:bodyDiv w:val="1"/>
      <w:marLeft w:val="0"/>
      <w:marRight w:val="0"/>
      <w:marTop w:val="0"/>
      <w:marBottom w:val="0"/>
      <w:divBdr>
        <w:top w:val="none" w:sz="0" w:space="0" w:color="auto"/>
        <w:left w:val="none" w:sz="0" w:space="0" w:color="auto"/>
        <w:bottom w:val="none" w:sz="0" w:space="0" w:color="auto"/>
        <w:right w:val="none" w:sz="0" w:space="0" w:color="auto"/>
      </w:divBdr>
    </w:div>
    <w:div w:id="1445927145">
      <w:bodyDiv w:val="1"/>
      <w:marLeft w:val="0"/>
      <w:marRight w:val="0"/>
      <w:marTop w:val="0"/>
      <w:marBottom w:val="0"/>
      <w:divBdr>
        <w:top w:val="none" w:sz="0" w:space="0" w:color="auto"/>
        <w:left w:val="none" w:sz="0" w:space="0" w:color="auto"/>
        <w:bottom w:val="none" w:sz="0" w:space="0" w:color="auto"/>
        <w:right w:val="none" w:sz="0" w:space="0" w:color="auto"/>
      </w:divBdr>
    </w:div>
    <w:div w:id="1498495468">
      <w:bodyDiv w:val="1"/>
      <w:marLeft w:val="0"/>
      <w:marRight w:val="0"/>
      <w:marTop w:val="0"/>
      <w:marBottom w:val="0"/>
      <w:divBdr>
        <w:top w:val="none" w:sz="0" w:space="0" w:color="auto"/>
        <w:left w:val="none" w:sz="0" w:space="0" w:color="auto"/>
        <w:bottom w:val="none" w:sz="0" w:space="0" w:color="auto"/>
        <w:right w:val="none" w:sz="0" w:space="0" w:color="auto"/>
      </w:divBdr>
    </w:div>
    <w:div w:id="1620408456">
      <w:bodyDiv w:val="1"/>
      <w:marLeft w:val="0"/>
      <w:marRight w:val="0"/>
      <w:marTop w:val="0"/>
      <w:marBottom w:val="0"/>
      <w:divBdr>
        <w:top w:val="none" w:sz="0" w:space="0" w:color="auto"/>
        <w:left w:val="none" w:sz="0" w:space="0" w:color="auto"/>
        <w:bottom w:val="none" w:sz="0" w:space="0" w:color="auto"/>
        <w:right w:val="none" w:sz="0" w:space="0" w:color="auto"/>
      </w:divBdr>
    </w:div>
    <w:div w:id="17795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fm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0F363-4C49-47E2-866F-EF8BF63E3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2412</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AFME</Company>
  <LinksUpToDate>false</LinksUpToDate>
  <CharactersWithSpaces>16135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omoullin</dc:creator>
  <cp:lastModifiedBy>snoakes</cp:lastModifiedBy>
  <cp:revision>2</cp:revision>
  <cp:lastPrinted>2015-03-12T09:35:00Z</cp:lastPrinted>
  <dcterms:created xsi:type="dcterms:W3CDTF">2015-04-14T15:01:00Z</dcterms:created>
  <dcterms:modified xsi:type="dcterms:W3CDTF">2015-04-14T15:01:00Z</dcterms:modified>
</cp:coreProperties>
</file>