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194B" w14:textId="5937E7F6" w:rsidR="00AF78FA" w:rsidRPr="008F6E4B" w:rsidRDefault="00AF78FA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</w:pPr>
      <w:r w:rsidRPr="008F6E4B"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 xml:space="preserve">Response to the EBA’s </w:t>
      </w:r>
      <w:r w:rsidR="008F6E4B"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>Consultation paper</w:t>
      </w:r>
      <w:r w:rsidRPr="008F6E4B"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 xml:space="preserve"> </w:t>
      </w:r>
      <w:r w:rsidRPr="008F6E4B">
        <w:rPr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 xml:space="preserve">on the </w:t>
      </w:r>
      <w:r w:rsidRPr="008F6E4B"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>draft Guidelines on the limited network exclusion under PSD2</w:t>
      </w:r>
    </w:p>
    <w:p w14:paraId="185C4586" w14:textId="2B1374E1" w:rsidR="00AF78FA" w:rsidRPr="008F6E4B" w:rsidRDefault="00AF78FA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</w:pPr>
      <w:r w:rsidRPr="008F6E4B">
        <w:rPr>
          <w:rStyle w:val="markedcontent"/>
          <w:rFonts w:ascii="Times New Roman" w:hAnsi="Times New Roman" w:cs="Times New Roman"/>
          <w:b/>
          <w:bCs/>
          <w:smallCaps/>
          <w:sz w:val="36"/>
          <w:szCs w:val="36"/>
          <w:lang w:val="en-GB"/>
        </w:rPr>
        <w:t>EBA/CP/2021/2</w:t>
      </w:r>
    </w:p>
    <w:p w14:paraId="2477A1E0" w14:textId="6546E2B2" w:rsidR="00B664B8" w:rsidRPr="008F6E4B" w:rsidRDefault="002D7513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smallCaps/>
          <w:sz w:val="28"/>
          <w:szCs w:val="28"/>
          <w:lang w:val="en-GB"/>
        </w:rPr>
      </w:pPr>
      <w:r>
        <w:rPr>
          <w:rStyle w:val="markedcontent"/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>11</w:t>
      </w:r>
      <w:r w:rsidR="00F0299E">
        <w:rPr>
          <w:rStyle w:val="markedcontent"/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>/10/</w:t>
      </w:r>
      <w:r w:rsidR="006A0538" w:rsidRPr="008F6E4B">
        <w:rPr>
          <w:rStyle w:val="markedcontent"/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>2021</w:t>
      </w:r>
    </w:p>
    <w:p w14:paraId="56115E85" w14:textId="4F96B117" w:rsidR="004E02A1" w:rsidRPr="007849FD" w:rsidRDefault="004E02A1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sz w:val="36"/>
          <w:szCs w:val="36"/>
          <w:lang w:val="en-GB"/>
        </w:rPr>
      </w:pPr>
    </w:p>
    <w:p w14:paraId="30304044" w14:textId="77777777" w:rsidR="00F05B6C" w:rsidRPr="007849FD" w:rsidRDefault="00F05B6C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5294D9" w14:textId="236F7E88" w:rsidR="00344903" w:rsidRPr="007849FD" w:rsidRDefault="00C12C0C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8A5C54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welcome</w:t>
      </w:r>
      <w:r w:rsidR="006A0538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the opportunity to express </w:t>
      </w:r>
      <w:r w:rsidR="008A5C54" w:rsidRPr="007849FD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views regarding </w:t>
      </w:r>
      <w:r w:rsidR="006A0538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the draft </w:t>
      </w:r>
      <w:r w:rsidR="00590E9D" w:rsidRPr="007849FD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A0538" w:rsidRPr="007849FD">
        <w:rPr>
          <w:rFonts w:ascii="Times New Roman" w:hAnsi="Times New Roman" w:cs="Times New Roman"/>
          <w:sz w:val="24"/>
          <w:szCs w:val="24"/>
          <w:lang w:val="en-GB"/>
        </w:rPr>
        <w:t>uidelines on the limited network exclusion under PSD2</w:t>
      </w:r>
      <w:r w:rsidR="005E4E9B" w:rsidRPr="007849FD">
        <w:rPr>
          <w:rStyle w:val="Appelnotedebasdep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250467" w14:textId="313192FD" w:rsidR="00344903" w:rsidRPr="007849FD" w:rsidRDefault="00D014CA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>Please find below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our </w:t>
      </w:r>
      <w:r w:rsidR="00C12C0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general </w:t>
      </w:r>
      <w:r w:rsidR="00F05B6C" w:rsidRPr="007849FD">
        <w:rPr>
          <w:rFonts w:ascii="Times New Roman" w:hAnsi="Times New Roman" w:cs="Times New Roman"/>
          <w:sz w:val="24"/>
          <w:szCs w:val="24"/>
          <w:lang w:val="en-GB"/>
        </w:rPr>
        <w:t>observation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91C44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and comments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593" w:rsidRPr="007849FD">
        <w:rPr>
          <w:rFonts w:ascii="Times New Roman" w:hAnsi="Times New Roman" w:cs="Times New Roman"/>
          <w:sz w:val="24"/>
          <w:szCs w:val="24"/>
          <w:lang w:val="en-GB"/>
        </w:rPr>
        <w:t>followed by our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responses to the </w:t>
      </w:r>
      <w:r w:rsidR="00C12C0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specific </w:t>
      </w:r>
      <w:r w:rsidR="00344903" w:rsidRPr="007849FD">
        <w:rPr>
          <w:rFonts w:ascii="Times New Roman" w:hAnsi="Times New Roman" w:cs="Times New Roman"/>
          <w:sz w:val="24"/>
          <w:szCs w:val="24"/>
          <w:lang w:val="en-GB"/>
        </w:rPr>
        <w:t>questions listed in the consultation.</w:t>
      </w:r>
    </w:p>
    <w:p w14:paraId="040A42E9" w14:textId="77777777" w:rsidR="00DB4C0D" w:rsidRPr="007849FD" w:rsidRDefault="00DB4C0D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10531A" w14:textId="77777777" w:rsidR="00610593" w:rsidRPr="007849FD" w:rsidRDefault="00610593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t>*</w:t>
      </w:r>
    </w:p>
    <w:p w14:paraId="653198CC" w14:textId="192D0531" w:rsidR="00610593" w:rsidRPr="007849FD" w:rsidRDefault="00610593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t>*</w:t>
      </w: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tab/>
        <w:t>*</w:t>
      </w:r>
    </w:p>
    <w:p w14:paraId="32CCFD22" w14:textId="7D17C7B5" w:rsidR="00DB4C0D" w:rsidRPr="007849FD" w:rsidRDefault="00DB4C0D" w:rsidP="00EE47DD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Fonts w:ascii="Times New Roman" w:hAnsi="Times New Roman" w:cs="Times New Roman"/>
          <w:sz w:val="32"/>
          <w:szCs w:val="32"/>
          <w:lang w:val="en-GB"/>
        </w:rPr>
        <w:br w:type="page"/>
      </w:r>
    </w:p>
    <w:p w14:paraId="0452B70C" w14:textId="585F4F7E" w:rsidR="00344903" w:rsidRPr="007849FD" w:rsidRDefault="00F05B6C" w:rsidP="00EE47DD">
      <w:pPr>
        <w:spacing w:after="24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en-GB"/>
        </w:rPr>
      </w:pPr>
      <w:r w:rsidRPr="007849FD">
        <w:rPr>
          <w:rFonts w:ascii="Times New Roman" w:hAnsi="Times New Roman" w:cs="Times New Roman"/>
          <w:b/>
          <w:smallCaps/>
          <w:sz w:val="28"/>
          <w:szCs w:val="28"/>
          <w:lang w:val="en-GB"/>
        </w:rPr>
        <w:lastRenderedPageBreak/>
        <w:t>General observations</w:t>
      </w:r>
      <w:r w:rsidR="00F91C44" w:rsidRPr="007849FD">
        <w:rPr>
          <w:rFonts w:ascii="Times New Roman" w:hAnsi="Times New Roman" w:cs="Times New Roman"/>
          <w:b/>
          <w:smallCaps/>
          <w:sz w:val="28"/>
          <w:szCs w:val="28"/>
          <w:lang w:val="en-GB"/>
        </w:rPr>
        <w:t xml:space="preserve"> and comments</w:t>
      </w:r>
    </w:p>
    <w:p w14:paraId="25638EB1" w14:textId="4DC3BCD0" w:rsidR="00446E19" w:rsidRPr="007849FD" w:rsidRDefault="00C12C0C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As a preliminary comment</w:t>
      </w:r>
      <w:r w:rsidR="00446E19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, we </w:t>
      </w:r>
      <w:r w:rsidR="00286269">
        <w:rPr>
          <w:rFonts w:ascii="Times New Roman" w:hAnsi="Times New Roman" w:cs="Times New Roman"/>
          <w:sz w:val="24"/>
          <w:szCs w:val="24"/>
          <w:lang w:val="en-GB"/>
        </w:rPr>
        <w:t>would like</w:t>
      </w:r>
      <w:r w:rsidR="00446E19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F22D8A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share </w:t>
      </w:r>
      <w:r w:rsidR="00F22D8A" w:rsidRPr="00DF4337">
        <w:rPr>
          <w:rFonts w:ascii="Times New Roman" w:hAnsi="Times New Roman" w:cs="Times New Roman"/>
          <w:sz w:val="24"/>
          <w:szCs w:val="24"/>
          <w:lang w:val="en-GB"/>
        </w:rPr>
        <w:t>our general observation</w:t>
      </w:r>
      <w:r w:rsidR="002377E9" w:rsidRPr="00DF433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22D8A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269" w:rsidRPr="00DF4337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F22D8A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6FC9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0655C" w:rsidRPr="00DF4337">
        <w:rPr>
          <w:rFonts w:ascii="Times New Roman" w:hAnsi="Times New Roman" w:cs="Times New Roman"/>
          <w:sz w:val="24"/>
          <w:szCs w:val="24"/>
          <w:lang w:val="en-GB"/>
        </w:rPr>
        <w:t>transitional provisions</w:t>
      </w:r>
      <w:r w:rsidR="00596FC9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7849FD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96FC9" w:rsidRPr="00DF4337">
        <w:rPr>
          <w:rFonts w:ascii="Times New Roman" w:hAnsi="Times New Roman" w:cs="Times New Roman"/>
          <w:sz w:val="24"/>
          <w:szCs w:val="24"/>
          <w:lang w:val="en-GB"/>
        </w:rPr>
        <w:t>implementation of the</w:t>
      </w:r>
      <w:r w:rsidR="007849FD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final</w:t>
      </w:r>
      <w:r w:rsidR="00596FC9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guidelines (</w:t>
      </w:r>
      <w:r w:rsidR="00596FC9" w:rsidRPr="00DF4337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596FC9" w:rsidRPr="00DF433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91C44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possibility for entities benefiting from the limited network </w:t>
      </w:r>
      <w:r w:rsidR="00982DC6" w:rsidRPr="00DF4337">
        <w:rPr>
          <w:rFonts w:ascii="Times New Roman" w:hAnsi="Times New Roman" w:cs="Times New Roman"/>
          <w:sz w:val="24"/>
          <w:szCs w:val="24"/>
          <w:lang w:val="en-GB"/>
        </w:rPr>
        <w:t>exclusion</w:t>
      </w:r>
      <w:r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38F9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set out 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438F9"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Article 3(k) of PSD2 </w:t>
      </w:r>
      <w:r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(the </w:t>
      </w:r>
      <w:r w:rsidRPr="00DF433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LNE</w:t>
      </w:r>
      <w:r w:rsidRPr="00DF4337">
        <w:rPr>
          <w:rFonts w:ascii="Times New Roman" w:hAnsi="Times New Roman" w:cs="Times New Roman"/>
          <w:sz w:val="24"/>
          <w:szCs w:val="24"/>
          <w:lang w:val="en-GB"/>
        </w:rPr>
        <w:t xml:space="preserve">) to provide payment instruments that involve the provision </w:t>
      </w:r>
      <w:r w:rsidR="00F91C44" w:rsidRPr="00DF4337">
        <w:rPr>
          <w:rFonts w:ascii="Times New Roman" w:hAnsi="Times New Roman" w:cs="Times New Roman"/>
          <w:sz w:val="24"/>
          <w:szCs w:val="24"/>
          <w:lang w:val="en-GB"/>
        </w:rPr>
        <w:t>of credit (</w:t>
      </w:r>
      <w:r w:rsidR="00F91C44" w:rsidRPr="00DF4337">
        <w:rPr>
          <w:rFonts w:ascii="Times New Roman" w:hAnsi="Times New Roman" w:cs="Times New Roman"/>
          <w:b/>
          <w:bCs/>
          <w:sz w:val="24"/>
          <w:szCs w:val="24"/>
          <w:lang w:val="en-GB"/>
        </w:rPr>
        <w:t>2.</w:t>
      </w:r>
      <w:r w:rsidR="00F91C44" w:rsidRPr="00DF433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F8FCEB7" w14:textId="010D7115" w:rsidR="00F91C44" w:rsidRPr="007849FD" w:rsidRDefault="0000655C" w:rsidP="00EE47DD">
      <w:pPr>
        <w:pStyle w:val="Paragraphedeliste"/>
        <w:numPr>
          <w:ilvl w:val="0"/>
          <w:numId w:val="10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b/>
          <w:bCs/>
          <w:sz w:val="24"/>
          <w:szCs w:val="24"/>
          <w:lang w:val="en-GB"/>
        </w:rPr>
        <w:t>Transitional provisions</w:t>
      </w:r>
    </w:p>
    <w:p w14:paraId="44ACFBC9" w14:textId="79C1316B" w:rsidR="00D377DE" w:rsidRPr="00D377DE" w:rsidRDefault="0000655C" w:rsidP="00D377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7DE">
        <w:rPr>
          <w:rFonts w:ascii="Times New Roman" w:hAnsi="Times New Roman" w:cs="Times New Roman"/>
          <w:sz w:val="24"/>
          <w:szCs w:val="24"/>
          <w:lang w:val="en-GB"/>
        </w:rPr>
        <w:t>The draft guidelines indicate that</w:t>
      </w:r>
      <w:r w:rsidR="00D3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77DE" w:rsidRPr="00D377DE">
        <w:rPr>
          <w:rFonts w:ascii="Times New Roman" w:hAnsi="Times New Roman" w:cs="Times New Roman"/>
          <w:sz w:val="24"/>
          <w:szCs w:val="24"/>
          <w:lang w:val="en-GB"/>
        </w:rPr>
        <w:t>competent authorities should request from service providers which already benefit from the LNE to resubmit a notification taking into account the content of the guidelines.</w:t>
      </w:r>
    </w:p>
    <w:p w14:paraId="43B0B90D" w14:textId="526AA30C" w:rsidR="00297EC1" w:rsidRDefault="00297EC1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Member States where </w:t>
      </w:r>
      <w:r w:rsidR="008017C7">
        <w:rPr>
          <w:rFonts w:ascii="Times New Roman" w:hAnsi="Times New Roman" w:cs="Times New Roman"/>
          <w:sz w:val="24"/>
          <w:szCs w:val="24"/>
          <w:lang w:val="en-GB"/>
        </w:rPr>
        <w:t>a significant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number of service providers already benefit from the LNE – such as France – this </w:t>
      </w:r>
      <w:r w:rsidR="008017C7">
        <w:rPr>
          <w:rFonts w:ascii="Times New Roman" w:hAnsi="Times New Roman" w:cs="Times New Roman"/>
          <w:sz w:val="24"/>
          <w:szCs w:val="24"/>
          <w:lang w:val="en-GB"/>
        </w:rPr>
        <w:t xml:space="preserve">systematic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resubmission process will represent </w:t>
      </w:r>
      <w:r w:rsidR="008017C7">
        <w:rPr>
          <w:rFonts w:ascii="Times New Roman" w:hAnsi="Times New Roman" w:cs="Times New Roman"/>
          <w:sz w:val="24"/>
          <w:szCs w:val="24"/>
          <w:lang w:val="en-GB"/>
        </w:rPr>
        <w:t>important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work for </w:t>
      </w:r>
      <w:r w:rsidR="00140943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competent authorities and the </w:t>
      </w:r>
      <w:r w:rsidRPr="00D377DE">
        <w:rPr>
          <w:rFonts w:ascii="Times New Roman" w:hAnsi="Times New Roman" w:cs="Times New Roman"/>
          <w:sz w:val="24"/>
          <w:szCs w:val="24"/>
          <w:lang w:val="en-GB"/>
        </w:rPr>
        <w:t>service providers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concerned.</w:t>
      </w:r>
    </w:p>
    <w:p w14:paraId="636BE323" w14:textId="27AE158C" w:rsidR="00297EC1" w:rsidRDefault="00140943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certain Member States, the competent authorities already assess the LNE using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criteria and indicators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are similar to those set out in the draft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guidelines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017C7">
        <w:rPr>
          <w:rFonts w:ascii="Times New Roman" w:hAnsi="Times New Roman" w:cs="Times New Roman"/>
          <w:sz w:val="24"/>
          <w:szCs w:val="24"/>
          <w:lang w:val="en-GB"/>
        </w:rPr>
        <w:t>When this is the case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it </w:t>
      </w:r>
      <w:r w:rsidR="00780DF2">
        <w:rPr>
          <w:rFonts w:ascii="Times New Roman" w:hAnsi="Times New Roman" w:cs="Times New Roman"/>
          <w:sz w:val="24"/>
          <w:szCs w:val="24"/>
          <w:lang w:val="en-GB"/>
        </w:rPr>
        <w:t>would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unnecessary to re-analyse all </w:t>
      </w:r>
      <w:r w:rsidR="003E02F2">
        <w:rPr>
          <w:rFonts w:ascii="Times New Roman" w:hAnsi="Times New Roman" w:cs="Times New Roman"/>
          <w:sz w:val="24"/>
          <w:szCs w:val="24"/>
          <w:lang w:val="en-GB"/>
        </w:rPr>
        <w:t>existing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notifications in light of the guidelines.</w:t>
      </w:r>
      <w:r w:rsidR="0095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9A29F1" w14:textId="58325F40" w:rsidR="00140943" w:rsidRDefault="00140943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We believe that </w:t>
      </w:r>
      <w:r w:rsidR="00297EC1"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competent authorities should </w:t>
      </w:r>
      <w:r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have the possibility to determine </w:t>
      </w:r>
      <w:r w:rsidR="00C405B1">
        <w:rPr>
          <w:rFonts w:ascii="Times New Roman" w:hAnsi="Times New Roman" w:cs="Times New Roman"/>
          <w:sz w:val="24"/>
          <w:szCs w:val="24"/>
          <w:lang w:val="en-GB"/>
        </w:rPr>
        <w:t xml:space="preserve">on a case-by-case basis </w:t>
      </w:r>
      <w:r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405B1">
        <w:rPr>
          <w:rFonts w:ascii="Times New Roman" w:hAnsi="Times New Roman" w:cs="Times New Roman"/>
          <w:sz w:val="24"/>
          <w:szCs w:val="24"/>
          <w:lang w:val="en-GB"/>
        </w:rPr>
        <w:t xml:space="preserve">existing </w:t>
      </w:r>
      <w:r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notifications that they wish to review, without having to re-assess all </w:t>
      </w:r>
      <w:r w:rsidR="00C405B1">
        <w:rPr>
          <w:rFonts w:ascii="Times New Roman" w:hAnsi="Times New Roman" w:cs="Times New Roman"/>
          <w:sz w:val="24"/>
          <w:szCs w:val="24"/>
          <w:lang w:val="en-GB"/>
        </w:rPr>
        <w:t>existing</w:t>
      </w:r>
      <w:r w:rsidRPr="00780DF2">
        <w:rPr>
          <w:rFonts w:ascii="Times New Roman" w:hAnsi="Times New Roman" w:cs="Times New Roman"/>
          <w:sz w:val="24"/>
          <w:szCs w:val="24"/>
          <w:lang w:val="en-GB"/>
        </w:rPr>
        <w:t xml:space="preserve"> notifications.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943" w:rsidRPr="002D7513" w14:paraId="0EE492DF" w14:textId="77777777" w:rsidTr="009C30F6">
        <w:tc>
          <w:tcPr>
            <w:tcW w:w="9062" w:type="dxa"/>
            <w:shd w:val="clear" w:color="auto" w:fill="F2F2F2" w:themeFill="background1" w:themeFillShade="F2"/>
          </w:tcPr>
          <w:p w14:paraId="79716960" w14:textId="1AA10298" w:rsidR="00140943" w:rsidRPr="00780DF2" w:rsidRDefault="00780DF2" w:rsidP="009C30F6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Regarding service providers already benefitting from the LNE, competent authorities should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 able to</w:t>
            </w: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determine</w:t>
            </w:r>
            <w:r w:rsidR="00C62ED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on a case-by-case basis, </w:t>
            </w: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 notifications that they wish to review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without having </w:t>
            </w: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to re-analyse all </w:t>
            </w:r>
            <w:r w:rsidR="00C405B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existing</w:t>
            </w: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notifications in light of the </w:t>
            </w:r>
            <w:r w:rsidR="00794A1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final </w:t>
            </w:r>
            <w:r w:rsidRPr="00780D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guidelines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</w:tbl>
    <w:p w14:paraId="64CAC5E6" w14:textId="5FFDD627" w:rsidR="00EC2D87" w:rsidRDefault="00780DF2" w:rsidP="00780DF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the EBA decided to maintain its current approach, c</w:t>
      </w:r>
      <w:r w:rsidR="0000655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ompetent authorities </w:t>
      </w:r>
      <w:r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00655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request service providers benefit</w:t>
      </w:r>
      <w:r w:rsidR="007849FD">
        <w:rPr>
          <w:rFonts w:ascii="Times New Roman" w:hAnsi="Times New Roman" w:cs="Times New Roman"/>
          <w:sz w:val="24"/>
          <w:szCs w:val="24"/>
          <w:lang w:val="en-GB"/>
        </w:rPr>
        <w:t>ting</w:t>
      </w:r>
      <w:r w:rsidR="0000655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from the LNE to resubmit notifications as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date of application of the final guidelines (currently expected on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780DF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October 2022</w:t>
      </w:r>
      <w:r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278820" w14:textId="280D8B5C" w:rsidR="002438F9" w:rsidRDefault="00780DF2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service providers will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therefore 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have only three months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(between the date of publication of the final guidelines and their date of application) 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>to analyse the content of the final guidelines and determine whether they need to implement changes to their activities to comply with the new criteria and indicators introduced by the guidelines.</w:t>
      </w:r>
      <w:r w:rsidR="00EC2D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9F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ome service providers may need to modify their existing business models and </w:t>
      </w:r>
      <w:r w:rsidR="00FC144A">
        <w:rPr>
          <w:rFonts w:ascii="Times New Roman" w:hAnsi="Times New Roman" w:cs="Times New Roman"/>
          <w:sz w:val="24"/>
          <w:szCs w:val="24"/>
          <w:lang w:val="en-GB"/>
        </w:rPr>
        <w:t>implement</w:t>
      </w:r>
      <w:r w:rsid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important operational </w:t>
      </w:r>
      <w:r w:rsidR="00FC144A">
        <w:rPr>
          <w:rFonts w:ascii="Times New Roman" w:hAnsi="Times New Roman" w:cs="Times New Roman"/>
          <w:sz w:val="24"/>
          <w:szCs w:val="24"/>
          <w:lang w:val="en-GB"/>
        </w:rPr>
        <w:t>changes</w:t>
      </w:r>
      <w:r w:rsidR="007849FD"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438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F466F0" w14:textId="77777777" w:rsidR="00780DF2" w:rsidRDefault="00EC2D87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Accordingly, the three-month period may turn out to be too short for certain </w:t>
      </w:r>
      <w:r w:rsidR="00FC144A" w:rsidRPr="007849FD">
        <w:rPr>
          <w:rFonts w:ascii="Times New Roman" w:hAnsi="Times New Roman" w:cs="Times New Roman"/>
          <w:sz w:val="24"/>
          <w:szCs w:val="24"/>
          <w:lang w:val="en-GB"/>
        </w:rPr>
        <w:t>service providers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B33AF71" w14:textId="24C162B4" w:rsidR="00C12C0C" w:rsidRPr="007849FD" w:rsidRDefault="00EC2D87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C12C0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e believe that </w:t>
      </w:r>
      <w:r w:rsidR="00815BDC" w:rsidRPr="007849F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12C0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5BD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EBA should give more time to service providers to implement the </w:t>
      </w:r>
      <w:r w:rsidR="00FC144A">
        <w:rPr>
          <w:rFonts w:ascii="Times New Roman" w:hAnsi="Times New Roman" w:cs="Times New Roman"/>
          <w:sz w:val="24"/>
          <w:szCs w:val="24"/>
          <w:lang w:val="en-GB"/>
        </w:rPr>
        <w:t xml:space="preserve">final </w:t>
      </w:r>
      <w:r w:rsidR="00815BDC" w:rsidRPr="007849FD">
        <w:rPr>
          <w:rFonts w:ascii="Times New Roman" w:hAnsi="Times New Roman" w:cs="Times New Roman"/>
          <w:sz w:val="24"/>
          <w:szCs w:val="24"/>
          <w:lang w:val="en-GB"/>
        </w:rPr>
        <w:t>guidelines</w:t>
      </w:r>
      <w:r w:rsidR="00C12C0C"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C3A" w:rsidRPr="002D7513" w14:paraId="1CD25ED8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4D49A1D6" w14:textId="09F5F28A" w:rsidR="00977C3A" w:rsidRPr="00CA5169" w:rsidRDefault="00DF58EC" w:rsidP="00EE47DD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58E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If the EBA decided to maintain its approach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and to request competent authorities to re-analyse all </w:t>
            </w:r>
            <w:r w:rsidR="00C405B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existing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notifications, s</w:t>
            </w:r>
            <w:r w:rsid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ervice providers </w:t>
            </w:r>
            <w:r w:rsidR="0061391E" w:rsidRP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benefit</w:t>
            </w:r>
            <w:r w:rsid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ting</w:t>
            </w:r>
            <w:r w:rsidR="0061391E" w:rsidRP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from the LNE </w:t>
            </w:r>
            <w:r w:rsid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should be given </w:t>
            </w:r>
            <w:r w:rsidR="00FC144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at least </w:t>
            </w:r>
            <w:r w:rsid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six months from the date of publication of the final </w:t>
            </w:r>
            <w:r w:rsidR="0061391E" w:rsidRPr="00DF43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guidelines to resubmit a notification</w:t>
            </w:r>
            <w:r w:rsidR="0061391E" w:rsidRP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to their competent authorities.</w:t>
            </w:r>
            <w:r w:rsidR="001142F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9F1721A" w14:textId="5F35378C" w:rsidR="003B3C3A" w:rsidRDefault="00657371" w:rsidP="0047246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 addition, the draft g</w:t>
      </w:r>
      <w:r w:rsidR="003B3C3A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uidelines do not specify the level of </w:t>
      </w:r>
      <w:r w:rsidR="00472468">
        <w:rPr>
          <w:rFonts w:ascii="Times New Roman" w:hAnsi="Times New Roman" w:cs="Times New Roman"/>
          <w:sz w:val="24"/>
          <w:szCs w:val="24"/>
          <w:lang w:val="en-GB"/>
        </w:rPr>
        <w:t xml:space="preserve">information which may </w:t>
      </w:r>
      <w:r w:rsidR="00F741F7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472468">
        <w:rPr>
          <w:rFonts w:ascii="Times New Roman" w:hAnsi="Times New Roman" w:cs="Times New Roman"/>
          <w:sz w:val="24"/>
          <w:szCs w:val="24"/>
          <w:lang w:val="en-GB"/>
        </w:rPr>
        <w:t xml:space="preserve">requested by </w:t>
      </w:r>
      <w:r w:rsidR="003B3C3A" w:rsidRPr="007849FD">
        <w:rPr>
          <w:rFonts w:ascii="Times New Roman" w:hAnsi="Times New Roman" w:cs="Times New Roman"/>
          <w:sz w:val="24"/>
          <w:szCs w:val="24"/>
          <w:lang w:val="en-GB"/>
        </w:rPr>
        <w:t>competent authorit</w:t>
      </w:r>
      <w:r w:rsidR="00472468">
        <w:rPr>
          <w:rFonts w:ascii="Times New Roman" w:hAnsi="Times New Roman" w:cs="Times New Roman"/>
          <w:sz w:val="24"/>
          <w:szCs w:val="24"/>
          <w:lang w:val="en-GB"/>
        </w:rPr>
        <w:t xml:space="preserve">ies to re-assess these applications in light of the </w:t>
      </w:r>
      <w:r w:rsidR="00472468" w:rsidRPr="00472468">
        <w:rPr>
          <w:rFonts w:ascii="Times New Roman" w:hAnsi="Times New Roman" w:cs="Times New Roman"/>
          <w:sz w:val="24"/>
          <w:szCs w:val="24"/>
          <w:lang w:val="en-GB"/>
        </w:rPr>
        <w:t>new criteria and indicators introduced by the guidelines</w:t>
      </w:r>
      <w:r w:rsidR="00472468">
        <w:rPr>
          <w:rFonts w:ascii="Times New Roman" w:hAnsi="Times New Roman" w:cs="Times New Roman"/>
          <w:sz w:val="24"/>
          <w:szCs w:val="24"/>
          <w:lang w:val="en-GB"/>
        </w:rPr>
        <w:t xml:space="preserve">. From our experience, </w:t>
      </w:r>
      <w:r w:rsidR="003B3C3A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some competent authorities </w:t>
      </w:r>
      <w:r w:rsidR="00472468" w:rsidRPr="007849FD">
        <w:rPr>
          <w:rFonts w:ascii="Times New Roman" w:hAnsi="Times New Roman" w:cs="Times New Roman"/>
          <w:sz w:val="24"/>
          <w:szCs w:val="24"/>
          <w:lang w:val="en-GB"/>
        </w:rPr>
        <w:t>request</w:t>
      </w:r>
      <w:r w:rsidR="003B3C3A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a simple notification, while others request a detailed filing with supporting documents, client agreements and a description of payment flows.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468" w:rsidRPr="002D7513" w14:paraId="51FCC242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0B297F13" w14:textId="723209A7" w:rsidR="00472468" w:rsidRPr="007849FD" w:rsidRDefault="00472468" w:rsidP="0040611D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The EBA should clarify the level of information </w:t>
            </w:r>
            <w:r w:rsidRPr="0047246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which may requested by competent authorities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from service providers already </w:t>
            </w:r>
            <w:r w:rsidRP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benefit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ting</w:t>
            </w:r>
            <w:r w:rsidRPr="00613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from the LNE</w:t>
            </w:r>
            <w:r w:rsidR="00FC144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as part of the re-assessment of their notifications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</w:tbl>
    <w:p w14:paraId="2C971AF6" w14:textId="77777777" w:rsidR="00DF4337" w:rsidRDefault="008F6E4B" w:rsidP="00FC144A">
      <w:pPr>
        <w:pStyle w:val="Paragraphedeliste"/>
        <w:keepNext/>
        <w:numPr>
          <w:ilvl w:val="0"/>
          <w:numId w:val="10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="009A7322" w:rsidRPr="007849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ossibility to offer exempted payment instruments that involve the provision </w:t>
      </w:r>
      <w:r w:rsidR="00F91C44" w:rsidRPr="007849FD">
        <w:rPr>
          <w:rFonts w:ascii="Times New Roman" w:hAnsi="Times New Roman" w:cs="Times New Roman"/>
          <w:b/>
          <w:bCs/>
          <w:sz w:val="24"/>
          <w:szCs w:val="24"/>
          <w:lang w:val="en-GB"/>
        </w:rPr>
        <w:t>of credit</w:t>
      </w:r>
    </w:p>
    <w:p w14:paraId="3B06D3FF" w14:textId="40DDF8A5" w:rsidR="009A7322" w:rsidRPr="007849FD" w:rsidRDefault="004D5743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9A7322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welcome the clarification by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the EBA that the use of credit should </w:t>
      </w:r>
      <w:r w:rsidRPr="008F6E4B">
        <w:rPr>
          <w:rFonts w:ascii="Times New Roman" w:hAnsi="Times New Roman" w:cs="Times New Roman"/>
          <w:sz w:val="24"/>
          <w:szCs w:val="24"/>
          <w:u w:val="single"/>
          <w:lang w:val="en-GB"/>
        </w:rPr>
        <w:t>not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be a factor to be taken into account by competent authorities in </w:t>
      </w:r>
      <w:r w:rsidR="008F6E4B">
        <w:rPr>
          <w:rFonts w:ascii="Times New Roman" w:hAnsi="Times New Roman" w:cs="Times New Roman"/>
          <w:sz w:val="24"/>
          <w:szCs w:val="24"/>
          <w:lang w:val="en-GB"/>
        </w:rPr>
        <w:t>deciding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whether an instrument </w:t>
      </w:r>
      <w:r w:rsidR="008F6E4B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6E4B">
        <w:rPr>
          <w:rFonts w:ascii="Times New Roman" w:hAnsi="Times New Roman" w:cs="Times New Roman"/>
          <w:sz w:val="24"/>
          <w:szCs w:val="24"/>
          <w:lang w:val="en-GB"/>
        </w:rPr>
        <w:t>benefit from the LNE.</w:t>
      </w:r>
      <w:r w:rsidR="0095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32C0DDE" w14:textId="6564FF98" w:rsidR="004D5743" w:rsidRPr="007849FD" w:rsidRDefault="009A7322" w:rsidP="00EE47DD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That being said, </w:t>
      </w:r>
      <w:r w:rsidR="008F6E4B">
        <w:rPr>
          <w:rFonts w:ascii="Times New Roman" w:hAnsi="Times New Roman" w:cs="Times New Roman"/>
          <w:sz w:val="24"/>
          <w:szCs w:val="24"/>
          <w:lang w:val="en-GB"/>
        </w:rPr>
        <w:t>the consultation paper also</w:t>
      </w:r>
      <w:r w:rsidR="004D574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provides that:</w:t>
      </w:r>
    </w:p>
    <w:p w14:paraId="5CD61858" w14:textId="47BBF28C" w:rsidR="004D5743" w:rsidRPr="007849FD" w:rsidRDefault="004D5743" w:rsidP="00EE47DD">
      <w:pPr>
        <w:spacing w:after="24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“The EBA acknowledges that credit may be provided in relation to transactions carried out with instruments excluded under the limited network exclusion, </w:t>
      </w:r>
      <w:r w:rsidRPr="007849F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but it will be subject to relevant national legal requirements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related to the provision of the credit”.</w:t>
      </w:r>
    </w:p>
    <w:p w14:paraId="1054B5B6" w14:textId="647D6867" w:rsidR="00596FC9" w:rsidRDefault="002438F9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9A7322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may be interpreted to mean </w:t>
      </w:r>
      <w:r w:rsidR="0095047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that an entity exempted under </w:t>
      </w:r>
      <w:r w:rsidR="007B11A0">
        <w:rPr>
          <w:rFonts w:ascii="Times New Roman" w:hAnsi="Times New Roman" w:cs="Times New Roman"/>
          <w:sz w:val="24"/>
          <w:szCs w:val="24"/>
          <w:lang w:val="en-GB"/>
        </w:rPr>
        <w:t>the LNE</w:t>
      </w:r>
      <w:r w:rsidR="0095047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11A0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="0095047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grant credit in connection with its exempted activity </w:t>
      </w:r>
      <w:r w:rsidR="0095047C" w:rsidRPr="007849FD">
        <w:rPr>
          <w:rFonts w:ascii="Times New Roman" w:hAnsi="Times New Roman" w:cs="Times New Roman"/>
          <w:sz w:val="24"/>
          <w:szCs w:val="24"/>
          <w:u w:val="single"/>
          <w:lang w:val="en-GB"/>
        </w:rPr>
        <w:t>only if</w:t>
      </w:r>
      <w:r w:rsidR="0095047C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the proposed credit complies with local banking regulations.</w:t>
      </w:r>
    </w:p>
    <w:p w14:paraId="4F589A29" w14:textId="62A76769" w:rsidR="007B11A0" w:rsidRDefault="007B11A0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other words, if the conditions for benefitting from the LNE are met but the service provider is not authorised to provide credit and cannot benefit from a separate exemption to provide credit (in relation to the instrument</w:t>
      </w:r>
      <w:r w:rsidRPr="007B11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exempted under the LNE) in the relevant jurisdiction, it will not be able to offer the exempted instrument to its clients.</w:t>
      </w:r>
    </w:p>
    <w:p w14:paraId="0C122462" w14:textId="5CE543B4" w:rsidR="002438F9" w:rsidRDefault="008F6E4B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would like to highlight </w:t>
      </w:r>
      <w:r w:rsidR="007B11A0">
        <w:rPr>
          <w:rFonts w:ascii="Times New Roman" w:hAnsi="Times New Roman" w:cs="Times New Roman"/>
          <w:sz w:val="24"/>
          <w:szCs w:val="24"/>
          <w:lang w:val="en-GB"/>
        </w:rPr>
        <w:t xml:space="preserve">the fact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8F6E4B">
        <w:rPr>
          <w:rFonts w:ascii="Times New Roman" w:hAnsi="Times New Roman" w:cs="Times New Roman"/>
          <w:sz w:val="24"/>
          <w:szCs w:val="24"/>
          <w:lang w:val="en-GB"/>
        </w:rPr>
        <w:t xml:space="preserve">the concept of “credit” is not construed in the same manner in all EU jurisdictions,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8F6E4B">
        <w:rPr>
          <w:rFonts w:ascii="Times New Roman" w:hAnsi="Times New Roman" w:cs="Times New Roman"/>
          <w:sz w:val="24"/>
          <w:szCs w:val="24"/>
          <w:lang w:val="en-GB"/>
        </w:rPr>
        <w:t>the licensing requirements (</w:t>
      </w:r>
      <w:r w:rsidR="007B11A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8F6E4B">
        <w:rPr>
          <w:rFonts w:ascii="Times New Roman" w:hAnsi="Times New Roman" w:cs="Times New Roman"/>
          <w:sz w:val="24"/>
          <w:szCs w:val="24"/>
          <w:lang w:val="en-GB"/>
        </w:rPr>
        <w:t xml:space="preserve"> the exemptions) applicable to the provision of credit are not the same across the EU.</w:t>
      </w:r>
    </w:p>
    <w:p w14:paraId="5E837E59" w14:textId="77777777" w:rsidR="00FD03DB" w:rsidRDefault="00FD03DB" w:rsidP="00EE47DD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D03DB">
        <w:rPr>
          <w:rFonts w:ascii="Times New Roman" w:hAnsi="Times New Roman"/>
          <w:sz w:val="24"/>
          <w:szCs w:val="24"/>
          <w:lang w:val="en-GB"/>
        </w:rPr>
        <w:t xml:space="preserve">Therefore, competent authorities may adopt different approaches as to whether a particular instrument involves the provision of credit and whether the entity issuing that instrument must be authorised to provide credit or may benefit from an exemption. </w:t>
      </w:r>
    </w:p>
    <w:p w14:paraId="27847339" w14:textId="12DE3546" w:rsidR="00F64F96" w:rsidRDefault="00FD03DB" w:rsidP="00FD03D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D03DB">
        <w:rPr>
          <w:rFonts w:ascii="Times New Roman" w:hAnsi="Times New Roman"/>
          <w:sz w:val="24"/>
          <w:szCs w:val="24"/>
          <w:lang w:val="en-GB"/>
        </w:rPr>
        <w:t>This raises concern regarding the need for harmonisation and fair regulatory playing field in the EU.</w:t>
      </w:r>
    </w:p>
    <w:p w14:paraId="017D5AE3" w14:textId="77777777" w:rsidR="00FD03DB" w:rsidRDefault="00FD03DB" w:rsidP="00FD03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14862E" w14:textId="4D393A75" w:rsidR="00925E0B" w:rsidRPr="007849FD" w:rsidRDefault="00925E0B" w:rsidP="00EE47DD">
      <w:pPr>
        <w:spacing w:after="24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GB"/>
        </w:rPr>
      </w:pPr>
      <w:r w:rsidRPr="007849FD">
        <w:rPr>
          <w:rFonts w:ascii="Times New Roman" w:hAnsi="Times New Roman" w:cs="Times New Roman"/>
          <w:i/>
          <w:iCs/>
          <w:sz w:val="32"/>
          <w:szCs w:val="32"/>
          <w:lang w:val="en-GB"/>
        </w:rPr>
        <w:t>*</w:t>
      </w:r>
    </w:p>
    <w:p w14:paraId="5268B6CC" w14:textId="64ABE67E" w:rsidR="00925E0B" w:rsidRPr="007849FD" w:rsidRDefault="00925E0B" w:rsidP="00EE47DD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Fonts w:ascii="Times New Roman" w:hAnsi="Times New Roman" w:cs="Times New Roman"/>
          <w:i/>
          <w:iCs/>
          <w:sz w:val="32"/>
          <w:szCs w:val="32"/>
          <w:lang w:val="en-GB"/>
        </w:rPr>
        <w:t>*</w:t>
      </w:r>
      <w:r w:rsidRPr="007849FD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>*</w:t>
      </w:r>
    </w:p>
    <w:p w14:paraId="7625050E" w14:textId="39959367" w:rsidR="00A8604A" w:rsidRPr="007849FD" w:rsidRDefault="00AF3771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B58A1BE" w14:textId="30B78B21" w:rsidR="00066826" w:rsidRPr="007849FD" w:rsidRDefault="00066826" w:rsidP="00EE47DD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smallCaps/>
          <w:sz w:val="28"/>
          <w:szCs w:val="28"/>
          <w:lang w:val="en-GB"/>
        </w:rPr>
      </w:pPr>
      <w:r w:rsidRPr="007849FD">
        <w:rPr>
          <w:rFonts w:ascii="Times New Roman" w:hAnsi="Times New Roman" w:cs="Times New Roman"/>
          <w:b/>
          <w:smallCaps/>
          <w:sz w:val="28"/>
          <w:szCs w:val="28"/>
          <w:lang w:val="en-GB"/>
        </w:rPr>
        <w:lastRenderedPageBreak/>
        <w:t xml:space="preserve">Responses to questions raised in the </w:t>
      </w:r>
      <w:r w:rsidR="008F6E4B">
        <w:rPr>
          <w:rFonts w:ascii="Times New Roman" w:hAnsi="Times New Roman" w:cs="Times New Roman"/>
          <w:b/>
          <w:smallCaps/>
          <w:sz w:val="28"/>
          <w:szCs w:val="28"/>
          <w:lang w:val="en-GB"/>
        </w:rPr>
        <w:t>consultation paper</w:t>
      </w:r>
    </w:p>
    <w:p w14:paraId="5A8BC24D" w14:textId="005E8629" w:rsidR="00EE47DD" w:rsidRDefault="001F16BC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1</w:t>
      </w:r>
    </w:p>
    <w:p w14:paraId="28B13358" w14:textId="04EEDC72" w:rsidR="005533E0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Q1. Do you have comments on Guideline 1 on the specific payment instruments under Article </w:t>
      </w:r>
      <w:r w:rsidRPr="007849FD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br/>
      </w: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3(k) of PSD2?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5E803AE" w14:textId="4AE87ED4" w:rsidR="00771923" w:rsidRPr="007849FD" w:rsidRDefault="00EE47DD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Paragraph</w:t>
      </w:r>
      <w:r w:rsidR="00E5564A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1.7 of</w:t>
      </w:r>
      <w:r w:rsidR="00547F44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564A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Guideline 1 provides that: </w:t>
      </w:r>
    </w:p>
    <w:p w14:paraId="352E60B0" w14:textId="13F717CE" w:rsidR="00E5564A" w:rsidRPr="007849FD" w:rsidRDefault="00E5564A" w:rsidP="00EE47DD">
      <w:pPr>
        <w:spacing w:after="240" w:line="240" w:lineRule="auto"/>
        <w:ind w:left="708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“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Competent authorities should also ensure that a single card-based means of payment cannot accommodate simultaneously payment instruments within the scope of PSD2 and specific payment instruments within the scope of Article 3(k) of PSD2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14:paraId="77B575A9" w14:textId="080B2086" w:rsidR="00C73ED8" w:rsidRPr="007849FD" w:rsidRDefault="0084271D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Section 5 D. of 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F6E4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Consultation paper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indicates that</w:t>
      </w:r>
      <w:r w:rsidR="00E5564A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this prohibition aims to ensure </w:t>
      </w:r>
      <w:r w:rsidR="00C73ED8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 better protection of</w:t>
      </w:r>
      <w:r w:rsidR="00E5564A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47DD" w:rsidRPr="00EE47DD">
        <w:rPr>
          <w:rStyle w:val="markedcontent"/>
          <w:rFonts w:ascii="Times New Roman" w:hAnsi="Times New Roman" w:cs="Times New Roman"/>
          <w:sz w:val="24"/>
          <w:szCs w:val="24"/>
          <w:u w:val="single"/>
          <w:lang w:val="en-GB"/>
        </w:rPr>
        <w:t>consumers</w:t>
      </w:r>
      <w:r w:rsidR="00C73ED8" w:rsidRPr="007849F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44C695" w14:textId="7622E28C" w:rsidR="005533E0" w:rsidRPr="007849FD" w:rsidRDefault="00C73ED8" w:rsidP="00EE47DD">
      <w:pPr>
        <w:spacing w:after="240" w:line="240" w:lineRule="auto"/>
        <w:ind w:left="708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combination of regulated and non-regulated payment instruments in a single card-based mean of payment may make it difficult for the users of the instrument to differentiate between the two and to understand which instrument they will be using. Such a situation would result in reduced </w:t>
      </w:r>
      <w:r w:rsidRPr="00EE47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consumer protection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would go against the objective of these guidelines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84271D">
        <w:rPr>
          <w:rFonts w:ascii="Times New Roman" w:hAnsi="Times New Roman" w:cs="Times New Roman"/>
          <w:sz w:val="24"/>
          <w:szCs w:val="24"/>
          <w:lang w:val="en-GB"/>
        </w:rPr>
        <w:t xml:space="preserve"> (see page 35)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F29D8F" w14:textId="17DAFA7F" w:rsidR="0084271D" w:rsidRDefault="00A7699C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We agree with the EBA 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it may be difficult for </w:t>
      </w:r>
      <w:r w:rsidRPr="00EE47DD">
        <w:rPr>
          <w:rStyle w:val="markedcontent"/>
          <w:rFonts w:ascii="Times New Roman" w:hAnsi="Times New Roman" w:cs="Times New Roman"/>
          <w:sz w:val="24"/>
          <w:szCs w:val="24"/>
          <w:u w:val="single"/>
          <w:lang w:val="en-GB"/>
        </w:rPr>
        <w:t>consumers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</w:t>
      </w:r>
      <w:r w:rsidR="00EE47DD" w:rsidRPr="00EE47DD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>i.e.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natural persons acting for purposes which are outside their trade, business or profession) 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4271D" w:rsidRP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delineate between 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 r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egulated 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and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non-regulated payment instrument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when 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instruments 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are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combine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into </w:t>
      </w:r>
      <w:r w:rsidR="00EE47DD" w:rsidRP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 single card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</w:t>
      </w:r>
      <w:r w:rsidR="00EE47D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4E08072" w14:textId="4ED5A61D" w:rsidR="00F30A98" w:rsidRDefault="0084271D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However, we do not think that this holds true in the case of professional clients</w:t>
      </w:r>
      <w:r w:rsidR="00F30A9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30A98" w:rsidRPr="00F30A98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>i.e.</w:t>
      </w:r>
      <w:r w:rsidR="00F30A9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, legal entities and natural persons not qualifying as consumers)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</w:t>
      </w:r>
    </w:p>
    <w:p w14:paraId="18DE7189" w14:textId="1CE4E98D" w:rsidR="00EE47DD" w:rsidRDefault="004074A2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 fact, c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ertain 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corporate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</w:t>
      </w:r>
      <w:r w:rsidRP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ards combining regulated and non-regulated instruments are adapted to the specific needs of professional clients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</w:t>
      </w:r>
    </w:p>
    <w:p w14:paraId="52EE766E" w14:textId="5659B7AE" w:rsidR="0084271D" w:rsidRPr="00BF6369" w:rsidRDefault="0084271D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Therefore, in </w:t>
      </w:r>
      <w:r w:rsidR="00771923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our view, 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paragraph</w:t>
      </w:r>
      <w:r w:rsidR="00771923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1.7 of Guideline 1 </w:t>
      </w:r>
      <w:r w:rsidR="007258F5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should 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only apply</w:t>
      </w:r>
      <w:r w:rsidR="007258F5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payment instruments </w:t>
      </w:r>
      <w:r w:rsidR="00A7699C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provided to 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consumers</w:t>
      </w:r>
      <w:r w:rsid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It 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should </w:t>
      </w:r>
      <w:r w:rsidRPr="004074A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not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apply to payment instrument</w:t>
      </w:r>
      <w:r w:rsidR="00BF6369"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04C8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are 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provided to </w:t>
      </w:r>
      <w:r w:rsidRPr="004074A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professional clients</w:t>
      </w:r>
      <w:r w:rsidRPr="00BF636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065D3D06" w14:textId="0F01ABA3" w:rsidR="00771923" w:rsidRDefault="00BF6369" w:rsidP="004074A2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We believe 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approach 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we suggest 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is</w:t>
      </w:r>
      <w:r w:rsidR="0084271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consistent with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the provision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PSD2</w:t>
      </w:r>
      <w:r w:rsidR="00A7699C" w:rsidRPr="00BF636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1923" w:rsidRPr="00BF636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</w:t>
      </w:r>
      <w:r w:rsidR="00771923" w:rsidRPr="007847AA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771923" w:rsidRPr="007847A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)</w:t>
      </w:r>
      <w:r w:rsid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and is necessary so as to maintain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699C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existing business practices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which address the</w:t>
      </w:r>
      <w:r w:rsidR="004074A2" w:rsidRP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need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</w:t>
      </w:r>
      <w:r w:rsidR="004074A2" w:rsidRP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of professional customers </w:t>
      </w:r>
      <w:r w:rsidR="00E407CB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</w:t>
      </w:r>
      <w:r w:rsidR="007847AA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E407CB" w:rsidRPr="007847AA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E407CB" w:rsidRPr="007847A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)</w:t>
      </w:r>
      <w:r w:rsidR="00313CD5" w:rsidRPr="007847A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</w:t>
      </w:r>
      <w:r w:rsidRPr="00BF6369">
        <w:rPr>
          <w:lang w:val="en-US"/>
        </w:rPr>
        <w:t xml:space="preserve"> </w:t>
      </w:r>
    </w:p>
    <w:p w14:paraId="41591C37" w14:textId="27B21DB6" w:rsidR="00152B8D" w:rsidRPr="00D536F5" w:rsidRDefault="007847AA" w:rsidP="007847AA">
      <w:pPr>
        <w:pStyle w:val="Paragraphedeliste"/>
        <w:keepNext/>
        <w:numPr>
          <w:ilvl w:val="0"/>
          <w:numId w:val="22"/>
        </w:numPr>
        <w:spacing w:after="24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536F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D</w:t>
      </w:r>
      <w:r w:rsidR="00717F80" w:rsidRPr="00D536F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ifferent treatment of consumers and of professional clients </w:t>
      </w:r>
      <w:r w:rsidRPr="00D536F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>under</w:t>
      </w:r>
      <w:r w:rsidR="00717F80" w:rsidRPr="00D536F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PSD2 </w:t>
      </w:r>
    </w:p>
    <w:p w14:paraId="40B2156D" w14:textId="513218DD" w:rsidR="004074A2" w:rsidRDefault="00B46C89" w:rsidP="004074A2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 w:rsidDel="00B46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PSD2 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clearly indicates that</w:t>
      </w:r>
      <w:r w:rsidRPr="007849FD" w:rsidDel="00B46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undertakings do not need the same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level of protection 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as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9FD" w:rsidDel="00B46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consumer</w:t>
      </w:r>
      <w:r w:rsidR="004074A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s. </w:t>
      </w:r>
    </w:p>
    <w:p w14:paraId="06E88D6F" w14:textId="4E78BC9D" w:rsidR="00917803" w:rsidRPr="007849FD" w:rsidDel="00A7699C" w:rsidRDefault="00917803" w:rsidP="004074A2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 w:rsidDel="00A7699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Recital 53 of PSD2 provides that: </w:t>
      </w:r>
    </w:p>
    <w:p w14:paraId="34240A52" w14:textId="318D7226" w:rsidR="00FB164A" w:rsidRPr="007849FD" w:rsidDel="00A7699C" w:rsidRDefault="00917803" w:rsidP="004074A2">
      <w:pPr>
        <w:spacing w:after="240" w:line="240" w:lineRule="auto"/>
        <w:ind w:left="708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 w:rsidDel="00A7699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“</w:t>
      </w:r>
      <w:r w:rsidRPr="004074A2" w:rsidDel="00A7699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As </w:t>
      </w:r>
      <w:r w:rsidRPr="004074A2" w:rsidDel="00A7699C">
        <w:rPr>
          <w:rStyle w:val="highligh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consumer</w:t>
      </w:r>
      <w:r w:rsidRPr="004074A2" w:rsidDel="00A7699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 and undertakings are not in the same position, they do not need the same level of protection</w:t>
      </w:r>
      <w:r w:rsidRPr="007849FD" w:rsidDel="00A7699C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While it is important to guarantee </w:t>
      </w:r>
      <w:r w:rsidRPr="007849FD" w:rsidDel="00A7699C">
        <w:rPr>
          <w:rStyle w:val="highlight"/>
          <w:rFonts w:ascii="Times New Roman" w:hAnsi="Times New Roman" w:cs="Times New Roman"/>
          <w:i/>
          <w:iCs/>
          <w:sz w:val="24"/>
          <w:szCs w:val="24"/>
          <w:lang w:val="en-GB"/>
        </w:rPr>
        <w:t>consumer</w:t>
      </w:r>
      <w:r w:rsidRPr="007849FD" w:rsidDel="00A7699C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rights by provisions from which it is not possible to derogate by contract</w:t>
      </w:r>
      <w:r w:rsidRPr="004074A2" w:rsidDel="00A7699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it is reasonable to let undertakings and organisations agree otherwise when they are not dealing with </w:t>
      </w:r>
      <w:r w:rsidRPr="004074A2" w:rsidDel="00A7699C">
        <w:rPr>
          <w:rStyle w:val="highligh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consumer</w:t>
      </w:r>
      <w:r w:rsidRPr="004074A2" w:rsidDel="00A7699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</w:t>
      </w:r>
      <w:r w:rsidRPr="007849FD" w:rsidDel="00A7699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[…]”. </w:t>
      </w:r>
    </w:p>
    <w:p w14:paraId="405CA443" w14:textId="46047D51" w:rsidR="005533E0" w:rsidRPr="007849FD" w:rsidRDefault="004074A2" w:rsidP="00604C89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As a result, </w:t>
      </w:r>
      <w:r w:rsidR="0060487B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where the payment service user is </w:t>
      </w:r>
      <w:r w:rsidR="0060487B" w:rsidRPr="00604C89">
        <w:rPr>
          <w:rStyle w:val="markedcontent"/>
          <w:rFonts w:ascii="Times New Roman" w:hAnsi="Times New Roman" w:cs="Times New Roman"/>
          <w:sz w:val="24"/>
          <w:szCs w:val="24"/>
          <w:u w:val="single"/>
          <w:lang w:val="en-GB"/>
        </w:rPr>
        <w:t>not</w:t>
      </w:r>
      <w:r w:rsidR="0060487B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a consumer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the parties may </w:t>
      </w:r>
      <w:r w:rsid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contractually agree to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disapply certain provisions 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</w:t>
      </w:r>
      <w:r w:rsidR="00604C89" w:rsidRPr="00604C89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>e.g.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information requirements, liability</w:t>
      </w:r>
      <w:r w:rsid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rules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etc. – see </w:t>
      </w:r>
      <w:r w:rsidR="00604C89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Article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 38 and 61 of PSD2).</w:t>
      </w:r>
    </w:p>
    <w:p w14:paraId="7F8AC6D0" w14:textId="7264B193" w:rsidR="005F3C5B" w:rsidRDefault="00FC0578" w:rsidP="00FC0578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Accordingly, while 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consumer protection considerations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are an important aspect of PSD2, the directive 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also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allows for flexibility when the payment service user is a professional customer. </w:t>
      </w:r>
    </w:p>
    <w:p w14:paraId="55A7C9BB" w14:textId="4615F336" w:rsidR="005F3C5B" w:rsidRDefault="00FC0578" w:rsidP="005F3C5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This is because 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professional client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have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 better </w:t>
      </w:r>
      <w:r w:rsidRP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knowledge of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the</w:t>
      </w:r>
      <w:r w:rsidRP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services </w:t>
      </w:r>
      <w:r w:rsidR="00FC144A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that are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offered to them</w:t>
      </w:r>
      <w:r w:rsidR="005F3C5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 better ability </w:t>
      </w:r>
      <w:r w:rsidR="00FE0A45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FC0578">
        <w:rPr>
          <w:rFonts w:ascii="Times New Roman" w:hAnsi="Times New Roman" w:cs="Times New Roman"/>
          <w:sz w:val="24"/>
          <w:szCs w:val="24"/>
          <w:lang w:val="en-GB"/>
        </w:rPr>
        <w:t xml:space="preserve">assess the benefits, drawbacks and risks of </w:t>
      </w:r>
      <w:r w:rsidR="00FC144A">
        <w:rPr>
          <w:rFonts w:ascii="Times New Roman" w:hAnsi="Times New Roman" w:cs="Times New Roman"/>
          <w:sz w:val="24"/>
          <w:szCs w:val="24"/>
          <w:lang w:val="en-GB"/>
        </w:rPr>
        <w:t>those</w:t>
      </w:r>
      <w:r w:rsidRPr="00FC05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3C5B">
        <w:rPr>
          <w:rFonts w:ascii="Times New Roman" w:hAnsi="Times New Roman" w:cs="Times New Roman"/>
          <w:sz w:val="24"/>
          <w:szCs w:val="24"/>
          <w:lang w:val="en-GB"/>
        </w:rPr>
        <w:t>service</w:t>
      </w:r>
      <w:r w:rsidR="00FC144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C05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B063DEB" w14:textId="26140BDE" w:rsidR="00604C89" w:rsidRDefault="005F3C5B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</w:t>
      </w:r>
      <w:r w:rsidR="00F64057"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our view,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0578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the same</w:t>
      </w:r>
      <w:r w:rsidR="00604C8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reasoning should apply in respect of cards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combin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regulated and unregulated payment instruments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while we acknowledge that this type of cards may not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always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 suited for consumers, we take the view that </w:t>
      </w:r>
      <w:r w:rsidRPr="005F3C5B">
        <w:rPr>
          <w:rFonts w:ascii="Times New Roman" w:hAnsi="Times New Roman" w:cs="Times New Roman"/>
          <w:sz w:val="24"/>
          <w:szCs w:val="24"/>
          <w:lang w:val="en-GB"/>
        </w:rPr>
        <w:t>consumer protection considerations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are not relevant in the case of corporate cards offered to professional clients.</w:t>
      </w:r>
    </w:p>
    <w:p w14:paraId="497CD157" w14:textId="15767FEC" w:rsidR="005F3C5B" w:rsidRDefault="00304070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the EBA is concerned that certain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>professional clients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may not have all the information needed to assess the risks of the service offered to them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 xml:space="preserve">, the EBA </w:t>
      </w:r>
      <w:r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introduce a new paragraph in the guidelines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>requir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service providers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provide clear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>inform</w:t>
      </w:r>
      <w:r>
        <w:rPr>
          <w:rFonts w:ascii="Times New Roman" w:hAnsi="Times New Roman" w:cs="Times New Roman"/>
          <w:sz w:val="24"/>
          <w:szCs w:val="24"/>
          <w:lang w:val="en-GB"/>
        </w:rPr>
        <w:t>ation to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professional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clients </w:t>
      </w:r>
      <w:r>
        <w:rPr>
          <w:rFonts w:ascii="Times New Roman" w:hAnsi="Times New Roman" w:cs="Times New Roman"/>
          <w:sz w:val="24"/>
          <w:szCs w:val="24"/>
          <w:lang w:val="en-GB"/>
        </w:rPr>
        <w:t>regarding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the cases where the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 xml:space="preserve">use of the </w:t>
      </w:r>
      <w:r w:rsidR="007847AA">
        <w:rPr>
          <w:rFonts w:ascii="Times New Roman" w:hAnsi="Times New Roman" w:cs="Times New Roman"/>
          <w:sz w:val="24"/>
          <w:szCs w:val="24"/>
          <w:lang w:val="en-GB"/>
        </w:rPr>
        <w:t xml:space="preserve">card is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>subject to</w:t>
      </w:r>
      <w:r w:rsidR="005F3C5B" w:rsidRPr="007847AA">
        <w:rPr>
          <w:rFonts w:ascii="Times New Roman" w:hAnsi="Times New Roman" w:cs="Times New Roman"/>
          <w:sz w:val="24"/>
          <w:szCs w:val="24"/>
          <w:lang w:val="en-GB"/>
        </w:rPr>
        <w:t xml:space="preserve"> PSD2 and </w:t>
      </w:r>
      <w:r w:rsidR="009E34E7">
        <w:rPr>
          <w:rFonts w:ascii="Times New Roman" w:hAnsi="Times New Roman" w:cs="Times New Roman"/>
          <w:sz w:val="24"/>
          <w:szCs w:val="24"/>
          <w:lang w:val="en-GB"/>
        </w:rPr>
        <w:t>the cases where it is not</w:t>
      </w:r>
      <w:r w:rsidR="007847AA" w:rsidRPr="009E34E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E34E7" w:rsidRPr="009E34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BFDE25" w14:textId="37F57F38" w:rsidR="0073556C" w:rsidRPr="00D536F5" w:rsidRDefault="00717F80" w:rsidP="007847AA">
      <w:pPr>
        <w:pStyle w:val="Paragraphedeliste"/>
        <w:keepNext/>
        <w:numPr>
          <w:ilvl w:val="0"/>
          <w:numId w:val="22"/>
        </w:numPr>
        <w:spacing w:after="24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536F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Client needs and business considerations </w:t>
      </w:r>
    </w:p>
    <w:p w14:paraId="6D025366" w14:textId="4DA7C196" w:rsidR="00AC6F80" w:rsidRDefault="00AC6F80" w:rsidP="00AC6F8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82012932"/>
      <w:r>
        <w:rPr>
          <w:rFonts w:ascii="Times New Roman" w:hAnsi="Times New Roman" w:cs="Times New Roman"/>
          <w:sz w:val="24"/>
          <w:szCs w:val="24"/>
          <w:lang w:val="en-GB"/>
        </w:rPr>
        <w:t xml:space="preserve">It is important to note that products aimed at professional clients that combine (i) 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payment instruments within the scope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>PSD2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(ii)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exempted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 payment instruments within the scope of </w:t>
      </w:r>
      <w:r>
        <w:rPr>
          <w:rFonts w:ascii="Times New Roman" w:hAnsi="Times New Roman" w:cs="Times New Roman"/>
          <w:sz w:val="24"/>
          <w:szCs w:val="24"/>
          <w:lang w:val="en-GB"/>
        </w:rPr>
        <w:t>the LNE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A6C16">
        <w:rPr>
          <w:rFonts w:ascii="Times New Roman" w:hAnsi="Times New Roman" w:cs="Times New Roman"/>
          <w:sz w:val="24"/>
          <w:szCs w:val="24"/>
          <w:u w:val="single"/>
          <w:lang w:val="en-GB"/>
        </w:rPr>
        <w:t>are already in the market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in France in particular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>, 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 the 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>benefit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to the satisfaction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professional clients who </w:t>
      </w:r>
      <w:r>
        <w:rPr>
          <w:rFonts w:ascii="Times New Roman" w:hAnsi="Times New Roman" w:cs="Times New Roman"/>
          <w:sz w:val="24"/>
          <w:szCs w:val="24"/>
          <w:lang w:val="en-GB"/>
        </w:rPr>
        <w:t>currently</w:t>
      </w:r>
      <w:r w:rsidRPr="00E821F7">
        <w:rPr>
          <w:rFonts w:ascii="Times New Roman" w:hAnsi="Times New Roman" w:cs="Times New Roman"/>
          <w:sz w:val="24"/>
          <w:szCs w:val="24"/>
          <w:lang w:val="en-GB"/>
        </w:rPr>
        <w:t xml:space="preserve"> use them.</w:t>
      </w:r>
    </w:p>
    <w:p w14:paraId="0D465343" w14:textId="37BA6C16" w:rsidR="00AC6F80" w:rsidRDefault="00AC6F80" w:rsidP="00AC6F8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example, in France, TotalEnergies has launched a dual card (called “</w:t>
      </w:r>
      <w:r w:rsidRPr="00113AC2">
        <w:rPr>
          <w:rFonts w:ascii="Times New Roman" w:hAnsi="Times New Roman" w:cs="Times New Roman"/>
          <w:sz w:val="24"/>
          <w:szCs w:val="24"/>
          <w:lang w:val="en-GB"/>
        </w:rPr>
        <w:t>Mobility Corporate</w:t>
      </w:r>
      <w:r>
        <w:rPr>
          <w:rFonts w:ascii="Times New Roman" w:hAnsi="Times New Roman" w:cs="Times New Roman"/>
          <w:sz w:val="24"/>
          <w:szCs w:val="24"/>
          <w:lang w:val="en-GB"/>
        </w:rPr>
        <w:t>”) which includes both:</w:t>
      </w:r>
    </w:p>
    <w:p w14:paraId="5DF4F7B2" w14:textId="0321BB69" w:rsidR="00AC6F80" w:rsidRDefault="00AC6F80" w:rsidP="00AC6F80">
      <w:pPr>
        <w:pStyle w:val="Paragraphedeliste"/>
        <w:numPr>
          <w:ilvl w:val="0"/>
          <w:numId w:val="28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D08">
        <w:rPr>
          <w:rFonts w:ascii="Times New Roman" w:hAnsi="Times New Roman" w:cs="Times New Roman"/>
          <w:sz w:val="24"/>
          <w:szCs w:val="24"/>
          <w:lang w:val="en-GB"/>
        </w:rPr>
        <w:t>a payment instrument exempted under the LNE</w:t>
      </w:r>
      <w:r w:rsidR="00B958BD">
        <w:rPr>
          <w:rStyle w:val="Appelnotedebasdep"/>
          <w:rFonts w:ascii="Times New Roman" w:hAnsi="Times New Roman" w:cs="Times New Roman"/>
          <w:sz w:val="24"/>
          <w:szCs w:val="24"/>
          <w:lang w:val="en-GB"/>
        </w:rPr>
        <w:footnoteReference w:id="2"/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 can be used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professional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 clients to pay for </w:t>
      </w:r>
      <w:r>
        <w:rPr>
          <w:rFonts w:ascii="Times New Roman" w:hAnsi="Times New Roman" w:cs="Times New Roman"/>
          <w:sz w:val="24"/>
          <w:szCs w:val="24"/>
          <w:lang w:val="en-GB"/>
        </w:rPr>
        <w:t>a limited range of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 products and services (</w:t>
      </w:r>
      <w:r w:rsidRPr="000B0D08">
        <w:rPr>
          <w:rFonts w:ascii="Times New Roman" w:hAnsi="Times New Roman" w:cs="Times New Roman"/>
          <w:i/>
          <w:iCs/>
          <w:sz w:val="24"/>
          <w:szCs w:val="24"/>
          <w:lang w:val="en-GB"/>
        </w:rPr>
        <w:t>e.g.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fuel, electric charge, parking, tolls)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“private network” composed of 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>TotalEnergies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service stations 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>and partners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B0D08">
        <w:rPr>
          <w:rFonts w:ascii="Times New Roman" w:hAnsi="Times New Roman" w:cs="Times New Roman"/>
          <w:i/>
          <w:iCs/>
          <w:sz w:val="24"/>
          <w:szCs w:val="24"/>
          <w:lang w:val="en-GB"/>
        </w:rPr>
        <w:t>e.g</w:t>
      </w:r>
      <w:r>
        <w:rPr>
          <w:rFonts w:ascii="Times New Roman" w:hAnsi="Times New Roman" w:cs="Times New Roman"/>
          <w:sz w:val="24"/>
          <w:szCs w:val="24"/>
          <w:lang w:val="en-GB"/>
        </w:rPr>
        <w:t>. toll operators); and</w:t>
      </w:r>
    </w:p>
    <w:p w14:paraId="19CF5703" w14:textId="4CB1D3DB" w:rsidR="00AC6F80" w:rsidRPr="000B0D08" w:rsidRDefault="00AC6F80" w:rsidP="00AC6F80">
      <w:pPr>
        <w:pStyle w:val="Paragraphedeliste"/>
        <w:numPr>
          <w:ilvl w:val="0"/>
          <w:numId w:val="28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D08">
        <w:rPr>
          <w:rFonts w:ascii="Times New Roman" w:hAnsi="Times New Roman" w:cs="Times New Roman"/>
          <w:sz w:val="24"/>
          <w:szCs w:val="24"/>
          <w:lang w:val="en-GB"/>
        </w:rPr>
        <w:t>a Master</w:t>
      </w:r>
      <w:r w:rsidR="0011547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>ard branded payment instrument subject to the PSD2, that can be used to pay for other business expenses (hotels, restaurants, car rentals, taxis, etc.) at merchants in the Master</w:t>
      </w:r>
      <w:r w:rsidR="0011547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0B0D08">
        <w:rPr>
          <w:rFonts w:ascii="Times New Roman" w:hAnsi="Times New Roman" w:cs="Times New Roman"/>
          <w:sz w:val="24"/>
          <w:szCs w:val="24"/>
          <w:lang w:val="en-GB"/>
        </w:rPr>
        <w:t xml:space="preserve">ard network. </w:t>
      </w:r>
    </w:p>
    <w:p w14:paraId="221AEEC8" w14:textId="20492444" w:rsidR="00AC6F80" w:rsidRDefault="00AC6F80" w:rsidP="00AC6F8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Such dual products meet the specific needs of professional clients because they provide in the same package:</w:t>
      </w:r>
    </w:p>
    <w:p w14:paraId="7E47354F" w14:textId="0E999EBD" w:rsidR="00AC6F80" w:rsidRDefault="00AC6F80" w:rsidP="00AC6F80">
      <w:pPr>
        <w:pStyle w:val="Paragraphedeliste"/>
        <w:numPr>
          <w:ilvl w:val="0"/>
          <w:numId w:val="27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AFB">
        <w:rPr>
          <w:rFonts w:ascii="Times New Roman" w:hAnsi="Times New Roman" w:cs="Times New Roman"/>
          <w:sz w:val="24"/>
          <w:szCs w:val="24"/>
          <w:lang w:val="en-GB"/>
        </w:rPr>
        <w:t>the benefits of a “closed-loop” payment instrument (</w:t>
      </w:r>
      <w:r>
        <w:rPr>
          <w:rFonts w:ascii="Times New Roman" w:hAnsi="Times New Roman" w:cs="Times New Roman"/>
          <w:sz w:val="24"/>
          <w:szCs w:val="24"/>
          <w:lang w:val="en-GB"/>
        </w:rPr>
        <w:t>exempted under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 xml:space="preserve"> the LNE)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enabling 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 xml:space="preserve">professional clients to </w:t>
      </w:r>
      <w:r>
        <w:rPr>
          <w:rFonts w:ascii="Times New Roman" w:hAnsi="Times New Roman" w:cs="Times New Roman"/>
          <w:sz w:val="24"/>
          <w:szCs w:val="24"/>
          <w:lang w:val="en-GB"/>
        </w:rPr>
        <w:t>access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 xml:space="preserve"> value-added services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are not offered in connection with universal payment cards, 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 xml:space="preserve">such 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services facilitating the management of business expenses and 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>VAT reclaim</w:t>
      </w:r>
      <w:r>
        <w:rPr>
          <w:rFonts w:ascii="Times New Roman" w:hAnsi="Times New Roman" w:cs="Times New Roman"/>
          <w:sz w:val="24"/>
          <w:szCs w:val="24"/>
          <w:lang w:val="en-GB"/>
        </w:rPr>
        <w:t>s or the setting up of</w:t>
      </w:r>
      <w:r w:rsidRPr="00BC0602">
        <w:rPr>
          <w:rFonts w:ascii="Times New Roman" w:hAnsi="Times New Roman" w:cs="Times New Roman"/>
          <w:sz w:val="24"/>
          <w:szCs w:val="24"/>
          <w:lang w:val="en-GB"/>
        </w:rPr>
        <w:t xml:space="preserve"> the parameters of each card (categories of accepted expenses, geographical perimeter, </w:t>
      </w:r>
      <w:r>
        <w:rPr>
          <w:rFonts w:ascii="Times New Roman" w:hAnsi="Times New Roman" w:cs="Times New Roman"/>
          <w:sz w:val="24"/>
          <w:szCs w:val="24"/>
          <w:lang w:val="en-GB"/>
        </w:rPr>
        <w:t>etc</w:t>
      </w:r>
      <w:r w:rsidRPr="00BC0602">
        <w:rPr>
          <w:rFonts w:ascii="Times New Roman" w:hAnsi="Times New Roman" w:cs="Times New Roman"/>
          <w:sz w:val="24"/>
          <w:szCs w:val="24"/>
          <w:lang w:val="en-GB"/>
        </w:rPr>
        <w:t>.)</w:t>
      </w:r>
      <w:r>
        <w:rPr>
          <w:rFonts w:ascii="Times New Roman" w:hAnsi="Times New Roman" w:cs="Times New Roman"/>
          <w:sz w:val="24"/>
          <w:szCs w:val="24"/>
          <w:lang w:val="en-GB"/>
        </w:rPr>
        <w:t>, reports on the use of the cards or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 xml:space="preserve"> discounts 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B00AFB">
        <w:rPr>
          <w:rFonts w:ascii="Times New Roman" w:hAnsi="Times New Roman" w:cs="Times New Roman"/>
          <w:sz w:val="24"/>
          <w:szCs w:val="24"/>
          <w:lang w:val="en-GB"/>
        </w:rPr>
        <w:t>products/services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bought with the card; and</w:t>
      </w:r>
    </w:p>
    <w:p w14:paraId="0CD522EB" w14:textId="2C508FAA" w:rsidR="00AC6F80" w:rsidRDefault="00AC6F80" w:rsidP="00AC6F80">
      <w:pPr>
        <w:pStyle w:val="Paragraphedeliste"/>
        <w:numPr>
          <w:ilvl w:val="0"/>
          <w:numId w:val="27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for other expenses, the</w:t>
      </w:r>
      <w:r w:rsidRPr="00B01D20">
        <w:rPr>
          <w:rFonts w:ascii="Times New Roman" w:hAnsi="Times New Roman" w:cs="Times New Roman"/>
          <w:sz w:val="24"/>
          <w:szCs w:val="24"/>
          <w:lang w:val="en-GB"/>
        </w:rPr>
        <w:t xml:space="preserve"> benefits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universal means of payment (subject to the PSD2) which is accepted within </w:t>
      </w:r>
      <w:r w:rsidRPr="00B01D20">
        <w:rPr>
          <w:rFonts w:ascii="Times New Roman" w:hAnsi="Times New Roman" w:cs="Times New Roman"/>
          <w:sz w:val="24"/>
          <w:szCs w:val="24"/>
          <w:lang w:val="en-GB"/>
        </w:rPr>
        <w:t>a broad</w:t>
      </w:r>
      <w:r w:rsidR="007812EF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B01D20">
        <w:rPr>
          <w:rFonts w:ascii="Times New Roman" w:hAnsi="Times New Roman" w:cs="Times New Roman"/>
          <w:sz w:val="24"/>
          <w:szCs w:val="24"/>
          <w:lang w:val="en-GB"/>
        </w:rPr>
        <w:t xml:space="preserve"> network of merchants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for broad</w:t>
      </w:r>
      <w:r w:rsidR="007812EF">
        <w:rPr>
          <w:rFonts w:ascii="Times New Roman" w:hAnsi="Times New Roman" w:cs="Times New Roman"/>
          <w:sz w:val="24"/>
          <w:szCs w:val="24"/>
          <w:lang w:val="en-GB"/>
        </w:rPr>
        <w:t>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range of goods or services. This feature of the dual card enables employees and representatives of professional clients to pay </w:t>
      </w:r>
      <w:r w:rsidRPr="00B01D20">
        <w:rPr>
          <w:rFonts w:ascii="Times New Roman" w:hAnsi="Times New Roman" w:cs="Times New Roman"/>
          <w:sz w:val="24"/>
          <w:szCs w:val="24"/>
          <w:lang w:val="en-GB"/>
        </w:rPr>
        <w:t>for professional expenses of various kinds and in various countries</w:t>
      </w:r>
      <w:r w:rsidR="007812EF">
        <w:rPr>
          <w:rFonts w:ascii="Times New Roman" w:hAnsi="Times New Roman" w:cs="Times New Roman"/>
          <w:sz w:val="24"/>
          <w:szCs w:val="24"/>
          <w:lang w:val="en-GB"/>
        </w:rPr>
        <w:t xml:space="preserve"> (according to the parameters set by the professional client)</w:t>
      </w:r>
      <w:r w:rsidRPr="00B01D20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12EF">
        <w:rPr>
          <w:rFonts w:ascii="Times New Roman" w:hAnsi="Times New Roman" w:cs="Times New Roman"/>
          <w:sz w:val="24"/>
          <w:szCs w:val="24"/>
          <w:lang w:val="en-GB"/>
        </w:rPr>
        <w:t xml:space="preserve">thus </w:t>
      </w:r>
      <w:r>
        <w:rPr>
          <w:rFonts w:ascii="Times New Roman" w:hAnsi="Times New Roman" w:cs="Times New Roman"/>
          <w:sz w:val="24"/>
          <w:szCs w:val="24"/>
          <w:lang w:val="en-GB"/>
        </w:rPr>
        <w:t>leveraging domestic and international payment schemes infrastructures and systems</w:t>
      </w:r>
      <w:r w:rsidR="007812E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C70CB3" w14:textId="71EED35B" w:rsidR="00AC6F80" w:rsidRPr="008828EE" w:rsidRDefault="00AC6F80" w:rsidP="00AC6F80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rom a business standpoint,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such dual products are </w:t>
      </w:r>
      <w:r w:rsidR="007812EF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the best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way to accommodate the needs of professional clients, as they are looking for </w:t>
      </w:r>
      <w:r w:rsidRPr="00EE3E70">
        <w:rPr>
          <w:rStyle w:val="markedcontent"/>
          <w:rFonts w:ascii="Times New Roman" w:hAnsi="Times New Roman" w:cs="Times New Roman"/>
          <w:sz w:val="24"/>
          <w:szCs w:val="24"/>
          <w:u w:val="single"/>
          <w:lang w:val="en-GB"/>
        </w:rPr>
        <w:t>both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(i) the benefits associated with exempted instruments and (ii) a broad acceptance network that only global card networks such as Visa or Master</w:t>
      </w:r>
      <w:r w:rsidR="0011547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ard can offer.  </w:t>
      </w:r>
    </w:p>
    <w:p w14:paraId="6EC4D414" w14:textId="274230B4" w:rsidR="00D87320" w:rsidRPr="007849FD" w:rsidRDefault="00AC6F80" w:rsidP="00A1757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Entities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already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benefiting from the LNE should be allowed to maintain this approach and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continue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satisfy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their professional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client</w:t>
      </w:r>
      <w:r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needs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offering them cards combining regulated and non-regulated payment instruments, insofar as professional and corporate clients are already familiar with them and understand the difference between the status of the payment instruments embedded in them.</w:t>
      </w:r>
      <w:bookmarkEnd w:id="0"/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5533E0" w:rsidRPr="002D7513" w14:paraId="6BCB0082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09894632" w14:textId="2AED084C" w:rsidR="00511E00" w:rsidRPr="007847AA" w:rsidRDefault="005533E0" w:rsidP="007847AA">
            <w:pPr>
              <w:spacing w:before="120" w:after="240"/>
              <w:jc w:val="both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In light of the above, we </w:t>
            </w:r>
            <w:r w:rsidR="007847AA" w:rsidRP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propose </w:t>
            </w:r>
            <w:r w:rsidRP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amend</w:t>
            </w:r>
            <w:r w:rsidR="00CA5169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ing </w:t>
            </w:r>
            <w:r w:rsidR="007847AA" w:rsidRP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paragraph</w:t>
            </w:r>
            <w:r w:rsidRP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1.7 of Guideline 1 </w:t>
            </w:r>
            <w:r w:rsidR="007847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as follows:</w:t>
            </w:r>
          </w:p>
          <w:p w14:paraId="723EBC4E" w14:textId="64450F76" w:rsidR="00FB164A" w:rsidRPr="007849FD" w:rsidRDefault="00FB164A" w:rsidP="007847AA">
            <w:pPr>
              <w:spacing w:after="240"/>
              <w:ind w:left="70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849FD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“</w:t>
            </w:r>
            <w:r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Competent authorities should also ensure that a single card-based means of </w:t>
            </w:r>
            <w:r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payment</w:t>
            </w:r>
            <w:r w:rsid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01A14"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that</w:t>
            </w:r>
            <w:r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 </w:t>
            </w:r>
            <w:r w:rsidR="00AC58E8"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is</w:t>
            </w:r>
            <w:r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 provided</w:t>
            </w:r>
            <w:r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 to </w:t>
            </w:r>
            <w:r w:rsid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a </w:t>
            </w:r>
            <w:r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consumer</w:t>
            </w:r>
            <w:r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F30A98" w:rsidRP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(i.e., </w:t>
            </w:r>
            <w:r w:rsid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a </w:t>
            </w:r>
            <w:r w:rsidR="00F30A98" w:rsidRP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natural person acting for purposes outside their trade, business or profession)</w:t>
            </w:r>
            <w:r w:rsid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cannot accommodate simultaneously payment instruments within the scope of PSD2 and specific payment instruments within the scope of Article 3(k) of PSD2</w:t>
            </w:r>
            <w:r w:rsidR="005A16BF" w:rsidRPr="007849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. </w:t>
            </w:r>
            <w:r w:rsidR="005A16BF"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Such prohibition should not apply </w:t>
            </w:r>
            <w:r w:rsid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in situations where the</w:t>
            </w:r>
            <w:r w:rsidR="005A16BF" w:rsidRP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 clients</w:t>
            </w:r>
            <w:r w:rsidR="00F30A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 xml:space="preserve"> are not consumers</w:t>
            </w:r>
            <w:r w:rsidR="007847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.</w:t>
            </w:r>
            <w:r w:rsidRPr="007849FD"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</w:p>
        </w:tc>
      </w:tr>
    </w:tbl>
    <w:p w14:paraId="3647BC01" w14:textId="2CBF4D1C" w:rsidR="00604C8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2</w:t>
      </w:r>
    </w:p>
    <w:p w14:paraId="3AF18933" w14:textId="6D0A1154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Q2. Do you have comments on Guideline 2 on the limited network of service providers under </w:t>
      </w:r>
      <w:r w:rsidRPr="007849FD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br/>
      </w: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Article 3(k)(i) of PSD2?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CB4049" w14:textId="5AE501B0" w:rsidR="00A8604A" w:rsidRPr="007849FD" w:rsidRDefault="00940C3D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We do not have any comments on Guideline 2.</w:t>
      </w:r>
    </w:p>
    <w:p w14:paraId="4026EFC9" w14:textId="77777777" w:rsidR="00604C8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3</w:t>
      </w:r>
    </w:p>
    <w:p w14:paraId="4AA5FA5E" w14:textId="3314CDC6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Q3. Do you have comments on Guideline 3 on the instruments used within the premises of the</w:t>
      </w:r>
      <w:r w:rsidR="002377E9"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issuer under Article 3(k)(i) of PSD2?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A409F5" w14:textId="1E7EADC8" w:rsidR="00940C3D" w:rsidRPr="007849FD" w:rsidRDefault="00940C3D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We do not have any comments on Guideline 3.</w:t>
      </w:r>
    </w:p>
    <w:p w14:paraId="32BA74E5" w14:textId="77777777" w:rsidR="00604C8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4</w:t>
      </w:r>
    </w:p>
    <w:p w14:paraId="1E984140" w14:textId="45824C6B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Q4. Do you have comments on Guideline 4 on the limited range of goods or services under Article 3(k)(ii) of PSD2?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C2FFC1E" w14:textId="7CDD9A42" w:rsidR="00611E73" w:rsidRDefault="00D536F5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Paragraph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4.1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and 4.2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2377E9" w:rsidRPr="007849FD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1D5A" w:rsidRPr="007849FD">
        <w:rPr>
          <w:rFonts w:ascii="Times New Roman" w:hAnsi="Times New Roman" w:cs="Times New Roman"/>
          <w:sz w:val="24"/>
          <w:szCs w:val="24"/>
          <w:lang w:val="en-GB"/>
        </w:rPr>
        <w:t>uideline</w:t>
      </w:r>
      <w:r w:rsidR="006F7FE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indicate that:</w:t>
      </w:r>
    </w:p>
    <w:p w14:paraId="10D842AC" w14:textId="6277B704" w:rsidR="00D536F5" w:rsidRDefault="00D536F5" w:rsidP="00D536F5">
      <w:pPr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“</w:t>
      </w:r>
      <w:r w:rsidR="00005C01" w:rsidRPr="00005C01">
        <w:rPr>
          <w:rFonts w:ascii="Times New Roman" w:hAnsi="Times New Roman" w:cs="Times New Roman"/>
          <w:i/>
          <w:iCs/>
          <w:sz w:val="24"/>
          <w:szCs w:val="24"/>
          <w:lang w:val="en-GB"/>
        </w:rPr>
        <w:t>4.1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36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Competent authorities should take into account that in order for the use of a specific payment instrument to be considered as limited for acquiring a very limited range of goods or services under Article 3(k)(ii) of PSD2, </w:t>
      </w:r>
      <w:r w:rsidRPr="00D536F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 </w:t>
      </w:r>
      <w:r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direct functional connection</w:t>
      </w:r>
      <w:r w:rsidRPr="00D536F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between the goods and/or the services that can be acquired with the payment instrument should exist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782ACD" w14:textId="6B84B30B" w:rsidR="00005C01" w:rsidRPr="007849FD" w:rsidRDefault="00005C01" w:rsidP="00D536F5">
      <w:pPr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4.2 </w:t>
      </w:r>
      <w:r w:rsidRPr="00005C01">
        <w:rPr>
          <w:rFonts w:ascii="Times New Roman" w:hAnsi="Times New Roman" w:cs="Times New Roman"/>
          <w:i/>
          <w:iCs/>
          <w:sz w:val="24"/>
          <w:szCs w:val="24"/>
          <w:lang w:val="en-GB"/>
        </w:rPr>
        <w:t>When assessing the functional connection between the goods and/or services, competent authorities should take into account that a leading good or service is established. Competent authorities should check whether the service provider has identified the leading good or service and the ancillary goods and/or services and has described the functional connection between them in the notification under Article 37(2) of PSD2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005C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7414A8D" w14:textId="486F00CD" w:rsidR="002B57AE" w:rsidRDefault="00D536F5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our view, this approach is too restrictive</w:t>
      </w:r>
      <w:r w:rsidR="002B57AE">
        <w:rPr>
          <w:rFonts w:ascii="Times New Roman" w:hAnsi="Times New Roman" w:cs="Times New Roman"/>
          <w:sz w:val="24"/>
          <w:szCs w:val="24"/>
          <w:lang w:val="en-GB"/>
        </w:rPr>
        <w:t xml:space="preserve"> and is not in line with the PSD2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5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A2ACB72" w14:textId="5B674F21" w:rsidR="004C3528" w:rsidRDefault="00D536F5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understand that the concept of “functional connect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>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 xml:space="preserve">used by the EBA </w:t>
      </w:r>
      <w:r>
        <w:rPr>
          <w:rFonts w:ascii="Times New Roman" w:hAnsi="Times New Roman" w:cs="Times New Roman"/>
          <w:sz w:val="24"/>
          <w:szCs w:val="24"/>
          <w:lang w:val="en-GB"/>
        </w:rPr>
        <w:t>stems from Recital (13) of PSD2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which indicates that: </w:t>
      </w:r>
    </w:p>
    <w:p w14:paraId="56224412" w14:textId="00ACF092" w:rsidR="00D536F5" w:rsidRDefault="00D536F5" w:rsidP="004C3528">
      <w:pPr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>[…]</w:t>
      </w:r>
      <w:r w:rsidR="004C3528" w:rsidRPr="004C35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3528" w:rsidRPr="004C3528">
        <w:rPr>
          <w:rFonts w:ascii="Times New Roman" w:hAnsi="Times New Roman" w:cs="Times New Roman"/>
          <w:i/>
          <w:iCs/>
          <w:sz w:val="24"/>
          <w:szCs w:val="24"/>
          <w:lang w:val="en-GB"/>
        </w:rPr>
        <w:t>A payment instrument should be considered to be used within such a limited network if it can be used only in the following circumstances: first, for the purchase of goods and services in a specific retailer or specific retail chain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 xml:space="preserve"> […]</w:t>
      </w:r>
      <w:r w:rsidR="004C3528" w:rsidRPr="004C352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4C3528"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second, for the purchase of a very limited range of goods or services, </w:t>
      </w:r>
      <w:r w:rsidR="004C3528"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such as</w:t>
      </w:r>
      <w:r w:rsidR="004C3528"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where the scope of use is effectively limited to a closed number of </w:t>
      </w:r>
      <w:r w:rsidR="004C3528"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functionally connected</w:t>
      </w:r>
      <w:r w:rsidR="004C3528" w:rsidRPr="004C352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goods or services regardless of the geographical location of the point of sale</w:t>
      </w:r>
      <w:r w:rsidR="004C3528">
        <w:rPr>
          <w:rFonts w:ascii="Times New Roman" w:hAnsi="Times New Roman" w:cs="Times New Roman"/>
          <w:sz w:val="24"/>
          <w:szCs w:val="24"/>
          <w:lang w:val="en-GB"/>
        </w:rPr>
        <w:t xml:space="preserve"> […]”</w:t>
      </w:r>
      <w:r w:rsidR="004C3528" w:rsidRPr="004C35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A46C61" w14:textId="743E145B" w:rsidR="00005C01" w:rsidRDefault="004C3528" w:rsidP="004C352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terms “such as” clearly indicate that the situation described in </w:t>
      </w:r>
      <w:r w:rsidR="00304070">
        <w:rPr>
          <w:rFonts w:ascii="Times New Roman" w:hAnsi="Times New Roman" w:cs="Times New Roman"/>
          <w:sz w:val="24"/>
          <w:szCs w:val="24"/>
          <w:lang w:val="en-GB"/>
        </w:rPr>
        <w:t xml:space="preserve">Recital (13)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only </w:t>
      </w:r>
      <w:r w:rsidRPr="004C3528">
        <w:rPr>
          <w:rFonts w:ascii="Times New Roman" w:hAnsi="Times New Roman" w:cs="Times New Roman"/>
          <w:sz w:val="24"/>
          <w:szCs w:val="24"/>
          <w:u w:val="single"/>
          <w:lang w:val="en-GB"/>
        </w:rPr>
        <w:t>an example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a case where the LNE may apply. It does not mean that the LNE should apply </w:t>
      </w:r>
      <w:r w:rsidR="002B57AE">
        <w:rPr>
          <w:rFonts w:ascii="Times New Roman" w:hAnsi="Times New Roman" w:cs="Times New Roman"/>
          <w:sz w:val="24"/>
          <w:szCs w:val="24"/>
          <w:lang w:val="en-GB"/>
        </w:rPr>
        <w:t xml:space="preserve">solely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this situation. </w:t>
      </w:r>
    </w:p>
    <w:p w14:paraId="0C9FCCBD" w14:textId="16697599" w:rsidR="00304070" w:rsidRDefault="00304070" w:rsidP="004C352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also note that Article 3(k) of PSD2 does not refer to this “functional connection” criterion</w:t>
      </w:r>
      <w:r w:rsidR="00F073DD">
        <w:rPr>
          <w:rFonts w:ascii="Times New Roman" w:hAnsi="Times New Roman" w:cs="Times New Roman"/>
          <w:sz w:val="24"/>
          <w:szCs w:val="24"/>
          <w:lang w:val="en-GB"/>
        </w:rPr>
        <w:t xml:space="preserve">, which underpins the idea that a reference to functionally connected goods and services is a mere </w:t>
      </w:r>
      <w:r w:rsidR="00F073DD" w:rsidRPr="00F073DD">
        <w:rPr>
          <w:rFonts w:ascii="Times New Roman" w:hAnsi="Times New Roman" w:cs="Times New Roman"/>
          <w:sz w:val="24"/>
          <w:szCs w:val="24"/>
          <w:u w:val="single"/>
          <w:lang w:val="en-GB"/>
        </w:rPr>
        <w:t>example</w:t>
      </w:r>
      <w:r w:rsidR="00F073DD">
        <w:rPr>
          <w:rFonts w:ascii="Times New Roman" w:hAnsi="Times New Roman" w:cs="Times New Roman"/>
          <w:sz w:val="24"/>
          <w:szCs w:val="24"/>
          <w:lang w:val="en-GB"/>
        </w:rPr>
        <w:t xml:space="preserve"> and not the only criterion to be put in place. </w:t>
      </w:r>
    </w:p>
    <w:p w14:paraId="59940598" w14:textId="448BEF8D" w:rsidR="004C3528" w:rsidRDefault="004C3528" w:rsidP="004C352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Therefore, from a legal standpoint, </w:t>
      </w:r>
      <w:r w:rsidR="00DF24D2">
        <w:rPr>
          <w:rFonts w:ascii="Times New Roman" w:hAnsi="Times New Roman" w:cs="Times New Roman"/>
          <w:sz w:val="24"/>
          <w:szCs w:val="24"/>
          <w:lang w:val="en-GB"/>
        </w:rPr>
        <w:t>the EBA’s recommendation does not reflect the aforementioned approach.</w:t>
      </w:r>
    </w:p>
    <w:p w14:paraId="0B423C70" w14:textId="4544FB56" w:rsidR="002B57AE" w:rsidRDefault="008A68A1" w:rsidP="002B57A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In addition, </w:t>
      </w:r>
      <w:r w:rsidR="00AC58E8" w:rsidRPr="007849FD">
        <w:rPr>
          <w:rFonts w:ascii="Times New Roman" w:hAnsi="Times New Roman" w:cs="Times New Roman"/>
          <w:sz w:val="24"/>
          <w:szCs w:val="24"/>
          <w:lang w:val="en-GB"/>
        </w:rPr>
        <w:t>the notion</w:t>
      </w:r>
      <w:r w:rsidR="00EC2FAA" w:rsidRPr="007849F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C58E8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of “</w:t>
      </w:r>
      <w:r w:rsidR="00AC58E8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connected goods and/ or services</w:t>
      </w:r>
      <w:r w:rsidR="00AC58E8" w:rsidRPr="007849F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C87F82" w:rsidRPr="007849FD">
        <w:rPr>
          <w:rFonts w:ascii="Times New Roman" w:hAnsi="Times New Roman" w:cs="Times New Roman"/>
          <w:sz w:val="24"/>
          <w:szCs w:val="24"/>
          <w:lang w:val="en-GB"/>
        </w:rPr>
        <w:t>, “</w:t>
      </w:r>
      <w:r w:rsidR="00C87F82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leading product and/or service” </w:t>
      </w:r>
      <w:r w:rsidR="00C87F82" w:rsidRPr="007849FD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C87F82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C2FAA" w:rsidRPr="007849F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EC2FAA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functional connection”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not defined in the PSD2. </w:t>
      </w:r>
      <w:r w:rsidR="002B57AE">
        <w:rPr>
          <w:rFonts w:ascii="Times New Roman" w:hAnsi="Times New Roman" w:cs="Times New Roman"/>
          <w:sz w:val="24"/>
          <w:szCs w:val="24"/>
          <w:lang w:val="en-GB"/>
        </w:rPr>
        <w:t>These terms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vague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and may be interpreted differently by</w:t>
      </w:r>
      <w:r w:rsidR="00FD222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competent authorities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05C01" w:rsidRPr="00005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For example,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the guidelines do not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indicate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which factor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should be considered to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identify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the “</w:t>
      </w:r>
      <w:r w:rsidR="00005C01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most important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005C01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leading product and/or service”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2B57AE">
        <w:rPr>
          <w:rFonts w:ascii="Times New Roman" w:hAnsi="Times New Roman" w:cs="Times New Roman"/>
          <w:sz w:val="24"/>
          <w:szCs w:val="24"/>
          <w:lang w:val="en-GB"/>
        </w:rPr>
        <w:t>competent authorities take into account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>sales volume, the products and/or services’ turnover, the service provider’s marketing strategy, etc.?</w:t>
      </w:r>
      <w:r w:rsidR="00005C01" w:rsidRPr="00005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Similarly, </w:t>
      </w:r>
      <w:r w:rsidR="00DF24D2">
        <w:rPr>
          <w:rFonts w:ascii="Times New Roman" w:hAnsi="Times New Roman" w:cs="Times New Roman"/>
          <w:sz w:val="24"/>
          <w:szCs w:val="24"/>
          <w:lang w:val="en-GB"/>
        </w:rPr>
        <w:t xml:space="preserve">it is uncertain how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competent authorities</w:t>
      </w:r>
      <w:r w:rsidR="00DF24D2">
        <w:rPr>
          <w:rFonts w:ascii="Times New Roman" w:hAnsi="Times New Roman" w:cs="Times New Roman"/>
          <w:sz w:val="24"/>
          <w:szCs w:val="24"/>
          <w:lang w:val="en-GB"/>
        </w:rPr>
        <w:t xml:space="preserve"> should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determine if a product/service is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05C01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associated or related in some respect”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>or “</w:t>
      </w:r>
      <w:r w:rsidR="00005C01"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connected” </w:t>
      </w:r>
      <w:r w:rsidR="00005C01" w:rsidRPr="00005C01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>a leading</w:t>
      </w:r>
      <w:r w:rsidR="00005C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005C01" w:rsidRPr="007849FD">
        <w:rPr>
          <w:rFonts w:ascii="Times New Roman" w:hAnsi="Times New Roman" w:cs="Times New Roman"/>
          <w:sz w:val="24"/>
          <w:szCs w:val="24"/>
          <w:lang w:val="en-GB"/>
        </w:rPr>
        <w:t>product and/or service</w:t>
      </w:r>
      <w:r w:rsidR="00DF24D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05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90AE6F" w14:textId="61F87E16" w:rsidR="00466C25" w:rsidRDefault="00005C01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our view, the approach proposed by the EBA would result in diverging supervisory practices among national competent authorities, </w:t>
      </w:r>
      <w:r w:rsidR="002B57AE">
        <w:rPr>
          <w:rFonts w:ascii="Times New Roman" w:hAnsi="Times New Roman" w:cs="Times New Roman"/>
          <w:sz w:val="24"/>
          <w:szCs w:val="24"/>
          <w:lang w:val="en-GB"/>
        </w:rPr>
        <w:t>while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purpose of the draft guidelines is to harmonise the interpretation of the LNE across the EU. </w:t>
      </w:r>
    </w:p>
    <w:p w14:paraId="7706C7A6" w14:textId="6A83749D" w:rsidR="004628E2" w:rsidRDefault="00005C01" w:rsidP="00005C0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Finally, the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proposed by the EBA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may not be suited to all 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sectors. 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>For certain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>instruments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304070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 xml:space="preserve"> not </w:t>
      </w:r>
      <w:r w:rsidR="00304070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>possible to identify a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 xml:space="preserve"> leading good </w:t>
      </w:r>
      <w:r w:rsidR="00304070">
        <w:rPr>
          <w:rFonts w:ascii="Times New Roman" w:hAnsi="Times New Roman" w:cs="Times New Roman"/>
          <w:sz w:val="24"/>
          <w:szCs w:val="24"/>
          <w:lang w:val="en-GB"/>
        </w:rPr>
        <w:t xml:space="preserve">or service 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>that is functionally connected to ancillary goods (</w:t>
      </w:r>
      <w:r w:rsidR="004628E2" w:rsidRPr="004628E2">
        <w:rPr>
          <w:rFonts w:ascii="Times New Roman" w:hAnsi="Times New Roman" w:cs="Times New Roman"/>
          <w:i/>
          <w:iCs/>
          <w:sz w:val="24"/>
          <w:szCs w:val="24"/>
          <w:lang w:val="en-GB"/>
        </w:rPr>
        <w:t>e.g.</w:t>
      </w:r>
      <w:r w:rsidR="004628E2">
        <w:rPr>
          <w:rFonts w:ascii="Times New Roman" w:hAnsi="Times New Roman" w:cs="Times New Roman"/>
          <w:sz w:val="24"/>
          <w:szCs w:val="24"/>
          <w:lang w:val="en-GB"/>
        </w:rPr>
        <w:t xml:space="preserve"> a gift card sold by a hardware store).</w:t>
      </w:r>
    </w:p>
    <w:p w14:paraId="59B7603E" w14:textId="5E066A91" w:rsidR="00D776BE" w:rsidRDefault="003B3C3A" w:rsidP="003B3C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 our view, the approach adopted by the</w:t>
      </w:r>
      <w:r w:rsidR="003D0379" w:rsidRPr="003D03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0379" w:rsidRPr="003D0379">
        <w:rPr>
          <w:rFonts w:ascii="Times New Roman" w:hAnsi="Times New Roman" w:cs="Times New Roman"/>
          <w:i/>
          <w:iCs/>
          <w:sz w:val="24"/>
          <w:szCs w:val="24"/>
          <w:lang w:val="en-GB"/>
        </w:rPr>
        <w:t>Autorité de contrôle prudentiel et de résolution</w:t>
      </w:r>
      <w:r w:rsidR="003D0379" w:rsidRPr="003D0379">
        <w:rPr>
          <w:rFonts w:ascii="Times New Roman" w:hAnsi="Times New Roman" w:cs="Times New Roman"/>
          <w:sz w:val="24"/>
          <w:szCs w:val="24"/>
          <w:lang w:val="en-GB"/>
        </w:rPr>
        <w:t xml:space="preserve"> (ACPR) </w:t>
      </w:r>
      <w:r>
        <w:rPr>
          <w:rFonts w:ascii="Times New Roman" w:hAnsi="Times New Roman" w:cs="Times New Roman"/>
          <w:sz w:val="24"/>
          <w:szCs w:val="24"/>
          <w:lang w:val="en-GB"/>
        </w:rPr>
        <w:t>in France</w:t>
      </w:r>
      <w:r w:rsidR="003D0379">
        <w:rPr>
          <w:rFonts w:ascii="Times New Roman" w:hAnsi="Times New Roman" w:cs="Times New Roman"/>
          <w:sz w:val="24"/>
          <w:szCs w:val="24"/>
          <w:lang w:val="en-GB"/>
        </w:rPr>
        <w:t xml:space="preserve"> allows for more flexibility</w:t>
      </w:r>
      <w:r w:rsidR="00D776BE">
        <w:rPr>
          <w:rFonts w:ascii="Times New Roman" w:hAnsi="Times New Roman" w:cs="Times New Roman"/>
          <w:sz w:val="24"/>
          <w:szCs w:val="24"/>
          <w:lang w:val="en-GB"/>
        </w:rPr>
        <w:t xml:space="preserve">. The ACPR considers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776BE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776BE" w:rsidRPr="00D776BE">
        <w:rPr>
          <w:rFonts w:ascii="Times New Roman" w:hAnsi="Times New Roman" w:cs="Times New Roman"/>
          <w:sz w:val="24"/>
          <w:szCs w:val="24"/>
          <w:lang w:val="en-GB"/>
        </w:rPr>
        <w:t xml:space="preserve">limited range of goods </w:t>
      </w:r>
      <w:r w:rsidR="00D776BE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D776BE" w:rsidRPr="00D776BE">
        <w:rPr>
          <w:rFonts w:ascii="Times New Roman" w:hAnsi="Times New Roman" w:cs="Times New Roman"/>
          <w:sz w:val="24"/>
          <w:szCs w:val="24"/>
          <w:lang w:val="en-GB"/>
        </w:rPr>
        <w:t xml:space="preserve"> services</w:t>
      </w:r>
      <w:r w:rsidR="00D776BE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D776BE" w:rsidRPr="00D776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may be</w:t>
      </w:r>
      <w:r w:rsidR="00D776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characterised if</w:t>
      </w:r>
      <w:r w:rsidRPr="003B3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76BE">
        <w:rPr>
          <w:rFonts w:ascii="Times New Roman" w:hAnsi="Times New Roman" w:cs="Times New Roman"/>
          <w:sz w:val="24"/>
          <w:szCs w:val="24"/>
          <w:lang w:val="en-GB"/>
        </w:rPr>
        <w:t xml:space="preserve">the goods or services that can be </w:t>
      </w:r>
      <w:r>
        <w:rPr>
          <w:rFonts w:ascii="Times New Roman" w:hAnsi="Times New Roman" w:cs="Times New Roman"/>
          <w:sz w:val="24"/>
          <w:szCs w:val="24"/>
          <w:lang w:val="en-GB"/>
        </w:rPr>
        <w:t>acquired</w:t>
      </w:r>
      <w:r w:rsidRPr="00D776BE">
        <w:rPr>
          <w:rFonts w:ascii="Times New Roman" w:hAnsi="Times New Roman" w:cs="Times New Roman"/>
          <w:sz w:val="24"/>
          <w:szCs w:val="24"/>
          <w:lang w:val="en-GB"/>
        </w:rPr>
        <w:t xml:space="preserve"> with the instrument</w:t>
      </w:r>
      <w:r w:rsidR="00304070">
        <w:rPr>
          <w:rStyle w:val="Appelnotedebasdep"/>
          <w:rFonts w:ascii="Times New Roman" w:hAnsi="Times New Roman" w:cs="Times New Roman"/>
          <w:sz w:val="24"/>
          <w:szCs w:val="24"/>
          <w:lang w:val="en-GB"/>
        </w:rPr>
        <w:footnoteReference w:id="3"/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CD04C0D" w14:textId="6589D403" w:rsidR="003B3C3A" w:rsidRDefault="003B3C3A" w:rsidP="003B3C3A">
      <w:pPr>
        <w:pStyle w:val="Paragraphedeliste"/>
        <w:numPr>
          <w:ilvl w:val="0"/>
          <w:numId w:val="2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“functionally connected” (</w:t>
      </w:r>
      <w:r w:rsidRPr="003B3C3A">
        <w:rPr>
          <w:rFonts w:ascii="Times New Roman" w:hAnsi="Times New Roman" w:cs="Times New Roman"/>
          <w:i/>
          <w:iCs/>
          <w:sz w:val="24"/>
          <w:szCs w:val="24"/>
          <w:lang w:val="en-GB"/>
        </w:rPr>
        <w:t>i.e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., the goods/services are related or complementary); </w:t>
      </w:r>
      <w:r w:rsidRPr="003B3C3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or</w:t>
      </w:r>
    </w:p>
    <w:p w14:paraId="406FE165" w14:textId="73E0D73A" w:rsidR="00D776BE" w:rsidRPr="003B3C3A" w:rsidRDefault="00D776BE" w:rsidP="00D347DD">
      <w:pPr>
        <w:pStyle w:val="Paragraphedeliste"/>
        <w:numPr>
          <w:ilvl w:val="0"/>
          <w:numId w:val="2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C3A">
        <w:rPr>
          <w:rFonts w:ascii="Times New Roman" w:hAnsi="Times New Roman" w:cs="Times New Roman"/>
          <w:sz w:val="24"/>
          <w:szCs w:val="24"/>
          <w:lang w:val="en-GB"/>
        </w:rPr>
        <w:t xml:space="preserve">belong to a </w:t>
      </w:r>
      <w:r w:rsidRPr="0030407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“theme”</w:t>
      </w:r>
      <w:r w:rsidRPr="003B3C3A">
        <w:rPr>
          <w:rFonts w:ascii="Times New Roman" w:hAnsi="Times New Roman" w:cs="Times New Roman"/>
          <w:sz w:val="24"/>
          <w:szCs w:val="24"/>
          <w:lang w:val="en-GB"/>
        </w:rPr>
        <w:t xml:space="preserve"> that is sufficiently well defined/precise so that the instrument may not be confused with a </w:t>
      </w:r>
      <w:r w:rsidR="003B3C3A">
        <w:rPr>
          <w:rFonts w:ascii="Times New Roman" w:hAnsi="Times New Roman" w:cs="Times New Roman"/>
          <w:sz w:val="24"/>
          <w:szCs w:val="24"/>
          <w:lang w:val="en-GB"/>
        </w:rPr>
        <w:t>general-purpose payment instrument</w:t>
      </w:r>
      <w:r w:rsidR="003B3C3A" w:rsidRPr="003B3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153" w:rsidRPr="002D7513" w14:paraId="2B71D66D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245669E8" w14:textId="487187A2" w:rsidR="003B3C3A" w:rsidRDefault="000D5EBA" w:rsidP="003B3C3A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In light of the above,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we propose amending </w:t>
            </w:r>
            <w:r w:rsidR="009B1791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Guideline </w:t>
            </w:r>
            <w:r w:rsidR="00925E0B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4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to provide that</w:t>
            </w:r>
            <w:r w:rsidR="008A68A1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B3C3A" w:rsidRP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 “limited range of goods or services” may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also</w:t>
            </w:r>
            <w:r w:rsidR="003B3C3A" w:rsidRP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be characterised if the goods or services that can be acquired with the instrument</w:t>
            </w:r>
            <w:r w:rsidR="003B3C3A" w:rsidRPr="003B3C3A">
              <w:rPr>
                <w:lang w:val="en-US"/>
              </w:rPr>
              <w:t xml:space="preserve"> </w:t>
            </w:r>
            <w:r w:rsidR="003B3C3A" w:rsidRP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belong to a “theme” that is sufficiently well defined/precise so that the instrument may not be confused with a “universal” means of payment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  <w:p w14:paraId="0BA74795" w14:textId="4D1C3778" w:rsidR="002E1153" w:rsidRPr="007849FD" w:rsidRDefault="001D2FE2" w:rsidP="003B3C3A">
            <w:pPr>
              <w:spacing w:before="120" w:after="2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If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the EBA </w:t>
            </w:r>
            <w:r w:rsidR="00FD652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decides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to maintain its current approach</w:t>
            </w:r>
            <w:r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,</w:t>
            </w:r>
            <w:r w:rsidR="00FD652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in order to harmonize national practices</w:t>
            </w:r>
            <w:r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D652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it is necessary to provide</w:t>
            </w:r>
            <w:r w:rsidR="00925E0B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guidance on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 criteria/factors to be</w:t>
            </w:r>
            <w:r w:rsidR="00925E0B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taken into account to identify the </w:t>
            </w:r>
            <w:r w:rsidR="003B3C3A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“</w:t>
            </w:r>
            <w:r w:rsidR="003B3C3A" w:rsidRP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leading product and/or service</w:t>
            </w:r>
            <w:r w:rsidR="003B3C3A" w:rsidRPr="007849F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” </w:t>
            </w:r>
            <w:r w:rsidR="003B3C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and to characterise the “functional connection” between this leading product/service and the other goods/services that can be acquired with the exempted instrument. </w:t>
            </w:r>
          </w:p>
        </w:tc>
      </w:tr>
    </w:tbl>
    <w:p w14:paraId="6A2E5564" w14:textId="3969A8E9" w:rsidR="003D037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5</w:t>
      </w:r>
    </w:p>
    <w:p w14:paraId="2ED6AFF5" w14:textId="339B5C3D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Q5. Do you have comments on Guideline 5 on the provision of services under Article 3(k) of PSD2 by regulated entities?</w:t>
      </w: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3A59389" w14:textId="5C5F2074" w:rsidR="001F16BC" w:rsidRPr="007849FD" w:rsidRDefault="00596FC9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We do not have any comments on Guideline 5.</w:t>
      </w:r>
    </w:p>
    <w:p w14:paraId="7EEB25D6" w14:textId="115BD721" w:rsidR="003D037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6</w:t>
      </w:r>
    </w:p>
    <w:p w14:paraId="2D11D57F" w14:textId="18E406F2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Q6. Do you have comments on Guideline 6 on the notifications under Article 37(2) of PSD2?</w:t>
      </w: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5A2E01CB" w14:textId="775FA72A" w:rsidR="00657371" w:rsidRPr="00657371" w:rsidRDefault="00657371" w:rsidP="00657371">
      <w:pPr>
        <w:pStyle w:val="Paragraphedeliste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57371">
        <w:rPr>
          <w:rFonts w:ascii="Times New Roman" w:hAnsi="Times New Roman" w:cs="Times New Roman"/>
          <w:b/>
          <w:bCs/>
          <w:sz w:val="24"/>
          <w:szCs w:val="24"/>
          <w:lang w:val="en-GB"/>
        </w:rPr>
        <w:t>Notification requirements</w:t>
      </w:r>
    </w:p>
    <w:p w14:paraId="49802A17" w14:textId="486CED5D" w:rsidR="007D67BE" w:rsidRPr="007849FD" w:rsidRDefault="00535EDB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Paragraph 6.1 of </w:t>
      </w:r>
      <w:r w:rsidR="00CB1E7B" w:rsidRPr="007849FD">
        <w:rPr>
          <w:rFonts w:ascii="Times New Roman" w:hAnsi="Times New Roman" w:cs="Times New Roman"/>
          <w:sz w:val="24"/>
          <w:szCs w:val="24"/>
          <w:lang w:val="en-GB"/>
        </w:rPr>
        <w:t>Guideline</w:t>
      </w:r>
      <w:r w:rsidR="005F62F5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6</w:t>
      </w:r>
      <w:r w:rsidR="00CB1E7B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67BE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provides </w:t>
      </w:r>
      <w:r w:rsidR="00CB1E7B" w:rsidRPr="007849FD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7D67BE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75B2789A" w14:textId="2CCDD3B4" w:rsidR="00CB1E7B" w:rsidRPr="007849FD" w:rsidRDefault="00CB1E7B" w:rsidP="00535EDB">
      <w:pPr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535EDB" w:rsidRPr="00535EDB">
        <w:rPr>
          <w:rFonts w:ascii="Times New Roman" w:hAnsi="Times New Roman" w:cs="Times New Roman"/>
          <w:i/>
          <w:iCs/>
          <w:sz w:val="24"/>
          <w:szCs w:val="24"/>
          <w:lang w:val="en-GB"/>
        </w:rPr>
        <w:t>6.1. Competent authorities should take into account that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notification under Article 37(2) of PSD2 should be submitted by the service provider providing excluded goods and/or services under Article 3(k)(i) and (ii) of PSD2 in different Member States to the competent authority in each jurisdiction where the goods and/or services are provided and where the thresholds set out in Article 37(2) of PSD2 are breached in the particular jurisdiction”.</w:t>
      </w:r>
    </w:p>
    <w:p w14:paraId="6772AB5F" w14:textId="48C4C1D2" w:rsidR="007D67BE" w:rsidRDefault="007D67BE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We welcome the clarification 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the EBA that an entity 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>may benefit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from the LNE 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="00FE0A45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>provid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>several EU</w:t>
      </w: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Member States</w:t>
      </w:r>
      <w:r w:rsidR="00535EDB">
        <w:rPr>
          <w:rFonts w:ascii="Times New Roman" w:hAnsi="Times New Roman" w:cs="Times New Roman"/>
          <w:sz w:val="24"/>
          <w:szCs w:val="24"/>
          <w:lang w:val="en-GB"/>
        </w:rPr>
        <w:t xml:space="preserve">, including on a cross-border basis. </w:t>
      </w:r>
    </w:p>
    <w:p w14:paraId="0E9C6274" w14:textId="6ECE694F" w:rsidR="00FA378C" w:rsidRDefault="00535EDB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However, the terms “</w:t>
      </w:r>
      <w:r w:rsidRPr="007849FD">
        <w:rPr>
          <w:rFonts w:ascii="Times New Roman" w:hAnsi="Times New Roman" w:cs="Times New Roman"/>
          <w:i/>
          <w:iCs/>
          <w:sz w:val="24"/>
          <w:szCs w:val="24"/>
          <w:lang w:val="en-GB"/>
        </w:rPr>
        <w:t>in each jurisdiction where the goods and/or services are provided</w:t>
      </w:r>
      <w:r w:rsidRPr="00535EDB"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535EDB">
        <w:rPr>
          <w:rFonts w:ascii="Times New Roman" w:hAnsi="Times New Roman" w:cs="Times New Roman"/>
          <w:sz w:val="24"/>
          <w:szCs w:val="24"/>
          <w:lang w:val="en-GB"/>
        </w:rPr>
        <w:t>are not clear</w:t>
      </w:r>
      <w:r w:rsidR="00FA378C">
        <w:rPr>
          <w:rFonts w:ascii="Times New Roman" w:hAnsi="Times New Roman" w:cs="Times New Roman"/>
          <w:sz w:val="24"/>
          <w:szCs w:val="24"/>
          <w:lang w:val="en-GB"/>
        </w:rPr>
        <w:t xml:space="preserve"> and do not seem to accurately reflect the approach retained by the EBA</w:t>
      </w:r>
      <w:r w:rsidRPr="00535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D65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DE7E3ED" w14:textId="00CD31FB" w:rsidR="00FA378C" w:rsidRDefault="00FA378C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These terms </w:t>
      </w:r>
      <w:r w:rsidR="002429D7">
        <w:rPr>
          <w:rFonts w:ascii="Times New Roman" w:hAnsi="Times New Roman" w:cs="Times New Roman"/>
          <w:sz w:val="24"/>
          <w:szCs w:val="24"/>
          <w:lang w:val="en-GB"/>
        </w:rPr>
        <w:t xml:space="preserve">suggest that a </w:t>
      </w:r>
      <w:r w:rsidR="00FD652B">
        <w:rPr>
          <w:rFonts w:ascii="Times New Roman" w:hAnsi="Times New Roman" w:cs="Times New Roman"/>
          <w:sz w:val="24"/>
          <w:szCs w:val="24"/>
          <w:lang w:val="en-GB"/>
        </w:rPr>
        <w:t>notification must be submitted in each EU Member State where the exempted instrument is accepted (by merchants/payees)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while we understand that the EBA’s 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 xml:space="preserve">view is rather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notification 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>should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made in each EU Member State where the 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 xml:space="preserve">exempted </w:t>
      </w:r>
      <w:r>
        <w:rPr>
          <w:rFonts w:ascii="Times New Roman" w:hAnsi="Times New Roman" w:cs="Times New Roman"/>
          <w:sz w:val="24"/>
          <w:szCs w:val="24"/>
          <w:lang w:val="en-GB"/>
        </w:rPr>
        <w:t>instrument is provided to clients.</w:t>
      </w:r>
    </w:p>
    <w:p w14:paraId="68AC9292" w14:textId="5B030DD9" w:rsidR="00B128DA" w:rsidRDefault="002429D7" w:rsidP="00B128D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drafting 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 xml:space="preserve">of paragraph 6.1 </w:t>
      </w:r>
      <w:r w:rsidR="00F448D3">
        <w:rPr>
          <w:rFonts w:ascii="Times New Roman" w:hAnsi="Times New Roman" w:cs="Times New Roman"/>
          <w:sz w:val="24"/>
          <w:szCs w:val="24"/>
          <w:lang w:val="en-GB"/>
        </w:rPr>
        <w:t>does</w:t>
      </w:r>
      <w:r w:rsidR="004F207B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  <w:r w:rsidR="00FA37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48D3">
        <w:rPr>
          <w:rFonts w:ascii="Times New Roman" w:hAnsi="Times New Roman" w:cs="Times New Roman"/>
          <w:sz w:val="24"/>
          <w:szCs w:val="24"/>
          <w:lang w:val="en-GB"/>
        </w:rPr>
        <w:t xml:space="preserve">seem </w:t>
      </w:r>
      <w:r>
        <w:rPr>
          <w:rFonts w:ascii="Times New Roman" w:hAnsi="Times New Roman" w:cs="Times New Roman"/>
          <w:sz w:val="24"/>
          <w:szCs w:val="24"/>
          <w:lang w:val="en-GB"/>
        </w:rPr>
        <w:t>consistent with</w:t>
      </w:r>
      <w:r w:rsidR="00B128D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345BC91" w14:textId="1A3C7BAB" w:rsidR="00B128DA" w:rsidRDefault="00B128DA" w:rsidP="00B128DA">
      <w:pPr>
        <w:pStyle w:val="Paragraphedeliste"/>
        <w:numPr>
          <w:ilvl w:val="0"/>
          <w:numId w:val="2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B128DA">
        <w:rPr>
          <w:rFonts w:ascii="Times New Roman" w:hAnsi="Times New Roman" w:cs="Times New Roman"/>
          <w:sz w:val="24"/>
          <w:szCs w:val="24"/>
          <w:lang w:val="en-GB"/>
        </w:rPr>
        <w:t xml:space="preserve">aragraph 57 of Section 4 of the </w:t>
      </w:r>
      <w:r w:rsidR="00F448D3" w:rsidRPr="00B128DA">
        <w:rPr>
          <w:rFonts w:ascii="Times New Roman" w:hAnsi="Times New Roman" w:cs="Times New Roman"/>
          <w:sz w:val="24"/>
          <w:szCs w:val="24"/>
          <w:lang w:val="en-GB"/>
        </w:rPr>
        <w:t>consultation p</w:t>
      </w:r>
      <w:r w:rsidRPr="00B128DA">
        <w:rPr>
          <w:rFonts w:ascii="Times New Roman" w:hAnsi="Times New Roman" w:cs="Times New Roman"/>
          <w:sz w:val="24"/>
          <w:szCs w:val="24"/>
          <w:lang w:val="en-GB"/>
        </w:rPr>
        <w:t>aper</w:t>
      </w:r>
      <w:r>
        <w:rPr>
          <w:rFonts w:ascii="Times New Roman" w:hAnsi="Times New Roman" w:cs="Times New Roman"/>
          <w:sz w:val="24"/>
          <w:szCs w:val="24"/>
          <w:lang w:val="en-GB"/>
        </w:rPr>
        <w:t>, which indicate</w:t>
      </w:r>
      <w:r w:rsidR="00F448D3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“</w:t>
      </w:r>
      <w:r w:rsidRPr="00B128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respective payment instrument should be notified to and assessed by the respective national competent authority </w:t>
      </w:r>
      <w:r w:rsidRPr="00F448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where the services are provided individually</w:t>
      </w:r>
      <w:r w:rsidRPr="00B128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where the thresholds set out in Article 37(2) of PSD2 have been exceeded</w:t>
      </w:r>
      <w:r>
        <w:rPr>
          <w:rFonts w:ascii="Times New Roman" w:hAnsi="Times New Roman" w:cs="Times New Roman"/>
          <w:sz w:val="24"/>
          <w:szCs w:val="24"/>
          <w:lang w:val="en-GB"/>
        </w:rPr>
        <w:t>”;</w:t>
      </w:r>
    </w:p>
    <w:p w14:paraId="5EF88090" w14:textId="6BB47EA2" w:rsidR="00FA378C" w:rsidRPr="00B128DA" w:rsidRDefault="00FA378C" w:rsidP="00B128DA">
      <w:pPr>
        <w:pStyle w:val="Paragraphedeliste"/>
        <w:numPr>
          <w:ilvl w:val="0"/>
          <w:numId w:val="2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128DA">
        <w:rPr>
          <w:rFonts w:ascii="Times New Roman" w:hAnsi="Times New Roman" w:cs="Times New Roman"/>
          <w:sz w:val="24"/>
          <w:szCs w:val="24"/>
          <w:lang w:val="en-GB"/>
        </w:rPr>
        <w:t>paragraph 6.3</w:t>
      </w:r>
      <w:r w:rsidR="00F448D3">
        <w:rPr>
          <w:rFonts w:ascii="Times New Roman" w:hAnsi="Times New Roman" w:cs="Times New Roman"/>
          <w:sz w:val="24"/>
          <w:szCs w:val="24"/>
          <w:lang w:val="en-GB"/>
        </w:rPr>
        <w:t xml:space="preserve"> of Guideline 6</w:t>
      </w:r>
      <w:r w:rsidR="004F207B" w:rsidRPr="00B128DA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Pr="00B128DA">
        <w:rPr>
          <w:rFonts w:ascii="Times New Roman" w:hAnsi="Times New Roman" w:cs="Times New Roman"/>
          <w:sz w:val="24"/>
          <w:szCs w:val="24"/>
          <w:lang w:val="en-GB"/>
        </w:rPr>
        <w:t>indicates that, in the notification submitted to a competent authority, the description of the activity should include information “</w:t>
      </w:r>
      <w:r w:rsidRPr="00B128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b) about other Member States </w:t>
      </w:r>
      <w:r w:rsidRPr="00B128D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where the service under Article 3(k) of PSD2 covered by the notification to the competent authority is provided</w:t>
      </w:r>
      <w:r w:rsidRPr="00B128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by the same service provider</w:t>
      </w:r>
      <w:r w:rsidRPr="00B128DA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14:paraId="688551D9" w14:textId="1F37295C" w:rsidR="00657371" w:rsidRDefault="00F448D3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believe the EBA should clarify paragraph 6.1 of Guideline 6, otherwise this</w:t>
      </w:r>
      <w:r w:rsidR="00657371">
        <w:rPr>
          <w:rFonts w:ascii="Times New Roman" w:hAnsi="Times New Roman" w:cs="Times New Roman"/>
          <w:sz w:val="24"/>
          <w:szCs w:val="24"/>
          <w:lang w:val="en-GB"/>
        </w:rPr>
        <w:t xml:space="preserve"> may lead to 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E0A45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37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uneven implementation of </w:t>
      </w:r>
      <w:r>
        <w:rPr>
          <w:rFonts w:ascii="Times New Roman" w:hAnsi="Times New Roman" w:cs="Times New Roman"/>
          <w:sz w:val="24"/>
          <w:szCs w:val="24"/>
          <w:lang w:val="en-GB"/>
        </w:rPr>
        <w:t>this paragraph</w:t>
      </w:r>
      <w:r w:rsidR="00657371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371">
        <w:rPr>
          <w:rFonts w:ascii="Times New Roman" w:hAnsi="Times New Roman" w:cs="Times New Roman"/>
          <w:sz w:val="24"/>
          <w:szCs w:val="24"/>
          <w:lang w:val="en-GB"/>
        </w:rPr>
        <w:t>by competent authorities</w:t>
      </w:r>
      <w:r w:rsidR="00657371"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7371" w:rsidRPr="002D7513" w14:paraId="742ECA34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270E8C72" w14:textId="140B5030" w:rsidR="00657371" w:rsidRPr="00657371" w:rsidRDefault="00657371" w:rsidP="00657371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The EBA should clarify </w:t>
            </w:r>
            <w:r w:rsidR="00BA6E0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in paragraph 6.1 </w:t>
            </w:r>
            <w:r w:rsidR="006A4B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that</w:t>
            </w: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the notification must be submitted in each EU Member State where the </w:t>
            </w:r>
            <w:r w:rsidR="006A4B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payment </w:t>
            </w: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instrument</w:t>
            </w:r>
            <w:r w:rsidR="006A4B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is </w:t>
            </w: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provided</w:t>
            </w:r>
            <w:r w:rsidR="006A4B3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to the clients</w:t>
            </w:r>
            <w:r w:rsidR="00AC170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(and not </w:t>
            </w:r>
            <w:r w:rsidR="00AC170A" w:rsidRPr="00AC170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 each EU Member State where the exempted instrument is accepted)</w:t>
            </w: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7FFB4DE3" w14:textId="37223C98" w:rsidR="00657371" w:rsidRPr="00657371" w:rsidRDefault="00657371" w:rsidP="00657371">
      <w:pPr>
        <w:pStyle w:val="Paragraphedeliste"/>
        <w:numPr>
          <w:ilvl w:val="0"/>
          <w:numId w:val="2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573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Notification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template</w:t>
      </w:r>
    </w:p>
    <w:p w14:paraId="06EDC1E6" w14:textId="19756429" w:rsidR="00657371" w:rsidRDefault="00657371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Guideline 6 </w:t>
      </w:r>
      <w:r w:rsidR="00304070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GB"/>
        </w:rPr>
        <w:t>indicates</w:t>
      </w:r>
      <w:r w:rsidR="007D67BE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4E768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the notification </w:t>
      </w:r>
      <w:r>
        <w:rPr>
          <w:rFonts w:ascii="Times New Roman" w:hAnsi="Times New Roman" w:cs="Times New Roman"/>
          <w:sz w:val="24"/>
          <w:szCs w:val="24"/>
          <w:lang w:val="en-GB"/>
        </w:rPr>
        <w:t>should contain</w:t>
      </w:r>
      <w:r w:rsidR="004E7683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67CD" w:rsidRPr="007849FD">
        <w:rPr>
          <w:rFonts w:ascii="Times New Roman" w:hAnsi="Times New Roman" w:cs="Times New Roman"/>
          <w:sz w:val="24"/>
          <w:szCs w:val="24"/>
          <w:lang w:val="en-GB"/>
        </w:rPr>
        <w:t>specific information such as the description of the activity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23AD265" w14:textId="47ED9053" w:rsidR="00657371" w:rsidRDefault="00657371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7D67BE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practice, notification templates may differ significantly between 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>competent authorities.</w:t>
      </w:r>
      <w:r w:rsidR="003467C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261D259" w14:textId="7EEC4F84" w:rsidR="007D22B6" w:rsidRPr="007849FD" w:rsidRDefault="00061E8F" w:rsidP="00EE47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We believe </w:t>
      </w:r>
      <w:r w:rsidR="003467C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it would be simpler </w:t>
      </w:r>
      <w:r w:rsidR="008D41B6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if the EBA </w:t>
      </w:r>
      <w:r w:rsidR="00FE0A45">
        <w:rPr>
          <w:rFonts w:ascii="Times New Roman" w:hAnsi="Times New Roman" w:cs="Times New Roman"/>
          <w:sz w:val="24"/>
          <w:szCs w:val="24"/>
          <w:lang w:val="en-GB"/>
        </w:rPr>
        <w:t>provided</w:t>
      </w:r>
      <w:r w:rsidR="00FE0A45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67CD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a template </w:t>
      </w:r>
      <w:r w:rsidR="008D41B6" w:rsidRPr="007849FD">
        <w:rPr>
          <w:rFonts w:ascii="Times New Roman" w:hAnsi="Times New Roman" w:cs="Times New Roman"/>
          <w:sz w:val="24"/>
          <w:szCs w:val="24"/>
          <w:lang w:val="en-GB"/>
        </w:rPr>
        <w:t xml:space="preserve">form </w:t>
      </w:r>
      <w:r w:rsidR="003467CD" w:rsidRPr="007849FD">
        <w:rPr>
          <w:rFonts w:ascii="Times New Roman" w:hAnsi="Times New Roman" w:cs="Times New Roman"/>
          <w:sz w:val="24"/>
          <w:szCs w:val="24"/>
          <w:lang w:val="en-GB"/>
        </w:rPr>
        <w:t>for the notification</w:t>
      </w:r>
      <w:r w:rsidR="00A8604A" w:rsidRPr="007849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62F5" w:rsidRPr="002D7513" w14:paraId="2747A2BC" w14:textId="77777777" w:rsidTr="00B11AB6">
        <w:tc>
          <w:tcPr>
            <w:tcW w:w="9062" w:type="dxa"/>
            <w:shd w:val="clear" w:color="auto" w:fill="F2F2F2" w:themeFill="background1" w:themeFillShade="F2"/>
          </w:tcPr>
          <w:p w14:paraId="08EDD66C" w14:textId="0D77877F" w:rsidR="005F62F5" w:rsidRPr="00657371" w:rsidRDefault="00657371" w:rsidP="00657371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The EBA should provide </w:t>
            </w:r>
            <w:r w:rsidR="007D67BE" w:rsidRPr="006573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 template notification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form.</w:t>
            </w:r>
          </w:p>
        </w:tc>
      </w:tr>
    </w:tbl>
    <w:p w14:paraId="1B30F7C6" w14:textId="3D95D6F3" w:rsidR="003D0379" w:rsidRDefault="001F16BC" w:rsidP="00B5078F">
      <w:pPr>
        <w:keepNext/>
        <w:spacing w:before="480" w:after="24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Guideline 7</w:t>
      </w:r>
    </w:p>
    <w:p w14:paraId="6E63B120" w14:textId="065237BD" w:rsidR="00AF78FA" w:rsidRPr="007849FD" w:rsidRDefault="00AF78FA" w:rsidP="00EE47DD">
      <w:pPr>
        <w:spacing w:after="240" w:line="240" w:lineRule="auto"/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  <w:r w:rsidRPr="007849FD">
        <w:rPr>
          <w:rStyle w:val="markedcontent"/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Q7. Do you have comments on Guideline 7 on the limited network under Article 3(k)(iii) of PSD2?</w:t>
      </w:r>
    </w:p>
    <w:p w14:paraId="47415C02" w14:textId="47902660" w:rsidR="00FD1253" w:rsidRPr="007849FD" w:rsidRDefault="00596FC9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We do not have any comments on Guideline 7.</w:t>
      </w:r>
    </w:p>
    <w:p w14:paraId="2FECB6FD" w14:textId="77777777" w:rsidR="00596FC9" w:rsidRPr="007849FD" w:rsidRDefault="00596FC9" w:rsidP="00EE47DD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</w:p>
    <w:p w14:paraId="7412DDE8" w14:textId="7B63EAF0" w:rsidR="00596FC9" w:rsidRPr="007849FD" w:rsidRDefault="00596FC9" w:rsidP="00EE47DD">
      <w:pPr>
        <w:jc w:val="center"/>
        <w:rPr>
          <w:rStyle w:val="markedcontent"/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t>*</w:t>
      </w:r>
    </w:p>
    <w:p w14:paraId="4338EEE6" w14:textId="24565C45" w:rsidR="00596FC9" w:rsidRPr="007849FD" w:rsidRDefault="00596FC9" w:rsidP="00EE47DD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lastRenderedPageBreak/>
        <w:t>*</w:t>
      </w:r>
      <w:r w:rsidRPr="007849FD">
        <w:rPr>
          <w:rStyle w:val="markedcontent"/>
          <w:rFonts w:ascii="Times New Roman" w:hAnsi="Times New Roman" w:cs="Times New Roman"/>
          <w:sz w:val="32"/>
          <w:szCs w:val="32"/>
          <w:lang w:val="en-GB"/>
        </w:rPr>
        <w:tab/>
        <w:t>*</w:t>
      </w:r>
    </w:p>
    <w:sectPr w:rsidR="00596FC9" w:rsidRPr="007849FD" w:rsidSect="00E41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2423" w14:textId="77777777" w:rsidR="004D7A30" w:rsidRDefault="004D7A30" w:rsidP="006F1131">
      <w:pPr>
        <w:spacing w:after="0" w:line="240" w:lineRule="auto"/>
      </w:pPr>
      <w:r>
        <w:separator/>
      </w:r>
    </w:p>
  </w:endnote>
  <w:endnote w:type="continuationSeparator" w:id="0">
    <w:p w14:paraId="218778CF" w14:textId="77777777" w:rsidR="004D7A30" w:rsidRDefault="004D7A30" w:rsidP="006F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4E1A" w14:textId="77777777" w:rsidR="00A8722C" w:rsidRDefault="00A872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662665575"/>
      <w:docPartObj>
        <w:docPartGallery w:val="Page Numbers (Bottom of Page)"/>
        <w:docPartUnique/>
      </w:docPartObj>
    </w:sdtPr>
    <w:sdtEndPr/>
    <w:sdtContent>
      <w:p w14:paraId="43307938" w14:textId="68697A81" w:rsidR="00596FC9" w:rsidRPr="00596FC9" w:rsidRDefault="00596FC9">
        <w:pPr>
          <w:pStyle w:val="Pieddepage"/>
          <w:jc w:val="right"/>
          <w:rPr>
            <w:rFonts w:ascii="Times New Roman" w:hAnsi="Times New Roman" w:cs="Times New Roman"/>
          </w:rPr>
        </w:pPr>
        <w:r w:rsidRPr="00596FC9">
          <w:rPr>
            <w:rFonts w:ascii="Times New Roman" w:hAnsi="Times New Roman" w:cs="Times New Roman"/>
          </w:rPr>
          <w:fldChar w:fldCharType="begin"/>
        </w:r>
        <w:r w:rsidRPr="00596FC9">
          <w:rPr>
            <w:rFonts w:ascii="Times New Roman" w:hAnsi="Times New Roman" w:cs="Times New Roman"/>
          </w:rPr>
          <w:instrText>PAGE   \* MERGEFORMAT</w:instrText>
        </w:r>
        <w:r w:rsidRPr="00596FC9">
          <w:rPr>
            <w:rFonts w:ascii="Times New Roman" w:hAnsi="Times New Roman" w:cs="Times New Roman"/>
          </w:rPr>
          <w:fldChar w:fldCharType="separate"/>
        </w:r>
        <w:r w:rsidRPr="00596FC9">
          <w:rPr>
            <w:rFonts w:ascii="Times New Roman" w:hAnsi="Times New Roman" w:cs="Times New Roman"/>
          </w:rPr>
          <w:t>2</w:t>
        </w:r>
        <w:r w:rsidRPr="00596FC9">
          <w:rPr>
            <w:rFonts w:ascii="Times New Roman" w:hAnsi="Times New Roman" w:cs="Times New Roman"/>
          </w:rPr>
          <w:fldChar w:fldCharType="end"/>
        </w:r>
      </w:p>
    </w:sdtContent>
  </w:sdt>
  <w:p w14:paraId="67A471B9" w14:textId="77777777" w:rsidR="00596FC9" w:rsidRPr="00596FC9" w:rsidRDefault="00596FC9">
    <w:pPr>
      <w:pStyle w:val="Pieddepage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E8F0" w14:textId="77777777" w:rsidR="00A8722C" w:rsidRDefault="00A87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6A29" w14:textId="77777777" w:rsidR="004D7A30" w:rsidRDefault="004D7A30" w:rsidP="006F1131">
      <w:pPr>
        <w:spacing w:after="0" w:line="240" w:lineRule="auto"/>
      </w:pPr>
      <w:r>
        <w:separator/>
      </w:r>
    </w:p>
  </w:footnote>
  <w:footnote w:type="continuationSeparator" w:id="0">
    <w:p w14:paraId="10A87ADE" w14:textId="77777777" w:rsidR="004D7A30" w:rsidRDefault="004D7A30" w:rsidP="006F1131">
      <w:pPr>
        <w:spacing w:after="0" w:line="240" w:lineRule="auto"/>
      </w:pPr>
      <w:r>
        <w:continuationSeparator/>
      </w:r>
    </w:p>
  </w:footnote>
  <w:footnote w:id="1">
    <w:p w14:paraId="643C0E60" w14:textId="00A50D55" w:rsidR="005E4E9B" w:rsidRPr="00B958BD" w:rsidRDefault="005E4E9B" w:rsidP="00780DF2">
      <w:pPr>
        <w:pStyle w:val="Notedebasdepage"/>
        <w:spacing w:after="120"/>
        <w:ind w:left="284" w:hanging="284"/>
        <w:rPr>
          <w:rFonts w:ascii="Times New Roman" w:hAnsi="Times New Roman" w:cs="Times New Roman"/>
          <w:lang w:val="en-US"/>
        </w:rPr>
      </w:pPr>
      <w:r w:rsidRPr="00B958BD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B958B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2754A" w:rsidRPr="00B958B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958BD">
        <w:rPr>
          <w:rFonts w:ascii="Times New Roman" w:hAnsi="Times New Roman" w:cs="Times New Roman"/>
          <w:sz w:val="18"/>
          <w:szCs w:val="18"/>
          <w:lang w:val="en-US"/>
        </w:rPr>
        <w:t>Directive (EU) 2015/2366 of the European Parliament and of the Council of 25 November 2015 on payment services in the internal market</w:t>
      </w:r>
      <w:r w:rsidR="0042754A" w:rsidRPr="00B958BD">
        <w:rPr>
          <w:rFonts w:ascii="Times New Roman" w:hAnsi="Times New Roman" w:cs="Times New Roman"/>
          <w:sz w:val="18"/>
          <w:szCs w:val="18"/>
          <w:lang w:val="en-US"/>
        </w:rPr>
        <w:t>.</w:t>
      </w:r>
    </w:p>
  </w:footnote>
  <w:footnote w:id="2">
    <w:p w14:paraId="401F5913" w14:textId="77777777" w:rsidR="00B958BD" w:rsidRPr="00B958BD" w:rsidRDefault="00B958BD" w:rsidP="00B958BD">
      <w:pPr>
        <w:pStyle w:val="Notedebasdepage"/>
        <w:spacing w:after="120"/>
        <w:ind w:left="284" w:hanging="284"/>
        <w:rPr>
          <w:rFonts w:ascii="Times New Roman" w:hAnsi="Times New Roman" w:cs="Times New Roman"/>
          <w:lang w:val="en-US"/>
        </w:rPr>
      </w:pPr>
      <w:r w:rsidRPr="00B958BD">
        <w:rPr>
          <w:rStyle w:val="Appelnotedebasdep"/>
          <w:rFonts w:ascii="Times New Roman" w:hAnsi="Times New Roman" w:cs="Times New Roman"/>
        </w:rPr>
        <w:footnoteRef/>
      </w:r>
      <w:r w:rsidRPr="00B958BD">
        <w:rPr>
          <w:rFonts w:ascii="Times New Roman" w:hAnsi="Times New Roman" w:cs="Times New Roman"/>
          <w:lang w:val="en-US"/>
        </w:rPr>
        <w:t xml:space="preserve"> </w:t>
      </w:r>
      <w:r w:rsidRPr="00B958BD">
        <w:rPr>
          <w:rFonts w:ascii="Times New Roman" w:hAnsi="Times New Roman" w:cs="Times New Roman"/>
          <w:lang w:val="en-US"/>
        </w:rPr>
        <w:tab/>
        <w:t xml:space="preserve">See </w:t>
      </w:r>
      <w:hyperlink r:id="rId1" w:history="1">
        <w:r w:rsidRPr="00B958BD">
          <w:rPr>
            <w:rStyle w:val="Lienhypertexte"/>
            <w:rFonts w:ascii="Times New Roman" w:hAnsi="Times New Roman" w:cs="Times New Roman"/>
            <w:lang w:val="en-US"/>
          </w:rPr>
          <w:t>EUCLID - Register (europa.eu)</w:t>
        </w:r>
      </w:hyperlink>
      <w:r w:rsidRPr="00B958BD">
        <w:rPr>
          <w:rFonts w:ascii="Times New Roman" w:hAnsi="Times New Roman" w:cs="Times New Roman"/>
          <w:lang w:val="en-US"/>
        </w:rPr>
        <w:t>.</w:t>
      </w:r>
    </w:p>
  </w:footnote>
  <w:footnote w:id="3">
    <w:p w14:paraId="6488152A" w14:textId="742A7740" w:rsidR="00DF24D2" w:rsidRPr="00B958BD" w:rsidRDefault="00304070" w:rsidP="00780DF2">
      <w:pPr>
        <w:pStyle w:val="Notedebasdepage"/>
        <w:spacing w:after="120"/>
        <w:ind w:left="284" w:hanging="284"/>
        <w:rPr>
          <w:rFonts w:ascii="Times New Roman" w:hAnsi="Times New Roman" w:cs="Times New Roman"/>
          <w:lang w:val="en-US"/>
        </w:rPr>
      </w:pPr>
      <w:r w:rsidRPr="00B958BD">
        <w:rPr>
          <w:rStyle w:val="Appelnotedebasdep"/>
          <w:rFonts w:ascii="Times New Roman" w:hAnsi="Times New Roman" w:cs="Times New Roman"/>
        </w:rPr>
        <w:footnoteRef/>
      </w:r>
      <w:r w:rsidRPr="00B958BD">
        <w:rPr>
          <w:rFonts w:ascii="Times New Roman" w:hAnsi="Times New Roman" w:cs="Times New Roman"/>
          <w:lang w:val="en-US"/>
        </w:rPr>
        <w:t xml:space="preserve"> </w:t>
      </w:r>
      <w:r w:rsidRPr="00B958BD">
        <w:rPr>
          <w:rFonts w:ascii="Times New Roman" w:hAnsi="Times New Roman" w:cs="Times New Roman"/>
          <w:lang w:val="en-US"/>
        </w:rPr>
        <w:tab/>
        <w:t>See ACPR Position P-2017-01.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9FC2" w14:textId="77777777" w:rsidR="00A8722C" w:rsidRDefault="00A872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322A" w14:textId="7A4D472F" w:rsidR="00E407CB" w:rsidRPr="00EE47DD" w:rsidRDefault="00B231A0" w:rsidP="00E407CB">
    <w:pPr>
      <w:pStyle w:val="En-tte"/>
      <w:jc w:val="right"/>
      <w:rPr>
        <w:rFonts w:ascii="Times New Roman" w:hAnsi="Times New Roman" w:cs="Times New Roman"/>
        <w:sz w:val="18"/>
        <w:szCs w:val="18"/>
      </w:rPr>
    </w:pPr>
    <w:r w:rsidRPr="00EE47DD">
      <w:rPr>
        <w:rFonts w:ascii="Times New Roman" w:hAnsi="Times New Roman" w:cs="Times New Roman"/>
        <w:sz w:val="18"/>
        <w:szCs w:val="18"/>
      </w:rPr>
      <w:t>SPK</w:t>
    </w:r>
    <w:r w:rsidR="00E407CB" w:rsidRPr="00EE47DD">
      <w:rPr>
        <w:rFonts w:ascii="Times New Roman" w:hAnsi="Times New Roman" w:cs="Times New Roman"/>
        <w:sz w:val="18"/>
        <w:szCs w:val="18"/>
      </w:rPr>
      <w:t xml:space="preserve"> – </w:t>
    </w:r>
    <w:r w:rsidR="00112D15" w:rsidRPr="00EE47DD">
      <w:rPr>
        <w:rFonts w:ascii="Times New Roman" w:hAnsi="Times New Roman" w:cs="Times New Roman"/>
        <w:sz w:val="18"/>
        <w:szCs w:val="18"/>
      </w:rPr>
      <w:t>Projet</w:t>
    </w:r>
    <w:r w:rsidR="00E407CB" w:rsidRPr="00EE47DD">
      <w:rPr>
        <w:rFonts w:ascii="Times New Roman" w:hAnsi="Times New Roman" w:cs="Times New Roman"/>
        <w:sz w:val="18"/>
        <w:szCs w:val="18"/>
      </w:rPr>
      <w:t xml:space="preserve"> </w:t>
    </w:r>
    <w:r w:rsidRPr="00EE47DD">
      <w:rPr>
        <w:rFonts w:ascii="Times New Roman" w:hAnsi="Times New Roman" w:cs="Times New Roman"/>
        <w:sz w:val="18"/>
        <w:szCs w:val="18"/>
      </w:rPr>
      <w:t>–</w:t>
    </w:r>
    <w:r w:rsidR="00E407CB" w:rsidRPr="00EE47DD">
      <w:rPr>
        <w:rFonts w:ascii="Times New Roman" w:hAnsi="Times New Roman" w:cs="Times New Roman"/>
        <w:sz w:val="18"/>
        <w:szCs w:val="18"/>
      </w:rPr>
      <w:t xml:space="preserve"> </w:t>
    </w:r>
    <w:r w:rsidR="00A31289">
      <w:rPr>
        <w:rFonts w:ascii="Times New Roman" w:hAnsi="Times New Roman" w:cs="Times New Roman"/>
        <w:sz w:val="18"/>
        <w:szCs w:val="18"/>
      </w:rPr>
      <w:t>0</w:t>
    </w:r>
    <w:r w:rsidR="00A8722C">
      <w:rPr>
        <w:rFonts w:ascii="Times New Roman" w:hAnsi="Times New Roman" w:cs="Times New Roman"/>
        <w:sz w:val="18"/>
        <w:szCs w:val="18"/>
      </w:rPr>
      <w:t>9</w:t>
    </w:r>
    <w:r w:rsidR="00DF4337">
      <w:rPr>
        <w:rFonts w:ascii="Times New Roman" w:hAnsi="Times New Roman" w:cs="Times New Roman"/>
        <w:sz w:val="18"/>
        <w:szCs w:val="18"/>
      </w:rPr>
      <w:t>/</w:t>
    </w:r>
    <w:r w:rsidR="00A31289">
      <w:rPr>
        <w:rFonts w:ascii="Times New Roman" w:hAnsi="Times New Roman" w:cs="Times New Roman"/>
        <w:sz w:val="18"/>
        <w:szCs w:val="18"/>
      </w:rPr>
      <w:t>09</w:t>
    </w:r>
    <w:r w:rsidRPr="00EE47DD">
      <w:rPr>
        <w:rFonts w:ascii="Times New Roman" w:hAnsi="Times New Roman" w:cs="Times New Roman"/>
        <w:sz w:val="18"/>
        <w:szCs w:val="18"/>
      </w:rPr>
      <w:t>/2021</w:t>
    </w:r>
  </w:p>
  <w:p w14:paraId="164D9911" w14:textId="4622F7C8" w:rsidR="00112D15" w:rsidRPr="00EE47DD" w:rsidRDefault="00112D15" w:rsidP="00E407CB">
    <w:pPr>
      <w:pStyle w:val="En-tte"/>
      <w:jc w:val="right"/>
      <w:rPr>
        <w:rFonts w:ascii="Times New Roman" w:hAnsi="Times New Roman" w:cs="Times New Roman"/>
        <w:i/>
        <w:iCs/>
        <w:sz w:val="18"/>
        <w:szCs w:val="18"/>
      </w:rPr>
    </w:pPr>
    <w:r w:rsidRPr="00EE47DD">
      <w:rPr>
        <w:rFonts w:ascii="Times New Roman" w:hAnsi="Times New Roman" w:cs="Times New Roman"/>
        <w:i/>
        <w:iCs/>
        <w:sz w:val="18"/>
        <w:szCs w:val="18"/>
      </w:rPr>
      <w:t>Confidentiel</w:t>
    </w:r>
  </w:p>
  <w:p w14:paraId="46888075" w14:textId="5AD723C4" w:rsidR="00C12C0C" w:rsidRPr="00EE47DD" w:rsidRDefault="00C12C0C" w:rsidP="00C12C0C">
    <w:pPr>
      <w:pStyle w:val="En-tte"/>
      <w:jc w:val="center"/>
      <w:rPr>
        <w:rFonts w:ascii="Times New Roman" w:hAnsi="Times New Roman" w:cs="Times New Roman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31C8" w14:textId="781653BE" w:rsidR="00C12C0C" w:rsidRPr="00A31289" w:rsidRDefault="00C12C0C" w:rsidP="00C12C0C">
    <w:pPr>
      <w:pStyle w:val="En-tte"/>
      <w:jc w:val="right"/>
      <w:rPr>
        <w:rFonts w:ascii="Times New Roman" w:hAnsi="Times New Roman" w:cs="Times New Roman"/>
        <w:sz w:val="18"/>
        <w:szCs w:val="18"/>
      </w:rPr>
    </w:pPr>
    <w:r w:rsidRPr="00A31289">
      <w:rPr>
        <w:rFonts w:ascii="Times New Roman" w:hAnsi="Times New Roman" w:cs="Times New Roman"/>
        <w:sz w:val="18"/>
        <w:szCs w:val="18"/>
      </w:rPr>
      <w:t xml:space="preserve">SPK – Projet – </w:t>
    </w:r>
    <w:r w:rsidR="00D377DE">
      <w:rPr>
        <w:rFonts w:ascii="Times New Roman" w:hAnsi="Times New Roman" w:cs="Times New Roman"/>
        <w:sz w:val="18"/>
        <w:szCs w:val="18"/>
      </w:rPr>
      <w:t>0</w:t>
    </w:r>
    <w:r w:rsidR="00A8722C">
      <w:rPr>
        <w:rFonts w:ascii="Times New Roman" w:hAnsi="Times New Roman" w:cs="Times New Roman"/>
        <w:sz w:val="18"/>
        <w:szCs w:val="18"/>
      </w:rPr>
      <w:t>9</w:t>
    </w:r>
    <w:r w:rsidR="00A31289" w:rsidRPr="00A31289">
      <w:rPr>
        <w:rFonts w:ascii="Times New Roman" w:hAnsi="Times New Roman" w:cs="Times New Roman"/>
        <w:sz w:val="18"/>
        <w:szCs w:val="18"/>
      </w:rPr>
      <w:t>/09</w:t>
    </w:r>
    <w:r w:rsidRPr="00A31289">
      <w:rPr>
        <w:rFonts w:ascii="Times New Roman" w:hAnsi="Times New Roman" w:cs="Times New Roman"/>
        <w:sz w:val="18"/>
        <w:szCs w:val="18"/>
      </w:rPr>
      <w:t>/2021</w:t>
    </w:r>
  </w:p>
  <w:p w14:paraId="5405FEB0" w14:textId="55058C91" w:rsidR="00772A39" w:rsidRPr="00A31289" w:rsidRDefault="00C12C0C" w:rsidP="00371EC9">
    <w:pPr>
      <w:pStyle w:val="En-tte"/>
      <w:jc w:val="right"/>
      <w:rPr>
        <w:rFonts w:ascii="Times New Roman" w:hAnsi="Times New Roman" w:cs="Times New Roman"/>
        <w:i/>
        <w:iCs/>
        <w:sz w:val="18"/>
        <w:szCs w:val="18"/>
      </w:rPr>
    </w:pPr>
    <w:r w:rsidRPr="00A31289">
      <w:rPr>
        <w:rFonts w:ascii="Times New Roman" w:hAnsi="Times New Roman" w:cs="Times New Roman"/>
        <w:i/>
        <w:iCs/>
        <w:sz w:val="18"/>
        <w:szCs w:val="18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92"/>
    <w:multiLevelType w:val="hybridMultilevel"/>
    <w:tmpl w:val="1C2C3148"/>
    <w:lvl w:ilvl="0" w:tplc="B4AEF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49A"/>
    <w:multiLevelType w:val="hybridMultilevel"/>
    <w:tmpl w:val="97B0E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386"/>
    <w:multiLevelType w:val="multilevel"/>
    <w:tmpl w:val="59F8F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CF5194"/>
    <w:multiLevelType w:val="multilevel"/>
    <w:tmpl w:val="9260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 w15:restartNumberingAfterBreak="0">
    <w:nsid w:val="1CD414C3"/>
    <w:multiLevelType w:val="multilevel"/>
    <w:tmpl w:val="9260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5" w15:restartNumberingAfterBreak="0">
    <w:nsid w:val="20C9047A"/>
    <w:multiLevelType w:val="multilevel"/>
    <w:tmpl w:val="CC72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851" w:hanging="491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AA19C8"/>
    <w:multiLevelType w:val="multilevel"/>
    <w:tmpl w:val="C570C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6786B"/>
    <w:multiLevelType w:val="multilevel"/>
    <w:tmpl w:val="9FC4B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4559A1"/>
    <w:multiLevelType w:val="multilevel"/>
    <w:tmpl w:val="2BC0C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15189B"/>
    <w:multiLevelType w:val="hybridMultilevel"/>
    <w:tmpl w:val="F90285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17A3D"/>
    <w:multiLevelType w:val="hybridMultilevel"/>
    <w:tmpl w:val="154A07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485C"/>
    <w:multiLevelType w:val="hybridMultilevel"/>
    <w:tmpl w:val="943EA004"/>
    <w:lvl w:ilvl="0" w:tplc="C93ECEB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6257"/>
    <w:multiLevelType w:val="hybridMultilevel"/>
    <w:tmpl w:val="B0C4D42E"/>
    <w:lvl w:ilvl="0" w:tplc="29889B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1624"/>
    <w:multiLevelType w:val="hybridMultilevel"/>
    <w:tmpl w:val="8B90B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6E6D"/>
    <w:multiLevelType w:val="multilevel"/>
    <w:tmpl w:val="4DE26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C81E1D"/>
    <w:multiLevelType w:val="multilevel"/>
    <w:tmpl w:val="DBF27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63E6B"/>
    <w:multiLevelType w:val="multilevel"/>
    <w:tmpl w:val="7B82C75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471526CD"/>
    <w:multiLevelType w:val="hybridMultilevel"/>
    <w:tmpl w:val="DE5AC694"/>
    <w:lvl w:ilvl="0" w:tplc="C1C2D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E338A"/>
    <w:multiLevelType w:val="multilevel"/>
    <w:tmpl w:val="1F72D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023E8F"/>
    <w:multiLevelType w:val="multilevel"/>
    <w:tmpl w:val="635E8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0" w15:restartNumberingAfterBreak="0">
    <w:nsid w:val="55CF1CDB"/>
    <w:multiLevelType w:val="multilevel"/>
    <w:tmpl w:val="E0C8E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0552C3"/>
    <w:multiLevelType w:val="hybridMultilevel"/>
    <w:tmpl w:val="EB141572"/>
    <w:lvl w:ilvl="0" w:tplc="0AC69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5245C"/>
    <w:multiLevelType w:val="hybridMultilevel"/>
    <w:tmpl w:val="1266E2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9C5406"/>
    <w:multiLevelType w:val="hybridMultilevel"/>
    <w:tmpl w:val="BDB2EFD4"/>
    <w:lvl w:ilvl="0" w:tplc="2BFA7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F6F35"/>
    <w:multiLevelType w:val="hybridMultilevel"/>
    <w:tmpl w:val="415A6A26"/>
    <w:lvl w:ilvl="0" w:tplc="6D12B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966"/>
    <w:multiLevelType w:val="multilevel"/>
    <w:tmpl w:val="2BC0C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C53722"/>
    <w:multiLevelType w:val="multilevel"/>
    <w:tmpl w:val="9ADA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851" w:hanging="491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4758A6"/>
    <w:multiLevelType w:val="hybridMultilevel"/>
    <w:tmpl w:val="154A07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17D8"/>
    <w:multiLevelType w:val="multilevel"/>
    <w:tmpl w:val="51E4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8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28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0"/>
  </w:num>
  <w:num w:numId="22">
    <w:abstractNumId w:val="1"/>
  </w:num>
  <w:num w:numId="23">
    <w:abstractNumId w:val="10"/>
  </w:num>
  <w:num w:numId="24">
    <w:abstractNumId w:val="27"/>
  </w:num>
  <w:num w:numId="25">
    <w:abstractNumId w:val="11"/>
  </w:num>
  <w:num w:numId="26">
    <w:abstractNumId w:val="16"/>
  </w:num>
  <w:num w:numId="27">
    <w:abstractNumId w:val="12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FA"/>
    <w:rsid w:val="00005C01"/>
    <w:rsid w:val="0000655C"/>
    <w:rsid w:val="0001327E"/>
    <w:rsid w:val="00044D3F"/>
    <w:rsid w:val="00045B18"/>
    <w:rsid w:val="00052DAC"/>
    <w:rsid w:val="00053219"/>
    <w:rsid w:val="0005524E"/>
    <w:rsid w:val="00061E8F"/>
    <w:rsid w:val="00066826"/>
    <w:rsid w:val="00081DAA"/>
    <w:rsid w:val="0009702C"/>
    <w:rsid w:val="000A2BD1"/>
    <w:rsid w:val="000B05C5"/>
    <w:rsid w:val="000B2593"/>
    <w:rsid w:val="000D5EBA"/>
    <w:rsid w:val="00103B96"/>
    <w:rsid w:val="00110043"/>
    <w:rsid w:val="00112D15"/>
    <w:rsid w:val="001142FB"/>
    <w:rsid w:val="00115477"/>
    <w:rsid w:val="00117EB6"/>
    <w:rsid w:val="00140943"/>
    <w:rsid w:val="00152B8D"/>
    <w:rsid w:val="00170909"/>
    <w:rsid w:val="0017281F"/>
    <w:rsid w:val="001758FB"/>
    <w:rsid w:val="0018264A"/>
    <w:rsid w:val="0019411D"/>
    <w:rsid w:val="001A6206"/>
    <w:rsid w:val="001B052F"/>
    <w:rsid w:val="001B26A1"/>
    <w:rsid w:val="001B4428"/>
    <w:rsid w:val="001B6ECF"/>
    <w:rsid w:val="001D2FE2"/>
    <w:rsid w:val="001D7E50"/>
    <w:rsid w:val="001F16BC"/>
    <w:rsid w:val="001F4830"/>
    <w:rsid w:val="001F7023"/>
    <w:rsid w:val="001F7147"/>
    <w:rsid w:val="002377E9"/>
    <w:rsid w:val="002429D7"/>
    <w:rsid w:val="002438F9"/>
    <w:rsid w:val="00267854"/>
    <w:rsid w:val="00271DBA"/>
    <w:rsid w:val="00284D4B"/>
    <w:rsid w:val="00286269"/>
    <w:rsid w:val="00297530"/>
    <w:rsid w:val="00297EC1"/>
    <w:rsid w:val="002B57AE"/>
    <w:rsid w:val="002D0A00"/>
    <w:rsid w:val="002D7513"/>
    <w:rsid w:val="002E1153"/>
    <w:rsid w:val="002F3AE8"/>
    <w:rsid w:val="002F7CEA"/>
    <w:rsid w:val="00304070"/>
    <w:rsid w:val="00313CD5"/>
    <w:rsid w:val="00320FA4"/>
    <w:rsid w:val="00323485"/>
    <w:rsid w:val="00342C5B"/>
    <w:rsid w:val="00344903"/>
    <w:rsid w:val="003467CD"/>
    <w:rsid w:val="00351B75"/>
    <w:rsid w:val="00362786"/>
    <w:rsid w:val="00365AC0"/>
    <w:rsid w:val="00366AA7"/>
    <w:rsid w:val="00366BDB"/>
    <w:rsid w:val="00370D59"/>
    <w:rsid w:val="00371EC9"/>
    <w:rsid w:val="00371F77"/>
    <w:rsid w:val="00377FB8"/>
    <w:rsid w:val="003A07CC"/>
    <w:rsid w:val="003A2B41"/>
    <w:rsid w:val="003B1D5A"/>
    <w:rsid w:val="003B3C3A"/>
    <w:rsid w:val="003D0379"/>
    <w:rsid w:val="003E02F2"/>
    <w:rsid w:val="003F2471"/>
    <w:rsid w:val="003F2E24"/>
    <w:rsid w:val="00400247"/>
    <w:rsid w:val="004074A2"/>
    <w:rsid w:val="00420FBC"/>
    <w:rsid w:val="0042754A"/>
    <w:rsid w:val="00432AFB"/>
    <w:rsid w:val="00436D03"/>
    <w:rsid w:val="00437E02"/>
    <w:rsid w:val="00446E19"/>
    <w:rsid w:val="004628E2"/>
    <w:rsid w:val="00466C25"/>
    <w:rsid w:val="00470395"/>
    <w:rsid w:val="00472468"/>
    <w:rsid w:val="0047739C"/>
    <w:rsid w:val="00482C6B"/>
    <w:rsid w:val="004A12A7"/>
    <w:rsid w:val="004C3528"/>
    <w:rsid w:val="004D5743"/>
    <w:rsid w:val="004D5E32"/>
    <w:rsid w:val="004D7A30"/>
    <w:rsid w:val="004E02A1"/>
    <w:rsid w:val="004E2197"/>
    <w:rsid w:val="004E7683"/>
    <w:rsid w:val="004F207B"/>
    <w:rsid w:val="004F3F16"/>
    <w:rsid w:val="00511E00"/>
    <w:rsid w:val="005255BA"/>
    <w:rsid w:val="00533745"/>
    <w:rsid w:val="00534FFB"/>
    <w:rsid w:val="00535EDB"/>
    <w:rsid w:val="00547F44"/>
    <w:rsid w:val="005533E0"/>
    <w:rsid w:val="005619C5"/>
    <w:rsid w:val="00583E47"/>
    <w:rsid w:val="00584B2A"/>
    <w:rsid w:val="00590E9D"/>
    <w:rsid w:val="005949D9"/>
    <w:rsid w:val="00596FC9"/>
    <w:rsid w:val="005971B8"/>
    <w:rsid w:val="005A16BF"/>
    <w:rsid w:val="005E0637"/>
    <w:rsid w:val="005E4E9B"/>
    <w:rsid w:val="005F3C5B"/>
    <w:rsid w:val="005F62F5"/>
    <w:rsid w:val="00601663"/>
    <w:rsid w:val="006032C9"/>
    <w:rsid w:val="0060487B"/>
    <w:rsid w:val="00604C89"/>
    <w:rsid w:val="00610593"/>
    <w:rsid w:val="00611E73"/>
    <w:rsid w:val="00612EE7"/>
    <w:rsid w:val="0061391E"/>
    <w:rsid w:val="0063176F"/>
    <w:rsid w:val="006451BE"/>
    <w:rsid w:val="00655FEF"/>
    <w:rsid w:val="00657371"/>
    <w:rsid w:val="006667A7"/>
    <w:rsid w:val="006A0538"/>
    <w:rsid w:val="006A18FA"/>
    <w:rsid w:val="006A4B3A"/>
    <w:rsid w:val="006A7171"/>
    <w:rsid w:val="006B7BA5"/>
    <w:rsid w:val="006E503C"/>
    <w:rsid w:val="006F1131"/>
    <w:rsid w:val="006F340B"/>
    <w:rsid w:val="006F7FE1"/>
    <w:rsid w:val="0071127B"/>
    <w:rsid w:val="00712771"/>
    <w:rsid w:val="00715C25"/>
    <w:rsid w:val="00717F80"/>
    <w:rsid w:val="007258F5"/>
    <w:rsid w:val="00726DC7"/>
    <w:rsid w:val="0073556C"/>
    <w:rsid w:val="00747EFA"/>
    <w:rsid w:val="00754872"/>
    <w:rsid w:val="00771923"/>
    <w:rsid w:val="00772A39"/>
    <w:rsid w:val="007730FE"/>
    <w:rsid w:val="00780DF2"/>
    <w:rsid w:val="007812EF"/>
    <w:rsid w:val="007835EA"/>
    <w:rsid w:val="00783975"/>
    <w:rsid w:val="007847AA"/>
    <w:rsid w:val="007849FD"/>
    <w:rsid w:val="00790B53"/>
    <w:rsid w:val="00794A12"/>
    <w:rsid w:val="007B11A0"/>
    <w:rsid w:val="007B22A1"/>
    <w:rsid w:val="007B346A"/>
    <w:rsid w:val="007D0979"/>
    <w:rsid w:val="007D22B6"/>
    <w:rsid w:val="007D67BE"/>
    <w:rsid w:val="007E4C37"/>
    <w:rsid w:val="007F03C4"/>
    <w:rsid w:val="008017C7"/>
    <w:rsid w:val="00815BDC"/>
    <w:rsid w:val="00821244"/>
    <w:rsid w:val="00830227"/>
    <w:rsid w:val="0084271D"/>
    <w:rsid w:val="00861045"/>
    <w:rsid w:val="00883436"/>
    <w:rsid w:val="00883721"/>
    <w:rsid w:val="00884998"/>
    <w:rsid w:val="00893B18"/>
    <w:rsid w:val="00896E63"/>
    <w:rsid w:val="008A3E25"/>
    <w:rsid w:val="008A5C54"/>
    <w:rsid w:val="008A68A1"/>
    <w:rsid w:val="008B1EEA"/>
    <w:rsid w:val="008D41B6"/>
    <w:rsid w:val="008E55F6"/>
    <w:rsid w:val="008F5C35"/>
    <w:rsid w:val="008F6E4B"/>
    <w:rsid w:val="0090190D"/>
    <w:rsid w:val="0091438B"/>
    <w:rsid w:val="00917803"/>
    <w:rsid w:val="00921E16"/>
    <w:rsid w:val="00925E0B"/>
    <w:rsid w:val="009262AA"/>
    <w:rsid w:val="00940C3D"/>
    <w:rsid w:val="00944DA9"/>
    <w:rsid w:val="00945863"/>
    <w:rsid w:val="0095047C"/>
    <w:rsid w:val="009554A4"/>
    <w:rsid w:val="009771C9"/>
    <w:rsid w:val="00977C3A"/>
    <w:rsid w:val="00982DC6"/>
    <w:rsid w:val="00983F27"/>
    <w:rsid w:val="0098424E"/>
    <w:rsid w:val="009A7322"/>
    <w:rsid w:val="009B1791"/>
    <w:rsid w:val="009B4C21"/>
    <w:rsid w:val="009D7B83"/>
    <w:rsid w:val="009E34E7"/>
    <w:rsid w:val="009E54DC"/>
    <w:rsid w:val="009F3B8B"/>
    <w:rsid w:val="009F4288"/>
    <w:rsid w:val="009F6001"/>
    <w:rsid w:val="009F729A"/>
    <w:rsid w:val="00A156D2"/>
    <w:rsid w:val="00A17570"/>
    <w:rsid w:val="00A20829"/>
    <w:rsid w:val="00A31289"/>
    <w:rsid w:val="00A340A9"/>
    <w:rsid w:val="00A41C4C"/>
    <w:rsid w:val="00A42970"/>
    <w:rsid w:val="00A65A66"/>
    <w:rsid w:val="00A7699C"/>
    <w:rsid w:val="00A81470"/>
    <w:rsid w:val="00A8604A"/>
    <w:rsid w:val="00A8722C"/>
    <w:rsid w:val="00A94994"/>
    <w:rsid w:val="00AA0CB4"/>
    <w:rsid w:val="00AA125E"/>
    <w:rsid w:val="00AC170A"/>
    <w:rsid w:val="00AC50B7"/>
    <w:rsid w:val="00AC58E8"/>
    <w:rsid w:val="00AC6F80"/>
    <w:rsid w:val="00AF170A"/>
    <w:rsid w:val="00AF3771"/>
    <w:rsid w:val="00AF78FA"/>
    <w:rsid w:val="00B11AB6"/>
    <w:rsid w:val="00B128DA"/>
    <w:rsid w:val="00B231A0"/>
    <w:rsid w:val="00B34520"/>
    <w:rsid w:val="00B40256"/>
    <w:rsid w:val="00B43012"/>
    <w:rsid w:val="00B46C89"/>
    <w:rsid w:val="00B5078F"/>
    <w:rsid w:val="00B52C19"/>
    <w:rsid w:val="00B6259A"/>
    <w:rsid w:val="00B63F30"/>
    <w:rsid w:val="00B664B8"/>
    <w:rsid w:val="00B77D90"/>
    <w:rsid w:val="00B958BD"/>
    <w:rsid w:val="00BA6E0D"/>
    <w:rsid w:val="00BB2A45"/>
    <w:rsid w:val="00BF1E6F"/>
    <w:rsid w:val="00BF6369"/>
    <w:rsid w:val="00BF78FE"/>
    <w:rsid w:val="00C01A14"/>
    <w:rsid w:val="00C02EAE"/>
    <w:rsid w:val="00C110B3"/>
    <w:rsid w:val="00C12C0C"/>
    <w:rsid w:val="00C25CEE"/>
    <w:rsid w:val="00C2750F"/>
    <w:rsid w:val="00C405B1"/>
    <w:rsid w:val="00C62EDB"/>
    <w:rsid w:val="00C73ED8"/>
    <w:rsid w:val="00C80610"/>
    <w:rsid w:val="00C87F82"/>
    <w:rsid w:val="00CA1975"/>
    <w:rsid w:val="00CA4971"/>
    <w:rsid w:val="00CA5169"/>
    <w:rsid w:val="00CB1E7B"/>
    <w:rsid w:val="00CB4D6C"/>
    <w:rsid w:val="00CC3D4F"/>
    <w:rsid w:val="00CD01D0"/>
    <w:rsid w:val="00CD732A"/>
    <w:rsid w:val="00CD7F94"/>
    <w:rsid w:val="00CF4D55"/>
    <w:rsid w:val="00D014CA"/>
    <w:rsid w:val="00D05445"/>
    <w:rsid w:val="00D163BF"/>
    <w:rsid w:val="00D169F8"/>
    <w:rsid w:val="00D372D2"/>
    <w:rsid w:val="00D377DE"/>
    <w:rsid w:val="00D536F5"/>
    <w:rsid w:val="00D57D4D"/>
    <w:rsid w:val="00D71B47"/>
    <w:rsid w:val="00D7640C"/>
    <w:rsid w:val="00D776BE"/>
    <w:rsid w:val="00D82B9E"/>
    <w:rsid w:val="00D82F2B"/>
    <w:rsid w:val="00D87320"/>
    <w:rsid w:val="00DB4C0D"/>
    <w:rsid w:val="00DB5458"/>
    <w:rsid w:val="00DC462F"/>
    <w:rsid w:val="00DE4414"/>
    <w:rsid w:val="00DF24D2"/>
    <w:rsid w:val="00DF4337"/>
    <w:rsid w:val="00DF4D96"/>
    <w:rsid w:val="00DF58EC"/>
    <w:rsid w:val="00DF6704"/>
    <w:rsid w:val="00DF739A"/>
    <w:rsid w:val="00E407CB"/>
    <w:rsid w:val="00E419EF"/>
    <w:rsid w:val="00E47513"/>
    <w:rsid w:val="00E5564A"/>
    <w:rsid w:val="00E6095A"/>
    <w:rsid w:val="00E60C52"/>
    <w:rsid w:val="00E74E0C"/>
    <w:rsid w:val="00E75F19"/>
    <w:rsid w:val="00E847BD"/>
    <w:rsid w:val="00E84964"/>
    <w:rsid w:val="00E850D2"/>
    <w:rsid w:val="00E91249"/>
    <w:rsid w:val="00E93836"/>
    <w:rsid w:val="00E9539C"/>
    <w:rsid w:val="00E95C36"/>
    <w:rsid w:val="00EC2D87"/>
    <w:rsid w:val="00EC2FAA"/>
    <w:rsid w:val="00EC52A1"/>
    <w:rsid w:val="00EE1731"/>
    <w:rsid w:val="00EE2CDA"/>
    <w:rsid w:val="00EE47DD"/>
    <w:rsid w:val="00EE4DF7"/>
    <w:rsid w:val="00F0299E"/>
    <w:rsid w:val="00F05B6C"/>
    <w:rsid w:val="00F073DD"/>
    <w:rsid w:val="00F1644C"/>
    <w:rsid w:val="00F21DFE"/>
    <w:rsid w:val="00F22D8A"/>
    <w:rsid w:val="00F30A98"/>
    <w:rsid w:val="00F435E0"/>
    <w:rsid w:val="00F448D3"/>
    <w:rsid w:val="00F64057"/>
    <w:rsid w:val="00F64F96"/>
    <w:rsid w:val="00F741F7"/>
    <w:rsid w:val="00F91C44"/>
    <w:rsid w:val="00F93681"/>
    <w:rsid w:val="00FA378C"/>
    <w:rsid w:val="00FA7EF1"/>
    <w:rsid w:val="00FB164A"/>
    <w:rsid w:val="00FC0578"/>
    <w:rsid w:val="00FC144A"/>
    <w:rsid w:val="00FC1C12"/>
    <w:rsid w:val="00FC7380"/>
    <w:rsid w:val="00FC7B89"/>
    <w:rsid w:val="00FD03DB"/>
    <w:rsid w:val="00FD1253"/>
    <w:rsid w:val="00FD1FFC"/>
    <w:rsid w:val="00FD2223"/>
    <w:rsid w:val="00FD383D"/>
    <w:rsid w:val="00FD652B"/>
    <w:rsid w:val="00FD7F98"/>
    <w:rsid w:val="00FE0A45"/>
    <w:rsid w:val="00FE537D"/>
    <w:rsid w:val="00FF0D92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CEA4F"/>
  <w15:chartTrackingRefBased/>
  <w15:docId w15:val="{097F77F3-5259-46C5-9284-34887A0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AF78FA"/>
  </w:style>
  <w:style w:type="table" w:styleId="Grilledutableau">
    <w:name w:val="Table Grid"/>
    <w:basedOn w:val="TableauNormal"/>
    <w:uiPriority w:val="59"/>
    <w:rsid w:val="00553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11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11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1131"/>
    <w:rPr>
      <w:vertAlign w:val="superscript"/>
    </w:rPr>
  </w:style>
  <w:style w:type="character" w:customStyle="1" w:styleId="highlight">
    <w:name w:val="highlight"/>
    <w:basedOn w:val="Policepardfaut"/>
    <w:rsid w:val="00917803"/>
  </w:style>
  <w:style w:type="paragraph" w:styleId="Paragraphedeliste">
    <w:name w:val="List Paragraph"/>
    <w:basedOn w:val="Normal"/>
    <w:uiPriority w:val="34"/>
    <w:qFormat/>
    <w:rsid w:val="00152B8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6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640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05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771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71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71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1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1C9"/>
    <w:rPr>
      <w:b/>
      <w:bCs/>
      <w:sz w:val="20"/>
      <w:szCs w:val="20"/>
    </w:rPr>
  </w:style>
  <w:style w:type="character" w:customStyle="1" w:styleId="dttext">
    <w:name w:val="dttext"/>
    <w:basedOn w:val="Policepardfaut"/>
    <w:rsid w:val="002E1153"/>
  </w:style>
  <w:style w:type="paragraph" w:styleId="En-tte">
    <w:name w:val="header"/>
    <w:basedOn w:val="Normal"/>
    <w:link w:val="En-tteCar"/>
    <w:uiPriority w:val="99"/>
    <w:unhideWhenUsed/>
    <w:rsid w:val="00E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7CB"/>
  </w:style>
  <w:style w:type="paragraph" w:styleId="Pieddepage">
    <w:name w:val="footer"/>
    <w:basedOn w:val="Normal"/>
    <w:link w:val="PieddepageCar"/>
    <w:uiPriority w:val="99"/>
    <w:unhideWhenUsed/>
    <w:rsid w:val="00E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07CB"/>
  </w:style>
  <w:style w:type="paragraph" w:styleId="Rvision">
    <w:name w:val="Revision"/>
    <w:hidden/>
    <w:uiPriority w:val="99"/>
    <w:semiHidden/>
    <w:rsid w:val="001142FB"/>
    <w:pPr>
      <w:spacing w:after="0" w:line="240" w:lineRule="auto"/>
    </w:pPr>
  </w:style>
  <w:style w:type="paragraph" w:customStyle="1" w:styleId="Default">
    <w:name w:val="Default"/>
    <w:rsid w:val="00FA37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clid.eba.europa.eu/register/pir/view/PSD_EXC/FR_ACPR!768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4BCE-889E-4A21-8753-F1E54B3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3238</Words>
  <Characters>17811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ISSA</dc:creator>
  <cp:keywords/>
  <dc:description/>
  <cp:lastModifiedBy>Aurélie BRIDOUX</cp:lastModifiedBy>
  <cp:revision>3</cp:revision>
  <cp:lastPrinted>2021-09-01T14:48:00Z</cp:lastPrinted>
  <dcterms:created xsi:type="dcterms:W3CDTF">2021-10-08T12:23:00Z</dcterms:created>
  <dcterms:modified xsi:type="dcterms:W3CDTF">2021-10-11T15:07:00Z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2021-09-01T10:11:40Z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228346fa-9e7a-438e-878a-c740f97aeaa0</vt:lpwstr>
  </property>
  <property fmtid="{D5CDD505-2E9C-101B-9397-08002B2CF9AE}" pid="8" name="MSIP_Label_2b30ed1b-e95f-40b5-af89-828263f287a7_ContentBits">
    <vt:lpwstr>0</vt:lpwstr>
  </property>
</Properties>
</file>