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5" w:rsidRPr="007B693F" w:rsidRDefault="00AB65E5" w:rsidP="00AB65E5">
      <w:pPr>
        <w:jc w:val="center"/>
        <w:rPr>
          <w:rFonts w:ascii="Times New Roman" w:hAnsi="Times New Roman"/>
          <w:sz w:val="28"/>
          <w:szCs w:val="28"/>
        </w:rPr>
      </w:pPr>
      <w:bookmarkStart w:id="0" w:name="_Toc310414964"/>
      <w:r w:rsidRPr="007B693F">
        <w:rPr>
          <w:rFonts w:ascii="Times New Roman" w:hAnsi="Times New Roman"/>
          <w:sz w:val="28"/>
          <w:szCs w:val="28"/>
        </w:rPr>
        <w:t xml:space="preserve">ANNEX </w:t>
      </w:r>
      <w:r>
        <w:rPr>
          <w:rFonts w:ascii="Times New Roman" w:hAnsi="Times New Roman"/>
          <w:sz w:val="28"/>
          <w:szCs w:val="28"/>
        </w:rPr>
        <w:t>XII</w:t>
      </w:r>
      <w:r w:rsidRPr="007B693F">
        <w:rPr>
          <w:rFonts w:ascii="Times New Roman" w:hAnsi="Times New Roman"/>
          <w:sz w:val="28"/>
          <w:szCs w:val="28"/>
        </w:rPr>
        <w:t>I</w:t>
      </w:r>
    </w:p>
    <w:p w:rsidR="00AB65E5" w:rsidRDefault="00AB65E5" w:rsidP="00AB65E5">
      <w:pPr>
        <w:jc w:val="center"/>
        <w:rPr>
          <w:rFonts w:ascii="Times New Roman" w:hAnsi="Times New Roman"/>
          <w:b/>
          <w:sz w:val="24"/>
          <w:lang w:eastAsia="de-DE"/>
        </w:rPr>
      </w:pPr>
      <w:r w:rsidRPr="007B693F">
        <w:rPr>
          <w:rFonts w:ascii="Times New Roman" w:hAnsi="Times New Roman"/>
          <w:b/>
          <w:sz w:val="24"/>
          <w:lang w:eastAsia="de-DE"/>
        </w:rPr>
        <w:t xml:space="preserve">REPORTING ON </w:t>
      </w:r>
      <w:r>
        <w:rPr>
          <w:rFonts w:ascii="Times New Roman" w:hAnsi="Times New Roman"/>
          <w:b/>
          <w:sz w:val="24"/>
          <w:lang w:eastAsia="de-DE"/>
        </w:rPr>
        <w:t xml:space="preserve">LIQUIDITY (PART </w:t>
      </w:r>
      <w:r w:rsidR="00A653D9">
        <w:rPr>
          <w:rFonts w:ascii="Times New Roman" w:hAnsi="Times New Roman"/>
          <w:b/>
          <w:sz w:val="24"/>
          <w:lang w:eastAsia="de-DE"/>
        </w:rPr>
        <w:t>4</w:t>
      </w:r>
      <w:r w:rsidR="00584CFE">
        <w:rPr>
          <w:rFonts w:ascii="Times New Roman" w:hAnsi="Times New Roman"/>
          <w:b/>
          <w:sz w:val="24"/>
          <w:lang w:eastAsia="de-DE"/>
        </w:rPr>
        <w:t>:</w:t>
      </w:r>
      <w:r>
        <w:rPr>
          <w:rFonts w:ascii="Times New Roman" w:hAnsi="Times New Roman"/>
          <w:b/>
          <w:sz w:val="24"/>
          <w:lang w:eastAsia="de-DE"/>
        </w:rPr>
        <w:t xml:space="preserve"> </w:t>
      </w:r>
      <w:r w:rsidR="00CD2FE8">
        <w:rPr>
          <w:rFonts w:ascii="Times New Roman" w:hAnsi="Times New Roman"/>
          <w:b/>
          <w:sz w:val="24"/>
          <w:lang w:eastAsia="de-DE"/>
        </w:rPr>
        <w:t>Collateral swaps</w:t>
      </w:r>
      <w:r>
        <w:rPr>
          <w:rFonts w:ascii="Times New Roman" w:hAnsi="Times New Roman"/>
          <w:b/>
          <w:sz w:val="24"/>
          <w:lang w:eastAsia="de-DE"/>
        </w:rPr>
        <w:t>)</w:t>
      </w:r>
    </w:p>
    <w:p w:rsidR="00D02FE4" w:rsidRPr="008E3A85" w:rsidRDefault="00D02FE4" w:rsidP="00CD2FE8">
      <w:pPr>
        <w:pStyle w:val="Instructionsberschrift2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  <w:bookmarkStart w:id="1" w:name="_Toc308175819"/>
      <w:bookmarkStart w:id="2" w:name="_Toc310414966"/>
      <w:bookmarkEnd w:id="0"/>
      <w:r w:rsidRPr="008E3A85">
        <w:rPr>
          <w:rFonts w:ascii="Times New Roman" w:hAnsi="Times New Roman" w:cs="Times New Roman"/>
        </w:rPr>
        <w:t>General remarks</w:t>
      </w:r>
      <w:bookmarkEnd w:id="1"/>
      <w:bookmarkEnd w:id="2"/>
    </w:p>
    <w:p w:rsidR="004B41AE" w:rsidRPr="00EF2439" w:rsidRDefault="00D02FE4" w:rsidP="00191AEF">
      <w:pPr>
        <w:pStyle w:val="InstructionsText2"/>
      </w:pPr>
      <w:r w:rsidRPr="008E3A85">
        <w:t xml:space="preserve">This is a summary template which contains information </w:t>
      </w:r>
      <w:r w:rsidR="00CD2FE8">
        <w:t xml:space="preserve">that will allow EBA to assess whether </w:t>
      </w:r>
      <w:r w:rsidR="00E47C95">
        <w:t xml:space="preserve">secured lending and </w:t>
      </w:r>
      <w:r w:rsidR="00CD2FE8">
        <w:t xml:space="preserve">collateral swap transactions </w:t>
      </w:r>
      <w:r w:rsidR="00843BDB">
        <w:t xml:space="preserve">have been properly unwound, </w:t>
      </w:r>
      <w:r w:rsidR="00CD2FE8">
        <w:t>where</w:t>
      </w:r>
      <w:r w:rsidR="00E47C95">
        <w:t xml:space="preserve"> liquid</w:t>
      </w:r>
      <w:r w:rsidR="00CD2FE8">
        <w:t xml:space="preserve"> assets </w:t>
      </w:r>
      <w:r w:rsidR="00E47C95">
        <w:t>referred to in points (a), (b) and (c) of Article 416(1)</w:t>
      </w:r>
      <w:r w:rsidR="00CD2FE8">
        <w:t xml:space="preserve"> </w:t>
      </w:r>
      <w:r w:rsidR="00191AEF">
        <w:t>have been obtain</w:t>
      </w:r>
      <w:r w:rsidR="00C06EE8">
        <w:t>ed</w:t>
      </w:r>
      <w:r w:rsidR="00191AEF">
        <w:t xml:space="preserve"> against </w:t>
      </w:r>
      <w:r w:rsidR="00E47C95">
        <w:t>collateral that does not qualify under points (a), (b) and (c) of Article 416(1)</w:t>
      </w:r>
      <w:r w:rsidR="00191AEF">
        <w:t xml:space="preserve">. </w:t>
      </w:r>
      <w:bookmarkStart w:id="3" w:name="_GoBack"/>
      <w:bookmarkEnd w:id="3"/>
    </w:p>
    <w:p w:rsidR="00F2266B" w:rsidRPr="008E3A85" w:rsidRDefault="00F2266B" w:rsidP="00F2266B">
      <w:pPr>
        <w:pStyle w:val="Instructionsberschrift2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Collateral swaps</w:t>
      </w:r>
      <w:r w:rsidRPr="008E3A85">
        <w:rPr>
          <w:rFonts w:ascii="Times New Roman" w:hAnsi="Times New Roman" w:cs="Times New Roman"/>
        </w:rPr>
        <w:t xml:space="preserve"> sub template</w:t>
      </w:r>
    </w:p>
    <w:p w:rsidR="00F2266B" w:rsidRPr="008E3A85" w:rsidRDefault="00F2266B" w:rsidP="00F2266B">
      <w:pPr>
        <w:pStyle w:val="Instructionsberschrift2"/>
        <w:numPr>
          <w:ilvl w:val="2"/>
          <w:numId w:val="2"/>
        </w:numPr>
        <w:rPr>
          <w:rFonts w:ascii="Times New Roman" w:hAnsi="Times New Roman" w:cs="Times New Roman"/>
        </w:rPr>
      </w:pPr>
      <w:bookmarkStart w:id="4" w:name="_Toc308175821"/>
      <w:bookmarkStart w:id="5" w:name="_Toc310414968"/>
      <w:r w:rsidRPr="008E3A85">
        <w:rPr>
          <w:rFonts w:ascii="Times New Roman" w:hAnsi="Times New Roman" w:cs="Times New Roman"/>
        </w:rPr>
        <w:t>Instructions concerning specific rows</w:t>
      </w:r>
      <w:bookmarkEnd w:id="4"/>
      <w:bookmarkEnd w:id="5"/>
    </w:p>
    <w:p w:rsidR="00F2266B" w:rsidRPr="008E3A85" w:rsidRDefault="00F2266B" w:rsidP="00F2266B">
      <w:pPr>
        <w:pStyle w:val="InstructionsText"/>
      </w:pPr>
    </w:p>
    <w:tbl>
      <w:tblPr>
        <w:tblW w:w="8783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7409"/>
      </w:tblGrid>
      <w:tr w:rsidR="00F2266B" w:rsidRPr="008E3A85" w:rsidTr="00F2266B">
        <w:tc>
          <w:tcPr>
            <w:tcW w:w="1374" w:type="dxa"/>
            <w:shd w:val="clear" w:color="auto" w:fill="E6E6E6"/>
          </w:tcPr>
          <w:p w:rsidR="00F2266B" w:rsidRPr="008E3A85" w:rsidRDefault="00F2266B" w:rsidP="00C7757C">
            <w:pPr>
              <w:pStyle w:val="InstructionsText"/>
              <w:rPr>
                <w:rStyle w:val="InstructionsTabelleText"/>
              </w:rPr>
            </w:pPr>
            <w:r w:rsidRPr="008E3A85">
              <w:rPr>
                <w:rStyle w:val="InstructionsTabelleText"/>
              </w:rPr>
              <w:t>Row</w:t>
            </w:r>
          </w:p>
        </w:tc>
        <w:tc>
          <w:tcPr>
            <w:tcW w:w="7409" w:type="dxa"/>
            <w:shd w:val="clear" w:color="auto" w:fill="E6E6E6"/>
          </w:tcPr>
          <w:p w:rsidR="00F2266B" w:rsidRPr="008E3A85" w:rsidRDefault="00F2266B" w:rsidP="00C7757C">
            <w:pPr>
              <w:pStyle w:val="InstructionsText"/>
              <w:rPr>
                <w:rStyle w:val="InstructionsTabelleText"/>
                <w:bCs/>
                <w:szCs w:val="24"/>
                <w:lang w:eastAsia="en-US"/>
              </w:rPr>
            </w:pPr>
            <w:r w:rsidRPr="008E3A85">
              <w:rPr>
                <w:rStyle w:val="InstructionsTabelleText"/>
              </w:rPr>
              <w:t>Legal references and instructions</w:t>
            </w:r>
          </w:p>
        </w:tc>
      </w:tr>
      <w:tr w:rsidR="00F2266B" w:rsidRPr="008E3A85" w:rsidTr="00F2266B">
        <w:tc>
          <w:tcPr>
            <w:tcW w:w="8783" w:type="dxa"/>
            <w:gridSpan w:val="2"/>
            <w:shd w:val="clear" w:color="auto" w:fill="E6E6E6"/>
          </w:tcPr>
          <w:p w:rsidR="00F2266B" w:rsidRDefault="00F2266B" w:rsidP="00C7757C">
            <w:pPr>
              <w:spacing w:before="0" w:after="0"/>
              <w:rPr>
                <w:rStyle w:val="InstructionsTabelleberschrift"/>
                <w:bCs w:val="0"/>
                <w:szCs w:val="17"/>
                <w:lang w:eastAsia="de-DE"/>
              </w:rPr>
            </w:pPr>
          </w:p>
          <w:p w:rsidR="00F2266B" w:rsidRPr="008E3A85" w:rsidRDefault="00F2266B" w:rsidP="00C7757C">
            <w:pPr>
              <w:spacing w:before="0" w:after="0"/>
              <w:rPr>
                <w:rStyle w:val="InstructionsTabelleberschrift"/>
                <w:bCs w:val="0"/>
                <w:szCs w:val="17"/>
                <w:lang w:eastAsia="de-DE"/>
              </w:rPr>
            </w:pPr>
            <w:r w:rsidRPr="008E3A85">
              <w:rPr>
                <w:rStyle w:val="InstructionsTabelleberschrift"/>
                <w:bCs w:val="0"/>
                <w:szCs w:val="17"/>
                <w:lang w:eastAsia="de-DE"/>
              </w:rPr>
              <w:t xml:space="preserve">1. </w:t>
            </w:r>
            <w:r>
              <w:rPr>
                <w:rStyle w:val="InstructionsTabelleberschrift"/>
                <w:bCs w:val="0"/>
                <w:szCs w:val="17"/>
                <w:lang w:eastAsia="de-DE"/>
              </w:rPr>
              <w:t>Collateral Swaps</w:t>
            </w:r>
          </w:p>
          <w:p w:rsidR="00F2266B" w:rsidRPr="008E3A85" w:rsidRDefault="00F2266B" w:rsidP="00C7757C">
            <w:pPr>
              <w:spacing w:before="0" w:after="0"/>
              <w:rPr>
                <w:rStyle w:val="InstructionsTabelleberschrift"/>
                <w:bCs w:val="0"/>
                <w:szCs w:val="17"/>
                <w:lang w:eastAsia="de-DE"/>
              </w:rPr>
            </w:pPr>
          </w:p>
          <w:p w:rsidR="00F2266B" w:rsidRPr="008E3A85" w:rsidRDefault="00F2266B" w:rsidP="00C7757C">
            <w:pPr>
              <w:spacing w:before="0" w:after="0"/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</w:pPr>
            <w:r w:rsidRPr="008E3A85"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 xml:space="preserve">Article </w:t>
            </w:r>
            <w:r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>415(1) para</w:t>
            </w:r>
            <w:r w:rsidR="00246C28"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>graph</w:t>
            </w:r>
            <w:r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 xml:space="preserve"> 2 </w:t>
            </w:r>
            <w:r w:rsidRPr="008E3A85"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 xml:space="preserve">of </w:t>
            </w:r>
            <w:r w:rsidR="00C16046"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>REGULATION (EU) NO 575/2013</w:t>
            </w:r>
            <w:r w:rsidRPr="008E3A85">
              <w:rPr>
                <w:rStyle w:val="InstructionsTabelleberschrift"/>
                <w:b w:val="0"/>
                <w:bCs w:val="0"/>
                <w:szCs w:val="17"/>
                <w:u w:val="none"/>
                <w:lang w:eastAsia="de-DE"/>
              </w:rPr>
              <w:t>.</w:t>
            </w:r>
          </w:p>
          <w:p w:rsidR="00F2266B" w:rsidRPr="008E3A85" w:rsidRDefault="00F2266B" w:rsidP="00C7757C">
            <w:pPr>
              <w:spacing w:before="0" w:after="0"/>
              <w:rPr>
                <w:rStyle w:val="InstructionsTabelleberschrift"/>
                <w:bCs w:val="0"/>
                <w:szCs w:val="17"/>
                <w:lang w:eastAsia="de-DE"/>
              </w:rPr>
            </w:pPr>
          </w:p>
          <w:p w:rsidR="00F2266B" w:rsidRDefault="00375FA2" w:rsidP="00C7757C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Institutions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report a</w:t>
            </w:r>
            <w:r w:rsidR="00EF2439">
              <w:rPr>
                <w:rStyle w:val="FormatvorlageInstructionsTabelleText"/>
              </w:rPr>
              <w:t>ny collateral swap where liquid assets referred to in points (a), (b) or (c) o</w:t>
            </w:r>
            <w:r>
              <w:rPr>
                <w:rStyle w:val="FormatvorlageInstructionsTabelleText"/>
              </w:rPr>
              <w:t>f</w:t>
            </w:r>
            <w:r w:rsidR="00EF2439">
              <w:rPr>
                <w:rStyle w:val="FormatvorlageInstructionsTabelleText"/>
              </w:rPr>
              <w:t xml:space="preserve"> Article 416 have been obtained against collateral that does not qualify under points (a), (b) and(c) of Article 416(1). </w:t>
            </w:r>
          </w:p>
          <w:p w:rsidR="00EF2439" w:rsidRDefault="00EF2439" w:rsidP="00C7757C">
            <w:pPr>
              <w:pStyle w:val="InstructionsText"/>
              <w:rPr>
                <w:rStyle w:val="FormatvorlageInstructionsTabelleText"/>
              </w:rPr>
            </w:pPr>
          </w:p>
          <w:p w:rsidR="00EF2439" w:rsidRDefault="00EF2439" w:rsidP="00C7757C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Assets that do not qualify under points (a), (b) and(c) of Article 416(1) of </w:t>
            </w:r>
            <w:r w:rsidR="00C16046">
              <w:rPr>
                <w:rStyle w:val="FormatvorlageInstructionsTabelleText"/>
              </w:rPr>
              <w:t>REGULATION (EU) NO 575/2013</w:t>
            </w:r>
            <w:r>
              <w:rPr>
                <w:rStyle w:val="FormatvorlageInstructionsTabelleText"/>
              </w:rPr>
              <w:t xml:space="preserve"> are referred to as ‘other asset</w:t>
            </w:r>
            <w:r w:rsidR="004A054A">
              <w:rPr>
                <w:rStyle w:val="FormatvorlageInstructionsTabelleText"/>
              </w:rPr>
              <w:t>s</w:t>
            </w:r>
            <w:r>
              <w:rPr>
                <w:rStyle w:val="FormatvorlageInstructionsTabelleText"/>
              </w:rPr>
              <w:t>’ in this template.</w:t>
            </w:r>
          </w:p>
          <w:p w:rsidR="00EF2439" w:rsidRDefault="00EF2439" w:rsidP="00C7757C">
            <w:pPr>
              <w:pStyle w:val="InstructionsText"/>
              <w:rPr>
                <w:rStyle w:val="FormatvorlageInstructionsTabelleText"/>
              </w:rPr>
            </w:pPr>
          </w:p>
          <w:p w:rsidR="00EF2439" w:rsidRDefault="00EF2439" w:rsidP="00C7757C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Collateral swaps maturating in less than or equal to 30 days </w:t>
            </w:r>
            <w:r w:rsidR="001D1A5D">
              <w:rPr>
                <w:rStyle w:val="FormatvorlageInstructionsTabelleText"/>
              </w:rPr>
              <w:t xml:space="preserve">shall </w:t>
            </w:r>
            <w:r>
              <w:rPr>
                <w:rStyle w:val="FormatvorlageInstructionsTabelleText"/>
              </w:rPr>
              <w:t xml:space="preserve">be reported in columns </w:t>
            </w:r>
            <w:r w:rsidR="004A054A">
              <w:rPr>
                <w:rStyle w:val="FormatvorlageInstructionsTabelleText"/>
              </w:rPr>
              <w:t>010</w:t>
            </w:r>
            <w:r>
              <w:rPr>
                <w:rStyle w:val="FormatvorlageInstructionsTabelleText"/>
              </w:rPr>
              <w:t xml:space="preserve"> and </w:t>
            </w:r>
            <w:r w:rsidR="004A054A">
              <w:rPr>
                <w:rStyle w:val="FormatvorlageInstructionsTabelleText"/>
              </w:rPr>
              <w:t>020</w:t>
            </w:r>
            <w:r>
              <w:rPr>
                <w:rStyle w:val="FormatvorlageInstructionsTabelleText"/>
              </w:rPr>
              <w:t xml:space="preserve">. In column </w:t>
            </w:r>
            <w:r w:rsidR="004A054A">
              <w:rPr>
                <w:rStyle w:val="FormatvorlageInstructionsTabelleText"/>
              </w:rPr>
              <w:t>010</w:t>
            </w:r>
            <w:r>
              <w:rPr>
                <w:rStyle w:val="FormatvorlageInstructionsTabelleText"/>
              </w:rPr>
              <w:t xml:space="preserve"> the notional amount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be reported. In column </w:t>
            </w:r>
            <w:r w:rsidR="004A054A">
              <w:rPr>
                <w:rStyle w:val="FormatvorlageInstructionsTabelleText"/>
              </w:rPr>
              <w:t>020</w:t>
            </w:r>
            <w:r>
              <w:rPr>
                <w:rStyle w:val="FormatvorlageInstructionsTabelleText"/>
              </w:rPr>
              <w:t xml:space="preserve"> the market value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be reported.  </w:t>
            </w:r>
          </w:p>
          <w:p w:rsidR="00EF2439" w:rsidRDefault="00EF2439" w:rsidP="00C7757C">
            <w:pPr>
              <w:pStyle w:val="InstructionsText"/>
              <w:rPr>
                <w:rStyle w:val="FormatvorlageInstructionsTabelleText"/>
              </w:rPr>
            </w:pPr>
          </w:p>
          <w:p w:rsidR="00EF2439" w:rsidRPr="008E3A85" w:rsidRDefault="00EF2439" w:rsidP="00EF2439">
            <w:pPr>
              <w:pStyle w:val="InstructionsText"/>
              <w:rPr>
                <w:rStyle w:val="FormatvorlageInstructionsTabelleText"/>
              </w:rPr>
            </w:pPr>
            <w:r>
              <w:rPr>
                <w:rStyle w:val="FormatvorlageInstructionsTabelleText"/>
              </w:rPr>
              <w:t xml:space="preserve">Collateral swaps maturating in greater than 30 days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be reported in columns </w:t>
            </w:r>
            <w:r w:rsidR="004A054A">
              <w:rPr>
                <w:rStyle w:val="FormatvorlageInstructionsTabelleText"/>
              </w:rPr>
              <w:t>030</w:t>
            </w:r>
            <w:r>
              <w:rPr>
                <w:rStyle w:val="FormatvorlageInstructionsTabelleText"/>
              </w:rPr>
              <w:t xml:space="preserve"> and </w:t>
            </w:r>
            <w:r w:rsidR="004A054A">
              <w:rPr>
                <w:rStyle w:val="FormatvorlageInstructionsTabelleText"/>
              </w:rPr>
              <w:t>040</w:t>
            </w:r>
            <w:r>
              <w:rPr>
                <w:rStyle w:val="FormatvorlageInstructionsTabelleText"/>
              </w:rPr>
              <w:t xml:space="preserve">. In column </w:t>
            </w:r>
            <w:r w:rsidR="004A054A">
              <w:rPr>
                <w:rStyle w:val="FormatvorlageInstructionsTabelleText"/>
              </w:rPr>
              <w:t>030</w:t>
            </w:r>
            <w:r>
              <w:rPr>
                <w:rStyle w:val="FormatvorlageInstructionsTabelleText"/>
              </w:rPr>
              <w:t xml:space="preserve"> the notional amount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be reported. In column </w:t>
            </w:r>
            <w:r w:rsidR="004A054A">
              <w:rPr>
                <w:rStyle w:val="FormatvorlageInstructionsTabelleText"/>
              </w:rPr>
              <w:t>040</w:t>
            </w:r>
            <w:r>
              <w:rPr>
                <w:rStyle w:val="FormatvorlageInstructionsTabelleText"/>
              </w:rPr>
              <w:t xml:space="preserve"> the market value </w:t>
            </w:r>
            <w:r w:rsidR="001D1A5D">
              <w:rPr>
                <w:rStyle w:val="FormatvorlageInstructionsTabelleText"/>
              </w:rPr>
              <w:t>shall</w:t>
            </w:r>
            <w:r>
              <w:rPr>
                <w:rStyle w:val="FormatvorlageInstructionsTabelleText"/>
              </w:rPr>
              <w:t xml:space="preserve"> be reported.</w:t>
            </w:r>
          </w:p>
          <w:p w:rsidR="00EF2439" w:rsidRPr="008E3A85" w:rsidRDefault="00EF2439" w:rsidP="00C7757C">
            <w:pPr>
              <w:pStyle w:val="InstructionsText"/>
              <w:rPr>
                <w:rStyle w:val="FormatvorlageInstructionsTabelleText"/>
              </w:rPr>
            </w:pPr>
          </w:p>
          <w:p w:rsidR="00F2266B" w:rsidRPr="008E3A85" w:rsidRDefault="00F2266B" w:rsidP="00C7757C">
            <w:pPr>
              <w:pStyle w:val="InstructionsText"/>
              <w:rPr>
                <w:rStyle w:val="InstructionsTabelleberschrift"/>
                <w:b w:val="0"/>
                <w:bCs w:val="0"/>
                <w:u w:val="none"/>
              </w:rPr>
            </w:pPr>
          </w:p>
        </w:tc>
      </w:tr>
      <w:tr w:rsidR="00F2266B" w:rsidRPr="008E3A85" w:rsidTr="00F2266B">
        <w:tc>
          <w:tcPr>
            <w:tcW w:w="1374" w:type="dxa"/>
            <w:shd w:val="clear" w:color="auto" w:fill="E6E6E6"/>
            <w:vAlign w:val="center"/>
          </w:tcPr>
          <w:p w:rsidR="00F2266B" w:rsidRPr="00D07900" w:rsidRDefault="00FC6BCB" w:rsidP="00FC6BCB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010-060</w:t>
            </w:r>
          </w:p>
        </w:tc>
        <w:tc>
          <w:tcPr>
            <w:tcW w:w="7409" w:type="dxa"/>
            <w:shd w:val="clear" w:color="auto" w:fill="E6E6E6"/>
            <w:vAlign w:val="center"/>
          </w:tcPr>
          <w:p w:rsidR="00F2266B" w:rsidRPr="008E3A85" w:rsidRDefault="00FC6BCB" w:rsidP="00C7757C">
            <w:pPr>
              <w:spacing w:before="0" w:after="0"/>
              <w:rPr>
                <w:rStyle w:val="InstructionsTabelleberschrift"/>
                <w:bCs w:val="0"/>
                <w:szCs w:val="17"/>
                <w:lang w:eastAsia="de-DE"/>
              </w:rPr>
            </w:pPr>
            <w:r>
              <w:rPr>
                <w:rStyle w:val="InstructionsTabelleberschrift"/>
                <w:bCs w:val="0"/>
                <w:szCs w:val="17"/>
                <w:lang w:eastAsia="de-DE"/>
              </w:rPr>
              <w:t xml:space="preserve">1.0 </w:t>
            </w:r>
            <w:r w:rsidR="00F2266B" w:rsidRPr="00F2266B">
              <w:rPr>
                <w:rStyle w:val="InstructionsTabelleberschrift"/>
                <w:bCs w:val="0"/>
                <w:szCs w:val="17"/>
                <w:lang w:eastAsia="de-DE"/>
              </w:rPr>
              <w:t>Assets</w:t>
            </w: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010</w:t>
            </w:r>
          </w:p>
        </w:tc>
        <w:tc>
          <w:tcPr>
            <w:tcW w:w="7409" w:type="dxa"/>
            <w:vAlign w:val="center"/>
          </w:tcPr>
          <w:p w:rsidR="00F2266B" w:rsidRPr="00F2266B" w:rsidRDefault="00FC6BC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1.1 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cash and exposures to central banks</w:t>
            </w: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Article 416(1)(a)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020</w:t>
            </w:r>
          </w:p>
        </w:tc>
        <w:tc>
          <w:tcPr>
            <w:tcW w:w="7409" w:type="dxa"/>
            <w:vAlign w:val="center"/>
          </w:tcPr>
          <w:p w:rsidR="00F2266B" w:rsidRDefault="00FC6BC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1.2 </w:t>
            </w:r>
            <w:r w:rsidR="00F2266B">
              <w:rPr>
                <w:rStyle w:val="InstructionsTabelleberschrift"/>
                <w:szCs w:val="17"/>
                <w:lang w:eastAsia="de-DE"/>
              </w:rPr>
              <w:t>o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ther transferable assets according to Article 416(1)(b)</w:t>
            </w:r>
          </w:p>
          <w:p w:rsid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Article 416(1)(b)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030-060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266B" w:rsidRDefault="00FC6BC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1.3 </w:t>
            </w:r>
            <w:r w:rsidR="00F2266B">
              <w:rPr>
                <w:rStyle w:val="InstructionsTabelleberschrift"/>
                <w:szCs w:val="17"/>
                <w:lang w:eastAsia="de-DE"/>
              </w:rPr>
              <w:t>o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ther transferable assets representing claims on or guaranteed by</w:t>
            </w: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Article 416(1)(c) of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BA067A" w:rsidRDefault="00BA067A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BA067A" w:rsidRPr="008E3A85" w:rsidRDefault="00BA067A" w:rsidP="00BA067A">
            <w:pPr>
              <w:spacing w:before="0" w:after="0"/>
              <w:rPr>
                <w:rStyle w:val="InstructionsTabelleberschrift"/>
                <w:b w:val="0"/>
                <w:u w:val="none"/>
              </w:rPr>
            </w:pPr>
            <w:r>
              <w:rPr>
                <w:rStyle w:val="InstructionsTabelleberschrift"/>
                <w:b w:val="0"/>
                <w:u w:val="none"/>
              </w:rPr>
              <w:t xml:space="preserve">The following subcategories shall be reported: </w:t>
            </w:r>
          </w:p>
          <w:p w:rsidR="00BA067A" w:rsidRDefault="00BA067A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030</w:t>
            </w:r>
          </w:p>
        </w:tc>
        <w:tc>
          <w:tcPr>
            <w:tcW w:w="7409" w:type="dxa"/>
            <w:vAlign w:val="center"/>
          </w:tcPr>
          <w:p w:rsidR="00F2266B" w:rsidRDefault="00FC6BC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1.3.1 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transferable assets representing claims on or guaranteed by the central government of a Member State, on a region with fiscal autonomy to raise and collect taxes, or of a third country in the domestic currency of the central or regional government, if the institution incurs a liquidity risk in that Member State or third country that it covers by holding those liquid assets</w:t>
            </w:r>
          </w:p>
          <w:p w:rsid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Article 416(1)(c)(</w:t>
            </w:r>
            <w:proofErr w:type="spellStart"/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i</w:t>
            </w:r>
            <w:proofErr w:type="spellEnd"/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) of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Pr="00F2266B" w:rsidRDefault="00F2266B" w:rsidP="00C7757C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040</w:t>
            </w:r>
          </w:p>
        </w:tc>
        <w:tc>
          <w:tcPr>
            <w:tcW w:w="7409" w:type="dxa"/>
            <w:vAlign w:val="center"/>
          </w:tcPr>
          <w:p w:rsidR="00F2266B" w:rsidRPr="00F2266B" w:rsidRDefault="00FC6BC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1.3.2 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transferable assets representing claims on or guaranteed by</w:t>
            </w:r>
          </w:p>
          <w:p w:rsidR="00F2266B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 w:rsidRPr="00F2266B">
              <w:rPr>
                <w:rStyle w:val="InstructionsTabelleberschrift"/>
                <w:szCs w:val="17"/>
                <w:lang w:eastAsia="de-DE"/>
              </w:rPr>
              <w:t>central banks and non-central government public sector entities in the domestic currency of the central bank and public sector entity</w:t>
            </w:r>
          </w:p>
          <w:p w:rsidR="00F2266B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Default="00F2266B" w:rsidP="00F2266B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Article 416(1)(c)(i</w:t>
            </w:r>
            <w:r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i</w:t>
            </w: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) of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Pr="008E3A85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050</w:t>
            </w:r>
          </w:p>
        </w:tc>
        <w:tc>
          <w:tcPr>
            <w:tcW w:w="7409" w:type="dxa"/>
            <w:vAlign w:val="center"/>
          </w:tcPr>
          <w:p w:rsidR="00F2266B" w:rsidRPr="00F2266B" w:rsidRDefault="00FC6BC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1.3.3 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transferable assets representing claims on or guaranteed by</w:t>
            </w:r>
          </w:p>
          <w:p w:rsidR="00F2266B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 w:rsidRPr="00F2266B">
              <w:rPr>
                <w:rStyle w:val="InstructionsTabelleberschrift"/>
                <w:szCs w:val="17"/>
                <w:lang w:eastAsia="de-DE"/>
              </w:rPr>
              <w:t>the Bank for International Settlements, the International Monetary Fund, the Commission and multilateral development banks</w:t>
            </w:r>
          </w:p>
          <w:p w:rsidR="00F2266B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Default="00F2266B" w:rsidP="00F2266B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Article 416(1)(c)(i</w:t>
            </w:r>
            <w:r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ii</w:t>
            </w: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) of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Pr="008E3A85" w:rsidRDefault="00F2266B" w:rsidP="00F2266B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  <w:tr w:rsidR="00F2266B" w:rsidRPr="008E3A85" w:rsidTr="00F2266B">
        <w:tc>
          <w:tcPr>
            <w:tcW w:w="1374" w:type="dxa"/>
            <w:vAlign w:val="center"/>
          </w:tcPr>
          <w:p w:rsidR="00F2266B" w:rsidRPr="00D07900" w:rsidRDefault="00FC6BCB" w:rsidP="00C7757C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060</w:t>
            </w:r>
          </w:p>
        </w:tc>
        <w:tc>
          <w:tcPr>
            <w:tcW w:w="7409" w:type="dxa"/>
            <w:vAlign w:val="center"/>
          </w:tcPr>
          <w:p w:rsidR="00F2266B" w:rsidRDefault="00FC6BC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  <w:r>
              <w:rPr>
                <w:rStyle w:val="InstructionsTabelleberschrift"/>
                <w:szCs w:val="17"/>
                <w:lang w:eastAsia="de-DE"/>
              </w:rPr>
              <w:t xml:space="preserve">1.3.4 </w:t>
            </w:r>
            <w:r w:rsidR="00F2266B" w:rsidRPr="00F2266B">
              <w:rPr>
                <w:rStyle w:val="InstructionsTabelleberschrift"/>
                <w:szCs w:val="17"/>
                <w:lang w:eastAsia="de-DE"/>
              </w:rPr>
              <w:t>transferable assets representing claims on or guaranteed by the European Financial Stability Facility and the European Stability Mechanism</w:t>
            </w:r>
          </w:p>
          <w:p w:rsid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Default="00F2266B" w:rsidP="00F2266B">
            <w:pPr>
              <w:spacing w:before="0" w:after="0"/>
              <w:rPr>
                <w:rStyle w:val="InstructionsTabelleberschrift"/>
                <w:b w:val="0"/>
                <w:szCs w:val="17"/>
                <w:u w:val="none"/>
                <w:lang w:eastAsia="de-DE"/>
              </w:rPr>
            </w:pP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Article 416(1)(c)(i</w:t>
            </w:r>
            <w:r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v</w:t>
            </w:r>
            <w:r w:rsidRPr="00F2266B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 xml:space="preserve">) of </w:t>
            </w:r>
            <w:r w:rsidR="00C16046">
              <w:rPr>
                <w:rStyle w:val="InstructionsTabelleberschrift"/>
                <w:b w:val="0"/>
                <w:szCs w:val="17"/>
                <w:u w:val="none"/>
                <w:lang w:eastAsia="de-DE"/>
              </w:rPr>
              <w:t>REGULATION (EU) NO 575/2013</w:t>
            </w:r>
          </w:p>
          <w:p w:rsidR="00F2266B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  <w:p w:rsidR="00F2266B" w:rsidRPr="008E3A85" w:rsidRDefault="00F2266B" w:rsidP="00C7757C">
            <w:pPr>
              <w:spacing w:before="0" w:after="0"/>
              <w:rPr>
                <w:rStyle w:val="InstructionsTabelleberschrift"/>
                <w:szCs w:val="17"/>
                <w:lang w:eastAsia="de-DE"/>
              </w:rPr>
            </w:pPr>
          </w:p>
        </w:tc>
      </w:tr>
    </w:tbl>
    <w:p w:rsidR="00F2266B" w:rsidRPr="008E3A85" w:rsidRDefault="00F2266B" w:rsidP="00F2266B">
      <w:pPr>
        <w:pStyle w:val="InstructionsText2"/>
        <w:numPr>
          <w:ilvl w:val="0"/>
          <w:numId w:val="0"/>
        </w:numPr>
        <w:ind w:left="720" w:hanging="360"/>
        <w:rPr>
          <w:rStyle w:val="InstructionsTabelleberschrift"/>
        </w:rPr>
      </w:pPr>
    </w:p>
    <w:sectPr w:rsidR="00F2266B" w:rsidRPr="008E3A85" w:rsidSect="007353F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75" w:rsidRDefault="00072275">
      <w:r>
        <w:separator/>
      </w:r>
    </w:p>
  </w:endnote>
  <w:endnote w:type="continuationSeparator" w:id="0">
    <w:p w:rsidR="00072275" w:rsidRDefault="0007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9270"/>
      <w:docPartObj>
        <w:docPartGallery w:val="Page Numbers (Bottom of Page)"/>
        <w:docPartUnique/>
      </w:docPartObj>
    </w:sdtPr>
    <w:sdtContent>
      <w:p w:rsidR="00C57373" w:rsidRDefault="00C57373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72275" w:rsidRDefault="00072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75" w:rsidRDefault="00072275">
      <w:r>
        <w:separator/>
      </w:r>
    </w:p>
  </w:footnote>
  <w:footnote w:type="continuationSeparator" w:id="0">
    <w:p w:rsidR="00072275" w:rsidRDefault="00072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7EF"/>
    <w:multiLevelType w:val="multilevel"/>
    <w:tmpl w:val="C6D44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E0513"/>
    <w:multiLevelType w:val="hybridMultilevel"/>
    <w:tmpl w:val="7FAC68C8"/>
    <w:lvl w:ilvl="0" w:tplc="3672FC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03505"/>
    <w:multiLevelType w:val="multilevel"/>
    <w:tmpl w:val="BD3AFD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2C654B"/>
    <w:multiLevelType w:val="multilevel"/>
    <w:tmpl w:val="79D8E760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u w:val="single"/>
      </w:rPr>
    </w:lvl>
    <w:lvl w:ilvl="1">
      <w:start w:val="9"/>
      <w:numFmt w:val="decimal"/>
      <w:lvlText w:val="%1.%2."/>
      <w:lvlJc w:val="left"/>
      <w:pPr>
        <w:ind w:left="1153" w:hanging="720"/>
      </w:pPr>
      <w:rPr>
        <w:rFonts w:cs="Times New Roman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946" w:hanging="1080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3."/>
      <w:lvlJc w:val="left"/>
      <w:pPr>
        <w:ind w:left="2739" w:hanging="1440"/>
      </w:pPr>
      <w:rPr>
        <w:rFonts w:cs="Times New Roman" w:hint="default"/>
        <w:b/>
        <w:u w:val="single"/>
      </w:rPr>
    </w:lvl>
    <w:lvl w:ilvl="4">
      <w:start w:val="1"/>
      <w:numFmt w:val="decimal"/>
      <w:lvlText w:val="%1.%2.%3.%3.%4."/>
      <w:lvlJc w:val="left"/>
      <w:pPr>
        <w:ind w:left="3172" w:hanging="1440"/>
      </w:pPr>
      <w:rPr>
        <w:rFonts w:cs="Times New Roman" w:hint="default"/>
        <w:b/>
        <w:u w:val="single"/>
      </w:rPr>
    </w:lvl>
    <w:lvl w:ilvl="5">
      <w:start w:val="1"/>
      <w:numFmt w:val="decimal"/>
      <w:lvlText w:val="%1.%2.%3.%3.%4.%5."/>
      <w:lvlJc w:val="left"/>
      <w:pPr>
        <w:ind w:left="3965" w:hanging="1800"/>
      </w:pPr>
      <w:rPr>
        <w:rFonts w:cs="Times New Roman" w:hint="default"/>
        <w:b/>
        <w:u w:val="single"/>
      </w:rPr>
    </w:lvl>
    <w:lvl w:ilvl="6">
      <w:start w:val="1"/>
      <w:numFmt w:val="decimal"/>
      <w:lvlText w:val="%1.%2.%3.%3.%4.%5.%6."/>
      <w:lvlJc w:val="left"/>
      <w:pPr>
        <w:ind w:left="4758" w:hanging="2160"/>
      </w:pPr>
      <w:rPr>
        <w:rFonts w:cs="Times New Roman" w:hint="default"/>
        <w:b/>
        <w:u w:val="single"/>
      </w:rPr>
    </w:lvl>
    <w:lvl w:ilvl="7">
      <w:start w:val="1"/>
      <w:numFmt w:val="decimal"/>
      <w:lvlText w:val="%1.%2.%3.%3.%4.%5.%6.%7."/>
      <w:lvlJc w:val="left"/>
      <w:pPr>
        <w:ind w:left="5191" w:hanging="2160"/>
      </w:pPr>
      <w:rPr>
        <w:rFonts w:cs="Times New Roman" w:hint="default"/>
        <w:b/>
        <w:u w:val="single"/>
      </w:rPr>
    </w:lvl>
    <w:lvl w:ilvl="8">
      <w:start w:val="1"/>
      <w:numFmt w:val="decimal"/>
      <w:lvlText w:val="%1.%2.%3.%3.%4.%5.%6.%7.%8."/>
      <w:lvlJc w:val="left"/>
      <w:pPr>
        <w:ind w:left="5984" w:hanging="2520"/>
      </w:pPr>
      <w:rPr>
        <w:rFonts w:cs="Times New Roman" w:hint="default"/>
        <w:b/>
        <w:u w:val="single"/>
      </w:rPr>
    </w:lvl>
  </w:abstractNum>
  <w:abstractNum w:abstractNumId="4">
    <w:nsid w:val="32EB2DF5"/>
    <w:multiLevelType w:val="multilevel"/>
    <w:tmpl w:val="0EA42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57CB8"/>
    <w:multiLevelType w:val="hybridMultilevel"/>
    <w:tmpl w:val="D83CFF98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58287F7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C5770"/>
    <w:multiLevelType w:val="hybridMultilevel"/>
    <w:tmpl w:val="EF2A9F82"/>
    <w:lvl w:ilvl="0" w:tplc="439C47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02AA1"/>
    <w:multiLevelType w:val="multilevel"/>
    <w:tmpl w:val="A292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4.1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026EB"/>
    <w:multiLevelType w:val="hybridMultilevel"/>
    <w:tmpl w:val="DCE0FAF6"/>
    <w:lvl w:ilvl="0" w:tplc="4C802C90">
      <w:start w:val="1"/>
      <w:numFmt w:val="decimal"/>
      <w:lvlText w:val="%1.."/>
      <w:lvlJc w:val="left"/>
      <w:pPr>
        <w:ind w:left="1183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>
    <w:nsid w:val="48A35475"/>
    <w:multiLevelType w:val="hybridMultilevel"/>
    <w:tmpl w:val="BA46AD84"/>
    <w:lvl w:ilvl="0" w:tplc="F9F26B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9D42BC"/>
    <w:multiLevelType w:val="hybridMultilevel"/>
    <w:tmpl w:val="C1CC563E"/>
    <w:lvl w:ilvl="0" w:tplc="F9F26B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3512E5"/>
    <w:multiLevelType w:val="hybridMultilevel"/>
    <w:tmpl w:val="3AB49C46"/>
    <w:lvl w:ilvl="0" w:tplc="69740F9C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40806A0"/>
    <w:multiLevelType w:val="multilevel"/>
    <w:tmpl w:val="B5C035CE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  <w:b w:val="0"/>
        <w:sz w:val="16"/>
        <w:u w:val="none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 w:val="0"/>
        <w:sz w:val="16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  <w:sz w:val="16"/>
        <w:u w:val="none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16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16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16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16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16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16"/>
        <w:u w:val="none"/>
      </w:rPr>
    </w:lvl>
  </w:abstractNum>
  <w:abstractNum w:abstractNumId="13">
    <w:nsid w:val="54B44C25"/>
    <w:multiLevelType w:val="multilevel"/>
    <w:tmpl w:val="B168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E2C0D"/>
    <w:multiLevelType w:val="hybridMultilevel"/>
    <w:tmpl w:val="789A0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4B66D8"/>
    <w:multiLevelType w:val="singleLevel"/>
    <w:tmpl w:val="E8B6510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6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7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76E3D"/>
    <w:multiLevelType w:val="hybridMultilevel"/>
    <w:tmpl w:val="D7069D9E"/>
    <w:lvl w:ilvl="0" w:tplc="60CCC64C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C449D"/>
    <w:multiLevelType w:val="hybridMultilevel"/>
    <w:tmpl w:val="67C09D6C"/>
    <w:lvl w:ilvl="0" w:tplc="A5564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F783C"/>
    <w:multiLevelType w:val="hybridMultilevel"/>
    <w:tmpl w:val="D09460B0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5"/>
  </w:num>
  <w:num w:numId="5">
    <w:abstractNumId w:val="5"/>
  </w:num>
  <w:num w:numId="6">
    <w:abstractNumId w:val="15"/>
  </w:num>
  <w:num w:numId="7">
    <w:abstractNumId w:val="5"/>
  </w:num>
  <w:num w:numId="8">
    <w:abstractNumId w:val="5"/>
  </w:num>
  <w:num w:numId="9">
    <w:abstractNumId w:val="20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3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2"/>
  </w:num>
  <w:num w:numId="19">
    <w:abstractNumId w:val="4"/>
  </w:num>
  <w:num w:numId="20">
    <w:abstractNumId w:val="5"/>
    <w:lvlOverride w:ilvl="0">
      <w:startOverride w:val="1"/>
    </w:lvlOverride>
  </w:num>
  <w:num w:numId="21">
    <w:abstractNumId w:val="7"/>
  </w:num>
  <w:num w:numId="22">
    <w:abstractNumId w:val="8"/>
  </w:num>
  <w:num w:numId="23">
    <w:abstractNumId w:val="3"/>
  </w:num>
  <w:num w:numId="24">
    <w:abstractNumId w:val="14"/>
  </w:num>
  <w:num w:numId="25">
    <w:abstractNumId w:val="11"/>
  </w:num>
  <w:num w:numId="26">
    <w:abstractNumId w:val="5"/>
    <w:lvlOverride w:ilvl="0">
      <w:startOverride w:val="1"/>
    </w:lvlOverride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D02FE4"/>
    <w:rsid w:val="00001A25"/>
    <w:rsid w:val="00013423"/>
    <w:rsid w:val="00017710"/>
    <w:rsid w:val="00017B4D"/>
    <w:rsid w:val="000234B3"/>
    <w:rsid w:val="000268AD"/>
    <w:rsid w:val="00032716"/>
    <w:rsid w:val="0004429A"/>
    <w:rsid w:val="00046D31"/>
    <w:rsid w:val="000474D4"/>
    <w:rsid w:val="00052E4E"/>
    <w:rsid w:val="00054380"/>
    <w:rsid w:val="00057EDC"/>
    <w:rsid w:val="00072275"/>
    <w:rsid w:val="00080EE2"/>
    <w:rsid w:val="0009600E"/>
    <w:rsid w:val="000A386E"/>
    <w:rsid w:val="000A50DF"/>
    <w:rsid w:val="000A63D7"/>
    <w:rsid w:val="000A6D77"/>
    <w:rsid w:val="000A6E1B"/>
    <w:rsid w:val="000A7486"/>
    <w:rsid w:val="000B41C9"/>
    <w:rsid w:val="000D01DB"/>
    <w:rsid w:val="000D469F"/>
    <w:rsid w:val="000E07CC"/>
    <w:rsid w:val="000E0B63"/>
    <w:rsid w:val="000E6EF2"/>
    <w:rsid w:val="000F7079"/>
    <w:rsid w:val="00103CBB"/>
    <w:rsid w:val="0010636C"/>
    <w:rsid w:val="001213ED"/>
    <w:rsid w:val="00124596"/>
    <w:rsid w:val="001344CC"/>
    <w:rsid w:val="00147B54"/>
    <w:rsid w:val="00147D8F"/>
    <w:rsid w:val="001615EC"/>
    <w:rsid w:val="00182A11"/>
    <w:rsid w:val="001877B0"/>
    <w:rsid w:val="001904BA"/>
    <w:rsid w:val="00191AEF"/>
    <w:rsid w:val="00195019"/>
    <w:rsid w:val="001965A1"/>
    <w:rsid w:val="001A0295"/>
    <w:rsid w:val="001A6B57"/>
    <w:rsid w:val="001B5E82"/>
    <w:rsid w:val="001B66AB"/>
    <w:rsid w:val="001C2726"/>
    <w:rsid w:val="001C64F5"/>
    <w:rsid w:val="001D0879"/>
    <w:rsid w:val="001D0F26"/>
    <w:rsid w:val="001D1A5D"/>
    <w:rsid w:val="001E2F40"/>
    <w:rsid w:val="002024DD"/>
    <w:rsid w:val="002050DA"/>
    <w:rsid w:val="0021305C"/>
    <w:rsid w:val="00222AE9"/>
    <w:rsid w:val="00230116"/>
    <w:rsid w:val="00232E8C"/>
    <w:rsid w:val="00234AF5"/>
    <w:rsid w:val="00246C28"/>
    <w:rsid w:val="0026071B"/>
    <w:rsid w:val="0026477D"/>
    <w:rsid w:val="00265A07"/>
    <w:rsid w:val="00266136"/>
    <w:rsid w:val="00271389"/>
    <w:rsid w:val="002804B2"/>
    <w:rsid w:val="002A1D14"/>
    <w:rsid w:val="002A4A41"/>
    <w:rsid w:val="002B256A"/>
    <w:rsid w:val="002D5ED4"/>
    <w:rsid w:val="002E165E"/>
    <w:rsid w:val="00313B60"/>
    <w:rsid w:val="00321CCC"/>
    <w:rsid w:val="0032238B"/>
    <w:rsid w:val="00324DE3"/>
    <w:rsid w:val="0032689B"/>
    <w:rsid w:val="0032793F"/>
    <w:rsid w:val="00331488"/>
    <w:rsid w:val="003409E1"/>
    <w:rsid w:val="003576FB"/>
    <w:rsid w:val="00362BCB"/>
    <w:rsid w:val="003639E2"/>
    <w:rsid w:val="003700F3"/>
    <w:rsid w:val="00375FA2"/>
    <w:rsid w:val="003776C7"/>
    <w:rsid w:val="00380C82"/>
    <w:rsid w:val="00382D9C"/>
    <w:rsid w:val="003A1532"/>
    <w:rsid w:val="003B118A"/>
    <w:rsid w:val="003B7F4E"/>
    <w:rsid w:val="003C69DB"/>
    <w:rsid w:val="003E25A9"/>
    <w:rsid w:val="003F4D6E"/>
    <w:rsid w:val="003F5AA6"/>
    <w:rsid w:val="004010A8"/>
    <w:rsid w:val="00404A46"/>
    <w:rsid w:val="00411EA7"/>
    <w:rsid w:val="004137FC"/>
    <w:rsid w:val="0042462F"/>
    <w:rsid w:val="0043153D"/>
    <w:rsid w:val="0043541D"/>
    <w:rsid w:val="004407BA"/>
    <w:rsid w:val="004440A0"/>
    <w:rsid w:val="00454E21"/>
    <w:rsid w:val="0047043D"/>
    <w:rsid w:val="00476774"/>
    <w:rsid w:val="00487481"/>
    <w:rsid w:val="00494E1C"/>
    <w:rsid w:val="00495D15"/>
    <w:rsid w:val="004972F0"/>
    <w:rsid w:val="00497780"/>
    <w:rsid w:val="00497C82"/>
    <w:rsid w:val="004A054A"/>
    <w:rsid w:val="004A10DD"/>
    <w:rsid w:val="004B41AE"/>
    <w:rsid w:val="004B60D1"/>
    <w:rsid w:val="004B6C28"/>
    <w:rsid w:val="004B78F1"/>
    <w:rsid w:val="004C3498"/>
    <w:rsid w:val="004C70A9"/>
    <w:rsid w:val="004D1B2A"/>
    <w:rsid w:val="004D6451"/>
    <w:rsid w:val="004E1989"/>
    <w:rsid w:val="004E28AA"/>
    <w:rsid w:val="004E42C2"/>
    <w:rsid w:val="004E6D34"/>
    <w:rsid w:val="004F2467"/>
    <w:rsid w:val="004F5EC9"/>
    <w:rsid w:val="004F6C76"/>
    <w:rsid w:val="00501D46"/>
    <w:rsid w:val="00504006"/>
    <w:rsid w:val="005114A2"/>
    <w:rsid w:val="0051771A"/>
    <w:rsid w:val="00525715"/>
    <w:rsid w:val="0053761C"/>
    <w:rsid w:val="005423BD"/>
    <w:rsid w:val="005504CA"/>
    <w:rsid w:val="00564559"/>
    <w:rsid w:val="0057385E"/>
    <w:rsid w:val="005778E5"/>
    <w:rsid w:val="00584CFE"/>
    <w:rsid w:val="00587914"/>
    <w:rsid w:val="00591BCA"/>
    <w:rsid w:val="005A44F2"/>
    <w:rsid w:val="005A6606"/>
    <w:rsid w:val="005B42F6"/>
    <w:rsid w:val="005D1C8A"/>
    <w:rsid w:val="005D3F31"/>
    <w:rsid w:val="005D73CA"/>
    <w:rsid w:val="005D76BA"/>
    <w:rsid w:val="005E7F41"/>
    <w:rsid w:val="005F2204"/>
    <w:rsid w:val="005F2B3A"/>
    <w:rsid w:val="00602733"/>
    <w:rsid w:val="00603871"/>
    <w:rsid w:val="00612B35"/>
    <w:rsid w:val="00613645"/>
    <w:rsid w:val="0061475C"/>
    <w:rsid w:val="00620009"/>
    <w:rsid w:val="006408C0"/>
    <w:rsid w:val="00640CC2"/>
    <w:rsid w:val="00655E61"/>
    <w:rsid w:val="006669BA"/>
    <w:rsid w:val="00671EB9"/>
    <w:rsid w:val="00672144"/>
    <w:rsid w:val="00676BCC"/>
    <w:rsid w:val="00677A77"/>
    <w:rsid w:val="00677C40"/>
    <w:rsid w:val="0069672F"/>
    <w:rsid w:val="00697783"/>
    <w:rsid w:val="006978AF"/>
    <w:rsid w:val="006A1F01"/>
    <w:rsid w:val="006A7BD5"/>
    <w:rsid w:val="006C22CD"/>
    <w:rsid w:val="006C517F"/>
    <w:rsid w:val="006F268C"/>
    <w:rsid w:val="006F3C82"/>
    <w:rsid w:val="007074DB"/>
    <w:rsid w:val="00724316"/>
    <w:rsid w:val="007353F9"/>
    <w:rsid w:val="0074365D"/>
    <w:rsid w:val="00745C99"/>
    <w:rsid w:val="00746B06"/>
    <w:rsid w:val="007511F3"/>
    <w:rsid w:val="00756F36"/>
    <w:rsid w:val="00762CD2"/>
    <w:rsid w:val="00765C3E"/>
    <w:rsid w:val="00766C69"/>
    <w:rsid w:val="00773C97"/>
    <w:rsid w:val="007807CC"/>
    <w:rsid w:val="007917C8"/>
    <w:rsid w:val="0079392D"/>
    <w:rsid w:val="00795DAB"/>
    <w:rsid w:val="007A4A97"/>
    <w:rsid w:val="007A671E"/>
    <w:rsid w:val="007B0606"/>
    <w:rsid w:val="007B32B2"/>
    <w:rsid w:val="00805448"/>
    <w:rsid w:val="00817068"/>
    <w:rsid w:val="00826BA4"/>
    <w:rsid w:val="008278D8"/>
    <w:rsid w:val="00827CAD"/>
    <w:rsid w:val="00834E91"/>
    <w:rsid w:val="0084065D"/>
    <w:rsid w:val="0084236F"/>
    <w:rsid w:val="00843BDB"/>
    <w:rsid w:val="00844F5C"/>
    <w:rsid w:val="00846247"/>
    <w:rsid w:val="00850D47"/>
    <w:rsid w:val="00865DB7"/>
    <w:rsid w:val="0087300B"/>
    <w:rsid w:val="00892156"/>
    <w:rsid w:val="0089261F"/>
    <w:rsid w:val="008A02F5"/>
    <w:rsid w:val="008B5057"/>
    <w:rsid w:val="008B6C5A"/>
    <w:rsid w:val="008C04A7"/>
    <w:rsid w:val="008C3530"/>
    <w:rsid w:val="008C540C"/>
    <w:rsid w:val="008E3A85"/>
    <w:rsid w:val="00902705"/>
    <w:rsid w:val="00905A5F"/>
    <w:rsid w:val="009074E8"/>
    <w:rsid w:val="00914397"/>
    <w:rsid w:val="00914E52"/>
    <w:rsid w:val="00916BE4"/>
    <w:rsid w:val="00922917"/>
    <w:rsid w:val="00924515"/>
    <w:rsid w:val="00925823"/>
    <w:rsid w:val="00925A94"/>
    <w:rsid w:val="00931BB1"/>
    <w:rsid w:val="00936462"/>
    <w:rsid w:val="00944DE9"/>
    <w:rsid w:val="00950BA2"/>
    <w:rsid w:val="00966CCF"/>
    <w:rsid w:val="00975573"/>
    <w:rsid w:val="0098111A"/>
    <w:rsid w:val="009838EC"/>
    <w:rsid w:val="009868A1"/>
    <w:rsid w:val="009A58FE"/>
    <w:rsid w:val="009B369E"/>
    <w:rsid w:val="009B788B"/>
    <w:rsid w:val="009D253B"/>
    <w:rsid w:val="009D59D9"/>
    <w:rsid w:val="009F0C2D"/>
    <w:rsid w:val="00A004AC"/>
    <w:rsid w:val="00A02095"/>
    <w:rsid w:val="00A1262E"/>
    <w:rsid w:val="00A20F83"/>
    <w:rsid w:val="00A259F5"/>
    <w:rsid w:val="00A43EDD"/>
    <w:rsid w:val="00A4672A"/>
    <w:rsid w:val="00A474D6"/>
    <w:rsid w:val="00A61E60"/>
    <w:rsid w:val="00A653D9"/>
    <w:rsid w:val="00A67188"/>
    <w:rsid w:val="00A67995"/>
    <w:rsid w:val="00A720FF"/>
    <w:rsid w:val="00A75C0C"/>
    <w:rsid w:val="00A81D86"/>
    <w:rsid w:val="00A84D3A"/>
    <w:rsid w:val="00A869A8"/>
    <w:rsid w:val="00A958E7"/>
    <w:rsid w:val="00AB05B8"/>
    <w:rsid w:val="00AB192F"/>
    <w:rsid w:val="00AB32B1"/>
    <w:rsid w:val="00AB65E5"/>
    <w:rsid w:val="00AC376C"/>
    <w:rsid w:val="00AC7F32"/>
    <w:rsid w:val="00AD3935"/>
    <w:rsid w:val="00AF49D6"/>
    <w:rsid w:val="00B21384"/>
    <w:rsid w:val="00B41E68"/>
    <w:rsid w:val="00B46261"/>
    <w:rsid w:val="00B56ED4"/>
    <w:rsid w:val="00B85D6D"/>
    <w:rsid w:val="00B8687F"/>
    <w:rsid w:val="00B92D94"/>
    <w:rsid w:val="00B93F0B"/>
    <w:rsid w:val="00BA067A"/>
    <w:rsid w:val="00BA2351"/>
    <w:rsid w:val="00BA2894"/>
    <w:rsid w:val="00BA5BFF"/>
    <w:rsid w:val="00BB267D"/>
    <w:rsid w:val="00BC43F3"/>
    <w:rsid w:val="00BD06C3"/>
    <w:rsid w:val="00BD1795"/>
    <w:rsid w:val="00BD2218"/>
    <w:rsid w:val="00C019FE"/>
    <w:rsid w:val="00C02FBA"/>
    <w:rsid w:val="00C06EE8"/>
    <w:rsid w:val="00C1239A"/>
    <w:rsid w:val="00C159E2"/>
    <w:rsid w:val="00C16046"/>
    <w:rsid w:val="00C22966"/>
    <w:rsid w:val="00C374C9"/>
    <w:rsid w:val="00C41796"/>
    <w:rsid w:val="00C500F1"/>
    <w:rsid w:val="00C524B9"/>
    <w:rsid w:val="00C55E8E"/>
    <w:rsid w:val="00C57373"/>
    <w:rsid w:val="00C623DE"/>
    <w:rsid w:val="00C62C21"/>
    <w:rsid w:val="00C66246"/>
    <w:rsid w:val="00C75125"/>
    <w:rsid w:val="00C84073"/>
    <w:rsid w:val="00C96884"/>
    <w:rsid w:val="00CC1F6E"/>
    <w:rsid w:val="00CC3240"/>
    <w:rsid w:val="00CC3E50"/>
    <w:rsid w:val="00CD2FE8"/>
    <w:rsid w:val="00CD518C"/>
    <w:rsid w:val="00CF5676"/>
    <w:rsid w:val="00D02FE4"/>
    <w:rsid w:val="00D160CA"/>
    <w:rsid w:val="00D21225"/>
    <w:rsid w:val="00D44DA7"/>
    <w:rsid w:val="00D52912"/>
    <w:rsid w:val="00D65EC8"/>
    <w:rsid w:val="00D81BE1"/>
    <w:rsid w:val="00D82F0E"/>
    <w:rsid w:val="00D96153"/>
    <w:rsid w:val="00DA71F6"/>
    <w:rsid w:val="00DB05C3"/>
    <w:rsid w:val="00DB1A19"/>
    <w:rsid w:val="00DC3C66"/>
    <w:rsid w:val="00DC7D6C"/>
    <w:rsid w:val="00DD1BB6"/>
    <w:rsid w:val="00DD471F"/>
    <w:rsid w:val="00DD6E33"/>
    <w:rsid w:val="00DF3BA5"/>
    <w:rsid w:val="00DF7008"/>
    <w:rsid w:val="00DF742C"/>
    <w:rsid w:val="00E019F7"/>
    <w:rsid w:val="00E31157"/>
    <w:rsid w:val="00E31438"/>
    <w:rsid w:val="00E32E02"/>
    <w:rsid w:val="00E3618E"/>
    <w:rsid w:val="00E41475"/>
    <w:rsid w:val="00E417B0"/>
    <w:rsid w:val="00E41C17"/>
    <w:rsid w:val="00E47C95"/>
    <w:rsid w:val="00E53EC7"/>
    <w:rsid w:val="00E56ECB"/>
    <w:rsid w:val="00E62C99"/>
    <w:rsid w:val="00E6573A"/>
    <w:rsid w:val="00E71FF4"/>
    <w:rsid w:val="00E73E66"/>
    <w:rsid w:val="00E75582"/>
    <w:rsid w:val="00E756EB"/>
    <w:rsid w:val="00E83792"/>
    <w:rsid w:val="00E9015B"/>
    <w:rsid w:val="00E94067"/>
    <w:rsid w:val="00EA0036"/>
    <w:rsid w:val="00EA0D6B"/>
    <w:rsid w:val="00EA70CE"/>
    <w:rsid w:val="00EB127B"/>
    <w:rsid w:val="00EC3820"/>
    <w:rsid w:val="00EC3FB1"/>
    <w:rsid w:val="00ED324F"/>
    <w:rsid w:val="00ED77AE"/>
    <w:rsid w:val="00EE5288"/>
    <w:rsid w:val="00EF2439"/>
    <w:rsid w:val="00EF57BF"/>
    <w:rsid w:val="00EF71F0"/>
    <w:rsid w:val="00F16318"/>
    <w:rsid w:val="00F2266B"/>
    <w:rsid w:val="00F3718F"/>
    <w:rsid w:val="00F41F82"/>
    <w:rsid w:val="00F54946"/>
    <w:rsid w:val="00F663A2"/>
    <w:rsid w:val="00F672A0"/>
    <w:rsid w:val="00F92777"/>
    <w:rsid w:val="00FA1979"/>
    <w:rsid w:val="00FB49D3"/>
    <w:rsid w:val="00FC161F"/>
    <w:rsid w:val="00FC4ACD"/>
    <w:rsid w:val="00FC5E7D"/>
    <w:rsid w:val="00FC6BCB"/>
    <w:rsid w:val="00FE27A5"/>
    <w:rsid w:val="00FE6731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basedOn w:val="DefaultParagraphFont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basedOn w:val="DefaultParagraphFont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basedOn w:val="DefaultParagraphFont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tabs>
        <w:tab w:val="num" w:pos="360"/>
      </w:tabs>
      <w:spacing w:after="240"/>
      <w:ind w:left="0" w:firstLine="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E94067"/>
    <w:pPr>
      <w:spacing w:before="0" w:after="0"/>
      <w:ind w:left="33"/>
    </w:pPr>
    <w:rPr>
      <w:rFonts w:ascii="Times New Roman" w:hAnsi="Times New Roman"/>
      <w:szCs w:val="17"/>
      <w:lang w:eastAsia="de-DE"/>
    </w:rPr>
  </w:style>
  <w:style w:type="character" w:customStyle="1" w:styleId="InstructionsTabelleberschrift">
    <w:name w:val="Instructions Tabelle Überschrift"/>
    <w:basedOn w:val="DefaultParagraphFon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basedOn w:val="DefaultParagraphFon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basedOn w:val="DefaultParagraphFont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basedOn w:val="DefaultParagraphFont"/>
    <w:link w:val="InstructionsText"/>
    <w:locked/>
    <w:rsid w:val="00E94067"/>
    <w:rPr>
      <w:szCs w:val="17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2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5A44F2"/>
    <w:rPr>
      <w:color w:val="0000FF"/>
      <w:u w:val="single"/>
    </w:rPr>
  </w:style>
  <w:style w:type="paragraph" w:styleId="TOC2">
    <w:name w:val="toc 2"/>
    <w:basedOn w:val="Normal"/>
    <w:next w:val="Normal"/>
    <w:autoRedefine/>
    <w:qFormat/>
    <w:rsid w:val="005A44F2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customStyle="1" w:styleId="PageNumbereven">
    <w:name w:val="Page Numbereven"/>
    <w:basedOn w:val="Normal"/>
    <w:rsid w:val="005A44F2"/>
    <w:pPr>
      <w:spacing w:before="0" w:after="0"/>
      <w:jc w:val="left"/>
    </w:pPr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Normal"/>
    <w:semiHidden/>
    <w:rsid w:val="00EC3F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57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6F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76FB"/>
    <w:rPr>
      <w:b/>
      <w:bCs/>
    </w:rPr>
  </w:style>
  <w:style w:type="paragraph" w:customStyle="1" w:styleId="Default">
    <w:name w:val="Default"/>
    <w:rsid w:val="005778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pl-PL" w:eastAsia="en-US"/>
    </w:rPr>
  </w:style>
  <w:style w:type="character" w:customStyle="1" w:styleId="DeltaViewInsertion">
    <w:name w:val="DeltaView Insertion"/>
    <w:uiPriority w:val="99"/>
    <w:rsid w:val="009074E8"/>
    <w:rPr>
      <w:color w:val="0000FF"/>
      <w:spacing w:val="0"/>
      <w:u w:val="double"/>
    </w:rPr>
  </w:style>
  <w:style w:type="paragraph" w:customStyle="1" w:styleId="ReferenceText">
    <w:name w:val="Reference Text"/>
    <w:basedOn w:val="Normal"/>
    <w:next w:val="InstructionsText"/>
    <w:qFormat/>
    <w:rsid w:val="000B41C9"/>
    <w:pPr>
      <w:framePr w:w="3976" w:h="1381" w:wrap="notBeside" w:vAnchor="page" w:hAnchor="page" w:x="6526" w:y="946" w:anchorLock="1"/>
      <w:tabs>
        <w:tab w:val="center" w:pos="4153"/>
        <w:tab w:val="right" w:pos="9072"/>
      </w:tabs>
      <w:spacing w:before="0" w:after="0" w:line="300" w:lineRule="exact"/>
      <w:jc w:val="right"/>
    </w:pPr>
    <w:rPr>
      <w:rFonts w:ascii="Calibri" w:hAnsi="Calibri"/>
      <w:color w:val="C0504D"/>
      <w:szCs w:val="20"/>
    </w:rPr>
  </w:style>
  <w:style w:type="character" w:customStyle="1" w:styleId="CommentTextChar">
    <w:name w:val="Comment Text Char"/>
    <w:link w:val="CommentText"/>
    <w:rsid w:val="004B41AE"/>
    <w:rPr>
      <w:rFonts w:ascii="Verdana" w:hAnsi="Verdana"/>
      <w:lang w:eastAsia="en-US"/>
    </w:rPr>
  </w:style>
  <w:style w:type="character" w:customStyle="1" w:styleId="CommentSubjectChar">
    <w:name w:val="Comment Subject Char"/>
    <w:link w:val="CommentSubject"/>
    <w:rsid w:val="004B41AE"/>
    <w:rPr>
      <w:rFonts w:ascii="Verdana" w:hAnsi="Verdana"/>
      <w:b/>
      <w:bCs/>
      <w:lang w:eastAsia="en-US"/>
    </w:rPr>
  </w:style>
  <w:style w:type="character" w:customStyle="1" w:styleId="DeltaViewDeletion">
    <w:name w:val="DeltaView Deletion"/>
    <w:rsid w:val="004B41AE"/>
    <w:rPr>
      <w:strike/>
      <w:spacing w:val="0"/>
    </w:rPr>
  </w:style>
  <w:style w:type="paragraph" w:customStyle="1" w:styleId="Point1">
    <w:name w:val="Point 1"/>
    <w:basedOn w:val="Normal"/>
    <w:link w:val="Point1Char"/>
    <w:rsid w:val="004B41AE"/>
    <w:pPr>
      <w:suppressAutoHyphens/>
      <w:autoSpaceDE w:val="0"/>
      <w:autoSpaceDN w:val="0"/>
      <w:adjustRightInd w:val="0"/>
      <w:ind w:left="1417" w:hanging="567"/>
    </w:pPr>
    <w:rPr>
      <w:rFonts w:ascii="Times New Roman" w:hAnsi="Times New Roman"/>
      <w:sz w:val="24"/>
      <w:lang w:eastAsia="fr-BE"/>
    </w:rPr>
  </w:style>
  <w:style w:type="character" w:customStyle="1" w:styleId="Point1Char">
    <w:name w:val="Point 1 Char"/>
    <w:basedOn w:val="DefaultParagraphFont"/>
    <w:link w:val="Point1"/>
    <w:locked/>
    <w:rsid w:val="004B41AE"/>
    <w:rPr>
      <w:sz w:val="24"/>
      <w:szCs w:val="24"/>
      <w:lang w:eastAsia="fr-BE"/>
    </w:rPr>
  </w:style>
  <w:style w:type="paragraph" w:customStyle="1" w:styleId="CarCarCharCarCarCharCharCharChar">
    <w:name w:val="Car Car Char Car Car Char Char Char Char"/>
    <w:basedOn w:val="Normal"/>
    <w:rsid w:val="004B41AE"/>
    <w:pPr>
      <w:spacing w:before="0" w:after="0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B41AE"/>
    <w:pPr>
      <w:ind w:left="720"/>
      <w:contextualSpacing/>
    </w:pPr>
  </w:style>
  <w:style w:type="paragraph" w:styleId="Revision">
    <w:name w:val="Revision"/>
    <w:hidden/>
    <w:uiPriority w:val="99"/>
    <w:semiHidden/>
    <w:rsid w:val="004B41AE"/>
    <w:rPr>
      <w:rFonts w:ascii="Verdana" w:hAnsi="Verdana"/>
      <w:szCs w:val="24"/>
      <w:lang w:eastAsia="en-US"/>
    </w:rPr>
  </w:style>
  <w:style w:type="paragraph" w:styleId="Header">
    <w:name w:val="header"/>
    <w:basedOn w:val="Normal"/>
    <w:link w:val="HeaderChar"/>
    <w:rsid w:val="0007227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072275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7227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72275"/>
    <w:rPr>
      <w:rFonts w:ascii="Verdana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02FE4"/>
    <w:pPr>
      <w:keepNext/>
      <w:spacing w:before="24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basedOn w:val="DefaultParagraphFont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basedOn w:val="DefaultParagraphFont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character" w:customStyle="1" w:styleId="Heading2Char">
    <w:name w:val="Heading 2 Char"/>
    <w:basedOn w:val="DefaultParagraphFont"/>
    <w:link w:val="Heading2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tabs>
        <w:tab w:val="num" w:pos="360"/>
      </w:tabs>
      <w:spacing w:after="240"/>
      <w:ind w:left="0" w:firstLine="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E94067"/>
    <w:pPr>
      <w:spacing w:before="0" w:after="0"/>
      <w:ind w:left="33"/>
    </w:pPr>
    <w:rPr>
      <w:rFonts w:ascii="Times New Roman" w:hAnsi="Times New Roman"/>
      <w:szCs w:val="17"/>
      <w:lang w:eastAsia="de-DE"/>
    </w:rPr>
  </w:style>
  <w:style w:type="character" w:customStyle="1" w:styleId="InstructionsTabelleberschrift">
    <w:name w:val="Instructions Tabelle Überschrift"/>
    <w:basedOn w:val="DefaultParagraphFon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basedOn w:val="DefaultParagraphFon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basedOn w:val="DefaultParagraphFont"/>
    <w:qFormat/>
    <w:rsid w:val="00D02FE4"/>
    <w:rPr>
      <w:rFonts w:ascii="Verdana" w:hAnsi="Verdana" w:cs="Times New Roman"/>
      <w:bCs/>
      <w:sz w:val="20"/>
      <w:u w:val="none"/>
    </w:rPr>
  </w:style>
  <w:style w:type="character" w:customStyle="1" w:styleId="InstructionsTextChar">
    <w:name w:val="Instructions Text Char"/>
    <w:basedOn w:val="DefaultParagraphFont"/>
    <w:link w:val="InstructionsText"/>
    <w:locked/>
    <w:rsid w:val="00E94067"/>
    <w:rPr>
      <w:szCs w:val="17"/>
      <w:lang w:val="en-GB" w:eastAsia="de-DE" w:bidi="ar-SA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2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5A44F2"/>
    <w:rPr>
      <w:color w:val="0000FF"/>
      <w:u w:val="single"/>
    </w:rPr>
  </w:style>
  <w:style w:type="paragraph" w:styleId="TOC2">
    <w:name w:val="toc 2"/>
    <w:basedOn w:val="Normal"/>
    <w:next w:val="Normal"/>
    <w:autoRedefine/>
    <w:qFormat/>
    <w:rsid w:val="005A44F2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customStyle="1" w:styleId="PageNumbereven">
    <w:name w:val="Page Numbereven"/>
    <w:basedOn w:val="Normal"/>
    <w:rsid w:val="005A44F2"/>
    <w:pPr>
      <w:spacing w:before="0" w:after="0"/>
      <w:jc w:val="left"/>
    </w:pPr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Normal"/>
    <w:semiHidden/>
    <w:rsid w:val="00EC3F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576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6F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76FB"/>
    <w:rPr>
      <w:b/>
      <w:bCs/>
    </w:rPr>
  </w:style>
  <w:style w:type="paragraph" w:customStyle="1" w:styleId="Default">
    <w:name w:val="Default"/>
    <w:rsid w:val="005778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pl-PL" w:eastAsia="en-US"/>
    </w:rPr>
  </w:style>
  <w:style w:type="character" w:customStyle="1" w:styleId="DeltaViewInsertion">
    <w:name w:val="DeltaView Insertion"/>
    <w:uiPriority w:val="99"/>
    <w:rsid w:val="009074E8"/>
    <w:rPr>
      <w:color w:val="0000FF"/>
      <w:spacing w:val="0"/>
      <w:u w:val="double"/>
    </w:rPr>
  </w:style>
  <w:style w:type="paragraph" w:customStyle="1" w:styleId="ReferenceText">
    <w:name w:val="Reference Text"/>
    <w:basedOn w:val="Normal"/>
    <w:next w:val="InstructionsText"/>
    <w:qFormat/>
    <w:rsid w:val="000B41C9"/>
    <w:pPr>
      <w:framePr w:w="3976" w:h="1381" w:wrap="notBeside" w:vAnchor="page" w:hAnchor="page" w:x="6526" w:y="946" w:anchorLock="1"/>
      <w:tabs>
        <w:tab w:val="center" w:pos="4153"/>
        <w:tab w:val="right" w:pos="9072"/>
      </w:tabs>
      <w:spacing w:before="0" w:after="0" w:line="300" w:lineRule="exact"/>
      <w:jc w:val="right"/>
    </w:pPr>
    <w:rPr>
      <w:rFonts w:ascii="Calibri" w:hAnsi="Calibri"/>
      <w:color w:val="C0504D"/>
      <w:szCs w:val="20"/>
    </w:rPr>
  </w:style>
  <w:style w:type="character" w:customStyle="1" w:styleId="CommentTextChar">
    <w:name w:val="Comment Text Char"/>
    <w:link w:val="CommentText"/>
    <w:rsid w:val="004B41AE"/>
    <w:rPr>
      <w:rFonts w:ascii="Verdana" w:hAnsi="Verdana"/>
      <w:lang w:eastAsia="en-US"/>
    </w:rPr>
  </w:style>
  <w:style w:type="character" w:customStyle="1" w:styleId="CommentSubjectChar">
    <w:name w:val="Comment Subject Char"/>
    <w:link w:val="CommentSubject"/>
    <w:rsid w:val="004B41AE"/>
    <w:rPr>
      <w:rFonts w:ascii="Verdana" w:hAnsi="Verdana"/>
      <w:b/>
      <w:bCs/>
      <w:lang w:eastAsia="en-US"/>
    </w:rPr>
  </w:style>
  <w:style w:type="character" w:customStyle="1" w:styleId="DeltaViewDeletion">
    <w:name w:val="DeltaView Deletion"/>
    <w:rsid w:val="004B41AE"/>
    <w:rPr>
      <w:strike/>
      <w:spacing w:val="0"/>
    </w:rPr>
  </w:style>
  <w:style w:type="paragraph" w:customStyle="1" w:styleId="Point1">
    <w:name w:val="Point 1"/>
    <w:basedOn w:val="Normal"/>
    <w:link w:val="Point1Char"/>
    <w:rsid w:val="004B41AE"/>
    <w:pPr>
      <w:suppressAutoHyphens/>
      <w:autoSpaceDE w:val="0"/>
      <w:autoSpaceDN w:val="0"/>
      <w:adjustRightInd w:val="0"/>
      <w:ind w:left="1417" w:hanging="567"/>
    </w:pPr>
    <w:rPr>
      <w:rFonts w:ascii="Times New Roman" w:hAnsi="Times New Roman"/>
      <w:sz w:val="24"/>
      <w:lang w:eastAsia="fr-BE"/>
    </w:rPr>
  </w:style>
  <w:style w:type="character" w:customStyle="1" w:styleId="Point1Char">
    <w:name w:val="Point 1 Char"/>
    <w:basedOn w:val="DefaultParagraphFont"/>
    <w:link w:val="Point1"/>
    <w:locked/>
    <w:rsid w:val="004B41AE"/>
    <w:rPr>
      <w:sz w:val="24"/>
      <w:szCs w:val="24"/>
      <w:lang w:eastAsia="fr-BE"/>
    </w:rPr>
  </w:style>
  <w:style w:type="paragraph" w:customStyle="1" w:styleId="CarCarCharCarCarCharCharCharChar">
    <w:name w:val="Car Car Char Car Car Char Char Char Char"/>
    <w:basedOn w:val="Normal"/>
    <w:rsid w:val="004B41AE"/>
    <w:pPr>
      <w:spacing w:before="0" w:after="0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B41AE"/>
    <w:pPr>
      <w:ind w:left="720"/>
      <w:contextualSpacing/>
    </w:pPr>
  </w:style>
  <w:style w:type="paragraph" w:styleId="Revision">
    <w:name w:val="Revision"/>
    <w:hidden/>
    <w:uiPriority w:val="99"/>
    <w:semiHidden/>
    <w:rsid w:val="004B41AE"/>
    <w:rPr>
      <w:rFonts w:ascii="Verdana" w:hAnsi="Verdana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643B-5EF0-4483-AC6C-B7BD1C0A0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02F36-62CA-498D-9A84-99F5A720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II: TEMPLATE RELATED INSTRUCTIONS</vt:lpstr>
    </vt:vector>
  </TitlesOfParts>
  <Company>Financial Services Authority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mabdelli</dc:creator>
  <cp:lastModifiedBy>wstrohbach</cp:lastModifiedBy>
  <cp:revision>5</cp:revision>
  <cp:lastPrinted>2013-07-02T16:08:00Z</cp:lastPrinted>
  <dcterms:created xsi:type="dcterms:W3CDTF">2013-07-24T12:33:00Z</dcterms:created>
  <dcterms:modified xsi:type="dcterms:W3CDTF">2013-07-25T13:59:00Z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