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2F19D" w14:textId="065D1E78" w:rsidR="00C31378" w:rsidRPr="00943202" w:rsidRDefault="00C31378" w:rsidP="00C31378">
      <w:pPr>
        <w:pStyle w:val="Annexetitre"/>
        <w:rPr>
          <w:noProof/>
        </w:rPr>
      </w:pPr>
      <w:bookmarkStart w:id="0" w:name="_Toc298787969"/>
      <w:bookmarkStart w:id="1" w:name="_Toc298788158"/>
      <w:bookmarkStart w:id="2" w:name="_Toc298788641"/>
      <w:bookmarkStart w:id="3" w:name="_Toc305686691"/>
      <w:bookmarkStart w:id="4" w:name="_Toc306350093"/>
      <w:bookmarkStart w:id="5" w:name="_Toc306350113"/>
      <w:bookmarkStart w:id="6" w:name="_Toc331517265"/>
      <w:bookmarkStart w:id="7" w:name="_Toc245891774"/>
      <w:bookmarkStart w:id="8" w:name="_Toc238803087"/>
      <w:bookmarkStart w:id="9" w:name="_Toc238803888"/>
      <w:r w:rsidRPr="00943202">
        <w:rPr>
          <w:noProof/>
        </w:rPr>
        <w:t xml:space="preserve">ANNEX </w:t>
      </w:r>
      <w:r w:rsidR="00186588">
        <w:rPr>
          <w:noProof/>
        </w:rPr>
        <w:t>2</w:t>
      </w:r>
      <w:r w:rsidRPr="00943202">
        <w:rPr>
          <w:noProof/>
        </w:rPr>
        <w:t xml:space="preserve"> </w:t>
      </w:r>
      <w:r>
        <w:t>– Instructions for overview disclosure templates</w:t>
      </w:r>
    </w:p>
    <w:p w14:paraId="3646CE3E" w14:textId="77777777" w:rsidR="00C31378" w:rsidRDefault="00C31378" w:rsidP="00662487">
      <w:pPr>
        <w:pStyle w:val="Titlelevel2"/>
        <w:spacing w:before="120" w:after="120"/>
        <w:rPr>
          <w:rFonts w:ascii="Times New Roman" w:hAnsi="Times New Roman" w:cs="Times New Roman"/>
          <w:b/>
          <w:color w:val="auto"/>
          <w:sz w:val="24"/>
        </w:rPr>
      </w:pPr>
    </w:p>
    <w:p w14:paraId="70625802" w14:textId="334B1C71" w:rsidR="00662487" w:rsidRPr="00C31378" w:rsidRDefault="007F5865" w:rsidP="00662487">
      <w:pPr>
        <w:pStyle w:val="Titlelevel2"/>
        <w:spacing w:before="120" w:after="120"/>
        <w:rPr>
          <w:rFonts w:ascii="Times New Roman" w:hAnsi="Times New Roman" w:cs="Times New Roman"/>
          <w:color w:val="auto"/>
          <w:sz w:val="24"/>
        </w:rPr>
      </w:pPr>
      <w:r w:rsidRPr="00C31378">
        <w:rPr>
          <w:rFonts w:ascii="Times New Roman" w:hAnsi="Times New Roman" w:cs="Times New Roman"/>
          <w:b/>
          <w:color w:val="auto"/>
          <w:sz w:val="24"/>
        </w:rPr>
        <w:t xml:space="preserve">Template </w:t>
      </w:r>
      <w:r w:rsidR="00186588">
        <w:rPr>
          <w:rFonts w:ascii="Times New Roman" w:hAnsi="Times New Roman" w:cs="Times New Roman"/>
          <w:b/>
          <w:color w:val="auto"/>
          <w:sz w:val="24"/>
        </w:rPr>
        <w:t xml:space="preserve">EU </w:t>
      </w:r>
      <w:r w:rsidRPr="00C31378">
        <w:rPr>
          <w:rFonts w:ascii="Times New Roman" w:hAnsi="Times New Roman" w:cs="Times New Roman"/>
          <w:b/>
          <w:color w:val="auto"/>
          <w:sz w:val="24"/>
        </w:rPr>
        <w:t>OV1 – Overview of risk weighted exposure amount</w:t>
      </w:r>
      <w:r w:rsidR="000B6D18">
        <w:rPr>
          <w:rFonts w:ascii="Times New Roman" w:hAnsi="Times New Roman" w:cs="Times New Roman"/>
          <w:b/>
          <w:color w:val="auto"/>
          <w:sz w:val="24"/>
        </w:rPr>
        <w:t>s</w:t>
      </w:r>
      <w:r w:rsidR="00662487" w:rsidRPr="00C31378">
        <w:rPr>
          <w:rFonts w:ascii="Times New Roman" w:hAnsi="Times New Roman" w:cs="Times New Roman"/>
          <w:b/>
          <w:color w:val="auto"/>
          <w:sz w:val="24"/>
        </w:rPr>
        <w:t xml:space="preserve">. </w:t>
      </w:r>
      <w:r w:rsidR="00662487" w:rsidRPr="00C31378">
        <w:rPr>
          <w:rFonts w:ascii="Times New Roman" w:hAnsi="Times New Roman" w:cs="Times New Roman"/>
          <w:color w:val="auto"/>
          <w:sz w:val="24"/>
        </w:rPr>
        <w:t>Fixed format</w:t>
      </w:r>
    </w:p>
    <w:p w14:paraId="3A9BD455" w14:textId="2AC06F09" w:rsidR="007E14C6" w:rsidRPr="00C31378" w:rsidRDefault="00501BEB" w:rsidP="00C31378">
      <w:pPr>
        <w:pStyle w:val="Titlelevel2"/>
        <w:numPr>
          <w:ilvl w:val="0"/>
          <w:numId w:val="14"/>
        </w:numPr>
        <w:spacing w:before="120" w:after="120"/>
        <w:ind w:left="426"/>
        <w:rPr>
          <w:rFonts w:ascii="Times New Roman" w:eastAsiaTheme="minorEastAsia" w:hAnsi="Times New Roman" w:cs="Times New Roman"/>
          <w:bCs w:val="0"/>
          <w:noProof/>
          <w:color w:val="000000"/>
          <w:sz w:val="24"/>
          <w:lang w:val="en-GB"/>
        </w:rPr>
      </w:pPr>
      <w:r w:rsidRPr="00C31378">
        <w:rPr>
          <w:rFonts w:ascii="Times New Roman" w:eastAsiaTheme="minorEastAsia" w:hAnsi="Times New Roman" w:cs="Times New Roman"/>
          <w:bCs w:val="0"/>
          <w:noProof/>
          <w:color w:val="000000"/>
          <w:sz w:val="24"/>
          <w:lang w:val="en-GB"/>
        </w:rPr>
        <w:t xml:space="preserve">Institutions shall </w:t>
      </w:r>
      <w:r w:rsidR="00186588">
        <w:rPr>
          <w:rFonts w:ascii="Times New Roman" w:eastAsiaTheme="minorEastAsia" w:hAnsi="Times New Roman" w:cs="Times New Roman"/>
          <w:bCs w:val="0"/>
          <w:noProof/>
          <w:color w:val="000000"/>
          <w:sz w:val="24"/>
          <w:lang w:val="en-GB"/>
        </w:rPr>
        <w:t>apply the instructions below in</w:t>
      </w:r>
      <w:r w:rsidR="00E74C1B">
        <w:rPr>
          <w:rFonts w:ascii="Times New Roman" w:eastAsiaTheme="minorEastAsia" w:hAnsi="Times New Roman" w:cs="Times New Roman"/>
          <w:bCs w:val="0"/>
          <w:noProof/>
          <w:color w:val="000000"/>
          <w:sz w:val="24"/>
          <w:lang w:val="en-GB"/>
        </w:rPr>
        <w:t xml:space="preserve"> order to complete template EU OV1</w:t>
      </w:r>
      <w:r w:rsidR="00186588">
        <w:rPr>
          <w:rFonts w:ascii="Times New Roman" w:eastAsiaTheme="minorEastAsia" w:hAnsi="Times New Roman" w:cs="Times New Roman"/>
          <w:bCs w:val="0"/>
          <w:noProof/>
          <w:color w:val="000000"/>
          <w:sz w:val="24"/>
          <w:lang w:val="en-GB"/>
        </w:rPr>
        <w:t xml:space="preserve"> as presented in Annex 1,</w:t>
      </w:r>
      <w:r w:rsidRPr="00C31378">
        <w:rPr>
          <w:rFonts w:ascii="Times New Roman" w:eastAsiaTheme="minorEastAsia" w:hAnsi="Times New Roman" w:cs="Times New Roman"/>
          <w:bCs w:val="0"/>
          <w:noProof/>
          <w:color w:val="000000"/>
          <w:sz w:val="24"/>
          <w:lang w:val="en-GB"/>
        </w:rPr>
        <w:t xml:space="preserve"> in application of </w:t>
      </w:r>
      <w:r w:rsidR="00677CC7">
        <w:rPr>
          <w:rFonts w:ascii="Times New Roman" w:eastAsiaTheme="minorEastAsia" w:hAnsi="Times New Roman" w:cs="Times New Roman"/>
          <w:bCs w:val="0"/>
          <w:noProof/>
          <w:color w:val="000000"/>
          <w:sz w:val="24"/>
          <w:lang w:val="en-GB"/>
        </w:rPr>
        <w:t>Article 438</w:t>
      </w:r>
      <w:r w:rsidR="009A4635">
        <w:rPr>
          <w:rFonts w:ascii="Times New Roman" w:eastAsiaTheme="minorEastAsia" w:hAnsi="Times New Roman" w:cs="Times New Roman"/>
          <w:bCs w:val="0"/>
          <w:noProof/>
          <w:color w:val="000000"/>
          <w:sz w:val="24"/>
          <w:lang w:val="en-GB"/>
        </w:rPr>
        <w:t>(</w:t>
      </w:r>
      <w:r w:rsidR="002F08A4" w:rsidRPr="00C31378">
        <w:rPr>
          <w:rFonts w:ascii="Times New Roman" w:eastAsiaTheme="minorEastAsia" w:hAnsi="Times New Roman" w:cs="Times New Roman"/>
          <w:bCs w:val="0"/>
          <w:noProof/>
          <w:color w:val="000000"/>
          <w:sz w:val="24"/>
          <w:lang w:val="en-GB"/>
        </w:rPr>
        <w:t>d</w:t>
      </w:r>
      <w:r w:rsidR="009A4635">
        <w:rPr>
          <w:rFonts w:ascii="Times New Roman" w:eastAsiaTheme="minorEastAsia" w:hAnsi="Times New Roman" w:cs="Times New Roman"/>
          <w:bCs w:val="0"/>
          <w:noProof/>
          <w:color w:val="000000"/>
          <w:sz w:val="24"/>
          <w:lang w:val="en-GB"/>
        </w:rPr>
        <w:t>)</w:t>
      </w:r>
      <w:r w:rsidR="003D04AB" w:rsidRPr="00C31378">
        <w:rPr>
          <w:rFonts w:ascii="Times New Roman" w:eastAsiaTheme="minorEastAsia" w:hAnsi="Times New Roman" w:cs="Times New Roman"/>
          <w:bCs w:val="0"/>
          <w:noProof/>
          <w:color w:val="000000"/>
          <w:sz w:val="24"/>
          <w:lang w:val="en-GB"/>
        </w:rPr>
        <w:t xml:space="preserve"> of Regulation (EU) No 575/2013</w:t>
      </w:r>
      <w:r w:rsidRPr="00C31378">
        <w:rPr>
          <w:rFonts w:ascii="Times New Roman" w:eastAsiaTheme="minorEastAsia" w:hAnsi="Times New Roman" w:cs="Times New Roman"/>
          <w:bCs w:val="0"/>
          <w:noProof/>
          <w:color w:val="000000"/>
          <w:sz w:val="24"/>
          <w:lang w:val="en-GB"/>
        </w:rPr>
        <w:t xml:space="preserve"> (CRR)</w:t>
      </w:r>
      <w:r w:rsidR="00720050" w:rsidRPr="00C31378">
        <w:rPr>
          <w:rFonts w:ascii="Times New Roman" w:eastAsiaTheme="minorEastAsia" w:hAnsi="Times New Roman" w:cs="Times New Roman"/>
          <w:bCs w:val="0"/>
          <w:noProof/>
          <w:color w:val="000000"/>
          <w:sz w:val="24"/>
          <w:lang w:val="en-GB"/>
        </w:rPr>
        <w:t>.</w:t>
      </w:r>
    </w:p>
    <w:p w14:paraId="05534CFC" w14:textId="742039BC" w:rsidR="00720050" w:rsidRPr="00C31378" w:rsidRDefault="00720050" w:rsidP="00C31378">
      <w:pPr>
        <w:pStyle w:val="Titlelevel2"/>
        <w:numPr>
          <w:ilvl w:val="0"/>
          <w:numId w:val="14"/>
        </w:numPr>
        <w:spacing w:before="120" w:after="120"/>
        <w:ind w:left="426"/>
        <w:rPr>
          <w:rFonts w:ascii="Times New Roman" w:hAnsi="Times New Roman" w:cs="Times New Roman"/>
          <w:sz w:val="24"/>
        </w:rPr>
      </w:pPr>
      <w:r w:rsidRPr="00C31378">
        <w:rPr>
          <w:rFonts w:ascii="Times New Roman" w:eastAsiaTheme="minorEastAsia" w:hAnsi="Times New Roman" w:cs="Times New Roman"/>
          <w:bCs w:val="0"/>
          <w:noProof/>
          <w:color w:val="000000"/>
          <w:sz w:val="24"/>
          <w:lang w:val="en-GB"/>
        </w:rPr>
        <w:t>Institutions shall explain, when relevant, in the narrative accompanying the template the effect on the calculation of own funds and risk weighted exposure amounts that results from applying capital floors and not deducting items from own funds.</w:t>
      </w:r>
    </w:p>
    <w:p w14:paraId="1353D72A" w14:textId="77777777" w:rsidR="00C31378" w:rsidRPr="00C31378" w:rsidRDefault="00C31378" w:rsidP="00C31378">
      <w:pPr>
        <w:pStyle w:val="Titlelevel2"/>
        <w:spacing w:before="120" w:after="120"/>
        <w:ind w:left="426"/>
        <w:rPr>
          <w:rFonts w:ascii="Times New Roman" w:hAnsi="Times New Roman" w:cs="Times New Roman"/>
          <w:sz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7F5865" w:rsidRPr="00C31378" w14:paraId="2278399B" w14:textId="77777777" w:rsidTr="00F3523C">
        <w:trPr>
          <w:trHeight w:val="90"/>
        </w:trPr>
        <w:tc>
          <w:tcPr>
            <w:tcW w:w="90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0CADE7" w14:textId="77777777" w:rsidR="007F5865" w:rsidRPr="00C31378" w:rsidRDefault="007F5865" w:rsidP="00F3523C">
            <w:pPr>
              <w:rPr>
                <w:rFonts w:ascii="Times New Roman" w:hAnsi="Times New Roman" w:cs="Times New Roman"/>
                <w:b/>
                <w:sz w:val="24"/>
              </w:rPr>
            </w:pPr>
            <w:r w:rsidRPr="00C31378">
              <w:rPr>
                <w:rFonts w:ascii="Times New Roman" w:hAnsi="Times New Roman" w:cs="Times New Roman"/>
                <w:b/>
                <w:sz w:val="24"/>
              </w:rPr>
              <w:t>Legal references and instructions</w:t>
            </w:r>
          </w:p>
        </w:tc>
      </w:tr>
      <w:tr w:rsidR="007F5865" w:rsidRPr="00C31378" w14:paraId="2E6790BC" w14:textId="77777777" w:rsidTr="00F3523C">
        <w:trPr>
          <w:trHeight w:val="238"/>
        </w:trPr>
        <w:tc>
          <w:tcPr>
            <w:tcW w:w="1384" w:type="dxa"/>
            <w:shd w:val="clear" w:color="auto" w:fill="D9D9D9" w:themeFill="background1" w:themeFillShade="D9"/>
          </w:tcPr>
          <w:p w14:paraId="7946BC1B" w14:textId="768B78D2" w:rsidR="007F5865" w:rsidRPr="00C31378" w:rsidRDefault="007F5865" w:rsidP="00F3523C">
            <w:pPr>
              <w:autoSpaceDE w:val="0"/>
              <w:autoSpaceDN w:val="0"/>
              <w:adjustRightInd w:val="0"/>
              <w:rPr>
                <w:rFonts w:ascii="Times New Roman" w:hAnsi="Times New Roman" w:cs="Times New Roman"/>
                <w:b/>
                <w:sz w:val="24"/>
              </w:rPr>
            </w:pPr>
            <w:r w:rsidRPr="00C31378">
              <w:rPr>
                <w:rFonts w:ascii="Times New Roman" w:hAnsi="Times New Roman" w:cs="Times New Roman"/>
                <w:b/>
                <w:sz w:val="24"/>
              </w:rPr>
              <w:t>Column number</w:t>
            </w:r>
          </w:p>
        </w:tc>
        <w:tc>
          <w:tcPr>
            <w:tcW w:w="7655" w:type="dxa"/>
            <w:shd w:val="clear" w:color="auto" w:fill="D9D9D9" w:themeFill="background1" w:themeFillShade="D9"/>
          </w:tcPr>
          <w:p w14:paraId="29AB5EFB" w14:textId="77777777" w:rsidR="007F5865" w:rsidRPr="00C31378" w:rsidRDefault="007F5865" w:rsidP="00F3523C">
            <w:pPr>
              <w:autoSpaceDE w:val="0"/>
              <w:autoSpaceDN w:val="0"/>
              <w:adjustRightInd w:val="0"/>
              <w:rPr>
                <w:rFonts w:ascii="Times New Roman" w:hAnsi="Times New Roman" w:cs="Times New Roman"/>
                <w:color w:val="000000"/>
                <w:sz w:val="24"/>
              </w:rPr>
            </w:pPr>
            <w:r w:rsidRPr="00C31378">
              <w:rPr>
                <w:rFonts w:ascii="Times New Roman" w:hAnsi="Times New Roman" w:cs="Times New Roman"/>
                <w:b/>
                <w:sz w:val="24"/>
              </w:rPr>
              <w:t>Explanation</w:t>
            </w:r>
          </w:p>
        </w:tc>
      </w:tr>
      <w:tr w:rsidR="007F5865" w:rsidRPr="00C31378" w14:paraId="47EE9B77" w14:textId="77777777" w:rsidTr="00F3523C">
        <w:trPr>
          <w:trHeight w:val="680"/>
        </w:trPr>
        <w:tc>
          <w:tcPr>
            <w:tcW w:w="1384" w:type="dxa"/>
          </w:tcPr>
          <w:p w14:paraId="5628560F" w14:textId="07742B86" w:rsidR="007F5865" w:rsidRPr="00C31378" w:rsidRDefault="007F5865" w:rsidP="007F5865">
            <w:pPr>
              <w:pStyle w:val="Applicationdirecte"/>
              <w:spacing w:before="60"/>
              <w:jc w:val="center"/>
            </w:pPr>
            <w:r w:rsidRPr="00C31378">
              <w:t>a</w:t>
            </w:r>
          </w:p>
        </w:tc>
        <w:tc>
          <w:tcPr>
            <w:tcW w:w="7655" w:type="dxa"/>
            <w:vAlign w:val="center"/>
          </w:tcPr>
          <w:p w14:paraId="3694F41B" w14:textId="77777777" w:rsidR="00677CC7" w:rsidRDefault="007F5865" w:rsidP="00785478">
            <w:pPr>
              <w:spacing w:before="60" w:after="120"/>
              <w:jc w:val="both"/>
              <w:rPr>
                <w:rFonts w:ascii="Times New Roman" w:hAnsi="Times New Roman" w:cs="Times New Roman"/>
                <w:noProof/>
                <w:sz w:val="24"/>
              </w:rPr>
            </w:pPr>
            <w:r w:rsidRPr="00C31378">
              <w:rPr>
                <w:rFonts w:ascii="Times New Roman" w:hAnsi="Times New Roman" w:cs="Times New Roman"/>
                <w:noProof/>
                <w:sz w:val="24"/>
              </w:rPr>
              <w:t>Risk weighted exposure amount</w:t>
            </w:r>
            <w:r w:rsidR="00B2180A">
              <w:rPr>
                <w:rFonts w:ascii="Times New Roman" w:hAnsi="Times New Roman" w:cs="Times New Roman"/>
                <w:noProof/>
                <w:sz w:val="24"/>
              </w:rPr>
              <w:t>s</w:t>
            </w:r>
            <w:r w:rsidRPr="00C31378">
              <w:rPr>
                <w:rFonts w:ascii="Times New Roman" w:hAnsi="Times New Roman" w:cs="Times New Roman"/>
                <w:noProof/>
                <w:sz w:val="24"/>
              </w:rPr>
              <w:t xml:space="preserve"> (</w:t>
            </w:r>
            <w:r w:rsidR="009A4635">
              <w:rPr>
                <w:rFonts w:ascii="Times New Roman" w:hAnsi="Times New Roman" w:cs="Times New Roman"/>
                <w:noProof/>
                <w:sz w:val="24"/>
              </w:rPr>
              <w:t>RWEA</w:t>
            </w:r>
            <w:r w:rsidR="00677CC7">
              <w:rPr>
                <w:rFonts w:ascii="Times New Roman" w:hAnsi="Times New Roman" w:cs="Times New Roman"/>
                <w:noProof/>
                <w:sz w:val="24"/>
              </w:rPr>
              <w:t>s)</w:t>
            </w:r>
            <w:r w:rsidRPr="00C31378">
              <w:rPr>
                <w:rFonts w:ascii="Times New Roman" w:hAnsi="Times New Roman" w:cs="Times New Roman"/>
                <w:noProof/>
                <w:sz w:val="24"/>
              </w:rPr>
              <w:t xml:space="preserve"> </w:t>
            </w:r>
          </w:p>
          <w:p w14:paraId="647A6E84" w14:textId="2DC340AD" w:rsidR="007F5865" w:rsidRPr="00C31378" w:rsidRDefault="00785478" w:rsidP="00785478">
            <w:pPr>
              <w:spacing w:before="60" w:after="120"/>
              <w:jc w:val="both"/>
              <w:rPr>
                <w:rFonts w:ascii="Times New Roman" w:hAnsi="Times New Roman" w:cs="Times New Roman"/>
                <w:sz w:val="24"/>
              </w:rPr>
            </w:pPr>
            <w:r w:rsidRPr="00C31378">
              <w:rPr>
                <w:rFonts w:ascii="Times New Roman" w:hAnsi="Times New Roman" w:cs="Times New Roman"/>
                <w:noProof/>
                <w:sz w:val="24"/>
              </w:rPr>
              <w:t xml:space="preserve">Risk-weighted </w:t>
            </w:r>
            <w:r w:rsidR="007F5865" w:rsidRPr="00C31378">
              <w:rPr>
                <w:rFonts w:ascii="Times New Roman" w:hAnsi="Times New Roman" w:cs="Times New Roman"/>
                <w:noProof/>
                <w:sz w:val="24"/>
              </w:rPr>
              <w:t>exposure amount calculated in accordance with Article 92(3)</w:t>
            </w:r>
            <w:r w:rsidR="004606A7" w:rsidRPr="00C31378">
              <w:rPr>
                <w:rFonts w:ascii="Times New Roman" w:hAnsi="Times New Roman" w:cs="Times New Roman"/>
                <w:noProof/>
                <w:sz w:val="24"/>
              </w:rPr>
              <w:t xml:space="preserve">, 95, 96 and 98 </w:t>
            </w:r>
            <w:r w:rsidR="007F5865" w:rsidRPr="00C31378">
              <w:rPr>
                <w:rFonts w:ascii="Times New Roman" w:hAnsi="Times New Roman" w:cs="Times New Roman"/>
                <w:noProof/>
                <w:sz w:val="24"/>
              </w:rPr>
              <w:t xml:space="preserve">of CRR. </w:t>
            </w:r>
          </w:p>
        </w:tc>
      </w:tr>
      <w:tr w:rsidR="00720050" w:rsidRPr="00C31378" w14:paraId="1454A6EF" w14:textId="77777777" w:rsidTr="00B2180A">
        <w:trPr>
          <w:trHeight w:val="323"/>
        </w:trPr>
        <w:tc>
          <w:tcPr>
            <w:tcW w:w="1384" w:type="dxa"/>
          </w:tcPr>
          <w:p w14:paraId="404F07A4" w14:textId="73F32213" w:rsidR="00720050" w:rsidRPr="00C31378" w:rsidRDefault="00720050" w:rsidP="00B2180A">
            <w:pPr>
              <w:pStyle w:val="Applicationdirecte"/>
              <w:spacing w:before="60"/>
              <w:jc w:val="center"/>
            </w:pPr>
            <w:r w:rsidRPr="00C31378">
              <w:t>b</w:t>
            </w:r>
          </w:p>
        </w:tc>
        <w:tc>
          <w:tcPr>
            <w:tcW w:w="7655" w:type="dxa"/>
          </w:tcPr>
          <w:p w14:paraId="1AC21344" w14:textId="77777777" w:rsidR="00677CC7" w:rsidRDefault="009A4635" w:rsidP="00B2180A">
            <w:pPr>
              <w:spacing w:before="60" w:after="120"/>
              <w:jc w:val="both"/>
              <w:rPr>
                <w:rFonts w:ascii="Times New Roman" w:hAnsi="Times New Roman" w:cs="Times New Roman"/>
                <w:noProof/>
                <w:sz w:val="24"/>
              </w:rPr>
            </w:pPr>
            <w:r>
              <w:rPr>
                <w:rFonts w:ascii="Times New Roman" w:hAnsi="Times New Roman" w:cs="Times New Roman"/>
                <w:noProof/>
                <w:sz w:val="24"/>
              </w:rPr>
              <w:t>RWEA</w:t>
            </w:r>
            <w:r w:rsidR="00677CC7">
              <w:rPr>
                <w:rFonts w:ascii="Times New Roman" w:hAnsi="Times New Roman" w:cs="Times New Roman"/>
                <w:noProof/>
                <w:sz w:val="24"/>
              </w:rPr>
              <w:t>s (T-1)</w:t>
            </w:r>
            <w:r w:rsidR="00720050" w:rsidRPr="00C31378">
              <w:rPr>
                <w:rFonts w:ascii="Times New Roman" w:hAnsi="Times New Roman" w:cs="Times New Roman"/>
                <w:noProof/>
                <w:sz w:val="24"/>
              </w:rPr>
              <w:t xml:space="preserve"> </w:t>
            </w:r>
          </w:p>
          <w:p w14:paraId="32E4F340" w14:textId="00B0D402" w:rsidR="00720050" w:rsidRPr="00C31378" w:rsidRDefault="009A4635" w:rsidP="00B2180A">
            <w:pPr>
              <w:spacing w:before="60" w:after="120"/>
              <w:jc w:val="both"/>
              <w:rPr>
                <w:rFonts w:ascii="Times New Roman" w:eastAsia="Times New Roman" w:hAnsi="Times New Roman" w:cs="Times New Roman"/>
                <w:sz w:val="24"/>
                <w:lang w:eastAsia="sv-SE"/>
              </w:rPr>
            </w:pPr>
            <w:r>
              <w:rPr>
                <w:rFonts w:ascii="Times New Roman" w:hAnsi="Times New Roman" w:cs="Times New Roman"/>
                <w:noProof/>
                <w:sz w:val="24"/>
              </w:rPr>
              <w:t>RWEA</w:t>
            </w:r>
            <w:r w:rsidR="00720050" w:rsidRPr="00C31378">
              <w:rPr>
                <w:rFonts w:ascii="Times New Roman" w:hAnsi="Times New Roman" w:cs="Times New Roman"/>
                <w:noProof/>
                <w:sz w:val="24"/>
              </w:rPr>
              <w:t>s as disclosed in the previous disclosure period.</w:t>
            </w:r>
          </w:p>
        </w:tc>
      </w:tr>
      <w:tr w:rsidR="007F5865" w:rsidRPr="00C31378" w14:paraId="66592480" w14:textId="77777777" w:rsidTr="004606A7">
        <w:trPr>
          <w:trHeight w:val="323"/>
        </w:trPr>
        <w:tc>
          <w:tcPr>
            <w:tcW w:w="1384" w:type="dxa"/>
          </w:tcPr>
          <w:p w14:paraId="27CEF215" w14:textId="64638644" w:rsidR="007F5865" w:rsidRPr="00C31378" w:rsidRDefault="00720050" w:rsidP="00720050">
            <w:pPr>
              <w:pStyle w:val="Applicationdirecte"/>
              <w:spacing w:before="60"/>
              <w:jc w:val="center"/>
            </w:pPr>
            <w:r w:rsidRPr="00C31378">
              <w:t>c</w:t>
            </w:r>
          </w:p>
        </w:tc>
        <w:tc>
          <w:tcPr>
            <w:tcW w:w="7655" w:type="dxa"/>
          </w:tcPr>
          <w:p w14:paraId="1AA577C7" w14:textId="4857FF4B" w:rsidR="007F5865" w:rsidRPr="00C31378" w:rsidRDefault="00720050" w:rsidP="004606A7">
            <w:pPr>
              <w:spacing w:before="60" w:after="120"/>
              <w:jc w:val="both"/>
              <w:rPr>
                <w:rFonts w:ascii="Times New Roman" w:hAnsi="Times New Roman" w:cs="Times New Roman"/>
                <w:noProof/>
                <w:sz w:val="24"/>
              </w:rPr>
            </w:pPr>
            <w:r w:rsidRPr="00C31378">
              <w:rPr>
                <w:rFonts w:ascii="Times New Roman" w:hAnsi="Times New Roman" w:cs="Times New Roman"/>
                <w:noProof/>
                <w:sz w:val="24"/>
              </w:rPr>
              <w:t>Total own funds requirements</w:t>
            </w:r>
          </w:p>
          <w:p w14:paraId="4929DEE7" w14:textId="032096A5" w:rsidR="00720050" w:rsidRPr="00C31378" w:rsidRDefault="00720050" w:rsidP="004606A7">
            <w:pPr>
              <w:spacing w:before="60" w:after="120"/>
              <w:jc w:val="both"/>
              <w:rPr>
                <w:rFonts w:ascii="Times New Roman" w:eastAsia="Times New Roman" w:hAnsi="Times New Roman" w:cs="Times New Roman"/>
                <w:sz w:val="24"/>
                <w:lang w:eastAsia="sv-SE"/>
              </w:rPr>
            </w:pPr>
            <w:r w:rsidRPr="00C31378">
              <w:rPr>
                <w:rFonts w:ascii="Times New Roman" w:hAnsi="Times New Roman" w:cs="Times New Roman"/>
                <w:noProof/>
                <w:sz w:val="24"/>
              </w:rPr>
              <w:t xml:space="preserve">Own fund requirements correspoding to the </w:t>
            </w:r>
            <w:r w:rsidR="009A4635">
              <w:rPr>
                <w:rFonts w:ascii="Times New Roman" w:hAnsi="Times New Roman" w:cs="Times New Roman"/>
                <w:noProof/>
                <w:sz w:val="24"/>
              </w:rPr>
              <w:t>RWEA</w:t>
            </w:r>
            <w:r w:rsidRPr="00C31378">
              <w:rPr>
                <w:rFonts w:ascii="Times New Roman" w:hAnsi="Times New Roman" w:cs="Times New Roman"/>
                <w:noProof/>
                <w:sz w:val="24"/>
              </w:rPr>
              <w:t>s for the different r</w:t>
            </w:r>
            <w:r w:rsidR="009A4635">
              <w:rPr>
                <w:rFonts w:ascii="Times New Roman" w:hAnsi="Times New Roman" w:cs="Times New Roman"/>
                <w:noProof/>
                <w:sz w:val="24"/>
              </w:rPr>
              <w:t>i</w:t>
            </w:r>
            <w:r w:rsidRPr="00C31378">
              <w:rPr>
                <w:rFonts w:ascii="Times New Roman" w:hAnsi="Times New Roman" w:cs="Times New Roman"/>
                <w:noProof/>
                <w:sz w:val="24"/>
              </w:rPr>
              <w:t xml:space="preserve">sk categories. </w:t>
            </w:r>
          </w:p>
        </w:tc>
      </w:tr>
      <w:tr w:rsidR="001A0C8D" w:rsidRPr="00C31378" w14:paraId="2579933B" w14:textId="77777777" w:rsidTr="00810F8E">
        <w:trPr>
          <w:trHeight w:val="90"/>
        </w:trPr>
        <w:tc>
          <w:tcPr>
            <w:tcW w:w="90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195B8" w14:textId="77777777" w:rsidR="001A0C8D" w:rsidRPr="00C31378" w:rsidRDefault="001A0C8D" w:rsidP="00810F8E">
            <w:pPr>
              <w:rPr>
                <w:rFonts w:ascii="Times New Roman" w:hAnsi="Times New Roman" w:cs="Times New Roman"/>
                <w:b/>
                <w:sz w:val="24"/>
              </w:rPr>
            </w:pPr>
            <w:r w:rsidRPr="00C31378">
              <w:rPr>
                <w:rFonts w:ascii="Times New Roman" w:hAnsi="Times New Roman" w:cs="Times New Roman"/>
                <w:b/>
                <w:sz w:val="24"/>
              </w:rPr>
              <w:t>Legal references and instructions</w:t>
            </w:r>
          </w:p>
        </w:tc>
      </w:tr>
      <w:tr w:rsidR="001A0C8D" w:rsidRPr="00C31378" w14:paraId="7789E705" w14:textId="77777777" w:rsidTr="00810F8E">
        <w:trPr>
          <w:trHeight w:val="238"/>
        </w:trPr>
        <w:tc>
          <w:tcPr>
            <w:tcW w:w="1384" w:type="dxa"/>
            <w:shd w:val="clear" w:color="auto" w:fill="D9D9D9" w:themeFill="background1" w:themeFillShade="D9"/>
          </w:tcPr>
          <w:p w14:paraId="4411FAAD" w14:textId="77777777" w:rsidR="001A0C8D" w:rsidRPr="00C31378" w:rsidRDefault="001A0C8D" w:rsidP="00810F8E">
            <w:pPr>
              <w:autoSpaceDE w:val="0"/>
              <w:autoSpaceDN w:val="0"/>
              <w:adjustRightInd w:val="0"/>
              <w:rPr>
                <w:rFonts w:ascii="Times New Roman" w:hAnsi="Times New Roman" w:cs="Times New Roman"/>
                <w:b/>
                <w:sz w:val="24"/>
              </w:rPr>
            </w:pPr>
            <w:r w:rsidRPr="00C31378">
              <w:rPr>
                <w:rFonts w:ascii="Times New Roman" w:hAnsi="Times New Roman" w:cs="Times New Roman"/>
                <w:b/>
                <w:sz w:val="24"/>
              </w:rPr>
              <w:t>Row number</w:t>
            </w:r>
          </w:p>
        </w:tc>
        <w:tc>
          <w:tcPr>
            <w:tcW w:w="7655" w:type="dxa"/>
            <w:shd w:val="clear" w:color="auto" w:fill="D9D9D9" w:themeFill="background1" w:themeFillShade="D9"/>
          </w:tcPr>
          <w:p w14:paraId="00CA9A30" w14:textId="77777777" w:rsidR="001A0C8D" w:rsidRPr="00C31378" w:rsidRDefault="001A0C8D" w:rsidP="00810F8E">
            <w:pPr>
              <w:autoSpaceDE w:val="0"/>
              <w:autoSpaceDN w:val="0"/>
              <w:adjustRightInd w:val="0"/>
              <w:rPr>
                <w:rFonts w:ascii="Times New Roman" w:hAnsi="Times New Roman" w:cs="Times New Roman"/>
                <w:color w:val="000000"/>
                <w:sz w:val="24"/>
              </w:rPr>
            </w:pPr>
            <w:r w:rsidRPr="00C31378">
              <w:rPr>
                <w:rFonts w:ascii="Times New Roman" w:hAnsi="Times New Roman" w:cs="Times New Roman"/>
                <w:b/>
                <w:sz w:val="24"/>
              </w:rPr>
              <w:t>Explanation</w:t>
            </w:r>
          </w:p>
        </w:tc>
      </w:tr>
      <w:tr w:rsidR="001A0C8D" w:rsidRPr="00C31378" w14:paraId="454BF2AA" w14:textId="77777777" w:rsidTr="001A0C8D">
        <w:trPr>
          <w:trHeight w:val="680"/>
        </w:trPr>
        <w:tc>
          <w:tcPr>
            <w:tcW w:w="1384" w:type="dxa"/>
          </w:tcPr>
          <w:p w14:paraId="0070A4E1" w14:textId="5922CDE5" w:rsidR="001A0C8D" w:rsidRPr="00C31378" w:rsidRDefault="001A0C8D" w:rsidP="00260404">
            <w:pPr>
              <w:pStyle w:val="Applicationdirecte"/>
              <w:spacing w:before="60"/>
              <w:jc w:val="center"/>
            </w:pPr>
            <w:r w:rsidRPr="00C31378">
              <w:t>1</w:t>
            </w:r>
          </w:p>
        </w:tc>
        <w:tc>
          <w:tcPr>
            <w:tcW w:w="7655" w:type="dxa"/>
            <w:vAlign w:val="center"/>
          </w:tcPr>
          <w:p w14:paraId="5DD46B55" w14:textId="2BAE280E" w:rsidR="004606A7" w:rsidRPr="00C31378" w:rsidRDefault="004606A7" w:rsidP="00260404">
            <w:pPr>
              <w:spacing w:before="60" w:after="120"/>
              <w:jc w:val="both"/>
              <w:rPr>
                <w:rFonts w:ascii="Times New Roman" w:hAnsi="Times New Roman" w:cs="Times New Roman"/>
                <w:noProof/>
                <w:sz w:val="24"/>
              </w:rPr>
            </w:pPr>
            <w:r w:rsidRPr="00C31378">
              <w:rPr>
                <w:rFonts w:ascii="Times New Roman" w:hAnsi="Times New Roman" w:cs="Times New Roman"/>
                <w:noProof/>
                <w:sz w:val="24"/>
              </w:rPr>
              <w:t>Credit risk (excluding CCR)</w:t>
            </w:r>
          </w:p>
          <w:p w14:paraId="3D7825B9" w14:textId="5D5E2E0A" w:rsidR="001A0C8D" w:rsidRPr="00C31378" w:rsidRDefault="009A4635" w:rsidP="00B2180A">
            <w:pPr>
              <w:spacing w:before="60" w:after="120"/>
              <w:jc w:val="both"/>
              <w:rPr>
                <w:rFonts w:ascii="Times New Roman" w:hAnsi="Times New Roman" w:cs="Times New Roman"/>
                <w:sz w:val="24"/>
              </w:rPr>
            </w:pPr>
            <w:r>
              <w:rPr>
                <w:rFonts w:ascii="Times New Roman" w:hAnsi="Times New Roman" w:cs="Times New Roman"/>
                <w:noProof/>
                <w:sz w:val="24"/>
              </w:rPr>
              <w:t>RWEA</w:t>
            </w:r>
            <w:r w:rsidR="009C741F" w:rsidRPr="00C31378">
              <w:rPr>
                <w:rFonts w:ascii="Times New Roman" w:hAnsi="Times New Roman" w:cs="Times New Roman"/>
                <w:noProof/>
                <w:sz w:val="24"/>
              </w:rPr>
              <w:t>s</w:t>
            </w:r>
            <w:r w:rsidR="004606A7" w:rsidRPr="00C31378">
              <w:rPr>
                <w:rFonts w:ascii="Times New Roman" w:hAnsi="Times New Roman" w:cs="Times New Roman"/>
                <w:noProof/>
                <w:sz w:val="24"/>
              </w:rPr>
              <w:t xml:space="preserve"> </w:t>
            </w:r>
            <w:r w:rsidR="003604F4" w:rsidRPr="00C31378">
              <w:rPr>
                <w:rFonts w:ascii="Times New Roman" w:hAnsi="Times New Roman" w:cs="Times New Roman"/>
                <w:noProof/>
                <w:sz w:val="24"/>
              </w:rPr>
              <w:t xml:space="preserve">and </w:t>
            </w:r>
            <w:r w:rsidR="00B2180A">
              <w:rPr>
                <w:rFonts w:ascii="Times New Roman" w:hAnsi="Times New Roman" w:cs="Times New Roman"/>
                <w:noProof/>
                <w:sz w:val="24"/>
              </w:rPr>
              <w:t>own funds</w:t>
            </w:r>
            <w:r w:rsidR="00B2180A" w:rsidRPr="00C31378">
              <w:rPr>
                <w:rFonts w:ascii="Times New Roman" w:hAnsi="Times New Roman" w:cs="Times New Roman"/>
                <w:noProof/>
                <w:sz w:val="24"/>
              </w:rPr>
              <w:t xml:space="preserve"> </w:t>
            </w:r>
            <w:r w:rsidR="003604F4" w:rsidRPr="00C31378">
              <w:rPr>
                <w:rFonts w:ascii="Times New Roman" w:hAnsi="Times New Roman" w:cs="Times New Roman"/>
                <w:noProof/>
                <w:sz w:val="24"/>
              </w:rPr>
              <w:t xml:space="preserve">requirements </w:t>
            </w:r>
            <w:r w:rsidR="009C741F" w:rsidRPr="00C31378">
              <w:rPr>
                <w:rFonts w:ascii="Times New Roman" w:hAnsi="Times New Roman" w:cs="Times New Roman"/>
                <w:noProof/>
                <w:sz w:val="24"/>
              </w:rPr>
              <w:t xml:space="preserve">calculated </w:t>
            </w:r>
            <w:r w:rsidR="004606A7" w:rsidRPr="00C31378">
              <w:rPr>
                <w:rFonts w:ascii="Times New Roman" w:hAnsi="Times New Roman" w:cs="Times New Roman"/>
                <w:noProof/>
                <w:sz w:val="24"/>
              </w:rPr>
              <w:t>according to</w:t>
            </w:r>
            <w:r w:rsidR="009C741F" w:rsidRPr="00C31378">
              <w:rPr>
                <w:rFonts w:ascii="Times New Roman" w:hAnsi="Times New Roman" w:cs="Times New Roman"/>
                <w:noProof/>
                <w:sz w:val="24"/>
              </w:rPr>
              <w:t xml:space="preserve"> Part Three, Title II, Chapters </w:t>
            </w:r>
            <w:r w:rsidR="000638BD" w:rsidRPr="00C31378">
              <w:rPr>
                <w:rFonts w:ascii="Times New Roman" w:hAnsi="Times New Roman" w:cs="Times New Roman"/>
                <w:noProof/>
                <w:sz w:val="24"/>
              </w:rPr>
              <w:t>1 to 4 of CRR</w:t>
            </w:r>
            <w:r w:rsidR="009C741F" w:rsidRPr="00C31378">
              <w:rPr>
                <w:rFonts w:ascii="Times New Roman" w:hAnsi="Times New Roman" w:cs="Times New Roman"/>
                <w:noProof/>
                <w:sz w:val="24"/>
              </w:rPr>
              <w:t xml:space="preserve">. </w:t>
            </w:r>
            <w:r>
              <w:rPr>
                <w:rFonts w:ascii="Times New Roman" w:hAnsi="Times New Roman" w:cs="Times New Roman"/>
                <w:noProof/>
                <w:sz w:val="24"/>
              </w:rPr>
              <w:t>RWEA</w:t>
            </w:r>
            <w:r w:rsidR="008B269B" w:rsidRPr="00C31378">
              <w:rPr>
                <w:rFonts w:ascii="Times New Roman" w:hAnsi="Times New Roman" w:cs="Times New Roman"/>
                <w:noProof/>
                <w:sz w:val="24"/>
              </w:rPr>
              <w:t>s for secutiritsation exposures in the non-trading book and for CCR are excluded and dis</w:t>
            </w:r>
            <w:r w:rsidR="00B2180A">
              <w:rPr>
                <w:rFonts w:ascii="Times New Roman" w:hAnsi="Times New Roman" w:cs="Times New Roman"/>
                <w:noProof/>
                <w:sz w:val="24"/>
              </w:rPr>
              <w:t>c</w:t>
            </w:r>
            <w:r w:rsidR="008B269B" w:rsidRPr="00C31378">
              <w:rPr>
                <w:rFonts w:ascii="Times New Roman" w:hAnsi="Times New Roman" w:cs="Times New Roman"/>
                <w:noProof/>
                <w:sz w:val="24"/>
              </w:rPr>
              <w:t xml:space="preserve">losed in rows </w:t>
            </w:r>
            <w:r w:rsidR="00B2180A">
              <w:rPr>
                <w:rFonts w:ascii="Times New Roman" w:hAnsi="Times New Roman" w:cs="Times New Roman"/>
                <w:noProof/>
                <w:sz w:val="24"/>
              </w:rPr>
              <w:t>6</w:t>
            </w:r>
            <w:r w:rsidR="00B2180A" w:rsidRPr="009251B5">
              <w:rPr>
                <w:rFonts w:ascii="Times New Roman" w:hAnsi="Times New Roman" w:cs="Times New Roman"/>
                <w:noProof/>
                <w:sz w:val="24"/>
              </w:rPr>
              <w:t xml:space="preserve"> </w:t>
            </w:r>
            <w:r w:rsidR="008B269B" w:rsidRPr="009251B5">
              <w:rPr>
                <w:rFonts w:ascii="Times New Roman" w:hAnsi="Times New Roman" w:cs="Times New Roman"/>
                <w:noProof/>
                <w:sz w:val="24"/>
              </w:rPr>
              <w:t xml:space="preserve">and </w:t>
            </w:r>
            <w:r w:rsidR="00B2180A" w:rsidRPr="009251B5">
              <w:rPr>
                <w:rFonts w:ascii="Times New Roman" w:hAnsi="Times New Roman" w:cs="Times New Roman"/>
                <w:noProof/>
                <w:sz w:val="24"/>
              </w:rPr>
              <w:t>1</w:t>
            </w:r>
            <w:r w:rsidR="00B2180A">
              <w:rPr>
                <w:rFonts w:ascii="Times New Roman" w:hAnsi="Times New Roman" w:cs="Times New Roman"/>
                <w:noProof/>
                <w:sz w:val="24"/>
              </w:rPr>
              <w:t>6</w:t>
            </w:r>
            <w:r w:rsidR="00B2180A" w:rsidRPr="00C31378">
              <w:rPr>
                <w:rFonts w:ascii="Times New Roman" w:hAnsi="Times New Roman" w:cs="Times New Roman"/>
                <w:noProof/>
                <w:sz w:val="24"/>
              </w:rPr>
              <w:t xml:space="preserve"> </w:t>
            </w:r>
            <w:r w:rsidR="008B269B" w:rsidRPr="00C31378">
              <w:rPr>
                <w:rFonts w:ascii="Times New Roman" w:hAnsi="Times New Roman" w:cs="Times New Roman"/>
                <w:noProof/>
                <w:sz w:val="24"/>
              </w:rPr>
              <w:t>of this template.</w:t>
            </w:r>
          </w:p>
        </w:tc>
      </w:tr>
      <w:tr w:rsidR="004A5BCD" w:rsidRPr="00C31378" w14:paraId="3B1EB511" w14:textId="77777777" w:rsidTr="004A5BCD">
        <w:trPr>
          <w:trHeight w:val="680"/>
        </w:trPr>
        <w:tc>
          <w:tcPr>
            <w:tcW w:w="1384" w:type="dxa"/>
          </w:tcPr>
          <w:p w14:paraId="5ECC5777" w14:textId="2741B950" w:rsidR="004A5BCD" w:rsidRPr="00C31378" w:rsidRDefault="004A5BCD" w:rsidP="00260404">
            <w:pPr>
              <w:pStyle w:val="Applicationdirecte"/>
              <w:spacing w:before="60"/>
              <w:jc w:val="center"/>
            </w:pPr>
            <w:r w:rsidRPr="00C31378">
              <w:t>2</w:t>
            </w:r>
          </w:p>
        </w:tc>
        <w:tc>
          <w:tcPr>
            <w:tcW w:w="7655" w:type="dxa"/>
          </w:tcPr>
          <w:p w14:paraId="098D893B" w14:textId="32095FE2" w:rsidR="008B269B" w:rsidRPr="00C31378" w:rsidRDefault="008B269B" w:rsidP="008B269B">
            <w:pPr>
              <w:spacing w:before="60" w:after="120"/>
              <w:jc w:val="both"/>
              <w:rPr>
                <w:rFonts w:ascii="Times New Roman" w:hAnsi="Times New Roman" w:cs="Times New Roman"/>
                <w:noProof/>
                <w:sz w:val="24"/>
              </w:rPr>
            </w:pPr>
            <w:r w:rsidRPr="00C31378">
              <w:rPr>
                <w:rFonts w:ascii="Times New Roman" w:hAnsi="Times New Roman" w:cs="Times New Roman"/>
                <w:noProof/>
                <w:sz w:val="24"/>
              </w:rPr>
              <w:t>Credit risk (excluding CCR) - Of which the standardised approach</w:t>
            </w:r>
          </w:p>
          <w:p w14:paraId="6044668A" w14:textId="4BD657C2" w:rsidR="004A5BCD" w:rsidRPr="00C31378" w:rsidRDefault="009A4635" w:rsidP="00B2180A">
            <w:pPr>
              <w:spacing w:before="60" w:after="120"/>
              <w:jc w:val="both"/>
              <w:rPr>
                <w:rFonts w:ascii="Times New Roman" w:eastAsia="Times New Roman" w:hAnsi="Times New Roman" w:cs="Times New Roman"/>
                <w:sz w:val="24"/>
                <w:lang w:eastAsia="sv-SE"/>
              </w:rPr>
            </w:pPr>
            <w:r>
              <w:rPr>
                <w:rFonts w:ascii="Times New Roman" w:eastAsia="Times New Roman" w:hAnsi="Times New Roman" w:cs="Times New Roman"/>
                <w:sz w:val="24"/>
                <w:lang w:eastAsia="sv-SE"/>
              </w:rPr>
              <w:t>RWEA</w:t>
            </w:r>
            <w:r w:rsidR="008B269B" w:rsidRPr="00C31378">
              <w:rPr>
                <w:rFonts w:ascii="Times New Roman" w:eastAsia="Times New Roman" w:hAnsi="Times New Roman" w:cs="Times New Roman"/>
                <w:sz w:val="24"/>
                <w:lang w:eastAsia="sv-SE"/>
              </w:rPr>
              <w:t xml:space="preserve">s </w:t>
            </w:r>
            <w:r w:rsidR="003604F4" w:rsidRPr="00C31378">
              <w:rPr>
                <w:rFonts w:ascii="Times New Roman" w:hAnsi="Times New Roman" w:cs="Times New Roman"/>
                <w:noProof/>
                <w:sz w:val="24"/>
              </w:rPr>
              <w:t xml:space="preserve">and </w:t>
            </w:r>
            <w:r w:rsidR="00B2180A">
              <w:rPr>
                <w:rFonts w:ascii="Times New Roman" w:hAnsi="Times New Roman" w:cs="Times New Roman"/>
                <w:noProof/>
                <w:sz w:val="24"/>
              </w:rPr>
              <w:t>own funds</w:t>
            </w:r>
            <w:r w:rsidR="00B2180A" w:rsidRPr="00C31378">
              <w:rPr>
                <w:rFonts w:ascii="Times New Roman" w:hAnsi="Times New Roman" w:cs="Times New Roman"/>
                <w:noProof/>
                <w:sz w:val="24"/>
              </w:rPr>
              <w:t xml:space="preserve"> </w:t>
            </w:r>
            <w:r w:rsidR="003604F4" w:rsidRPr="00C31378">
              <w:rPr>
                <w:rFonts w:ascii="Times New Roman" w:hAnsi="Times New Roman" w:cs="Times New Roman"/>
                <w:noProof/>
                <w:sz w:val="24"/>
              </w:rPr>
              <w:t xml:space="preserve">requirements </w:t>
            </w:r>
            <w:r w:rsidR="008B269B" w:rsidRPr="00C31378">
              <w:rPr>
                <w:rFonts w:ascii="Times New Roman" w:eastAsia="Times New Roman" w:hAnsi="Times New Roman" w:cs="Times New Roman"/>
                <w:sz w:val="24"/>
                <w:lang w:eastAsia="sv-SE"/>
              </w:rPr>
              <w:t>calculated according to the CR standardised approach (Part Three, Title II, Chapters 2 of CRR)</w:t>
            </w:r>
            <w:r w:rsidR="009251B5">
              <w:rPr>
                <w:rFonts w:ascii="Times New Roman" w:eastAsia="Times New Roman" w:hAnsi="Times New Roman" w:cs="Times New Roman"/>
                <w:sz w:val="24"/>
                <w:lang w:eastAsia="sv-SE"/>
              </w:rPr>
              <w:t>.</w:t>
            </w:r>
          </w:p>
        </w:tc>
      </w:tr>
      <w:tr w:rsidR="008B269B" w:rsidRPr="00C31378" w14:paraId="14D41EB3" w14:textId="77777777" w:rsidTr="004A5BCD">
        <w:trPr>
          <w:trHeight w:val="436"/>
        </w:trPr>
        <w:tc>
          <w:tcPr>
            <w:tcW w:w="1384" w:type="dxa"/>
          </w:tcPr>
          <w:p w14:paraId="03E1B59E" w14:textId="1F6EF3DA" w:rsidR="008B269B" w:rsidRPr="00C31378" w:rsidRDefault="008B269B" w:rsidP="008B269B">
            <w:pPr>
              <w:pStyle w:val="Applicationdirecte"/>
              <w:spacing w:before="60"/>
              <w:jc w:val="center"/>
            </w:pPr>
            <w:r w:rsidRPr="00C31378">
              <w:t>3</w:t>
            </w:r>
          </w:p>
        </w:tc>
        <w:tc>
          <w:tcPr>
            <w:tcW w:w="7655" w:type="dxa"/>
          </w:tcPr>
          <w:p w14:paraId="6E3927B8" w14:textId="77777777" w:rsidR="008B269B" w:rsidRPr="00C31378" w:rsidRDefault="008B269B" w:rsidP="008B269B">
            <w:pPr>
              <w:spacing w:before="60" w:after="120"/>
              <w:jc w:val="both"/>
              <w:rPr>
                <w:rFonts w:ascii="Times New Roman" w:hAnsi="Times New Roman" w:cs="Times New Roman"/>
                <w:sz w:val="24"/>
              </w:rPr>
            </w:pPr>
            <w:r w:rsidRPr="00C31378">
              <w:rPr>
                <w:rFonts w:ascii="Times New Roman" w:hAnsi="Times New Roman" w:cs="Times New Roman"/>
                <w:noProof/>
                <w:sz w:val="24"/>
              </w:rPr>
              <w:t xml:space="preserve">Credit risk (excluding CCR) - </w:t>
            </w:r>
            <w:r w:rsidRPr="00C31378">
              <w:rPr>
                <w:rFonts w:ascii="Times New Roman" w:hAnsi="Times New Roman" w:cs="Times New Roman"/>
                <w:sz w:val="24"/>
              </w:rPr>
              <w:t xml:space="preserve">Of which the foundation IRB (FIRB) approach </w:t>
            </w:r>
          </w:p>
          <w:p w14:paraId="0501101F" w14:textId="362C063C" w:rsidR="008B269B" w:rsidRPr="00C31378" w:rsidRDefault="009A4635" w:rsidP="00576BDE">
            <w:pPr>
              <w:spacing w:before="60" w:after="120"/>
              <w:jc w:val="both"/>
              <w:rPr>
                <w:rFonts w:ascii="Times New Roman" w:eastAsia="Times New Roman" w:hAnsi="Times New Roman" w:cs="Times New Roman"/>
                <w:sz w:val="24"/>
                <w:lang w:eastAsia="sv-SE"/>
              </w:rPr>
            </w:pPr>
            <w:r>
              <w:rPr>
                <w:rFonts w:ascii="Times New Roman" w:eastAsia="Times New Roman" w:hAnsi="Times New Roman" w:cs="Times New Roman"/>
                <w:sz w:val="24"/>
                <w:lang w:eastAsia="sv-SE"/>
              </w:rPr>
              <w:t>RWEA</w:t>
            </w:r>
            <w:r w:rsidR="008B269B" w:rsidRPr="00C31378">
              <w:rPr>
                <w:rFonts w:ascii="Times New Roman" w:eastAsia="Times New Roman" w:hAnsi="Times New Roman" w:cs="Times New Roman"/>
                <w:sz w:val="24"/>
                <w:lang w:eastAsia="sv-SE"/>
              </w:rPr>
              <w:t>s</w:t>
            </w:r>
            <w:r w:rsidR="003604F4" w:rsidRPr="00C31378">
              <w:rPr>
                <w:rFonts w:ascii="Times New Roman" w:hAnsi="Times New Roman" w:cs="Times New Roman"/>
                <w:noProof/>
                <w:sz w:val="24"/>
              </w:rPr>
              <w:t xml:space="preserve"> and </w:t>
            </w:r>
            <w:r w:rsidR="00B2180A">
              <w:rPr>
                <w:rFonts w:ascii="Times New Roman" w:hAnsi="Times New Roman" w:cs="Times New Roman"/>
                <w:noProof/>
                <w:sz w:val="24"/>
              </w:rPr>
              <w:t>own funds</w:t>
            </w:r>
            <w:r w:rsidR="00B2180A" w:rsidRPr="00C31378">
              <w:rPr>
                <w:rFonts w:ascii="Times New Roman" w:hAnsi="Times New Roman" w:cs="Times New Roman"/>
                <w:noProof/>
                <w:sz w:val="24"/>
              </w:rPr>
              <w:t xml:space="preserve"> </w:t>
            </w:r>
            <w:r w:rsidR="003604F4" w:rsidRPr="00C31378">
              <w:rPr>
                <w:rFonts w:ascii="Times New Roman" w:hAnsi="Times New Roman" w:cs="Times New Roman"/>
                <w:noProof/>
                <w:sz w:val="24"/>
              </w:rPr>
              <w:t>requirements</w:t>
            </w:r>
            <w:r w:rsidR="008B269B" w:rsidRPr="00C31378">
              <w:rPr>
                <w:rFonts w:ascii="Times New Roman" w:eastAsia="Times New Roman" w:hAnsi="Times New Roman" w:cs="Times New Roman"/>
                <w:sz w:val="24"/>
                <w:lang w:eastAsia="sv-SE"/>
              </w:rPr>
              <w:t xml:space="preserve"> calculated according to the CR </w:t>
            </w:r>
            <w:r w:rsidR="00582827" w:rsidRPr="00C31378">
              <w:rPr>
                <w:rFonts w:ascii="Times New Roman" w:eastAsia="Times New Roman" w:hAnsi="Times New Roman" w:cs="Times New Roman"/>
                <w:sz w:val="24"/>
                <w:lang w:eastAsia="sv-SE"/>
              </w:rPr>
              <w:t>–</w:t>
            </w:r>
            <w:r w:rsidR="008B269B" w:rsidRPr="00C31378">
              <w:rPr>
                <w:rFonts w:ascii="Times New Roman" w:eastAsia="Times New Roman" w:hAnsi="Times New Roman" w:cs="Times New Roman"/>
                <w:sz w:val="24"/>
                <w:lang w:eastAsia="sv-SE"/>
              </w:rPr>
              <w:t xml:space="preserve"> </w:t>
            </w:r>
            <w:r w:rsidR="00582827" w:rsidRPr="00C31378">
              <w:rPr>
                <w:rFonts w:ascii="Times New Roman" w:eastAsia="Times New Roman" w:hAnsi="Times New Roman" w:cs="Times New Roman"/>
                <w:sz w:val="24"/>
                <w:lang w:eastAsia="sv-SE"/>
              </w:rPr>
              <w:t xml:space="preserve">foundation </w:t>
            </w:r>
            <w:r w:rsidR="008B269B" w:rsidRPr="00C31378">
              <w:rPr>
                <w:rFonts w:ascii="Times New Roman" w:eastAsia="Times New Roman" w:hAnsi="Times New Roman" w:cs="Times New Roman"/>
                <w:sz w:val="24"/>
                <w:lang w:eastAsia="sv-SE"/>
              </w:rPr>
              <w:t>Internal Ratings Based Approach (Part Three, Title II, Chapters 3 of CRR),</w:t>
            </w:r>
            <w:r w:rsidR="00582827" w:rsidRPr="00C31378">
              <w:rPr>
                <w:rFonts w:ascii="Times New Roman" w:eastAsia="Times New Roman" w:hAnsi="Times New Roman" w:cs="Times New Roman"/>
                <w:sz w:val="24"/>
                <w:lang w:eastAsia="sv-SE"/>
              </w:rPr>
              <w:t xml:space="preserve"> excluding the </w:t>
            </w:r>
            <w:r>
              <w:rPr>
                <w:rFonts w:ascii="Times New Roman" w:eastAsia="Times New Roman" w:hAnsi="Times New Roman" w:cs="Times New Roman"/>
                <w:sz w:val="24"/>
                <w:lang w:eastAsia="sv-SE"/>
              </w:rPr>
              <w:t>RWEA</w:t>
            </w:r>
            <w:r w:rsidR="00582827" w:rsidRPr="00C31378">
              <w:rPr>
                <w:rFonts w:ascii="Times New Roman" w:eastAsia="Times New Roman" w:hAnsi="Times New Roman" w:cs="Times New Roman"/>
                <w:sz w:val="24"/>
                <w:lang w:eastAsia="sv-SE"/>
              </w:rPr>
              <w:t xml:space="preserve">s disclosed in row </w:t>
            </w:r>
            <w:r w:rsidR="00576BDE">
              <w:rPr>
                <w:rFonts w:ascii="Times New Roman" w:eastAsia="Times New Roman" w:hAnsi="Times New Roman" w:cs="Times New Roman"/>
                <w:sz w:val="24"/>
                <w:lang w:eastAsia="sv-SE"/>
              </w:rPr>
              <w:t>4</w:t>
            </w:r>
            <w:r w:rsidR="00576BDE" w:rsidRPr="00C31378">
              <w:rPr>
                <w:rFonts w:ascii="Times New Roman" w:eastAsia="Times New Roman" w:hAnsi="Times New Roman" w:cs="Times New Roman"/>
                <w:sz w:val="24"/>
                <w:lang w:eastAsia="sv-SE"/>
              </w:rPr>
              <w:t xml:space="preserve"> </w:t>
            </w:r>
            <w:r w:rsidR="00582827" w:rsidRPr="00C31378">
              <w:rPr>
                <w:rFonts w:ascii="Times New Roman" w:eastAsia="Times New Roman" w:hAnsi="Times New Roman" w:cs="Times New Roman"/>
                <w:sz w:val="24"/>
                <w:lang w:eastAsia="sv-SE"/>
              </w:rPr>
              <w:t>for specialised lending exposures subject to the slotting approach</w:t>
            </w:r>
            <w:r w:rsidR="008E60F6" w:rsidRPr="00C31378">
              <w:rPr>
                <w:rFonts w:ascii="Times New Roman" w:eastAsia="Times New Roman" w:hAnsi="Times New Roman" w:cs="Times New Roman"/>
                <w:sz w:val="24"/>
                <w:lang w:eastAsia="sv-SE"/>
              </w:rPr>
              <w:t xml:space="preserve"> and in row </w:t>
            </w:r>
            <w:r w:rsidR="00576BDE">
              <w:rPr>
                <w:rFonts w:ascii="Times New Roman" w:eastAsia="Times New Roman" w:hAnsi="Times New Roman" w:cs="Times New Roman"/>
                <w:sz w:val="24"/>
                <w:lang w:eastAsia="sv-SE"/>
              </w:rPr>
              <w:t>EU 4a</w:t>
            </w:r>
            <w:r w:rsidR="00576BDE" w:rsidRPr="00C31378">
              <w:rPr>
                <w:rFonts w:ascii="Times New Roman" w:eastAsia="Times New Roman" w:hAnsi="Times New Roman" w:cs="Times New Roman"/>
                <w:sz w:val="24"/>
                <w:lang w:eastAsia="sv-SE"/>
              </w:rPr>
              <w:t xml:space="preserve"> </w:t>
            </w:r>
            <w:r w:rsidR="008E60F6" w:rsidRPr="00C31378">
              <w:rPr>
                <w:rFonts w:ascii="Times New Roman" w:eastAsia="Times New Roman" w:hAnsi="Times New Roman" w:cs="Times New Roman"/>
                <w:sz w:val="24"/>
                <w:lang w:eastAsia="sv-SE"/>
              </w:rPr>
              <w:t xml:space="preserve">for </w:t>
            </w:r>
            <w:r w:rsidR="008E60F6" w:rsidRPr="00C31378">
              <w:rPr>
                <w:rFonts w:ascii="Times New Roman" w:hAnsi="Times New Roman" w:cs="Times New Roman"/>
                <w:sz w:val="24"/>
              </w:rPr>
              <w:t>equities under the simple risk weighted approach</w:t>
            </w:r>
            <w:r w:rsidR="00582827" w:rsidRPr="00C31378">
              <w:rPr>
                <w:rFonts w:ascii="Times New Roman" w:eastAsia="Times New Roman" w:hAnsi="Times New Roman" w:cs="Times New Roman"/>
                <w:sz w:val="24"/>
                <w:lang w:eastAsia="sv-SE"/>
              </w:rPr>
              <w:t>.</w:t>
            </w:r>
          </w:p>
        </w:tc>
      </w:tr>
      <w:tr w:rsidR="00FA1376" w:rsidRPr="00C31378" w14:paraId="02047293" w14:textId="77777777" w:rsidTr="00B2180A">
        <w:trPr>
          <w:trHeight w:val="557"/>
        </w:trPr>
        <w:tc>
          <w:tcPr>
            <w:tcW w:w="1384" w:type="dxa"/>
            <w:vAlign w:val="center"/>
          </w:tcPr>
          <w:p w14:paraId="4CAB6D1D" w14:textId="2BDD8B7D" w:rsidR="00FA1376" w:rsidRPr="00C31378" w:rsidRDefault="00460FF6" w:rsidP="00FA1376">
            <w:pPr>
              <w:pStyle w:val="Applicationdirecte"/>
              <w:spacing w:before="60"/>
              <w:jc w:val="center"/>
            </w:pPr>
            <w:r>
              <w:rPr>
                <w:color w:val="000000"/>
              </w:rPr>
              <w:lastRenderedPageBreak/>
              <w:t>4</w:t>
            </w:r>
          </w:p>
        </w:tc>
        <w:tc>
          <w:tcPr>
            <w:tcW w:w="7655" w:type="dxa"/>
          </w:tcPr>
          <w:p w14:paraId="6785BCC3" w14:textId="77777777" w:rsidR="00FA1376" w:rsidRPr="00C31378" w:rsidRDefault="00FA1376" w:rsidP="00FA1376">
            <w:pPr>
              <w:spacing w:before="60" w:after="120"/>
              <w:jc w:val="both"/>
              <w:rPr>
                <w:rFonts w:ascii="Times New Roman" w:hAnsi="Times New Roman" w:cs="Times New Roman"/>
                <w:sz w:val="24"/>
              </w:rPr>
            </w:pPr>
            <w:r w:rsidRPr="00C31378">
              <w:rPr>
                <w:rFonts w:ascii="Times New Roman" w:hAnsi="Times New Roman" w:cs="Times New Roman"/>
                <w:noProof/>
                <w:sz w:val="24"/>
              </w:rPr>
              <w:t xml:space="preserve">Credit risk (excluding CCR) - </w:t>
            </w:r>
            <w:r w:rsidRPr="00C31378">
              <w:rPr>
                <w:rFonts w:ascii="Times New Roman" w:hAnsi="Times New Roman" w:cs="Times New Roman"/>
                <w:sz w:val="24"/>
              </w:rPr>
              <w:t>Of which:  slotting approach</w:t>
            </w:r>
          </w:p>
          <w:p w14:paraId="10A76CC5" w14:textId="56480158" w:rsidR="00FA1376" w:rsidRPr="00C31378" w:rsidRDefault="009A4635" w:rsidP="00576BDE">
            <w:pPr>
              <w:spacing w:before="60" w:after="120"/>
              <w:jc w:val="both"/>
              <w:rPr>
                <w:rFonts w:ascii="Times New Roman" w:hAnsi="Times New Roman" w:cs="Times New Roman"/>
                <w:noProof/>
                <w:color w:val="000000"/>
                <w:sz w:val="24"/>
                <w:lang w:eastAsia="en-GB"/>
              </w:rPr>
            </w:pPr>
            <w:r>
              <w:rPr>
                <w:rFonts w:ascii="Times New Roman" w:eastAsia="Times New Roman" w:hAnsi="Times New Roman" w:cs="Times New Roman"/>
                <w:sz w:val="24"/>
                <w:lang w:eastAsia="sv-SE"/>
              </w:rPr>
              <w:t>RWEA</w:t>
            </w:r>
            <w:r w:rsidR="00FA1376" w:rsidRPr="00C31378">
              <w:rPr>
                <w:rFonts w:ascii="Times New Roman" w:eastAsia="Times New Roman" w:hAnsi="Times New Roman" w:cs="Times New Roman"/>
                <w:sz w:val="24"/>
                <w:lang w:eastAsia="sv-SE"/>
              </w:rPr>
              <w:t>s</w:t>
            </w:r>
            <w:r w:rsidR="00FA1376" w:rsidRPr="00C31378">
              <w:rPr>
                <w:rFonts w:ascii="Times New Roman" w:hAnsi="Times New Roman" w:cs="Times New Roman"/>
                <w:noProof/>
                <w:sz w:val="24"/>
              </w:rPr>
              <w:t xml:space="preserve"> and </w:t>
            </w:r>
            <w:r w:rsidR="00576BDE">
              <w:rPr>
                <w:rFonts w:ascii="Times New Roman" w:hAnsi="Times New Roman" w:cs="Times New Roman"/>
                <w:noProof/>
                <w:sz w:val="24"/>
              </w:rPr>
              <w:t>own funds</w:t>
            </w:r>
            <w:r w:rsidR="00576BDE" w:rsidRPr="00C31378">
              <w:rPr>
                <w:rFonts w:ascii="Times New Roman" w:hAnsi="Times New Roman" w:cs="Times New Roman"/>
                <w:noProof/>
                <w:sz w:val="24"/>
              </w:rPr>
              <w:t xml:space="preserve"> </w:t>
            </w:r>
            <w:r w:rsidR="00FA1376" w:rsidRPr="00C31378">
              <w:rPr>
                <w:rFonts w:ascii="Times New Roman" w:hAnsi="Times New Roman" w:cs="Times New Roman"/>
                <w:noProof/>
                <w:sz w:val="24"/>
              </w:rPr>
              <w:t>requirements</w:t>
            </w:r>
            <w:r w:rsidR="00FA1376" w:rsidRPr="00C31378">
              <w:rPr>
                <w:rFonts w:ascii="Times New Roman" w:eastAsia="Times New Roman" w:hAnsi="Times New Roman" w:cs="Times New Roman"/>
                <w:sz w:val="24"/>
                <w:lang w:eastAsia="sv-SE"/>
              </w:rPr>
              <w:t xml:space="preserve"> for specialised lending exposures subject to the slotting approach according to Article 153(5) of CRR.</w:t>
            </w:r>
          </w:p>
        </w:tc>
      </w:tr>
      <w:tr w:rsidR="00FA1376" w:rsidRPr="00C31378" w14:paraId="3B9F7284" w14:textId="77777777" w:rsidTr="00B2180A">
        <w:trPr>
          <w:trHeight w:val="557"/>
        </w:trPr>
        <w:tc>
          <w:tcPr>
            <w:tcW w:w="1384" w:type="dxa"/>
            <w:vAlign w:val="center"/>
          </w:tcPr>
          <w:p w14:paraId="33FAB41F" w14:textId="3A62ED6F" w:rsidR="00FA1376" w:rsidRPr="00C31378" w:rsidRDefault="00FA1376" w:rsidP="00FA1376">
            <w:pPr>
              <w:pStyle w:val="Applicationdirecte"/>
              <w:spacing w:before="60"/>
              <w:jc w:val="center"/>
            </w:pPr>
            <w:r w:rsidRPr="00C31378">
              <w:rPr>
                <w:color w:val="000000"/>
              </w:rPr>
              <w:t xml:space="preserve">EU </w:t>
            </w:r>
            <w:r w:rsidR="00460FF6">
              <w:rPr>
                <w:color w:val="000000"/>
              </w:rPr>
              <w:t>4a</w:t>
            </w:r>
          </w:p>
        </w:tc>
        <w:tc>
          <w:tcPr>
            <w:tcW w:w="7655" w:type="dxa"/>
          </w:tcPr>
          <w:p w14:paraId="1A4AEF49" w14:textId="77777777" w:rsidR="00FA1376" w:rsidRPr="00C31378" w:rsidRDefault="00FA1376" w:rsidP="00FA1376">
            <w:pPr>
              <w:spacing w:before="60" w:after="120"/>
              <w:jc w:val="both"/>
              <w:rPr>
                <w:rFonts w:ascii="Times New Roman" w:hAnsi="Times New Roman" w:cs="Times New Roman"/>
                <w:sz w:val="24"/>
              </w:rPr>
            </w:pPr>
            <w:r w:rsidRPr="00C31378">
              <w:rPr>
                <w:rFonts w:ascii="Times New Roman" w:hAnsi="Times New Roman" w:cs="Times New Roman"/>
                <w:noProof/>
                <w:sz w:val="24"/>
              </w:rPr>
              <w:t xml:space="preserve">Credit risk (excluding CCR) - </w:t>
            </w:r>
            <w:r w:rsidRPr="00C31378">
              <w:rPr>
                <w:rFonts w:ascii="Times New Roman" w:hAnsi="Times New Roman" w:cs="Times New Roman"/>
                <w:sz w:val="24"/>
              </w:rPr>
              <w:t>Of which: equities under the simple risk weighted approach</w:t>
            </w:r>
          </w:p>
          <w:p w14:paraId="33DCE08E" w14:textId="61A73831" w:rsidR="00FA1376" w:rsidRPr="00C31378" w:rsidRDefault="009A4635" w:rsidP="00576BDE">
            <w:pPr>
              <w:spacing w:before="60" w:after="120"/>
              <w:jc w:val="both"/>
              <w:rPr>
                <w:rFonts w:ascii="Times New Roman" w:eastAsia="Times New Roman" w:hAnsi="Times New Roman" w:cs="Times New Roman"/>
                <w:sz w:val="24"/>
                <w:lang w:eastAsia="sv-SE"/>
              </w:rPr>
            </w:pPr>
            <w:r>
              <w:rPr>
                <w:rFonts w:ascii="Times New Roman" w:eastAsia="Times New Roman" w:hAnsi="Times New Roman" w:cs="Times New Roman"/>
                <w:sz w:val="24"/>
                <w:lang w:eastAsia="sv-SE"/>
              </w:rPr>
              <w:t>RWEA</w:t>
            </w:r>
            <w:r w:rsidR="00FA1376" w:rsidRPr="00C31378">
              <w:rPr>
                <w:rFonts w:ascii="Times New Roman" w:eastAsia="Times New Roman" w:hAnsi="Times New Roman" w:cs="Times New Roman"/>
                <w:sz w:val="24"/>
                <w:lang w:eastAsia="sv-SE"/>
              </w:rPr>
              <w:t>s</w:t>
            </w:r>
            <w:r w:rsidR="00FA1376" w:rsidRPr="00C31378">
              <w:rPr>
                <w:rFonts w:ascii="Times New Roman" w:hAnsi="Times New Roman" w:cs="Times New Roman"/>
                <w:noProof/>
                <w:sz w:val="24"/>
              </w:rPr>
              <w:t xml:space="preserve"> and </w:t>
            </w:r>
            <w:r w:rsidR="00576BDE">
              <w:rPr>
                <w:rFonts w:ascii="Times New Roman" w:hAnsi="Times New Roman" w:cs="Times New Roman"/>
                <w:noProof/>
                <w:sz w:val="24"/>
              </w:rPr>
              <w:t>own funds</w:t>
            </w:r>
            <w:r w:rsidR="00576BDE" w:rsidRPr="00C31378">
              <w:rPr>
                <w:rFonts w:ascii="Times New Roman" w:hAnsi="Times New Roman" w:cs="Times New Roman"/>
                <w:noProof/>
                <w:sz w:val="24"/>
              </w:rPr>
              <w:t xml:space="preserve"> </w:t>
            </w:r>
            <w:r w:rsidR="00FA1376" w:rsidRPr="00C31378">
              <w:rPr>
                <w:rFonts w:ascii="Times New Roman" w:hAnsi="Times New Roman" w:cs="Times New Roman"/>
                <w:noProof/>
                <w:sz w:val="24"/>
              </w:rPr>
              <w:t>requirements</w:t>
            </w:r>
            <w:r w:rsidR="00FA1376" w:rsidRPr="00C31378">
              <w:rPr>
                <w:rFonts w:ascii="Times New Roman" w:eastAsia="Times New Roman" w:hAnsi="Times New Roman" w:cs="Times New Roman"/>
                <w:sz w:val="24"/>
                <w:lang w:eastAsia="sv-SE"/>
              </w:rPr>
              <w:t xml:space="preserve"> for equities under the simple risk weighted approach according to Article</w:t>
            </w:r>
            <w:r>
              <w:rPr>
                <w:rFonts w:ascii="Times New Roman" w:eastAsia="Times New Roman" w:hAnsi="Times New Roman" w:cs="Times New Roman"/>
                <w:sz w:val="24"/>
                <w:lang w:eastAsia="sv-SE"/>
              </w:rPr>
              <w:t xml:space="preserve"> </w:t>
            </w:r>
            <w:r w:rsidR="00FA1376" w:rsidRPr="00C31378">
              <w:rPr>
                <w:rFonts w:ascii="Times New Roman" w:eastAsia="Times New Roman" w:hAnsi="Times New Roman" w:cs="Times New Roman"/>
                <w:sz w:val="24"/>
                <w:lang w:eastAsia="sv-SE"/>
              </w:rPr>
              <w:t>155(2) of CRR.</w:t>
            </w:r>
          </w:p>
        </w:tc>
      </w:tr>
      <w:tr w:rsidR="00460FF6" w:rsidRPr="00C31378" w14:paraId="766C9A18" w14:textId="77777777" w:rsidTr="00B2180A">
        <w:trPr>
          <w:trHeight w:val="557"/>
        </w:trPr>
        <w:tc>
          <w:tcPr>
            <w:tcW w:w="1384" w:type="dxa"/>
            <w:vAlign w:val="center"/>
          </w:tcPr>
          <w:p w14:paraId="3A42A6B9" w14:textId="2B3DF3AC" w:rsidR="00460FF6" w:rsidRPr="00C31378" w:rsidRDefault="00460FF6" w:rsidP="00B2180A">
            <w:pPr>
              <w:pStyle w:val="Applicationdirecte"/>
              <w:spacing w:before="60"/>
              <w:jc w:val="center"/>
            </w:pPr>
            <w:r>
              <w:rPr>
                <w:color w:val="000000"/>
              </w:rPr>
              <w:t>5</w:t>
            </w:r>
          </w:p>
        </w:tc>
        <w:tc>
          <w:tcPr>
            <w:tcW w:w="7655" w:type="dxa"/>
          </w:tcPr>
          <w:p w14:paraId="2A02EB76" w14:textId="77777777" w:rsidR="00460FF6" w:rsidRPr="00C31378" w:rsidRDefault="00460FF6" w:rsidP="00B2180A">
            <w:pPr>
              <w:spacing w:before="60" w:after="120"/>
              <w:jc w:val="both"/>
              <w:rPr>
                <w:rFonts w:ascii="Times New Roman" w:hAnsi="Times New Roman" w:cs="Times New Roman"/>
                <w:sz w:val="24"/>
              </w:rPr>
            </w:pPr>
            <w:r w:rsidRPr="00C31378">
              <w:rPr>
                <w:rFonts w:ascii="Times New Roman" w:hAnsi="Times New Roman" w:cs="Times New Roman"/>
                <w:noProof/>
                <w:sz w:val="24"/>
              </w:rPr>
              <w:t xml:space="preserve">Credit risk (excluding CCR) - </w:t>
            </w:r>
            <w:r w:rsidRPr="00C31378">
              <w:rPr>
                <w:rFonts w:ascii="Times New Roman" w:hAnsi="Times New Roman" w:cs="Times New Roman"/>
                <w:sz w:val="24"/>
              </w:rPr>
              <w:t xml:space="preserve">Of which the advanced IRB (AIRB) approach </w:t>
            </w:r>
          </w:p>
          <w:p w14:paraId="4D0FE90E" w14:textId="0276F543" w:rsidR="00460FF6" w:rsidRPr="00C31378" w:rsidRDefault="00460FF6" w:rsidP="00576BDE">
            <w:pPr>
              <w:spacing w:before="60" w:after="120"/>
              <w:jc w:val="both"/>
              <w:rPr>
                <w:rFonts w:ascii="Times New Roman" w:eastAsia="Times New Roman" w:hAnsi="Times New Roman" w:cs="Times New Roman"/>
                <w:sz w:val="24"/>
                <w:lang w:eastAsia="sv-SE"/>
              </w:rPr>
            </w:pPr>
            <w:r>
              <w:rPr>
                <w:rFonts w:ascii="Times New Roman" w:eastAsia="Times New Roman" w:hAnsi="Times New Roman" w:cs="Times New Roman"/>
                <w:sz w:val="24"/>
                <w:lang w:eastAsia="sv-SE"/>
              </w:rPr>
              <w:t>RWEA</w:t>
            </w:r>
            <w:r w:rsidRPr="00C31378">
              <w:rPr>
                <w:rFonts w:ascii="Times New Roman" w:eastAsia="Times New Roman" w:hAnsi="Times New Roman" w:cs="Times New Roman"/>
                <w:sz w:val="24"/>
                <w:lang w:eastAsia="sv-SE"/>
              </w:rPr>
              <w:t>s</w:t>
            </w:r>
            <w:r w:rsidRPr="00C31378">
              <w:rPr>
                <w:rFonts w:ascii="Times New Roman" w:hAnsi="Times New Roman" w:cs="Times New Roman"/>
                <w:noProof/>
                <w:sz w:val="24"/>
              </w:rPr>
              <w:t xml:space="preserve"> and </w:t>
            </w:r>
            <w:r w:rsidR="00576BDE">
              <w:rPr>
                <w:rFonts w:ascii="Times New Roman" w:hAnsi="Times New Roman" w:cs="Times New Roman"/>
                <w:noProof/>
                <w:sz w:val="24"/>
              </w:rPr>
              <w:t>own funds</w:t>
            </w:r>
            <w:r w:rsidRPr="00C31378">
              <w:rPr>
                <w:rFonts w:ascii="Times New Roman" w:hAnsi="Times New Roman" w:cs="Times New Roman"/>
                <w:noProof/>
                <w:sz w:val="24"/>
              </w:rPr>
              <w:t xml:space="preserve"> requirements</w:t>
            </w:r>
            <w:r w:rsidRPr="00C31378">
              <w:rPr>
                <w:rFonts w:ascii="Times New Roman" w:eastAsia="Times New Roman" w:hAnsi="Times New Roman" w:cs="Times New Roman"/>
                <w:sz w:val="24"/>
                <w:lang w:eastAsia="sv-SE"/>
              </w:rPr>
              <w:t xml:space="preserve"> calculated according to the CR – advanced Internal Ratings Based Approach (Part Three, Title II, Chapters 3 of CRR), excluding the </w:t>
            </w:r>
            <w:r>
              <w:rPr>
                <w:rFonts w:ascii="Times New Roman" w:eastAsia="Times New Roman" w:hAnsi="Times New Roman" w:cs="Times New Roman"/>
                <w:sz w:val="24"/>
                <w:lang w:eastAsia="sv-SE"/>
              </w:rPr>
              <w:t>RWEA</w:t>
            </w:r>
            <w:r w:rsidRPr="00C31378">
              <w:rPr>
                <w:rFonts w:ascii="Times New Roman" w:eastAsia="Times New Roman" w:hAnsi="Times New Roman" w:cs="Times New Roman"/>
                <w:sz w:val="24"/>
                <w:lang w:eastAsia="sv-SE"/>
              </w:rPr>
              <w:t xml:space="preserve">s disclosed in row </w:t>
            </w:r>
            <w:r w:rsidR="00576BDE">
              <w:rPr>
                <w:rFonts w:ascii="Times New Roman" w:eastAsia="Times New Roman" w:hAnsi="Times New Roman" w:cs="Times New Roman"/>
                <w:sz w:val="24"/>
                <w:lang w:eastAsia="sv-SE"/>
              </w:rPr>
              <w:t>4</w:t>
            </w:r>
            <w:r w:rsidRPr="00C31378">
              <w:rPr>
                <w:rFonts w:ascii="Times New Roman" w:eastAsia="Times New Roman" w:hAnsi="Times New Roman" w:cs="Times New Roman"/>
                <w:sz w:val="24"/>
                <w:lang w:eastAsia="sv-SE"/>
              </w:rPr>
              <w:t xml:space="preserve"> for specialised lending exposures subject to the slotting approach and in row </w:t>
            </w:r>
            <w:r w:rsidR="00576BDE">
              <w:rPr>
                <w:rFonts w:ascii="Times New Roman" w:eastAsia="Times New Roman" w:hAnsi="Times New Roman" w:cs="Times New Roman"/>
                <w:sz w:val="24"/>
                <w:lang w:eastAsia="sv-SE"/>
              </w:rPr>
              <w:t>EU 4a</w:t>
            </w:r>
            <w:r w:rsidRPr="00C31378">
              <w:rPr>
                <w:rFonts w:ascii="Times New Roman" w:eastAsia="Times New Roman" w:hAnsi="Times New Roman" w:cs="Times New Roman"/>
                <w:sz w:val="24"/>
                <w:lang w:eastAsia="sv-SE"/>
              </w:rPr>
              <w:t xml:space="preserve"> for </w:t>
            </w:r>
            <w:r w:rsidRPr="00C31378">
              <w:rPr>
                <w:rFonts w:ascii="Times New Roman" w:hAnsi="Times New Roman" w:cs="Times New Roman"/>
                <w:sz w:val="24"/>
              </w:rPr>
              <w:t>equities under the simple risk weighted approach</w:t>
            </w:r>
            <w:r w:rsidRPr="00C31378">
              <w:rPr>
                <w:rFonts w:ascii="Times New Roman" w:eastAsia="Times New Roman" w:hAnsi="Times New Roman" w:cs="Times New Roman"/>
                <w:sz w:val="24"/>
                <w:lang w:eastAsia="sv-SE"/>
              </w:rPr>
              <w:t>.</w:t>
            </w:r>
          </w:p>
        </w:tc>
      </w:tr>
      <w:tr w:rsidR="00FA1376" w:rsidRPr="00C31378" w14:paraId="3A0D5526" w14:textId="77777777" w:rsidTr="00B2180A">
        <w:trPr>
          <w:trHeight w:val="557"/>
        </w:trPr>
        <w:tc>
          <w:tcPr>
            <w:tcW w:w="1384" w:type="dxa"/>
            <w:vAlign w:val="center"/>
          </w:tcPr>
          <w:p w14:paraId="3CD9D7AD" w14:textId="595E5A96" w:rsidR="00FA1376" w:rsidRPr="00C31378" w:rsidRDefault="004D588F" w:rsidP="004D588F">
            <w:pPr>
              <w:pStyle w:val="Applicationdirecte"/>
              <w:spacing w:before="60"/>
              <w:jc w:val="center"/>
            </w:pPr>
            <w:r>
              <w:rPr>
                <w:color w:val="000000"/>
              </w:rPr>
              <w:t>6</w:t>
            </w:r>
          </w:p>
        </w:tc>
        <w:tc>
          <w:tcPr>
            <w:tcW w:w="7655" w:type="dxa"/>
          </w:tcPr>
          <w:p w14:paraId="09972F31" w14:textId="416269C1" w:rsidR="00FA1376" w:rsidRPr="00C31378" w:rsidRDefault="00FA1376" w:rsidP="00FA1376">
            <w:pPr>
              <w:spacing w:before="60" w:after="120"/>
              <w:jc w:val="both"/>
              <w:rPr>
                <w:rFonts w:ascii="Times New Roman" w:hAnsi="Times New Roman" w:cs="Times New Roman"/>
                <w:noProof/>
                <w:sz w:val="24"/>
              </w:rPr>
            </w:pPr>
            <w:r w:rsidRPr="00C31378">
              <w:rPr>
                <w:rFonts w:ascii="Times New Roman" w:hAnsi="Times New Roman" w:cs="Times New Roman"/>
                <w:noProof/>
                <w:sz w:val="24"/>
              </w:rPr>
              <w:t xml:space="preserve">Counterparty credit risk – CCR </w:t>
            </w:r>
          </w:p>
          <w:p w14:paraId="0C33CB5D" w14:textId="0560B7BD" w:rsidR="00FA1376" w:rsidRPr="00C31378" w:rsidRDefault="009A4635" w:rsidP="00576BDE">
            <w:pPr>
              <w:spacing w:before="60" w:after="120"/>
              <w:jc w:val="both"/>
              <w:rPr>
                <w:rFonts w:ascii="Times New Roman" w:hAnsi="Times New Roman" w:cs="Times New Roman"/>
                <w:noProof/>
                <w:sz w:val="24"/>
              </w:rPr>
            </w:pPr>
            <w:r>
              <w:rPr>
                <w:rFonts w:ascii="Times New Roman" w:hAnsi="Times New Roman" w:cs="Times New Roman"/>
                <w:noProof/>
                <w:sz w:val="24"/>
              </w:rPr>
              <w:t>RWEA</w:t>
            </w:r>
            <w:r w:rsidR="00FA1376" w:rsidRPr="00C31378">
              <w:rPr>
                <w:rFonts w:ascii="Times New Roman" w:hAnsi="Times New Roman" w:cs="Times New Roman"/>
                <w:noProof/>
                <w:sz w:val="24"/>
              </w:rPr>
              <w:t xml:space="preserve">s and </w:t>
            </w:r>
            <w:r w:rsidR="00576BDE">
              <w:rPr>
                <w:rFonts w:ascii="Times New Roman" w:hAnsi="Times New Roman" w:cs="Times New Roman"/>
                <w:noProof/>
                <w:sz w:val="24"/>
              </w:rPr>
              <w:t>own funds</w:t>
            </w:r>
            <w:r w:rsidR="00576BDE" w:rsidRPr="00C31378">
              <w:rPr>
                <w:rFonts w:ascii="Times New Roman" w:hAnsi="Times New Roman" w:cs="Times New Roman"/>
                <w:noProof/>
                <w:sz w:val="24"/>
              </w:rPr>
              <w:t xml:space="preserve"> </w:t>
            </w:r>
            <w:r w:rsidR="00FA1376" w:rsidRPr="00C31378">
              <w:rPr>
                <w:rFonts w:ascii="Times New Roman" w:hAnsi="Times New Roman" w:cs="Times New Roman"/>
                <w:noProof/>
                <w:sz w:val="24"/>
              </w:rPr>
              <w:t xml:space="preserve">requirements calculated according to </w:t>
            </w:r>
            <w:r w:rsidR="00FA1376" w:rsidRPr="00C31378">
              <w:rPr>
                <w:rFonts w:ascii="Times New Roman" w:eastAsia="Times New Roman" w:hAnsi="Times New Roman" w:cs="Times New Roman"/>
                <w:sz w:val="24"/>
                <w:lang w:eastAsia="sv-SE"/>
              </w:rPr>
              <w:t>Part Three, Title II, Chapter 6 of CRR for counterparty credit risk.</w:t>
            </w:r>
          </w:p>
        </w:tc>
      </w:tr>
      <w:tr w:rsidR="00FA1376" w:rsidRPr="00C31378" w14:paraId="7C1B48A2" w14:textId="77777777" w:rsidTr="00B2180A">
        <w:trPr>
          <w:trHeight w:val="557"/>
        </w:trPr>
        <w:tc>
          <w:tcPr>
            <w:tcW w:w="1384" w:type="dxa"/>
            <w:vAlign w:val="center"/>
          </w:tcPr>
          <w:p w14:paraId="1A28FFCD" w14:textId="3EF0CF6E" w:rsidR="00FA1376" w:rsidRPr="00C31378" w:rsidRDefault="004D588F" w:rsidP="00FA1376">
            <w:pPr>
              <w:pStyle w:val="Applicationdirecte"/>
              <w:spacing w:before="60"/>
              <w:jc w:val="center"/>
            </w:pPr>
            <w:r>
              <w:rPr>
                <w:color w:val="000000"/>
              </w:rPr>
              <w:t>7</w:t>
            </w:r>
          </w:p>
        </w:tc>
        <w:tc>
          <w:tcPr>
            <w:tcW w:w="7655" w:type="dxa"/>
          </w:tcPr>
          <w:p w14:paraId="74738E51" w14:textId="77777777" w:rsidR="00FA1376" w:rsidRPr="00C31378" w:rsidRDefault="00FA1376" w:rsidP="00FA1376">
            <w:pPr>
              <w:spacing w:before="60" w:after="120"/>
              <w:jc w:val="both"/>
              <w:rPr>
                <w:rFonts w:ascii="Times New Roman" w:hAnsi="Times New Roman" w:cs="Times New Roman"/>
                <w:sz w:val="24"/>
              </w:rPr>
            </w:pPr>
            <w:r w:rsidRPr="00C31378">
              <w:rPr>
                <w:rFonts w:ascii="Times New Roman" w:hAnsi="Times New Roman" w:cs="Times New Roman"/>
                <w:sz w:val="24"/>
              </w:rPr>
              <w:t xml:space="preserve">CCR  - Of which the standardised approach </w:t>
            </w:r>
          </w:p>
          <w:p w14:paraId="31EA1458" w14:textId="2FE71AA6" w:rsidR="00FA1376" w:rsidRPr="00C31378" w:rsidRDefault="009A4635" w:rsidP="00576BDE">
            <w:pPr>
              <w:spacing w:before="60" w:after="120"/>
              <w:jc w:val="both"/>
              <w:rPr>
                <w:rFonts w:ascii="Times New Roman" w:hAnsi="Times New Roman" w:cs="Times New Roman"/>
                <w:noProof/>
                <w:sz w:val="24"/>
              </w:rPr>
            </w:pPr>
            <w:r>
              <w:rPr>
                <w:rFonts w:ascii="Times New Roman" w:hAnsi="Times New Roman" w:cs="Times New Roman"/>
                <w:sz w:val="24"/>
              </w:rPr>
              <w:t>RWEA</w:t>
            </w:r>
            <w:r w:rsidR="00FA1376" w:rsidRPr="00C31378">
              <w:rPr>
                <w:rFonts w:ascii="Times New Roman" w:hAnsi="Times New Roman" w:cs="Times New Roman"/>
                <w:sz w:val="24"/>
              </w:rPr>
              <w:t>s</w:t>
            </w:r>
            <w:r w:rsidR="00FA1376" w:rsidRPr="00C31378">
              <w:rPr>
                <w:rFonts w:ascii="Times New Roman" w:hAnsi="Times New Roman" w:cs="Times New Roman"/>
                <w:noProof/>
                <w:sz w:val="24"/>
              </w:rPr>
              <w:t xml:space="preserve"> and </w:t>
            </w:r>
            <w:r w:rsidR="00576BDE">
              <w:rPr>
                <w:rFonts w:ascii="Times New Roman" w:hAnsi="Times New Roman" w:cs="Times New Roman"/>
                <w:noProof/>
                <w:sz w:val="24"/>
              </w:rPr>
              <w:t>own funds</w:t>
            </w:r>
            <w:r w:rsidR="00576BDE" w:rsidRPr="00C31378">
              <w:rPr>
                <w:rFonts w:ascii="Times New Roman" w:hAnsi="Times New Roman" w:cs="Times New Roman"/>
                <w:noProof/>
                <w:sz w:val="24"/>
              </w:rPr>
              <w:t xml:space="preserve"> </w:t>
            </w:r>
            <w:r w:rsidR="00FA1376" w:rsidRPr="00C31378">
              <w:rPr>
                <w:rFonts w:ascii="Times New Roman" w:hAnsi="Times New Roman" w:cs="Times New Roman"/>
                <w:noProof/>
                <w:sz w:val="24"/>
              </w:rPr>
              <w:t xml:space="preserve">requirements and </w:t>
            </w:r>
            <w:r w:rsidR="00576BDE">
              <w:rPr>
                <w:rFonts w:ascii="Times New Roman" w:hAnsi="Times New Roman" w:cs="Times New Roman"/>
                <w:noProof/>
                <w:sz w:val="24"/>
              </w:rPr>
              <w:t>own funds</w:t>
            </w:r>
            <w:r w:rsidR="00576BDE" w:rsidRPr="00C31378">
              <w:rPr>
                <w:rFonts w:ascii="Times New Roman" w:hAnsi="Times New Roman" w:cs="Times New Roman"/>
                <w:noProof/>
                <w:sz w:val="24"/>
              </w:rPr>
              <w:t xml:space="preserve"> </w:t>
            </w:r>
            <w:r w:rsidR="00FA1376" w:rsidRPr="00C31378">
              <w:rPr>
                <w:rFonts w:ascii="Times New Roman" w:hAnsi="Times New Roman" w:cs="Times New Roman"/>
                <w:noProof/>
                <w:sz w:val="24"/>
              </w:rPr>
              <w:t>requirements</w:t>
            </w:r>
            <w:r w:rsidR="00FA1376" w:rsidRPr="00C31378">
              <w:rPr>
                <w:rFonts w:ascii="Times New Roman" w:hAnsi="Times New Roman" w:cs="Times New Roman"/>
                <w:sz w:val="24"/>
              </w:rPr>
              <w:t xml:space="preserve"> computed in accordance with </w:t>
            </w:r>
            <w:r>
              <w:rPr>
                <w:rFonts w:ascii="Times New Roman" w:hAnsi="Times New Roman" w:cs="Times New Roman"/>
                <w:sz w:val="24"/>
              </w:rPr>
              <w:t>P</w:t>
            </w:r>
            <w:r w:rsidR="00FA1376" w:rsidRPr="00C31378">
              <w:rPr>
                <w:rFonts w:ascii="Times New Roman" w:hAnsi="Times New Roman" w:cs="Times New Roman"/>
                <w:sz w:val="24"/>
              </w:rPr>
              <w:t xml:space="preserve">art Three, Title II, Chapter 6, section </w:t>
            </w:r>
            <w:r>
              <w:rPr>
                <w:rFonts w:ascii="Times New Roman" w:hAnsi="Times New Roman" w:cs="Times New Roman"/>
                <w:sz w:val="24"/>
              </w:rPr>
              <w:t>3</w:t>
            </w:r>
            <w:r w:rsidR="00FA1376" w:rsidRPr="00C31378">
              <w:rPr>
                <w:rFonts w:ascii="Times New Roman" w:hAnsi="Times New Roman" w:cs="Times New Roman"/>
                <w:sz w:val="24"/>
              </w:rPr>
              <w:t xml:space="preserve"> of CRR.</w:t>
            </w:r>
          </w:p>
        </w:tc>
      </w:tr>
      <w:tr w:rsidR="00FA1376" w:rsidRPr="00C31378" w14:paraId="63671AB9" w14:textId="77777777" w:rsidTr="00B2180A">
        <w:trPr>
          <w:trHeight w:val="557"/>
        </w:trPr>
        <w:tc>
          <w:tcPr>
            <w:tcW w:w="1384" w:type="dxa"/>
            <w:vAlign w:val="center"/>
          </w:tcPr>
          <w:p w14:paraId="55124A44" w14:textId="73220805" w:rsidR="00FA1376" w:rsidRPr="00C31378" w:rsidRDefault="004D588F" w:rsidP="00FA1376">
            <w:pPr>
              <w:pStyle w:val="Applicationdirecte"/>
              <w:spacing w:before="60"/>
              <w:jc w:val="center"/>
            </w:pPr>
            <w:r>
              <w:rPr>
                <w:color w:val="000000"/>
              </w:rPr>
              <w:t>8</w:t>
            </w:r>
          </w:p>
        </w:tc>
        <w:tc>
          <w:tcPr>
            <w:tcW w:w="7655" w:type="dxa"/>
          </w:tcPr>
          <w:p w14:paraId="24D1D5C4" w14:textId="77777777" w:rsidR="00FA1376" w:rsidRPr="00C31378" w:rsidRDefault="00FA1376" w:rsidP="00FA1376">
            <w:pPr>
              <w:spacing w:before="60" w:after="120"/>
              <w:jc w:val="both"/>
              <w:rPr>
                <w:rFonts w:ascii="Times New Roman" w:hAnsi="Times New Roman" w:cs="Times New Roman"/>
                <w:sz w:val="24"/>
              </w:rPr>
            </w:pPr>
            <w:r w:rsidRPr="00C31378">
              <w:rPr>
                <w:rFonts w:ascii="Times New Roman" w:hAnsi="Times New Roman" w:cs="Times New Roman"/>
                <w:sz w:val="24"/>
              </w:rPr>
              <w:t xml:space="preserve">CCR - Of which internal model method (IMM) </w:t>
            </w:r>
          </w:p>
          <w:p w14:paraId="39B80365" w14:textId="307735FE" w:rsidR="00FA1376" w:rsidRPr="00C31378" w:rsidRDefault="009A4635" w:rsidP="00576BDE">
            <w:pPr>
              <w:spacing w:before="60" w:after="120"/>
              <w:jc w:val="both"/>
              <w:rPr>
                <w:rFonts w:ascii="Times New Roman" w:hAnsi="Times New Roman" w:cs="Times New Roman"/>
                <w:noProof/>
                <w:sz w:val="24"/>
              </w:rPr>
            </w:pPr>
            <w:r>
              <w:rPr>
                <w:rFonts w:ascii="Times New Roman" w:hAnsi="Times New Roman" w:cs="Times New Roman"/>
                <w:noProof/>
                <w:sz w:val="24"/>
              </w:rPr>
              <w:t>RWEA</w:t>
            </w:r>
            <w:r w:rsidR="00FA1376" w:rsidRPr="00C31378">
              <w:rPr>
                <w:rFonts w:ascii="Times New Roman" w:hAnsi="Times New Roman" w:cs="Times New Roman"/>
                <w:noProof/>
                <w:sz w:val="24"/>
              </w:rPr>
              <w:t xml:space="preserve">s and </w:t>
            </w:r>
            <w:r w:rsidR="00576BDE">
              <w:rPr>
                <w:rFonts w:ascii="Times New Roman" w:hAnsi="Times New Roman" w:cs="Times New Roman"/>
                <w:noProof/>
                <w:sz w:val="24"/>
              </w:rPr>
              <w:t>own funds</w:t>
            </w:r>
            <w:r w:rsidR="00576BDE" w:rsidRPr="00C31378">
              <w:rPr>
                <w:rFonts w:ascii="Times New Roman" w:hAnsi="Times New Roman" w:cs="Times New Roman"/>
                <w:noProof/>
                <w:sz w:val="24"/>
              </w:rPr>
              <w:t xml:space="preserve"> </w:t>
            </w:r>
            <w:r w:rsidR="00FA1376" w:rsidRPr="00C31378">
              <w:rPr>
                <w:rFonts w:ascii="Times New Roman" w:hAnsi="Times New Roman" w:cs="Times New Roman"/>
                <w:noProof/>
                <w:sz w:val="24"/>
              </w:rPr>
              <w:t>requirements computed in accordance with Article 283 of Part Three, Title II, Chapter 6, section 6 of CRR.</w:t>
            </w:r>
          </w:p>
        </w:tc>
      </w:tr>
      <w:tr w:rsidR="004D588F" w:rsidRPr="00C31378" w14:paraId="48DFC082" w14:textId="77777777" w:rsidTr="00254E82">
        <w:trPr>
          <w:trHeight w:val="557"/>
        </w:trPr>
        <w:tc>
          <w:tcPr>
            <w:tcW w:w="1384" w:type="dxa"/>
          </w:tcPr>
          <w:p w14:paraId="7B120322" w14:textId="55FE6FDA" w:rsidR="004D588F" w:rsidRPr="00C31378" w:rsidRDefault="004D588F" w:rsidP="004D588F">
            <w:pPr>
              <w:pStyle w:val="Applicationdirecte"/>
              <w:spacing w:before="60"/>
              <w:jc w:val="center"/>
            </w:pPr>
            <w:r w:rsidRPr="00D26090">
              <w:t>EU 8a</w:t>
            </w:r>
          </w:p>
        </w:tc>
        <w:tc>
          <w:tcPr>
            <w:tcW w:w="7655" w:type="dxa"/>
          </w:tcPr>
          <w:p w14:paraId="3B0D61F7" w14:textId="77777777" w:rsidR="004D588F" w:rsidRPr="00C31378" w:rsidRDefault="004D588F" w:rsidP="004D588F">
            <w:pPr>
              <w:spacing w:before="60" w:after="120"/>
              <w:jc w:val="both"/>
              <w:rPr>
                <w:rFonts w:ascii="Times New Roman" w:hAnsi="Times New Roman" w:cs="Times New Roman"/>
                <w:sz w:val="24"/>
              </w:rPr>
            </w:pPr>
            <w:r w:rsidRPr="00C31378">
              <w:rPr>
                <w:rFonts w:ascii="Times New Roman" w:hAnsi="Times New Roman" w:cs="Times New Roman"/>
                <w:sz w:val="24"/>
              </w:rPr>
              <w:t>CCR – Of which exposures to a CCP</w:t>
            </w:r>
          </w:p>
          <w:p w14:paraId="7D0F23DD" w14:textId="76F707DC" w:rsidR="004D588F" w:rsidRPr="00C31378" w:rsidRDefault="004D588F" w:rsidP="00576BDE">
            <w:pPr>
              <w:spacing w:before="60" w:after="120"/>
              <w:jc w:val="both"/>
              <w:rPr>
                <w:rFonts w:ascii="Times New Roman" w:hAnsi="Times New Roman" w:cs="Times New Roman"/>
                <w:sz w:val="24"/>
              </w:rPr>
            </w:pPr>
            <w:r>
              <w:rPr>
                <w:rFonts w:ascii="Times New Roman" w:hAnsi="Times New Roman" w:cs="Times New Roman"/>
                <w:noProof/>
                <w:sz w:val="24"/>
              </w:rPr>
              <w:t>RWEA</w:t>
            </w:r>
            <w:r w:rsidRPr="00C31378">
              <w:rPr>
                <w:rFonts w:ascii="Times New Roman" w:hAnsi="Times New Roman" w:cs="Times New Roman"/>
                <w:noProof/>
                <w:sz w:val="24"/>
              </w:rPr>
              <w:t xml:space="preserve">s and </w:t>
            </w:r>
            <w:r w:rsidR="00576BDE">
              <w:rPr>
                <w:rFonts w:ascii="Times New Roman" w:hAnsi="Times New Roman" w:cs="Times New Roman"/>
                <w:noProof/>
                <w:sz w:val="24"/>
              </w:rPr>
              <w:t>own funds</w:t>
            </w:r>
            <w:r w:rsidR="00576BDE" w:rsidRPr="00C31378">
              <w:rPr>
                <w:rFonts w:ascii="Times New Roman" w:hAnsi="Times New Roman" w:cs="Times New Roman"/>
                <w:noProof/>
                <w:sz w:val="24"/>
              </w:rPr>
              <w:t xml:space="preserve"> </w:t>
            </w:r>
            <w:r w:rsidRPr="00C31378">
              <w:rPr>
                <w:rFonts w:ascii="Times New Roman" w:hAnsi="Times New Roman" w:cs="Times New Roman"/>
                <w:noProof/>
                <w:sz w:val="24"/>
              </w:rPr>
              <w:t>requirements computed in accordance Part Three, Title II, Chapter 6, section 9 of CRR.</w:t>
            </w:r>
          </w:p>
        </w:tc>
      </w:tr>
      <w:tr w:rsidR="004D588F" w:rsidRPr="00C31378" w14:paraId="4CBA47CE" w14:textId="77777777" w:rsidTr="00254E82">
        <w:trPr>
          <w:trHeight w:val="557"/>
        </w:trPr>
        <w:tc>
          <w:tcPr>
            <w:tcW w:w="1384" w:type="dxa"/>
          </w:tcPr>
          <w:p w14:paraId="7B55AD5E" w14:textId="075A80B7" w:rsidR="004D588F" w:rsidRPr="00C31378" w:rsidRDefault="004D588F" w:rsidP="004D588F">
            <w:pPr>
              <w:pStyle w:val="Applicationdirecte"/>
              <w:spacing w:before="60"/>
              <w:jc w:val="center"/>
            </w:pPr>
            <w:r w:rsidRPr="00D26090">
              <w:t>EU 8b</w:t>
            </w:r>
          </w:p>
        </w:tc>
        <w:tc>
          <w:tcPr>
            <w:tcW w:w="7655" w:type="dxa"/>
          </w:tcPr>
          <w:p w14:paraId="2FD3C7A9" w14:textId="21DF5EC9" w:rsidR="004D588F" w:rsidRPr="00C31378" w:rsidRDefault="004D588F" w:rsidP="004D588F">
            <w:pPr>
              <w:spacing w:before="60" w:after="120"/>
              <w:jc w:val="both"/>
              <w:rPr>
                <w:rFonts w:ascii="Times New Roman" w:hAnsi="Times New Roman" w:cs="Times New Roman"/>
                <w:noProof/>
                <w:sz w:val="24"/>
              </w:rPr>
            </w:pPr>
            <w:r w:rsidRPr="00C31378">
              <w:rPr>
                <w:rFonts w:ascii="Times New Roman" w:hAnsi="Times New Roman" w:cs="Times New Roman"/>
                <w:noProof/>
                <w:sz w:val="24"/>
              </w:rPr>
              <w:t>CCR – Of which credit valuation adjustment – CVA</w:t>
            </w:r>
          </w:p>
          <w:p w14:paraId="20CBFD1F" w14:textId="2E8B6EFB" w:rsidR="004D588F" w:rsidRPr="00C31378" w:rsidRDefault="004D588F" w:rsidP="00576BDE">
            <w:pPr>
              <w:spacing w:before="60" w:after="120"/>
              <w:jc w:val="both"/>
              <w:rPr>
                <w:rFonts w:ascii="Times New Roman" w:hAnsi="Times New Roman" w:cs="Times New Roman"/>
                <w:noProof/>
                <w:sz w:val="24"/>
              </w:rPr>
            </w:pPr>
            <w:r>
              <w:rPr>
                <w:rFonts w:ascii="Times New Roman" w:hAnsi="Times New Roman" w:cs="Times New Roman"/>
                <w:noProof/>
                <w:sz w:val="24"/>
              </w:rPr>
              <w:t>RWEA</w:t>
            </w:r>
            <w:r w:rsidRPr="00C31378">
              <w:rPr>
                <w:rFonts w:ascii="Times New Roman" w:hAnsi="Times New Roman" w:cs="Times New Roman"/>
                <w:noProof/>
                <w:sz w:val="24"/>
              </w:rPr>
              <w:t xml:space="preserve">s and </w:t>
            </w:r>
            <w:r w:rsidR="00576BDE">
              <w:rPr>
                <w:rFonts w:ascii="Times New Roman" w:hAnsi="Times New Roman" w:cs="Times New Roman"/>
                <w:noProof/>
                <w:sz w:val="24"/>
              </w:rPr>
              <w:t>own funds</w:t>
            </w:r>
            <w:r w:rsidR="00576BDE" w:rsidRPr="00C31378">
              <w:rPr>
                <w:rFonts w:ascii="Times New Roman" w:hAnsi="Times New Roman" w:cs="Times New Roman"/>
                <w:noProof/>
                <w:sz w:val="24"/>
              </w:rPr>
              <w:t xml:space="preserve"> </w:t>
            </w:r>
            <w:r w:rsidRPr="00C31378">
              <w:rPr>
                <w:rFonts w:ascii="Times New Roman" w:hAnsi="Times New Roman" w:cs="Times New Roman"/>
                <w:noProof/>
                <w:sz w:val="24"/>
              </w:rPr>
              <w:t>requirements calcu</w:t>
            </w:r>
            <w:r w:rsidR="00576BDE">
              <w:rPr>
                <w:rFonts w:ascii="Times New Roman" w:hAnsi="Times New Roman" w:cs="Times New Roman"/>
                <w:noProof/>
                <w:sz w:val="24"/>
              </w:rPr>
              <w:t>l</w:t>
            </w:r>
            <w:r w:rsidRPr="00C31378">
              <w:rPr>
                <w:rFonts w:ascii="Times New Roman" w:hAnsi="Times New Roman" w:cs="Times New Roman"/>
                <w:noProof/>
                <w:sz w:val="24"/>
              </w:rPr>
              <w:t xml:space="preserve">ated according to </w:t>
            </w:r>
            <w:r w:rsidRPr="00C31378">
              <w:rPr>
                <w:rFonts w:ascii="Times New Roman" w:eastAsia="Times New Roman" w:hAnsi="Times New Roman" w:cs="Times New Roman"/>
                <w:sz w:val="24"/>
                <w:lang w:eastAsia="sv-SE"/>
              </w:rPr>
              <w:t>Part Three, Title VI of CRR</w:t>
            </w:r>
          </w:p>
        </w:tc>
      </w:tr>
      <w:tr w:rsidR="004D588F" w:rsidRPr="00C31378" w14:paraId="0DAE08DE" w14:textId="77777777" w:rsidTr="00254E82">
        <w:trPr>
          <w:trHeight w:val="557"/>
        </w:trPr>
        <w:tc>
          <w:tcPr>
            <w:tcW w:w="1384" w:type="dxa"/>
          </w:tcPr>
          <w:p w14:paraId="2FAD5928" w14:textId="6D3D14EC" w:rsidR="004D588F" w:rsidRPr="00C31378" w:rsidRDefault="004D588F" w:rsidP="004D588F">
            <w:pPr>
              <w:pStyle w:val="Applicationdirecte"/>
              <w:spacing w:before="60"/>
              <w:jc w:val="center"/>
            </w:pPr>
            <w:r w:rsidRPr="00D26090">
              <w:t>9</w:t>
            </w:r>
          </w:p>
        </w:tc>
        <w:tc>
          <w:tcPr>
            <w:tcW w:w="7655" w:type="dxa"/>
          </w:tcPr>
          <w:p w14:paraId="5724DAE0" w14:textId="77777777" w:rsidR="004D588F" w:rsidRPr="00C31378" w:rsidRDefault="004D588F" w:rsidP="004D588F">
            <w:pPr>
              <w:spacing w:before="60" w:after="120"/>
              <w:jc w:val="both"/>
              <w:rPr>
                <w:rFonts w:ascii="Times New Roman" w:hAnsi="Times New Roman" w:cs="Times New Roman"/>
                <w:sz w:val="24"/>
              </w:rPr>
            </w:pPr>
            <w:r w:rsidRPr="00C31378">
              <w:rPr>
                <w:rFonts w:ascii="Times New Roman" w:hAnsi="Times New Roman" w:cs="Times New Roman"/>
                <w:sz w:val="24"/>
              </w:rPr>
              <w:t>CCR - Of which other CCR</w:t>
            </w:r>
          </w:p>
          <w:p w14:paraId="28422C66" w14:textId="6C311E6E" w:rsidR="004D588F" w:rsidRPr="00C31378" w:rsidRDefault="004D588F" w:rsidP="00576BDE">
            <w:pPr>
              <w:spacing w:before="60" w:after="120"/>
              <w:jc w:val="both"/>
              <w:rPr>
                <w:rFonts w:ascii="Times New Roman" w:hAnsi="Times New Roman" w:cs="Times New Roman"/>
                <w:noProof/>
                <w:sz w:val="24"/>
              </w:rPr>
            </w:pPr>
            <w:r w:rsidRPr="00C31378">
              <w:rPr>
                <w:rFonts w:ascii="Times New Roman" w:hAnsi="Times New Roman" w:cs="Times New Roman"/>
                <w:sz w:val="24"/>
              </w:rPr>
              <w:t xml:space="preserve">CCR </w:t>
            </w:r>
            <w:r>
              <w:rPr>
                <w:rFonts w:ascii="Times New Roman" w:hAnsi="Times New Roman" w:cs="Times New Roman"/>
                <w:sz w:val="24"/>
              </w:rPr>
              <w:t>RWEA</w:t>
            </w:r>
            <w:r w:rsidRPr="00C31378">
              <w:rPr>
                <w:rFonts w:ascii="Times New Roman" w:hAnsi="Times New Roman" w:cs="Times New Roman"/>
                <w:sz w:val="24"/>
              </w:rPr>
              <w:t>s</w:t>
            </w:r>
            <w:r w:rsidRPr="00C31378">
              <w:rPr>
                <w:rFonts w:ascii="Times New Roman" w:hAnsi="Times New Roman" w:cs="Times New Roman"/>
                <w:noProof/>
                <w:sz w:val="24"/>
              </w:rPr>
              <w:t xml:space="preserve"> and </w:t>
            </w:r>
            <w:r w:rsidR="00576BDE">
              <w:rPr>
                <w:rFonts w:ascii="Times New Roman" w:hAnsi="Times New Roman" w:cs="Times New Roman"/>
                <w:noProof/>
                <w:sz w:val="24"/>
              </w:rPr>
              <w:t>own funds</w:t>
            </w:r>
            <w:r w:rsidR="00576BDE" w:rsidRPr="00C31378">
              <w:rPr>
                <w:rFonts w:ascii="Times New Roman" w:hAnsi="Times New Roman" w:cs="Times New Roman"/>
                <w:noProof/>
                <w:sz w:val="24"/>
              </w:rPr>
              <w:t xml:space="preserve"> </w:t>
            </w:r>
            <w:r w:rsidRPr="00C31378">
              <w:rPr>
                <w:rFonts w:ascii="Times New Roman" w:hAnsi="Times New Roman" w:cs="Times New Roman"/>
                <w:noProof/>
                <w:sz w:val="24"/>
              </w:rPr>
              <w:t>requirements</w:t>
            </w:r>
            <w:r w:rsidRPr="00C31378">
              <w:rPr>
                <w:rFonts w:ascii="Times New Roman" w:hAnsi="Times New Roman" w:cs="Times New Roman"/>
                <w:sz w:val="24"/>
              </w:rPr>
              <w:t xml:space="preserve"> that are not disclosed under rows </w:t>
            </w:r>
            <w:r w:rsidR="00576BDE">
              <w:rPr>
                <w:rFonts w:ascii="Times New Roman" w:hAnsi="Times New Roman" w:cs="Times New Roman"/>
                <w:sz w:val="24"/>
              </w:rPr>
              <w:t>7</w:t>
            </w:r>
            <w:r w:rsidRPr="009251B5">
              <w:rPr>
                <w:rFonts w:ascii="Times New Roman" w:hAnsi="Times New Roman" w:cs="Times New Roman"/>
                <w:sz w:val="24"/>
              </w:rPr>
              <w:t xml:space="preserve">, </w:t>
            </w:r>
            <w:r w:rsidR="00576BDE">
              <w:rPr>
                <w:rFonts w:ascii="Times New Roman" w:hAnsi="Times New Roman" w:cs="Times New Roman"/>
                <w:sz w:val="24"/>
              </w:rPr>
              <w:t>8</w:t>
            </w:r>
            <w:r w:rsidRPr="009251B5">
              <w:rPr>
                <w:rFonts w:ascii="Times New Roman" w:hAnsi="Times New Roman" w:cs="Times New Roman"/>
                <w:sz w:val="24"/>
              </w:rPr>
              <w:t xml:space="preserve">, </w:t>
            </w:r>
            <w:r w:rsidR="00576BDE">
              <w:rPr>
                <w:rFonts w:ascii="Times New Roman" w:hAnsi="Times New Roman" w:cs="Times New Roman"/>
                <w:sz w:val="24"/>
              </w:rPr>
              <w:t>EU 8a</w:t>
            </w:r>
            <w:r w:rsidR="00576BDE" w:rsidRPr="009251B5">
              <w:rPr>
                <w:rFonts w:ascii="Times New Roman" w:hAnsi="Times New Roman" w:cs="Times New Roman"/>
                <w:sz w:val="24"/>
              </w:rPr>
              <w:t xml:space="preserve"> </w:t>
            </w:r>
            <w:r w:rsidRPr="009251B5">
              <w:rPr>
                <w:rFonts w:ascii="Times New Roman" w:hAnsi="Times New Roman" w:cs="Times New Roman"/>
                <w:sz w:val="24"/>
              </w:rPr>
              <w:t xml:space="preserve">and </w:t>
            </w:r>
            <w:r w:rsidR="00576BDE">
              <w:rPr>
                <w:rFonts w:ascii="Times New Roman" w:hAnsi="Times New Roman" w:cs="Times New Roman"/>
                <w:sz w:val="24"/>
              </w:rPr>
              <w:t>EU 8b</w:t>
            </w:r>
            <w:r w:rsidRPr="009251B5">
              <w:rPr>
                <w:rFonts w:ascii="Times New Roman" w:hAnsi="Times New Roman" w:cs="Times New Roman"/>
                <w:sz w:val="24"/>
              </w:rPr>
              <w:t>.</w:t>
            </w:r>
          </w:p>
        </w:tc>
      </w:tr>
      <w:tr w:rsidR="004D588F" w:rsidRPr="00C31378" w14:paraId="4D8F6219" w14:textId="77777777" w:rsidTr="009251B5">
        <w:trPr>
          <w:trHeight w:val="557"/>
        </w:trPr>
        <w:tc>
          <w:tcPr>
            <w:tcW w:w="1384" w:type="dxa"/>
          </w:tcPr>
          <w:p w14:paraId="4AD3EEA4" w14:textId="200D30E0" w:rsidR="004D588F" w:rsidRPr="009251B5" w:rsidRDefault="004D588F" w:rsidP="004D588F">
            <w:pPr>
              <w:pStyle w:val="Applicationdirecte"/>
              <w:spacing w:before="60"/>
              <w:jc w:val="center"/>
              <w:rPr>
                <w:i/>
                <w:color w:val="000000"/>
              </w:rPr>
            </w:pPr>
            <w:r w:rsidRPr="009251B5">
              <w:rPr>
                <w:i/>
              </w:rPr>
              <w:t>10</w:t>
            </w:r>
          </w:p>
        </w:tc>
        <w:tc>
          <w:tcPr>
            <w:tcW w:w="7655" w:type="dxa"/>
          </w:tcPr>
          <w:p w14:paraId="3F76D9D4" w14:textId="3518C1BD" w:rsidR="004D588F" w:rsidRPr="009251B5" w:rsidRDefault="004D588F" w:rsidP="004D588F">
            <w:pPr>
              <w:spacing w:before="60" w:after="120"/>
              <w:jc w:val="both"/>
              <w:rPr>
                <w:rFonts w:ascii="Times New Roman" w:hAnsi="Times New Roman" w:cs="Times New Roman"/>
                <w:i/>
                <w:sz w:val="24"/>
              </w:rPr>
            </w:pPr>
            <w:r w:rsidRPr="009251B5">
              <w:rPr>
                <w:i/>
              </w:rPr>
              <w:t>Empty set in the EU</w:t>
            </w:r>
          </w:p>
        </w:tc>
      </w:tr>
      <w:tr w:rsidR="004D588F" w:rsidRPr="00C31378" w14:paraId="17F0B3E7" w14:textId="77777777" w:rsidTr="009251B5">
        <w:trPr>
          <w:trHeight w:val="557"/>
        </w:trPr>
        <w:tc>
          <w:tcPr>
            <w:tcW w:w="1384" w:type="dxa"/>
          </w:tcPr>
          <w:p w14:paraId="772A8A93" w14:textId="11CD4AA0" w:rsidR="004D588F" w:rsidRPr="009251B5" w:rsidRDefault="004D588F" w:rsidP="004D588F">
            <w:pPr>
              <w:pStyle w:val="Applicationdirecte"/>
              <w:spacing w:before="60"/>
              <w:jc w:val="center"/>
              <w:rPr>
                <w:i/>
                <w:color w:val="000000"/>
              </w:rPr>
            </w:pPr>
            <w:r w:rsidRPr="009251B5">
              <w:rPr>
                <w:i/>
              </w:rPr>
              <w:t>11</w:t>
            </w:r>
          </w:p>
        </w:tc>
        <w:tc>
          <w:tcPr>
            <w:tcW w:w="7655" w:type="dxa"/>
          </w:tcPr>
          <w:p w14:paraId="361327F5" w14:textId="0BB4A33C" w:rsidR="004D588F" w:rsidRPr="009251B5" w:rsidRDefault="004D588F" w:rsidP="004D588F">
            <w:pPr>
              <w:spacing w:before="60" w:after="120"/>
              <w:jc w:val="both"/>
              <w:rPr>
                <w:rFonts w:ascii="Times New Roman" w:hAnsi="Times New Roman" w:cs="Times New Roman"/>
                <w:i/>
                <w:sz w:val="24"/>
              </w:rPr>
            </w:pPr>
            <w:r w:rsidRPr="009251B5">
              <w:rPr>
                <w:i/>
              </w:rPr>
              <w:t>Empty set in the EU</w:t>
            </w:r>
          </w:p>
        </w:tc>
      </w:tr>
      <w:tr w:rsidR="004D588F" w:rsidRPr="00C31378" w14:paraId="14371766" w14:textId="77777777" w:rsidTr="009251B5">
        <w:trPr>
          <w:trHeight w:val="557"/>
        </w:trPr>
        <w:tc>
          <w:tcPr>
            <w:tcW w:w="1384" w:type="dxa"/>
          </w:tcPr>
          <w:p w14:paraId="7CE345C4" w14:textId="2BE6F6BC" w:rsidR="004D588F" w:rsidRPr="009251B5" w:rsidRDefault="004D588F" w:rsidP="004D588F">
            <w:pPr>
              <w:pStyle w:val="Applicationdirecte"/>
              <w:spacing w:before="60"/>
              <w:jc w:val="center"/>
              <w:rPr>
                <w:i/>
                <w:color w:val="000000"/>
              </w:rPr>
            </w:pPr>
            <w:r w:rsidRPr="009251B5">
              <w:rPr>
                <w:i/>
              </w:rPr>
              <w:t>12</w:t>
            </w:r>
          </w:p>
        </w:tc>
        <w:tc>
          <w:tcPr>
            <w:tcW w:w="7655" w:type="dxa"/>
          </w:tcPr>
          <w:p w14:paraId="35F85DE6" w14:textId="56945E24" w:rsidR="004D588F" w:rsidRPr="009251B5" w:rsidRDefault="004D588F" w:rsidP="004D588F">
            <w:pPr>
              <w:spacing w:before="60" w:after="120"/>
              <w:jc w:val="both"/>
              <w:rPr>
                <w:rFonts w:ascii="Times New Roman" w:hAnsi="Times New Roman" w:cs="Times New Roman"/>
                <w:i/>
                <w:sz w:val="24"/>
              </w:rPr>
            </w:pPr>
            <w:r w:rsidRPr="009251B5">
              <w:rPr>
                <w:i/>
              </w:rPr>
              <w:t>Empty set in the EU</w:t>
            </w:r>
          </w:p>
        </w:tc>
      </w:tr>
      <w:tr w:rsidR="004D588F" w:rsidRPr="00C31378" w14:paraId="0CC5C88B" w14:textId="77777777" w:rsidTr="009251B5">
        <w:trPr>
          <w:trHeight w:val="557"/>
        </w:trPr>
        <w:tc>
          <w:tcPr>
            <w:tcW w:w="1384" w:type="dxa"/>
          </w:tcPr>
          <w:p w14:paraId="688FEDB3" w14:textId="14EC6EBC" w:rsidR="004D588F" w:rsidRPr="009251B5" w:rsidRDefault="004D588F" w:rsidP="004D588F">
            <w:pPr>
              <w:pStyle w:val="Applicationdirecte"/>
              <w:spacing w:before="60"/>
              <w:jc w:val="center"/>
              <w:rPr>
                <w:i/>
                <w:color w:val="000000"/>
              </w:rPr>
            </w:pPr>
            <w:r w:rsidRPr="009251B5">
              <w:rPr>
                <w:i/>
              </w:rPr>
              <w:lastRenderedPageBreak/>
              <w:t>13</w:t>
            </w:r>
          </w:p>
        </w:tc>
        <w:tc>
          <w:tcPr>
            <w:tcW w:w="7655" w:type="dxa"/>
          </w:tcPr>
          <w:p w14:paraId="749ED7B2" w14:textId="4D60EC1A" w:rsidR="004D588F" w:rsidRPr="009251B5" w:rsidRDefault="004D588F" w:rsidP="004D588F">
            <w:pPr>
              <w:spacing w:before="60" w:after="120"/>
              <w:jc w:val="both"/>
              <w:rPr>
                <w:rFonts w:ascii="Times New Roman" w:hAnsi="Times New Roman" w:cs="Times New Roman"/>
                <w:i/>
                <w:sz w:val="24"/>
              </w:rPr>
            </w:pPr>
            <w:r w:rsidRPr="009251B5">
              <w:rPr>
                <w:i/>
              </w:rPr>
              <w:t>Empty set in the EU</w:t>
            </w:r>
          </w:p>
        </w:tc>
      </w:tr>
      <w:tr w:rsidR="004D588F" w:rsidRPr="00C31378" w14:paraId="51A40077" w14:textId="77777777" w:rsidTr="009251B5">
        <w:trPr>
          <w:trHeight w:val="557"/>
        </w:trPr>
        <w:tc>
          <w:tcPr>
            <w:tcW w:w="1384" w:type="dxa"/>
          </w:tcPr>
          <w:p w14:paraId="3A8E0E1F" w14:textId="1A4E7811" w:rsidR="004D588F" w:rsidRPr="009251B5" w:rsidRDefault="004D588F" w:rsidP="004D588F">
            <w:pPr>
              <w:pStyle w:val="Applicationdirecte"/>
              <w:spacing w:before="60"/>
              <w:jc w:val="center"/>
              <w:rPr>
                <w:i/>
                <w:color w:val="000000"/>
              </w:rPr>
            </w:pPr>
            <w:r w:rsidRPr="009251B5">
              <w:rPr>
                <w:i/>
              </w:rPr>
              <w:t>14</w:t>
            </w:r>
          </w:p>
        </w:tc>
        <w:tc>
          <w:tcPr>
            <w:tcW w:w="7655" w:type="dxa"/>
          </w:tcPr>
          <w:p w14:paraId="76C07DB8" w14:textId="4F60D6C0" w:rsidR="004D588F" w:rsidRPr="009251B5" w:rsidRDefault="004D588F" w:rsidP="004D588F">
            <w:pPr>
              <w:spacing w:before="60" w:after="120"/>
              <w:jc w:val="both"/>
              <w:rPr>
                <w:rFonts w:ascii="Times New Roman" w:hAnsi="Times New Roman" w:cs="Times New Roman"/>
                <w:i/>
                <w:sz w:val="24"/>
              </w:rPr>
            </w:pPr>
            <w:r w:rsidRPr="009251B5">
              <w:rPr>
                <w:i/>
              </w:rPr>
              <w:t>Empty set in the EU</w:t>
            </w:r>
          </w:p>
        </w:tc>
      </w:tr>
      <w:tr w:rsidR="00FA1376" w:rsidRPr="00C31378" w14:paraId="5A577D4D" w14:textId="77777777" w:rsidTr="00B2180A">
        <w:trPr>
          <w:trHeight w:val="557"/>
        </w:trPr>
        <w:tc>
          <w:tcPr>
            <w:tcW w:w="1384" w:type="dxa"/>
            <w:vAlign w:val="center"/>
          </w:tcPr>
          <w:p w14:paraId="2BFC4922" w14:textId="33694EE8" w:rsidR="00FA1376" w:rsidRPr="00C31378" w:rsidRDefault="00FA1376" w:rsidP="004D588F">
            <w:pPr>
              <w:pStyle w:val="Applicationdirecte"/>
              <w:spacing w:before="60"/>
              <w:jc w:val="center"/>
            </w:pPr>
            <w:r w:rsidRPr="00C31378">
              <w:rPr>
                <w:color w:val="000000"/>
              </w:rPr>
              <w:t>1</w:t>
            </w:r>
            <w:r w:rsidR="004D588F">
              <w:rPr>
                <w:color w:val="000000"/>
              </w:rPr>
              <w:t>5</w:t>
            </w:r>
          </w:p>
        </w:tc>
        <w:tc>
          <w:tcPr>
            <w:tcW w:w="7655" w:type="dxa"/>
          </w:tcPr>
          <w:p w14:paraId="00A78B4B" w14:textId="77777777" w:rsidR="00FA1376" w:rsidRPr="00C31378" w:rsidRDefault="00FA1376" w:rsidP="00FA1376">
            <w:pPr>
              <w:spacing w:before="60" w:after="120"/>
              <w:jc w:val="both"/>
              <w:rPr>
                <w:rFonts w:ascii="Times New Roman" w:hAnsi="Times New Roman" w:cs="Times New Roman"/>
                <w:sz w:val="24"/>
              </w:rPr>
            </w:pPr>
            <w:r w:rsidRPr="00C31378">
              <w:rPr>
                <w:rFonts w:ascii="Times New Roman" w:hAnsi="Times New Roman" w:cs="Times New Roman"/>
                <w:sz w:val="24"/>
              </w:rPr>
              <w:t xml:space="preserve">Settlement risk </w:t>
            </w:r>
          </w:p>
          <w:p w14:paraId="088E68CF" w14:textId="6A04F850" w:rsidR="00FA1376" w:rsidRPr="00C31378" w:rsidRDefault="009A4635" w:rsidP="00576BDE">
            <w:pPr>
              <w:spacing w:before="60" w:after="120"/>
              <w:jc w:val="both"/>
              <w:rPr>
                <w:rFonts w:ascii="Times New Roman" w:hAnsi="Times New Roman" w:cs="Times New Roman"/>
                <w:noProof/>
                <w:sz w:val="24"/>
              </w:rPr>
            </w:pPr>
            <w:r>
              <w:rPr>
                <w:rFonts w:ascii="Times New Roman" w:hAnsi="Times New Roman" w:cs="Times New Roman"/>
                <w:noProof/>
                <w:sz w:val="24"/>
              </w:rPr>
              <w:t>RWEA</w:t>
            </w:r>
            <w:r w:rsidR="00FA1376" w:rsidRPr="00C31378">
              <w:rPr>
                <w:rFonts w:ascii="Times New Roman" w:hAnsi="Times New Roman" w:cs="Times New Roman"/>
                <w:noProof/>
                <w:sz w:val="24"/>
              </w:rPr>
              <w:t xml:space="preserve">s and </w:t>
            </w:r>
            <w:r w:rsidR="00576BDE">
              <w:rPr>
                <w:rFonts w:ascii="Times New Roman" w:hAnsi="Times New Roman" w:cs="Times New Roman"/>
                <w:noProof/>
                <w:sz w:val="24"/>
              </w:rPr>
              <w:t>own funds</w:t>
            </w:r>
            <w:r w:rsidR="00576BDE" w:rsidRPr="00C31378">
              <w:rPr>
                <w:rFonts w:ascii="Times New Roman" w:hAnsi="Times New Roman" w:cs="Times New Roman"/>
                <w:noProof/>
                <w:sz w:val="24"/>
              </w:rPr>
              <w:t xml:space="preserve"> </w:t>
            </w:r>
            <w:r w:rsidR="00FA1376" w:rsidRPr="00C31378">
              <w:rPr>
                <w:rFonts w:ascii="Times New Roman" w:hAnsi="Times New Roman" w:cs="Times New Roman"/>
                <w:noProof/>
                <w:sz w:val="24"/>
              </w:rPr>
              <w:t xml:space="preserve">requirements calcualted according to </w:t>
            </w:r>
            <w:r w:rsidR="00FA1376" w:rsidRPr="00C31378">
              <w:rPr>
                <w:rFonts w:ascii="Times New Roman" w:eastAsia="Times New Roman" w:hAnsi="Times New Roman" w:cs="Times New Roman"/>
                <w:sz w:val="24"/>
                <w:lang w:eastAsia="sv-SE"/>
              </w:rPr>
              <w:t>Part Three, Title V of CRR</w:t>
            </w:r>
          </w:p>
        </w:tc>
      </w:tr>
      <w:tr w:rsidR="00FA1376" w:rsidRPr="00C31378" w14:paraId="796FF722" w14:textId="77777777" w:rsidTr="00B2180A">
        <w:trPr>
          <w:trHeight w:val="557"/>
        </w:trPr>
        <w:tc>
          <w:tcPr>
            <w:tcW w:w="1384" w:type="dxa"/>
            <w:vAlign w:val="center"/>
          </w:tcPr>
          <w:p w14:paraId="06AAAC73" w14:textId="5BB713B1" w:rsidR="00FA1376" w:rsidRPr="00C31378" w:rsidRDefault="00FA1376" w:rsidP="00FA1376">
            <w:pPr>
              <w:pStyle w:val="Applicationdirecte"/>
              <w:spacing w:before="60"/>
              <w:jc w:val="center"/>
            </w:pPr>
            <w:r w:rsidRPr="00C31378">
              <w:rPr>
                <w:color w:val="000000"/>
              </w:rPr>
              <w:t>1</w:t>
            </w:r>
            <w:r w:rsidR="004D588F">
              <w:rPr>
                <w:color w:val="000000"/>
              </w:rPr>
              <w:t>6</w:t>
            </w:r>
          </w:p>
        </w:tc>
        <w:tc>
          <w:tcPr>
            <w:tcW w:w="7655" w:type="dxa"/>
          </w:tcPr>
          <w:p w14:paraId="7DB670BC" w14:textId="77777777" w:rsidR="00FA1376" w:rsidRPr="00C31378" w:rsidRDefault="00FA1376" w:rsidP="00FA1376">
            <w:pPr>
              <w:spacing w:before="60" w:after="120"/>
              <w:jc w:val="both"/>
              <w:rPr>
                <w:rFonts w:ascii="Times New Roman" w:hAnsi="Times New Roman" w:cs="Times New Roman"/>
                <w:sz w:val="24"/>
              </w:rPr>
            </w:pPr>
            <w:r w:rsidRPr="00C31378">
              <w:rPr>
                <w:rFonts w:ascii="Times New Roman" w:hAnsi="Times New Roman" w:cs="Times New Roman"/>
                <w:sz w:val="24"/>
              </w:rPr>
              <w:t>Securitisation exposures in the non-trading book (after the cap)</w:t>
            </w:r>
          </w:p>
          <w:p w14:paraId="5CA678AA" w14:textId="197B4618" w:rsidR="00FA1376" w:rsidRPr="00C31378" w:rsidRDefault="009A4635" w:rsidP="00576BDE">
            <w:pPr>
              <w:spacing w:before="60" w:after="120"/>
              <w:jc w:val="both"/>
              <w:rPr>
                <w:rFonts w:ascii="Times New Roman" w:hAnsi="Times New Roman" w:cs="Times New Roman"/>
                <w:noProof/>
                <w:sz w:val="24"/>
              </w:rPr>
            </w:pPr>
            <w:r>
              <w:rPr>
                <w:rFonts w:ascii="Times New Roman" w:hAnsi="Times New Roman" w:cs="Times New Roman"/>
                <w:noProof/>
                <w:sz w:val="24"/>
              </w:rPr>
              <w:t>RWEA</w:t>
            </w:r>
            <w:r w:rsidR="00FA1376" w:rsidRPr="00C31378">
              <w:rPr>
                <w:rFonts w:ascii="Times New Roman" w:hAnsi="Times New Roman" w:cs="Times New Roman"/>
                <w:noProof/>
                <w:sz w:val="24"/>
              </w:rPr>
              <w:t xml:space="preserve">s and </w:t>
            </w:r>
            <w:r w:rsidR="00576BDE">
              <w:rPr>
                <w:rFonts w:ascii="Times New Roman" w:hAnsi="Times New Roman" w:cs="Times New Roman"/>
                <w:noProof/>
                <w:sz w:val="24"/>
              </w:rPr>
              <w:t>own funds</w:t>
            </w:r>
            <w:r w:rsidR="00576BDE" w:rsidRPr="00C31378">
              <w:rPr>
                <w:rFonts w:ascii="Times New Roman" w:hAnsi="Times New Roman" w:cs="Times New Roman"/>
                <w:noProof/>
                <w:sz w:val="24"/>
              </w:rPr>
              <w:t xml:space="preserve"> </w:t>
            </w:r>
            <w:r w:rsidR="00FA1376" w:rsidRPr="00C31378">
              <w:rPr>
                <w:rFonts w:ascii="Times New Roman" w:hAnsi="Times New Roman" w:cs="Times New Roman"/>
                <w:noProof/>
                <w:sz w:val="24"/>
              </w:rPr>
              <w:t xml:space="preserve">requirements calculated accoring to </w:t>
            </w:r>
            <w:r w:rsidR="00FA1376" w:rsidRPr="00C31378">
              <w:rPr>
                <w:rFonts w:ascii="Times New Roman" w:hAnsi="Times New Roman" w:cs="Times New Roman"/>
                <w:sz w:val="24"/>
              </w:rPr>
              <w:t>Part Three, Title II, Chapter 5 of CRR.</w:t>
            </w:r>
          </w:p>
        </w:tc>
      </w:tr>
      <w:tr w:rsidR="00FA1376" w:rsidRPr="00C31378" w14:paraId="7C6F9CD0" w14:textId="77777777" w:rsidTr="00B2180A">
        <w:trPr>
          <w:trHeight w:val="557"/>
        </w:trPr>
        <w:tc>
          <w:tcPr>
            <w:tcW w:w="1384" w:type="dxa"/>
            <w:vAlign w:val="center"/>
          </w:tcPr>
          <w:p w14:paraId="5768CA56" w14:textId="293CC390" w:rsidR="00FA1376" w:rsidRPr="00C31378" w:rsidRDefault="00FA1376" w:rsidP="00FA1376">
            <w:pPr>
              <w:pStyle w:val="Applicationdirecte"/>
              <w:spacing w:before="60"/>
              <w:jc w:val="center"/>
            </w:pPr>
            <w:r w:rsidRPr="00C31378">
              <w:rPr>
                <w:color w:val="000000"/>
              </w:rPr>
              <w:t>1</w:t>
            </w:r>
            <w:r w:rsidR="004D588F">
              <w:rPr>
                <w:color w:val="000000"/>
              </w:rPr>
              <w:t>7</w:t>
            </w:r>
          </w:p>
        </w:tc>
        <w:tc>
          <w:tcPr>
            <w:tcW w:w="7655" w:type="dxa"/>
          </w:tcPr>
          <w:p w14:paraId="12B62A9C" w14:textId="77777777" w:rsidR="00FA1376" w:rsidRPr="00C31378" w:rsidRDefault="00FA1376" w:rsidP="00FA1376">
            <w:pPr>
              <w:spacing w:before="60" w:after="120"/>
              <w:jc w:val="both"/>
              <w:rPr>
                <w:rFonts w:ascii="Times New Roman" w:hAnsi="Times New Roman" w:cs="Times New Roman"/>
                <w:sz w:val="24"/>
              </w:rPr>
            </w:pPr>
            <w:r w:rsidRPr="00C31378">
              <w:rPr>
                <w:rFonts w:ascii="Times New Roman" w:hAnsi="Times New Roman" w:cs="Times New Roman"/>
                <w:sz w:val="24"/>
              </w:rPr>
              <w:t xml:space="preserve">Securitisation - Of which SEC-IRBA approach </w:t>
            </w:r>
          </w:p>
          <w:p w14:paraId="6A27302A" w14:textId="1B2731AC" w:rsidR="00FA1376" w:rsidRPr="00C31378" w:rsidRDefault="009A4635" w:rsidP="00576BDE">
            <w:pPr>
              <w:spacing w:before="60" w:after="120"/>
              <w:jc w:val="both"/>
              <w:rPr>
                <w:rFonts w:ascii="Times New Roman" w:hAnsi="Times New Roman" w:cs="Times New Roman"/>
                <w:noProof/>
                <w:sz w:val="24"/>
              </w:rPr>
            </w:pPr>
            <w:r>
              <w:rPr>
                <w:rFonts w:ascii="Times New Roman" w:eastAsia="Times New Roman" w:hAnsi="Times New Roman" w:cs="Times New Roman"/>
                <w:sz w:val="24"/>
              </w:rPr>
              <w:t>RWEA</w:t>
            </w:r>
            <w:r w:rsidR="00FA1376" w:rsidRPr="00C31378">
              <w:rPr>
                <w:rFonts w:ascii="Times New Roman" w:eastAsia="Times New Roman" w:hAnsi="Times New Roman" w:cs="Times New Roman"/>
                <w:sz w:val="24"/>
              </w:rPr>
              <w:t>s</w:t>
            </w:r>
            <w:r w:rsidR="00FA1376" w:rsidRPr="00C31378">
              <w:rPr>
                <w:rFonts w:ascii="Times New Roman" w:hAnsi="Times New Roman" w:cs="Times New Roman"/>
                <w:noProof/>
                <w:sz w:val="24"/>
              </w:rPr>
              <w:t xml:space="preserve"> and </w:t>
            </w:r>
            <w:r w:rsidR="00576BDE">
              <w:rPr>
                <w:rFonts w:ascii="Times New Roman" w:hAnsi="Times New Roman" w:cs="Times New Roman"/>
                <w:noProof/>
                <w:sz w:val="24"/>
              </w:rPr>
              <w:t>own funds</w:t>
            </w:r>
            <w:r w:rsidR="00576BDE" w:rsidRPr="00C31378">
              <w:rPr>
                <w:rFonts w:ascii="Times New Roman" w:hAnsi="Times New Roman" w:cs="Times New Roman"/>
                <w:noProof/>
                <w:sz w:val="24"/>
              </w:rPr>
              <w:t xml:space="preserve"> </w:t>
            </w:r>
            <w:r w:rsidR="00FA1376" w:rsidRPr="00C31378">
              <w:rPr>
                <w:rFonts w:ascii="Times New Roman" w:hAnsi="Times New Roman" w:cs="Times New Roman"/>
                <w:noProof/>
                <w:sz w:val="24"/>
              </w:rPr>
              <w:t>requirements</w:t>
            </w:r>
            <w:r w:rsidR="00FA1376" w:rsidRPr="00C31378">
              <w:rPr>
                <w:rFonts w:ascii="Times New Roman" w:eastAsia="Times New Roman" w:hAnsi="Times New Roman" w:cs="Times New Roman"/>
                <w:sz w:val="24"/>
              </w:rPr>
              <w:t xml:space="preserve"> calculated according to the </w:t>
            </w:r>
            <w:r w:rsidR="00FA1376" w:rsidRPr="00C31378">
              <w:rPr>
                <w:rFonts w:ascii="Times New Roman" w:hAnsi="Times New Roman" w:cs="Times New Roman"/>
                <w:sz w:val="24"/>
              </w:rPr>
              <w:t xml:space="preserve">SEC-IRBA </w:t>
            </w:r>
            <w:r w:rsidR="00FA1376" w:rsidRPr="00C31378">
              <w:rPr>
                <w:rFonts w:ascii="Times New Roman" w:eastAsia="Times New Roman" w:hAnsi="Times New Roman" w:cs="Times New Roman"/>
                <w:sz w:val="24"/>
              </w:rPr>
              <w:t>regulatory approach, used in accordance with the hierarchy of approaches of Art 254 of CRR.</w:t>
            </w:r>
          </w:p>
        </w:tc>
      </w:tr>
      <w:tr w:rsidR="004D588F" w:rsidRPr="00C31378" w14:paraId="4370D1C6" w14:textId="77777777" w:rsidTr="00B2180A">
        <w:trPr>
          <w:trHeight w:val="557"/>
        </w:trPr>
        <w:tc>
          <w:tcPr>
            <w:tcW w:w="1384" w:type="dxa"/>
            <w:vAlign w:val="center"/>
          </w:tcPr>
          <w:p w14:paraId="359436AF" w14:textId="1AF798C9" w:rsidR="004D588F" w:rsidRPr="00C31378" w:rsidRDefault="004D588F" w:rsidP="00B2180A">
            <w:pPr>
              <w:pStyle w:val="Applicationdirecte"/>
              <w:spacing w:before="60"/>
              <w:jc w:val="center"/>
            </w:pPr>
            <w:r>
              <w:rPr>
                <w:color w:val="000000"/>
              </w:rPr>
              <w:t>18</w:t>
            </w:r>
          </w:p>
        </w:tc>
        <w:tc>
          <w:tcPr>
            <w:tcW w:w="7655" w:type="dxa"/>
          </w:tcPr>
          <w:p w14:paraId="1202B670" w14:textId="77777777" w:rsidR="004D588F" w:rsidRPr="00C31378" w:rsidRDefault="004D588F" w:rsidP="00B2180A">
            <w:pPr>
              <w:spacing w:before="60" w:after="120"/>
              <w:jc w:val="both"/>
              <w:rPr>
                <w:rFonts w:ascii="Times New Roman" w:hAnsi="Times New Roman" w:cs="Times New Roman"/>
                <w:sz w:val="24"/>
              </w:rPr>
            </w:pPr>
            <w:r w:rsidRPr="00C31378">
              <w:rPr>
                <w:rFonts w:ascii="Times New Roman" w:hAnsi="Times New Roman" w:cs="Times New Roman"/>
                <w:sz w:val="24"/>
              </w:rPr>
              <w:t>Securitisation - Of which SEC-ERBA (including IAA)</w:t>
            </w:r>
          </w:p>
          <w:p w14:paraId="0D1D9885" w14:textId="3BB7FD22" w:rsidR="004D588F" w:rsidRPr="00C31378" w:rsidRDefault="004D588F" w:rsidP="00576BDE">
            <w:pPr>
              <w:spacing w:before="60" w:after="120"/>
              <w:jc w:val="both"/>
              <w:rPr>
                <w:rFonts w:ascii="Times New Roman" w:hAnsi="Times New Roman" w:cs="Times New Roman"/>
                <w:noProof/>
                <w:sz w:val="24"/>
              </w:rPr>
            </w:pPr>
            <w:r>
              <w:rPr>
                <w:rFonts w:ascii="Times New Roman" w:eastAsia="Times New Roman" w:hAnsi="Times New Roman" w:cs="Times New Roman"/>
                <w:sz w:val="24"/>
              </w:rPr>
              <w:t>RWEA</w:t>
            </w:r>
            <w:r w:rsidRPr="00C31378">
              <w:rPr>
                <w:rFonts w:ascii="Times New Roman" w:eastAsia="Times New Roman" w:hAnsi="Times New Roman" w:cs="Times New Roman"/>
                <w:sz w:val="24"/>
              </w:rPr>
              <w:t>s</w:t>
            </w:r>
            <w:r w:rsidRPr="00C31378">
              <w:rPr>
                <w:rFonts w:ascii="Times New Roman" w:hAnsi="Times New Roman" w:cs="Times New Roman"/>
                <w:noProof/>
                <w:sz w:val="24"/>
              </w:rPr>
              <w:t xml:space="preserve"> and </w:t>
            </w:r>
            <w:r w:rsidR="00576BDE">
              <w:rPr>
                <w:rFonts w:ascii="Times New Roman" w:hAnsi="Times New Roman" w:cs="Times New Roman"/>
                <w:noProof/>
                <w:sz w:val="24"/>
              </w:rPr>
              <w:t>own funds</w:t>
            </w:r>
            <w:r w:rsidRPr="00C31378">
              <w:rPr>
                <w:rFonts w:ascii="Times New Roman" w:hAnsi="Times New Roman" w:cs="Times New Roman"/>
                <w:noProof/>
                <w:sz w:val="24"/>
              </w:rPr>
              <w:t xml:space="preserve"> requirements</w:t>
            </w:r>
            <w:r w:rsidRPr="00C31378">
              <w:rPr>
                <w:rFonts w:ascii="Times New Roman" w:eastAsia="Times New Roman" w:hAnsi="Times New Roman" w:cs="Times New Roman"/>
                <w:sz w:val="24"/>
              </w:rPr>
              <w:t xml:space="preserve"> calculated according to the </w:t>
            </w:r>
            <w:r w:rsidRPr="00C31378">
              <w:rPr>
                <w:rFonts w:ascii="Times New Roman" w:hAnsi="Times New Roman" w:cs="Times New Roman"/>
                <w:sz w:val="24"/>
              </w:rPr>
              <w:t xml:space="preserve">SEC-ERBA (including IAA) </w:t>
            </w:r>
            <w:r w:rsidRPr="00C31378">
              <w:rPr>
                <w:rFonts w:ascii="Times New Roman" w:eastAsia="Times New Roman" w:hAnsi="Times New Roman" w:cs="Times New Roman"/>
                <w:sz w:val="24"/>
              </w:rPr>
              <w:t>regulatory approach, used in accordance with the hierarchy of approaches of Art 254 of CRR.</w:t>
            </w:r>
          </w:p>
        </w:tc>
      </w:tr>
      <w:tr w:rsidR="00FA1376" w:rsidRPr="00C31378" w14:paraId="41C963A5" w14:textId="77777777" w:rsidTr="00B2180A">
        <w:trPr>
          <w:trHeight w:val="557"/>
        </w:trPr>
        <w:tc>
          <w:tcPr>
            <w:tcW w:w="1384" w:type="dxa"/>
            <w:vAlign w:val="center"/>
          </w:tcPr>
          <w:p w14:paraId="001C3F16" w14:textId="49A95C77" w:rsidR="00FA1376" w:rsidRPr="00C31378" w:rsidRDefault="00FA1376" w:rsidP="00FA1376">
            <w:pPr>
              <w:pStyle w:val="Applicationdirecte"/>
              <w:spacing w:before="60"/>
              <w:jc w:val="center"/>
            </w:pPr>
            <w:r w:rsidRPr="00C31378">
              <w:rPr>
                <w:color w:val="000000"/>
              </w:rPr>
              <w:t>1</w:t>
            </w:r>
            <w:r w:rsidR="004D588F">
              <w:rPr>
                <w:color w:val="000000"/>
              </w:rPr>
              <w:t>9</w:t>
            </w:r>
          </w:p>
        </w:tc>
        <w:tc>
          <w:tcPr>
            <w:tcW w:w="7655" w:type="dxa"/>
          </w:tcPr>
          <w:p w14:paraId="0A7925FB" w14:textId="77777777" w:rsidR="00FA1376" w:rsidRPr="00C31378" w:rsidRDefault="00FA1376" w:rsidP="00FA1376">
            <w:pPr>
              <w:spacing w:before="60" w:after="120"/>
              <w:jc w:val="both"/>
              <w:rPr>
                <w:rFonts w:ascii="Times New Roman" w:hAnsi="Times New Roman" w:cs="Times New Roman"/>
                <w:sz w:val="24"/>
              </w:rPr>
            </w:pPr>
            <w:r w:rsidRPr="00C31378">
              <w:rPr>
                <w:rFonts w:ascii="Times New Roman" w:hAnsi="Times New Roman" w:cs="Times New Roman"/>
                <w:sz w:val="24"/>
              </w:rPr>
              <w:t xml:space="preserve">Securitisation - Of which SEC-SA approach </w:t>
            </w:r>
          </w:p>
          <w:p w14:paraId="56ACE491" w14:textId="014D17ED" w:rsidR="00FA1376" w:rsidRPr="00C31378" w:rsidRDefault="009A4635" w:rsidP="00576BDE">
            <w:pPr>
              <w:spacing w:before="60" w:after="120"/>
              <w:jc w:val="both"/>
              <w:rPr>
                <w:rFonts w:ascii="Times New Roman" w:hAnsi="Times New Roman" w:cs="Times New Roman"/>
                <w:noProof/>
                <w:sz w:val="24"/>
              </w:rPr>
            </w:pPr>
            <w:r>
              <w:rPr>
                <w:rFonts w:ascii="Times New Roman" w:eastAsia="Times New Roman" w:hAnsi="Times New Roman" w:cs="Times New Roman"/>
                <w:sz w:val="24"/>
              </w:rPr>
              <w:t>RWEA</w:t>
            </w:r>
            <w:r w:rsidR="00FA1376" w:rsidRPr="00C31378">
              <w:rPr>
                <w:rFonts w:ascii="Times New Roman" w:eastAsia="Times New Roman" w:hAnsi="Times New Roman" w:cs="Times New Roman"/>
                <w:sz w:val="24"/>
              </w:rPr>
              <w:t>s</w:t>
            </w:r>
            <w:r w:rsidR="00FA1376" w:rsidRPr="00C31378">
              <w:rPr>
                <w:rFonts w:ascii="Times New Roman" w:hAnsi="Times New Roman" w:cs="Times New Roman"/>
                <w:noProof/>
                <w:sz w:val="24"/>
              </w:rPr>
              <w:t xml:space="preserve"> and </w:t>
            </w:r>
            <w:r w:rsidR="00576BDE">
              <w:rPr>
                <w:rFonts w:ascii="Times New Roman" w:hAnsi="Times New Roman" w:cs="Times New Roman"/>
                <w:noProof/>
                <w:sz w:val="24"/>
              </w:rPr>
              <w:t>own funds</w:t>
            </w:r>
            <w:r w:rsidR="00576BDE" w:rsidRPr="00C31378">
              <w:rPr>
                <w:rFonts w:ascii="Times New Roman" w:hAnsi="Times New Roman" w:cs="Times New Roman"/>
                <w:noProof/>
                <w:sz w:val="24"/>
              </w:rPr>
              <w:t xml:space="preserve"> </w:t>
            </w:r>
            <w:r w:rsidR="00FA1376" w:rsidRPr="00C31378">
              <w:rPr>
                <w:rFonts w:ascii="Times New Roman" w:hAnsi="Times New Roman" w:cs="Times New Roman"/>
                <w:noProof/>
                <w:sz w:val="24"/>
              </w:rPr>
              <w:t>requirements</w:t>
            </w:r>
            <w:r w:rsidR="00FA1376" w:rsidRPr="00C31378">
              <w:rPr>
                <w:rFonts w:ascii="Times New Roman" w:eastAsia="Times New Roman" w:hAnsi="Times New Roman" w:cs="Times New Roman"/>
                <w:sz w:val="24"/>
              </w:rPr>
              <w:t xml:space="preserve"> calculated according to the </w:t>
            </w:r>
            <w:r w:rsidR="00FA1376" w:rsidRPr="00C31378">
              <w:rPr>
                <w:rFonts w:ascii="Times New Roman" w:hAnsi="Times New Roman" w:cs="Times New Roman"/>
                <w:sz w:val="24"/>
              </w:rPr>
              <w:t xml:space="preserve">SEC-SA </w:t>
            </w:r>
            <w:r w:rsidR="00FA1376" w:rsidRPr="00C31378">
              <w:rPr>
                <w:rFonts w:ascii="Times New Roman" w:eastAsia="Times New Roman" w:hAnsi="Times New Roman" w:cs="Times New Roman"/>
                <w:sz w:val="24"/>
              </w:rPr>
              <w:t>regulatory approach, used in accordance with the hierarchy of approaches of Art 254 of CRR.</w:t>
            </w:r>
          </w:p>
        </w:tc>
      </w:tr>
      <w:tr w:rsidR="00FA1376" w:rsidRPr="00C31378" w14:paraId="4CEA1B1C" w14:textId="77777777" w:rsidTr="00B2180A">
        <w:trPr>
          <w:trHeight w:val="557"/>
        </w:trPr>
        <w:tc>
          <w:tcPr>
            <w:tcW w:w="1384" w:type="dxa"/>
            <w:vAlign w:val="center"/>
          </w:tcPr>
          <w:p w14:paraId="5A746333" w14:textId="059B98A5" w:rsidR="00FA1376" w:rsidRPr="00C31378" w:rsidRDefault="004D588F" w:rsidP="00FA1376">
            <w:pPr>
              <w:pStyle w:val="Applicationdirecte"/>
              <w:spacing w:before="60"/>
              <w:jc w:val="center"/>
            </w:pPr>
            <w:r w:rsidRPr="004D588F">
              <w:rPr>
                <w:color w:val="000000"/>
              </w:rPr>
              <w:t>EU 19a</w:t>
            </w:r>
          </w:p>
        </w:tc>
        <w:tc>
          <w:tcPr>
            <w:tcW w:w="7655" w:type="dxa"/>
          </w:tcPr>
          <w:p w14:paraId="562883D8" w14:textId="77777777" w:rsidR="00FA1376" w:rsidRPr="00C31378" w:rsidRDefault="00FA1376" w:rsidP="00FA1376">
            <w:pPr>
              <w:spacing w:before="60" w:after="120"/>
              <w:jc w:val="both"/>
              <w:rPr>
                <w:rFonts w:ascii="Times New Roman" w:hAnsi="Times New Roman" w:cs="Times New Roman"/>
                <w:sz w:val="24"/>
              </w:rPr>
            </w:pPr>
            <w:r w:rsidRPr="00C31378">
              <w:rPr>
                <w:rFonts w:ascii="Times New Roman" w:hAnsi="Times New Roman" w:cs="Times New Roman"/>
                <w:sz w:val="24"/>
              </w:rPr>
              <w:t>Securitisation - Of which 1250%/ deduction</w:t>
            </w:r>
          </w:p>
          <w:p w14:paraId="3E0E7D4F" w14:textId="3725B5EF" w:rsidR="00FA1376" w:rsidRPr="00C31378" w:rsidRDefault="009A4635" w:rsidP="00576BDE">
            <w:pPr>
              <w:spacing w:before="60" w:after="120"/>
              <w:jc w:val="both"/>
              <w:rPr>
                <w:rFonts w:ascii="Times New Roman" w:hAnsi="Times New Roman" w:cs="Times New Roman"/>
                <w:sz w:val="24"/>
              </w:rPr>
            </w:pPr>
            <w:r>
              <w:rPr>
                <w:rFonts w:ascii="Times New Roman" w:hAnsi="Times New Roman" w:cs="Times New Roman"/>
                <w:sz w:val="24"/>
              </w:rPr>
              <w:t>RWEA</w:t>
            </w:r>
            <w:r w:rsidR="00FA1376" w:rsidRPr="00C31378">
              <w:rPr>
                <w:rFonts w:ascii="Times New Roman" w:hAnsi="Times New Roman" w:cs="Times New Roman"/>
                <w:sz w:val="24"/>
              </w:rPr>
              <w:t xml:space="preserve">s </w:t>
            </w:r>
            <w:r w:rsidR="00FA1376" w:rsidRPr="00C31378">
              <w:rPr>
                <w:rFonts w:ascii="Times New Roman" w:hAnsi="Times New Roman" w:cs="Times New Roman"/>
                <w:noProof/>
                <w:sz w:val="24"/>
              </w:rPr>
              <w:t xml:space="preserve">and </w:t>
            </w:r>
            <w:r w:rsidR="00576BDE">
              <w:rPr>
                <w:rFonts w:ascii="Times New Roman" w:hAnsi="Times New Roman" w:cs="Times New Roman"/>
                <w:noProof/>
                <w:sz w:val="24"/>
              </w:rPr>
              <w:t>own funds</w:t>
            </w:r>
            <w:r w:rsidR="00576BDE" w:rsidRPr="00C31378">
              <w:rPr>
                <w:rFonts w:ascii="Times New Roman" w:hAnsi="Times New Roman" w:cs="Times New Roman"/>
                <w:noProof/>
                <w:sz w:val="24"/>
              </w:rPr>
              <w:t xml:space="preserve"> </w:t>
            </w:r>
            <w:r w:rsidR="00FA1376" w:rsidRPr="00C31378">
              <w:rPr>
                <w:rFonts w:ascii="Times New Roman" w:hAnsi="Times New Roman" w:cs="Times New Roman"/>
                <w:noProof/>
                <w:sz w:val="24"/>
              </w:rPr>
              <w:t xml:space="preserve">requirements </w:t>
            </w:r>
            <w:r w:rsidR="00FA1376" w:rsidRPr="00C31378">
              <w:rPr>
                <w:rFonts w:ascii="Times New Roman" w:hAnsi="Times New Roman" w:cs="Times New Roman"/>
                <w:sz w:val="24"/>
              </w:rPr>
              <w:t>for securiti</w:t>
            </w:r>
            <w:r w:rsidR="00576BDE">
              <w:rPr>
                <w:rFonts w:ascii="Times New Roman" w:hAnsi="Times New Roman" w:cs="Times New Roman"/>
                <w:sz w:val="24"/>
              </w:rPr>
              <w:t>s</w:t>
            </w:r>
            <w:r w:rsidR="00FA1376" w:rsidRPr="00C31378">
              <w:rPr>
                <w:rFonts w:ascii="Times New Roman" w:hAnsi="Times New Roman" w:cs="Times New Roman"/>
                <w:sz w:val="24"/>
              </w:rPr>
              <w:t xml:space="preserve">ation exposures on the non-trading book </w:t>
            </w:r>
            <w:r w:rsidR="00FA1376" w:rsidRPr="00C31378">
              <w:rPr>
                <w:rFonts w:ascii="Times New Roman" w:eastAsia="Times New Roman" w:hAnsi="Times New Roman" w:cs="Times New Roman"/>
                <w:sz w:val="24"/>
              </w:rPr>
              <w:t xml:space="preserve">risk-weigh at 1250% or deducted from own funds in accordance with </w:t>
            </w:r>
            <w:r w:rsidR="00FA1376" w:rsidRPr="00C31378">
              <w:rPr>
                <w:rFonts w:ascii="Times New Roman" w:hAnsi="Times New Roman" w:cs="Times New Roman"/>
                <w:sz w:val="24"/>
                <w:lang w:eastAsia="de-DE"/>
              </w:rPr>
              <w:t>Part 3 Title II Chapter 5 of CRR</w:t>
            </w:r>
            <w:r w:rsidR="00FA1376" w:rsidRPr="00C31378">
              <w:rPr>
                <w:rFonts w:ascii="Times New Roman" w:eastAsia="Times New Roman" w:hAnsi="Times New Roman" w:cs="Times New Roman"/>
                <w:sz w:val="24"/>
              </w:rPr>
              <w:t>.</w:t>
            </w:r>
          </w:p>
        </w:tc>
      </w:tr>
      <w:tr w:rsidR="004D588F" w:rsidRPr="00C31378" w14:paraId="04B41F8F" w14:textId="77777777" w:rsidTr="00254E82">
        <w:trPr>
          <w:trHeight w:val="557"/>
        </w:trPr>
        <w:tc>
          <w:tcPr>
            <w:tcW w:w="1384" w:type="dxa"/>
          </w:tcPr>
          <w:p w14:paraId="4C1EF217" w14:textId="3CC15F13" w:rsidR="004D588F" w:rsidRPr="00C31378" w:rsidRDefault="004D588F" w:rsidP="004D588F">
            <w:pPr>
              <w:pStyle w:val="Applicationdirecte"/>
              <w:spacing w:before="60"/>
              <w:jc w:val="center"/>
            </w:pPr>
            <w:r w:rsidRPr="00E64A67">
              <w:t>20</w:t>
            </w:r>
          </w:p>
        </w:tc>
        <w:tc>
          <w:tcPr>
            <w:tcW w:w="7655" w:type="dxa"/>
          </w:tcPr>
          <w:p w14:paraId="6CB65589" w14:textId="77777777" w:rsidR="004D588F" w:rsidRPr="00C31378" w:rsidRDefault="004D588F" w:rsidP="004D588F">
            <w:pPr>
              <w:spacing w:before="60" w:after="120"/>
              <w:jc w:val="both"/>
              <w:rPr>
                <w:rFonts w:ascii="Times New Roman" w:hAnsi="Times New Roman" w:cs="Times New Roman"/>
                <w:sz w:val="24"/>
              </w:rPr>
            </w:pPr>
            <w:r w:rsidRPr="00C31378">
              <w:rPr>
                <w:rFonts w:ascii="Times New Roman" w:hAnsi="Times New Roman" w:cs="Times New Roman"/>
                <w:sz w:val="24"/>
              </w:rPr>
              <w:t>Position, foreign exchange and commodities risks (Market risk)</w:t>
            </w:r>
          </w:p>
          <w:p w14:paraId="5A3A2BEE" w14:textId="61694028" w:rsidR="004D588F" w:rsidRPr="00C31378" w:rsidRDefault="004D588F" w:rsidP="00576BDE">
            <w:pPr>
              <w:spacing w:before="60" w:after="120"/>
              <w:jc w:val="both"/>
              <w:rPr>
                <w:rFonts w:ascii="Times New Roman" w:hAnsi="Times New Roman" w:cs="Times New Roman"/>
                <w:noProof/>
                <w:sz w:val="24"/>
              </w:rPr>
            </w:pPr>
            <w:r>
              <w:rPr>
                <w:rFonts w:ascii="Times New Roman" w:hAnsi="Times New Roman" w:cs="Times New Roman"/>
                <w:noProof/>
                <w:sz w:val="24"/>
              </w:rPr>
              <w:t>RWEA</w:t>
            </w:r>
            <w:r w:rsidRPr="00C31378">
              <w:rPr>
                <w:rFonts w:ascii="Times New Roman" w:hAnsi="Times New Roman" w:cs="Times New Roman"/>
                <w:noProof/>
                <w:sz w:val="24"/>
              </w:rPr>
              <w:t xml:space="preserve">s and </w:t>
            </w:r>
            <w:r w:rsidR="00576BDE">
              <w:rPr>
                <w:rFonts w:ascii="Times New Roman" w:hAnsi="Times New Roman" w:cs="Times New Roman"/>
                <w:noProof/>
                <w:sz w:val="24"/>
              </w:rPr>
              <w:t>own funds</w:t>
            </w:r>
            <w:r w:rsidR="00576BDE" w:rsidRPr="00C31378">
              <w:rPr>
                <w:rFonts w:ascii="Times New Roman" w:hAnsi="Times New Roman" w:cs="Times New Roman"/>
                <w:noProof/>
                <w:sz w:val="24"/>
              </w:rPr>
              <w:t xml:space="preserve"> </w:t>
            </w:r>
            <w:r w:rsidRPr="00C31378">
              <w:rPr>
                <w:rFonts w:ascii="Times New Roman" w:hAnsi="Times New Roman" w:cs="Times New Roman"/>
                <w:noProof/>
                <w:sz w:val="24"/>
              </w:rPr>
              <w:t>requirements calculated according to Part Three, Title IVof CRR.</w:t>
            </w:r>
          </w:p>
        </w:tc>
      </w:tr>
      <w:tr w:rsidR="004D588F" w:rsidRPr="00C31378" w14:paraId="3C4212A5" w14:textId="77777777" w:rsidTr="00254E82">
        <w:trPr>
          <w:trHeight w:val="557"/>
        </w:trPr>
        <w:tc>
          <w:tcPr>
            <w:tcW w:w="1384" w:type="dxa"/>
          </w:tcPr>
          <w:p w14:paraId="268984E5" w14:textId="1DCF19B9" w:rsidR="004D588F" w:rsidRPr="00C31378" w:rsidRDefault="004D588F" w:rsidP="004D588F">
            <w:pPr>
              <w:pStyle w:val="Applicationdirecte"/>
              <w:spacing w:before="60"/>
              <w:jc w:val="center"/>
            </w:pPr>
            <w:r w:rsidRPr="00E64A67">
              <w:t>21</w:t>
            </w:r>
          </w:p>
        </w:tc>
        <w:tc>
          <w:tcPr>
            <w:tcW w:w="7655" w:type="dxa"/>
          </w:tcPr>
          <w:p w14:paraId="7059881C" w14:textId="77777777" w:rsidR="004D588F" w:rsidRPr="00C31378" w:rsidRDefault="004D588F" w:rsidP="004D588F">
            <w:pPr>
              <w:spacing w:before="60" w:after="120"/>
              <w:jc w:val="both"/>
              <w:rPr>
                <w:rFonts w:ascii="Times New Roman" w:hAnsi="Times New Roman" w:cs="Times New Roman"/>
                <w:sz w:val="24"/>
              </w:rPr>
            </w:pPr>
            <w:r w:rsidRPr="00C31378">
              <w:rPr>
                <w:rFonts w:ascii="Times New Roman" w:hAnsi="Times New Roman" w:cs="Times New Roman"/>
                <w:sz w:val="24"/>
              </w:rPr>
              <w:t xml:space="preserve">Market risk - Of which the standardised approach </w:t>
            </w:r>
          </w:p>
          <w:p w14:paraId="04BC0615" w14:textId="2D1A83DB" w:rsidR="004D588F" w:rsidRPr="00C31378" w:rsidRDefault="004D588F" w:rsidP="00576BDE">
            <w:pPr>
              <w:spacing w:before="60" w:after="120"/>
              <w:jc w:val="both"/>
              <w:rPr>
                <w:rFonts w:ascii="Times New Roman" w:hAnsi="Times New Roman" w:cs="Times New Roman"/>
                <w:noProof/>
                <w:sz w:val="24"/>
              </w:rPr>
            </w:pPr>
            <w:r>
              <w:rPr>
                <w:rFonts w:ascii="Times New Roman" w:hAnsi="Times New Roman" w:cs="Times New Roman"/>
                <w:noProof/>
                <w:sz w:val="24"/>
              </w:rPr>
              <w:t>RWEA</w:t>
            </w:r>
            <w:r w:rsidRPr="00C31378">
              <w:rPr>
                <w:rFonts w:ascii="Times New Roman" w:hAnsi="Times New Roman" w:cs="Times New Roman"/>
                <w:noProof/>
                <w:sz w:val="24"/>
              </w:rPr>
              <w:t xml:space="preserve">s and </w:t>
            </w:r>
            <w:r w:rsidR="00576BDE">
              <w:rPr>
                <w:rFonts w:ascii="Times New Roman" w:hAnsi="Times New Roman" w:cs="Times New Roman"/>
                <w:noProof/>
                <w:sz w:val="24"/>
              </w:rPr>
              <w:t>own funds</w:t>
            </w:r>
            <w:r w:rsidR="00576BDE" w:rsidRPr="00C31378">
              <w:rPr>
                <w:rFonts w:ascii="Times New Roman" w:hAnsi="Times New Roman" w:cs="Times New Roman"/>
                <w:noProof/>
                <w:sz w:val="24"/>
              </w:rPr>
              <w:t xml:space="preserve"> </w:t>
            </w:r>
            <w:r w:rsidRPr="00C31378">
              <w:rPr>
                <w:rFonts w:ascii="Times New Roman" w:hAnsi="Times New Roman" w:cs="Times New Roman"/>
                <w:noProof/>
                <w:sz w:val="24"/>
              </w:rPr>
              <w:t>requirements calculated according to Part Three, Title IV, Chapters 2 to 4 of CRR.</w:t>
            </w:r>
          </w:p>
        </w:tc>
      </w:tr>
      <w:tr w:rsidR="004D588F" w:rsidRPr="00C31378" w14:paraId="23B9661A" w14:textId="77777777" w:rsidTr="00254E82">
        <w:trPr>
          <w:trHeight w:val="557"/>
        </w:trPr>
        <w:tc>
          <w:tcPr>
            <w:tcW w:w="1384" w:type="dxa"/>
          </w:tcPr>
          <w:p w14:paraId="0CECE913" w14:textId="6D41447E" w:rsidR="004D588F" w:rsidRPr="00C31378" w:rsidRDefault="004D588F" w:rsidP="004D588F">
            <w:pPr>
              <w:pStyle w:val="Applicationdirecte"/>
              <w:spacing w:before="60"/>
              <w:jc w:val="center"/>
            </w:pPr>
            <w:r w:rsidRPr="00E64A67">
              <w:t>22</w:t>
            </w:r>
          </w:p>
        </w:tc>
        <w:tc>
          <w:tcPr>
            <w:tcW w:w="7655" w:type="dxa"/>
          </w:tcPr>
          <w:p w14:paraId="2538BC3B" w14:textId="77777777" w:rsidR="004D588F" w:rsidRPr="00C31378" w:rsidRDefault="004D588F" w:rsidP="004D588F">
            <w:pPr>
              <w:spacing w:before="60" w:after="120"/>
              <w:jc w:val="both"/>
              <w:rPr>
                <w:rFonts w:ascii="Times New Roman" w:hAnsi="Times New Roman" w:cs="Times New Roman"/>
                <w:sz w:val="24"/>
              </w:rPr>
            </w:pPr>
            <w:r w:rsidRPr="00C31378">
              <w:rPr>
                <w:rFonts w:ascii="Times New Roman" w:hAnsi="Times New Roman" w:cs="Times New Roman"/>
                <w:sz w:val="24"/>
              </w:rPr>
              <w:t xml:space="preserve">Market risk - Of which IMA </w:t>
            </w:r>
          </w:p>
          <w:p w14:paraId="77B6326D" w14:textId="7BED911A" w:rsidR="004D588F" w:rsidRPr="00C31378" w:rsidRDefault="004D588F" w:rsidP="00576BDE">
            <w:pPr>
              <w:spacing w:before="60" w:after="120"/>
              <w:jc w:val="both"/>
              <w:rPr>
                <w:rFonts w:ascii="Times New Roman" w:hAnsi="Times New Roman" w:cs="Times New Roman"/>
                <w:noProof/>
                <w:sz w:val="24"/>
              </w:rPr>
            </w:pPr>
            <w:r>
              <w:rPr>
                <w:rFonts w:ascii="Times New Roman" w:hAnsi="Times New Roman" w:cs="Times New Roman"/>
                <w:noProof/>
                <w:sz w:val="24"/>
              </w:rPr>
              <w:t>RWEA</w:t>
            </w:r>
            <w:r w:rsidRPr="00C31378">
              <w:rPr>
                <w:rFonts w:ascii="Times New Roman" w:hAnsi="Times New Roman" w:cs="Times New Roman"/>
                <w:noProof/>
                <w:sz w:val="24"/>
              </w:rPr>
              <w:t xml:space="preserve">s and </w:t>
            </w:r>
            <w:r w:rsidR="00576BDE">
              <w:rPr>
                <w:rFonts w:ascii="Times New Roman" w:hAnsi="Times New Roman" w:cs="Times New Roman"/>
                <w:noProof/>
                <w:sz w:val="24"/>
              </w:rPr>
              <w:t>own funds</w:t>
            </w:r>
            <w:r w:rsidR="00576BDE" w:rsidRPr="00C31378">
              <w:rPr>
                <w:rFonts w:ascii="Times New Roman" w:hAnsi="Times New Roman" w:cs="Times New Roman"/>
                <w:noProof/>
                <w:sz w:val="24"/>
              </w:rPr>
              <w:t xml:space="preserve"> </w:t>
            </w:r>
            <w:r w:rsidRPr="00C31378">
              <w:rPr>
                <w:rFonts w:ascii="Times New Roman" w:hAnsi="Times New Roman" w:cs="Times New Roman"/>
                <w:noProof/>
                <w:sz w:val="24"/>
              </w:rPr>
              <w:t>requirements calculated according to Part Three, Title IV, Chapter 5 of CRR.</w:t>
            </w:r>
          </w:p>
        </w:tc>
      </w:tr>
      <w:tr w:rsidR="00FA1376" w:rsidRPr="00C31378" w14:paraId="7D198E25" w14:textId="77777777" w:rsidTr="00B2180A">
        <w:trPr>
          <w:trHeight w:val="557"/>
        </w:trPr>
        <w:tc>
          <w:tcPr>
            <w:tcW w:w="1384" w:type="dxa"/>
            <w:vAlign w:val="center"/>
          </w:tcPr>
          <w:p w14:paraId="18F487D7" w14:textId="63E4920C" w:rsidR="00FA1376" w:rsidRPr="00C31378" w:rsidRDefault="004D588F" w:rsidP="00FA1376">
            <w:pPr>
              <w:pStyle w:val="Applicationdirecte"/>
              <w:spacing w:before="60"/>
              <w:jc w:val="center"/>
            </w:pPr>
            <w:r w:rsidRPr="004D588F">
              <w:rPr>
                <w:color w:val="000000"/>
              </w:rPr>
              <w:t>EU 22a</w:t>
            </w:r>
          </w:p>
        </w:tc>
        <w:tc>
          <w:tcPr>
            <w:tcW w:w="7655" w:type="dxa"/>
          </w:tcPr>
          <w:p w14:paraId="3E4AA283" w14:textId="77777777" w:rsidR="00FA1376" w:rsidRPr="00C31378" w:rsidRDefault="00FA1376" w:rsidP="00FA1376">
            <w:pPr>
              <w:spacing w:before="60" w:after="120"/>
              <w:jc w:val="both"/>
              <w:rPr>
                <w:rFonts w:ascii="Times New Roman" w:hAnsi="Times New Roman" w:cs="Times New Roman"/>
                <w:sz w:val="24"/>
              </w:rPr>
            </w:pPr>
            <w:r w:rsidRPr="00C31378">
              <w:rPr>
                <w:rFonts w:ascii="Times New Roman" w:hAnsi="Times New Roman" w:cs="Times New Roman"/>
                <w:sz w:val="24"/>
              </w:rPr>
              <w:t>Large exposures</w:t>
            </w:r>
          </w:p>
          <w:p w14:paraId="780BF095" w14:textId="52C3BD16" w:rsidR="00FA1376" w:rsidRPr="00C31378" w:rsidRDefault="009A4635" w:rsidP="00C0296F">
            <w:pPr>
              <w:spacing w:before="60" w:after="120"/>
              <w:jc w:val="both"/>
              <w:rPr>
                <w:rFonts w:ascii="Times New Roman" w:hAnsi="Times New Roman" w:cs="Times New Roman"/>
                <w:noProof/>
                <w:sz w:val="24"/>
              </w:rPr>
            </w:pPr>
            <w:r>
              <w:rPr>
                <w:rFonts w:ascii="Times New Roman" w:hAnsi="Times New Roman" w:cs="Times New Roman"/>
                <w:noProof/>
                <w:sz w:val="24"/>
              </w:rPr>
              <w:t>RWEA</w:t>
            </w:r>
            <w:r w:rsidR="00FA1376" w:rsidRPr="00C31378">
              <w:rPr>
                <w:rFonts w:ascii="Times New Roman" w:hAnsi="Times New Roman" w:cs="Times New Roman"/>
                <w:noProof/>
                <w:sz w:val="24"/>
              </w:rPr>
              <w:t xml:space="preserve">s and </w:t>
            </w:r>
            <w:r w:rsidR="00003BF5">
              <w:rPr>
                <w:rFonts w:ascii="Times New Roman" w:hAnsi="Times New Roman" w:cs="Times New Roman"/>
                <w:noProof/>
                <w:sz w:val="24"/>
              </w:rPr>
              <w:t>own funds</w:t>
            </w:r>
            <w:r w:rsidR="00003BF5" w:rsidRPr="00C31378">
              <w:rPr>
                <w:rFonts w:ascii="Times New Roman" w:hAnsi="Times New Roman" w:cs="Times New Roman"/>
                <w:noProof/>
                <w:sz w:val="24"/>
              </w:rPr>
              <w:t xml:space="preserve"> </w:t>
            </w:r>
            <w:r w:rsidR="00FA1376" w:rsidRPr="00C31378">
              <w:rPr>
                <w:rFonts w:ascii="Times New Roman" w:hAnsi="Times New Roman" w:cs="Times New Roman"/>
                <w:noProof/>
                <w:sz w:val="24"/>
              </w:rPr>
              <w:t xml:space="preserve">requirements calculated according to Articles </w:t>
            </w:r>
            <w:r w:rsidR="00FA1376" w:rsidRPr="00C31378">
              <w:rPr>
                <w:rFonts w:ascii="Times New Roman" w:hAnsi="Times New Roman" w:cs="Times New Roman"/>
                <w:noProof/>
                <w:sz w:val="24"/>
              </w:rPr>
              <w:lastRenderedPageBreak/>
              <w:t>92(3)(b)(ii) of CRR.</w:t>
            </w:r>
          </w:p>
        </w:tc>
      </w:tr>
      <w:tr w:rsidR="004D588F" w:rsidRPr="004D588F" w14:paraId="0D9DEF87" w14:textId="77777777" w:rsidTr="009251B5">
        <w:trPr>
          <w:trHeight w:val="557"/>
        </w:trPr>
        <w:tc>
          <w:tcPr>
            <w:tcW w:w="1384" w:type="dxa"/>
          </w:tcPr>
          <w:p w14:paraId="45EDFE47" w14:textId="77C0A639" w:rsidR="004D588F" w:rsidRPr="009251B5" w:rsidRDefault="004D588F" w:rsidP="004D588F">
            <w:pPr>
              <w:pStyle w:val="Applicationdirecte"/>
              <w:spacing w:before="60"/>
              <w:jc w:val="center"/>
              <w:rPr>
                <w:i/>
                <w:color w:val="000000"/>
              </w:rPr>
            </w:pPr>
            <w:r w:rsidRPr="009251B5">
              <w:rPr>
                <w:i/>
              </w:rPr>
              <w:lastRenderedPageBreak/>
              <w:t>23</w:t>
            </w:r>
          </w:p>
        </w:tc>
        <w:tc>
          <w:tcPr>
            <w:tcW w:w="7655" w:type="dxa"/>
          </w:tcPr>
          <w:p w14:paraId="5640C3A2" w14:textId="34B5CB59" w:rsidR="004D588F" w:rsidRPr="009251B5" w:rsidRDefault="004D588F" w:rsidP="004D588F">
            <w:pPr>
              <w:spacing w:before="60" w:after="120"/>
              <w:jc w:val="both"/>
              <w:rPr>
                <w:rFonts w:ascii="Times New Roman" w:hAnsi="Times New Roman" w:cs="Times New Roman"/>
                <w:i/>
                <w:sz w:val="24"/>
              </w:rPr>
            </w:pPr>
            <w:r w:rsidRPr="009251B5">
              <w:rPr>
                <w:i/>
              </w:rPr>
              <w:t>Empty set in the EU</w:t>
            </w:r>
          </w:p>
        </w:tc>
      </w:tr>
      <w:tr w:rsidR="004D588F" w:rsidRPr="00C31378" w14:paraId="2B5D0C85" w14:textId="77777777" w:rsidTr="00254E82">
        <w:trPr>
          <w:trHeight w:val="557"/>
        </w:trPr>
        <w:tc>
          <w:tcPr>
            <w:tcW w:w="1384" w:type="dxa"/>
          </w:tcPr>
          <w:p w14:paraId="691DAFEC" w14:textId="3A39CFF5" w:rsidR="004D588F" w:rsidRPr="00C31378" w:rsidRDefault="004D588F" w:rsidP="004D588F">
            <w:pPr>
              <w:pStyle w:val="Applicationdirecte"/>
              <w:spacing w:before="60"/>
              <w:jc w:val="center"/>
            </w:pPr>
            <w:r w:rsidRPr="009674B7">
              <w:t>24</w:t>
            </w:r>
          </w:p>
        </w:tc>
        <w:tc>
          <w:tcPr>
            <w:tcW w:w="7655" w:type="dxa"/>
          </w:tcPr>
          <w:p w14:paraId="6C0E23C3" w14:textId="77777777" w:rsidR="004D588F" w:rsidRPr="00C31378" w:rsidRDefault="004D588F" w:rsidP="004D588F">
            <w:pPr>
              <w:spacing w:before="60" w:after="120"/>
              <w:jc w:val="both"/>
              <w:rPr>
                <w:rFonts w:ascii="Times New Roman" w:hAnsi="Times New Roman" w:cs="Times New Roman"/>
                <w:sz w:val="24"/>
              </w:rPr>
            </w:pPr>
            <w:r w:rsidRPr="00C31378">
              <w:rPr>
                <w:rFonts w:ascii="Times New Roman" w:hAnsi="Times New Roman" w:cs="Times New Roman"/>
                <w:sz w:val="24"/>
              </w:rPr>
              <w:t xml:space="preserve">Operational risk </w:t>
            </w:r>
          </w:p>
          <w:p w14:paraId="32F2E58C" w14:textId="56EBB11C" w:rsidR="004D588F" w:rsidRPr="00C31378" w:rsidRDefault="004D588F" w:rsidP="00003BF5">
            <w:pPr>
              <w:spacing w:before="60" w:after="120"/>
              <w:jc w:val="both"/>
              <w:rPr>
                <w:rFonts w:ascii="Times New Roman" w:hAnsi="Times New Roman" w:cs="Times New Roman"/>
                <w:noProof/>
                <w:sz w:val="24"/>
              </w:rPr>
            </w:pPr>
            <w:r>
              <w:rPr>
                <w:rFonts w:ascii="Times New Roman" w:hAnsi="Times New Roman" w:cs="Times New Roman"/>
                <w:noProof/>
                <w:sz w:val="24"/>
              </w:rPr>
              <w:t>RWEA</w:t>
            </w:r>
            <w:r w:rsidRPr="00C31378">
              <w:rPr>
                <w:rFonts w:ascii="Times New Roman" w:hAnsi="Times New Roman" w:cs="Times New Roman"/>
                <w:noProof/>
                <w:sz w:val="24"/>
              </w:rPr>
              <w:t xml:space="preserve">s and </w:t>
            </w:r>
            <w:r w:rsidR="00003BF5">
              <w:rPr>
                <w:rFonts w:ascii="Times New Roman" w:hAnsi="Times New Roman" w:cs="Times New Roman"/>
                <w:noProof/>
                <w:sz w:val="24"/>
              </w:rPr>
              <w:t>own funds</w:t>
            </w:r>
            <w:r w:rsidR="00003BF5" w:rsidRPr="00C31378">
              <w:rPr>
                <w:rFonts w:ascii="Times New Roman" w:hAnsi="Times New Roman" w:cs="Times New Roman"/>
                <w:noProof/>
                <w:sz w:val="24"/>
              </w:rPr>
              <w:t xml:space="preserve"> </w:t>
            </w:r>
            <w:r w:rsidRPr="00C31378">
              <w:rPr>
                <w:rFonts w:ascii="Times New Roman" w:hAnsi="Times New Roman" w:cs="Times New Roman"/>
                <w:noProof/>
                <w:sz w:val="24"/>
              </w:rPr>
              <w:t>requirements calculated according to Part Three, Title III of CRR.</w:t>
            </w:r>
          </w:p>
        </w:tc>
      </w:tr>
      <w:tr w:rsidR="004D588F" w:rsidRPr="00C31378" w14:paraId="6E7BC7BF" w14:textId="77777777" w:rsidTr="00254E82">
        <w:trPr>
          <w:trHeight w:val="557"/>
        </w:trPr>
        <w:tc>
          <w:tcPr>
            <w:tcW w:w="1384" w:type="dxa"/>
          </w:tcPr>
          <w:p w14:paraId="4A553A71" w14:textId="49EC60CD" w:rsidR="004D588F" w:rsidRPr="00C31378" w:rsidRDefault="004D588F" w:rsidP="004D588F">
            <w:pPr>
              <w:pStyle w:val="Applicationdirecte"/>
              <w:spacing w:before="60"/>
              <w:jc w:val="center"/>
            </w:pPr>
            <w:r w:rsidRPr="009674B7">
              <w:t>EU 24a</w:t>
            </w:r>
          </w:p>
        </w:tc>
        <w:tc>
          <w:tcPr>
            <w:tcW w:w="7655" w:type="dxa"/>
          </w:tcPr>
          <w:p w14:paraId="4E4CB1D5" w14:textId="1CA47B44" w:rsidR="004D588F" w:rsidRPr="00C31378" w:rsidRDefault="004D588F" w:rsidP="004D588F">
            <w:pPr>
              <w:spacing w:before="60" w:after="120"/>
              <w:jc w:val="both"/>
              <w:rPr>
                <w:rFonts w:ascii="Times New Roman" w:hAnsi="Times New Roman" w:cs="Times New Roman"/>
                <w:sz w:val="24"/>
              </w:rPr>
            </w:pPr>
            <w:r w:rsidRPr="00C31378">
              <w:rPr>
                <w:rFonts w:ascii="Times New Roman" w:hAnsi="Times New Roman" w:cs="Times New Roman"/>
                <w:sz w:val="24"/>
              </w:rPr>
              <w:t xml:space="preserve">Operational risk - Of which basic indicator approach </w:t>
            </w:r>
          </w:p>
          <w:p w14:paraId="42AFD499" w14:textId="0C4A7C21" w:rsidR="004D588F" w:rsidRPr="00C31378" w:rsidRDefault="004D588F" w:rsidP="00003BF5">
            <w:pPr>
              <w:spacing w:before="60" w:after="120"/>
              <w:jc w:val="both"/>
              <w:rPr>
                <w:rFonts w:ascii="Times New Roman" w:hAnsi="Times New Roman" w:cs="Times New Roman"/>
                <w:noProof/>
                <w:sz w:val="24"/>
              </w:rPr>
            </w:pPr>
            <w:r>
              <w:rPr>
                <w:rFonts w:ascii="Times New Roman" w:hAnsi="Times New Roman" w:cs="Times New Roman"/>
                <w:noProof/>
                <w:sz w:val="24"/>
              </w:rPr>
              <w:t>RWEA</w:t>
            </w:r>
            <w:r w:rsidRPr="00C31378">
              <w:rPr>
                <w:rFonts w:ascii="Times New Roman" w:hAnsi="Times New Roman" w:cs="Times New Roman"/>
                <w:noProof/>
                <w:sz w:val="24"/>
              </w:rPr>
              <w:t xml:space="preserve">s and </w:t>
            </w:r>
            <w:r w:rsidR="00003BF5">
              <w:rPr>
                <w:rFonts w:ascii="Times New Roman" w:hAnsi="Times New Roman" w:cs="Times New Roman"/>
                <w:noProof/>
                <w:sz w:val="24"/>
              </w:rPr>
              <w:t>own funds</w:t>
            </w:r>
            <w:r w:rsidR="00003BF5" w:rsidRPr="00C31378">
              <w:rPr>
                <w:rFonts w:ascii="Times New Roman" w:hAnsi="Times New Roman" w:cs="Times New Roman"/>
                <w:noProof/>
                <w:sz w:val="24"/>
              </w:rPr>
              <w:t xml:space="preserve"> </w:t>
            </w:r>
            <w:r w:rsidRPr="00C31378">
              <w:rPr>
                <w:rFonts w:ascii="Times New Roman" w:hAnsi="Times New Roman" w:cs="Times New Roman"/>
                <w:noProof/>
                <w:sz w:val="24"/>
              </w:rPr>
              <w:t>requirements calculated according to Part Three, Title III, Chapter 2 of CRR.</w:t>
            </w:r>
          </w:p>
        </w:tc>
      </w:tr>
      <w:tr w:rsidR="004D588F" w:rsidRPr="00C31378" w14:paraId="6AFA287A" w14:textId="77777777" w:rsidTr="00254E82">
        <w:trPr>
          <w:trHeight w:val="557"/>
        </w:trPr>
        <w:tc>
          <w:tcPr>
            <w:tcW w:w="1384" w:type="dxa"/>
          </w:tcPr>
          <w:p w14:paraId="425BAFA6" w14:textId="2088C7CB" w:rsidR="004D588F" w:rsidRPr="00C31378" w:rsidRDefault="004D588F" w:rsidP="004D588F">
            <w:pPr>
              <w:pStyle w:val="Applicationdirecte"/>
              <w:spacing w:before="60"/>
              <w:jc w:val="center"/>
            </w:pPr>
            <w:r w:rsidRPr="009674B7">
              <w:t>EU 24b</w:t>
            </w:r>
          </w:p>
        </w:tc>
        <w:tc>
          <w:tcPr>
            <w:tcW w:w="7655" w:type="dxa"/>
          </w:tcPr>
          <w:p w14:paraId="585A4D78" w14:textId="77777777" w:rsidR="004D588F" w:rsidRPr="00C31378" w:rsidRDefault="004D588F" w:rsidP="004D588F">
            <w:pPr>
              <w:spacing w:before="60" w:after="120"/>
              <w:jc w:val="both"/>
              <w:rPr>
                <w:rFonts w:ascii="Times New Roman" w:hAnsi="Times New Roman" w:cs="Times New Roman"/>
                <w:sz w:val="24"/>
              </w:rPr>
            </w:pPr>
            <w:r w:rsidRPr="00C31378">
              <w:rPr>
                <w:rFonts w:ascii="Times New Roman" w:hAnsi="Times New Roman" w:cs="Times New Roman"/>
                <w:sz w:val="24"/>
              </w:rPr>
              <w:t xml:space="preserve">Operational risk - Of which standardised approach </w:t>
            </w:r>
          </w:p>
          <w:p w14:paraId="526E4281" w14:textId="3A658D5D" w:rsidR="004D588F" w:rsidRPr="00C31378" w:rsidRDefault="004D588F" w:rsidP="00003BF5">
            <w:pPr>
              <w:spacing w:before="60" w:after="120"/>
              <w:jc w:val="both"/>
              <w:rPr>
                <w:rFonts w:ascii="Times New Roman" w:hAnsi="Times New Roman" w:cs="Times New Roman"/>
                <w:noProof/>
                <w:sz w:val="24"/>
              </w:rPr>
            </w:pPr>
            <w:r>
              <w:rPr>
                <w:rFonts w:ascii="Times New Roman" w:hAnsi="Times New Roman" w:cs="Times New Roman"/>
                <w:noProof/>
                <w:sz w:val="24"/>
              </w:rPr>
              <w:t>RWEA</w:t>
            </w:r>
            <w:r w:rsidRPr="00C31378">
              <w:rPr>
                <w:rFonts w:ascii="Times New Roman" w:hAnsi="Times New Roman" w:cs="Times New Roman"/>
                <w:noProof/>
                <w:sz w:val="24"/>
              </w:rPr>
              <w:t xml:space="preserve">s and </w:t>
            </w:r>
            <w:r w:rsidR="00003BF5">
              <w:rPr>
                <w:rFonts w:ascii="Times New Roman" w:hAnsi="Times New Roman" w:cs="Times New Roman"/>
                <w:noProof/>
                <w:sz w:val="24"/>
              </w:rPr>
              <w:t>own funds</w:t>
            </w:r>
            <w:r w:rsidR="00003BF5" w:rsidRPr="00C31378">
              <w:rPr>
                <w:rFonts w:ascii="Times New Roman" w:hAnsi="Times New Roman" w:cs="Times New Roman"/>
                <w:noProof/>
                <w:sz w:val="24"/>
              </w:rPr>
              <w:t xml:space="preserve"> </w:t>
            </w:r>
            <w:r w:rsidRPr="00C31378">
              <w:rPr>
                <w:rFonts w:ascii="Times New Roman" w:hAnsi="Times New Roman" w:cs="Times New Roman"/>
                <w:noProof/>
                <w:sz w:val="24"/>
              </w:rPr>
              <w:t>requirements calculated according to Part Three, Title III, Chapter 3 of CRR.</w:t>
            </w:r>
          </w:p>
        </w:tc>
      </w:tr>
      <w:tr w:rsidR="004D588F" w:rsidRPr="00C31378" w14:paraId="378578F9" w14:textId="77777777" w:rsidTr="00254E82">
        <w:trPr>
          <w:trHeight w:val="557"/>
        </w:trPr>
        <w:tc>
          <w:tcPr>
            <w:tcW w:w="1384" w:type="dxa"/>
          </w:tcPr>
          <w:p w14:paraId="07731A4B" w14:textId="64ED01B9" w:rsidR="004D588F" w:rsidRPr="00C31378" w:rsidRDefault="004D588F" w:rsidP="004D588F">
            <w:pPr>
              <w:pStyle w:val="Applicationdirecte"/>
              <w:spacing w:before="60"/>
              <w:jc w:val="center"/>
            </w:pPr>
            <w:r w:rsidRPr="009674B7">
              <w:t>EU 24c</w:t>
            </w:r>
          </w:p>
        </w:tc>
        <w:tc>
          <w:tcPr>
            <w:tcW w:w="7655" w:type="dxa"/>
          </w:tcPr>
          <w:p w14:paraId="0616425A" w14:textId="77777777" w:rsidR="004D588F" w:rsidRPr="00C31378" w:rsidRDefault="004D588F" w:rsidP="004D588F">
            <w:pPr>
              <w:spacing w:before="60" w:after="120"/>
              <w:jc w:val="both"/>
              <w:rPr>
                <w:rFonts w:ascii="Times New Roman" w:hAnsi="Times New Roman" w:cs="Times New Roman"/>
                <w:sz w:val="24"/>
              </w:rPr>
            </w:pPr>
            <w:r w:rsidRPr="00C31378">
              <w:rPr>
                <w:rFonts w:ascii="Times New Roman" w:hAnsi="Times New Roman" w:cs="Times New Roman"/>
                <w:sz w:val="24"/>
              </w:rPr>
              <w:t xml:space="preserve">Operational risk - Of which advanced measurement approach </w:t>
            </w:r>
          </w:p>
          <w:p w14:paraId="65C451DD" w14:textId="73680759" w:rsidR="004D588F" w:rsidRPr="00C31378" w:rsidRDefault="004D588F" w:rsidP="00003BF5">
            <w:pPr>
              <w:spacing w:before="60" w:after="120"/>
              <w:jc w:val="both"/>
              <w:rPr>
                <w:rFonts w:ascii="Times New Roman" w:hAnsi="Times New Roman" w:cs="Times New Roman"/>
                <w:noProof/>
                <w:sz w:val="24"/>
              </w:rPr>
            </w:pPr>
            <w:r>
              <w:rPr>
                <w:rFonts w:ascii="Times New Roman" w:hAnsi="Times New Roman" w:cs="Times New Roman"/>
                <w:noProof/>
                <w:sz w:val="24"/>
              </w:rPr>
              <w:t>RWEA</w:t>
            </w:r>
            <w:r w:rsidRPr="00C31378">
              <w:rPr>
                <w:rFonts w:ascii="Times New Roman" w:hAnsi="Times New Roman" w:cs="Times New Roman"/>
                <w:noProof/>
                <w:sz w:val="24"/>
              </w:rPr>
              <w:t xml:space="preserve">s and </w:t>
            </w:r>
            <w:r w:rsidR="00003BF5">
              <w:rPr>
                <w:rFonts w:ascii="Times New Roman" w:hAnsi="Times New Roman" w:cs="Times New Roman"/>
                <w:noProof/>
                <w:sz w:val="24"/>
              </w:rPr>
              <w:t>own funds</w:t>
            </w:r>
            <w:r w:rsidR="00003BF5" w:rsidRPr="00C31378">
              <w:rPr>
                <w:rFonts w:ascii="Times New Roman" w:hAnsi="Times New Roman" w:cs="Times New Roman"/>
                <w:noProof/>
                <w:sz w:val="24"/>
              </w:rPr>
              <w:t xml:space="preserve"> </w:t>
            </w:r>
            <w:r w:rsidRPr="00C31378">
              <w:rPr>
                <w:rFonts w:ascii="Times New Roman" w:hAnsi="Times New Roman" w:cs="Times New Roman"/>
                <w:noProof/>
                <w:sz w:val="24"/>
              </w:rPr>
              <w:t>requirements calculated according to Part Three, Title III, Chapter 4 of CRR.</w:t>
            </w:r>
          </w:p>
        </w:tc>
      </w:tr>
      <w:tr w:rsidR="004D588F" w:rsidRPr="00C31378" w14:paraId="4F410692" w14:textId="77777777" w:rsidTr="009251B5">
        <w:trPr>
          <w:trHeight w:val="557"/>
        </w:trPr>
        <w:tc>
          <w:tcPr>
            <w:tcW w:w="1384" w:type="dxa"/>
          </w:tcPr>
          <w:p w14:paraId="0F089240" w14:textId="0DCA2747" w:rsidR="004D588F" w:rsidRPr="009251B5" w:rsidRDefault="004D588F" w:rsidP="004D588F">
            <w:pPr>
              <w:pStyle w:val="Applicationdirecte"/>
              <w:spacing w:before="60"/>
              <w:jc w:val="center"/>
              <w:rPr>
                <w:i/>
                <w:color w:val="000000"/>
              </w:rPr>
            </w:pPr>
            <w:r w:rsidRPr="009251B5">
              <w:rPr>
                <w:i/>
              </w:rPr>
              <w:t>25</w:t>
            </w:r>
          </w:p>
        </w:tc>
        <w:tc>
          <w:tcPr>
            <w:tcW w:w="7655" w:type="dxa"/>
          </w:tcPr>
          <w:p w14:paraId="56DF4AAF" w14:textId="1F5190A8" w:rsidR="004D588F" w:rsidRPr="009251B5" w:rsidRDefault="004D588F" w:rsidP="004D588F">
            <w:pPr>
              <w:spacing w:before="60" w:after="120"/>
              <w:jc w:val="both"/>
              <w:rPr>
                <w:rFonts w:ascii="Times New Roman" w:hAnsi="Times New Roman" w:cs="Times New Roman"/>
                <w:i/>
                <w:sz w:val="24"/>
              </w:rPr>
            </w:pPr>
            <w:r w:rsidRPr="009251B5">
              <w:rPr>
                <w:i/>
              </w:rPr>
              <w:t>Empty set in the EU</w:t>
            </w:r>
          </w:p>
        </w:tc>
      </w:tr>
      <w:tr w:rsidR="004D588F" w:rsidRPr="00C31378" w14:paraId="72618C98" w14:textId="77777777" w:rsidTr="009251B5">
        <w:trPr>
          <w:trHeight w:val="557"/>
        </w:trPr>
        <w:tc>
          <w:tcPr>
            <w:tcW w:w="1384" w:type="dxa"/>
          </w:tcPr>
          <w:p w14:paraId="442CAAD4" w14:textId="172749E9" w:rsidR="004D588F" w:rsidRPr="009251B5" w:rsidRDefault="004D588F" w:rsidP="004D588F">
            <w:pPr>
              <w:pStyle w:val="Applicationdirecte"/>
              <w:spacing w:before="60"/>
              <w:jc w:val="center"/>
              <w:rPr>
                <w:i/>
                <w:color w:val="000000"/>
              </w:rPr>
            </w:pPr>
            <w:r w:rsidRPr="009251B5">
              <w:rPr>
                <w:i/>
              </w:rPr>
              <w:t>26</w:t>
            </w:r>
          </w:p>
        </w:tc>
        <w:tc>
          <w:tcPr>
            <w:tcW w:w="7655" w:type="dxa"/>
          </w:tcPr>
          <w:p w14:paraId="00A26DF9" w14:textId="594B310E" w:rsidR="004D588F" w:rsidRPr="009251B5" w:rsidRDefault="004D588F" w:rsidP="004D588F">
            <w:pPr>
              <w:spacing w:before="60" w:after="120"/>
              <w:jc w:val="both"/>
              <w:rPr>
                <w:rFonts w:ascii="Times New Roman" w:hAnsi="Times New Roman" w:cs="Times New Roman"/>
                <w:i/>
                <w:sz w:val="24"/>
              </w:rPr>
            </w:pPr>
            <w:r w:rsidRPr="009251B5">
              <w:rPr>
                <w:i/>
              </w:rPr>
              <w:t>Empty set in the EU</w:t>
            </w:r>
          </w:p>
        </w:tc>
      </w:tr>
      <w:tr w:rsidR="00162769" w:rsidRPr="00C31378" w14:paraId="253D1FCB" w14:textId="77777777" w:rsidTr="00B2180A">
        <w:trPr>
          <w:trHeight w:val="557"/>
        </w:trPr>
        <w:tc>
          <w:tcPr>
            <w:tcW w:w="1384" w:type="dxa"/>
          </w:tcPr>
          <w:p w14:paraId="073CA4C9" w14:textId="412C5BE8" w:rsidR="00162769" w:rsidRPr="00162769" w:rsidRDefault="00162769" w:rsidP="004D588F">
            <w:pPr>
              <w:pStyle w:val="Applicationdirecte"/>
              <w:spacing w:before="60"/>
              <w:jc w:val="center"/>
              <w:rPr>
                <w:i/>
              </w:rPr>
            </w:pPr>
            <w:r>
              <w:rPr>
                <w:i/>
              </w:rPr>
              <w:t>27</w:t>
            </w:r>
          </w:p>
        </w:tc>
        <w:tc>
          <w:tcPr>
            <w:tcW w:w="7655" w:type="dxa"/>
          </w:tcPr>
          <w:p w14:paraId="3C8A6B24" w14:textId="3644E6AF" w:rsidR="00162769" w:rsidRPr="00162769" w:rsidRDefault="00162769" w:rsidP="004D588F">
            <w:pPr>
              <w:spacing w:before="60" w:after="120"/>
              <w:jc w:val="both"/>
              <w:rPr>
                <w:i/>
              </w:rPr>
            </w:pPr>
            <w:r w:rsidRPr="00553015">
              <w:rPr>
                <w:i/>
              </w:rPr>
              <w:t>Empty set in the EU</w:t>
            </w:r>
          </w:p>
        </w:tc>
      </w:tr>
      <w:tr w:rsidR="00162769" w:rsidRPr="00C31378" w14:paraId="4EE33E42" w14:textId="77777777" w:rsidTr="00B2180A">
        <w:trPr>
          <w:trHeight w:val="557"/>
        </w:trPr>
        <w:tc>
          <w:tcPr>
            <w:tcW w:w="1384" w:type="dxa"/>
          </w:tcPr>
          <w:p w14:paraId="34F96ED0" w14:textId="3B2D5C80" w:rsidR="00162769" w:rsidRPr="00162769" w:rsidRDefault="00162769" w:rsidP="004D588F">
            <w:pPr>
              <w:pStyle w:val="Applicationdirecte"/>
              <w:spacing w:before="60"/>
              <w:jc w:val="center"/>
              <w:rPr>
                <w:i/>
              </w:rPr>
            </w:pPr>
            <w:r>
              <w:rPr>
                <w:i/>
              </w:rPr>
              <w:t>28</w:t>
            </w:r>
          </w:p>
        </w:tc>
        <w:tc>
          <w:tcPr>
            <w:tcW w:w="7655" w:type="dxa"/>
          </w:tcPr>
          <w:p w14:paraId="601CE0A7" w14:textId="196D6F2F" w:rsidR="00162769" w:rsidRPr="00162769" w:rsidRDefault="00162769" w:rsidP="004D588F">
            <w:pPr>
              <w:spacing w:before="60" w:after="120"/>
              <w:jc w:val="both"/>
              <w:rPr>
                <w:i/>
              </w:rPr>
            </w:pPr>
            <w:r w:rsidRPr="00553015">
              <w:rPr>
                <w:i/>
              </w:rPr>
              <w:t>Empty set in the EU</w:t>
            </w:r>
          </w:p>
        </w:tc>
      </w:tr>
      <w:tr w:rsidR="00FA1376" w:rsidRPr="00C31378" w14:paraId="2D0977DF" w14:textId="77777777" w:rsidTr="00B2180A">
        <w:trPr>
          <w:trHeight w:val="557"/>
        </w:trPr>
        <w:tc>
          <w:tcPr>
            <w:tcW w:w="1384" w:type="dxa"/>
            <w:vAlign w:val="center"/>
          </w:tcPr>
          <w:p w14:paraId="12A824BC" w14:textId="78EEC5CF" w:rsidR="00FA1376" w:rsidRPr="00C31378" w:rsidRDefault="00FA1376" w:rsidP="00FA1376">
            <w:pPr>
              <w:pStyle w:val="Applicationdirecte"/>
              <w:spacing w:before="60"/>
              <w:jc w:val="center"/>
            </w:pPr>
            <w:r w:rsidRPr="00C31378">
              <w:rPr>
                <w:color w:val="000000"/>
              </w:rPr>
              <w:t>2</w:t>
            </w:r>
            <w:r w:rsidR="00162769">
              <w:rPr>
                <w:color w:val="000000"/>
              </w:rPr>
              <w:t>9</w:t>
            </w:r>
          </w:p>
        </w:tc>
        <w:tc>
          <w:tcPr>
            <w:tcW w:w="7655" w:type="dxa"/>
          </w:tcPr>
          <w:p w14:paraId="24FFCEAF" w14:textId="77777777" w:rsidR="00FA1376" w:rsidRPr="00C31378" w:rsidRDefault="00FA1376" w:rsidP="00FA1376">
            <w:pPr>
              <w:spacing w:before="60" w:after="120"/>
              <w:jc w:val="both"/>
              <w:rPr>
                <w:rFonts w:ascii="Times New Roman" w:hAnsi="Times New Roman" w:cs="Times New Roman"/>
                <w:sz w:val="24"/>
              </w:rPr>
            </w:pPr>
            <w:r w:rsidRPr="00C31378">
              <w:rPr>
                <w:rFonts w:ascii="Times New Roman" w:hAnsi="Times New Roman" w:cs="Times New Roman"/>
                <w:sz w:val="24"/>
              </w:rPr>
              <w:t>Total</w:t>
            </w:r>
          </w:p>
          <w:p w14:paraId="5795E89B" w14:textId="404BBBFD" w:rsidR="00FA1376" w:rsidRPr="00C31378" w:rsidRDefault="00FA1376" w:rsidP="00FA1376">
            <w:pPr>
              <w:spacing w:before="60" w:after="120"/>
              <w:jc w:val="both"/>
              <w:rPr>
                <w:rFonts w:ascii="Times New Roman" w:hAnsi="Times New Roman" w:cs="Times New Roman"/>
                <w:noProof/>
                <w:sz w:val="24"/>
              </w:rPr>
            </w:pPr>
            <w:r w:rsidRPr="00C31378">
              <w:rPr>
                <w:rFonts w:ascii="Times New Roman" w:hAnsi="Times New Roman" w:cs="Times New Roman"/>
                <w:noProof/>
                <w:sz w:val="24"/>
              </w:rPr>
              <w:t>Total risk-weighted exposure amount calculated in accordance with Article 92(3), 95, 96 and 98 of CRR</w:t>
            </w:r>
          </w:p>
        </w:tc>
      </w:tr>
    </w:tbl>
    <w:p w14:paraId="19ABDFB6" w14:textId="77777777" w:rsidR="00C41C25" w:rsidRPr="00C31378" w:rsidRDefault="00C41C25" w:rsidP="00501CEC">
      <w:pPr>
        <w:pStyle w:val="Titlelevel2"/>
        <w:spacing w:before="120" w:after="120"/>
        <w:rPr>
          <w:rFonts w:ascii="Times New Roman" w:hAnsi="Times New Roman" w:cs="Times New Roman"/>
          <w:b/>
          <w:color w:val="auto"/>
          <w:sz w:val="24"/>
        </w:rPr>
      </w:pPr>
    </w:p>
    <w:p w14:paraId="2FD2BA3E" w14:textId="689F944A" w:rsidR="00501CEC" w:rsidRPr="00C31378" w:rsidRDefault="00BD36EC" w:rsidP="00501CEC">
      <w:pPr>
        <w:pStyle w:val="Titlelevel2"/>
        <w:spacing w:before="120" w:after="120"/>
        <w:rPr>
          <w:rFonts w:ascii="Times New Roman" w:hAnsi="Times New Roman" w:cs="Times New Roman"/>
          <w:color w:val="auto"/>
          <w:sz w:val="24"/>
        </w:rPr>
      </w:pPr>
      <w:r w:rsidRPr="00C31378">
        <w:rPr>
          <w:rFonts w:ascii="Times New Roman" w:hAnsi="Times New Roman" w:cs="Times New Roman"/>
          <w:b/>
          <w:color w:val="auto"/>
          <w:sz w:val="24"/>
        </w:rPr>
        <w:t xml:space="preserve">Template </w:t>
      </w:r>
      <w:r w:rsidR="00662487" w:rsidRPr="00C31378">
        <w:rPr>
          <w:rFonts w:ascii="Times New Roman" w:hAnsi="Times New Roman" w:cs="Times New Roman"/>
          <w:b/>
          <w:color w:val="auto"/>
          <w:sz w:val="24"/>
        </w:rPr>
        <w:t>EU KM1</w:t>
      </w:r>
      <w:r w:rsidRPr="00C31378">
        <w:rPr>
          <w:rFonts w:ascii="Times New Roman" w:hAnsi="Times New Roman" w:cs="Times New Roman"/>
          <w:b/>
          <w:color w:val="auto"/>
          <w:sz w:val="24"/>
        </w:rPr>
        <w:t xml:space="preserve"> </w:t>
      </w:r>
      <w:r w:rsidR="00662487" w:rsidRPr="00C31378">
        <w:rPr>
          <w:rFonts w:ascii="Times New Roman" w:hAnsi="Times New Roman" w:cs="Times New Roman"/>
          <w:b/>
          <w:color w:val="auto"/>
          <w:sz w:val="24"/>
        </w:rPr>
        <w:t>–</w:t>
      </w:r>
      <w:r w:rsidRPr="00C31378">
        <w:rPr>
          <w:rFonts w:ascii="Times New Roman" w:hAnsi="Times New Roman" w:cs="Times New Roman"/>
          <w:b/>
          <w:color w:val="auto"/>
          <w:sz w:val="24"/>
        </w:rPr>
        <w:t xml:space="preserve"> </w:t>
      </w:r>
      <w:r w:rsidR="00662487" w:rsidRPr="00C31378">
        <w:rPr>
          <w:rFonts w:ascii="Times New Roman" w:hAnsi="Times New Roman" w:cs="Times New Roman"/>
          <w:b/>
          <w:color w:val="auto"/>
          <w:sz w:val="24"/>
        </w:rPr>
        <w:t>Key metrics template.</w:t>
      </w:r>
      <w:r w:rsidR="004F09DC" w:rsidRPr="00C31378">
        <w:rPr>
          <w:rFonts w:ascii="Times New Roman" w:hAnsi="Times New Roman" w:cs="Times New Roman"/>
          <w:b/>
          <w:color w:val="auto"/>
          <w:sz w:val="24"/>
        </w:rPr>
        <w:t xml:space="preserve"> </w:t>
      </w:r>
      <w:r w:rsidR="004F09DC" w:rsidRPr="00C31378">
        <w:rPr>
          <w:rFonts w:ascii="Times New Roman" w:hAnsi="Times New Roman" w:cs="Times New Roman"/>
          <w:color w:val="auto"/>
          <w:sz w:val="24"/>
        </w:rPr>
        <w:t>Fixed format</w:t>
      </w:r>
    </w:p>
    <w:p w14:paraId="30B4F4E9" w14:textId="13A4A6AF" w:rsidR="008154B5" w:rsidRPr="00C31378" w:rsidRDefault="00C41C25" w:rsidP="002965CB">
      <w:pPr>
        <w:pStyle w:val="Titlelevel2"/>
        <w:numPr>
          <w:ilvl w:val="0"/>
          <w:numId w:val="14"/>
        </w:numPr>
        <w:spacing w:before="120" w:after="120"/>
        <w:rPr>
          <w:rFonts w:ascii="Times New Roman" w:eastAsiaTheme="minorEastAsia" w:hAnsi="Times New Roman" w:cs="Times New Roman"/>
          <w:bCs w:val="0"/>
          <w:noProof/>
          <w:color w:val="000000"/>
          <w:sz w:val="24"/>
          <w:lang w:val="en-GB" w:eastAsia="en-GB"/>
        </w:rPr>
      </w:pPr>
      <w:r w:rsidRPr="00C31378">
        <w:rPr>
          <w:rFonts w:ascii="Times New Roman" w:eastAsiaTheme="minorEastAsia" w:hAnsi="Times New Roman" w:cs="Times New Roman"/>
          <w:bCs w:val="0"/>
          <w:noProof/>
          <w:color w:val="000000"/>
          <w:sz w:val="24"/>
          <w:lang w:val="en-GB"/>
        </w:rPr>
        <w:t>Institutions</w:t>
      </w:r>
      <w:r w:rsidRPr="00C31378">
        <w:rPr>
          <w:rFonts w:ascii="Times New Roman" w:eastAsiaTheme="minorEastAsia" w:hAnsi="Times New Roman" w:cs="Times New Roman"/>
          <w:bCs w:val="0"/>
          <w:noProof/>
          <w:color w:val="000000"/>
          <w:sz w:val="24"/>
          <w:lang w:val="en-GB" w:eastAsia="en-GB"/>
        </w:rPr>
        <w:t xml:space="preserve"> shall </w:t>
      </w:r>
      <w:r w:rsidR="00186588">
        <w:rPr>
          <w:rFonts w:ascii="Times New Roman" w:eastAsiaTheme="minorEastAsia" w:hAnsi="Times New Roman" w:cs="Times New Roman"/>
          <w:bCs w:val="0"/>
          <w:noProof/>
          <w:color w:val="000000"/>
          <w:sz w:val="24"/>
          <w:lang w:val="en-GB"/>
        </w:rPr>
        <w:t xml:space="preserve">apply the instructions </w:t>
      </w:r>
      <w:r w:rsidR="00E74C1B">
        <w:rPr>
          <w:rFonts w:ascii="Times New Roman" w:eastAsiaTheme="minorEastAsia" w:hAnsi="Times New Roman" w:cs="Times New Roman"/>
          <w:bCs w:val="0"/>
          <w:noProof/>
          <w:color w:val="000000"/>
          <w:sz w:val="24"/>
          <w:lang w:val="en-GB"/>
        </w:rPr>
        <w:t>provided below in this Annex</w:t>
      </w:r>
      <w:r w:rsidR="00186588">
        <w:rPr>
          <w:rFonts w:ascii="Times New Roman" w:eastAsiaTheme="minorEastAsia" w:hAnsi="Times New Roman" w:cs="Times New Roman"/>
          <w:bCs w:val="0"/>
          <w:noProof/>
          <w:color w:val="000000"/>
          <w:sz w:val="24"/>
          <w:lang w:val="en-GB"/>
        </w:rPr>
        <w:t xml:space="preserve"> in</w:t>
      </w:r>
      <w:r w:rsidR="00E74C1B">
        <w:rPr>
          <w:rFonts w:ascii="Times New Roman" w:eastAsiaTheme="minorEastAsia" w:hAnsi="Times New Roman" w:cs="Times New Roman"/>
          <w:bCs w:val="0"/>
          <w:noProof/>
          <w:color w:val="000000"/>
          <w:sz w:val="24"/>
          <w:lang w:val="en-GB"/>
        </w:rPr>
        <w:t xml:space="preserve"> order to complete template EU KM1</w:t>
      </w:r>
      <w:r w:rsidR="00186588">
        <w:rPr>
          <w:rFonts w:ascii="Times New Roman" w:eastAsiaTheme="minorEastAsia" w:hAnsi="Times New Roman" w:cs="Times New Roman"/>
          <w:bCs w:val="0"/>
          <w:noProof/>
          <w:color w:val="000000"/>
          <w:sz w:val="24"/>
          <w:lang w:val="en-GB"/>
        </w:rPr>
        <w:t xml:space="preserve"> as presented in Annex 1,</w:t>
      </w:r>
      <w:r w:rsidRPr="00C31378">
        <w:rPr>
          <w:rFonts w:ascii="Times New Roman" w:eastAsiaTheme="minorEastAsia" w:hAnsi="Times New Roman" w:cs="Times New Roman"/>
          <w:bCs w:val="0"/>
          <w:noProof/>
          <w:color w:val="000000"/>
          <w:sz w:val="24"/>
          <w:lang w:val="en-GB" w:eastAsia="en-GB"/>
        </w:rPr>
        <w:t xml:space="preserve">in application of </w:t>
      </w:r>
      <w:r w:rsidR="00A919FB" w:rsidRPr="00C31378">
        <w:rPr>
          <w:rFonts w:ascii="Times New Roman" w:eastAsiaTheme="minorEastAsia" w:hAnsi="Times New Roman" w:cs="Times New Roman"/>
          <w:bCs w:val="0"/>
          <w:noProof/>
          <w:color w:val="000000"/>
          <w:sz w:val="24"/>
          <w:lang w:val="en-GB" w:eastAsia="en-GB"/>
        </w:rPr>
        <w:t>Article 447</w:t>
      </w:r>
      <w:r w:rsidR="00BB61BA">
        <w:rPr>
          <w:rFonts w:ascii="Times New Roman" w:eastAsiaTheme="minorEastAsia" w:hAnsi="Times New Roman" w:cs="Times New Roman"/>
          <w:bCs w:val="0"/>
          <w:noProof/>
          <w:color w:val="000000"/>
          <w:sz w:val="24"/>
          <w:lang w:val="en-GB" w:eastAsia="en-GB"/>
        </w:rPr>
        <w:t>(a) to (g)</w:t>
      </w:r>
      <w:r w:rsidR="002965CB" w:rsidRPr="002965CB">
        <w:t xml:space="preserve"> </w:t>
      </w:r>
      <w:r w:rsidR="008154B5" w:rsidRPr="00C31378">
        <w:rPr>
          <w:rFonts w:ascii="Times New Roman" w:eastAsiaTheme="minorEastAsia" w:hAnsi="Times New Roman" w:cs="Times New Roman"/>
          <w:bCs w:val="0"/>
          <w:noProof/>
          <w:color w:val="000000"/>
          <w:sz w:val="24"/>
          <w:lang w:val="en-GB" w:eastAsia="en-GB"/>
        </w:rPr>
        <w:t>of</w:t>
      </w:r>
      <w:r w:rsidR="003C095D" w:rsidRPr="00C31378">
        <w:rPr>
          <w:rFonts w:ascii="Times New Roman" w:eastAsiaTheme="minorEastAsia" w:hAnsi="Times New Roman" w:cs="Times New Roman"/>
          <w:bCs w:val="0"/>
          <w:noProof/>
          <w:color w:val="000000"/>
          <w:sz w:val="24"/>
          <w:lang w:val="en-GB" w:eastAsia="en-GB"/>
        </w:rPr>
        <w:t xml:space="preserve"> CRR</w:t>
      </w:r>
      <w:r w:rsidR="002F08A4" w:rsidRPr="00C31378">
        <w:rPr>
          <w:rFonts w:ascii="Times New Roman" w:eastAsiaTheme="minorEastAsia" w:hAnsi="Times New Roman" w:cs="Times New Roman"/>
          <w:bCs w:val="0"/>
          <w:noProof/>
          <w:color w:val="000000"/>
          <w:sz w:val="24"/>
          <w:lang w:val="en-GB" w:eastAsia="en-GB"/>
        </w:rPr>
        <w:t xml:space="preserve"> and Article 438(b) of CRR.</w:t>
      </w:r>
    </w:p>
    <w:p w14:paraId="2B8E5981" w14:textId="77777777" w:rsidR="00A919FB" w:rsidRPr="00C31378" w:rsidRDefault="00342529" w:rsidP="00501CEC">
      <w:pPr>
        <w:pStyle w:val="Titlelevel2"/>
        <w:spacing w:before="120" w:after="120"/>
        <w:rPr>
          <w:rFonts w:ascii="Times New Roman" w:hAnsi="Times New Roman" w:cs="Times New Roman"/>
          <w:b/>
          <w:color w:val="auto"/>
          <w:sz w:val="24"/>
        </w:rPr>
      </w:pPr>
      <w:r w:rsidRPr="00C31378">
        <w:rPr>
          <w:rFonts w:ascii="Times New Roman" w:hAnsi="Times New Roman" w:cs="Times New Roman"/>
          <w:b/>
          <w:color w:val="auto"/>
          <w:sz w:val="24"/>
        </w:rPr>
        <w:t xml:space="preserve">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A919FB" w:rsidRPr="00C31378" w14:paraId="6945DA30" w14:textId="77777777" w:rsidTr="00B2180A">
        <w:trPr>
          <w:trHeight w:val="90"/>
        </w:trPr>
        <w:tc>
          <w:tcPr>
            <w:tcW w:w="90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0C6330" w14:textId="77777777" w:rsidR="00A919FB" w:rsidRPr="00C31378" w:rsidRDefault="00A919FB" w:rsidP="00B2180A">
            <w:pPr>
              <w:rPr>
                <w:rFonts w:ascii="Times New Roman" w:hAnsi="Times New Roman" w:cs="Times New Roman"/>
                <w:b/>
                <w:sz w:val="24"/>
              </w:rPr>
            </w:pPr>
            <w:r w:rsidRPr="00C31378">
              <w:rPr>
                <w:rFonts w:ascii="Times New Roman" w:hAnsi="Times New Roman" w:cs="Times New Roman"/>
                <w:b/>
                <w:sz w:val="24"/>
              </w:rPr>
              <w:t>Legal references and instructions</w:t>
            </w:r>
          </w:p>
        </w:tc>
      </w:tr>
      <w:tr w:rsidR="00A919FB" w:rsidRPr="00C31378" w14:paraId="665C2281" w14:textId="77777777" w:rsidTr="00B2180A">
        <w:trPr>
          <w:trHeight w:val="238"/>
        </w:trPr>
        <w:tc>
          <w:tcPr>
            <w:tcW w:w="1384" w:type="dxa"/>
            <w:shd w:val="clear" w:color="auto" w:fill="D9D9D9" w:themeFill="background1" w:themeFillShade="D9"/>
          </w:tcPr>
          <w:p w14:paraId="37D054A8" w14:textId="664ECCB8" w:rsidR="00A919FB" w:rsidRPr="00C31378" w:rsidRDefault="00A919FB" w:rsidP="00003BF5">
            <w:pPr>
              <w:autoSpaceDE w:val="0"/>
              <w:autoSpaceDN w:val="0"/>
              <w:adjustRightInd w:val="0"/>
              <w:rPr>
                <w:rFonts w:ascii="Times New Roman" w:hAnsi="Times New Roman" w:cs="Times New Roman"/>
                <w:b/>
                <w:sz w:val="24"/>
              </w:rPr>
            </w:pPr>
            <w:r w:rsidRPr="00C31378">
              <w:rPr>
                <w:rFonts w:ascii="Times New Roman" w:hAnsi="Times New Roman" w:cs="Times New Roman"/>
                <w:b/>
                <w:sz w:val="24"/>
              </w:rPr>
              <w:t>Column number</w:t>
            </w:r>
          </w:p>
        </w:tc>
        <w:tc>
          <w:tcPr>
            <w:tcW w:w="7655" w:type="dxa"/>
            <w:shd w:val="clear" w:color="auto" w:fill="D9D9D9" w:themeFill="background1" w:themeFillShade="D9"/>
          </w:tcPr>
          <w:p w14:paraId="4E4C761D" w14:textId="77777777" w:rsidR="00A919FB" w:rsidRPr="00C31378" w:rsidRDefault="00A919FB" w:rsidP="00B2180A">
            <w:pPr>
              <w:autoSpaceDE w:val="0"/>
              <w:autoSpaceDN w:val="0"/>
              <w:adjustRightInd w:val="0"/>
              <w:rPr>
                <w:rFonts w:ascii="Times New Roman" w:hAnsi="Times New Roman" w:cs="Times New Roman"/>
                <w:color w:val="000000"/>
                <w:sz w:val="24"/>
              </w:rPr>
            </w:pPr>
            <w:r w:rsidRPr="00C31378">
              <w:rPr>
                <w:rFonts w:ascii="Times New Roman" w:hAnsi="Times New Roman" w:cs="Times New Roman"/>
                <w:b/>
                <w:sz w:val="24"/>
              </w:rPr>
              <w:t>Explanation</w:t>
            </w:r>
          </w:p>
        </w:tc>
      </w:tr>
      <w:tr w:rsidR="00A919FB" w:rsidRPr="00C31378" w14:paraId="60085E9E" w14:textId="77777777" w:rsidTr="00B2180A">
        <w:trPr>
          <w:trHeight w:val="680"/>
        </w:trPr>
        <w:tc>
          <w:tcPr>
            <w:tcW w:w="1384" w:type="dxa"/>
          </w:tcPr>
          <w:p w14:paraId="77A4A53F" w14:textId="5325DFBF" w:rsidR="00A919FB" w:rsidRPr="00C31378" w:rsidRDefault="00003BF5" w:rsidP="00B2180A">
            <w:pPr>
              <w:pStyle w:val="Applicationdirecte"/>
              <w:spacing w:before="60"/>
              <w:jc w:val="center"/>
            </w:pPr>
            <w:r>
              <w:t>a - e</w:t>
            </w:r>
          </w:p>
        </w:tc>
        <w:tc>
          <w:tcPr>
            <w:tcW w:w="7655" w:type="dxa"/>
            <w:vAlign w:val="center"/>
          </w:tcPr>
          <w:p w14:paraId="35302759" w14:textId="28A83AEB" w:rsidR="00A919FB" w:rsidRPr="00C31378" w:rsidRDefault="00A919FB" w:rsidP="00A919FB">
            <w:pPr>
              <w:spacing w:before="60" w:after="120"/>
              <w:jc w:val="both"/>
              <w:rPr>
                <w:rFonts w:ascii="Times New Roman" w:hAnsi="Times New Roman" w:cs="Times New Roman"/>
                <w:noProof/>
                <w:sz w:val="24"/>
              </w:rPr>
            </w:pPr>
            <w:r w:rsidRPr="00C31378">
              <w:rPr>
                <w:rFonts w:ascii="Times New Roman" w:hAnsi="Times New Roman" w:cs="Times New Roman"/>
                <w:noProof/>
                <w:sz w:val="24"/>
              </w:rPr>
              <w:t>Reporting periods T, T-1, T-2, T-3 and T-4 are defined as quarterly, semi-annual or annual periods depending on the frequ</w:t>
            </w:r>
            <w:r w:rsidR="009A4635">
              <w:rPr>
                <w:rFonts w:ascii="Times New Roman" w:hAnsi="Times New Roman" w:cs="Times New Roman"/>
                <w:noProof/>
                <w:sz w:val="24"/>
              </w:rPr>
              <w:t>e</w:t>
            </w:r>
            <w:r w:rsidRPr="00C31378">
              <w:rPr>
                <w:rFonts w:ascii="Times New Roman" w:hAnsi="Times New Roman" w:cs="Times New Roman"/>
                <w:noProof/>
                <w:sz w:val="24"/>
              </w:rPr>
              <w:t>ncy set by Articles 433a, 433b and 433c of the CRR.</w:t>
            </w:r>
          </w:p>
          <w:p w14:paraId="13625E19" w14:textId="5D7DA4BF" w:rsidR="00A919FB" w:rsidRPr="00C31378" w:rsidRDefault="00A919FB" w:rsidP="00A919FB">
            <w:pPr>
              <w:spacing w:before="60" w:after="120"/>
              <w:jc w:val="both"/>
              <w:rPr>
                <w:rFonts w:ascii="Times New Roman" w:hAnsi="Times New Roman" w:cs="Times New Roman"/>
                <w:noProof/>
                <w:sz w:val="24"/>
              </w:rPr>
            </w:pPr>
            <w:r w:rsidRPr="00C31378">
              <w:rPr>
                <w:rFonts w:ascii="Times New Roman" w:hAnsi="Times New Roman" w:cs="Times New Roman"/>
                <w:noProof/>
                <w:sz w:val="24"/>
              </w:rPr>
              <w:lastRenderedPageBreak/>
              <w:t>Institutions disclosing this template on a quarterly basis should provide data for periods T, T-1, T-2, T-3 and T-4; institutions disclosing this template on a semi-annual basis should provide data for periods T, T-2 and T-4; and institutions disclosing this template on an annual basis should provide data for periods T and T-4.</w:t>
            </w:r>
          </w:p>
          <w:p w14:paraId="6AD0B565" w14:textId="77777777" w:rsidR="00A919FB" w:rsidRPr="00C31378" w:rsidRDefault="00A919FB" w:rsidP="00A919FB">
            <w:pPr>
              <w:spacing w:before="60" w:after="120"/>
              <w:jc w:val="both"/>
              <w:rPr>
                <w:rFonts w:ascii="Times New Roman" w:hAnsi="Times New Roman" w:cs="Times New Roman"/>
                <w:noProof/>
                <w:sz w:val="24"/>
              </w:rPr>
            </w:pPr>
            <w:r w:rsidRPr="00C31378">
              <w:rPr>
                <w:rFonts w:ascii="Times New Roman" w:hAnsi="Times New Roman" w:cs="Times New Roman"/>
                <w:noProof/>
                <w:sz w:val="24"/>
              </w:rPr>
              <w:t>Institutions should disclose the dates corresponding to the reporting periods.</w:t>
            </w:r>
          </w:p>
          <w:p w14:paraId="026461CB" w14:textId="5B31677E" w:rsidR="00A919FB" w:rsidRPr="00C31378" w:rsidRDefault="00A919FB" w:rsidP="00C0296F">
            <w:pPr>
              <w:spacing w:before="60" w:after="120"/>
              <w:jc w:val="both"/>
              <w:rPr>
                <w:rFonts w:ascii="Times New Roman" w:hAnsi="Times New Roman" w:cs="Times New Roman"/>
                <w:sz w:val="24"/>
              </w:rPr>
            </w:pPr>
            <w:r w:rsidRPr="00C31378">
              <w:rPr>
                <w:rFonts w:ascii="Times New Roman" w:hAnsi="Times New Roman" w:cs="Times New Roman"/>
                <w:noProof/>
                <w:sz w:val="24"/>
              </w:rPr>
              <w:t xml:space="preserve">The disclosure of data for previous periods is not required when data are disclosed for the first time. </w:t>
            </w:r>
          </w:p>
        </w:tc>
      </w:tr>
      <w:tr w:rsidR="00A919FB" w:rsidRPr="00C31378" w14:paraId="5DBA8A51" w14:textId="77777777" w:rsidTr="00B2180A">
        <w:trPr>
          <w:trHeight w:val="90"/>
        </w:trPr>
        <w:tc>
          <w:tcPr>
            <w:tcW w:w="90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B36F1D" w14:textId="77777777" w:rsidR="00A919FB" w:rsidRPr="00C31378" w:rsidRDefault="00A919FB" w:rsidP="00B2180A">
            <w:pPr>
              <w:rPr>
                <w:rFonts w:ascii="Times New Roman" w:hAnsi="Times New Roman" w:cs="Times New Roman"/>
                <w:b/>
                <w:sz w:val="24"/>
              </w:rPr>
            </w:pPr>
            <w:r w:rsidRPr="00C31378">
              <w:rPr>
                <w:rFonts w:ascii="Times New Roman" w:hAnsi="Times New Roman" w:cs="Times New Roman"/>
                <w:b/>
                <w:sz w:val="24"/>
              </w:rPr>
              <w:lastRenderedPageBreak/>
              <w:t>Legal references and instructions</w:t>
            </w:r>
          </w:p>
        </w:tc>
      </w:tr>
      <w:tr w:rsidR="00A919FB" w:rsidRPr="00C31378" w14:paraId="1917EDC0" w14:textId="77777777" w:rsidTr="00B2180A">
        <w:trPr>
          <w:trHeight w:val="238"/>
        </w:trPr>
        <w:tc>
          <w:tcPr>
            <w:tcW w:w="1384" w:type="dxa"/>
            <w:shd w:val="clear" w:color="auto" w:fill="D9D9D9" w:themeFill="background1" w:themeFillShade="D9"/>
          </w:tcPr>
          <w:p w14:paraId="58593D16" w14:textId="77777777" w:rsidR="00A919FB" w:rsidRPr="00C31378" w:rsidRDefault="00A919FB" w:rsidP="00B2180A">
            <w:pPr>
              <w:autoSpaceDE w:val="0"/>
              <w:autoSpaceDN w:val="0"/>
              <w:adjustRightInd w:val="0"/>
              <w:rPr>
                <w:rFonts w:ascii="Times New Roman" w:hAnsi="Times New Roman" w:cs="Times New Roman"/>
                <w:b/>
                <w:sz w:val="24"/>
              </w:rPr>
            </w:pPr>
            <w:r w:rsidRPr="00C31378">
              <w:rPr>
                <w:rFonts w:ascii="Times New Roman" w:hAnsi="Times New Roman" w:cs="Times New Roman"/>
                <w:b/>
                <w:sz w:val="24"/>
              </w:rPr>
              <w:t>Row number</w:t>
            </w:r>
          </w:p>
        </w:tc>
        <w:tc>
          <w:tcPr>
            <w:tcW w:w="7655" w:type="dxa"/>
            <w:shd w:val="clear" w:color="auto" w:fill="D9D9D9" w:themeFill="background1" w:themeFillShade="D9"/>
          </w:tcPr>
          <w:p w14:paraId="728951E7" w14:textId="77777777" w:rsidR="00A919FB" w:rsidRPr="00C31378" w:rsidRDefault="00A919FB" w:rsidP="00B2180A">
            <w:pPr>
              <w:autoSpaceDE w:val="0"/>
              <w:autoSpaceDN w:val="0"/>
              <w:adjustRightInd w:val="0"/>
              <w:rPr>
                <w:rFonts w:ascii="Times New Roman" w:hAnsi="Times New Roman" w:cs="Times New Roman"/>
                <w:color w:val="000000"/>
                <w:sz w:val="24"/>
              </w:rPr>
            </w:pPr>
            <w:r w:rsidRPr="00C31378">
              <w:rPr>
                <w:rFonts w:ascii="Times New Roman" w:hAnsi="Times New Roman" w:cs="Times New Roman"/>
                <w:b/>
                <w:sz w:val="24"/>
              </w:rPr>
              <w:t>Explanation</w:t>
            </w:r>
          </w:p>
        </w:tc>
      </w:tr>
      <w:tr w:rsidR="00EC3DC7" w:rsidRPr="00C31378" w14:paraId="01D16391" w14:textId="77777777" w:rsidTr="00B2180A">
        <w:trPr>
          <w:trHeight w:val="680"/>
        </w:trPr>
        <w:tc>
          <w:tcPr>
            <w:tcW w:w="1384" w:type="dxa"/>
          </w:tcPr>
          <w:p w14:paraId="4608A8B4" w14:textId="35595E06" w:rsidR="00EC3DC7" w:rsidRPr="00C31378" w:rsidRDefault="00EC3DC7" w:rsidP="00EC3DC7">
            <w:pPr>
              <w:pStyle w:val="Applicationdirecte"/>
              <w:spacing w:before="60"/>
              <w:jc w:val="center"/>
            </w:pPr>
            <w:r w:rsidRPr="00C31378">
              <w:t>1</w:t>
            </w:r>
          </w:p>
        </w:tc>
        <w:tc>
          <w:tcPr>
            <w:tcW w:w="7655" w:type="dxa"/>
          </w:tcPr>
          <w:p w14:paraId="06E80065" w14:textId="5C5B8EA9" w:rsidR="00EC3DC7" w:rsidRPr="00C31378" w:rsidRDefault="00EC3DC7" w:rsidP="00EC3DC7">
            <w:pPr>
              <w:spacing w:before="60" w:after="120"/>
              <w:jc w:val="both"/>
              <w:rPr>
                <w:rFonts w:ascii="Times New Roman" w:hAnsi="Times New Roman" w:cs="Times New Roman"/>
                <w:sz w:val="24"/>
              </w:rPr>
            </w:pPr>
            <w:r w:rsidRPr="00C31378">
              <w:rPr>
                <w:rFonts w:ascii="Times New Roman" w:hAnsi="Times New Roman" w:cs="Times New Roman"/>
                <w:sz w:val="24"/>
              </w:rPr>
              <w:t>Common Equity Tier 1 (CET1) capital</w:t>
            </w:r>
          </w:p>
          <w:p w14:paraId="1C4E459D" w14:textId="7422978B" w:rsidR="00EC3DC7" w:rsidRPr="00C31378" w:rsidRDefault="00EC3DC7" w:rsidP="00EE1F54">
            <w:pPr>
              <w:spacing w:before="60" w:after="120"/>
              <w:jc w:val="both"/>
              <w:rPr>
                <w:rFonts w:ascii="Times New Roman" w:hAnsi="Times New Roman" w:cs="Times New Roman"/>
                <w:sz w:val="24"/>
              </w:rPr>
            </w:pPr>
            <w:r w:rsidRPr="00C31378">
              <w:rPr>
                <w:rFonts w:ascii="Times New Roman" w:hAnsi="Times New Roman" w:cs="Times New Roman"/>
                <w:sz w:val="24"/>
              </w:rPr>
              <w:t xml:space="preserve">Amount of CET1 capital in accordance with the amount disclosed by institutions following </w:t>
            </w:r>
            <w:r w:rsidR="00475381" w:rsidRPr="00C31378">
              <w:rPr>
                <w:rFonts w:ascii="Times New Roman" w:hAnsi="Times New Roman" w:cs="Times New Roman"/>
                <w:sz w:val="24"/>
              </w:rPr>
              <w:t xml:space="preserve">Annex </w:t>
            </w:r>
            <w:r w:rsidR="00EE1F54">
              <w:rPr>
                <w:rFonts w:ascii="Times New Roman" w:hAnsi="Times New Roman" w:cs="Times New Roman"/>
                <w:sz w:val="24"/>
              </w:rPr>
              <w:t>7</w:t>
            </w:r>
            <w:r w:rsidR="00EE1F54" w:rsidRPr="00C31378">
              <w:rPr>
                <w:rFonts w:ascii="Times New Roman" w:hAnsi="Times New Roman" w:cs="Times New Roman"/>
                <w:sz w:val="24"/>
              </w:rPr>
              <w:t xml:space="preserve"> </w:t>
            </w:r>
            <w:r w:rsidR="00475381" w:rsidRPr="00C31378">
              <w:rPr>
                <w:rFonts w:ascii="Times New Roman" w:hAnsi="Times New Roman" w:cs="Times New Roman"/>
                <w:sz w:val="24"/>
              </w:rPr>
              <w:t xml:space="preserve">of this </w:t>
            </w:r>
            <w:r w:rsidRPr="00C31378">
              <w:rPr>
                <w:rFonts w:ascii="Times New Roman" w:hAnsi="Times New Roman" w:cs="Times New Roman"/>
                <w:sz w:val="24"/>
              </w:rPr>
              <w:t>ITS</w:t>
            </w:r>
            <w:r w:rsidR="00475381" w:rsidRPr="00C31378">
              <w:rPr>
                <w:rFonts w:ascii="Times New Roman" w:hAnsi="Times New Roman" w:cs="Times New Roman"/>
                <w:sz w:val="24"/>
              </w:rPr>
              <w:t>,</w:t>
            </w:r>
            <w:r w:rsidRPr="00C31378">
              <w:rPr>
                <w:rFonts w:ascii="Times New Roman" w:hAnsi="Times New Roman" w:cs="Times New Roman"/>
                <w:sz w:val="24"/>
              </w:rPr>
              <w:t xml:space="preserve"> on disclosure of own funds requirements  (row </w:t>
            </w:r>
            <w:r w:rsidRPr="00677CC7">
              <w:rPr>
                <w:rFonts w:ascii="Times New Roman" w:hAnsi="Times New Roman" w:cs="Times New Roman"/>
                <w:sz w:val="24"/>
              </w:rPr>
              <w:t>29</w:t>
            </w:r>
            <w:r w:rsidRPr="00C31378">
              <w:rPr>
                <w:rFonts w:ascii="Times New Roman" w:hAnsi="Times New Roman" w:cs="Times New Roman"/>
                <w:sz w:val="24"/>
              </w:rPr>
              <w:t xml:space="preserve"> of </w:t>
            </w:r>
            <w:r w:rsidR="00B37911">
              <w:rPr>
                <w:rFonts w:ascii="Times New Roman" w:hAnsi="Times New Roman" w:cs="Times New Roman"/>
                <w:sz w:val="24"/>
              </w:rPr>
              <w:t>t</w:t>
            </w:r>
            <w:r w:rsidR="00B37911" w:rsidRPr="00B37911">
              <w:rPr>
                <w:rFonts w:ascii="Times New Roman" w:hAnsi="Times New Roman" w:cs="Times New Roman"/>
                <w:sz w:val="24"/>
              </w:rPr>
              <w:t>emp</w:t>
            </w:r>
            <w:r w:rsidR="00B37911">
              <w:rPr>
                <w:rFonts w:ascii="Times New Roman" w:hAnsi="Times New Roman" w:cs="Times New Roman"/>
                <w:sz w:val="24"/>
              </w:rPr>
              <w:t>late EU CC1</w:t>
            </w:r>
            <w:r w:rsidR="00B37911" w:rsidRPr="00B37911">
              <w:rPr>
                <w:rFonts w:ascii="Times New Roman" w:hAnsi="Times New Roman" w:cs="Times New Roman"/>
                <w:sz w:val="24"/>
              </w:rPr>
              <w:t xml:space="preserve"> Composition of regulatory own funds</w:t>
            </w:r>
            <w:r w:rsidRPr="00C31378">
              <w:rPr>
                <w:rFonts w:ascii="Times New Roman" w:hAnsi="Times New Roman" w:cs="Times New Roman"/>
                <w:sz w:val="24"/>
              </w:rPr>
              <w:t>)</w:t>
            </w:r>
          </w:p>
        </w:tc>
      </w:tr>
      <w:tr w:rsidR="00EC3DC7" w:rsidRPr="00C31378" w14:paraId="270B2B31" w14:textId="77777777" w:rsidTr="00B2180A">
        <w:trPr>
          <w:trHeight w:val="436"/>
        </w:trPr>
        <w:tc>
          <w:tcPr>
            <w:tcW w:w="1384" w:type="dxa"/>
          </w:tcPr>
          <w:p w14:paraId="5C47F2AE" w14:textId="4078E9D7" w:rsidR="00EC3DC7" w:rsidRPr="00C31378" w:rsidRDefault="00EC3DC7" w:rsidP="00EC3DC7">
            <w:pPr>
              <w:pStyle w:val="Applicationdirecte"/>
              <w:spacing w:before="60"/>
              <w:jc w:val="center"/>
            </w:pPr>
            <w:r w:rsidRPr="00C31378">
              <w:t>2</w:t>
            </w:r>
          </w:p>
        </w:tc>
        <w:tc>
          <w:tcPr>
            <w:tcW w:w="7655" w:type="dxa"/>
          </w:tcPr>
          <w:p w14:paraId="05A81237" w14:textId="485D7560" w:rsidR="00EC3DC7" w:rsidRPr="00C31378" w:rsidRDefault="00EC3DC7" w:rsidP="00EC3DC7">
            <w:pPr>
              <w:spacing w:before="60" w:after="120"/>
              <w:jc w:val="both"/>
              <w:rPr>
                <w:rFonts w:ascii="Times New Roman" w:hAnsi="Times New Roman" w:cs="Times New Roman"/>
                <w:sz w:val="24"/>
              </w:rPr>
            </w:pPr>
            <w:r w:rsidRPr="00C31378">
              <w:rPr>
                <w:rFonts w:ascii="Times New Roman" w:hAnsi="Times New Roman" w:cs="Times New Roman"/>
                <w:sz w:val="24"/>
              </w:rPr>
              <w:t>Tier 1 capital</w:t>
            </w:r>
          </w:p>
          <w:p w14:paraId="6472E6BF" w14:textId="16EC51BD" w:rsidR="00EC3DC7" w:rsidRPr="00C31378" w:rsidRDefault="00EC3DC7" w:rsidP="00BB61BA">
            <w:pPr>
              <w:spacing w:before="60" w:after="120"/>
              <w:jc w:val="both"/>
              <w:rPr>
                <w:rFonts w:ascii="Times New Roman" w:eastAsia="Times New Roman" w:hAnsi="Times New Roman" w:cs="Times New Roman"/>
                <w:sz w:val="24"/>
                <w:lang w:eastAsia="sv-SE"/>
              </w:rPr>
            </w:pPr>
            <w:r w:rsidRPr="00C31378">
              <w:rPr>
                <w:rFonts w:ascii="Times New Roman" w:hAnsi="Times New Roman" w:cs="Times New Roman"/>
                <w:sz w:val="24"/>
              </w:rPr>
              <w:t xml:space="preserve">Amount of Tier 1 capital in accordance with the amount disclosed by institutions </w:t>
            </w:r>
            <w:r w:rsidR="00475381" w:rsidRPr="00C31378">
              <w:rPr>
                <w:rFonts w:ascii="Times New Roman" w:hAnsi="Times New Roman" w:cs="Times New Roman"/>
                <w:sz w:val="24"/>
              </w:rPr>
              <w:t xml:space="preserve">following Annex </w:t>
            </w:r>
            <w:r w:rsidR="00EE1F54">
              <w:rPr>
                <w:rFonts w:ascii="Times New Roman" w:hAnsi="Times New Roman" w:cs="Times New Roman"/>
                <w:sz w:val="24"/>
              </w:rPr>
              <w:t>7</w:t>
            </w:r>
            <w:r w:rsidR="00EE1F54" w:rsidRPr="00C31378">
              <w:rPr>
                <w:rFonts w:ascii="Times New Roman" w:hAnsi="Times New Roman" w:cs="Times New Roman"/>
                <w:sz w:val="24"/>
              </w:rPr>
              <w:t xml:space="preserve"> </w:t>
            </w:r>
            <w:r w:rsidR="00475381" w:rsidRPr="00C31378">
              <w:rPr>
                <w:rFonts w:ascii="Times New Roman" w:hAnsi="Times New Roman" w:cs="Times New Roman"/>
                <w:sz w:val="24"/>
              </w:rPr>
              <w:t xml:space="preserve">of this ITS, </w:t>
            </w:r>
            <w:r w:rsidRPr="00C31378">
              <w:rPr>
                <w:rFonts w:ascii="Times New Roman" w:hAnsi="Times New Roman" w:cs="Times New Roman"/>
                <w:sz w:val="24"/>
              </w:rPr>
              <w:t>on disclo</w:t>
            </w:r>
            <w:r w:rsidR="00BB61BA">
              <w:rPr>
                <w:rFonts w:ascii="Times New Roman" w:hAnsi="Times New Roman" w:cs="Times New Roman"/>
                <w:sz w:val="24"/>
              </w:rPr>
              <w:t>sure of own funds requirements</w:t>
            </w:r>
            <w:r w:rsidRPr="00C31378">
              <w:rPr>
                <w:rFonts w:ascii="Times New Roman" w:hAnsi="Times New Roman" w:cs="Times New Roman"/>
                <w:sz w:val="24"/>
              </w:rPr>
              <w:t xml:space="preserve"> (</w:t>
            </w:r>
            <w:r w:rsidRPr="00677CC7">
              <w:rPr>
                <w:rFonts w:ascii="Times New Roman" w:hAnsi="Times New Roman" w:cs="Times New Roman"/>
                <w:sz w:val="24"/>
              </w:rPr>
              <w:t xml:space="preserve">row 45 of </w:t>
            </w:r>
            <w:r w:rsidR="00EE1F54" w:rsidRPr="00677CC7">
              <w:rPr>
                <w:rFonts w:ascii="Times New Roman" w:hAnsi="Times New Roman" w:cs="Times New Roman"/>
                <w:sz w:val="24"/>
              </w:rPr>
              <w:t>template</w:t>
            </w:r>
            <w:r w:rsidR="00EE1F54">
              <w:rPr>
                <w:rFonts w:ascii="Times New Roman" w:hAnsi="Times New Roman" w:cs="Times New Roman"/>
                <w:sz w:val="24"/>
              </w:rPr>
              <w:t xml:space="preserve"> EU CC1</w:t>
            </w:r>
            <w:r w:rsidR="00EE1F54" w:rsidRPr="00B37911">
              <w:rPr>
                <w:rFonts w:ascii="Times New Roman" w:hAnsi="Times New Roman" w:cs="Times New Roman"/>
                <w:sz w:val="24"/>
              </w:rPr>
              <w:t xml:space="preserve"> Composition of regulatory own funds</w:t>
            </w:r>
            <w:r w:rsidRPr="00C31378">
              <w:rPr>
                <w:rFonts w:ascii="Times New Roman" w:hAnsi="Times New Roman" w:cs="Times New Roman"/>
                <w:sz w:val="24"/>
              </w:rPr>
              <w:t>)</w:t>
            </w:r>
          </w:p>
        </w:tc>
      </w:tr>
      <w:tr w:rsidR="00EC3DC7" w:rsidRPr="00C31378" w14:paraId="50761901" w14:textId="77777777" w:rsidTr="00B2180A">
        <w:trPr>
          <w:trHeight w:val="557"/>
        </w:trPr>
        <w:tc>
          <w:tcPr>
            <w:tcW w:w="1384" w:type="dxa"/>
          </w:tcPr>
          <w:p w14:paraId="6D52FA8D" w14:textId="79AFB8E4" w:rsidR="00EC3DC7" w:rsidRPr="00C31378" w:rsidRDefault="009D2A94" w:rsidP="00EC3DC7">
            <w:pPr>
              <w:pStyle w:val="Applicationdirecte"/>
              <w:spacing w:before="60"/>
              <w:jc w:val="center"/>
            </w:pPr>
            <w:r w:rsidRPr="00C31378">
              <w:t>3</w:t>
            </w:r>
          </w:p>
        </w:tc>
        <w:tc>
          <w:tcPr>
            <w:tcW w:w="7655" w:type="dxa"/>
          </w:tcPr>
          <w:p w14:paraId="578D3A87" w14:textId="096ACC3F" w:rsidR="009D2A94" w:rsidRPr="00C31378" w:rsidRDefault="009D2A94" w:rsidP="00EC3DC7">
            <w:pPr>
              <w:spacing w:before="60" w:after="120"/>
              <w:jc w:val="both"/>
              <w:rPr>
                <w:rFonts w:ascii="Times New Roman" w:hAnsi="Times New Roman" w:cs="Times New Roman"/>
                <w:sz w:val="24"/>
              </w:rPr>
            </w:pPr>
            <w:r w:rsidRPr="00C31378">
              <w:rPr>
                <w:rFonts w:ascii="Times New Roman" w:hAnsi="Times New Roman" w:cs="Times New Roman"/>
                <w:sz w:val="24"/>
              </w:rPr>
              <w:t>Total capital</w:t>
            </w:r>
          </w:p>
          <w:p w14:paraId="23640DE7" w14:textId="50A0909B" w:rsidR="00EC3DC7" w:rsidRPr="00C31378" w:rsidRDefault="00EC3DC7" w:rsidP="00BB61BA">
            <w:pPr>
              <w:spacing w:before="60" w:after="120"/>
              <w:jc w:val="both"/>
              <w:rPr>
                <w:rFonts w:ascii="Times New Roman" w:hAnsi="Times New Roman" w:cs="Times New Roman"/>
                <w:noProof/>
                <w:color w:val="000000"/>
                <w:sz w:val="24"/>
                <w:lang w:eastAsia="en-GB"/>
              </w:rPr>
            </w:pPr>
            <w:r w:rsidRPr="00C31378">
              <w:rPr>
                <w:rFonts w:ascii="Times New Roman" w:hAnsi="Times New Roman" w:cs="Times New Roman"/>
                <w:sz w:val="24"/>
              </w:rPr>
              <w:t xml:space="preserve">Amount of total capital in accordance with the amount disclosed by institutions </w:t>
            </w:r>
            <w:r w:rsidR="00475381" w:rsidRPr="00C31378">
              <w:rPr>
                <w:rFonts w:ascii="Times New Roman" w:hAnsi="Times New Roman" w:cs="Times New Roman"/>
                <w:sz w:val="24"/>
              </w:rPr>
              <w:t xml:space="preserve">following Annex </w:t>
            </w:r>
            <w:r w:rsidR="00EE1F54">
              <w:rPr>
                <w:rFonts w:ascii="Times New Roman" w:hAnsi="Times New Roman" w:cs="Times New Roman"/>
                <w:sz w:val="24"/>
              </w:rPr>
              <w:t>7</w:t>
            </w:r>
            <w:r w:rsidR="00EE1F54" w:rsidRPr="00C31378">
              <w:rPr>
                <w:rFonts w:ascii="Times New Roman" w:hAnsi="Times New Roman" w:cs="Times New Roman"/>
                <w:sz w:val="24"/>
              </w:rPr>
              <w:t xml:space="preserve"> </w:t>
            </w:r>
            <w:r w:rsidR="00475381" w:rsidRPr="00C31378">
              <w:rPr>
                <w:rFonts w:ascii="Times New Roman" w:hAnsi="Times New Roman" w:cs="Times New Roman"/>
                <w:sz w:val="24"/>
              </w:rPr>
              <w:t>of this ITS,</w:t>
            </w:r>
            <w:r w:rsidRPr="00C31378">
              <w:rPr>
                <w:rFonts w:ascii="Times New Roman" w:hAnsi="Times New Roman" w:cs="Times New Roman"/>
                <w:sz w:val="24"/>
              </w:rPr>
              <w:t xml:space="preserve"> on disclosure of own funds requirements (row </w:t>
            </w:r>
            <w:r w:rsidRPr="00BB61BA">
              <w:rPr>
                <w:rFonts w:ascii="Times New Roman" w:hAnsi="Times New Roman" w:cs="Times New Roman"/>
                <w:sz w:val="24"/>
              </w:rPr>
              <w:t>59</w:t>
            </w:r>
            <w:r w:rsidRPr="00C31378">
              <w:rPr>
                <w:rFonts w:ascii="Times New Roman" w:hAnsi="Times New Roman" w:cs="Times New Roman"/>
                <w:sz w:val="24"/>
              </w:rPr>
              <w:t xml:space="preserve"> of </w:t>
            </w:r>
            <w:r w:rsidR="00EE1F54">
              <w:rPr>
                <w:rFonts w:ascii="Times New Roman" w:hAnsi="Times New Roman" w:cs="Times New Roman"/>
                <w:sz w:val="24"/>
              </w:rPr>
              <w:t>t</w:t>
            </w:r>
            <w:r w:rsidR="00EE1F54" w:rsidRPr="00B37911">
              <w:rPr>
                <w:rFonts w:ascii="Times New Roman" w:hAnsi="Times New Roman" w:cs="Times New Roman"/>
                <w:sz w:val="24"/>
              </w:rPr>
              <w:t>emp</w:t>
            </w:r>
            <w:r w:rsidR="00EE1F54">
              <w:rPr>
                <w:rFonts w:ascii="Times New Roman" w:hAnsi="Times New Roman" w:cs="Times New Roman"/>
                <w:sz w:val="24"/>
              </w:rPr>
              <w:t>late EU CC1</w:t>
            </w:r>
            <w:r w:rsidR="00EE1F54" w:rsidRPr="00B37911">
              <w:rPr>
                <w:rFonts w:ascii="Times New Roman" w:hAnsi="Times New Roman" w:cs="Times New Roman"/>
                <w:sz w:val="24"/>
              </w:rPr>
              <w:t xml:space="preserve"> Composition of regulatory own funds</w:t>
            </w:r>
            <w:r w:rsidRPr="00C31378">
              <w:rPr>
                <w:rFonts w:ascii="Times New Roman" w:hAnsi="Times New Roman" w:cs="Times New Roman"/>
                <w:sz w:val="24"/>
              </w:rPr>
              <w:t>)</w:t>
            </w:r>
          </w:p>
        </w:tc>
      </w:tr>
      <w:tr w:rsidR="00EC3DC7" w:rsidRPr="00C31378" w14:paraId="49D1BE7A" w14:textId="77777777" w:rsidTr="00B2180A">
        <w:trPr>
          <w:trHeight w:val="557"/>
        </w:trPr>
        <w:tc>
          <w:tcPr>
            <w:tcW w:w="1384" w:type="dxa"/>
          </w:tcPr>
          <w:p w14:paraId="65D0B76A" w14:textId="6554F039" w:rsidR="00EC3DC7" w:rsidRPr="00C31378" w:rsidRDefault="009D2A94" w:rsidP="00EC3DC7">
            <w:pPr>
              <w:pStyle w:val="Applicationdirecte"/>
              <w:spacing w:before="60"/>
              <w:jc w:val="center"/>
            </w:pPr>
            <w:r w:rsidRPr="00C31378">
              <w:t>4</w:t>
            </w:r>
          </w:p>
        </w:tc>
        <w:tc>
          <w:tcPr>
            <w:tcW w:w="7655" w:type="dxa"/>
          </w:tcPr>
          <w:p w14:paraId="5AF61EB5" w14:textId="0D5F887F" w:rsidR="009D2A94" w:rsidRPr="00C31378" w:rsidRDefault="009D2A94" w:rsidP="009D2A94">
            <w:pPr>
              <w:spacing w:before="60" w:after="120"/>
              <w:jc w:val="both"/>
              <w:rPr>
                <w:rFonts w:ascii="Times New Roman" w:hAnsi="Times New Roman" w:cs="Times New Roman"/>
                <w:sz w:val="24"/>
              </w:rPr>
            </w:pPr>
            <w:r w:rsidRPr="00C31378">
              <w:rPr>
                <w:rFonts w:ascii="Times New Roman" w:hAnsi="Times New Roman" w:cs="Times New Roman"/>
                <w:sz w:val="24"/>
              </w:rPr>
              <w:t>Total risk-weighted exposure amount</w:t>
            </w:r>
            <w:r w:rsidR="00EE1F54">
              <w:rPr>
                <w:rFonts w:ascii="Times New Roman" w:hAnsi="Times New Roman" w:cs="Times New Roman"/>
                <w:sz w:val="24"/>
              </w:rPr>
              <w:t>s</w:t>
            </w:r>
          </w:p>
          <w:p w14:paraId="131939F9" w14:textId="2E293A3F" w:rsidR="00EC3DC7" w:rsidRPr="00C31378" w:rsidRDefault="00EC3DC7" w:rsidP="009D2A94">
            <w:pPr>
              <w:spacing w:before="60" w:after="120"/>
              <w:jc w:val="both"/>
              <w:rPr>
                <w:rFonts w:ascii="Times New Roman" w:hAnsi="Times New Roman" w:cs="Times New Roman"/>
                <w:noProof/>
                <w:sz w:val="24"/>
              </w:rPr>
            </w:pPr>
            <w:r w:rsidRPr="00C31378">
              <w:rPr>
                <w:rFonts w:ascii="Times New Roman" w:hAnsi="Times New Roman" w:cs="Times New Roman"/>
                <w:sz w:val="24"/>
              </w:rPr>
              <w:t>Amount of total risk-weighted</w:t>
            </w:r>
            <w:r w:rsidR="009D2A94" w:rsidRPr="00C31378">
              <w:rPr>
                <w:rFonts w:ascii="Times New Roman" w:hAnsi="Times New Roman" w:cs="Times New Roman"/>
                <w:sz w:val="24"/>
              </w:rPr>
              <w:t xml:space="preserve"> exposure amount</w:t>
            </w:r>
            <w:r w:rsidR="00EE1F54">
              <w:rPr>
                <w:rFonts w:ascii="Times New Roman" w:hAnsi="Times New Roman" w:cs="Times New Roman"/>
                <w:sz w:val="24"/>
              </w:rPr>
              <w:t>s</w:t>
            </w:r>
            <w:r w:rsidR="009D2A94" w:rsidRPr="00C31378">
              <w:rPr>
                <w:rFonts w:ascii="Times New Roman" w:hAnsi="Times New Roman" w:cs="Times New Roman"/>
                <w:sz w:val="24"/>
              </w:rPr>
              <w:t xml:space="preserve"> (</w:t>
            </w:r>
            <w:r w:rsidR="009A4635">
              <w:rPr>
                <w:rFonts w:ascii="Times New Roman" w:hAnsi="Times New Roman" w:cs="Times New Roman"/>
                <w:sz w:val="24"/>
              </w:rPr>
              <w:t>RWEA</w:t>
            </w:r>
            <w:r w:rsidR="009D2A94" w:rsidRPr="00C31378">
              <w:rPr>
                <w:rFonts w:ascii="Times New Roman" w:hAnsi="Times New Roman" w:cs="Times New Roman"/>
                <w:sz w:val="24"/>
              </w:rPr>
              <w:t>s)</w:t>
            </w:r>
            <w:r w:rsidRPr="00C31378">
              <w:rPr>
                <w:rFonts w:ascii="Times New Roman" w:hAnsi="Times New Roman" w:cs="Times New Roman"/>
                <w:sz w:val="24"/>
              </w:rPr>
              <w:t xml:space="preserve"> in accordance with the amount disclosed by institutions </w:t>
            </w:r>
            <w:r w:rsidR="00475381" w:rsidRPr="00C31378">
              <w:rPr>
                <w:rFonts w:ascii="Times New Roman" w:hAnsi="Times New Roman" w:cs="Times New Roman"/>
                <w:sz w:val="24"/>
              </w:rPr>
              <w:t xml:space="preserve">following Annex </w:t>
            </w:r>
            <w:r w:rsidR="009947D6">
              <w:rPr>
                <w:rFonts w:ascii="Times New Roman" w:hAnsi="Times New Roman" w:cs="Times New Roman"/>
                <w:sz w:val="24"/>
              </w:rPr>
              <w:t>7</w:t>
            </w:r>
            <w:r w:rsidR="009947D6" w:rsidRPr="00C31378">
              <w:rPr>
                <w:rFonts w:ascii="Times New Roman" w:hAnsi="Times New Roman" w:cs="Times New Roman"/>
                <w:sz w:val="24"/>
              </w:rPr>
              <w:t xml:space="preserve"> </w:t>
            </w:r>
            <w:r w:rsidR="00475381" w:rsidRPr="00C31378">
              <w:rPr>
                <w:rFonts w:ascii="Times New Roman" w:hAnsi="Times New Roman" w:cs="Times New Roman"/>
                <w:sz w:val="24"/>
              </w:rPr>
              <w:t>of this ITS,</w:t>
            </w:r>
            <w:r w:rsidRPr="00C31378">
              <w:rPr>
                <w:rFonts w:ascii="Times New Roman" w:hAnsi="Times New Roman" w:cs="Times New Roman"/>
                <w:sz w:val="24"/>
              </w:rPr>
              <w:t xml:space="preserve"> on disclosure of own funds requirements (row 60 of </w:t>
            </w:r>
            <w:r w:rsidR="009947D6">
              <w:rPr>
                <w:rFonts w:ascii="Times New Roman" w:hAnsi="Times New Roman" w:cs="Times New Roman"/>
                <w:sz w:val="24"/>
              </w:rPr>
              <w:t>t</w:t>
            </w:r>
            <w:r w:rsidR="009947D6" w:rsidRPr="00B37911">
              <w:rPr>
                <w:rFonts w:ascii="Times New Roman" w:hAnsi="Times New Roman" w:cs="Times New Roman"/>
                <w:sz w:val="24"/>
              </w:rPr>
              <w:t>emp</w:t>
            </w:r>
            <w:r w:rsidR="009947D6">
              <w:rPr>
                <w:rFonts w:ascii="Times New Roman" w:hAnsi="Times New Roman" w:cs="Times New Roman"/>
                <w:sz w:val="24"/>
              </w:rPr>
              <w:t>late EU CC1</w:t>
            </w:r>
            <w:r w:rsidR="009947D6" w:rsidRPr="00B37911">
              <w:rPr>
                <w:rFonts w:ascii="Times New Roman" w:hAnsi="Times New Roman" w:cs="Times New Roman"/>
                <w:sz w:val="24"/>
              </w:rPr>
              <w:t xml:space="preserve"> Composition of regulatory own funds</w:t>
            </w:r>
            <w:r w:rsidRPr="00C31378">
              <w:rPr>
                <w:rFonts w:ascii="Times New Roman" w:hAnsi="Times New Roman" w:cs="Times New Roman"/>
                <w:sz w:val="24"/>
              </w:rPr>
              <w:t xml:space="preserve">) </w:t>
            </w:r>
          </w:p>
        </w:tc>
      </w:tr>
      <w:tr w:rsidR="00EC3DC7" w:rsidRPr="00C31378" w14:paraId="113E1653" w14:textId="77777777" w:rsidTr="00B2180A">
        <w:trPr>
          <w:trHeight w:val="557"/>
        </w:trPr>
        <w:tc>
          <w:tcPr>
            <w:tcW w:w="1384" w:type="dxa"/>
          </w:tcPr>
          <w:p w14:paraId="2DD2B420" w14:textId="06909C0B" w:rsidR="00EC3DC7" w:rsidRPr="00C31378" w:rsidRDefault="00475381" w:rsidP="00EC3DC7">
            <w:pPr>
              <w:pStyle w:val="Applicationdirecte"/>
              <w:spacing w:before="60"/>
              <w:jc w:val="center"/>
            </w:pPr>
            <w:r w:rsidRPr="00C31378">
              <w:t>5</w:t>
            </w:r>
          </w:p>
        </w:tc>
        <w:tc>
          <w:tcPr>
            <w:tcW w:w="7655" w:type="dxa"/>
          </w:tcPr>
          <w:p w14:paraId="4BBD05E7" w14:textId="644FD545" w:rsidR="00475381" w:rsidRPr="00C31378" w:rsidRDefault="00475381" w:rsidP="00475381">
            <w:pPr>
              <w:spacing w:before="60" w:after="120"/>
              <w:jc w:val="both"/>
              <w:rPr>
                <w:rFonts w:ascii="Times New Roman" w:hAnsi="Times New Roman" w:cs="Times New Roman"/>
                <w:sz w:val="24"/>
              </w:rPr>
            </w:pPr>
            <w:r w:rsidRPr="00C31378">
              <w:rPr>
                <w:rFonts w:ascii="Times New Roman" w:hAnsi="Times New Roman" w:cs="Times New Roman"/>
                <w:sz w:val="24"/>
              </w:rPr>
              <w:t>Common Equity Tier 1 ratio (%)</w:t>
            </w:r>
          </w:p>
          <w:p w14:paraId="63BAD303" w14:textId="4FB9B782" w:rsidR="00EC3DC7" w:rsidRPr="00C31378" w:rsidRDefault="00EC3DC7" w:rsidP="009947D6">
            <w:pPr>
              <w:spacing w:before="60" w:after="120"/>
              <w:jc w:val="both"/>
              <w:rPr>
                <w:rFonts w:ascii="Times New Roman" w:hAnsi="Times New Roman" w:cs="Times New Roman"/>
                <w:noProof/>
                <w:sz w:val="24"/>
              </w:rPr>
            </w:pPr>
            <w:r w:rsidRPr="00C31378">
              <w:rPr>
                <w:rFonts w:ascii="Times New Roman" w:hAnsi="Times New Roman" w:cs="Times New Roman"/>
                <w:sz w:val="24"/>
              </w:rPr>
              <w:t xml:space="preserve">CET1 capital ratio in accordance with the value disclosed by institutions following </w:t>
            </w:r>
            <w:r w:rsidR="00475381" w:rsidRPr="00C31378">
              <w:rPr>
                <w:rFonts w:ascii="Times New Roman" w:hAnsi="Times New Roman" w:cs="Times New Roman"/>
                <w:sz w:val="24"/>
              </w:rPr>
              <w:t xml:space="preserve"> Annex </w:t>
            </w:r>
            <w:r w:rsidR="009947D6">
              <w:rPr>
                <w:rFonts w:ascii="Times New Roman" w:hAnsi="Times New Roman" w:cs="Times New Roman"/>
                <w:sz w:val="24"/>
              </w:rPr>
              <w:t>7</w:t>
            </w:r>
            <w:r w:rsidR="009947D6" w:rsidRPr="00C31378">
              <w:rPr>
                <w:rFonts w:ascii="Times New Roman" w:hAnsi="Times New Roman" w:cs="Times New Roman"/>
                <w:sz w:val="24"/>
              </w:rPr>
              <w:t xml:space="preserve"> </w:t>
            </w:r>
            <w:r w:rsidR="00475381" w:rsidRPr="00C31378">
              <w:rPr>
                <w:rFonts w:ascii="Times New Roman" w:hAnsi="Times New Roman" w:cs="Times New Roman"/>
                <w:sz w:val="24"/>
              </w:rPr>
              <w:t>of this ITS,</w:t>
            </w:r>
            <w:r w:rsidRPr="00C31378">
              <w:rPr>
                <w:rFonts w:ascii="Times New Roman" w:hAnsi="Times New Roman" w:cs="Times New Roman"/>
                <w:sz w:val="24"/>
              </w:rPr>
              <w:t xml:space="preserve"> on disclosure of own funds requirements (row </w:t>
            </w:r>
            <w:r w:rsidRPr="00BB61BA">
              <w:rPr>
                <w:rFonts w:ascii="Times New Roman" w:hAnsi="Times New Roman" w:cs="Times New Roman"/>
                <w:sz w:val="24"/>
              </w:rPr>
              <w:t>61</w:t>
            </w:r>
            <w:r w:rsidRPr="00C31378">
              <w:rPr>
                <w:rFonts w:ascii="Times New Roman" w:hAnsi="Times New Roman" w:cs="Times New Roman"/>
                <w:sz w:val="24"/>
              </w:rPr>
              <w:t xml:space="preserve"> of </w:t>
            </w:r>
            <w:r w:rsidR="009947D6">
              <w:rPr>
                <w:rFonts w:ascii="Times New Roman" w:hAnsi="Times New Roman" w:cs="Times New Roman"/>
                <w:sz w:val="24"/>
              </w:rPr>
              <w:t>t</w:t>
            </w:r>
            <w:r w:rsidR="009947D6" w:rsidRPr="00B37911">
              <w:rPr>
                <w:rFonts w:ascii="Times New Roman" w:hAnsi="Times New Roman" w:cs="Times New Roman"/>
                <w:sz w:val="24"/>
              </w:rPr>
              <w:t>emp</w:t>
            </w:r>
            <w:r w:rsidR="009947D6">
              <w:rPr>
                <w:rFonts w:ascii="Times New Roman" w:hAnsi="Times New Roman" w:cs="Times New Roman"/>
                <w:sz w:val="24"/>
              </w:rPr>
              <w:t>late EU CC1</w:t>
            </w:r>
            <w:r w:rsidR="009947D6" w:rsidRPr="00B37911">
              <w:rPr>
                <w:rFonts w:ascii="Times New Roman" w:hAnsi="Times New Roman" w:cs="Times New Roman"/>
                <w:sz w:val="24"/>
              </w:rPr>
              <w:t xml:space="preserve"> Composition of regulatory own funds</w:t>
            </w:r>
            <w:r w:rsidRPr="00C31378">
              <w:rPr>
                <w:rFonts w:ascii="Times New Roman" w:hAnsi="Times New Roman" w:cs="Times New Roman"/>
                <w:sz w:val="24"/>
              </w:rPr>
              <w:t>)</w:t>
            </w:r>
          </w:p>
        </w:tc>
      </w:tr>
      <w:tr w:rsidR="00EC3DC7" w:rsidRPr="00C31378" w14:paraId="60C0D9AD" w14:textId="77777777" w:rsidTr="00B2180A">
        <w:trPr>
          <w:trHeight w:val="557"/>
        </w:trPr>
        <w:tc>
          <w:tcPr>
            <w:tcW w:w="1384" w:type="dxa"/>
          </w:tcPr>
          <w:p w14:paraId="5BFA6644" w14:textId="74BF0399" w:rsidR="00EC3DC7" w:rsidRPr="00C31378" w:rsidRDefault="00475381" w:rsidP="00EC3DC7">
            <w:pPr>
              <w:pStyle w:val="Applicationdirecte"/>
              <w:spacing w:before="60"/>
              <w:jc w:val="center"/>
            </w:pPr>
            <w:r w:rsidRPr="00C31378">
              <w:t>6</w:t>
            </w:r>
          </w:p>
        </w:tc>
        <w:tc>
          <w:tcPr>
            <w:tcW w:w="7655" w:type="dxa"/>
          </w:tcPr>
          <w:p w14:paraId="5B98FC3F" w14:textId="4F3C7823" w:rsidR="00475381" w:rsidRPr="00C31378" w:rsidRDefault="00475381" w:rsidP="00EC3DC7">
            <w:pPr>
              <w:spacing w:before="60" w:after="120"/>
              <w:jc w:val="both"/>
              <w:rPr>
                <w:rFonts w:ascii="Times New Roman" w:hAnsi="Times New Roman" w:cs="Times New Roman"/>
                <w:sz w:val="24"/>
              </w:rPr>
            </w:pPr>
            <w:r w:rsidRPr="00C31378">
              <w:rPr>
                <w:rFonts w:ascii="Times New Roman" w:hAnsi="Times New Roman" w:cs="Times New Roman"/>
                <w:sz w:val="24"/>
              </w:rPr>
              <w:t>Tier 1 ratio (%)</w:t>
            </w:r>
          </w:p>
          <w:p w14:paraId="0FB2FDD7" w14:textId="421B569A" w:rsidR="00EC3DC7" w:rsidRPr="00C31378" w:rsidRDefault="00EC3DC7" w:rsidP="009947D6">
            <w:pPr>
              <w:spacing w:before="60" w:after="120"/>
              <w:jc w:val="both"/>
              <w:rPr>
                <w:rFonts w:ascii="Times New Roman" w:hAnsi="Times New Roman" w:cs="Times New Roman"/>
                <w:noProof/>
                <w:sz w:val="24"/>
              </w:rPr>
            </w:pPr>
            <w:r w:rsidRPr="00C31378">
              <w:rPr>
                <w:rFonts w:ascii="Times New Roman" w:hAnsi="Times New Roman" w:cs="Times New Roman"/>
                <w:sz w:val="24"/>
              </w:rPr>
              <w:t>Tier 1 capital ratio in accordance with the value disclosed by institutions</w:t>
            </w:r>
            <w:r w:rsidR="00475381" w:rsidRPr="00C31378">
              <w:rPr>
                <w:rFonts w:ascii="Times New Roman" w:hAnsi="Times New Roman" w:cs="Times New Roman"/>
                <w:sz w:val="24"/>
              </w:rPr>
              <w:t xml:space="preserve"> following  Annex </w:t>
            </w:r>
            <w:r w:rsidR="009947D6">
              <w:rPr>
                <w:rFonts w:ascii="Times New Roman" w:hAnsi="Times New Roman" w:cs="Times New Roman"/>
                <w:sz w:val="24"/>
              </w:rPr>
              <w:t>7</w:t>
            </w:r>
            <w:r w:rsidR="009947D6" w:rsidRPr="00C31378">
              <w:rPr>
                <w:rFonts w:ascii="Times New Roman" w:hAnsi="Times New Roman" w:cs="Times New Roman"/>
                <w:sz w:val="24"/>
              </w:rPr>
              <w:t xml:space="preserve"> </w:t>
            </w:r>
            <w:r w:rsidR="00475381" w:rsidRPr="00C31378">
              <w:rPr>
                <w:rFonts w:ascii="Times New Roman" w:hAnsi="Times New Roman" w:cs="Times New Roman"/>
                <w:sz w:val="24"/>
              </w:rPr>
              <w:t xml:space="preserve">of this ITS, </w:t>
            </w:r>
            <w:r w:rsidRPr="00C31378">
              <w:rPr>
                <w:rFonts w:ascii="Times New Roman" w:hAnsi="Times New Roman" w:cs="Times New Roman"/>
                <w:sz w:val="24"/>
              </w:rPr>
              <w:t>on discl</w:t>
            </w:r>
            <w:r w:rsidR="00475381" w:rsidRPr="00C31378">
              <w:rPr>
                <w:rFonts w:ascii="Times New Roman" w:hAnsi="Times New Roman" w:cs="Times New Roman"/>
                <w:sz w:val="24"/>
              </w:rPr>
              <w:t>osure of own funds requirements</w:t>
            </w:r>
            <w:r w:rsidRPr="00C31378">
              <w:rPr>
                <w:rFonts w:ascii="Times New Roman" w:hAnsi="Times New Roman" w:cs="Times New Roman"/>
                <w:sz w:val="24"/>
              </w:rPr>
              <w:t xml:space="preserve"> (row </w:t>
            </w:r>
            <w:r w:rsidRPr="00BB61BA">
              <w:rPr>
                <w:rFonts w:ascii="Times New Roman" w:hAnsi="Times New Roman" w:cs="Times New Roman"/>
                <w:sz w:val="24"/>
              </w:rPr>
              <w:t>62</w:t>
            </w:r>
            <w:r w:rsidRPr="00C31378">
              <w:rPr>
                <w:rFonts w:ascii="Times New Roman" w:hAnsi="Times New Roman" w:cs="Times New Roman"/>
                <w:sz w:val="24"/>
              </w:rPr>
              <w:t xml:space="preserve"> of </w:t>
            </w:r>
            <w:r w:rsidR="009947D6">
              <w:rPr>
                <w:rFonts w:ascii="Times New Roman" w:hAnsi="Times New Roman" w:cs="Times New Roman"/>
                <w:sz w:val="24"/>
              </w:rPr>
              <w:t>t</w:t>
            </w:r>
            <w:r w:rsidR="009947D6" w:rsidRPr="00B37911">
              <w:rPr>
                <w:rFonts w:ascii="Times New Roman" w:hAnsi="Times New Roman" w:cs="Times New Roman"/>
                <w:sz w:val="24"/>
              </w:rPr>
              <w:t>emp</w:t>
            </w:r>
            <w:r w:rsidR="009947D6">
              <w:rPr>
                <w:rFonts w:ascii="Times New Roman" w:hAnsi="Times New Roman" w:cs="Times New Roman"/>
                <w:sz w:val="24"/>
              </w:rPr>
              <w:t>late EU CC1</w:t>
            </w:r>
            <w:r w:rsidR="009947D6" w:rsidRPr="00B37911">
              <w:rPr>
                <w:rFonts w:ascii="Times New Roman" w:hAnsi="Times New Roman" w:cs="Times New Roman"/>
                <w:sz w:val="24"/>
              </w:rPr>
              <w:t xml:space="preserve"> Composition of regulatory own funds</w:t>
            </w:r>
            <w:r w:rsidRPr="00C31378">
              <w:rPr>
                <w:rFonts w:ascii="Times New Roman" w:hAnsi="Times New Roman" w:cs="Times New Roman"/>
                <w:sz w:val="24"/>
              </w:rPr>
              <w:t>)</w:t>
            </w:r>
          </w:p>
        </w:tc>
      </w:tr>
      <w:tr w:rsidR="00EC3DC7" w:rsidRPr="00C31378" w14:paraId="69748896" w14:textId="77777777" w:rsidTr="00B2180A">
        <w:trPr>
          <w:trHeight w:val="557"/>
        </w:trPr>
        <w:tc>
          <w:tcPr>
            <w:tcW w:w="1384" w:type="dxa"/>
          </w:tcPr>
          <w:p w14:paraId="196DF4A9" w14:textId="5EF9E7DC" w:rsidR="00EC3DC7" w:rsidRPr="00C31378" w:rsidRDefault="00475381" w:rsidP="00475381">
            <w:pPr>
              <w:pStyle w:val="Applicationdirecte"/>
              <w:spacing w:before="60"/>
              <w:jc w:val="center"/>
            </w:pPr>
            <w:r w:rsidRPr="00C31378">
              <w:lastRenderedPageBreak/>
              <w:t>7</w:t>
            </w:r>
          </w:p>
        </w:tc>
        <w:tc>
          <w:tcPr>
            <w:tcW w:w="7655" w:type="dxa"/>
          </w:tcPr>
          <w:p w14:paraId="650C46C9" w14:textId="0DCDCA9E" w:rsidR="00475381" w:rsidRPr="00C31378" w:rsidRDefault="00475381" w:rsidP="00475381">
            <w:pPr>
              <w:spacing w:before="60" w:after="120"/>
              <w:jc w:val="both"/>
              <w:rPr>
                <w:rFonts w:ascii="Times New Roman" w:hAnsi="Times New Roman" w:cs="Times New Roman"/>
                <w:sz w:val="24"/>
              </w:rPr>
            </w:pPr>
            <w:r w:rsidRPr="00C31378">
              <w:rPr>
                <w:rFonts w:ascii="Times New Roman" w:hAnsi="Times New Roman" w:cs="Times New Roman"/>
                <w:sz w:val="24"/>
              </w:rPr>
              <w:t>Total capital ratio (%)</w:t>
            </w:r>
          </w:p>
          <w:p w14:paraId="514BF14A" w14:textId="01663DD2" w:rsidR="00EC3DC7" w:rsidRPr="00C31378" w:rsidRDefault="00EC3DC7" w:rsidP="009947D6">
            <w:pPr>
              <w:spacing w:before="60" w:after="120"/>
              <w:jc w:val="both"/>
              <w:rPr>
                <w:rFonts w:ascii="Times New Roman" w:hAnsi="Times New Roman" w:cs="Times New Roman"/>
                <w:noProof/>
                <w:sz w:val="24"/>
              </w:rPr>
            </w:pPr>
            <w:r w:rsidRPr="00C31378">
              <w:rPr>
                <w:rFonts w:ascii="Times New Roman" w:hAnsi="Times New Roman" w:cs="Times New Roman"/>
                <w:sz w:val="24"/>
              </w:rPr>
              <w:t xml:space="preserve">Total capital ratio in accordance with the value disclosed by institutions </w:t>
            </w:r>
            <w:r w:rsidR="00475381" w:rsidRPr="00C31378">
              <w:rPr>
                <w:rFonts w:ascii="Times New Roman" w:hAnsi="Times New Roman" w:cs="Times New Roman"/>
                <w:sz w:val="24"/>
              </w:rPr>
              <w:t xml:space="preserve">following  Annex </w:t>
            </w:r>
            <w:r w:rsidR="009947D6">
              <w:rPr>
                <w:rFonts w:ascii="Times New Roman" w:hAnsi="Times New Roman" w:cs="Times New Roman"/>
                <w:sz w:val="24"/>
              </w:rPr>
              <w:t>7</w:t>
            </w:r>
            <w:r w:rsidR="009947D6" w:rsidRPr="00C31378">
              <w:rPr>
                <w:rFonts w:ascii="Times New Roman" w:hAnsi="Times New Roman" w:cs="Times New Roman"/>
                <w:sz w:val="24"/>
              </w:rPr>
              <w:t xml:space="preserve"> </w:t>
            </w:r>
            <w:r w:rsidR="00475381" w:rsidRPr="00C31378">
              <w:rPr>
                <w:rFonts w:ascii="Times New Roman" w:hAnsi="Times New Roman" w:cs="Times New Roman"/>
                <w:sz w:val="24"/>
              </w:rPr>
              <w:t xml:space="preserve">of this ITS, </w:t>
            </w:r>
            <w:r w:rsidRPr="00C31378">
              <w:rPr>
                <w:rFonts w:ascii="Times New Roman" w:hAnsi="Times New Roman" w:cs="Times New Roman"/>
                <w:sz w:val="24"/>
              </w:rPr>
              <w:t xml:space="preserve">on disclosure of own funds requirements (row </w:t>
            </w:r>
            <w:r w:rsidRPr="00BB61BA">
              <w:rPr>
                <w:rFonts w:ascii="Times New Roman" w:hAnsi="Times New Roman" w:cs="Times New Roman"/>
                <w:sz w:val="24"/>
              </w:rPr>
              <w:t>63</w:t>
            </w:r>
            <w:r w:rsidRPr="00C31378">
              <w:rPr>
                <w:rFonts w:ascii="Times New Roman" w:hAnsi="Times New Roman" w:cs="Times New Roman"/>
                <w:sz w:val="24"/>
              </w:rPr>
              <w:t xml:space="preserve"> of </w:t>
            </w:r>
            <w:r w:rsidR="009947D6">
              <w:rPr>
                <w:rFonts w:ascii="Times New Roman" w:hAnsi="Times New Roman" w:cs="Times New Roman"/>
                <w:sz w:val="24"/>
              </w:rPr>
              <w:t>t</w:t>
            </w:r>
            <w:r w:rsidR="009947D6" w:rsidRPr="00B37911">
              <w:rPr>
                <w:rFonts w:ascii="Times New Roman" w:hAnsi="Times New Roman" w:cs="Times New Roman"/>
                <w:sz w:val="24"/>
              </w:rPr>
              <w:t>emp</w:t>
            </w:r>
            <w:r w:rsidR="009947D6">
              <w:rPr>
                <w:rFonts w:ascii="Times New Roman" w:hAnsi="Times New Roman" w:cs="Times New Roman"/>
                <w:sz w:val="24"/>
              </w:rPr>
              <w:t>late EU CC1</w:t>
            </w:r>
            <w:r w:rsidR="009947D6" w:rsidRPr="00B37911">
              <w:rPr>
                <w:rFonts w:ascii="Times New Roman" w:hAnsi="Times New Roman" w:cs="Times New Roman"/>
                <w:sz w:val="24"/>
              </w:rPr>
              <w:t xml:space="preserve"> Composition of regulatory own funds</w:t>
            </w:r>
            <w:r w:rsidRPr="00C31378">
              <w:rPr>
                <w:rFonts w:ascii="Times New Roman" w:hAnsi="Times New Roman" w:cs="Times New Roman"/>
                <w:sz w:val="24"/>
              </w:rPr>
              <w:t>)</w:t>
            </w:r>
          </w:p>
        </w:tc>
      </w:tr>
      <w:tr w:rsidR="002D5755" w:rsidRPr="00C31378" w14:paraId="4C3A9318" w14:textId="77777777" w:rsidTr="00B2180A">
        <w:trPr>
          <w:trHeight w:val="557"/>
        </w:trPr>
        <w:tc>
          <w:tcPr>
            <w:tcW w:w="1384" w:type="dxa"/>
          </w:tcPr>
          <w:p w14:paraId="2915C412" w14:textId="135275D0" w:rsidR="002D5755" w:rsidRPr="00C31378" w:rsidRDefault="002F1302" w:rsidP="002D5755">
            <w:pPr>
              <w:pStyle w:val="Applicationdirecte"/>
              <w:spacing w:before="60"/>
              <w:jc w:val="center"/>
            </w:pPr>
            <w:r>
              <w:t xml:space="preserve">EU </w:t>
            </w:r>
            <w:r w:rsidR="002D5755" w:rsidRPr="00C31378">
              <w:t>7a</w:t>
            </w:r>
          </w:p>
        </w:tc>
        <w:tc>
          <w:tcPr>
            <w:tcW w:w="7655" w:type="dxa"/>
          </w:tcPr>
          <w:p w14:paraId="0D3A3D2A" w14:textId="77777777" w:rsidR="002D5755" w:rsidRPr="00C31378" w:rsidRDefault="002D5755" w:rsidP="002D5755">
            <w:pPr>
              <w:spacing w:before="60" w:after="120"/>
              <w:jc w:val="both"/>
              <w:rPr>
                <w:rFonts w:ascii="Times New Roman" w:hAnsi="Times New Roman" w:cs="Times New Roman"/>
                <w:sz w:val="24"/>
              </w:rPr>
            </w:pPr>
            <w:r w:rsidRPr="00C31378">
              <w:rPr>
                <w:rFonts w:ascii="Times New Roman" w:hAnsi="Times New Roman" w:cs="Times New Roman"/>
                <w:sz w:val="24"/>
              </w:rPr>
              <w:t>Additional CET1 SREP requirements (%)</w:t>
            </w:r>
          </w:p>
          <w:p w14:paraId="430FB25E" w14:textId="4A5E585C" w:rsidR="002D5755" w:rsidRPr="00C31378" w:rsidRDefault="002D5755" w:rsidP="003F72E2">
            <w:pPr>
              <w:spacing w:before="60" w:after="120"/>
              <w:jc w:val="both"/>
              <w:rPr>
                <w:rFonts w:ascii="Times New Roman" w:hAnsi="Times New Roman" w:cs="Times New Roman"/>
                <w:sz w:val="24"/>
              </w:rPr>
            </w:pPr>
            <w:r w:rsidRPr="00C31378">
              <w:rPr>
                <w:rFonts w:ascii="Times New Roman" w:hAnsi="Times New Roman" w:cs="Times New Roman"/>
                <w:sz w:val="24"/>
              </w:rPr>
              <w:t>Additional own funds</w:t>
            </w:r>
            <w:r w:rsidR="003F72E2" w:rsidRPr="00C31378">
              <w:rPr>
                <w:rFonts w:ascii="Times New Roman" w:hAnsi="Times New Roman" w:cs="Times New Roman"/>
                <w:sz w:val="24"/>
              </w:rPr>
              <w:t xml:space="preserve"> (in particular CET1 instruments) </w:t>
            </w:r>
            <w:r w:rsidRPr="00C31378">
              <w:rPr>
                <w:rFonts w:ascii="Times New Roman" w:hAnsi="Times New Roman" w:cs="Times New Roman"/>
                <w:sz w:val="24"/>
              </w:rPr>
              <w:t>requirements based on the supervisory review process as referred to in point (a) of Article 104(1) of Directive 2013/36/EU</w:t>
            </w:r>
            <w:r w:rsidR="009947D6">
              <w:rPr>
                <w:rFonts w:ascii="Times New Roman" w:hAnsi="Times New Roman" w:cs="Times New Roman"/>
                <w:sz w:val="24"/>
              </w:rPr>
              <w:t>.</w:t>
            </w:r>
          </w:p>
        </w:tc>
      </w:tr>
      <w:tr w:rsidR="002D5755" w:rsidRPr="00C31378" w14:paraId="33BA12F7" w14:textId="77777777" w:rsidTr="00B2180A">
        <w:trPr>
          <w:trHeight w:val="557"/>
        </w:trPr>
        <w:tc>
          <w:tcPr>
            <w:tcW w:w="1384" w:type="dxa"/>
          </w:tcPr>
          <w:p w14:paraId="7E29DC7A" w14:textId="50113045" w:rsidR="002D5755" w:rsidRPr="00C31378" w:rsidRDefault="002F1302" w:rsidP="002D5755">
            <w:pPr>
              <w:pStyle w:val="Applicationdirecte"/>
              <w:spacing w:before="60"/>
              <w:jc w:val="center"/>
            </w:pPr>
            <w:r>
              <w:t xml:space="preserve">EU </w:t>
            </w:r>
            <w:r w:rsidR="002D5755" w:rsidRPr="00C31378">
              <w:t>7b</w:t>
            </w:r>
          </w:p>
        </w:tc>
        <w:tc>
          <w:tcPr>
            <w:tcW w:w="7655" w:type="dxa"/>
          </w:tcPr>
          <w:p w14:paraId="1A5FF2FE" w14:textId="77777777" w:rsidR="002D5755" w:rsidRPr="00C31378" w:rsidRDefault="002D5755" w:rsidP="002D5755">
            <w:pPr>
              <w:spacing w:before="60" w:after="120"/>
              <w:jc w:val="both"/>
              <w:rPr>
                <w:rFonts w:ascii="Times New Roman" w:hAnsi="Times New Roman" w:cs="Times New Roman"/>
                <w:sz w:val="24"/>
              </w:rPr>
            </w:pPr>
            <w:r w:rsidRPr="00C31378">
              <w:rPr>
                <w:rFonts w:ascii="Times New Roman" w:hAnsi="Times New Roman" w:cs="Times New Roman"/>
                <w:sz w:val="24"/>
              </w:rPr>
              <w:t>Additional AT1 SREP requirements (%)</w:t>
            </w:r>
          </w:p>
          <w:p w14:paraId="26FC2F94" w14:textId="2070AEAC" w:rsidR="003F72E2" w:rsidRPr="00C31378" w:rsidRDefault="003F72E2" w:rsidP="003F72E2">
            <w:pPr>
              <w:spacing w:before="60" w:after="120"/>
              <w:jc w:val="both"/>
              <w:rPr>
                <w:rFonts w:ascii="Times New Roman" w:hAnsi="Times New Roman" w:cs="Times New Roman"/>
                <w:sz w:val="24"/>
              </w:rPr>
            </w:pPr>
            <w:r w:rsidRPr="00C31378">
              <w:rPr>
                <w:rFonts w:ascii="Times New Roman" w:hAnsi="Times New Roman" w:cs="Times New Roman"/>
                <w:sz w:val="24"/>
              </w:rPr>
              <w:t>Additional own funds (in particular additional Tier 1 instruments) requirements based on the supervisory review process as referred to in point (a) of Article 104(1) of Directive 2013/36/EU</w:t>
            </w:r>
            <w:r w:rsidR="009947D6">
              <w:rPr>
                <w:rFonts w:ascii="Times New Roman" w:hAnsi="Times New Roman" w:cs="Times New Roman"/>
                <w:sz w:val="24"/>
              </w:rPr>
              <w:t>.</w:t>
            </w:r>
          </w:p>
        </w:tc>
      </w:tr>
      <w:tr w:rsidR="002D5755" w:rsidRPr="00C31378" w14:paraId="1EF1E3F3" w14:textId="77777777" w:rsidTr="00B2180A">
        <w:trPr>
          <w:trHeight w:val="557"/>
        </w:trPr>
        <w:tc>
          <w:tcPr>
            <w:tcW w:w="1384" w:type="dxa"/>
          </w:tcPr>
          <w:p w14:paraId="04764B2D" w14:textId="5EC54605" w:rsidR="002D5755" w:rsidRPr="00C31378" w:rsidRDefault="002F1302" w:rsidP="002D5755">
            <w:pPr>
              <w:pStyle w:val="Applicationdirecte"/>
              <w:spacing w:before="60"/>
              <w:jc w:val="center"/>
            </w:pPr>
            <w:r>
              <w:t xml:space="preserve">EU </w:t>
            </w:r>
            <w:r w:rsidR="002D5755" w:rsidRPr="00C31378">
              <w:t>7c</w:t>
            </w:r>
          </w:p>
        </w:tc>
        <w:tc>
          <w:tcPr>
            <w:tcW w:w="7655" w:type="dxa"/>
          </w:tcPr>
          <w:p w14:paraId="172528FA" w14:textId="77777777" w:rsidR="002D5755" w:rsidRPr="00C31378" w:rsidRDefault="002D5755" w:rsidP="002D5755">
            <w:pPr>
              <w:spacing w:before="60" w:after="120"/>
              <w:jc w:val="both"/>
              <w:rPr>
                <w:rFonts w:ascii="Times New Roman" w:hAnsi="Times New Roman" w:cs="Times New Roman"/>
                <w:sz w:val="24"/>
              </w:rPr>
            </w:pPr>
            <w:r w:rsidRPr="00C31378">
              <w:rPr>
                <w:rFonts w:ascii="Times New Roman" w:hAnsi="Times New Roman" w:cs="Times New Roman"/>
                <w:sz w:val="24"/>
              </w:rPr>
              <w:t>Additional T2 SREP requirements (%)</w:t>
            </w:r>
          </w:p>
          <w:p w14:paraId="492EAEBA" w14:textId="1DE9B4FC" w:rsidR="003F72E2" w:rsidRPr="00C31378" w:rsidRDefault="003F72E2" w:rsidP="003F72E2">
            <w:pPr>
              <w:spacing w:before="60" w:after="120"/>
              <w:jc w:val="both"/>
              <w:rPr>
                <w:rFonts w:ascii="Times New Roman" w:hAnsi="Times New Roman" w:cs="Times New Roman"/>
                <w:sz w:val="24"/>
              </w:rPr>
            </w:pPr>
            <w:r w:rsidRPr="00C31378">
              <w:rPr>
                <w:rFonts w:ascii="Times New Roman" w:hAnsi="Times New Roman" w:cs="Times New Roman"/>
                <w:sz w:val="24"/>
              </w:rPr>
              <w:t>Additional own funds (Tier 2 instruments) requirements based on the supervisory review process as referred to in point (a) of Article 104(1) of Directive 2013/36/EU</w:t>
            </w:r>
            <w:r w:rsidR="009947D6">
              <w:rPr>
                <w:rFonts w:ascii="Times New Roman" w:hAnsi="Times New Roman" w:cs="Times New Roman"/>
                <w:sz w:val="24"/>
              </w:rPr>
              <w:t>.</w:t>
            </w:r>
          </w:p>
        </w:tc>
      </w:tr>
      <w:tr w:rsidR="002D5755" w:rsidRPr="00C31378" w14:paraId="3AE001A1" w14:textId="77777777" w:rsidTr="00B2180A">
        <w:trPr>
          <w:trHeight w:val="557"/>
        </w:trPr>
        <w:tc>
          <w:tcPr>
            <w:tcW w:w="1384" w:type="dxa"/>
          </w:tcPr>
          <w:p w14:paraId="40C2949A" w14:textId="1F5F15E3" w:rsidR="002D5755" w:rsidRPr="00C31378" w:rsidRDefault="002F1302" w:rsidP="002D5755">
            <w:pPr>
              <w:pStyle w:val="Applicationdirecte"/>
              <w:spacing w:before="60"/>
              <w:jc w:val="center"/>
            </w:pPr>
            <w:r>
              <w:t xml:space="preserve">EU </w:t>
            </w:r>
            <w:r w:rsidR="002D5755" w:rsidRPr="00C31378">
              <w:t>7d</w:t>
            </w:r>
          </w:p>
        </w:tc>
        <w:tc>
          <w:tcPr>
            <w:tcW w:w="7655" w:type="dxa"/>
          </w:tcPr>
          <w:p w14:paraId="71C4FBB1" w14:textId="77777777" w:rsidR="002D5755" w:rsidRPr="00C31378" w:rsidRDefault="002D5755" w:rsidP="002D5755">
            <w:pPr>
              <w:spacing w:before="60" w:after="120"/>
              <w:jc w:val="both"/>
              <w:rPr>
                <w:rFonts w:ascii="Times New Roman" w:hAnsi="Times New Roman" w:cs="Times New Roman"/>
                <w:sz w:val="24"/>
              </w:rPr>
            </w:pPr>
            <w:r w:rsidRPr="00C31378">
              <w:rPr>
                <w:rFonts w:ascii="Times New Roman" w:hAnsi="Times New Roman" w:cs="Times New Roman"/>
                <w:sz w:val="24"/>
              </w:rPr>
              <w:t xml:space="preserve">Total SREP own funds requirements </w:t>
            </w:r>
            <w:r w:rsidR="003F72E2" w:rsidRPr="00C31378">
              <w:rPr>
                <w:rFonts w:ascii="Times New Roman" w:hAnsi="Times New Roman" w:cs="Times New Roman"/>
                <w:sz w:val="24"/>
              </w:rPr>
              <w:t xml:space="preserve">(TSCR ratio) </w:t>
            </w:r>
            <w:r w:rsidRPr="00C31378">
              <w:rPr>
                <w:rFonts w:ascii="Times New Roman" w:hAnsi="Times New Roman" w:cs="Times New Roman"/>
                <w:sz w:val="24"/>
              </w:rPr>
              <w:t>(%)</w:t>
            </w:r>
          </w:p>
          <w:p w14:paraId="164187A9" w14:textId="77777777" w:rsidR="003F72E2" w:rsidRPr="00C31378" w:rsidRDefault="003F72E2" w:rsidP="003F72E2">
            <w:pPr>
              <w:pStyle w:val="InstructionsText"/>
            </w:pPr>
            <w:r w:rsidRPr="00C31378">
              <w:t>The sum of (i) and (ii) as follows:</w:t>
            </w:r>
          </w:p>
          <w:p w14:paraId="6AFE171D" w14:textId="77777777" w:rsidR="003F72E2" w:rsidRPr="00C31378" w:rsidRDefault="003F72E2" w:rsidP="003F72E2">
            <w:pPr>
              <w:pStyle w:val="InstructionsText"/>
              <w:numPr>
                <w:ilvl w:val="0"/>
                <w:numId w:val="11"/>
              </w:numPr>
            </w:pPr>
            <w:r w:rsidRPr="00C31378">
              <w:t xml:space="preserve">the total capital ratio (8%) as specified in Article 92(1)(c) of CRR; </w:t>
            </w:r>
          </w:p>
          <w:p w14:paraId="30C9AC22" w14:textId="6557FE80" w:rsidR="003F72E2" w:rsidRPr="00C31378" w:rsidRDefault="003F72E2" w:rsidP="003F72E2">
            <w:pPr>
              <w:pStyle w:val="InstructionsText"/>
              <w:numPr>
                <w:ilvl w:val="0"/>
                <w:numId w:val="11"/>
              </w:numPr>
            </w:pPr>
            <w:r w:rsidRPr="00C31378">
              <w:t xml:space="preserve">the additional own funds requirements (Pillar 2 Requirements – P2R) ratio based on the supervisory review process as referred to in point (a) of Article 104(1) of Directive 2013/36/EU and determined in accordance with the criteria specified in the </w:t>
            </w:r>
            <w:r w:rsidRPr="00C31378">
              <w:rPr>
                <w:i/>
              </w:rPr>
              <w:t xml:space="preserve">EBA Guidelines on common procedures and methodologies for the supervisory review and evaluation process and supervisory stress testing </w:t>
            </w:r>
            <w:r w:rsidRPr="00C31378">
              <w:t>(EBA SREP GL).</w:t>
            </w:r>
          </w:p>
          <w:p w14:paraId="43DD687F" w14:textId="77777777" w:rsidR="003F72E2" w:rsidRPr="00C31378" w:rsidRDefault="003F72E2" w:rsidP="003F72E2">
            <w:pPr>
              <w:pStyle w:val="InstructionsText"/>
            </w:pPr>
            <w:r w:rsidRPr="00C31378">
              <w:t>This item shall reflect the total SREP capital requirement (TSCR) ratio as communicated to the institution by the competent authority. The TSCR is defined in Section 1.2 of the EBA SREP GL.</w:t>
            </w:r>
          </w:p>
          <w:p w14:paraId="03CBC20C" w14:textId="1FFEA94E" w:rsidR="003F72E2" w:rsidRPr="00C31378" w:rsidRDefault="003F72E2" w:rsidP="003F72E2">
            <w:pPr>
              <w:spacing w:before="60" w:after="120"/>
              <w:jc w:val="both"/>
              <w:rPr>
                <w:rFonts w:ascii="Times New Roman" w:hAnsi="Times New Roman" w:cs="Times New Roman"/>
                <w:sz w:val="24"/>
              </w:rPr>
            </w:pPr>
            <w:r w:rsidRPr="00C31378">
              <w:rPr>
                <w:rFonts w:ascii="Times New Roman" w:hAnsi="Times New Roman" w:cs="Times New Roman"/>
                <w:sz w:val="24"/>
              </w:rPr>
              <w:t>If no additional own funds requirements were communicated by the competent authority, then only point (i) should be reported.</w:t>
            </w:r>
          </w:p>
        </w:tc>
      </w:tr>
      <w:tr w:rsidR="00475381" w:rsidRPr="00C31378" w14:paraId="5D064264" w14:textId="77777777" w:rsidTr="00B2180A">
        <w:trPr>
          <w:trHeight w:val="557"/>
        </w:trPr>
        <w:tc>
          <w:tcPr>
            <w:tcW w:w="1384" w:type="dxa"/>
          </w:tcPr>
          <w:p w14:paraId="092DEC95" w14:textId="0C63F493" w:rsidR="00475381" w:rsidRPr="00C31378" w:rsidRDefault="00475381" w:rsidP="00475381">
            <w:pPr>
              <w:pStyle w:val="Applicationdirecte"/>
              <w:spacing w:before="60"/>
              <w:jc w:val="center"/>
            </w:pPr>
            <w:r w:rsidRPr="00C31378">
              <w:t>8</w:t>
            </w:r>
          </w:p>
        </w:tc>
        <w:tc>
          <w:tcPr>
            <w:tcW w:w="7655" w:type="dxa"/>
          </w:tcPr>
          <w:p w14:paraId="05919CFC" w14:textId="77777777" w:rsidR="009D0637" w:rsidRPr="00C31378" w:rsidRDefault="00475381" w:rsidP="00475381">
            <w:pPr>
              <w:spacing w:before="60" w:after="120"/>
              <w:jc w:val="both"/>
              <w:rPr>
                <w:rFonts w:ascii="Times New Roman" w:hAnsi="Times New Roman" w:cs="Times New Roman"/>
                <w:sz w:val="24"/>
              </w:rPr>
            </w:pPr>
            <w:r w:rsidRPr="00C31378">
              <w:rPr>
                <w:rFonts w:ascii="Times New Roman" w:hAnsi="Times New Roman" w:cs="Times New Roman"/>
                <w:sz w:val="24"/>
              </w:rPr>
              <w:t>Capital conservation buffer (%)</w:t>
            </w:r>
          </w:p>
          <w:p w14:paraId="41D9D67D" w14:textId="2C08BC3C" w:rsidR="009D0637" w:rsidRPr="00C31378" w:rsidRDefault="009D0637" w:rsidP="00475381">
            <w:pPr>
              <w:spacing w:before="60" w:after="120"/>
              <w:jc w:val="both"/>
              <w:rPr>
                <w:rFonts w:ascii="Times New Roman" w:hAnsi="Times New Roman" w:cs="Times New Roman"/>
                <w:sz w:val="24"/>
              </w:rPr>
            </w:pPr>
            <w:r w:rsidRPr="00C31378">
              <w:rPr>
                <w:rFonts w:ascii="Times New Roman" w:hAnsi="Times New Roman" w:cs="Times New Roman"/>
                <w:sz w:val="24"/>
              </w:rPr>
              <w:t xml:space="preserve">Amount of own funds that institutions are required to maintain according to Article 128(1) and 129 of </w:t>
            </w:r>
            <w:r w:rsidR="002D5755" w:rsidRPr="00C31378">
              <w:rPr>
                <w:rFonts w:ascii="Times New Roman" w:hAnsi="Times New Roman" w:cs="Times New Roman"/>
                <w:sz w:val="24"/>
              </w:rPr>
              <w:t>Directive 2013/36/EU (</w:t>
            </w:r>
            <w:r w:rsidRPr="00C31378">
              <w:rPr>
                <w:rFonts w:ascii="Times New Roman" w:hAnsi="Times New Roman" w:cs="Times New Roman"/>
                <w:sz w:val="24"/>
              </w:rPr>
              <w:t>CRD</w:t>
            </w:r>
            <w:r w:rsidR="002D5755" w:rsidRPr="00C31378">
              <w:rPr>
                <w:rFonts w:ascii="Times New Roman" w:hAnsi="Times New Roman" w:cs="Times New Roman"/>
                <w:sz w:val="24"/>
              </w:rPr>
              <w:t>)</w:t>
            </w:r>
            <w:r w:rsidR="003F72E2" w:rsidRPr="00C31378">
              <w:rPr>
                <w:rFonts w:ascii="Times New Roman" w:hAnsi="Times New Roman" w:cs="Times New Roman"/>
                <w:sz w:val="24"/>
              </w:rPr>
              <w:t xml:space="preserve">, compared to total </w:t>
            </w:r>
            <w:r w:rsidR="009A4635">
              <w:rPr>
                <w:rFonts w:ascii="Times New Roman" w:hAnsi="Times New Roman" w:cs="Times New Roman"/>
                <w:sz w:val="24"/>
              </w:rPr>
              <w:t>RWEA</w:t>
            </w:r>
            <w:r w:rsidR="003F72E2" w:rsidRPr="00C31378">
              <w:rPr>
                <w:rFonts w:ascii="Times New Roman" w:hAnsi="Times New Roman" w:cs="Times New Roman"/>
                <w:sz w:val="24"/>
              </w:rPr>
              <w:t>s</w:t>
            </w:r>
            <w:r w:rsidR="002D5755" w:rsidRPr="00C31378">
              <w:rPr>
                <w:rFonts w:ascii="Times New Roman" w:hAnsi="Times New Roman" w:cs="Times New Roman"/>
                <w:sz w:val="24"/>
              </w:rPr>
              <w:t>.</w:t>
            </w:r>
          </w:p>
        </w:tc>
      </w:tr>
      <w:tr w:rsidR="00475381" w:rsidRPr="00C31378" w14:paraId="14D4E554" w14:textId="77777777" w:rsidTr="00B2180A">
        <w:trPr>
          <w:trHeight w:val="557"/>
        </w:trPr>
        <w:tc>
          <w:tcPr>
            <w:tcW w:w="1384" w:type="dxa"/>
          </w:tcPr>
          <w:p w14:paraId="27C3FBF8" w14:textId="4C3009B2" w:rsidR="00475381" w:rsidRPr="00C31378" w:rsidRDefault="002F1302" w:rsidP="00475381">
            <w:pPr>
              <w:pStyle w:val="Applicationdirecte"/>
              <w:spacing w:before="60"/>
              <w:jc w:val="center"/>
            </w:pPr>
            <w:r>
              <w:t xml:space="preserve">EU </w:t>
            </w:r>
            <w:r w:rsidR="00475381" w:rsidRPr="00C31378">
              <w:t>8a</w:t>
            </w:r>
          </w:p>
        </w:tc>
        <w:tc>
          <w:tcPr>
            <w:tcW w:w="7655" w:type="dxa"/>
          </w:tcPr>
          <w:p w14:paraId="656724BC" w14:textId="77777777" w:rsidR="00475381" w:rsidRPr="00C31378" w:rsidRDefault="00475381" w:rsidP="00475381">
            <w:pPr>
              <w:spacing w:before="60" w:after="120"/>
              <w:jc w:val="both"/>
              <w:rPr>
                <w:rFonts w:ascii="Times New Roman" w:hAnsi="Times New Roman" w:cs="Times New Roman"/>
                <w:sz w:val="24"/>
              </w:rPr>
            </w:pPr>
            <w:r w:rsidRPr="00C31378">
              <w:rPr>
                <w:rFonts w:ascii="Times New Roman" w:hAnsi="Times New Roman" w:cs="Times New Roman"/>
                <w:sz w:val="24"/>
              </w:rPr>
              <w:t>Conservation buffer due to macro-prudential or systemic risk identified at the level of a Member State (%)</w:t>
            </w:r>
          </w:p>
          <w:p w14:paraId="24A6248C" w14:textId="69F0D8FD" w:rsidR="009D0637" w:rsidRPr="00C31378" w:rsidRDefault="009D0637" w:rsidP="009D0637">
            <w:pPr>
              <w:spacing w:before="60" w:after="120"/>
              <w:jc w:val="both"/>
              <w:rPr>
                <w:rFonts w:ascii="Times New Roman" w:hAnsi="Times New Roman" w:cs="Times New Roman"/>
                <w:sz w:val="24"/>
              </w:rPr>
            </w:pPr>
            <w:r w:rsidRPr="00C31378">
              <w:rPr>
                <w:rFonts w:ascii="Times New Roman" w:hAnsi="Times New Roman" w:cs="Times New Roman"/>
                <w:sz w:val="24"/>
              </w:rPr>
              <w:t xml:space="preserve">Amount of the conservation buffer due to macro-prudential or systemic risk identified at the level of a Member State, which can be requested according </w:t>
            </w:r>
            <w:r w:rsidRPr="00C31378">
              <w:rPr>
                <w:rFonts w:ascii="Times New Roman" w:hAnsi="Times New Roman" w:cs="Times New Roman"/>
                <w:sz w:val="24"/>
              </w:rPr>
              <w:lastRenderedPageBreak/>
              <w:t>to Article 458 CRR in addition to the capital conservation buffer</w:t>
            </w:r>
            <w:r w:rsidR="003F72E2" w:rsidRPr="00C31378">
              <w:rPr>
                <w:rFonts w:ascii="Times New Roman" w:hAnsi="Times New Roman" w:cs="Times New Roman"/>
                <w:sz w:val="24"/>
              </w:rPr>
              <w:t xml:space="preserve">, compared to total </w:t>
            </w:r>
            <w:r w:rsidR="009A4635">
              <w:rPr>
                <w:rFonts w:ascii="Times New Roman" w:hAnsi="Times New Roman" w:cs="Times New Roman"/>
                <w:sz w:val="24"/>
              </w:rPr>
              <w:t>RWEA</w:t>
            </w:r>
            <w:r w:rsidR="003F72E2" w:rsidRPr="00C31378">
              <w:rPr>
                <w:rFonts w:ascii="Times New Roman" w:hAnsi="Times New Roman" w:cs="Times New Roman"/>
                <w:sz w:val="24"/>
              </w:rPr>
              <w:t>s</w:t>
            </w:r>
            <w:r w:rsidRPr="00C31378">
              <w:rPr>
                <w:rFonts w:ascii="Times New Roman" w:hAnsi="Times New Roman" w:cs="Times New Roman"/>
                <w:sz w:val="24"/>
              </w:rPr>
              <w:t>.</w:t>
            </w:r>
          </w:p>
        </w:tc>
      </w:tr>
      <w:tr w:rsidR="00475381" w:rsidRPr="00C31378" w14:paraId="50045E3A" w14:textId="77777777" w:rsidTr="00B2180A">
        <w:trPr>
          <w:trHeight w:val="557"/>
        </w:trPr>
        <w:tc>
          <w:tcPr>
            <w:tcW w:w="1384" w:type="dxa"/>
          </w:tcPr>
          <w:p w14:paraId="542DCD05" w14:textId="71AA5728" w:rsidR="00475381" w:rsidRPr="00C31378" w:rsidRDefault="00475381" w:rsidP="00475381">
            <w:pPr>
              <w:pStyle w:val="Applicationdirecte"/>
              <w:spacing w:before="60"/>
              <w:jc w:val="center"/>
            </w:pPr>
            <w:r w:rsidRPr="00C31378">
              <w:lastRenderedPageBreak/>
              <w:t>9</w:t>
            </w:r>
          </w:p>
        </w:tc>
        <w:tc>
          <w:tcPr>
            <w:tcW w:w="7655" w:type="dxa"/>
          </w:tcPr>
          <w:p w14:paraId="172338B5" w14:textId="77777777" w:rsidR="00475381" w:rsidRPr="00C31378" w:rsidRDefault="00475381" w:rsidP="00475381">
            <w:pPr>
              <w:spacing w:before="60" w:after="120"/>
              <w:jc w:val="both"/>
              <w:rPr>
                <w:rFonts w:ascii="Times New Roman" w:hAnsi="Times New Roman" w:cs="Times New Roman"/>
                <w:sz w:val="24"/>
              </w:rPr>
            </w:pPr>
            <w:r w:rsidRPr="00C31378">
              <w:rPr>
                <w:rFonts w:ascii="Times New Roman" w:hAnsi="Times New Roman" w:cs="Times New Roman"/>
                <w:sz w:val="24"/>
              </w:rPr>
              <w:t>Institution specific countercyclical capital buffer (%)</w:t>
            </w:r>
          </w:p>
          <w:p w14:paraId="59638044" w14:textId="57C14E41" w:rsidR="008C672C" w:rsidRPr="00C31378" w:rsidRDefault="008C672C" w:rsidP="008C672C">
            <w:pPr>
              <w:pStyle w:val="InstructionsText"/>
            </w:pPr>
            <w:r w:rsidRPr="00C31378">
              <w:t>Amount of own funds that institutions are required to maintain according to Articles 128 point (2), 130, 135-140 of CRD</w:t>
            </w:r>
            <w:r w:rsidR="003F72E2" w:rsidRPr="00C31378">
              <w:t xml:space="preserve">, compared to total </w:t>
            </w:r>
            <w:r w:rsidR="009A4635">
              <w:t>RWEA</w:t>
            </w:r>
            <w:r w:rsidR="003F72E2" w:rsidRPr="00C31378">
              <w:t>s</w:t>
            </w:r>
            <w:r w:rsidRPr="00C31378">
              <w:t>.</w:t>
            </w:r>
          </w:p>
          <w:p w14:paraId="7C1F18B9" w14:textId="05FC4B3B" w:rsidR="008C672C" w:rsidRPr="00C31378" w:rsidRDefault="008C672C" w:rsidP="003F72E2">
            <w:pPr>
              <w:spacing w:before="60" w:after="120"/>
              <w:jc w:val="both"/>
              <w:rPr>
                <w:rFonts w:ascii="Times New Roman" w:hAnsi="Times New Roman" w:cs="Times New Roman"/>
                <w:sz w:val="24"/>
              </w:rPr>
            </w:pPr>
            <w:r w:rsidRPr="00C31378">
              <w:rPr>
                <w:rFonts w:ascii="Times New Roman" w:hAnsi="Times New Roman" w:cs="Times New Roman"/>
                <w:sz w:val="24"/>
              </w:rPr>
              <w:t xml:space="preserve">The </w:t>
            </w:r>
            <w:r w:rsidR="003F72E2" w:rsidRPr="00C31378">
              <w:rPr>
                <w:rFonts w:ascii="Times New Roman" w:hAnsi="Times New Roman" w:cs="Times New Roman"/>
                <w:sz w:val="24"/>
              </w:rPr>
              <w:t>%</w:t>
            </w:r>
            <w:r w:rsidRPr="00C31378">
              <w:rPr>
                <w:rFonts w:ascii="Times New Roman" w:hAnsi="Times New Roman" w:cs="Times New Roman"/>
                <w:sz w:val="24"/>
              </w:rPr>
              <w:t xml:space="preserve"> disclosed shall </w:t>
            </w:r>
            <w:r w:rsidR="003F72E2" w:rsidRPr="00C31378">
              <w:rPr>
                <w:rFonts w:ascii="Times New Roman" w:hAnsi="Times New Roman" w:cs="Times New Roman"/>
                <w:sz w:val="24"/>
              </w:rPr>
              <w:t>consider</w:t>
            </w:r>
            <w:r w:rsidRPr="00C31378">
              <w:rPr>
                <w:rFonts w:ascii="Times New Roman" w:hAnsi="Times New Roman" w:cs="Times New Roman"/>
                <w:sz w:val="24"/>
              </w:rPr>
              <w:t xml:space="preserve"> the amount of own funds needed to fulfil the respective capital buffer requirements at the reporting date.</w:t>
            </w:r>
          </w:p>
        </w:tc>
      </w:tr>
      <w:tr w:rsidR="00475381" w:rsidRPr="00C31378" w14:paraId="621830A2" w14:textId="77777777" w:rsidTr="00B2180A">
        <w:trPr>
          <w:trHeight w:val="557"/>
        </w:trPr>
        <w:tc>
          <w:tcPr>
            <w:tcW w:w="1384" w:type="dxa"/>
          </w:tcPr>
          <w:p w14:paraId="37BEB408" w14:textId="2DE4067B" w:rsidR="00475381" w:rsidRPr="00C31378" w:rsidRDefault="002F1302" w:rsidP="00475381">
            <w:pPr>
              <w:pStyle w:val="Applicationdirecte"/>
              <w:spacing w:before="60"/>
              <w:jc w:val="center"/>
            </w:pPr>
            <w:r>
              <w:t xml:space="preserve">EU </w:t>
            </w:r>
            <w:r w:rsidR="00475381" w:rsidRPr="00C31378">
              <w:t>9a</w:t>
            </w:r>
          </w:p>
        </w:tc>
        <w:tc>
          <w:tcPr>
            <w:tcW w:w="7655" w:type="dxa"/>
          </w:tcPr>
          <w:p w14:paraId="088650BE" w14:textId="77777777" w:rsidR="00475381" w:rsidRPr="00C31378" w:rsidRDefault="00475381" w:rsidP="00475381">
            <w:pPr>
              <w:spacing w:before="60" w:after="120"/>
              <w:jc w:val="both"/>
              <w:rPr>
                <w:rFonts w:ascii="Times New Roman" w:hAnsi="Times New Roman" w:cs="Times New Roman"/>
                <w:sz w:val="24"/>
              </w:rPr>
            </w:pPr>
            <w:r w:rsidRPr="00C31378">
              <w:rPr>
                <w:rFonts w:ascii="Times New Roman" w:hAnsi="Times New Roman" w:cs="Times New Roman"/>
                <w:sz w:val="24"/>
              </w:rPr>
              <w:t>Systemic risk buffer (%)</w:t>
            </w:r>
          </w:p>
          <w:p w14:paraId="1BE4251B" w14:textId="1FD9619F" w:rsidR="008C672C" w:rsidRPr="00C31378" w:rsidRDefault="008C672C" w:rsidP="008C672C">
            <w:pPr>
              <w:pStyle w:val="InstructionsText"/>
            </w:pPr>
            <w:r w:rsidRPr="00C31378">
              <w:t>Amount of own funds that institutions are required to maintain according to Articles 128 point (5), 133 and 134 of CRD</w:t>
            </w:r>
            <w:r w:rsidR="003F72E2" w:rsidRPr="00C31378">
              <w:t xml:space="preserve">, compared to total </w:t>
            </w:r>
            <w:r w:rsidR="009A4635">
              <w:t>RWEA</w:t>
            </w:r>
            <w:r w:rsidR="003F72E2" w:rsidRPr="00C31378">
              <w:t>s</w:t>
            </w:r>
            <w:r w:rsidRPr="00C31378">
              <w:t>.</w:t>
            </w:r>
          </w:p>
          <w:p w14:paraId="2A0D7A43" w14:textId="0277BD89" w:rsidR="008C672C" w:rsidRPr="00C31378" w:rsidRDefault="008C672C" w:rsidP="003F72E2">
            <w:pPr>
              <w:spacing w:before="60" w:after="120"/>
              <w:jc w:val="both"/>
              <w:rPr>
                <w:rFonts w:ascii="Times New Roman" w:hAnsi="Times New Roman" w:cs="Times New Roman"/>
                <w:sz w:val="24"/>
              </w:rPr>
            </w:pPr>
            <w:r w:rsidRPr="00C31378">
              <w:rPr>
                <w:rFonts w:ascii="Times New Roman" w:hAnsi="Times New Roman" w:cs="Times New Roman"/>
                <w:sz w:val="24"/>
              </w:rPr>
              <w:t xml:space="preserve">The </w:t>
            </w:r>
            <w:r w:rsidR="003F72E2" w:rsidRPr="00C31378">
              <w:rPr>
                <w:rFonts w:ascii="Times New Roman" w:hAnsi="Times New Roman" w:cs="Times New Roman"/>
                <w:sz w:val="24"/>
              </w:rPr>
              <w:t>%</w:t>
            </w:r>
            <w:r w:rsidRPr="00C31378">
              <w:rPr>
                <w:rFonts w:ascii="Times New Roman" w:hAnsi="Times New Roman" w:cs="Times New Roman"/>
                <w:sz w:val="24"/>
              </w:rPr>
              <w:t xml:space="preserve"> disclosed shall represent the amount of own funds needed to fulfil the respective capital buffer requirements at the reporting date.</w:t>
            </w:r>
          </w:p>
        </w:tc>
      </w:tr>
      <w:tr w:rsidR="00475381" w:rsidRPr="00C31378" w14:paraId="665EB0A2" w14:textId="77777777" w:rsidTr="00B2180A">
        <w:trPr>
          <w:trHeight w:val="557"/>
        </w:trPr>
        <w:tc>
          <w:tcPr>
            <w:tcW w:w="1384" w:type="dxa"/>
          </w:tcPr>
          <w:p w14:paraId="529FBBFF" w14:textId="2EDE9CBB" w:rsidR="00475381" w:rsidRPr="00C31378" w:rsidRDefault="00475381" w:rsidP="00475381">
            <w:pPr>
              <w:pStyle w:val="Applicationdirecte"/>
              <w:spacing w:before="60"/>
              <w:jc w:val="center"/>
            </w:pPr>
            <w:r w:rsidRPr="00C31378">
              <w:t>10</w:t>
            </w:r>
          </w:p>
        </w:tc>
        <w:tc>
          <w:tcPr>
            <w:tcW w:w="7655" w:type="dxa"/>
          </w:tcPr>
          <w:p w14:paraId="020E9111" w14:textId="77777777" w:rsidR="00475381" w:rsidRPr="00C31378" w:rsidRDefault="00475381" w:rsidP="00475381">
            <w:pPr>
              <w:spacing w:before="60" w:after="120"/>
              <w:jc w:val="both"/>
              <w:rPr>
                <w:rFonts w:ascii="Times New Roman" w:hAnsi="Times New Roman" w:cs="Times New Roman"/>
                <w:sz w:val="24"/>
              </w:rPr>
            </w:pPr>
            <w:r w:rsidRPr="00C31378">
              <w:rPr>
                <w:rFonts w:ascii="Times New Roman" w:hAnsi="Times New Roman" w:cs="Times New Roman"/>
                <w:sz w:val="24"/>
              </w:rPr>
              <w:t>Global Systemically Important Institution buffer (%)</w:t>
            </w:r>
          </w:p>
          <w:p w14:paraId="57766258" w14:textId="7182C86E" w:rsidR="00F16314" w:rsidRPr="00C31378" w:rsidRDefault="00F16314" w:rsidP="00F16314">
            <w:pPr>
              <w:pStyle w:val="InstructionsText"/>
            </w:pPr>
            <w:r w:rsidRPr="00C31378">
              <w:t>Amount of own funds that institutions are required to maintain according to Articles 128 point (3) and 131 of CRD</w:t>
            </w:r>
            <w:r w:rsidR="003F72E2" w:rsidRPr="00C31378">
              <w:t xml:space="preserve">, compared to total </w:t>
            </w:r>
            <w:r w:rsidR="009A4635">
              <w:t>RWEA</w:t>
            </w:r>
            <w:r w:rsidR="003F72E2" w:rsidRPr="00C31378">
              <w:t>s</w:t>
            </w:r>
            <w:r w:rsidRPr="00C31378">
              <w:t>.</w:t>
            </w:r>
          </w:p>
          <w:p w14:paraId="54FC192D" w14:textId="29C745DF" w:rsidR="00F16314" w:rsidRPr="00C31378" w:rsidRDefault="00F16314" w:rsidP="003F72E2">
            <w:pPr>
              <w:spacing w:before="60" w:after="120"/>
              <w:jc w:val="both"/>
              <w:rPr>
                <w:rFonts w:ascii="Times New Roman" w:hAnsi="Times New Roman" w:cs="Times New Roman"/>
                <w:sz w:val="24"/>
              </w:rPr>
            </w:pPr>
            <w:r w:rsidRPr="00C31378">
              <w:rPr>
                <w:rFonts w:ascii="Times New Roman" w:hAnsi="Times New Roman" w:cs="Times New Roman"/>
                <w:sz w:val="24"/>
              </w:rPr>
              <w:t xml:space="preserve">The </w:t>
            </w:r>
            <w:r w:rsidR="003F72E2" w:rsidRPr="00C31378">
              <w:rPr>
                <w:rFonts w:ascii="Times New Roman" w:hAnsi="Times New Roman" w:cs="Times New Roman"/>
                <w:sz w:val="24"/>
              </w:rPr>
              <w:t>%</w:t>
            </w:r>
            <w:r w:rsidRPr="00C31378">
              <w:rPr>
                <w:rFonts w:ascii="Times New Roman" w:hAnsi="Times New Roman" w:cs="Times New Roman"/>
                <w:sz w:val="24"/>
              </w:rPr>
              <w:t xml:space="preserve"> disclosed shall represent the amount of own funds needed to fulfil the respective capital buffer requirements at the reporting date.</w:t>
            </w:r>
          </w:p>
        </w:tc>
      </w:tr>
      <w:tr w:rsidR="00BB2F0A" w:rsidRPr="00C31378" w14:paraId="7CAD3714" w14:textId="77777777" w:rsidTr="00B2180A">
        <w:trPr>
          <w:trHeight w:val="557"/>
        </w:trPr>
        <w:tc>
          <w:tcPr>
            <w:tcW w:w="1384" w:type="dxa"/>
          </w:tcPr>
          <w:p w14:paraId="0109887F" w14:textId="1DEF1983" w:rsidR="00BB2F0A" w:rsidRPr="00C31378" w:rsidRDefault="002F1302" w:rsidP="00BB2F0A">
            <w:pPr>
              <w:pStyle w:val="Applicationdirecte"/>
              <w:spacing w:before="60"/>
              <w:jc w:val="center"/>
            </w:pPr>
            <w:r>
              <w:t xml:space="preserve">EU </w:t>
            </w:r>
            <w:r w:rsidR="00BB2F0A" w:rsidRPr="00C31378">
              <w:t>10a</w:t>
            </w:r>
          </w:p>
        </w:tc>
        <w:tc>
          <w:tcPr>
            <w:tcW w:w="7655" w:type="dxa"/>
          </w:tcPr>
          <w:p w14:paraId="1987E4F9" w14:textId="77777777" w:rsidR="00BB2F0A" w:rsidRPr="00C31378" w:rsidRDefault="00BB2F0A" w:rsidP="00BB2F0A">
            <w:pPr>
              <w:spacing w:before="60" w:after="120"/>
              <w:jc w:val="both"/>
              <w:rPr>
                <w:rFonts w:ascii="Times New Roman" w:hAnsi="Times New Roman" w:cs="Times New Roman"/>
                <w:sz w:val="24"/>
              </w:rPr>
            </w:pPr>
            <w:r w:rsidRPr="00C31378">
              <w:rPr>
                <w:rFonts w:ascii="Times New Roman" w:hAnsi="Times New Roman" w:cs="Times New Roman"/>
                <w:sz w:val="24"/>
              </w:rPr>
              <w:t>Other Systemically Important Institution buffer</w:t>
            </w:r>
          </w:p>
          <w:p w14:paraId="72A898AA" w14:textId="41502297" w:rsidR="00F16314" w:rsidRPr="00C31378" w:rsidRDefault="00F16314" w:rsidP="00F16314">
            <w:pPr>
              <w:spacing w:before="60" w:after="120"/>
              <w:jc w:val="both"/>
              <w:rPr>
                <w:rFonts w:ascii="Times New Roman" w:hAnsi="Times New Roman" w:cs="Times New Roman"/>
                <w:sz w:val="24"/>
              </w:rPr>
            </w:pPr>
            <w:r w:rsidRPr="00C31378">
              <w:rPr>
                <w:rFonts w:ascii="Times New Roman" w:hAnsi="Times New Roman" w:cs="Times New Roman"/>
                <w:sz w:val="24"/>
              </w:rPr>
              <w:t>Amount of own funds that institutions are required to maintain according to Articles 128 point (4) and 131 of CRD</w:t>
            </w:r>
            <w:r w:rsidR="003F72E2" w:rsidRPr="00C31378">
              <w:rPr>
                <w:rFonts w:ascii="Times New Roman" w:hAnsi="Times New Roman" w:cs="Times New Roman"/>
                <w:sz w:val="24"/>
              </w:rPr>
              <w:t xml:space="preserve">, compared to total </w:t>
            </w:r>
            <w:r w:rsidR="009A4635">
              <w:rPr>
                <w:rFonts w:ascii="Times New Roman" w:hAnsi="Times New Roman" w:cs="Times New Roman"/>
                <w:sz w:val="24"/>
              </w:rPr>
              <w:t>RWEA</w:t>
            </w:r>
            <w:r w:rsidR="003F72E2" w:rsidRPr="00C31378">
              <w:rPr>
                <w:rFonts w:ascii="Times New Roman" w:hAnsi="Times New Roman" w:cs="Times New Roman"/>
                <w:sz w:val="24"/>
              </w:rPr>
              <w:t>s.</w:t>
            </w:r>
          </w:p>
          <w:p w14:paraId="65C61F57" w14:textId="14ED75E1" w:rsidR="00F16314" w:rsidRPr="00C31378" w:rsidRDefault="00F16314" w:rsidP="003F72E2">
            <w:pPr>
              <w:spacing w:before="60" w:after="120"/>
              <w:jc w:val="both"/>
              <w:rPr>
                <w:rFonts w:ascii="Times New Roman" w:hAnsi="Times New Roman" w:cs="Times New Roman"/>
                <w:sz w:val="24"/>
              </w:rPr>
            </w:pPr>
            <w:r w:rsidRPr="00C31378">
              <w:rPr>
                <w:rFonts w:ascii="Times New Roman" w:hAnsi="Times New Roman" w:cs="Times New Roman"/>
                <w:sz w:val="24"/>
              </w:rPr>
              <w:t xml:space="preserve">The </w:t>
            </w:r>
            <w:r w:rsidR="003F72E2" w:rsidRPr="00C31378">
              <w:rPr>
                <w:rFonts w:ascii="Times New Roman" w:hAnsi="Times New Roman" w:cs="Times New Roman"/>
                <w:sz w:val="24"/>
              </w:rPr>
              <w:t>%</w:t>
            </w:r>
            <w:r w:rsidRPr="00C31378">
              <w:rPr>
                <w:rFonts w:ascii="Times New Roman" w:hAnsi="Times New Roman" w:cs="Times New Roman"/>
                <w:sz w:val="24"/>
              </w:rPr>
              <w:t xml:space="preserve"> reported shall represent the amount of own funds needed to fulfil the respective capital buffer requirements at the reporting date.</w:t>
            </w:r>
          </w:p>
        </w:tc>
      </w:tr>
      <w:tr w:rsidR="00BB2F0A" w:rsidRPr="00C31378" w14:paraId="639A86DD" w14:textId="77777777" w:rsidTr="00B2180A">
        <w:trPr>
          <w:trHeight w:val="557"/>
        </w:trPr>
        <w:tc>
          <w:tcPr>
            <w:tcW w:w="1384" w:type="dxa"/>
          </w:tcPr>
          <w:p w14:paraId="59AB1629" w14:textId="146278FC" w:rsidR="00BB2F0A" w:rsidRPr="00C31378" w:rsidRDefault="00BB2F0A" w:rsidP="00BB2F0A">
            <w:pPr>
              <w:pStyle w:val="Applicationdirecte"/>
              <w:spacing w:before="60"/>
              <w:jc w:val="center"/>
            </w:pPr>
            <w:r w:rsidRPr="00C31378">
              <w:t>11</w:t>
            </w:r>
          </w:p>
        </w:tc>
        <w:tc>
          <w:tcPr>
            <w:tcW w:w="7655" w:type="dxa"/>
          </w:tcPr>
          <w:p w14:paraId="6F5C7D93" w14:textId="77777777" w:rsidR="00BB2F0A" w:rsidRPr="00C31378" w:rsidRDefault="00BB2F0A" w:rsidP="00BB2F0A">
            <w:pPr>
              <w:spacing w:before="60" w:after="120"/>
              <w:jc w:val="both"/>
              <w:rPr>
                <w:rFonts w:ascii="Times New Roman" w:hAnsi="Times New Roman" w:cs="Times New Roman"/>
                <w:sz w:val="24"/>
              </w:rPr>
            </w:pPr>
            <w:r w:rsidRPr="00C31378">
              <w:rPr>
                <w:rFonts w:ascii="Times New Roman" w:hAnsi="Times New Roman" w:cs="Times New Roman"/>
                <w:sz w:val="24"/>
              </w:rPr>
              <w:t>Combined buffer requirement (%)</w:t>
            </w:r>
          </w:p>
          <w:p w14:paraId="137DFE89" w14:textId="3A4BD3CC" w:rsidR="00F16314" w:rsidRPr="00C31378" w:rsidRDefault="00F16314" w:rsidP="00BB2F0A">
            <w:pPr>
              <w:spacing w:before="60" w:after="120"/>
              <w:jc w:val="both"/>
              <w:rPr>
                <w:rFonts w:ascii="Times New Roman" w:hAnsi="Times New Roman" w:cs="Times New Roman"/>
                <w:sz w:val="24"/>
              </w:rPr>
            </w:pPr>
            <w:r w:rsidRPr="00C31378">
              <w:rPr>
                <w:rFonts w:ascii="Times New Roman" w:hAnsi="Times New Roman" w:cs="Times New Roman"/>
                <w:sz w:val="24"/>
              </w:rPr>
              <w:t>According to Article 128 point (6) of CRD</w:t>
            </w:r>
            <w:r w:rsidR="003F72E2" w:rsidRPr="00C31378">
              <w:rPr>
                <w:rFonts w:ascii="Times New Roman" w:hAnsi="Times New Roman" w:cs="Times New Roman"/>
                <w:sz w:val="24"/>
              </w:rPr>
              <w:t xml:space="preserve">, compared to total </w:t>
            </w:r>
            <w:r w:rsidR="009A4635">
              <w:rPr>
                <w:rFonts w:ascii="Times New Roman" w:hAnsi="Times New Roman" w:cs="Times New Roman"/>
                <w:sz w:val="24"/>
              </w:rPr>
              <w:t>RWEA</w:t>
            </w:r>
            <w:r w:rsidR="003F72E2" w:rsidRPr="00C31378">
              <w:rPr>
                <w:rFonts w:ascii="Times New Roman" w:hAnsi="Times New Roman" w:cs="Times New Roman"/>
                <w:sz w:val="24"/>
              </w:rPr>
              <w:t>s.</w:t>
            </w:r>
          </w:p>
        </w:tc>
      </w:tr>
      <w:tr w:rsidR="00BB2F0A" w:rsidRPr="00C31378" w14:paraId="21CC4880" w14:textId="77777777" w:rsidTr="00B2180A">
        <w:trPr>
          <w:trHeight w:val="557"/>
        </w:trPr>
        <w:tc>
          <w:tcPr>
            <w:tcW w:w="1384" w:type="dxa"/>
          </w:tcPr>
          <w:p w14:paraId="5BCF3577" w14:textId="1AE24BF4" w:rsidR="00BB2F0A" w:rsidRPr="00C31378" w:rsidRDefault="002F1302" w:rsidP="00BB2F0A">
            <w:pPr>
              <w:pStyle w:val="Applicationdirecte"/>
              <w:spacing w:before="60"/>
              <w:jc w:val="center"/>
            </w:pPr>
            <w:r>
              <w:t xml:space="preserve">EU </w:t>
            </w:r>
            <w:r w:rsidR="00BB2F0A" w:rsidRPr="00C31378">
              <w:t>11a</w:t>
            </w:r>
          </w:p>
        </w:tc>
        <w:tc>
          <w:tcPr>
            <w:tcW w:w="7655" w:type="dxa"/>
          </w:tcPr>
          <w:p w14:paraId="7704A955" w14:textId="4DBDF3C5" w:rsidR="00BB2F0A" w:rsidRPr="00C31378" w:rsidRDefault="00BB2F0A" w:rsidP="00BB2F0A">
            <w:pPr>
              <w:spacing w:before="60" w:after="120"/>
              <w:jc w:val="both"/>
              <w:rPr>
                <w:rFonts w:ascii="Times New Roman" w:hAnsi="Times New Roman" w:cs="Times New Roman"/>
                <w:sz w:val="24"/>
              </w:rPr>
            </w:pPr>
            <w:r w:rsidRPr="00C31378">
              <w:rPr>
                <w:rFonts w:ascii="Times New Roman" w:hAnsi="Times New Roman" w:cs="Times New Roman"/>
                <w:sz w:val="24"/>
              </w:rPr>
              <w:t xml:space="preserve">Overall </w:t>
            </w:r>
            <w:r w:rsidR="003F72E2" w:rsidRPr="00C31378">
              <w:rPr>
                <w:rFonts w:ascii="Times New Roman" w:hAnsi="Times New Roman" w:cs="Times New Roman"/>
                <w:sz w:val="24"/>
              </w:rPr>
              <w:t>capital</w:t>
            </w:r>
            <w:r w:rsidRPr="00C31378">
              <w:rPr>
                <w:rFonts w:ascii="Times New Roman" w:hAnsi="Times New Roman" w:cs="Times New Roman"/>
                <w:sz w:val="24"/>
              </w:rPr>
              <w:t xml:space="preserve"> requirements </w:t>
            </w:r>
            <w:r w:rsidR="003F72E2" w:rsidRPr="00C31378">
              <w:rPr>
                <w:rFonts w:ascii="Times New Roman" w:hAnsi="Times New Roman" w:cs="Times New Roman"/>
                <w:sz w:val="24"/>
              </w:rPr>
              <w:t xml:space="preserve">(OCR) </w:t>
            </w:r>
            <w:r w:rsidRPr="00C31378">
              <w:rPr>
                <w:rFonts w:ascii="Times New Roman" w:hAnsi="Times New Roman" w:cs="Times New Roman"/>
                <w:sz w:val="24"/>
              </w:rPr>
              <w:t>(%)</w:t>
            </w:r>
          </w:p>
          <w:p w14:paraId="4C3C5F78" w14:textId="77777777" w:rsidR="003F72E2" w:rsidRPr="00C31378" w:rsidRDefault="003F72E2" w:rsidP="003F72E2">
            <w:pPr>
              <w:pStyle w:val="InstructionsText"/>
            </w:pPr>
            <w:r w:rsidRPr="00C31378">
              <w:t>The sum of (i) and (ii) as follows:</w:t>
            </w:r>
          </w:p>
          <w:p w14:paraId="43275DFA" w14:textId="37391681" w:rsidR="003F72E2" w:rsidRPr="00C31378" w:rsidRDefault="003F72E2" w:rsidP="003F72E2">
            <w:pPr>
              <w:pStyle w:val="InstructionsText"/>
              <w:numPr>
                <w:ilvl w:val="0"/>
                <w:numId w:val="12"/>
              </w:numPr>
            </w:pPr>
            <w:r w:rsidRPr="00C31378">
              <w:t xml:space="preserve">the TSCR ratio referred to in row </w:t>
            </w:r>
            <w:r w:rsidR="00EE7CB2">
              <w:t xml:space="preserve">EU </w:t>
            </w:r>
            <w:r w:rsidRPr="00EE7CB2">
              <w:t>7d</w:t>
            </w:r>
            <w:r w:rsidRPr="00C31378">
              <w:t>;</w:t>
            </w:r>
          </w:p>
          <w:p w14:paraId="584D226D" w14:textId="77777777" w:rsidR="003F72E2" w:rsidRPr="00C31378" w:rsidRDefault="003F72E2" w:rsidP="003F72E2">
            <w:pPr>
              <w:pStyle w:val="InstructionsText"/>
              <w:numPr>
                <w:ilvl w:val="0"/>
                <w:numId w:val="12"/>
              </w:numPr>
            </w:pPr>
            <w:r w:rsidRPr="00C31378">
              <w:t xml:space="preserve">to the extent it is </w:t>
            </w:r>
            <w:r w:rsidRPr="00C31378">
              <w:rPr>
                <w:lang w:val="x-none"/>
              </w:rPr>
              <w:t>legally applicable</w:t>
            </w:r>
            <w:r w:rsidRPr="00C31378">
              <w:t xml:space="preserve">, the combined buffer </w:t>
            </w:r>
            <w:r w:rsidRPr="00C31378">
              <w:rPr>
                <w:lang w:val="x-none"/>
              </w:rPr>
              <w:t>requirement</w:t>
            </w:r>
            <w:r w:rsidRPr="00C31378">
              <w:t xml:space="preserve"> ratio referred to </w:t>
            </w:r>
            <w:r w:rsidRPr="00C31378">
              <w:rPr>
                <w:lang w:val="x-none"/>
              </w:rPr>
              <w:t xml:space="preserve">in Article 128 </w:t>
            </w:r>
            <w:r w:rsidRPr="00C31378">
              <w:t>point (6) of</w:t>
            </w:r>
            <w:r w:rsidRPr="00C31378">
              <w:rPr>
                <w:lang w:val="x-none"/>
              </w:rPr>
              <w:t xml:space="preserve"> </w:t>
            </w:r>
            <w:r w:rsidRPr="00C31378">
              <w:t>CRD.</w:t>
            </w:r>
          </w:p>
          <w:p w14:paraId="222E8AF0" w14:textId="77777777" w:rsidR="003F72E2" w:rsidRPr="00C31378" w:rsidRDefault="003F72E2" w:rsidP="003F72E2">
            <w:pPr>
              <w:pStyle w:val="InstructionsText"/>
            </w:pPr>
            <w:r w:rsidRPr="00C31378">
              <w:t>This item shall reflect the Overall capital requirement (OCR) ratio as defined in Section 1.2 of the EBA SREP GL.</w:t>
            </w:r>
          </w:p>
          <w:p w14:paraId="37430965" w14:textId="6E94DCC5" w:rsidR="003F72E2" w:rsidRPr="00C31378" w:rsidRDefault="003F72E2" w:rsidP="003F72E2">
            <w:pPr>
              <w:spacing w:before="60" w:after="120"/>
              <w:jc w:val="both"/>
              <w:rPr>
                <w:rFonts w:ascii="Times New Roman" w:hAnsi="Times New Roman" w:cs="Times New Roman"/>
                <w:sz w:val="24"/>
              </w:rPr>
            </w:pPr>
            <w:r w:rsidRPr="00C31378">
              <w:rPr>
                <w:rFonts w:ascii="Times New Roman" w:hAnsi="Times New Roman" w:cs="Times New Roman"/>
                <w:sz w:val="24"/>
              </w:rPr>
              <w:t>If no buffer requirement is applicable, only point (i) shall be reported.</w:t>
            </w:r>
          </w:p>
        </w:tc>
      </w:tr>
      <w:tr w:rsidR="00BB2F0A" w:rsidRPr="00C31378" w14:paraId="6F737909" w14:textId="77777777" w:rsidTr="00B2180A">
        <w:trPr>
          <w:trHeight w:val="557"/>
        </w:trPr>
        <w:tc>
          <w:tcPr>
            <w:tcW w:w="1384" w:type="dxa"/>
          </w:tcPr>
          <w:p w14:paraId="3A34B5DC" w14:textId="35D86C25" w:rsidR="00BB2F0A" w:rsidRPr="00C31378" w:rsidRDefault="00BB2F0A" w:rsidP="00BB2F0A">
            <w:pPr>
              <w:pStyle w:val="Applicationdirecte"/>
              <w:spacing w:before="60"/>
              <w:jc w:val="center"/>
            </w:pPr>
            <w:r w:rsidRPr="00C31378">
              <w:t>12</w:t>
            </w:r>
          </w:p>
        </w:tc>
        <w:tc>
          <w:tcPr>
            <w:tcW w:w="7655" w:type="dxa"/>
          </w:tcPr>
          <w:p w14:paraId="13319024" w14:textId="163D6B7D" w:rsidR="009947D6" w:rsidRPr="00C31378" w:rsidRDefault="00BB2F0A" w:rsidP="00BB2F0A">
            <w:pPr>
              <w:spacing w:before="60" w:after="120"/>
              <w:jc w:val="both"/>
              <w:rPr>
                <w:rFonts w:ascii="Times New Roman" w:hAnsi="Times New Roman" w:cs="Times New Roman"/>
                <w:sz w:val="24"/>
              </w:rPr>
            </w:pPr>
            <w:r w:rsidRPr="00C31378">
              <w:rPr>
                <w:rFonts w:ascii="Times New Roman" w:hAnsi="Times New Roman" w:cs="Times New Roman"/>
                <w:sz w:val="24"/>
              </w:rPr>
              <w:t>CET1 available after meeting the total SREP own funds requirements (%)</w:t>
            </w:r>
          </w:p>
        </w:tc>
      </w:tr>
      <w:tr w:rsidR="00BB2F0A" w:rsidRPr="00C31378" w14:paraId="67D82493" w14:textId="77777777" w:rsidTr="00B2180A">
        <w:trPr>
          <w:trHeight w:val="557"/>
        </w:trPr>
        <w:tc>
          <w:tcPr>
            <w:tcW w:w="1384" w:type="dxa"/>
          </w:tcPr>
          <w:p w14:paraId="793231B5" w14:textId="4AB9A3AE" w:rsidR="00BB2F0A" w:rsidRPr="00C31378" w:rsidRDefault="00BB2F0A" w:rsidP="00BB2F0A">
            <w:pPr>
              <w:pStyle w:val="Applicationdirecte"/>
              <w:spacing w:before="60"/>
              <w:jc w:val="center"/>
            </w:pPr>
            <w:r w:rsidRPr="00C31378">
              <w:t>13</w:t>
            </w:r>
          </w:p>
        </w:tc>
        <w:tc>
          <w:tcPr>
            <w:tcW w:w="7655" w:type="dxa"/>
          </w:tcPr>
          <w:p w14:paraId="1B028368" w14:textId="60F16721" w:rsidR="00BB2F0A" w:rsidRPr="00C31378" w:rsidRDefault="00BB2F0A" w:rsidP="00BB2F0A">
            <w:pPr>
              <w:spacing w:before="60" w:after="120"/>
              <w:jc w:val="both"/>
              <w:rPr>
                <w:rFonts w:ascii="Times New Roman" w:hAnsi="Times New Roman" w:cs="Times New Roman"/>
                <w:sz w:val="24"/>
              </w:rPr>
            </w:pPr>
            <w:r w:rsidRPr="00C31378">
              <w:rPr>
                <w:rFonts w:ascii="Times New Roman" w:hAnsi="Times New Roman" w:cs="Times New Roman"/>
                <w:sz w:val="24"/>
              </w:rPr>
              <w:t>Leverage ratio total exposure measure</w:t>
            </w:r>
          </w:p>
          <w:p w14:paraId="331C82F1" w14:textId="5BDBAA5F" w:rsidR="00BB2F0A" w:rsidRPr="00C31378" w:rsidRDefault="00BB2F0A" w:rsidP="00EE7CB2">
            <w:pPr>
              <w:spacing w:before="60" w:after="120"/>
              <w:jc w:val="both"/>
              <w:rPr>
                <w:rFonts w:ascii="Times New Roman" w:hAnsi="Times New Roman" w:cs="Times New Roman"/>
                <w:noProof/>
                <w:sz w:val="24"/>
              </w:rPr>
            </w:pPr>
            <w:r w:rsidRPr="00C31378">
              <w:rPr>
                <w:rFonts w:ascii="Times New Roman" w:hAnsi="Times New Roman" w:cs="Times New Roman"/>
                <w:sz w:val="24"/>
              </w:rPr>
              <w:t>Leverage ratio total exposure measure in accordance with the amount disc</w:t>
            </w:r>
            <w:r w:rsidR="00EE7CB2">
              <w:rPr>
                <w:rFonts w:ascii="Times New Roman" w:hAnsi="Times New Roman" w:cs="Times New Roman"/>
                <w:sz w:val="24"/>
              </w:rPr>
              <w:t>losed by institutions following</w:t>
            </w:r>
            <w:r w:rsidRPr="00C31378">
              <w:rPr>
                <w:rFonts w:ascii="Times New Roman" w:hAnsi="Times New Roman" w:cs="Times New Roman"/>
                <w:sz w:val="24"/>
              </w:rPr>
              <w:t xml:space="preserve"> Annex </w:t>
            </w:r>
            <w:r w:rsidR="00EE7CB2">
              <w:rPr>
                <w:rFonts w:ascii="Times New Roman" w:hAnsi="Times New Roman" w:cs="Times New Roman"/>
                <w:sz w:val="24"/>
              </w:rPr>
              <w:t>15</w:t>
            </w:r>
            <w:r w:rsidRPr="00C31378">
              <w:rPr>
                <w:rFonts w:ascii="Times New Roman" w:hAnsi="Times New Roman" w:cs="Times New Roman"/>
                <w:sz w:val="24"/>
              </w:rPr>
              <w:t xml:space="preserve"> of this ITS, on disclosure of </w:t>
            </w:r>
            <w:r w:rsidRPr="00C31378">
              <w:rPr>
                <w:rFonts w:ascii="Times New Roman" w:hAnsi="Times New Roman" w:cs="Times New Roman"/>
                <w:sz w:val="24"/>
              </w:rPr>
              <w:lastRenderedPageBreak/>
              <w:t xml:space="preserve">leverage ratio  (row </w:t>
            </w:r>
            <w:r w:rsidR="00EE7CB2">
              <w:rPr>
                <w:rFonts w:ascii="Times New Roman" w:hAnsi="Times New Roman" w:cs="Times New Roman"/>
                <w:sz w:val="24"/>
              </w:rPr>
              <w:t>24</w:t>
            </w:r>
            <w:r w:rsidRPr="00C31378">
              <w:rPr>
                <w:rFonts w:ascii="Times New Roman" w:hAnsi="Times New Roman" w:cs="Times New Roman"/>
                <w:sz w:val="24"/>
              </w:rPr>
              <w:t xml:space="preserve"> </w:t>
            </w:r>
            <w:r w:rsidRPr="00EE7CB2">
              <w:rPr>
                <w:rFonts w:ascii="Times New Roman" w:hAnsi="Times New Roman" w:cs="Times New Roman"/>
                <w:sz w:val="24"/>
              </w:rPr>
              <w:t xml:space="preserve">of </w:t>
            </w:r>
            <w:r w:rsidR="00EE7CB2" w:rsidRPr="00EE7CB2">
              <w:rPr>
                <w:rFonts w:ascii="Times New Roman" w:hAnsi="Times New Roman" w:cs="Times New Roman"/>
                <w:sz w:val="24"/>
              </w:rPr>
              <w:t>template EU LR2 - LRCom</w:t>
            </w:r>
            <w:r w:rsidRPr="00EE7CB2">
              <w:rPr>
                <w:rFonts w:ascii="Times New Roman" w:hAnsi="Times New Roman" w:cs="Times New Roman"/>
                <w:sz w:val="24"/>
              </w:rPr>
              <w:t>: Leverage</w:t>
            </w:r>
            <w:r w:rsidR="00EE7CB2">
              <w:rPr>
                <w:rFonts w:ascii="Times New Roman" w:hAnsi="Times New Roman" w:cs="Times New Roman"/>
                <w:sz w:val="24"/>
              </w:rPr>
              <w:t xml:space="preserve"> ratio common disclosure</w:t>
            </w:r>
            <w:r w:rsidRPr="00C31378">
              <w:rPr>
                <w:rFonts w:ascii="Times New Roman" w:hAnsi="Times New Roman" w:cs="Times New Roman"/>
                <w:sz w:val="24"/>
              </w:rPr>
              <w:t>)</w:t>
            </w:r>
          </w:p>
        </w:tc>
      </w:tr>
      <w:tr w:rsidR="00BB2F0A" w:rsidRPr="00C31378" w14:paraId="34C4013E" w14:textId="77777777" w:rsidTr="00B2180A">
        <w:trPr>
          <w:trHeight w:val="557"/>
        </w:trPr>
        <w:tc>
          <w:tcPr>
            <w:tcW w:w="1384" w:type="dxa"/>
          </w:tcPr>
          <w:p w14:paraId="6A00111D" w14:textId="4EC914B0" w:rsidR="00BB2F0A" w:rsidRPr="00C31378" w:rsidRDefault="00BB2F0A" w:rsidP="00BB2F0A">
            <w:pPr>
              <w:pStyle w:val="Applicationdirecte"/>
              <w:spacing w:before="60"/>
              <w:jc w:val="center"/>
            </w:pPr>
            <w:r w:rsidRPr="00C31378">
              <w:lastRenderedPageBreak/>
              <w:t>14</w:t>
            </w:r>
          </w:p>
        </w:tc>
        <w:tc>
          <w:tcPr>
            <w:tcW w:w="7655" w:type="dxa"/>
          </w:tcPr>
          <w:p w14:paraId="29F1C8BF" w14:textId="7D0AD3D2" w:rsidR="00BB2F0A" w:rsidRPr="00C31378" w:rsidRDefault="00BB2F0A" w:rsidP="00BB2F0A">
            <w:pPr>
              <w:spacing w:before="60" w:after="120"/>
              <w:jc w:val="both"/>
              <w:rPr>
                <w:rFonts w:ascii="Times New Roman" w:hAnsi="Times New Roman" w:cs="Times New Roman"/>
                <w:sz w:val="24"/>
              </w:rPr>
            </w:pPr>
            <w:r w:rsidRPr="00C31378">
              <w:rPr>
                <w:rFonts w:ascii="Times New Roman" w:hAnsi="Times New Roman" w:cs="Times New Roman"/>
                <w:sz w:val="24"/>
              </w:rPr>
              <w:t>Leverage ratio</w:t>
            </w:r>
          </w:p>
          <w:p w14:paraId="756EBFE1" w14:textId="51B0DE38" w:rsidR="00BB2F0A" w:rsidRPr="00C31378" w:rsidRDefault="00BB2F0A" w:rsidP="00EE7CB2">
            <w:pPr>
              <w:spacing w:before="60" w:after="120"/>
              <w:jc w:val="both"/>
              <w:rPr>
                <w:rFonts w:ascii="Times New Roman" w:hAnsi="Times New Roman" w:cs="Times New Roman"/>
                <w:noProof/>
                <w:sz w:val="24"/>
              </w:rPr>
            </w:pPr>
            <w:r w:rsidRPr="00C31378">
              <w:rPr>
                <w:rFonts w:ascii="Times New Roman" w:hAnsi="Times New Roman" w:cs="Times New Roman"/>
                <w:sz w:val="24"/>
              </w:rPr>
              <w:t xml:space="preserve">Leverage ratio in accordance with the value disclosed by institutions following the ITS </w:t>
            </w:r>
            <w:r w:rsidR="00EE7CB2">
              <w:rPr>
                <w:rFonts w:ascii="Times New Roman" w:hAnsi="Times New Roman" w:cs="Times New Roman"/>
                <w:sz w:val="24"/>
              </w:rPr>
              <w:t>on disclosure of leverage ratio (row 25</w:t>
            </w:r>
            <w:r w:rsidRPr="00C31378">
              <w:rPr>
                <w:rFonts w:ascii="Times New Roman" w:hAnsi="Times New Roman" w:cs="Times New Roman"/>
                <w:sz w:val="24"/>
              </w:rPr>
              <w:t xml:space="preserve"> of </w:t>
            </w:r>
            <w:r w:rsidR="00EE7CB2">
              <w:rPr>
                <w:rFonts w:ascii="Times New Roman" w:hAnsi="Times New Roman" w:cs="Times New Roman"/>
                <w:sz w:val="24"/>
              </w:rPr>
              <w:t xml:space="preserve">template EU LR2 - </w:t>
            </w:r>
            <w:r w:rsidRPr="00C31378">
              <w:rPr>
                <w:rFonts w:ascii="Times New Roman" w:hAnsi="Times New Roman" w:cs="Times New Roman"/>
                <w:sz w:val="24"/>
              </w:rPr>
              <w:t>LRCom: Leverage ratio commo</w:t>
            </w:r>
            <w:r w:rsidR="00EE7CB2">
              <w:rPr>
                <w:rFonts w:ascii="Times New Roman" w:hAnsi="Times New Roman" w:cs="Times New Roman"/>
                <w:sz w:val="24"/>
              </w:rPr>
              <w:t>n disclosure</w:t>
            </w:r>
            <w:r w:rsidRPr="00C31378">
              <w:rPr>
                <w:rFonts w:ascii="Times New Roman" w:hAnsi="Times New Roman" w:cs="Times New Roman"/>
                <w:sz w:val="24"/>
              </w:rPr>
              <w:t>)</w:t>
            </w:r>
          </w:p>
        </w:tc>
      </w:tr>
      <w:tr w:rsidR="00505188" w:rsidRPr="00C31378" w14:paraId="3CC5DFAD" w14:textId="77777777" w:rsidTr="00B54F5B">
        <w:trPr>
          <w:trHeight w:val="557"/>
        </w:trPr>
        <w:tc>
          <w:tcPr>
            <w:tcW w:w="1384" w:type="dxa"/>
          </w:tcPr>
          <w:p w14:paraId="55CBD502" w14:textId="77777777" w:rsidR="00505188" w:rsidRPr="00C31378" w:rsidRDefault="00505188" w:rsidP="00B54F5B">
            <w:pPr>
              <w:pStyle w:val="Applicationdirecte"/>
              <w:spacing w:before="60"/>
              <w:jc w:val="center"/>
            </w:pPr>
            <w:r>
              <w:t>EU 14</w:t>
            </w:r>
            <w:r w:rsidRPr="00C31378">
              <w:t>a</w:t>
            </w:r>
          </w:p>
        </w:tc>
        <w:tc>
          <w:tcPr>
            <w:tcW w:w="7655" w:type="dxa"/>
          </w:tcPr>
          <w:p w14:paraId="07B7858C" w14:textId="77777777" w:rsidR="00505188" w:rsidRPr="00C31378" w:rsidRDefault="00505188" w:rsidP="00B54F5B">
            <w:pPr>
              <w:spacing w:before="60" w:after="120"/>
              <w:jc w:val="both"/>
              <w:rPr>
                <w:rFonts w:ascii="Times New Roman" w:hAnsi="Times New Roman" w:cs="Times New Roman"/>
                <w:sz w:val="24"/>
              </w:rPr>
            </w:pPr>
            <w:r w:rsidRPr="00C31378">
              <w:rPr>
                <w:rFonts w:ascii="Times New Roman" w:hAnsi="Times New Roman" w:cs="Times New Roman"/>
                <w:sz w:val="24"/>
              </w:rPr>
              <w:t xml:space="preserve">Additional CET1 </w:t>
            </w:r>
            <w:r>
              <w:rPr>
                <w:rFonts w:ascii="Times New Roman" w:hAnsi="Times New Roman" w:cs="Times New Roman"/>
                <w:sz w:val="24"/>
              </w:rPr>
              <w:t>leverage ratio</w:t>
            </w:r>
            <w:r w:rsidRPr="00C31378">
              <w:rPr>
                <w:rFonts w:ascii="Times New Roman" w:hAnsi="Times New Roman" w:cs="Times New Roman"/>
                <w:sz w:val="24"/>
              </w:rPr>
              <w:t xml:space="preserve"> requirements (%)</w:t>
            </w:r>
          </w:p>
          <w:p w14:paraId="268AFAD7" w14:textId="77777777" w:rsidR="00505188" w:rsidRPr="00C31378" w:rsidRDefault="00505188" w:rsidP="00B54F5B">
            <w:pPr>
              <w:spacing w:before="60" w:after="120"/>
              <w:jc w:val="both"/>
              <w:rPr>
                <w:rFonts w:ascii="Times New Roman" w:hAnsi="Times New Roman" w:cs="Times New Roman"/>
                <w:sz w:val="24"/>
              </w:rPr>
            </w:pPr>
            <w:r w:rsidRPr="00C31378">
              <w:rPr>
                <w:rFonts w:ascii="Times New Roman" w:hAnsi="Times New Roman" w:cs="Times New Roman"/>
                <w:sz w:val="24"/>
              </w:rPr>
              <w:t>Additional own funds (in particular CET1 instruments) requirements based on the supervisory review process as referred to in point (a) of Article 104(1) of Directive 2013/36/EU</w:t>
            </w:r>
            <w:r>
              <w:rPr>
                <w:rFonts w:ascii="Times New Roman" w:hAnsi="Times New Roman" w:cs="Times New Roman"/>
                <w:sz w:val="24"/>
              </w:rPr>
              <w:t>.</w:t>
            </w:r>
          </w:p>
        </w:tc>
      </w:tr>
      <w:tr w:rsidR="00505188" w:rsidRPr="00C31378" w14:paraId="0A09D13D" w14:textId="77777777" w:rsidTr="00B54F5B">
        <w:trPr>
          <w:trHeight w:val="557"/>
        </w:trPr>
        <w:tc>
          <w:tcPr>
            <w:tcW w:w="1384" w:type="dxa"/>
          </w:tcPr>
          <w:p w14:paraId="0E22B3F6" w14:textId="77777777" w:rsidR="00505188" w:rsidRPr="00C31378" w:rsidRDefault="00505188" w:rsidP="00B54F5B">
            <w:pPr>
              <w:pStyle w:val="Applicationdirecte"/>
              <w:spacing w:before="60"/>
              <w:jc w:val="center"/>
            </w:pPr>
            <w:r>
              <w:t>EU 14</w:t>
            </w:r>
            <w:r w:rsidRPr="00C31378">
              <w:t>b</w:t>
            </w:r>
          </w:p>
        </w:tc>
        <w:tc>
          <w:tcPr>
            <w:tcW w:w="7655" w:type="dxa"/>
          </w:tcPr>
          <w:p w14:paraId="645E9C1D" w14:textId="77777777" w:rsidR="00505188" w:rsidRPr="00C31378" w:rsidRDefault="00505188" w:rsidP="00B54F5B">
            <w:pPr>
              <w:spacing w:before="60" w:after="120"/>
              <w:jc w:val="both"/>
              <w:rPr>
                <w:rFonts w:ascii="Times New Roman" w:hAnsi="Times New Roman" w:cs="Times New Roman"/>
                <w:sz w:val="24"/>
              </w:rPr>
            </w:pPr>
            <w:r w:rsidRPr="00C31378">
              <w:rPr>
                <w:rFonts w:ascii="Times New Roman" w:hAnsi="Times New Roman" w:cs="Times New Roman"/>
                <w:sz w:val="24"/>
              </w:rPr>
              <w:t xml:space="preserve">Additional AT1 </w:t>
            </w:r>
            <w:r>
              <w:rPr>
                <w:rFonts w:ascii="Times New Roman" w:hAnsi="Times New Roman" w:cs="Times New Roman"/>
                <w:sz w:val="24"/>
              </w:rPr>
              <w:t>leverage ratio</w:t>
            </w:r>
            <w:r w:rsidRPr="00C31378">
              <w:rPr>
                <w:rFonts w:ascii="Times New Roman" w:hAnsi="Times New Roman" w:cs="Times New Roman"/>
                <w:sz w:val="24"/>
              </w:rPr>
              <w:t xml:space="preserve"> requirements (%)</w:t>
            </w:r>
          </w:p>
          <w:p w14:paraId="1C97E3C6" w14:textId="77777777" w:rsidR="00505188" w:rsidRPr="00C31378" w:rsidRDefault="00505188" w:rsidP="00B54F5B">
            <w:pPr>
              <w:spacing w:before="60" w:after="120"/>
              <w:jc w:val="both"/>
              <w:rPr>
                <w:rFonts w:ascii="Times New Roman" w:hAnsi="Times New Roman" w:cs="Times New Roman"/>
                <w:sz w:val="24"/>
              </w:rPr>
            </w:pPr>
            <w:r w:rsidRPr="00C31378">
              <w:rPr>
                <w:rFonts w:ascii="Times New Roman" w:hAnsi="Times New Roman" w:cs="Times New Roman"/>
                <w:sz w:val="24"/>
              </w:rPr>
              <w:t>Additional own funds (in particular additional Tier 1 instruments) requirements based on the supervisory review process as referred to in point (a) of Article 104(1) of Directive 2013/36/EU</w:t>
            </w:r>
            <w:r>
              <w:rPr>
                <w:rFonts w:ascii="Times New Roman" w:hAnsi="Times New Roman" w:cs="Times New Roman"/>
                <w:sz w:val="24"/>
              </w:rPr>
              <w:t>.</w:t>
            </w:r>
          </w:p>
        </w:tc>
      </w:tr>
      <w:tr w:rsidR="00505188" w:rsidRPr="00C31378" w14:paraId="3F462525" w14:textId="77777777" w:rsidTr="00B54F5B">
        <w:trPr>
          <w:trHeight w:val="557"/>
        </w:trPr>
        <w:tc>
          <w:tcPr>
            <w:tcW w:w="1384" w:type="dxa"/>
          </w:tcPr>
          <w:p w14:paraId="35ACCE61" w14:textId="77777777" w:rsidR="00505188" w:rsidRPr="00C31378" w:rsidRDefault="00505188" w:rsidP="00B54F5B">
            <w:pPr>
              <w:pStyle w:val="Applicationdirecte"/>
              <w:spacing w:before="60"/>
              <w:jc w:val="center"/>
            </w:pPr>
            <w:r>
              <w:t>EU 14</w:t>
            </w:r>
            <w:r w:rsidRPr="00C31378">
              <w:t>c</w:t>
            </w:r>
          </w:p>
        </w:tc>
        <w:tc>
          <w:tcPr>
            <w:tcW w:w="7655" w:type="dxa"/>
          </w:tcPr>
          <w:p w14:paraId="41762213" w14:textId="77777777" w:rsidR="00505188" w:rsidRPr="00C31378" w:rsidRDefault="00505188" w:rsidP="00B54F5B">
            <w:pPr>
              <w:spacing w:before="60" w:after="120"/>
              <w:jc w:val="both"/>
              <w:rPr>
                <w:rFonts w:ascii="Times New Roman" w:hAnsi="Times New Roman" w:cs="Times New Roman"/>
                <w:sz w:val="24"/>
              </w:rPr>
            </w:pPr>
            <w:r w:rsidRPr="00C31378">
              <w:rPr>
                <w:rFonts w:ascii="Times New Roman" w:hAnsi="Times New Roman" w:cs="Times New Roman"/>
                <w:sz w:val="24"/>
              </w:rPr>
              <w:t xml:space="preserve">Additional T2 </w:t>
            </w:r>
            <w:r>
              <w:rPr>
                <w:rFonts w:ascii="Times New Roman" w:hAnsi="Times New Roman" w:cs="Times New Roman"/>
                <w:sz w:val="24"/>
              </w:rPr>
              <w:t>leverage ratio</w:t>
            </w:r>
            <w:r w:rsidRPr="00C31378">
              <w:rPr>
                <w:rFonts w:ascii="Times New Roman" w:hAnsi="Times New Roman" w:cs="Times New Roman"/>
                <w:sz w:val="24"/>
              </w:rPr>
              <w:t xml:space="preserve"> requirements (%)</w:t>
            </w:r>
          </w:p>
          <w:p w14:paraId="6C060DA3" w14:textId="77777777" w:rsidR="00505188" w:rsidRPr="00C31378" w:rsidRDefault="00505188" w:rsidP="00B54F5B">
            <w:pPr>
              <w:spacing w:before="60" w:after="120"/>
              <w:jc w:val="both"/>
              <w:rPr>
                <w:rFonts w:ascii="Times New Roman" w:hAnsi="Times New Roman" w:cs="Times New Roman"/>
                <w:sz w:val="24"/>
              </w:rPr>
            </w:pPr>
            <w:r w:rsidRPr="00C31378">
              <w:rPr>
                <w:rFonts w:ascii="Times New Roman" w:hAnsi="Times New Roman" w:cs="Times New Roman"/>
                <w:sz w:val="24"/>
              </w:rPr>
              <w:t>Additional own funds (Tier 2 instruments) requirements based on the supervisory review process as referred to in point (a) of Article 104(1) of Directive 2013/36/EU</w:t>
            </w:r>
            <w:r>
              <w:rPr>
                <w:rFonts w:ascii="Times New Roman" w:hAnsi="Times New Roman" w:cs="Times New Roman"/>
                <w:sz w:val="24"/>
              </w:rPr>
              <w:t>.</w:t>
            </w:r>
          </w:p>
        </w:tc>
      </w:tr>
      <w:tr w:rsidR="00505188" w:rsidRPr="00C31378" w14:paraId="27DDE454" w14:textId="77777777" w:rsidTr="00B54F5B">
        <w:trPr>
          <w:trHeight w:val="557"/>
        </w:trPr>
        <w:tc>
          <w:tcPr>
            <w:tcW w:w="1384" w:type="dxa"/>
          </w:tcPr>
          <w:p w14:paraId="010BCAE5" w14:textId="77777777" w:rsidR="00505188" w:rsidRPr="00C31378" w:rsidRDefault="00505188" w:rsidP="00B54F5B">
            <w:pPr>
              <w:pStyle w:val="Applicationdirecte"/>
              <w:spacing w:before="60"/>
              <w:jc w:val="center"/>
            </w:pPr>
            <w:r>
              <w:t>EU 14</w:t>
            </w:r>
            <w:r w:rsidRPr="00C31378">
              <w:t>d</w:t>
            </w:r>
          </w:p>
        </w:tc>
        <w:tc>
          <w:tcPr>
            <w:tcW w:w="7655" w:type="dxa"/>
          </w:tcPr>
          <w:p w14:paraId="3C736D7C" w14:textId="77777777" w:rsidR="00505188" w:rsidRPr="00C31378" w:rsidRDefault="00505188" w:rsidP="00B54F5B">
            <w:pPr>
              <w:spacing w:before="60" w:after="120"/>
              <w:jc w:val="both"/>
              <w:rPr>
                <w:rFonts w:ascii="Times New Roman" w:hAnsi="Times New Roman" w:cs="Times New Roman"/>
                <w:sz w:val="24"/>
              </w:rPr>
            </w:pPr>
            <w:r w:rsidRPr="00C31378">
              <w:rPr>
                <w:rFonts w:ascii="Times New Roman" w:hAnsi="Times New Roman" w:cs="Times New Roman"/>
                <w:sz w:val="24"/>
              </w:rPr>
              <w:t xml:space="preserve">Total SREP </w:t>
            </w:r>
            <w:r>
              <w:rPr>
                <w:rFonts w:ascii="Times New Roman" w:hAnsi="Times New Roman" w:cs="Times New Roman"/>
                <w:sz w:val="24"/>
              </w:rPr>
              <w:t>leverage ratio</w:t>
            </w:r>
            <w:r w:rsidRPr="00C31378">
              <w:rPr>
                <w:rFonts w:ascii="Times New Roman" w:hAnsi="Times New Roman" w:cs="Times New Roman"/>
                <w:sz w:val="24"/>
              </w:rPr>
              <w:t xml:space="preserve"> requirements (TSCR ratio) (%)</w:t>
            </w:r>
          </w:p>
          <w:p w14:paraId="333C1407" w14:textId="77777777" w:rsidR="00505188" w:rsidRPr="00C31378" w:rsidRDefault="00505188" w:rsidP="00B54F5B">
            <w:pPr>
              <w:pStyle w:val="InstructionsText"/>
            </w:pPr>
            <w:r w:rsidRPr="00C31378">
              <w:t>The sum of (i) and (ii) as follows:</w:t>
            </w:r>
          </w:p>
          <w:p w14:paraId="22D917A7" w14:textId="77777777" w:rsidR="00505188" w:rsidRPr="00C31378" w:rsidRDefault="00505188" w:rsidP="00B54F5B">
            <w:pPr>
              <w:pStyle w:val="InstructionsText"/>
              <w:numPr>
                <w:ilvl w:val="0"/>
                <w:numId w:val="15"/>
              </w:numPr>
            </w:pPr>
            <w:r w:rsidRPr="00C31378">
              <w:t xml:space="preserve">the </w:t>
            </w:r>
            <w:r>
              <w:t>minimum</w:t>
            </w:r>
            <w:r w:rsidRPr="00C31378">
              <w:t xml:space="preserve"> </w:t>
            </w:r>
            <w:r>
              <w:t>leverage ratio requirement</w:t>
            </w:r>
            <w:r w:rsidRPr="00C31378">
              <w:t xml:space="preserve"> </w:t>
            </w:r>
            <w:r>
              <w:t>(3</w:t>
            </w:r>
            <w:r w:rsidRPr="00C31378">
              <w:t>%) as specified in Article 92(1)(</w:t>
            </w:r>
            <w:r>
              <w:t>d</w:t>
            </w:r>
            <w:r w:rsidRPr="00C31378">
              <w:t xml:space="preserve">) of CRR; </w:t>
            </w:r>
          </w:p>
          <w:p w14:paraId="7D6D239A" w14:textId="77777777" w:rsidR="00505188" w:rsidRPr="00C31378" w:rsidRDefault="00505188" w:rsidP="00B54F5B">
            <w:pPr>
              <w:pStyle w:val="InstructionsText"/>
              <w:numPr>
                <w:ilvl w:val="0"/>
                <w:numId w:val="15"/>
              </w:numPr>
            </w:pPr>
            <w:r w:rsidRPr="00C31378">
              <w:t>the additional own funds requirements (Pillar 2 Requirements – P2R) ratio based on the supervisory review process as referred to in point (a) of Article 104(1) of Directive 2013/36/EU.</w:t>
            </w:r>
          </w:p>
          <w:p w14:paraId="5EFBC527" w14:textId="77777777" w:rsidR="00505188" w:rsidRPr="00C31378" w:rsidRDefault="00505188" w:rsidP="00B54F5B">
            <w:pPr>
              <w:pStyle w:val="InstructionsText"/>
            </w:pPr>
            <w:r w:rsidRPr="00C31378">
              <w:t xml:space="preserve">This item shall reflect the total SREP </w:t>
            </w:r>
            <w:r>
              <w:t>leverage ratio</w:t>
            </w:r>
            <w:r w:rsidRPr="00C31378">
              <w:t xml:space="preserve"> requirement (TS</w:t>
            </w:r>
            <w:r>
              <w:t>LR</w:t>
            </w:r>
            <w:r w:rsidRPr="00C31378">
              <w:t>R) ratio as communicated to the institution by the competent authority.</w:t>
            </w:r>
          </w:p>
          <w:p w14:paraId="7BC74CE5" w14:textId="77777777" w:rsidR="00505188" w:rsidRPr="00C31378" w:rsidRDefault="00505188" w:rsidP="00B54F5B">
            <w:pPr>
              <w:spacing w:before="60" w:after="120"/>
              <w:jc w:val="both"/>
              <w:rPr>
                <w:rFonts w:ascii="Times New Roman" w:hAnsi="Times New Roman" w:cs="Times New Roman"/>
                <w:sz w:val="24"/>
              </w:rPr>
            </w:pPr>
            <w:r w:rsidRPr="00C31378">
              <w:rPr>
                <w:rFonts w:ascii="Times New Roman" w:hAnsi="Times New Roman" w:cs="Times New Roman"/>
                <w:sz w:val="24"/>
              </w:rPr>
              <w:t>If no additional own funds requirements were communicated by the competent authority, then only point (i) should be reported.</w:t>
            </w:r>
          </w:p>
        </w:tc>
      </w:tr>
      <w:tr w:rsidR="00505188" w:rsidRPr="00C31378" w14:paraId="32B995FD" w14:textId="77777777" w:rsidTr="00B54F5B">
        <w:trPr>
          <w:trHeight w:val="557"/>
        </w:trPr>
        <w:tc>
          <w:tcPr>
            <w:tcW w:w="1384" w:type="dxa"/>
          </w:tcPr>
          <w:p w14:paraId="068D3D2A" w14:textId="77777777" w:rsidR="00505188" w:rsidRPr="00C31378" w:rsidRDefault="00505188" w:rsidP="00B54F5B">
            <w:pPr>
              <w:pStyle w:val="Applicationdirecte"/>
              <w:spacing w:before="60"/>
              <w:jc w:val="center"/>
            </w:pPr>
            <w:r>
              <w:t>EU 14e</w:t>
            </w:r>
          </w:p>
        </w:tc>
        <w:tc>
          <w:tcPr>
            <w:tcW w:w="7655" w:type="dxa"/>
          </w:tcPr>
          <w:p w14:paraId="73703525" w14:textId="77777777" w:rsidR="00505188" w:rsidRDefault="00505188" w:rsidP="00B54F5B">
            <w:pPr>
              <w:pStyle w:val="InstructionsText"/>
              <w:rPr>
                <w:rFonts w:eastAsiaTheme="minorEastAsia"/>
                <w:lang w:eastAsia="en-US"/>
              </w:rPr>
            </w:pPr>
            <w:r w:rsidRPr="00915187">
              <w:rPr>
                <w:rFonts w:eastAsiaTheme="minorEastAsia"/>
                <w:lang w:eastAsia="en-US"/>
              </w:rPr>
              <w:t>Applicable leverage buffer</w:t>
            </w:r>
          </w:p>
          <w:p w14:paraId="32B3B1D2" w14:textId="77777777" w:rsidR="00505188" w:rsidRPr="00C31378" w:rsidRDefault="00505188" w:rsidP="00B54F5B">
            <w:pPr>
              <w:spacing w:before="60" w:after="120"/>
              <w:jc w:val="both"/>
              <w:rPr>
                <w:rFonts w:ascii="Times New Roman" w:hAnsi="Times New Roman" w:cs="Times New Roman"/>
                <w:sz w:val="24"/>
              </w:rPr>
            </w:pPr>
            <w:r w:rsidRPr="00915187">
              <w:rPr>
                <w:rFonts w:ascii="Times New Roman" w:hAnsi="Times New Roman" w:cs="Times New Roman"/>
                <w:sz w:val="24"/>
              </w:rPr>
              <w:t>Applicable leverage buffer</w:t>
            </w:r>
            <w:r w:rsidRPr="00C31378">
              <w:rPr>
                <w:rFonts w:ascii="Times New Roman" w:hAnsi="Times New Roman" w:cs="Times New Roman"/>
                <w:sz w:val="24"/>
              </w:rPr>
              <w:t xml:space="preserve"> in accordance with the value disclosed by institutions following the ITS </w:t>
            </w:r>
            <w:r>
              <w:rPr>
                <w:rFonts w:ascii="Times New Roman" w:hAnsi="Times New Roman" w:cs="Times New Roman"/>
                <w:sz w:val="24"/>
              </w:rPr>
              <w:t>on disclosure of leverage ratio (row 27</w:t>
            </w:r>
            <w:r w:rsidRPr="00C31378">
              <w:rPr>
                <w:rFonts w:ascii="Times New Roman" w:hAnsi="Times New Roman" w:cs="Times New Roman"/>
                <w:sz w:val="24"/>
              </w:rPr>
              <w:t xml:space="preserve"> of </w:t>
            </w:r>
            <w:r>
              <w:rPr>
                <w:rFonts w:ascii="Times New Roman" w:hAnsi="Times New Roman" w:cs="Times New Roman"/>
                <w:sz w:val="24"/>
              </w:rPr>
              <w:t xml:space="preserve">template EU LR2 - </w:t>
            </w:r>
            <w:r w:rsidRPr="00C31378">
              <w:rPr>
                <w:rFonts w:ascii="Times New Roman" w:hAnsi="Times New Roman" w:cs="Times New Roman"/>
                <w:sz w:val="24"/>
              </w:rPr>
              <w:t>LRCom: Leverage ratio commo</w:t>
            </w:r>
            <w:r>
              <w:rPr>
                <w:rFonts w:ascii="Times New Roman" w:hAnsi="Times New Roman" w:cs="Times New Roman"/>
                <w:sz w:val="24"/>
              </w:rPr>
              <w:t>n disclosure</w:t>
            </w:r>
            <w:r w:rsidRPr="00C31378">
              <w:rPr>
                <w:rFonts w:ascii="Times New Roman" w:hAnsi="Times New Roman" w:cs="Times New Roman"/>
                <w:sz w:val="24"/>
              </w:rPr>
              <w:t>)</w:t>
            </w:r>
          </w:p>
        </w:tc>
      </w:tr>
      <w:tr w:rsidR="00505188" w:rsidRPr="00C31378" w14:paraId="1CDEDCA0" w14:textId="77777777" w:rsidTr="00B54F5B">
        <w:trPr>
          <w:trHeight w:val="557"/>
        </w:trPr>
        <w:tc>
          <w:tcPr>
            <w:tcW w:w="1384" w:type="dxa"/>
          </w:tcPr>
          <w:p w14:paraId="14BBD671" w14:textId="77777777" w:rsidR="00505188" w:rsidRPr="00C31378" w:rsidRDefault="00505188" w:rsidP="00B54F5B">
            <w:pPr>
              <w:pStyle w:val="Applicationdirecte"/>
              <w:spacing w:before="60"/>
              <w:jc w:val="center"/>
            </w:pPr>
            <w:r>
              <w:t>EU 14f</w:t>
            </w:r>
          </w:p>
        </w:tc>
        <w:tc>
          <w:tcPr>
            <w:tcW w:w="7655" w:type="dxa"/>
          </w:tcPr>
          <w:p w14:paraId="051E6421" w14:textId="77777777" w:rsidR="00505188" w:rsidRDefault="00505188" w:rsidP="00B54F5B">
            <w:pPr>
              <w:spacing w:before="60" w:after="120"/>
              <w:jc w:val="both"/>
              <w:rPr>
                <w:rFonts w:ascii="Times New Roman" w:hAnsi="Times New Roman" w:cs="Times New Roman"/>
                <w:sz w:val="24"/>
              </w:rPr>
            </w:pPr>
            <w:r w:rsidRPr="00915187">
              <w:rPr>
                <w:rFonts w:ascii="Times New Roman" w:hAnsi="Times New Roman" w:cs="Times New Roman"/>
                <w:sz w:val="24"/>
              </w:rPr>
              <w:t>Overall leverage ratio requirements (%)</w:t>
            </w:r>
          </w:p>
          <w:p w14:paraId="79F3E681" w14:textId="77777777" w:rsidR="00505188" w:rsidRPr="00C31378" w:rsidRDefault="00505188" w:rsidP="00B54F5B">
            <w:pPr>
              <w:spacing w:before="60" w:after="120"/>
              <w:jc w:val="both"/>
              <w:rPr>
                <w:rFonts w:ascii="Times New Roman" w:hAnsi="Times New Roman" w:cs="Times New Roman"/>
                <w:sz w:val="24"/>
              </w:rPr>
            </w:pPr>
            <w:r>
              <w:rPr>
                <w:rFonts w:ascii="Times New Roman" w:hAnsi="Times New Roman" w:cs="Times New Roman"/>
                <w:sz w:val="24"/>
              </w:rPr>
              <w:t>Sum of rows EU 14d and EU 14e</w:t>
            </w:r>
          </w:p>
        </w:tc>
      </w:tr>
      <w:tr w:rsidR="00BB2F0A" w:rsidRPr="00C31378" w14:paraId="2864B4E3" w14:textId="77777777" w:rsidTr="00B2180A">
        <w:trPr>
          <w:trHeight w:val="557"/>
        </w:trPr>
        <w:tc>
          <w:tcPr>
            <w:tcW w:w="1384" w:type="dxa"/>
          </w:tcPr>
          <w:p w14:paraId="5E706D94" w14:textId="132B92E9" w:rsidR="00BB2F0A" w:rsidRPr="00C31378" w:rsidRDefault="00BB2F0A" w:rsidP="00BB2F0A">
            <w:pPr>
              <w:pStyle w:val="Applicationdirecte"/>
              <w:spacing w:before="60"/>
              <w:jc w:val="center"/>
            </w:pPr>
            <w:bookmarkStart w:id="10" w:name="_GoBack"/>
            <w:bookmarkEnd w:id="10"/>
            <w:r w:rsidRPr="00C31378">
              <w:t>15</w:t>
            </w:r>
          </w:p>
        </w:tc>
        <w:tc>
          <w:tcPr>
            <w:tcW w:w="7655" w:type="dxa"/>
          </w:tcPr>
          <w:p w14:paraId="19D9BCD2" w14:textId="77777777" w:rsidR="00BB2F0A" w:rsidRPr="00C31378" w:rsidRDefault="00BB2F0A" w:rsidP="00BB2F0A">
            <w:pPr>
              <w:spacing w:before="60" w:after="120"/>
              <w:jc w:val="both"/>
              <w:rPr>
                <w:rFonts w:ascii="Times New Roman" w:hAnsi="Times New Roman" w:cs="Times New Roman"/>
                <w:sz w:val="24"/>
              </w:rPr>
            </w:pPr>
            <w:r w:rsidRPr="00C31378">
              <w:rPr>
                <w:rFonts w:ascii="Times New Roman" w:hAnsi="Times New Roman" w:cs="Times New Roman"/>
                <w:sz w:val="24"/>
              </w:rPr>
              <w:t>Total high-quality liquid assets (HQLA) (Weighted value - average)</w:t>
            </w:r>
          </w:p>
          <w:p w14:paraId="287194C3" w14:textId="0A0903E4" w:rsidR="00910181" w:rsidRPr="00C31378" w:rsidRDefault="00910181" w:rsidP="00BB2F0A">
            <w:pPr>
              <w:spacing w:before="60" w:after="120"/>
              <w:jc w:val="both"/>
              <w:rPr>
                <w:rFonts w:ascii="Times New Roman" w:hAnsi="Times New Roman" w:cs="Times New Roman"/>
                <w:noProof/>
                <w:sz w:val="24"/>
              </w:rPr>
            </w:pPr>
            <w:r w:rsidRPr="00C31378">
              <w:rPr>
                <w:rFonts w:ascii="Times New Roman" w:hAnsi="Times New Roman" w:cs="Times New Roman"/>
                <w:noProof/>
                <w:sz w:val="24"/>
              </w:rPr>
              <w:t xml:space="preserve">Institutions shall disclose as the weighted value the </w:t>
            </w:r>
            <w:r w:rsidR="009947D6">
              <w:rPr>
                <w:rFonts w:ascii="Times New Roman" w:hAnsi="Times New Roman" w:cs="Times New Roman"/>
                <w:noProof/>
                <w:sz w:val="24"/>
              </w:rPr>
              <w:t>v</w:t>
            </w:r>
            <w:r w:rsidRPr="00C31378">
              <w:rPr>
                <w:rFonts w:ascii="Times New Roman" w:hAnsi="Times New Roman" w:cs="Times New Roman"/>
                <w:noProof/>
                <w:sz w:val="24"/>
              </w:rPr>
              <w:t xml:space="preserve">alue according to Article 9 of Commission Delegated Regulation (EU) 2015/61 of the liquid </w:t>
            </w:r>
            <w:r w:rsidRPr="00C31378">
              <w:rPr>
                <w:rFonts w:ascii="Times New Roman" w:hAnsi="Times New Roman" w:cs="Times New Roman"/>
                <w:noProof/>
                <w:sz w:val="24"/>
              </w:rPr>
              <w:lastRenderedPageBreak/>
              <w:t>assets before applying the adjustment mechanism envisaged in paragraph 2 of Article 17 of Commission Delegated Regulation (EU) 2015/61.</w:t>
            </w:r>
          </w:p>
        </w:tc>
      </w:tr>
      <w:tr w:rsidR="00BB2F0A" w:rsidRPr="00C31378" w14:paraId="7C6C2955" w14:textId="77777777" w:rsidTr="00B2180A">
        <w:trPr>
          <w:trHeight w:val="557"/>
        </w:trPr>
        <w:tc>
          <w:tcPr>
            <w:tcW w:w="1384" w:type="dxa"/>
          </w:tcPr>
          <w:p w14:paraId="3A7C3D36" w14:textId="09AFA880" w:rsidR="00BB2F0A" w:rsidRPr="00C31378" w:rsidRDefault="00BB2F0A" w:rsidP="00BB2F0A">
            <w:pPr>
              <w:pStyle w:val="Applicationdirecte"/>
              <w:spacing w:before="60"/>
              <w:jc w:val="center"/>
            </w:pPr>
            <w:r w:rsidRPr="00C31378">
              <w:lastRenderedPageBreak/>
              <w:t>16</w:t>
            </w:r>
          </w:p>
        </w:tc>
        <w:tc>
          <w:tcPr>
            <w:tcW w:w="7655" w:type="dxa"/>
          </w:tcPr>
          <w:p w14:paraId="16B16CE6" w14:textId="3C31765D" w:rsidR="00BB2F0A" w:rsidRPr="00C31378" w:rsidRDefault="00BB2F0A" w:rsidP="00BB2F0A">
            <w:pPr>
              <w:spacing w:before="60" w:after="120"/>
              <w:jc w:val="both"/>
              <w:rPr>
                <w:rFonts w:ascii="Times New Roman" w:hAnsi="Times New Roman" w:cs="Times New Roman"/>
                <w:sz w:val="24"/>
              </w:rPr>
            </w:pPr>
            <w:r w:rsidRPr="00C31378">
              <w:rPr>
                <w:rFonts w:ascii="Times New Roman" w:hAnsi="Times New Roman" w:cs="Times New Roman"/>
                <w:sz w:val="24"/>
              </w:rPr>
              <w:t>Total net cash outflows (</w:t>
            </w:r>
            <w:r w:rsidR="00910181" w:rsidRPr="00C31378">
              <w:rPr>
                <w:rFonts w:ascii="Times New Roman" w:hAnsi="Times New Roman" w:cs="Times New Roman"/>
                <w:sz w:val="24"/>
              </w:rPr>
              <w:t>Adjusted value</w:t>
            </w:r>
            <w:r w:rsidRPr="00C31378">
              <w:rPr>
                <w:rFonts w:ascii="Times New Roman" w:hAnsi="Times New Roman" w:cs="Times New Roman"/>
                <w:sz w:val="24"/>
              </w:rPr>
              <w:t>)</w:t>
            </w:r>
          </w:p>
          <w:p w14:paraId="31D6118D" w14:textId="6E5E6D3E" w:rsidR="00910181" w:rsidRPr="00C31378" w:rsidRDefault="00910181" w:rsidP="00DA590B">
            <w:pPr>
              <w:autoSpaceDE w:val="0"/>
              <w:autoSpaceDN w:val="0"/>
              <w:adjustRightInd w:val="0"/>
              <w:spacing w:after="120"/>
              <w:jc w:val="both"/>
              <w:rPr>
                <w:rFonts w:ascii="Times New Roman" w:hAnsi="Times New Roman" w:cs="Times New Roman"/>
                <w:sz w:val="24"/>
              </w:rPr>
            </w:pPr>
            <w:r w:rsidRPr="00C31378">
              <w:rPr>
                <w:rFonts w:ascii="Times New Roman" w:hAnsi="Times New Roman" w:cs="Times New Roman"/>
                <w:sz w:val="24"/>
              </w:rPr>
              <w:t>Institutions shall disclose as the adjusted value the net liquidity outflow which equals total outflows less the reduction for fully exempt inflows less the reduction for inflows subject to the 90% cap less the reduction for i</w:t>
            </w:r>
            <w:r w:rsidR="00DA590B">
              <w:rPr>
                <w:rFonts w:ascii="Times New Roman" w:hAnsi="Times New Roman" w:cs="Times New Roman"/>
                <w:sz w:val="24"/>
              </w:rPr>
              <w:t xml:space="preserve">nflows subject to the 75% cap. </w:t>
            </w:r>
          </w:p>
        </w:tc>
      </w:tr>
      <w:tr w:rsidR="00BB2F0A" w:rsidRPr="00C31378" w14:paraId="21B42AED" w14:textId="77777777" w:rsidTr="00B2180A">
        <w:trPr>
          <w:trHeight w:val="557"/>
        </w:trPr>
        <w:tc>
          <w:tcPr>
            <w:tcW w:w="1384" w:type="dxa"/>
          </w:tcPr>
          <w:p w14:paraId="5C7A9D49" w14:textId="32DFDE4A" w:rsidR="00BB2F0A" w:rsidRPr="00C31378" w:rsidRDefault="00BB2F0A" w:rsidP="00BB2F0A">
            <w:pPr>
              <w:pStyle w:val="Applicationdirecte"/>
              <w:spacing w:before="60"/>
              <w:jc w:val="center"/>
            </w:pPr>
            <w:r w:rsidRPr="00C31378">
              <w:t>17</w:t>
            </w:r>
          </w:p>
        </w:tc>
        <w:tc>
          <w:tcPr>
            <w:tcW w:w="7655" w:type="dxa"/>
          </w:tcPr>
          <w:p w14:paraId="30F71740" w14:textId="77777777" w:rsidR="00BB2F0A" w:rsidRPr="00C31378" w:rsidRDefault="00BB2F0A" w:rsidP="00BB2F0A">
            <w:pPr>
              <w:spacing w:before="60" w:after="120"/>
              <w:jc w:val="both"/>
              <w:rPr>
                <w:rFonts w:ascii="Times New Roman" w:hAnsi="Times New Roman" w:cs="Times New Roman"/>
                <w:sz w:val="24"/>
              </w:rPr>
            </w:pPr>
            <w:r w:rsidRPr="00C31378">
              <w:rPr>
                <w:rFonts w:ascii="Times New Roman" w:hAnsi="Times New Roman" w:cs="Times New Roman"/>
                <w:sz w:val="24"/>
              </w:rPr>
              <w:t>Liquidity coverage ratio (%)</w:t>
            </w:r>
          </w:p>
          <w:p w14:paraId="76A46EA5" w14:textId="0A48EDCF" w:rsidR="00910181" w:rsidRPr="00C31378" w:rsidRDefault="00910181" w:rsidP="00910181">
            <w:pPr>
              <w:autoSpaceDE w:val="0"/>
              <w:autoSpaceDN w:val="0"/>
              <w:adjustRightInd w:val="0"/>
              <w:jc w:val="both"/>
              <w:rPr>
                <w:rFonts w:ascii="Times New Roman" w:hAnsi="Times New Roman" w:cs="Times New Roman"/>
                <w:sz w:val="24"/>
              </w:rPr>
            </w:pPr>
            <w:r w:rsidRPr="00C31378">
              <w:rPr>
                <w:rFonts w:ascii="Times New Roman" w:hAnsi="Times New Roman" w:cs="Times New Roman"/>
                <w:sz w:val="24"/>
              </w:rPr>
              <w:t>Institutions shall disclose as the adjusted value the percentage of the item 'Liquidity coverage ratio (%)' as defined in Article 4(1) Commission Delegated Regulation (EU) 2015/61.</w:t>
            </w:r>
          </w:p>
          <w:p w14:paraId="1D359596" w14:textId="77777777" w:rsidR="00910181" w:rsidRPr="00C31378" w:rsidRDefault="00910181" w:rsidP="00910181">
            <w:pPr>
              <w:autoSpaceDE w:val="0"/>
              <w:autoSpaceDN w:val="0"/>
              <w:adjustRightInd w:val="0"/>
              <w:jc w:val="both"/>
              <w:rPr>
                <w:rFonts w:ascii="Times New Roman" w:hAnsi="Times New Roman" w:cs="Times New Roman"/>
                <w:sz w:val="24"/>
              </w:rPr>
            </w:pPr>
          </w:p>
          <w:p w14:paraId="40DAB73B" w14:textId="2C29B43B" w:rsidR="00910181" w:rsidRPr="00C31378" w:rsidRDefault="00910181" w:rsidP="00DA590B">
            <w:pPr>
              <w:autoSpaceDE w:val="0"/>
              <w:autoSpaceDN w:val="0"/>
              <w:adjustRightInd w:val="0"/>
              <w:spacing w:after="120"/>
              <w:jc w:val="both"/>
              <w:rPr>
                <w:rFonts w:ascii="Times New Roman" w:hAnsi="Times New Roman" w:cs="Times New Roman"/>
                <w:sz w:val="24"/>
              </w:rPr>
            </w:pPr>
            <w:r w:rsidRPr="00C31378">
              <w:rPr>
                <w:rFonts w:ascii="Times New Roman" w:hAnsi="Times New Roman" w:cs="Times New Roman"/>
                <w:sz w:val="24"/>
              </w:rPr>
              <w:t>The liquidity coverage ratio shall be equal to the ratio of a credit institution's liquidity buffer to its net liquidity outflows over a 30 calendar day stress period and shall</w:t>
            </w:r>
            <w:r w:rsidR="00DA590B">
              <w:rPr>
                <w:rFonts w:ascii="Times New Roman" w:hAnsi="Times New Roman" w:cs="Times New Roman"/>
                <w:sz w:val="24"/>
              </w:rPr>
              <w:t xml:space="preserve"> be expressed as a percentage. </w:t>
            </w:r>
          </w:p>
        </w:tc>
      </w:tr>
      <w:tr w:rsidR="00BB2F0A" w:rsidRPr="00C31378" w14:paraId="66AD795A" w14:textId="77777777" w:rsidTr="00B2180A">
        <w:trPr>
          <w:trHeight w:val="557"/>
        </w:trPr>
        <w:tc>
          <w:tcPr>
            <w:tcW w:w="1384" w:type="dxa"/>
          </w:tcPr>
          <w:p w14:paraId="17DF8D6F" w14:textId="515F81AB" w:rsidR="00BB2F0A" w:rsidRPr="00C31378" w:rsidRDefault="00BB2F0A" w:rsidP="00BB2F0A">
            <w:pPr>
              <w:pStyle w:val="Applicationdirecte"/>
              <w:spacing w:before="60"/>
              <w:jc w:val="center"/>
            </w:pPr>
            <w:r w:rsidRPr="00C31378">
              <w:t>18</w:t>
            </w:r>
          </w:p>
        </w:tc>
        <w:tc>
          <w:tcPr>
            <w:tcW w:w="7655" w:type="dxa"/>
          </w:tcPr>
          <w:p w14:paraId="3CC41DC0" w14:textId="33542D3D" w:rsidR="00BB2F0A" w:rsidRPr="00C31378" w:rsidRDefault="009501D6" w:rsidP="00BB2F0A">
            <w:pPr>
              <w:spacing w:before="60" w:after="120"/>
              <w:jc w:val="both"/>
              <w:rPr>
                <w:rFonts w:ascii="Times New Roman" w:hAnsi="Times New Roman" w:cs="Times New Roman"/>
                <w:sz w:val="24"/>
              </w:rPr>
            </w:pPr>
            <w:r w:rsidRPr="00C31378">
              <w:rPr>
                <w:rFonts w:ascii="Times New Roman" w:hAnsi="Times New Roman" w:cs="Times New Roman"/>
                <w:sz w:val="24"/>
              </w:rPr>
              <w:t>Total available stable funding</w:t>
            </w:r>
          </w:p>
          <w:p w14:paraId="4B9D2551" w14:textId="2909D573" w:rsidR="009501D6" w:rsidRPr="00C31378" w:rsidRDefault="009501D6" w:rsidP="00DA590B">
            <w:pPr>
              <w:autoSpaceDE w:val="0"/>
              <w:autoSpaceDN w:val="0"/>
              <w:adjustRightInd w:val="0"/>
              <w:spacing w:after="120"/>
              <w:jc w:val="both"/>
              <w:rPr>
                <w:rFonts w:ascii="Times New Roman" w:hAnsi="Times New Roman" w:cs="Times New Roman"/>
                <w:sz w:val="24"/>
              </w:rPr>
            </w:pPr>
            <w:r w:rsidRPr="00C31378">
              <w:rPr>
                <w:rFonts w:ascii="Times New Roman" w:hAnsi="Times New Roman" w:cs="Times New Roman"/>
                <w:sz w:val="24"/>
              </w:rPr>
              <w:t>Institutions shall disclose here the amount of available stable funding calculated in accordance with Part Six, Title IV, Chapter 3 of CRR.</w:t>
            </w:r>
          </w:p>
        </w:tc>
      </w:tr>
      <w:tr w:rsidR="00BB2F0A" w:rsidRPr="00C31378" w14:paraId="5AC532D3" w14:textId="77777777" w:rsidTr="00B2180A">
        <w:trPr>
          <w:trHeight w:val="557"/>
        </w:trPr>
        <w:tc>
          <w:tcPr>
            <w:tcW w:w="1384" w:type="dxa"/>
          </w:tcPr>
          <w:p w14:paraId="2815653D" w14:textId="57FE4D38" w:rsidR="00BB2F0A" w:rsidRPr="00C31378" w:rsidRDefault="00BB2F0A" w:rsidP="00BB2F0A">
            <w:pPr>
              <w:pStyle w:val="Applicationdirecte"/>
              <w:spacing w:before="60"/>
              <w:jc w:val="center"/>
            </w:pPr>
            <w:r w:rsidRPr="00C31378">
              <w:t>19</w:t>
            </w:r>
          </w:p>
        </w:tc>
        <w:tc>
          <w:tcPr>
            <w:tcW w:w="7655" w:type="dxa"/>
          </w:tcPr>
          <w:p w14:paraId="4BC709AB" w14:textId="77777777" w:rsidR="00EA38FE" w:rsidRPr="00C31378" w:rsidRDefault="009501D6" w:rsidP="00EA38FE">
            <w:pPr>
              <w:spacing w:before="60" w:after="120"/>
              <w:jc w:val="both"/>
              <w:rPr>
                <w:rFonts w:ascii="Times New Roman" w:hAnsi="Times New Roman" w:cs="Times New Roman"/>
                <w:sz w:val="24"/>
              </w:rPr>
            </w:pPr>
            <w:r w:rsidRPr="00C31378">
              <w:rPr>
                <w:rFonts w:ascii="Times New Roman" w:hAnsi="Times New Roman" w:cs="Times New Roman"/>
                <w:sz w:val="24"/>
              </w:rPr>
              <w:t>Total required stable funding</w:t>
            </w:r>
          </w:p>
          <w:p w14:paraId="4FDFE0F0" w14:textId="1D1BBA4E" w:rsidR="009501D6" w:rsidRPr="00C31378" w:rsidRDefault="009501D6" w:rsidP="00EA38FE">
            <w:pPr>
              <w:spacing w:before="60" w:after="120"/>
              <w:jc w:val="both"/>
              <w:rPr>
                <w:rFonts w:ascii="Times New Roman" w:hAnsi="Times New Roman" w:cs="Times New Roman"/>
                <w:sz w:val="24"/>
              </w:rPr>
            </w:pPr>
            <w:r w:rsidRPr="00C31378">
              <w:rPr>
                <w:rFonts w:ascii="Times New Roman" w:hAnsi="Times New Roman" w:cs="Times New Roman"/>
                <w:sz w:val="24"/>
              </w:rPr>
              <w:t>Institutions shall disclose here the amount of required stable funding calculated in accordance with Part Six, Title IV, Chapter 4 of CRR.</w:t>
            </w:r>
          </w:p>
        </w:tc>
      </w:tr>
      <w:tr w:rsidR="00BB2F0A" w:rsidRPr="00C31378" w14:paraId="7D7F5744" w14:textId="77777777" w:rsidTr="00B2180A">
        <w:trPr>
          <w:trHeight w:val="557"/>
        </w:trPr>
        <w:tc>
          <w:tcPr>
            <w:tcW w:w="1384" w:type="dxa"/>
          </w:tcPr>
          <w:p w14:paraId="5A3BA81C" w14:textId="51E53DDA" w:rsidR="00BB2F0A" w:rsidRPr="00C31378" w:rsidRDefault="00BB2F0A" w:rsidP="00BB2F0A">
            <w:pPr>
              <w:pStyle w:val="Applicationdirecte"/>
              <w:spacing w:before="60"/>
              <w:jc w:val="center"/>
            </w:pPr>
            <w:r w:rsidRPr="00C31378">
              <w:t>20</w:t>
            </w:r>
          </w:p>
        </w:tc>
        <w:tc>
          <w:tcPr>
            <w:tcW w:w="7655" w:type="dxa"/>
          </w:tcPr>
          <w:p w14:paraId="54BC1929" w14:textId="77777777" w:rsidR="00BB2F0A" w:rsidRPr="00C31378" w:rsidRDefault="00EA38FE" w:rsidP="00BB2F0A">
            <w:pPr>
              <w:spacing w:before="60" w:after="120"/>
              <w:jc w:val="both"/>
              <w:rPr>
                <w:rFonts w:ascii="Times New Roman" w:hAnsi="Times New Roman" w:cs="Times New Roman"/>
                <w:sz w:val="24"/>
              </w:rPr>
            </w:pPr>
            <w:r w:rsidRPr="00C31378">
              <w:rPr>
                <w:rFonts w:ascii="Times New Roman" w:hAnsi="Times New Roman" w:cs="Times New Roman"/>
                <w:sz w:val="24"/>
              </w:rPr>
              <w:t>NSFR ratio (%)</w:t>
            </w:r>
          </w:p>
          <w:p w14:paraId="36412D9B" w14:textId="03A963ED" w:rsidR="00EA38FE" w:rsidRPr="00C31378" w:rsidRDefault="00EA38FE" w:rsidP="00BB2F0A">
            <w:pPr>
              <w:spacing w:before="60" w:after="120"/>
              <w:jc w:val="both"/>
              <w:rPr>
                <w:rFonts w:ascii="Times New Roman" w:hAnsi="Times New Roman" w:cs="Times New Roman"/>
                <w:sz w:val="24"/>
              </w:rPr>
            </w:pPr>
            <w:r w:rsidRPr="00C31378">
              <w:rPr>
                <w:rFonts w:ascii="Times New Roman" w:hAnsi="Times New Roman" w:cs="Times New Roman"/>
                <w:sz w:val="24"/>
              </w:rPr>
              <w:t>NSFR ratio calculated according to Article 428b of CRR.</w:t>
            </w:r>
          </w:p>
        </w:tc>
      </w:tr>
    </w:tbl>
    <w:p w14:paraId="6D9CE942" w14:textId="4550104E" w:rsidR="00251512" w:rsidRPr="00C31378" w:rsidRDefault="00251512" w:rsidP="00501CEC">
      <w:pPr>
        <w:pStyle w:val="Titlelevel2"/>
        <w:spacing w:before="120" w:after="120"/>
        <w:rPr>
          <w:rFonts w:ascii="Times New Roman" w:hAnsi="Times New Roman" w:cs="Times New Roman"/>
          <w:b/>
          <w:color w:val="auto"/>
          <w:sz w:val="24"/>
        </w:rPr>
      </w:pPr>
    </w:p>
    <w:p w14:paraId="39185BED" w14:textId="65C2D1A2" w:rsidR="00BD36EC" w:rsidRPr="00C31378" w:rsidRDefault="00BD36EC" w:rsidP="00D845D4">
      <w:pPr>
        <w:spacing w:after="120"/>
        <w:jc w:val="both"/>
        <w:rPr>
          <w:rFonts w:ascii="Times New Roman" w:hAnsi="Times New Roman" w:cs="Times New Roman"/>
          <w:sz w:val="24"/>
        </w:rPr>
      </w:pPr>
      <w:r w:rsidRPr="00C31378">
        <w:rPr>
          <w:rFonts w:ascii="Times New Roman" w:hAnsi="Times New Roman" w:cs="Times New Roman"/>
          <w:b/>
          <w:sz w:val="24"/>
        </w:rPr>
        <w:t xml:space="preserve">Template </w:t>
      </w:r>
      <w:r w:rsidR="000F2F6E" w:rsidRPr="00C31378">
        <w:rPr>
          <w:rFonts w:ascii="Times New Roman" w:hAnsi="Times New Roman" w:cs="Times New Roman"/>
          <w:b/>
          <w:sz w:val="24"/>
        </w:rPr>
        <w:t>EU INS1</w:t>
      </w:r>
      <w:r w:rsidRPr="00C31378">
        <w:rPr>
          <w:rFonts w:ascii="Times New Roman" w:hAnsi="Times New Roman" w:cs="Times New Roman"/>
          <w:b/>
          <w:sz w:val="24"/>
        </w:rPr>
        <w:t xml:space="preserve"> </w:t>
      </w:r>
      <w:r w:rsidR="00BC3279" w:rsidRPr="00C31378">
        <w:rPr>
          <w:rFonts w:ascii="Times New Roman" w:hAnsi="Times New Roman" w:cs="Times New Roman"/>
          <w:b/>
          <w:sz w:val="24"/>
        </w:rPr>
        <w:t>–</w:t>
      </w:r>
      <w:r w:rsidRPr="00C31378">
        <w:rPr>
          <w:rFonts w:ascii="Times New Roman" w:hAnsi="Times New Roman" w:cs="Times New Roman"/>
          <w:b/>
          <w:sz w:val="24"/>
        </w:rPr>
        <w:t xml:space="preserve"> </w:t>
      </w:r>
      <w:r w:rsidR="000F2F6E" w:rsidRPr="00C31378">
        <w:rPr>
          <w:rFonts w:ascii="Times New Roman" w:hAnsi="Times New Roman" w:cs="Times New Roman"/>
          <w:b/>
          <w:sz w:val="24"/>
        </w:rPr>
        <w:t>Insurance participations</w:t>
      </w:r>
      <w:r w:rsidR="004A7965" w:rsidRPr="00C31378">
        <w:rPr>
          <w:rFonts w:ascii="Times New Roman" w:hAnsi="Times New Roman" w:cs="Times New Roman"/>
          <w:b/>
          <w:sz w:val="24"/>
        </w:rPr>
        <w:t xml:space="preserve">: </w:t>
      </w:r>
      <w:r w:rsidR="00553275" w:rsidRPr="00C31378">
        <w:rPr>
          <w:rFonts w:ascii="Times New Roman" w:hAnsi="Times New Roman" w:cs="Times New Roman"/>
          <w:sz w:val="24"/>
        </w:rPr>
        <w:t>Fixed format</w:t>
      </w:r>
    </w:p>
    <w:p w14:paraId="5C13C4B2" w14:textId="423DA671" w:rsidR="00B10EE4" w:rsidRPr="00C31378" w:rsidRDefault="00BA25D7" w:rsidP="00716AB8">
      <w:pPr>
        <w:pStyle w:val="Titlelevel2"/>
        <w:numPr>
          <w:ilvl w:val="0"/>
          <w:numId w:val="14"/>
        </w:numPr>
        <w:spacing w:before="120" w:after="120"/>
        <w:ind w:left="426"/>
        <w:rPr>
          <w:rFonts w:ascii="Times New Roman" w:eastAsiaTheme="minorEastAsia" w:hAnsi="Times New Roman" w:cs="Times New Roman"/>
          <w:bCs w:val="0"/>
          <w:color w:val="auto"/>
          <w:sz w:val="24"/>
        </w:rPr>
      </w:pPr>
      <w:r w:rsidRPr="00716AB8">
        <w:rPr>
          <w:rFonts w:ascii="Times New Roman" w:eastAsiaTheme="minorEastAsia" w:hAnsi="Times New Roman" w:cs="Times New Roman"/>
          <w:bCs w:val="0"/>
          <w:noProof/>
          <w:color w:val="000000"/>
          <w:sz w:val="24"/>
          <w:lang w:val="en-GB"/>
        </w:rPr>
        <w:t>Institutions</w:t>
      </w:r>
      <w:r w:rsidRPr="00C31378">
        <w:rPr>
          <w:rFonts w:ascii="Times New Roman" w:eastAsiaTheme="minorEastAsia" w:hAnsi="Times New Roman" w:cs="Times New Roman"/>
          <w:bCs w:val="0"/>
          <w:color w:val="auto"/>
          <w:sz w:val="24"/>
        </w:rPr>
        <w:t xml:space="preserve"> shall </w:t>
      </w:r>
      <w:r w:rsidR="00186588">
        <w:rPr>
          <w:rFonts w:ascii="Times New Roman" w:eastAsiaTheme="minorEastAsia" w:hAnsi="Times New Roman" w:cs="Times New Roman"/>
          <w:bCs w:val="0"/>
          <w:noProof/>
          <w:color w:val="000000"/>
          <w:sz w:val="24"/>
          <w:lang w:val="en-GB"/>
        </w:rPr>
        <w:t>apply the instructions</w:t>
      </w:r>
      <w:r w:rsidR="00E74C1B">
        <w:rPr>
          <w:rFonts w:ascii="Times New Roman" w:eastAsiaTheme="minorEastAsia" w:hAnsi="Times New Roman" w:cs="Times New Roman"/>
          <w:bCs w:val="0"/>
          <w:noProof/>
          <w:color w:val="000000"/>
          <w:sz w:val="24"/>
          <w:lang w:val="en-GB"/>
        </w:rPr>
        <w:t xml:space="preserve"> provided</w:t>
      </w:r>
      <w:r w:rsidR="00186588">
        <w:rPr>
          <w:rFonts w:ascii="Times New Roman" w:eastAsiaTheme="minorEastAsia" w:hAnsi="Times New Roman" w:cs="Times New Roman"/>
          <w:bCs w:val="0"/>
          <w:noProof/>
          <w:color w:val="000000"/>
          <w:sz w:val="24"/>
          <w:lang w:val="en-GB"/>
        </w:rPr>
        <w:t xml:space="preserve"> below in this Annex in order to complete </w:t>
      </w:r>
      <w:r w:rsidR="00E74C1B">
        <w:rPr>
          <w:rFonts w:ascii="Times New Roman" w:eastAsiaTheme="minorEastAsia" w:hAnsi="Times New Roman" w:cs="Times New Roman"/>
          <w:bCs w:val="0"/>
          <w:noProof/>
          <w:color w:val="000000"/>
          <w:sz w:val="24"/>
          <w:lang w:val="en-GB"/>
        </w:rPr>
        <w:t xml:space="preserve">template EU INS1 </w:t>
      </w:r>
      <w:r w:rsidR="00186588">
        <w:rPr>
          <w:rFonts w:ascii="Times New Roman" w:eastAsiaTheme="minorEastAsia" w:hAnsi="Times New Roman" w:cs="Times New Roman"/>
          <w:bCs w:val="0"/>
          <w:noProof/>
          <w:color w:val="000000"/>
          <w:sz w:val="24"/>
          <w:lang w:val="en-GB"/>
        </w:rPr>
        <w:t>as presented in Annex 1,</w:t>
      </w:r>
      <w:r w:rsidR="00DA590B">
        <w:rPr>
          <w:rFonts w:ascii="Times New Roman" w:eastAsiaTheme="minorEastAsia" w:hAnsi="Times New Roman" w:cs="Times New Roman"/>
          <w:bCs w:val="0"/>
          <w:noProof/>
          <w:color w:val="000000"/>
          <w:sz w:val="24"/>
          <w:lang w:val="en-GB"/>
        </w:rPr>
        <w:t xml:space="preserve"> </w:t>
      </w:r>
      <w:r w:rsidRPr="00C31378">
        <w:rPr>
          <w:rFonts w:ascii="Times New Roman" w:eastAsiaTheme="minorEastAsia" w:hAnsi="Times New Roman" w:cs="Times New Roman"/>
          <w:bCs w:val="0"/>
          <w:color w:val="auto"/>
          <w:sz w:val="24"/>
        </w:rPr>
        <w:t xml:space="preserve">in application of </w:t>
      </w:r>
      <w:r w:rsidR="00B10EE4" w:rsidRPr="00C31378">
        <w:rPr>
          <w:rFonts w:ascii="Times New Roman" w:eastAsiaTheme="minorEastAsia" w:hAnsi="Times New Roman" w:cs="Times New Roman"/>
          <w:bCs w:val="0"/>
          <w:color w:val="auto"/>
          <w:sz w:val="24"/>
        </w:rPr>
        <w:t>Article 43</w:t>
      </w:r>
      <w:r w:rsidR="00151991" w:rsidRPr="00C31378">
        <w:rPr>
          <w:rFonts w:ascii="Times New Roman" w:eastAsiaTheme="minorEastAsia" w:hAnsi="Times New Roman" w:cs="Times New Roman"/>
          <w:bCs w:val="0"/>
          <w:color w:val="auto"/>
          <w:sz w:val="24"/>
        </w:rPr>
        <w:t>8</w:t>
      </w:r>
      <w:r w:rsidR="00DA590B">
        <w:rPr>
          <w:rFonts w:ascii="Times New Roman" w:eastAsiaTheme="minorEastAsia" w:hAnsi="Times New Roman" w:cs="Times New Roman"/>
          <w:bCs w:val="0"/>
          <w:color w:val="auto"/>
          <w:sz w:val="24"/>
        </w:rPr>
        <w:t>(</w:t>
      </w:r>
      <w:r w:rsidR="00151991" w:rsidRPr="00C31378">
        <w:rPr>
          <w:rFonts w:ascii="Times New Roman" w:eastAsiaTheme="minorEastAsia" w:hAnsi="Times New Roman" w:cs="Times New Roman"/>
          <w:bCs w:val="0"/>
          <w:color w:val="auto"/>
          <w:sz w:val="24"/>
        </w:rPr>
        <w:t>f</w:t>
      </w:r>
      <w:r w:rsidR="00DA590B">
        <w:rPr>
          <w:rFonts w:ascii="Times New Roman" w:eastAsiaTheme="minorEastAsia" w:hAnsi="Times New Roman" w:cs="Times New Roman"/>
          <w:bCs w:val="0"/>
          <w:color w:val="auto"/>
          <w:sz w:val="24"/>
        </w:rPr>
        <w:t>)</w:t>
      </w:r>
      <w:r w:rsidR="00B10EE4" w:rsidRPr="00C31378">
        <w:rPr>
          <w:rFonts w:ascii="Times New Roman" w:eastAsiaTheme="minorEastAsia" w:hAnsi="Times New Roman" w:cs="Times New Roman"/>
          <w:bCs w:val="0"/>
          <w:color w:val="auto"/>
          <w:sz w:val="24"/>
        </w:rPr>
        <w:t xml:space="preserve"> of</w:t>
      </w:r>
      <w:r w:rsidR="00A25A56" w:rsidRPr="00C31378">
        <w:rPr>
          <w:rFonts w:ascii="Times New Roman" w:eastAsiaTheme="minorEastAsia" w:hAnsi="Times New Roman" w:cs="Times New Roman"/>
          <w:bCs w:val="0"/>
          <w:color w:val="auto"/>
          <w:sz w:val="24"/>
        </w:rPr>
        <w:t xml:space="preserve"> CRR</w:t>
      </w:r>
      <w:r w:rsidR="00716AB8">
        <w:rPr>
          <w:rFonts w:ascii="Times New Roman" w:eastAsiaTheme="minorEastAsia" w:hAnsi="Times New Roman" w:cs="Times New Roman"/>
          <w:bCs w:val="0"/>
          <w:color w:val="auto"/>
          <w:sz w:val="24"/>
        </w:rPr>
        <w:t>.</w:t>
      </w:r>
    </w:p>
    <w:p w14:paraId="33829F3D" w14:textId="77777777" w:rsidR="00295952" w:rsidRPr="00C31378" w:rsidRDefault="00295952" w:rsidP="00D845D4">
      <w:pPr>
        <w:pStyle w:val="Titlelevel2"/>
        <w:spacing w:before="120" w:after="120"/>
        <w:jc w:val="both"/>
        <w:rPr>
          <w:rFonts w:ascii="Times New Roman" w:eastAsiaTheme="minorEastAsia" w:hAnsi="Times New Roman" w:cs="Times New Roman"/>
          <w:bCs w:val="0"/>
          <w:color w:val="auto"/>
          <w:sz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295952" w:rsidRPr="00C31378" w14:paraId="0E253E75" w14:textId="77777777" w:rsidTr="00B2180A">
        <w:trPr>
          <w:trHeight w:val="90"/>
        </w:trPr>
        <w:tc>
          <w:tcPr>
            <w:tcW w:w="90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bookmarkEnd w:id="0"/>
          <w:bookmarkEnd w:id="1"/>
          <w:bookmarkEnd w:id="2"/>
          <w:bookmarkEnd w:id="3"/>
          <w:bookmarkEnd w:id="4"/>
          <w:bookmarkEnd w:id="5"/>
          <w:bookmarkEnd w:id="6"/>
          <w:bookmarkEnd w:id="7"/>
          <w:bookmarkEnd w:id="8"/>
          <w:bookmarkEnd w:id="9"/>
          <w:p w14:paraId="51B0FEA1" w14:textId="77777777" w:rsidR="00295952" w:rsidRPr="00C31378" w:rsidRDefault="00295952" w:rsidP="00B2180A">
            <w:pPr>
              <w:rPr>
                <w:rFonts w:ascii="Times New Roman" w:hAnsi="Times New Roman" w:cs="Times New Roman"/>
                <w:b/>
                <w:sz w:val="24"/>
              </w:rPr>
            </w:pPr>
            <w:r w:rsidRPr="00C31378">
              <w:rPr>
                <w:rFonts w:ascii="Times New Roman" w:hAnsi="Times New Roman" w:cs="Times New Roman"/>
                <w:b/>
                <w:sz w:val="24"/>
              </w:rPr>
              <w:t>Legal references and instructions</w:t>
            </w:r>
          </w:p>
        </w:tc>
      </w:tr>
      <w:tr w:rsidR="00295952" w:rsidRPr="00C31378" w14:paraId="59F1482C" w14:textId="77777777" w:rsidTr="00B2180A">
        <w:trPr>
          <w:trHeight w:val="238"/>
        </w:trPr>
        <w:tc>
          <w:tcPr>
            <w:tcW w:w="1384" w:type="dxa"/>
            <w:shd w:val="clear" w:color="auto" w:fill="D9D9D9" w:themeFill="background1" w:themeFillShade="D9"/>
          </w:tcPr>
          <w:p w14:paraId="45D9CB6C" w14:textId="77777777" w:rsidR="00295952" w:rsidRPr="00C31378" w:rsidRDefault="00295952" w:rsidP="00B2180A">
            <w:pPr>
              <w:autoSpaceDE w:val="0"/>
              <w:autoSpaceDN w:val="0"/>
              <w:adjustRightInd w:val="0"/>
              <w:rPr>
                <w:rFonts w:ascii="Times New Roman" w:hAnsi="Times New Roman" w:cs="Times New Roman"/>
                <w:b/>
                <w:sz w:val="24"/>
              </w:rPr>
            </w:pPr>
            <w:r w:rsidRPr="00C31378">
              <w:rPr>
                <w:rFonts w:ascii="Times New Roman" w:hAnsi="Times New Roman" w:cs="Times New Roman"/>
                <w:b/>
                <w:sz w:val="24"/>
              </w:rPr>
              <w:t>Column number</w:t>
            </w:r>
          </w:p>
        </w:tc>
        <w:tc>
          <w:tcPr>
            <w:tcW w:w="7655" w:type="dxa"/>
            <w:shd w:val="clear" w:color="auto" w:fill="D9D9D9" w:themeFill="background1" w:themeFillShade="D9"/>
          </w:tcPr>
          <w:p w14:paraId="4F5DBB8F" w14:textId="77777777" w:rsidR="00295952" w:rsidRPr="00C31378" w:rsidRDefault="00295952" w:rsidP="00B2180A">
            <w:pPr>
              <w:autoSpaceDE w:val="0"/>
              <w:autoSpaceDN w:val="0"/>
              <w:adjustRightInd w:val="0"/>
              <w:rPr>
                <w:rFonts w:ascii="Times New Roman" w:hAnsi="Times New Roman" w:cs="Times New Roman"/>
                <w:color w:val="000000"/>
                <w:sz w:val="24"/>
              </w:rPr>
            </w:pPr>
            <w:r w:rsidRPr="00C31378">
              <w:rPr>
                <w:rFonts w:ascii="Times New Roman" w:hAnsi="Times New Roman" w:cs="Times New Roman"/>
                <w:b/>
                <w:sz w:val="24"/>
              </w:rPr>
              <w:t>Explanation</w:t>
            </w:r>
          </w:p>
        </w:tc>
      </w:tr>
      <w:tr w:rsidR="00295952" w:rsidRPr="00C31378" w14:paraId="025B32C6" w14:textId="77777777" w:rsidTr="00B2180A">
        <w:trPr>
          <w:trHeight w:val="680"/>
        </w:trPr>
        <w:tc>
          <w:tcPr>
            <w:tcW w:w="1384" w:type="dxa"/>
          </w:tcPr>
          <w:p w14:paraId="09018289" w14:textId="77777777" w:rsidR="00295952" w:rsidRPr="00C31378" w:rsidRDefault="00295952" w:rsidP="00B2180A">
            <w:pPr>
              <w:pStyle w:val="Applicationdirecte"/>
              <w:spacing w:before="60"/>
              <w:jc w:val="center"/>
            </w:pPr>
            <w:r w:rsidRPr="00C31378">
              <w:t>a</w:t>
            </w:r>
          </w:p>
        </w:tc>
        <w:tc>
          <w:tcPr>
            <w:tcW w:w="7655" w:type="dxa"/>
            <w:vAlign w:val="center"/>
          </w:tcPr>
          <w:p w14:paraId="22820803" w14:textId="6F44293B" w:rsidR="00295952" w:rsidRPr="00C31378" w:rsidRDefault="00295952" w:rsidP="00B2180A">
            <w:pPr>
              <w:spacing w:before="60" w:after="120"/>
              <w:jc w:val="both"/>
              <w:rPr>
                <w:rFonts w:ascii="Times New Roman" w:hAnsi="Times New Roman" w:cs="Times New Roman"/>
                <w:noProof/>
                <w:sz w:val="24"/>
              </w:rPr>
            </w:pPr>
            <w:r w:rsidRPr="00C31378">
              <w:rPr>
                <w:rFonts w:ascii="Times New Roman" w:hAnsi="Times New Roman" w:cs="Times New Roman"/>
                <w:noProof/>
                <w:sz w:val="24"/>
              </w:rPr>
              <w:t>Exposure value</w:t>
            </w:r>
          </w:p>
          <w:p w14:paraId="2531CB91" w14:textId="028C8A10" w:rsidR="00295952" w:rsidRPr="00C31378" w:rsidRDefault="00295952" w:rsidP="00295952">
            <w:pPr>
              <w:spacing w:before="60" w:after="120"/>
              <w:jc w:val="both"/>
              <w:rPr>
                <w:rFonts w:ascii="Times New Roman" w:hAnsi="Times New Roman" w:cs="Times New Roman"/>
                <w:sz w:val="24"/>
              </w:rPr>
            </w:pPr>
            <w:r w:rsidRPr="00C31378">
              <w:rPr>
                <w:rFonts w:ascii="Times New Roman" w:hAnsi="Times New Roman" w:cs="Times New Roman"/>
                <w:noProof/>
                <w:sz w:val="24"/>
              </w:rPr>
              <w:t>Exposure value of own fund instruments held in any insurance undertaking, re- insurance undertaking or insurance holding company that the institutions do not deduct from their own funds in accordance with Article 49 when calculating their capital requirements on an individual, sub-consolidated and consolidated basis</w:t>
            </w:r>
          </w:p>
        </w:tc>
      </w:tr>
      <w:tr w:rsidR="00295952" w:rsidRPr="00C31378" w14:paraId="6AA5A5CE" w14:textId="77777777" w:rsidTr="00B2180A">
        <w:trPr>
          <w:trHeight w:val="680"/>
        </w:trPr>
        <w:tc>
          <w:tcPr>
            <w:tcW w:w="1384" w:type="dxa"/>
          </w:tcPr>
          <w:p w14:paraId="186A970E" w14:textId="6EF07C4B" w:rsidR="00295952" w:rsidRPr="00C31378" w:rsidRDefault="00295952" w:rsidP="00B2180A">
            <w:pPr>
              <w:pStyle w:val="Applicationdirecte"/>
              <w:spacing w:before="60"/>
              <w:jc w:val="center"/>
            </w:pPr>
            <w:r w:rsidRPr="00C31378">
              <w:lastRenderedPageBreak/>
              <w:t>b</w:t>
            </w:r>
          </w:p>
        </w:tc>
        <w:tc>
          <w:tcPr>
            <w:tcW w:w="7655" w:type="dxa"/>
            <w:vAlign w:val="center"/>
          </w:tcPr>
          <w:p w14:paraId="3A7C6498" w14:textId="6EB8F2CB" w:rsidR="00295952" w:rsidRPr="00C31378" w:rsidRDefault="00295952" w:rsidP="00B2180A">
            <w:pPr>
              <w:spacing w:before="60" w:after="120"/>
              <w:jc w:val="both"/>
              <w:rPr>
                <w:rFonts w:ascii="Times New Roman" w:hAnsi="Times New Roman" w:cs="Times New Roman"/>
                <w:noProof/>
                <w:sz w:val="24"/>
              </w:rPr>
            </w:pPr>
            <w:r w:rsidRPr="00C31378">
              <w:rPr>
                <w:rFonts w:ascii="Times New Roman" w:hAnsi="Times New Roman" w:cs="Times New Roman"/>
                <w:noProof/>
                <w:sz w:val="24"/>
              </w:rPr>
              <w:t>Risk-weighted exposure amount</w:t>
            </w:r>
          </w:p>
          <w:p w14:paraId="69E0A84E" w14:textId="334A86B7" w:rsidR="00295952" w:rsidRPr="00C31378" w:rsidRDefault="00295952" w:rsidP="00B2180A">
            <w:pPr>
              <w:spacing w:before="60" w:after="120"/>
              <w:jc w:val="both"/>
              <w:rPr>
                <w:rFonts w:ascii="Times New Roman" w:hAnsi="Times New Roman" w:cs="Times New Roman"/>
                <w:sz w:val="24"/>
              </w:rPr>
            </w:pPr>
            <w:r w:rsidRPr="00C31378">
              <w:rPr>
                <w:rFonts w:ascii="Times New Roman" w:hAnsi="Times New Roman" w:cs="Times New Roman"/>
                <w:noProof/>
                <w:sz w:val="24"/>
              </w:rPr>
              <w:t>Risk-weighted exposure amount of own fund instruments held in</w:t>
            </w:r>
            <w:r w:rsidR="00DA590B">
              <w:rPr>
                <w:rFonts w:ascii="Times New Roman" w:hAnsi="Times New Roman" w:cs="Times New Roman"/>
                <w:noProof/>
                <w:sz w:val="24"/>
              </w:rPr>
              <w:t xml:space="preserve"> any insurance undertaking, re-</w:t>
            </w:r>
            <w:r w:rsidRPr="00C31378">
              <w:rPr>
                <w:rFonts w:ascii="Times New Roman" w:hAnsi="Times New Roman" w:cs="Times New Roman"/>
                <w:noProof/>
                <w:sz w:val="24"/>
              </w:rPr>
              <w:t>insurance undertaking or insurance holding company that the institutions do not deduct from their own funds in accordance with Article 49 when calculating their capital requirements on an individual, sub-consolidated and consolidated basis</w:t>
            </w:r>
          </w:p>
        </w:tc>
      </w:tr>
    </w:tbl>
    <w:p w14:paraId="33F60965" w14:textId="067F9C66" w:rsidR="00FE0C92" w:rsidRPr="00C31378" w:rsidRDefault="00FE0C92" w:rsidP="00E258D8">
      <w:pPr>
        <w:tabs>
          <w:tab w:val="left" w:pos="1430"/>
        </w:tabs>
        <w:rPr>
          <w:rFonts w:ascii="Times New Roman" w:hAnsi="Times New Roman" w:cs="Times New Roman"/>
          <w:sz w:val="24"/>
        </w:rPr>
      </w:pPr>
    </w:p>
    <w:p w14:paraId="250B3D33" w14:textId="15F85E22" w:rsidR="00295952" w:rsidRPr="00C31378" w:rsidRDefault="00295952" w:rsidP="00295952">
      <w:pPr>
        <w:spacing w:after="120"/>
        <w:jc w:val="both"/>
        <w:rPr>
          <w:rFonts w:ascii="Times New Roman" w:hAnsi="Times New Roman" w:cs="Times New Roman"/>
          <w:sz w:val="24"/>
        </w:rPr>
      </w:pPr>
      <w:r w:rsidRPr="00C31378">
        <w:rPr>
          <w:rFonts w:ascii="Times New Roman" w:hAnsi="Times New Roman" w:cs="Times New Roman"/>
          <w:b/>
          <w:sz w:val="24"/>
        </w:rPr>
        <w:t xml:space="preserve">Template EU INS2 – Financial conglomerates - Information on own funds and capital adequacy ratio. </w:t>
      </w:r>
      <w:r w:rsidRPr="00C31378">
        <w:rPr>
          <w:rFonts w:ascii="Times New Roman" w:hAnsi="Times New Roman" w:cs="Times New Roman"/>
          <w:sz w:val="24"/>
        </w:rPr>
        <w:t>Fixed format</w:t>
      </w:r>
    </w:p>
    <w:p w14:paraId="3B37A1D3" w14:textId="53D90B27" w:rsidR="00295952" w:rsidRPr="00C31378" w:rsidRDefault="00295952" w:rsidP="00716AB8">
      <w:pPr>
        <w:pStyle w:val="Titlelevel2"/>
        <w:numPr>
          <w:ilvl w:val="0"/>
          <w:numId w:val="14"/>
        </w:numPr>
        <w:spacing w:before="120" w:after="120"/>
        <w:ind w:left="426"/>
        <w:rPr>
          <w:rFonts w:ascii="Times New Roman" w:eastAsiaTheme="minorEastAsia" w:hAnsi="Times New Roman" w:cs="Times New Roman"/>
          <w:bCs w:val="0"/>
          <w:color w:val="auto"/>
          <w:sz w:val="24"/>
        </w:rPr>
      </w:pPr>
      <w:r w:rsidRPr="00716AB8">
        <w:rPr>
          <w:rFonts w:ascii="Times New Roman" w:eastAsiaTheme="minorEastAsia" w:hAnsi="Times New Roman" w:cs="Times New Roman"/>
          <w:bCs w:val="0"/>
          <w:noProof/>
          <w:color w:val="000000"/>
          <w:sz w:val="24"/>
          <w:lang w:val="en-GB"/>
        </w:rPr>
        <w:t>Institutions</w:t>
      </w:r>
      <w:r w:rsidRPr="00C31378">
        <w:rPr>
          <w:rFonts w:ascii="Times New Roman" w:eastAsiaTheme="minorEastAsia" w:hAnsi="Times New Roman" w:cs="Times New Roman"/>
          <w:bCs w:val="0"/>
          <w:color w:val="auto"/>
          <w:sz w:val="24"/>
        </w:rPr>
        <w:t xml:space="preserve"> shall </w:t>
      </w:r>
      <w:r w:rsidR="00186588">
        <w:rPr>
          <w:rFonts w:ascii="Times New Roman" w:eastAsiaTheme="minorEastAsia" w:hAnsi="Times New Roman" w:cs="Times New Roman"/>
          <w:bCs w:val="0"/>
          <w:noProof/>
          <w:color w:val="000000"/>
          <w:sz w:val="24"/>
          <w:lang w:val="en-GB"/>
        </w:rPr>
        <w:t xml:space="preserve">apply the instructions </w:t>
      </w:r>
      <w:r w:rsidR="00E74C1B">
        <w:rPr>
          <w:rFonts w:ascii="Times New Roman" w:eastAsiaTheme="minorEastAsia" w:hAnsi="Times New Roman" w:cs="Times New Roman"/>
          <w:bCs w:val="0"/>
          <w:noProof/>
          <w:color w:val="000000"/>
          <w:sz w:val="24"/>
          <w:lang w:val="en-GB"/>
        </w:rPr>
        <w:t xml:space="preserve">provided </w:t>
      </w:r>
      <w:r w:rsidR="00186588">
        <w:rPr>
          <w:rFonts w:ascii="Times New Roman" w:eastAsiaTheme="minorEastAsia" w:hAnsi="Times New Roman" w:cs="Times New Roman"/>
          <w:bCs w:val="0"/>
          <w:noProof/>
          <w:color w:val="000000"/>
          <w:sz w:val="24"/>
          <w:lang w:val="en-GB"/>
        </w:rPr>
        <w:t>below in this Annex in</w:t>
      </w:r>
      <w:r w:rsidR="00E74C1B">
        <w:rPr>
          <w:rFonts w:ascii="Times New Roman" w:eastAsiaTheme="minorEastAsia" w:hAnsi="Times New Roman" w:cs="Times New Roman"/>
          <w:bCs w:val="0"/>
          <w:noProof/>
          <w:color w:val="000000"/>
          <w:sz w:val="24"/>
          <w:lang w:val="en-GB"/>
        </w:rPr>
        <w:t xml:space="preserve"> order to complete template EU INS2</w:t>
      </w:r>
      <w:r w:rsidR="00186588">
        <w:rPr>
          <w:rFonts w:ascii="Times New Roman" w:eastAsiaTheme="minorEastAsia" w:hAnsi="Times New Roman" w:cs="Times New Roman"/>
          <w:bCs w:val="0"/>
          <w:noProof/>
          <w:color w:val="000000"/>
          <w:sz w:val="24"/>
          <w:lang w:val="en-GB"/>
        </w:rPr>
        <w:t xml:space="preserve"> as presented in Annex 1,</w:t>
      </w:r>
      <w:r w:rsidR="00DA590B">
        <w:rPr>
          <w:rFonts w:ascii="Times New Roman" w:eastAsiaTheme="minorEastAsia" w:hAnsi="Times New Roman" w:cs="Times New Roman"/>
          <w:bCs w:val="0"/>
          <w:noProof/>
          <w:color w:val="000000"/>
          <w:sz w:val="24"/>
          <w:lang w:val="en-GB"/>
        </w:rPr>
        <w:t xml:space="preserve"> </w:t>
      </w:r>
      <w:r w:rsidR="00DA590B">
        <w:rPr>
          <w:rFonts w:ascii="Times New Roman" w:eastAsiaTheme="minorEastAsia" w:hAnsi="Times New Roman" w:cs="Times New Roman"/>
          <w:bCs w:val="0"/>
          <w:color w:val="auto"/>
          <w:sz w:val="24"/>
        </w:rPr>
        <w:t>in application of Article 438(</w:t>
      </w:r>
      <w:r w:rsidRPr="00C31378">
        <w:rPr>
          <w:rFonts w:ascii="Times New Roman" w:eastAsiaTheme="minorEastAsia" w:hAnsi="Times New Roman" w:cs="Times New Roman"/>
          <w:bCs w:val="0"/>
          <w:color w:val="auto"/>
          <w:sz w:val="24"/>
        </w:rPr>
        <w:t>g</w:t>
      </w:r>
      <w:r w:rsidR="00DA590B">
        <w:rPr>
          <w:rFonts w:ascii="Times New Roman" w:eastAsiaTheme="minorEastAsia" w:hAnsi="Times New Roman" w:cs="Times New Roman"/>
          <w:bCs w:val="0"/>
          <w:color w:val="auto"/>
          <w:sz w:val="24"/>
        </w:rPr>
        <w:t>)</w:t>
      </w:r>
      <w:r w:rsidRPr="00C31378">
        <w:rPr>
          <w:rFonts w:ascii="Times New Roman" w:eastAsiaTheme="minorEastAsia" w:hAnsi="Times New Roman" w:cs="Times New Roman"/>
          <w:bCs w:val="0"/>
          <w:color w:val="auto"/>
          <w:sz w:val="24"/>
        </w:rPr>
        <w:t xml:space="preserve"> of CRR</w:t>
      </w:r>
      <w:r w:rsidR="00716AB8">
        <w:rPr>
          <w:rFonts w:ascii="Times New Roman" w:eastAsiaTheme="minorEastAsia" w:hAnsi="Times New Roman" w:cs="Times New Roman"/>
          <w:bCs w:val="0"/>
          <w:color w:val="auto"/>
          <w:sz w:val="24"/>
        </w:rPr>
        <w:t>.</w:t>
      </w:r>
    </w:p>
    <w:p w14:paraId="6047DC64" w14:textId="77777777" w:rsidR="00295952" w:rsidRPr="00C31378" w:rsidRDefault="00295952" w:rsidP="00295952">
      <w:pPr>
        <w:pStyle w:val="Titlelevel2"/>
        <w:spacing w:before="120" w:after="120"/>
        <w:jc w:val="both"/>
        <w:rPr>
          <w:rFonts w:ascii="Times New Roman" w:eastAsiaTheme="minorEastAsia" w:hAnsi="Times New Roman" w:cs="Times New Roman"/>
          <w:bCs w:val="0"/>
          <w:color w:val="auto"/>
          <w:sz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295952" w:rsidRPr="00C31378" w14:paraId="5F6FC16E" w14:textId="77777777" w:rsidTr="00B2180A">
        <w:trPr>
          <w:trHeight w:val="90"/>
        </w:trPr>
        <w:tc>
          <w:tcPr>
            <w:tcW w:w="90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DEBFC5" w14:textId="77777777" w:rsidR="00295952" w:rsidRPr="00C31378" w:rsidRDefault="00295952" w:rsidP="00B2180A">
            <w:pPr>
              <w:rPr>
                <w:rFonts w:ascii="Times New Roman" w:hAnsi="Times New Roman" w:cs="Times New Roman"/>
                <w:b/>
                <w:sz w:val="24"/>
              </w:rPr>
            </w:pPr>
            <w:r w:rsidRPr="00C31378">
              <w:rPr>
                <w:rFonts w:ascii="Times New Roman" w:hAnsi="Times New Roman" w:cs="Times New Roman"/>
                <w:b/>
                <w:sz w:val="24"/>
              </w:rPr>
              <w:t>Legal references and instructions</w:t>
            </w:r>
          </w:p>
        </w:tc>
      </w:tr>
      <w:tr w:rsidR="00295952" w:rsidRPr="00C31378" w14:paraId="741534FE" w14:textId="77777777" w:rsidTr="00B2180A">
        <w:trPr>
          <w:trHeight w:val="238"/>
        </w:trPr>
        <w:tc>
          <w:tcPr>
            <w:tcW w:w="1384" w:type="dxa"/>
            <w:shd w:val="clear" w:color="auto" w:fill="D9D9D9" w:themeFill="background1" w:themeFillShade="D9"/>
          </w:tcPr>
          <w:p w14:paraId="5D5C8322" w14:textId="76FB328F" w:rsidR="00295952" w:rsidRPr="00C31378" w:rsidRDefault="00295952" w:rsidP="00B2180A">
            <w:pPr>
              <w:autoSpaceDE w:val="0"/>
              <w:autoSpaceDN w:val="0"/>
              <w:adjustRightInd w:val="0"/>
              <w:rPr>
                <w:rFonts w:ascii="Times New Roman" w:hAnsi="Times New Roman" w:cs="Times New Roman"/>
                <w:b/>
                <w:sz w:val="24"/>
              </w:rPr>
            </w:pPr>
            <w:r w:rsidRPr="00C31378">
              <w:rPr>
                <w:rFonts w:ascii="Times New Roman" w:hAnsi="Times New Roman" w:cs="Times New Roman"/>
                <w:b/>
                <w:sz w:val="24"/>
              </w:rPr>
              <w:t>Row number</w:t>
            </w:r>
          </w:p>
        </w:tc>
        <w:tc>
          <w:tcPr>
            <w:tcW w:w="7655" w:type="dxa"/>
            <w:shd w:val="clear" w:color="auto" w:fill="D9D9D9" w:themeFill="background1" w:themeFillShade="D9"/>
          </w:tcPr>
          <w:p w14:paraId="411F97F4" w14:textId="77777777" w:rsidR="00295952" w:rsidRPr="00C31378" w:rsidRDefault="00295952" w:rsidP="00B2180A">
            <w:pPr>
              <w:autoSpaceDE w:val="0"/>
              <w:autoSpaceDN w:val="0"/>
              <w:adjustRightInd w:val="0"/>
              <w:rPr>
                <w:rFonts w:ascii="Times New Roman" w:hAnsi="Times New Roman" w:cs="Times New Roman"/>
                <w:color w:val="000000"/>
                <w:sz w:val="24"/>
              </w:rPr>
            </w:pPr>
            <w:r w:rsidRPr="00C31378">
              <w:rPr>
                <w:rFonts w:ascii="Times New Roman" w:hAnsi="Times New Roman" w:cs="Times New Roman"/>
                <w:b/>
                <w:sz w:val="24"/>
              </w:rPr>
              <w:t>Explanation</w:t>
            </w:r>
          </w:p>
        </w:tc>
      </w:tr>
      <w:tr w:rsidR="00295952" w:rsidRPr="00C31378" w14:paraId="13DD2397" w14:textId="77777777" w:rsidTr="00B2180A">
        <w:trPr>
          <w:trHeight w:val="680"/>
        </w:trPr>
        <w:tc>
          <w:tcPr>
            <w:tcW w:w="1384" w:type="dxa"/>
          </w:tcPr>
          <w:p w14:paraId="6C9EEDCE" w14:textId="1F95D231" w:rsidR="00295952" w:rsidRPr="00C31378" w:rsidRDefault="00295952" w:rsidP="00B2180A">
            <w:pPr>
              <w:pStyle w:val="Applicationdirecte"/>
              <w:spacing w:before="60"/>
              <w:jc w:val="center"/>
            </w:pPr>
            <w:r w:rsidRPr="00C31378">
              <w:t>1</w:t>
            </w:r>
          </w:p>
        </w:tc>
        <w:tc>
          <w:tcPr>
            <w:tcW w:w="7655" w:type="dxa"/>
            <w:vAlign w:val="center"/>
          </w:tcPr>
          <w:p w14:paraId="2B686C91" w14:textId="48028782" w:rsidR="00295952" w:rsidRPr="00C31378" w:rsidRDefault="00295952" w:rsidP="00B2180A">
            <w:pPr>
              <w:spacing w:before="60" w:after="120"/>
              <w:jc w:val="both"/>
              <w:rPr>
                <w:rFonts w:ascii="Times New Roman" w:hAnsi="Times New Roman" w:cs="Times New Roman"/>
                <w:noProof/>
                <w:sz w:val="24"/>
              </w:rPr>
            </w:pPr>
            <w:r w:rsidRPr="00C31378">
              <w:rPr>
                <w:rFonts w:ascii="Times New Roman" w:hAnsi="Times New Roman" w:cs="Times New Roman"/>
                <w:noProof/>
                <w:sz w:val="24"/>
              </w:rPr>
              <w:t>Supplementary own fund requirement</w:t>
            </w:r>
            <w:r w:rsidR="009947D6">
              <w:rPr>
                <w:rFonts w:ascii="Times New Roman" w:hAnsi="Times New Roman" w:cs="Times New Roman"/>
                <w:noProof/>
                <w:sz w:val="24"/>
              </w:rPr>
              <w:t>s</w:t>
            </w:r>
            <w:r w:rsidRPr="00C31378">
              <w:rPr>
                <w:rFonts w:ascii="Times New Roman" w:hAnsi="Times New Roman" w:cs="Times New Roman"/>
                <w:noProof/>
                <w:sz w:val="24"/>
              </w:rPr>
              <w:t xml:space="preserve"> of the financial conglomerate</w:t>
            </w:r>
            <w:r w:rsidR="00DA590B">
              <w:rPr>
                <w:rFonts w:ascii="Times New Roman" w:hAnsi="Times New Roman" w:cs="Times New Roman"/>
                <w:noProof/>
                <w:sz w:val="24"/>
              </w:rPr>
              <w:t xml:space="preserve"> </w:t>
            </w:r>
            <w:r w:rsidRPr="00C31378">
              <w:rPr>
                <w:rFonts w:ascii="Times New Roman" w:hAnsi="Times New Roman" w:cs="Times New Roman"/>
                <w:noProof/>
                <w:sz w:val="24"/>
              </w:rPr>
              <w:t xml:space="preserve">(amount) </w:t>
            </w:r>
          </w:p>
          <w:p w14:paraId="6BB18235" w14:textId="747682E3" w:rsidR="00295952" w:rsidRPr="00C31378" w:rsidRDefault="00295952" w:rsidP="00295952">
            <w:pPr>
              <w:spacing w:before="60" w:after="120"/>
              <w:jc w:val="both"/>
              <w:rPr>
                <w:rFonts w:ascii="Times New Roman" w:hAnsi="Times New Roman" w:cs="Times New Roman"/>
                <w:sz w:val="24"/>
              </w:rPr>
            </w:pPr>
            <w:r w:rsidRPr="00C31378">
              <w:rPr>
                <w:rFonts w:ascii="Times New Roman" w:hAnsi="Times New Roman" w:cs="Times New Roman"/>
                <w:noProof/>
                <w:sz w:val="24"/>
              </w:rPr>
              <w:t>the amount of supplementary own fund requirements of the financial conglomerate calculated in accordance with Article 6 of the Directive 2002/87/EC and Annex I to that Directive where methods 1 or 2 set out in that Annex are applied.</w:t>
            </w:r>
          </w:p>
        </w:tc>
      </w:tr>
      <w:tr w:rsidR="00295952" w:rsidRPr="00C31378" w14:paraId="442126E1" w14:textId="77777777" w:rsidTr="00B2180A">
        <w:trPr>
          <w:trHeight w:val="680"/>
        </w:trPr>
        <w:tc>
          <w:tcPr>
            <w:tcW w:w="1384" w:type="dxa"/>
          </w:tcPr>
          <w:p w14:paraId="25AB26E8" w14:textId="51AD6995" w:rsidR="00295952" w:rsidRPr="00C31378" w:rsidRDefault="00295952" w:rsidP="00B2180A">
            <w:pPr>
              <w:pStyle w:val="Applicationdirecte"/>
              <w:spacing w:before="60"/>
              <w:jc w:val="center"/>
            </w:pPr>
            <w:r w:rsidRPr="00C31378">
              <w:t>2</w:t>
            </w:r>
          </w:p>
        </w:tc>
        <w:tc>
          <w:tcPr>
            <w:tcW w:w="7655" w:type="dxa"/>
            <w:vAlign w:val="center"/>
          </w:tcPr>
          <w:p w14:paraId="38B208D6" w14:textId="77777777" w:rsidR="00295952" w:rsidRPr="00C31378" w:rsidRDefault="00295952" w:rsidP="00B2180A">
            <w:pPr>
              <w:spacing w:before="60" w:after="120"/>
              <w:jc w:val="both"/>
              <w:rPr>
                <w:rFonts w:ascii="Times New Roman" w:hAnsi="Times New Roman" w:cs="Times New Roman"/>
                <w:noProof/>
                <w:sz w:val="24"/>
              </w:rPr>
            </w:pPr>
            <w:r w:rsidRPr="00C31378">
              <w:rPr>
                <w:rFonts w:ascii="Times New Roman" w:hAnsi="Times New Roman" w:cs="Times New Roman"/>
                <w:noProof/>
                <w:sz w:val="24"/>
              </w:rPr>
              <w:t>Capital adequacy ratio of the financial conglomerate (%)</w:t>
            </w:r>
          </w:p>
          <w:p w14:paraId="53216B60" w14:textId="3B75FE85" w:rsidR="00295952" w:rsidRPr="00C31378" w:rsidRDefault="00295952" w:rsidP="00B2180A">
            <w:pPr>
              <w:spacing w:before="60" w:after="120"/>
              <w:jc w:val="both"/>
              <w:rPr>
                <w:rFonts w:ascii="Times New Roman" w:hAnsi="Times New Roman" w:cs="Times New Roman"/>
                <w:sz w:val="24"/>
              </w:rPr>
            </w:pPr>
            <w:r w:rsidRPr="00C31378">
              <w:rPr>
                <w:rFonts w:ascii="Times New Roman" w:hAnsi="Times New Roman" w:cs="Times New Roman"/>
                <w:noProof/>
                <w:sz w:val="24"/>
              </w:rPr>
              <w:t>The capital adequacy ratio of the financial conglomerate calculated in accordance with Article 6 of the Directive 2002/87/EC and Annex I to that Directive where methods 1 or 2 set out in that Annex are applied.</w:t>
            </w:r>
          </w:p>
        </w:tc>
      </w:tr>
    </w:tbl>
    <w:p w14:paraId="689FAF32" w14:textId="1E612202" w:rsidR="00295952" w:rsidRPr="00C31378" w:rsidRDefault="00295952" w:rsidP="00E258D8">
      <w:pPr>
        <w:tabs>
          <w:tab w:val="left" w:pos="1430"/>
        </w:tabs>
        <w:rPr>
          <w:rFonts w:ascii="Times New Roman" w:hAnsi="Times New Roman" w:cs="Times New Roman"/>
          <w:b/>
          <w:sz w:val="24"/>
        </w:rPr>
      </w:pPr>
    </w:p>
    <w:p w14:paraId="0F6262D3" w14:textId="1CF89EEC" w:rsidR="00D15B1C" w:rsidRPr="00C31378" w:rsidRDefault="00D15B1C" w:rsidP="00E258D8">
      <w:pPr>
        <w:tabs>
          <w:tab w:val="left" w:pos="1430"/>
        </w:tabs>
        <w:rPr>
          <w:rFonts w:ascii="Times New Roman" w:hAnsi="Times New Roman" w:cs="Times New Roman"/>
          <w:b/>
          <w:sz w:val="24"/>
        </w:rPr>
      </w:pPr>
      <w:r w:rsidRPr="00C31378">
        <w:rPr>
          <w:rFonts w:ascii="Times New Roman" w:hAnsi="Times New Roman" w:cs="Times New Roman"/>
          <w:b/>
          <w:sz w:val="24"/>
        </w:rPr>
        <w:t>Table EU OVC - ICAAP information</w:t>
      </w:r>
      <w:r w:rsidR="00B05624" w:rsidRPr="00C31378">
        <w:rPr>
          <w:rFonts w:ascii="Times New Roman" w:hAnsi="Times New Roman" w:cs="Times New Roman"/>
          <w:b/>
          <w:sz w:val="24"/>
        </w:rPr>
        <w:t xml:space="preserve">. </w:t>
      </w:r>
      <w:r w:rsidR="00B05624" w:rsidRPr="00C31378">
        <w:rPr>
          <w:rFonts w:ascii="Times New Roman" w:hAnsi="Times New Roman" w:cs="Times New Roman"/>
          <w:sz w:val="24"/>
        </w:rPr>
        <w:t>Flexible format</w:t>
      </w:r>
    </w:p>
    <w:p w14:paraId="6C59F200" w14:textId="32353B06" w:rsidR="00D15B1C" w:rsidRPr="00C31378" w:rsidRDefault="00D15B1C" w:rsidP="00E258D8">
      <w:pPr>
        <w:tabs>
          <w:tab w:val="left" w:pos="1430"/>
        </w:tabs>
        <w:rPr>
          <w:rFonts w:ascii="Times New Roman" w:hAnsi="Times New Roman" w:cs="Times New Roman"/>
          <w:b/>
          <w:sz w:val="24"/>
        </w:rPr>
      </w:pPr>
    </w:p>
    <w:p w14:paraId="625DC448" w14:textId="3D4CC911" w:rsidR="00D15B1C" w:rsidRPr="00C31378" w:rsidRDefault="00D15B1C" w:rsidP="00716AB8">
      <w:pPr>
        <w:pStyle w:val="Titlelevel2"/>
        <w:numPr>
          <w:ilvl w:val="0"/>
          <w:numId w:val="14"/>
        </w:numPr>
        <w:spacing w:before="120" w:after="120"/>
        <w:ind w:left="426"/>
        <w:rPr>
          <w:rFonts w:ascii="Times New Roman" w:eastAsiaTheme="minorEastAsia" w:hAnsi="Times New Roman" w:cs="Times New Roman"/>
          <w:bCs w:val="0"/>
          <w:color w:val="auto"/>
          <w:sz w:val="24"/>
        </w:rPr>
      </w:pPr>
      <w:r w:rsidRPr="00C31378">
        <w:rPr>
          <w:rFonts w:ascii="Times New Roman" w:eastAsiaTheme="minorEastAsia" w:hAnsi="Times New Roman" w:cs="Times New Roman"/>
          <w:bCs w:val="0"/>
          <w:color w:val="auto"/>
          <w:sz w:val="24"/>
        </w:rPr>
        <w:t xml:space="preserve">Institutions shall </w:t>
      </w:r>
      <w:r w:rsidR="00186588">
        <w:rPr>
          <w:rFonts w:ascii="Times New Roman" w:eastAsiaTheme="minorEastAsia" w:hAnsi="Times New Roman" w:cs="Times New Roman"/>
          <w:bCs w:val="0"/>
          <w:noProof/>
          <w:color w:val="000000"/>
          <w:sz w:val="24"/>
          <w:lang w:val="en-GB"/>
        </w:rPr>
        <w:t xml:space="preserve">apply the instructions </w:t>
      </w:r>
      <w:r w:rsidR="00E74C1B">
        <w:rPr>
          <w:rFonts w:ascii="Times New Roman" w:eastAsiaTheme="minorEastAsia" w:hAnsi="Times New Roman" w:cs="Times New Roman"/>
          <w:bCs w:val="0"/>
          <w:noProof/>
          <w:color w:val="000000"/>
          <w:sz w:val="24"/>
          <w:lang w:val="en-GB"/>
        </w:rPr>
        <w:t xml:space="preserve">provided </w:t>
      </w:r>
      <w:r w:rsidR="00186588">
        <w:rPr>
          <w:rFonts w:ascii="Times New Roman" w:eastAsiaTheme="minorEastAsia" w:hAnsi="Times New Roman" w:cs="Times New Roman"/>
          <w:bCs w:val="0"/>
          <w:noProof/>
          <w:color w:val="000000"/>
          <w:sz w:val="24"/>
          <w:lang w:val="en-GB"/>
        </w:rPr>
        <w:t>below in this Annex in order to complete table</w:t>
      </w:r>
      <w:r w:rsidR="00E74C1B">
        <w:rPr>
          <w:rFonts w:ascii="Times New Roman" w:eastAsiaTheme="minorEastAsia" w:hAnsi="Times New Roman" w:cs="Times New Roman"/>
          <w:bCs w:val="0"/>
          <w:noProof/>
          <w:color w:val="000000"/>
          <w:sz w:val="24"/>
          <w:lang w:val="en-GB"/>
        </w:rPr>
        <w:t xml:space="preserve"> EU OVC</w:t>
      </w:r>
      <w:r w:rsidR="00186588">
        <w:rPr>
          <w:rFonts w:ascii="Times New Roman" w:eastAsiaTheme="minorEastAsia" w:hAnsi="Times New Roman" w:cs="Times New Roman"/>
          <w:bCs w:val="0"/>
          <w:noProof/>
          <w:color w:val="000000"/>
          <w:sz w:val="24"/>
          <w:lang w:val="en-GB"/>
        </w:rPr>
        <w:t xml:space="preserve"> as presented in Annex 1,</w:t>
      </w:r>
      <w:r w:rsidR="00DA590B">
        <w:rPr>
          <w:rFonts w:ascii="Times New Roman" w:eastAsiaTheme="minorEastAsia" w:hAnsi="Times New Roman" w:cs="Times New Roman"/>
          <w:bCs w:val="0"/>
          <w:noProof/>
          <w:color w:val="000000"/>
          <w:sz w:val="24"/>
          <w:lang w:val="en-GB"/>
        </w:rPr>
        <w:t xml:space="preserve"> </w:t>
      </w:r>
      <w:r w:rsidR="00DA590B">
        <w:rPr>
          <w:rFonts w:ascii="Times New Roman" w:eastAsiaTheme="minorEastAsia" w:hAnsi="Times New Roman" w:cs="Times New Roman"/>
          <w:bCs w:val="0"/>
          <w:color w:val="auto"/>
          <w:sz w:val="24"/>
        </w:rPr>
        <w:t>in application of Article 438</w:t>
      </w:r>
      <w:r w:rsidR="009A4635">
        <w:rPr>
          <w:rFonts w:ascii="Times New Roman" w:eastAsiaTheme="minorEastAsia" w:hAnsi="Times New Roman" w:cs="Times New Roman"/>
          <w:bCs w:val="0"/>
          <w:color w:val="auto"/>
          <w:sz w:val="24"/>
        </w:rPr>
        <w:t>(</w:t>
      </w:r>
      <w:r w:rsidR="00F555D1" w:rsidRPr="00C31378">
        <w:rPr>
          <w:rFonts w:ascii="Times New Roman" w:eastAsiaTheme="minorEastAsia" w:hAnsi="Times New Roman" w:cs="Times New Roman"/>
          <w:bCs w:val="0"/>
          <w:color w:val="auto"/>
          <w:sz w:val="24"/>
        </w:rPr>
        <w:t>a</w:t>
      </w:r>
      <w:r w:rsidR="009A4635">
        <w:rPr>
          <w:rFonts w:ascii="Times New Roman" w:eastAsiaTheme="minorEastAsia" w:hAnsi="Times New Roman" w:cs="Times New Roman"/>
          <w:bCs w:val="0"/>
          <w:color w:val="auto"/>
          <w:sz w:val="24"/>
        </w:rPr>
        <w:t>)</w:t>
      </w:r>
      <w:r w:rsidR="00F555D1" w:rsidRPr="00C31378">
        <w:rPr>
          <w:rFonts w:ascii="Times New Roman" w:eastAsiaTheme="minorEastAsia" w:hAnsi="Times New Roman" w:cs="Times New Roman"/>
          <w:bCs w:val="0"/>
          <w:color w:val="auto"/>
          <w:sz w:val="24"/>
        </w:rPr>
        <w:t xml:space="preserve"> </w:t>
      </w:r>
      <w:r w:rsidR="00F555D1" w:rsidRPr="00716AB8">
        <w:rPr>
          <w:rFonts w:ascii="Times New Roman" w:eastAsiaTheme="minorEastAsia" w:hAnsi="Times New Roman" w:cs="Times New Roman"/>
          <w:bCs w:val="0"/>
          <w:noProof/>
          <w:color w:val="000000"/>
          <w:sz w:val="24"/>
          <w:lang w:val="en-GB"/>
        </w:rPr>
        <w:t>and</w:t>
      </w:r>
      <w:r w:rsidR="00F555D1" w:rsidRPr="00C31378">
        <w:rPr>
          <w:rFonts w:ascii="Times New Roman" w:eastAsiaTheme="minorEastAsia" w:hAnsi="Times New Roman" w:cs="Times New Roman"/>
          <w:bCs w:val="0"/>
          <w:color w:val="auto"/>
          <w:sz w:val="24"/>
        </w:rPr>
        <w:t xml:space="preserve"> </w:t>
      </w:r>
      <w:r w:rsidR="009A4635">
        <w:rPr>
          <w:rFonts w:ascii="Times New Roman" w:eastAsiaTheme="minorEastAsia" w:hAnsi="Times New Roman" w:cs="Times New Roman"/>
          <w:bCs w:val="0"/>
          <w:color w:val="auto"/>
          <w:sz w:val="24"/>
        </w:rPr>
        <w:t>(</w:t>
      </w:r>
      <w:r w:rsidR="00F555D1" w:rsidRPr="00C31378">
        <w:rPr>
          <w:rFonts w:ascii="Times New Roman" w:eastAsiaTheme="minorEastAsia" w:hAnsi="Times New Roman" w:cs="Times New Roman"/>
          <w:bCs w:val="0"/>
          <w:color w:val="auto"/>
          <w:sz w:val="24"/>
        </w:rPr>
        <w:t>c</w:t>
      </w:r>
      <w:r w:rsidR="009A4635">
        <w:rPr>
          <w:rFonts w:ascii="Times New Roman" w:eastAsiaTheme="minorEastAsia" w:hAnsi="Times New Roman" w:cs="Times New Roman"/>
          <w:bCs w:val="0"/>
          <w:color w:val="auto"/>
          <w:sz w:val="24"/>
        </w:rPr>
        <w:t>)</w:t>
      </w:r>
      <w:r w:rsidRPr="00C31378">
        <w:rPr>
          <w:rFonts w:ascii="Times New Roman" w:eastAsiaTheme="minorEastAsia" w:hAnsi="Times New Roman" w:cs="Times New Roman"/>
          <w:bCs w:val="0"/>
          <w:color w:val="auto"/>
          <w:sz w:val="24"/>
        </w:rPr>
        <w:t xml:space="preserve"> of CRR</w:t>
      </w:r>
      <w:r w:rsidR="00716AB8">
        <w:rPr>
          <w:rFonts w:ascii="Times New Roman" w:eastAsiaTheme="minorEastAsia" w:hAnsi="Times New Roman" w:cs="Times New Roman"/>
          <w:bCs w:val="0"/>
          <w:color w:val="auto"/>
          <w:sz w:val="24"/>
        </w:rPr>
        <w:t>.</w:t>
      </w:r>
    </w:p>
    <w:p w14:paraId="3F262308" w14:textId="77777777" w:rsidR="00D15B1C" w:rsidRPr="00C31378" w:rsidRDefault="00D15B1C" w:rsidP="00E258D8">
      <w:pPr>
        <w:tabs>
          <w:tab w:val="left" w:pos="1430"/>
        </w:tabs>
        <w:rPr>
          <w:rFonts w:ascii="Times New Roman" w:hAnsi="Times New Roman" w:cs="Times New Roman"/>
          <w:b/>
          <w:sz w:val="24"/>
        </w:rPr>
      </w:pPr>
    </w:p>
    <w:p w14:paraId="6D7EB743" w14:textId="77777777" w:rsidR="00D15B1C" w:rsidRPr="00C31378" w:rsidRDefault="00D15B1C" w:rsidP="00E258D8">
      <w:pPr>
        <w:tabs>
          <w:tab w:val="left" w:pos="1430"/>
        </w:tabs>
        <w:rPr>
          <w:rFonts w:ascii="Times New Roman" w:hAnsi="Times New Roman" w:cs="Times New Roman"/>
          <w:b/>
          <w:sz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55"/>
      </w:tblGrid>
      <w:tr w:rsidR="00D15B1C" w:rsidRPr="00C31378" w14:paraId="0EBD808C" w14:textId="77777777" w:rsidTr="00B2180A">
        <w:trPr>
          <w:trHeight w:val="90"/>
        </w:trPr>
        <w:tc>
          <w:tcPr>
            <w:tcW w:w="90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3476C8" w14:textId="77777777" w:rsidR="00D15B1C" w:rsidRPr="00C31378" w:rsidRDefault="00D15B1C" w:rsidP="00B2180A">
            <w:pPr>
              <w:rPr>
                <w:rFonts w:ascii="Times New Roman" w:hAnsi="Times New Roman" w:cs="Times New Roman"/>
                <w:b/>
                <w:sz w:val="24"/>
              </w:rPr>
            </w:pPr>
            <w:r w:rsidRPr="00C31378">
              <w:rPr>
                <w:rFonts w:ascii="Times New Roman" w:hAnsi="Times New Roman" w:cs="Times New Roman"/>
                <w:b/>
                <w:sz w:val="24"/>
              </w:rPr>
              <w:t>Legal references and instructions</w:t>
            </w:r>
          </w:p>
        </w:tc>
      </w:tr>
      <w:tr w:rsidR="00D15B1C" w:rsidRPr="00C31378" w14:paraId="3736281E" w14:textId="77777777" w:rsidTr="00B2180A">
        <w:trPr>
          <w:trHeight w:val="238"/>
        </w:trPr>
        <w:tc>
          <w:tcPr>
            <w:tcW w:w="1384" w:type="dxa"/>
            <w:shd w:val="clear" w:color="auto" w:fill="D9D9D9" w:themeFill="background1" w:themeFillShade="D9"/>
          </w:tcPr>
          <w:p w14:paraId="16F93394" w14:textId="77777777" w:rsidR="00D15B1C" w:rsidRPr="00C31378" w:rsidRDefault="00D15B1C" w:rsidP="00B2180A">
            <w:pPr>
              <w:autoSpaceDE w:val="0"/>
              <w:autoSpaceDN w:val="0"/>
              <w:adjustRightInd w:val="0"/>
              <w:rPr>
                <w:rFonts w:ascii="Times New Roman" w:hAnsi="Times New Roman" w:cs="Times New Roman"/>
                <w:b/>
                <w:sz w:val="24"/>
              </w:rPr>
            </w:pPr>
            <w:r w:rsidRPr="00C31378">
              <w:rPr>
                <w:rFonts w:ascii="Times New Roman" w:hAnsi="Times New Roman" w:cs="Times New Roman"/>
                <w:b/>
                <w:sz w:val="24"/>
              </w:rPr>
              <w:t>Row number</w:t>
            </w:r>
          </w:p>
        </w:tc>
        <w:tc>
          <w:tcPr>
            <w:tcW w:w="7655" w:type="dxa"/>
            <w:shd w:val="clear" w:color="auto" w:fill="D9D9D9" w:themeFill="background1" w:themeFillShade="D9"/>
          </w:tcPr>
          <w:p w14:paraId="713C73DF" w14:textId="77777777" w:rsidR="00D15B1C" w:rsidRPr="00C31378" w:rsidRDefault="00D15B1C" w:rsidP="00B2180A">
            <w:pPr>
              <w:autoSpaceDE w:val="0"/>
              <w:autoSpaceDN w:val="0"/>
              <w:adjustRightInd w:val="0"/>
              <w:rPr>
                <w:rFonts w:ascii="Times New Roman" w:hAnsi="Times New Roman" w:cs="Times New Roman"/>
                <w:color w:val="000000"/>
                <w:sz w:val="24"/>
              </w:rPr>
            </w:pPr>
            <w:r w:rsidRPr="00C31378">
              <w:rPr>
                <w:rFonts w:ascii="Times New Roman" w:hAnsi="Times New Roman" w:cs="Times New Roman"/>
                <w:b/>
                <w:sz w:val="24"/>
              </w:rPr>
              <w:t>Explanation</w:t>
            </w:r>
          </w:p>
        </w:tc>
      </w:tr>
      <w:tr w:rsidR="00D15B1C" w:rsidRPr="00C31378" w14:paraId="31774DC8" w14:textId="77777777" w:rsidTr="00B2180A">
        <w:trPr>
          <w:trHeight w:val="680"/>
        </w:trPr>
        <w:tc>
          <w:tcPr>
            <w:tcW w:w="1384" w:type="dxa"/>
          </w:tcPr>
          <w:p w14:paraId="33ADE323" w14:textId="45559703" w:rsidR="00D15B1C" w:rsidRPr="00C31378" w:rsidRDefault="009947D6" w:rsidP="00B2180A">
            <w:pPr>
              <w:pStyle w:val="Applicationdirecte"/>
              <w:spacing w:before="60"/>
              <w:jc w:val="center"/>
            </w:pPr>
            <w:r>
              <w:t>a</w:t>
            </w:r>
          </w:p>
        </w:tc>
        <w:tc>
          <w:tcPr>
            <w:tcW w:w="7655" w:type="dxa"/>
            <w:vAlign w:val="center"/>
          </w:tcPr>
          <w:p w14:paraId="6B35721D" w14:textId="57136347" w:rsidR="00B05624" w:rsidRPr="00C31378" w:rsidRDefault="00B05624" w:rsidP="00B2180A">
            <w:pPr>
              <w:spacing w:before="60" w:after="120"/>
              <w:jc w:val="both"/>
              <w:rPr>
                <w:rFonts w:ascii="Times New Roman" w:hAnsi="Times New Roman" w:cs="Times New Roman"/>
                <w:noProof/>
                <w:sz w:val="24"/>
              </w:rPr>
            </w:pPr>
            <w:r w:rsidRPr="00C31378">
              <w:rPr>
                <w:rFonts w:ascii="Times New Roman" w:hAnsi="Times New Roman" w:cs="Times New Roman"/>
                <w:noProof/>
                <w:sz w:val="24"/>
              </w:rPr>
              <w:t>Approach to assessing the adequacy of their internal capital</w:t>
            </w:r>
          </w:p>
          <w:p w14:paraId="6F15C6C4" w14:textId="7F8F24A1" w:rsidR="00D15B1C" w:rsidRPr="00C31378" w:rsidRDefault="00B05624" w:rsidP="00B05624">
            <w:pPr>
              <w:spacing w:before="60" w:after="120"/>
              <w:jc w:val="both"/>
              <w:rPr>
                <w:rFonts w:ascii="Times New Roman" w:hAnsi="Times New Roman" w:cs="Times New Roman"/>
                <w:sz w:val="24"/>
              </w:rPr>
            </w:pPr>
            <w:r w:rsidRPr="00C31378">
              <w:rPr>
                <w:rFonts w:ascii="Times New Roman" w:hAnsi="Times New Roman" w:cs="Times New Roman"/>
                <w:noProof/>
                <w:sz w:val="24"/>
              </w:rPr>
              <w:t>Institutions shall disc</w:t>
            </w:r>
            <w:r w:rsidR="009947D6">
              <w:rPr>
                <w:rFonts w:ascii="Times New Roman" w:hAnsi="Times New Roman" w:cs="Times New Roman"/>
                <w:noProof/>
                <w:sz w:val="24"/>
              </w:rPr>
              <w:t>l</w:t>
            </w:r>
            <w:r w:rsidRPr="00C31378">
              <w:rPr>
                <w:rFonts w:ascii="Times New Roman" w:hAnsi="Times New Roman" w:cs="Times New Roman"/>
                <w:noProof/>
                <w:sz w:val="24"/>
              </w:rPr>
              <w:t>ose a summary of their approach to assessing the adequacy of their internal capital to support current and future activities.</w:t>
            </w:r>
          </w:p>
        </w:tc>
      </w:tr>
      <w:tr w:rsidR="00D15B1C" w:rsidRPr="00C31378" w14:paraId="45038D73" w14:textId="77777777" w:rsidTr="00B2180A">
        <w:trPr>
          <w:trHeight w:val="680"/>
        </w:trPr>
        <w:tc>
          <w:tcPr>
            <w:tcW w:w="1384" w:type="dxa"/>
          </w:tcPr>
          <w:p w14:paraId="48EFBFCE" w14:textId="317D2CD3" w:rsidR="00D15B1C" w:rsidRPr="00C31378" w:rsidRDefault="009947D6" w:rsidP="00B2180A">
            <w:pPr>
              <w:pStyle w:val="Applicationdirecte"/>
              <w:spacing w:before="60"/>
              <w:jc w:val="center"/>
            </w:pPr>
            <w:r>
              <w:lastRenderedPageBreak/>
              <w:t>b</w:t>
            </w:r>
          </w:p>
        </w:tc>
        <w:tc>
          <w:tcPr>
            <w:tcW w:w="7655" w:type="dxa"/>
            <w:vAlign w:val="center"/>
          </w:tcPr>
          <w:p w14:paraId="13E9AAC9" w14:textId="77777777" w:rsidR="00B05624" w:rsidRPr="00C31378" w:rsidRDefault="00B05624" w:rsidP="00B2180A">
            <w:pPr>
              <w:spacing w:before="60" w:after="120"/>
              <w:jc w:val="both"/>
              <w:rPr>
                <w:rFonts w:ascii="Times New Roman" w:hAnsi="Times New Roman" w:cs="Times New Roman"/>
                <w:noProof/>
                <w:sz w:val="24"/>
              </w:rPr>
            </w:pPr>
            <w:r w:rsidRPr="00C31378">
              <w:rPr>
                <w:rFonts w:ascii="Times New Roman" w:hAnsi="Times New Roman" w:cs="Times New Roman"/>
                <w:noProof/>
                <w:sz w:val="24"/>
              </w:rPr>
              <w:t>Upon demand from the relevant competent authority, the result of the institution's internal capital adequacy assessment process</w:t>
            </w:r>
          </w:p>
          <w:p w14:paraId="3F308FA5" w14:textId="420918FA" w:rsidR="00D15B1C" w:rsidRPr="00C31378" w:rsidRDefault="00B05624" w:rsidP="00B2180A">
            <w:pPr>
              <w:spacing w:before="60" w:after="120"/>
              <w:jc w:val="both"/>
              <w:rPr>
                <w:rFonts w:ascii="Times New Roman" w:hAnsi="Times New Roman" w:cs="Times New Roman"/>
                <w:sz w:val="24"/>
              </w:rPr>
            </w:pPr>
            <w:r w:rsidRPr="00C31378">
              <w:rPr>
                <w:rFonts w:ascii="Times New Roman" w:hAnsi="Times New Roman" w:cs="Times New Roman"/>
                <w:noProof/>
                <w:sz w:val="24"/>
              </w:rPr>
              <w:t>This information shall only be disclosed by institutions when required by the relevant competent authority</w:t>
            </w:r>
            <w:r w:rsidR="00D15B1C" w:rsidRPr="00C31378">
              <w:rPr>
                <w:rFonts w:ascii="Times New Roman" w:hAnsi="Times New Roman" w:cs="Times New Roman"/>
                <w:noProof/>
                <w:sz w:val="24"/>
              </w:rPr>
              <w:t>.</w:t>
            </w:r>
          </w:p>
        </w:tc>
      </w:tr>
    </w:tbl>
    <w:p w14:paraId="15A3110E" w14:textId="77777777" w:rsidR="00D15B1C" w:rsidRPr="00C31378" w:rsidRDefault="00D15B1C" w:rsidP="00E258D8">
      <w:pPr>
        <w:tabs>
          <w:tab w:val="left" w:pos="1430"/>
        </w:tabs>
        <w:rPr>
          <w:rFonts w:ascii="Times New Roman" w:hAnsi="Times New Roman" w:cs="Times New Roman"/>
          <w:b/>
          <w:sz w:val="24"/>
        </w:rPr>
      </w:pPr>
    </w:p>
    <w:sectPr w:rsidR="00D15B1C" w:rsidRPr="00C31378" w:rsidSect="000F33D3">
      <w:headerReference w:type="even" r:id="rId8"/>
      <w:footerReference w:type="even" r:id="rId9"/>
      <w:footerReference w:type="default" r:id="rId10"/>
      <w:headerReference w:type="first" r:id="rId11"/>
      <w:pgSz w:w="11900" w:h="16840"/>
      <w:pgMar w:top="2268" w:right="1418" w:bottom="1134" w:left="170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16F2C" w14:textId="77777777" w:rsidR="00EE7CB2" w:rsidRDefault="00EE7CB2" w:rsidP="00A00E34">
      <w:r>
        <w:separator/>
      </w:r>
    </w:p>
    <w:p w14:paraId="5CC2BCA8" w14:textId="77777777" w:rsidR="00EE7CB2" w:rsidRDefault="00EE7CB2"/>
  </w:endnote>
  <w:endnote w:type="continuationSeparator" w:id="0">
    <w:p w14:paraId="7A82C775" w14:textId="77777777" w:rsidR="00EE7CB2" w:rsidRDefault="00EE7CB2" w:rsidP="00A00E34">
      <w:r>
        <w:continuationSeparator/>
      </w:r>
    </w:p>
    <w:p w14:paraId="062AC5A0" w14:textId="77777777" w:rsidR="00EE7CB2" w:rsidRDefault="00EE7C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 w:name="EUAlbertina">
    <w:altName w:val="EU Albertin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CD3D3" w14:textId="77777777" w:rsidR="00EE7CB2" w:rsidRDefault="00EE7CB2"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A6FBC1" w14:textId="77777777" w:rsidR="00EE7CB2" w:rsidRDefault="00EE7CB2" w:rsidP="006103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AFEF6" w14:textId="417AA13E" w:rsidR="00EE7CB2" w:rsidRDefault="00EE7CB2"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5188">
      <w:rPr>
        <w:rStyle w:val="PageNumber"/>
        <w:noProof/>
      </w:rPr>
      <w:t>9</w:t>
    </w:r>
    <w:r>
      <w:rPr>
        <w:rStyle w:val="PageNumber"/>
      </w:rPr>
      <w:fldChar w:fldCharType="end"/>
    </w:r>
  </w:p>
  <w:p w14:paraId="5FB3D857" w14:textId="77777777" w:rsidR="00EE7CB2" w:rsidRDefault="00EE7CB2" w:rsidP="00610305">
    <w:pPr>
      <w:pStyle w:val="Footer"/>
      <w:ind w:right="360"/>
    </w:pPr>
    <w:r>
      <w:rPr>
        <w:noProof/>
        <w:lang w:eastAsia="en-GB"/>
      </w:rPr>
      <mc:AlternateContent>
        <mc:Choice Requires="wps">
          <w:drawing>
            <wp:anchor distT="4294967295" distB="4294967295" distL="114300" distR="114300" simplePos="0" relativeHeight="251657216" behindDoc="1" locked="1" layoutInCell="1" allowOverlap="1" wp14:anchorId="1436F797" wp14:editId="1BC5163A">
              <wp:simplePos x="0" y="0"/>
              <wp:positionH relativeFrom="column">
                <wp:posOffset>-71120</wp:posOffset>
              </wp:positionH>
              <wp:positionV relativeFrom="page">
                <wp:posOffset>9973309</wp:posOffset>
              </wp:positionV>
              <wp:extent cx="5723890" cy="0"/>
              <wp:effectExtent l="0" t="0" r="1016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xmlns:arto="http://schemas.microsoft.com/office/word/2006/arto"/>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arto="http://schemas.microsoft.com/office/word/2006/arto"/>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AC4633"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bdKNA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T+m3SjQCAACK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6B653" w14:textId="77777777" w:rsidR="00EE7CB2" w:rsidRPr="00DB5E8F" w:rsidRDefault="00EE7CB2">
      <w:pPr>
        <w:rPr>
          <w:sz w:val="12"/>
          <w:szCs w:val="12"/>
        </w:rPr>
      </w:pPr>
      <w:r w:rsidRPr="00DB5E8F">
        <w:rPr>
          <w:sz w:val="12"/>
          <w:szCs w:val="12"/>
        </w:rPr>
        <w:separator/>
      </w:r>
    </w:p>
  </w:footnote>
  <w:footnote w:type="continuationSeparator" w:id="0">
    <w:p w14:paraId="7E6D12F3" w14:textId="77777777" w:rsidR="00EE7CB2" w:rsidRDefault="00EE7CB2" w:rsidP="00A00E34">
      <w:r>
        <w:continuationSeparator/>
      </w:r>
    </w:p>
    <w:p w14:paraId="397CDD54" w14:textId="77777777" w:rsidR="00EE7CB2" w:rsidRDefault="00EE7CB2"/>
  </w:footnote>
  <w:footnote w:type="continuationNotice" w:id="1">
    <w:p w14:paraId="6D36803B" w14:textId="77777777" w:rsidR="00EE7CB2" w:rsidRDefault="00EE7CB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7DEA0" w14:textId="77777777" w:rsidR="00EE7CB2" w:rsidRDefault="00505188">
    <w:sdt>
      <w:sdtPr>
        <w:id w:val="-1905980668"/>
        <w:temporary/>
        <w:showingPlcHdr/>
      </w:sdtPr>
      <w:sdtEndPr/>
      <w:sdtContent>
        <w:r w:rsidR="00EE7CB2">
          <w:t>[Type text]</w:t>
        </w:r>
      </w:sdtContent>
    </w:sdt>
    <w:r w:rsidR="00EE7CB2">
      <w:ptab w:relativeTo="margin" w:alignment="center" w:leader="none"/>
    </w:r>
    <w:sdt>
      <w:sdtPr>
        <w:id w:val="-476227318"/>
        <w:temporary/>
        <w:showingPlcHdr/>
      </w:sdtPr>
      <w:sdtEndPr/>
      <w:sdtContent>
        <w:r w:rsidR="00EE7CB2">
          <w:t>[Type text]</w:t>
        </w:r>
      </w:sdtContent>
    </w:sdt>
    <w:r w:rsidR="00EE7CB2">
      <w:ptab w:relativeTo="margin" w:alignment="right" w:leader="none"/>
    </w:r>
    <w:sdt>
      <w:sdtPr>
        <w:id w:val="807362839"/>
        <w:temporary/>
        <w:showingPlcHdr/>
      </w:sdtPr>
      <w:sdtEndPr/>
      <w:sdtContent>
        <w:r w:rsidR="00EE7CB2">
          <w:t>[Type text]</w:t>
        </w:r>
      </w:sdtContent>
    </w:sdt>
  </w:p>
  <w:p w14:paraId="3B44855B" w14:textId="77777777" w:rsidR="00EE7CB2" w:rsidRDefault="00EE7CB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DFA47" w14:textId="77777777" w:rsidR="00EE7CB2" w:rsidRDefault="00EE7CB2" w:rsidP="00E677EF">
    <w:pPr>
      <w:pStyle w:val="Runningtitle"/>
    </w:pPr>
    <w:r w:rsidRPr="001834D4">
      <w:t xml:space="preserve">running </w:t>
    </w:r>
    <w:r>
      <w:t>title comes here in running title style</w:t>
    </w:r>
    <w:r>
      <w:rPr>
        <w:noProof/>
        <w:lang w:val="en-GB" w:eastAsia="en-GB"/>
      </w:rPr>
      <w:drawing>
        <wp:anchor distT="0" distB="0" distL="114300" distR="114300" simplePos="0" relativeHeight="251655168" behindDoc="1" locked="1" layoutInCell="1" allowOverlap="0" wp14:anchorId="72F275A6" wp14:editId="5A98658D">
          <wp:simplePos x="0" y="0"/>
          <wp:positionH relativeFrom="page">
            <wp:posOffset>4702175</wp:posOffset>
          </wp:positionH>
          <wp:positionV relativeFrom="page">
            <wp:posOffset>450215</wp:posOffset>
          </wp:positionV>
          <wp:extent cx="1941830" cy="719455"/>
          <wp:effectExtent l="0" t="0" r="0" b="0"/>
          <wp:wrapNone/>
          <wp:docPr id="6"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941830" cy="719455"/>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val="1"/>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F56781"/>
    <w:multiLevelType w:val="hybridMultilevel"/>
    <w:tmpl w:val="136C5D58"/>
    <w:lvl w:ilvl="0" w:tplc="8D14D124">
      <w:start w:val="1"/>
      <w:numFmt w:val="lowerRoman"/>
      <w:lvlText w:val="(%1)"/>
      <w:lvlJc w:val="left"/>
      <w:pPr>
        <w:ind w:left="753" w:hanging="720"/>
      </w:pPr>
    </w:lvl>
    <w:lvl w:ilvl="1" w:tplc="08090019">
      <w:start w:val="1"/>
      <w:numFmt w:val="lowerLetter"/>
      <w:lvlText w:val="%2."/>
      <w:lvlJc w:val="left"/>
      <w:pPr>
        <w:ind w:left="1113" w:hanging="360"/>
      </w:pPr>
    </w:lvl>
    <w:lvl w:ilvl="2" w:tplc="0809001B">
      <w:start w:val="1"/>
      <w:numFmt w:val="lowerRoman"/>
      <w:lvlText w:val="%3."/>
      <w:lvlJc w:val="right"/>
      <w:pPr>
        <w:ind w:left="1833" w:hanging="180"/>
      </w:pPr>
    </w:lvl>
    <w:lvl w:ilvl="3" w:tplc="0809000F">
      <w:start w:val="1"/>
      <w:numFmt w:val="decimal"/>
      <w:lvlText w:val="%4."/>
      <w:lvlJc w:val="left"/>
      <w:pPr>
        <w:ind w:left="2553" w:hanging="360"/>
      </w:pPr>
    </w:lvl>
    <w:lvl w:ilvl="4" w:tplc="08090019">
      <w:start w:val="1"/>
      <w:numFmt w:val="lowerLetter"/>
      <w:lvlText w:val="%5."/>
      <w:lvlJc w:val="left"/>
      <w:pPr>
        <w:ind w:left="3273" w:hanging="360"/>
      </w:pPr>
    </w:lvl>
    <w:lvl w:ilvl="5" w:tplc="0809001B">
      <w:start w:val="1"/>
      <w:numFmt w:val="lowerRoman"/>
      <w:lvlText w:val="%6."/>
      <w:lvlJc w:val="right"/>
      <w:pPr>
        <w:ind w:left="3993" w:hanging="180"/>
      </w:pPr>
    </w:lvl>
    <w:lvl w:ilvl="6" w:tplc="0809000F">
      <w:start w:val="1"/>
      <w:numFmt w:val="decimal"/>
      <w:lvlText w:val="%7."/>
      <w:lvlJc w:val="left"/>
      <w:pPr>
        <w:ind w:left="4713" w:hanging="360"/>
      </w:pPr>
    </w:lvl>
    <w:lvl w:ilvl="7" w:tplc="08090019">
      <w:start w:val="1"/>
      <w:numFmt w:val="lowerLetter"/>
      <w:lvlText w:val="%8."/>
      <w:lvlJc w:val="left"/>
      <w:pPr>
        <w:ind w:left="5433" w:hanging="360"/>
      </w:pPr>
    </w:lvl>
    <w:lvl w:ilvl="8" w:tplc="0809001B">
      <w:start w:val="1"/>
      <w:numFmt w:val="lowerRoman"/>
      <w:lvlText w:val="%9."/>
      <w:lvlJc w:val="right"/>
      <w:pPr>
        <w:ind w:left="6153" w:hanging="180"/>
      </w:pPr>
    </w:lvl>
  </w:abstractNum>
  <w:abstractNum w:abstractNumId="4" w15:restartNumberingAfterBreak="0">
    <w:nsid w:val="27C3122A"/>
    <w:multiLevelType w:val="hybridMultilevel"/>
    <w:tmpl w:val="1FBA9C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2B3A92"/>
    <w:multiLevelType w:val="singleLevel"/>
    <w:tmpl w:val="73D64A0E"/>
    <w:name w:val="Considérant__1"/>
    <w:lvl w:ilvl="0">
      <w:start w:val="1"/>
      <w:numFmt w:val="decimal"/>
      <w:lvlRestart w:val="0"/>
      <w:pStyle w:val="Considrant"/>
      <w:lvlText w:val="(%1)"/>
      <w:lvlJc w:val="left"/>
      <w:pPr>
        <w:tabs>
          <w:tab w:val="num" w:pos="709"/>
        </w:tabs>
        <w:ind w:left="709" w:hanging="709"/>
      </w:pPr>
    </w:lvl>
  </w:abstractNum>
  <w:abstractNum w:abstractNumId="6" w15:restartNumberingAfterBreak="0">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7"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5521B9"/>
    <w:multiLevelType w:val="hybridMultilevel"/>
    <w:tmpl w:val="136C5D58"/>
    <w:lvl w:ilvl="0" w:tplc="8D14D124">
      <w:start w:val="1"/>
      <w:numFmt w:val="lowerRoman"/>
      <w:lvlText w:val="(%1)"/>
      <w:lvlJc w:val="left"/>
      <w:pPr>
        <w:ind w:left="753" w:hanging="720"/>
      </w:pPr>
    </w:lvl>
    <w:lvl w:ilvl="1" w:tplc="08090019">
      <w:start w:val="1"/>
      <w:numFmt w:val="lowerLetter"/>
      <w:lvlText w:val="%2."/>
      <w:lvlJc w:val="left"/>
      <w:pPr>
        <w:ind w:left="1113" w:hanging="360"/>
      </w:pPr>
    </w:lvl>
    <w:lvl w:ilvl="2" w:tplc="0809001B">
      <w:start w:val="1"/>
      <w:numFmt w:val="lowerRoman"/>
      <w:lvlText w:val="%3."/>
      <w:lvlJc w:val="right"/>
      <w:pPr>
        <w:ind w:left="1833" w:hanging="180"/>
      </w:pPr>
    </w:lvl>
    <w:lvl w:ilvl="3" w:tplc="0809000F">
      <w:start w:val="1"/>
      <w:numFmt w:val="decimal"/>
      <w:lvlText w:val="%4."/>
      <w:lvlJc w:val="left"/>
      <w:pPr>
        <w:ind w:left="2553" w:hanging="360"/>
      </w:pPr>
    </w:lvl>
    <w:lvl w:ilvl="4" w:tplc="08090019">
      <w:start w:val="1"/>
      <w:numFmt w:val="lowerLetter"/>
      <w:lvlText w:val="%5."/>
      <w:lvlJc w:val="left"/>
      <w:pPr>
        <w:ind w:left="3273" w:hanging="360"/>
      </w:pPr>
    </w:lvl>
    <w:lvl w:ilvl="5" w:tplc="0809001B">
      <w:start w:val="1"/>
      <w:numFmt w:val="lowerRoman"/>
      <w:lvlText w:val="%6."/>
      <w:lvlJc w:val="right"/>
      <w:pPr>
        <w:ind w:left="3993" w:hanging="180"/>
      </w:pPr>
    </w:lvl>
    <w:lvl w:ilvl="6" w:tplc="0809000F">
      <w:start w:val="1"/>
      <w:numFmt w:val="decimal"/>
      <w:lvlText w:val="%7."/>
      <w:lvlJc w:val="left"/>
      <w:pPr>
        <w:ind w:left="4713" w:hanging="360"/>
      </w:pPr>
    </w:lvl>
    <w:lvl w:ilvl="7" w:tplc="08090019">
      <w:start w:val="1"/>
      <w:numFmt w:val="lowerLetter"/>
      <w:lvlText w:val="%8."/>
      <w:lvlJc w:val="left"/>
      <w:pPr>
        <w:ind w:left="5433" w:hanging="360"/>
      </w:pPr>
    </w:lvl>
    <w:lvl w:ilvl="8" w:tplc="0809001B">
      <w:start w:val="1"/>
      <w:numFmt w:val="lowerRoman"/>
      <w:lvlText w:val="%9."/>
      <w:lvlJc w:val="right"/>
      <w:pPr>
        <w:ind w:left="6153" w:hanging="180"/>
      </w:pPr>
    </w:lvl>
  </w:abstractNum>
  <w:abstractNum w:abstractNumId="9"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DD1127"/>
    <w:multiLevelType w:val="hybridMultilevel"/>
    <w:tmpl w:val="44722EE6"/>
    <w:lvl w:ilvl="0" w:tplc="7D5EEB9C">
      <w:start w:val="1"/>
      <w:numFmt w:val="lowerRoman"/>
      <w:lvlText w:val="(%1)"/>
      <w:lvlJc w:val="left"/>
      <w:pPr>
        <w:ind w:left="753" w:hanging="720"/>
      </w:pPr>
    </w:lvl>
    <w:lvl w:ilvl="1" w:tplc="08090019">
      <w:start w:val="1"/>
      <w:numFmt w:val="lowerLetter"/>
      <w:lvlText w:val="%2."/>
      <w:lvlJc w:val="left"/>
      <w:pPr>
        <w:ind w:left="1113" w:hanging="360"/>
      </w:pPr>
    </w:lvl>
    <w:lvl w:ilvl="2" w:tplc="0809001B">
      <w:start w:val="1"/>
      <w:numFmt w:val="lowerRoman"/>
      <w:lvlText w:val="%3."/>
      <w:lvlJc w:val="right"/>
      <w:pPr>
        <w:ind w:left="1833" w:hanging="180"/>
      </w:pPr>
    </w:lvl>
    <w:lvl w:ilvl="3" w:tplc="0809000F">
      <w:start w:val="1"/>
      <w:numFmt w:val="decimal"/>
      <w:lvlText w:val="%4."/>
      <w:lvlJc w:val="left"/>
      <w:pPr>
        <w:ind w:left="2553" w:hanging="360"/>
      </w:pPr>
    </w:lvl>
    <w:lvl w:ilvl="4" w:tplc="08090019">
      <w:start w:val="1"/>
      <w:numFmt w:val="lowerLetter"/>
      <w:lvlText w:val="%5."/>
      <w:lvlJc w:val="left"/>
      <w:pPr>
        <w:ind w:left="3273" w:hanging="360"/>
      </w:pPr>
    </w:lvl>
    <w:lvl w:ilvl="5" w:tplc="0809001B">
      <w:start w:val="1"/>
      <w:numFmt w:val="lowerRoman"/>
      <w:lvlText w:val="%6."/>
      <w:lvlJc w:val="right"/>
      <w:pPr>
        <w:ind w:left="3993" w:hanging="180"/>
      </w:pPr>
    </w:lvl>
    <w:lvl w:ilvl="6" w:tplc="0809000F">
      <w:start w:val="1"/>
      <w:numFmt w:val="decimal"/>
      <w:lvlText w:val="%7."/>
      <w:lvlJc w:val="left"/>
      <w:pPr>
        <w:ind w:left="4713" w:hanging="360"/>
      </w:pPr>
    </w:lvl>
    <w:lvl w:ilvl="7" w:tplc="08090019">
      <w:start w:val="1"/>
      <w:numFmt w:val="lowerLetter"/>
      <w:lvlText w:val="%8."/>
      <w:lvlJc w:val="left"/>
      <w:pPr>
        <w:ind w:left="5433" w:hanging="360"/>
      </w:pPr>
    </w:lvl>
    <w:lvl w:ilvl="8" w:tplc="0809001B">
      <w:start w:val="1"/>
      <w:numFmt w:val="lowerRoman"/>
      <w:lvlText w:val="%9."/>
      <w:lvlJc w:val="right"/>
      <w:pPr>
        <w:ind w:left="6153" w:hanging="180"/>
      </w:pPr>
    </w:lvl>
  </w:abstractNum>
  <w:abstractNum w:abstractNumId="12" w15:restartNumberingAfterBreak="0">
    <w:nsid w:val="6BCD57BB"/>
    <w:multiLevelType w:val="multilevel"/>
    <w:tmpl w:val="5AD2A3CC"/>
    <w:lvl w:ilvl="0">
      <w:start w:val="1"/>
      <w:numFmt w:val="decimal"/>
      <w:pStyle w:val="Numberedtilelevel1"/>
      <w:lvlText w:val="%1."/>
      <w:lvlJc w:val="left"/>
      <w:pPr>
        <w:ind w:left="0"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3" w15:restartNumberingAfterBreak="0">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6"/>
  </w:num>
  <w:num w:numId="4">
    <w:abstractNumId w:val="7"/>
  </w:num>
  <w:num w:numId="5">
    <w:abstractNumId w:val="13"/>
  </w:num>
  <w:num w:numId="6">
    <w:abstractNumId w:val="1"/>
  </w:num>
  <w:num w:numId="7">
    <w:abstractNumId w:val="12"/>
  </w:num>
  <w:num w:numId="8">
    <w:abstractNumId w:val="10"/>
  </w:num>
  <w:num w:numId="9">
    <w:abstractNumId w:val="0"/>
  </w:num>
  <w:num w:numId="10">
    <w:abstractNumId w:val="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4"/>
  </w:num>
  <w:num w:numId="15">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20"/>
  <w:hyphenationZone w:val="283"/>
  <w:drawingGridHorizontalSpacing w:val="360"/>
  <w:drawingGridVerticalSpacing w:val="360"/>
  <w:displayHorizontalDrawingGridEvery w:val="0"/>
  <w:displayVerticalDrawingGridEvery w:val="0"/>
  <w:characterSpacingControl w:val="doNotCompress"/>
  <w:hdrShapeDefaults>
    <o:shapedefaults v:ext="edit" spidmax="532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EBA GL-REC 20XX XX (FINAL GLS-REC ON"/>
  </w:docVars>
  <w:rsids>
    <w:rsidRoot w:val="006307A5"/>
    <w:rsid w:val="00001873"/>
    <w:rsid w:val="00003BF5"/>
    <w:rsid w:val="00003F50"/>
    <w:rsid w:val="00004C00"/>
    <w:rsid w:val="000056A3"/>
    <w:rsid w:val="00013281"/>
    <w:rsid w:val="00015DE4"/>
    <w:rsid w:val="000231B7"/>
    <w:rsid w:val="0002717D"/>
    <w:rsid w:val="00027CA0"/>
    <w:rsid w:val="00030D65"/>
    <w:rsid w:val="00040129"/>
    <w:rsid w:val="000506BF"/>
    <w:rsid w:val="00052C7E"/>
    <w:rsid w:val="00060F40"/>
    <w:rsid w:val="00062830"/>
    <w:rsid w:val="00062937"/>
    <w:rsid w:val="000638BD"/>
    <w:rsid w:val="00066A9A"/>
    <w:rsid w:val="00075A38"/>
    <w:rsid w:val="000762E4"/>
    <w:rsid w:val="000774B3"/>
    <w:rsid w:val="00083C33"/>
    <w:rsid w:val="000843CD"/>
    <w:rsid w:val="00084EED"/>
    <w:rsid w:val="000A1AF7"/>
    <w:rsid w:val="000A1C81"/>
    <w:rsid w:val="000A2565"/>
    <w:rsid w:val="000A3851"/>
    <w:rsid w:val="000B0073"/>
    <w:rsid w:val="000B1645"/>
    <w:rsid w:val="000B2958"/>
    <w:rsid w:val="000B6D18"/>
    <w:rsid w:val="000C288C"/>
    <w:rsid w:val="000C3CA2"/>
    <w:rsid w:val="000C5A8A"/>
    <w:rsid w:val="000C7FD8"/>
    <w:rsid w:val="000D1FC3"/>
    <w:rsid w:val="000D3626"/>
    <w:rsid w:val="000D7A44"/>
    <w:rsid w:val="000E0C27"/>
    <w:rsid w:val="000E6D15"/>
    <w:rsid w:val="000E6E57"/>
    <w:rsid w:val="000F2F6E"/>
    <w:rsid w:val="000F33D3"/>
    <w:rsid w:val="000F3E72"/>
    <w:rsid w:val="000F607B"/>
    <w:rsid w:val="000F6495"/>
    <w:rsid w:val="000F6FD8"/>
    <w:rsid w:val="000F7E65"/>
    <w:rsid w:val="00105DF4"/>
    <w:rsid w:val="00106155"/>
    <w:rsid w:val="001061FA"/>
    <w:rsid w:val="0011148D"/>
    <w:rsid w:val="0011517F"/>
    <w:rsid w:val="00120BFF"/>
    <w:rsid w:val="00121BB0"/>
    <w:rsid w:val="00121E46"/>
    <w:rsid w:val="0012686C"/>
    <w:rsid w:val="0013090C"/>
    <w:rsid w:val="00131C5D"/>
    <w:rsid w:val="001359DC"/>
    <w:rsid w:val="00141684"/>
    <w:rsid w:val="00142ACD"/>
    <w:rsid w:val="00142DF6"/>
    <w:rsid w:val="00145D24"/>
    <w:rsid w:val="00151991"/>
    <w:rsid w:val="00152832"/>
    <w:rsid w:val="00154596"/>
    <w:rsid w:val="001600FC"/>
    <w:rsid w:val="0016228C"/>
    <w:rsid w:val="00162769"/>
    <w:rsid w:val="001639AB"/>
    <w:rsid w:val="0016737A"/>
    <w:rsid w:val="00172007"/>
    <w:rsid w:val="0017446F"/>
    <w:rsid w:val="00177CB9"/>
    <w:rsid w:val="001828B1"/>
    <w:rsid w:val="001834D4"/>
    <w:rsid w:val="00184DBF"/>
    <w:rsid w:val="00186588"/>
    <w:rsid w:val="00192287"/>
    <w:rsid w:val="001A016C"/>
    <w:rsid w:val="001A0C8D"/>
    <w:rsid w:val="001A2A81"/>
    <w:rsid w:val="001A32A3"/>
    <w:rsid w:val="001A5BD4"/>
    <w:rsid w:val="001A70A8"/>
    <w:rsid w:val="001B05D2"/>
    <w:rsid w:val="001B2C0D"/>
    <w:rsid w:val="001B6017"/>
    <w:rsid w:val="001B7A0B"/>
    <w:rsid w:val="001B7EB3"/>
    <w:rsid w:val="001C1FD9"/>
    <w:rsid w:val="001C5BC2"/>
    <w:rsid w:val="001C76ED"/>
    <w:rsid w:val="001D0179"/>
    <w:rsid w:val="001D5526"/>
    <w:rsid w:val="001D6D9D"/>
    <w:rsid w:val="001D6E22"/>
    <w:rsid w:val="001D723A"/>
    <w:rsid w:val="001E0565"/>
    <w:rsid w:val="001E08AC"/>
    <w:rsid w:val="001E1188"/>
    <w:rsid w:val="001E2AB8"/>
    <w:rsid w:val="001E3599"/>
    <w:rsid w:val="001E4698"/>
    <w:rsid w:val="001E7B53"/>
    <w:rsid w:val="001F0720"/>
    <w:rsid w:val="001F13DC"/>
    <w:rsid w:val="001F16BB"/>
    <w:rsid w:val="001F18AA"/>
    <w:rsid w:val="001F1CB9"/>
    <w:rsid w:val="001F7501"/>
    <w:rsid w:val="00201A16"/>
    <w:rsid w:val="00205139"/>
    <w:rsid w:val="00205878"/>
    <w:rsid w:val="00206BB0"/>
    <w:rsid w:val="00213D7B"/>
    <w:rsid w:val="00214DEC"/>
    <w:rsid w:val="00223D0E"/>
    <w:rsid w:val="00224293"/>
    <w:rsid w:val="00224761"/>
    <w:rsid w:val="00224A3F"/>
    <w:rsid w:val="00224D96"/>
    <w:rsid w:val="00226B9B"/>
    <w:rsid w:val="002306C7"/>
    <w:rsid w:val="00232DF5"/>
    <w:rsid w:val="0023633E"/>
    <w:rsid w:val="0023741B"/>
    <w:rsid w:val="00241BD8"/>
    <w:rsid w:val="002434B0"/>
    <w:rsid w:val="00251280"/>
    <w:rsid w:val="00251512"/>
    <w:rsid w:val="00251DE4"/>
    <w:rsid w:val="00254CA9"/>
    <w:rsid w:val="00254E82"/>
    <w:rsid w:val="00260404"/>
    <w:rsid w:val="0026213C"/>
    <w:rsid w:val="00265F47"/>
    <w:rsid w:val="00266F94"/>
    <w:rsid w:val="0027418E"/>
    <w:rsid w:val="0027618C"/>
    <w:rsid w:val="002767AA"/>
    <w:rsid w:val="002804A6"/>
    <w:rsid w:val="0028290C"/>
    <w:rsid w:val="00290DA3"/>
    <w:rsid w:val="002921F0"/>
    <w:rsid w:val="00295952"/>
    <w:rsid w:val="002965CB"/>
    <w:rsid w:val="00296C53"/>
    <w:rsid w:val="00297D03"/>
    <w:rsid w:val="00297DC1"/>
    <w:rsid w:val="002A0424"/>
    <w:rsid w:val="002A0FF0"/>
    <w:rsid w:val="002A1EA1"/>
    <w:rsid w:val="002A3A19"/>
    <w:rsid w:val="002A5A3D"/>
    <w:rsid w:val="002B03F9"/>
    <w:rsid w:val="002B2D10"/>
    <w:rsid w:val="002C0DCF"/>
    <w:rsid w:val="002C2DE0"/>
    <w:rsid w:val="002C308A"/>
    <w:rsid w:val="002C33D2"/>
    <w:rsid w:val="002D1867"/>
    <w:rsid w:val="002D56B7"/>
    <w:rsid w:val="002D5755"/>
    <w:rsid w:val="002D6BCB"/>
    <w:rsid w:val="002E327A"/>
    <w:rsid w:val="002F08A4"/>
    <w:rsid w:val="002F110A"/>
    <w:rsid w:val="002F1302"/>
    <w:rsid w:val="002F2009"/>
    <w:rsid w:val="002F6FCE"/>
    <w:rsid w:val="002F7090"/>
    <w:rsid w:val="00300859"/>
    <w:rsid w:val="00300924"/>
    <w:rsid w:val="003023DA"/>
    <w:rsid w:val="003025A8"/>
    <w:rsid w:val="00306353"/>
    <w:rsid w:val="00311D86"/>
    <w:rsid w:val="003129B6"/>
    <w:rsid w:val="00313821"/>
    <w:rsid w:val="00314D6E"/>
    <w:rsid w:val="00320E57"/>
    <w:rsid w:val="003221EF"/>
    <w:rsid w:val="00322C23"/>
    <w:rsid w:val="003248A2"/>
    <w:rsid w:val="003333C5"/>
    <w:rsid w:val="00340244"/>
    <w:rsid w:val="00342529"/>
    <w:rsid w:val="00345633"/>
    <w:rsid w:val="003467E6"/>
    <w:rsid w:val="00350D0D"/>
    <w:rsid w:val="0035477B"/>
    <w:rsid w:val="003604AA"/>
    <w:rsid w:val="003604F4"/>
    <w:rsid w:val="003627BA"/>
    <w:rsid w:val="00372BEC"/>
    <w:rsid w:val="00373E86"/>
    <w:rsid w:val="00374FD3"/>
    <w:rsid w:val="0038076A"/>
    <w:rsid w:val="00392385"/>
    <w:rsid w:val="00395966"/>
    <w:rsid w:val="003A1224"/>
    <w:rsid w:val="003A4578"/>
    <w:rsid w:val="003A6482"/>
    <w:rsid w:val="003B4C84"/>
    <w:rsid w:val="003B6056"/>
    <w:rsid w:val="003B6A5A"/>
    <w:rsid w:val="003B7D75"/>
    <w:rsid w:val="003C0305"/>
    <w:rsid w:val="003C095D"/>
    <w:rsid w:val="003C2B40"/>
    <w:rsid w:val="003C6475"/>
    <w:rsid w:val="003D01F8"/>
    <w:rsid w:val="003D04AB"/>
    <w:rsid w:val="003D1ACD"/>
    <w:rsid w:val="003D6DC8"/>
    <w:rsid w:val="003D7A72"/>
    <w:rsid w:val="003E23AF"/>
    <w:rsid w:val="003E318D"/>
    <w:rsid w:val="003E5177"/>
    <w:rsid w:val="003F72E2"/>
    <w:rsid w:val="00407991"/>
    <w:rsid w:val="00412567"/>
    <w:rsid w:val="004131BA"/>
    <w:rsid w:val="004172D1"/>
    <w:rsid w:val="00424530"/>
    <w:rsid w:val="0042486A"/>
    <w:rsid w:val="00434252"/>
    <w:rsid w:val="0043432B"/>
    <w:rsid w:val="0043577F"/>
    <w:rsid w:val="0043675A"/>
    <w:rsid w:val="004418CC"/>
    <w:rsid w:val="00441F85"/>
    <w:rsid w:val="004477A6"/>
    <w:rsid w:val="00451E45"/>
    <w:rsid w:val="00452468"/>
    <w:rsid w:val="0045301B"/>
    <w:rsid w:val="004541F3"/>
    <w:rsid w:val="00455E0E"/>
    <w:rsid w:val="004600F5"/>
    <w:rsid w:val="004606A7"/>
    <w:rsid w:val="00460FF6"/>
    <w:rsid w:val="00464BF3"/>
    <w:rsid w:val="00466839"/>
    <w:rsid w:val="00466A4A"/>
    <w:rsid w:val="004719B4"/>
    <w:rsid w:val="00471CA1"/>
    <w:rsid w:val="00471CCE"/>
    <w:rsid w:val="0047368B"/>
    <w:rsid w:val="00474D9D"/>
    <w:rsid w:val="0047512D"/>
    <w:rsid w:val="00475381"/>
    <w:rsid w:val="00476A9A"/>
    <w:rsid w:val="00481AC4"/>
    <w:rsid w:val="00482FB6"/>
    <w:rsid w:val="004919C9"/>
    <w:rsid w:val="004920DA"/>
    <w:rsid w:val="0049216F"/>
    <w:rsid w:val="004955E7"/>
    <w:rsid w:val="0049781D"/>
    <w:rsid w:val="004A0B20"/>
    <w:rsid w:val="004A2F42"/>
    <w:rsid w:val="004A48EF"/>
    <w:rsid w:val="004A5BCD"/>
    <w:rsid w:val="004A5D8B"/>
    <w:rsid w:val="004A63D7"/>
    <w:rsid w:val="004A7965"/>
    <w:rsid w:val="004B15C1"/>
    <w:rsid w:val="004B2FC0"/>
    <w:rsid w:val="004B3092"/>
    <w:rsid w:val="004B7517"/>
    <w:rsid w:val="004B7784"/>
    <w:rsid w:val="004C098A"/>
    <w:rsid w:val="004C1B19"/>
    <w:rsid w:val="004C320A"/>
    <w:rsid w:val="004C6392"/>
    <w:rsid w:val="004D3523"/>
    <w:rsid w:val="004D4296"/>
    <w:rsid w:val="004D588F"/>
    <w:rsid w:val="004D7668"/>
    <w:rsid w:val="004E405B"/>
    <w:rsid w:val="004F09DC"/>
    <w:rsid w:val="004F0AB6"/>
    <w:rsid w:val="004F5AB7"/>
    <w:rsid w:val="004F63DB"/>
    <w:rsid w:val="004F7817"/>
    <w:rsid w:val="00501BEB"/>
    <w:rsid w:val="00501CEC"/>
    <w:rsid w:val="00505066"/>
    <w:rsid w:val="00505188"/>
    <w:rsid w:val="00505C64"/>
    <w:rsid w:val="005105EF"/>
    <w:rsid w:val="00511500"/>
    <w:rsid w:val="005125AD"/>
    <w:rsid w:val="005126F5"/>
    <w:rsid w:val="005171B3"/>
    <w:rsid w:val="00517BBF"/>
    <w:rsid w:val="00523895"/>
    <w:rsid w:val="00527FB3"/>
    <w:rsid w:val="005410AB"/>
    <w:rsid w:val="0054260F"/>
    <w:rsid w:val="005439FD"/>
    <w:rsid w:val="00543A44"/>
    <w:rsid w:val="00553275"/>
    <w:rsid w:val="00553DB4"/>
    <w:rsid w:val="00557747"/>
    <w:rsid w:val="00563DEC"/>
    <w:rsid w:val="00565691"/>
    <w:rsid w:val="005672ED"/>
    <w:rsid w:val="005673AC"/>
    <w:rsid w:val="00571BB6"/>
    <w:rsid w:val="00574FB1"/>
    <w:rsid w:val="00575BA7"/>
    <w:rsid w:val="00576BDE"/>
    <w:rsid w:val="00582827"/>
    <w:rsid w:val="00582AA7"/>
    <w:rsid w:val="0058477C"/>
    <w:rsid w:val="0058568F"/>
    <w:rsid w:val="00591A53"/>
    <w:rsid w:val="00591C4C"/>
    <w:rsid w:val="00592DF9"/>
    <w:rsid w:val="00593D83"/>
    <w:rsid w:val="00594B24"/>
    <w:rsid w:val="00596AA4"/>
    <w:rsid w:val="005A079D"/>
    <w:rsid w:val="005A6911"/>
    <w:rsid w:val="005A7CA0"/>
    <w:rsid w:val="005B4448"/>
    <w:rsid w:val="005B5C09"/>
    <w:rsid w:val="005B7D63"/>
    <w:rsid w:val="005C1518"/>
    <w:rsid w:val="005C326D"/>
    <w:rsid w:val="005C3DFF"/>
    <w:rsid w:val="005C498B"/>
    <w:rsid w:val="005C590A"/>
    <w:rsid w:val="005D19A9"/>
    <w:rsid w:val="005D4005"/>
    <w:rsid w:val="005D40D1"/>
    <w:rsid w:val="005D7532"/>
    <w:rsid w:val="005D775D"/>
    <w:rsid w:val="005E6D2B"/>
    <w:rsid w:val="005F0534"/>
    <w:rsid w:val="005F3A66"/>
    <w:rsid w:val="005F3D24"/>
    <w:rsid w:val="005F41FE"/>
    <w:rsid w:val="005F6F2A"/>
    <w:rsid w:val="006017FA"/>
    <w:rsid w:val="006042D1"/>
    <w:rsid w:val="006059B2"/>
    <w:rsid w:val="00606B03"/>
    <w:rsid w:val="00610305"/>
    <w:rsid w:val="00610419"/>
    <w:rsid w:val="00611D91"/>
    <w:rsid w:val="00611DDB"/>
    <w:rsid w:val="00612C7B"/>
    <w:rsid w:val="006133C5"/>
    <w:rsid w:val="00615CA4"/>
    <w:rsid w:val="00620784"/>
    <w:rsid w:val="006209BD"/>
    <w:rsid w:val="006223C9"/>
    <w:rsid w:val="006224C1"/>
    <w:rsid w:val="00622726"/>
    <w:rsid w:val="00623545"/>
    <w:rsid w:val="00623C5B"/>
    <w:rsid w:val="00625C96"/>
    <w:rsid w:val="006269B7"/>
    <w:rsid w:val="00627DCB"/>
    <w:rsid w:val="00627FC1"/>
    <w:rsid w:val="006307A5"/>
    <w:rsid w:val="00633DC7"/>
    <w:rsid w:val="00636E1D"/>
    <w:rsid w:val="0063793A"/>
    <w:rsid w:val="006400F5"/>
    <w:rsid w:val="00653220"/>
    <w:rsid w:val="00655112"/>
    <w:rsid w:val="00662487"/>
    <w:rsid w:val="00663B0A"/>
    <w:rsid w:val="006641F8"/>
    <w:rsid w:val="006671A5"/>
    <w:rsid w:val="00670254"/>
    <w:rsid w:val="00676D73"/>
    <w:rsid w:val="00677CC7"/>
    <w:rsid w:val="00680674"/>
    <w:rsid w:val="00680D1E"/>
    <w:rsid w:val="00680E3F"/>
    <w:rsid w:val="006973AC"/>
    <w:rsid w:val="006A0D6A"/>
    <w:rsid w:val="006B10D4"/>
    <w:rsid w:val="006B5580"/>
    <w:rsid w:val="006C186D"/>
    <w:rsid w:val="006D2245"/>
    <w:rsid w:val="006D42F8"/>
    <w:rsid w:val="006D7393"/>
    <w:rsid w:val="006E206F"/>
    <w:rsid w:val="006E48FA"/>
    <w:rsid w:val="006E55E1"/>
    <w:rsid w:val="006E5B84"/>
    <w:rsid w:val="006F0B70"/>
    <w:rsid w:val="006F2E13"/>
    <w:rsid w:val="006F445D"/>
    <w:rsid w:val="006F4922"/>
    <w:rsid w:val="006F72C6"/>
    <w:rsid w:val="007018D2"/>
    <w:rsid w:val="00703E4E"/>
    <w:rsid w:val="007071C6"/>
    <w:rsid w:val="00711E1C"/>
    <w:rsid w:val="00712D2C"/>
    <w:rsid w:val="00714810"/>
    <w:rsid w:val="00716AB8"/>
    <w:rsid w:val="00720050"/>
    <w:rsid w:val="00721FBA"/>
    <w:rsid w:val="00730352"/>
    <w:rsid w:val="00731F9A"/>
    <w:rsid w:val="00733C3F"/>
    <w:rsid w:val="00742839"/>
    <w:rsid w:val="00743C39"/>
    <w:rsid w:val="00752710"/>
    <w:rsid w:val="0075400D"/>
    <w:rsid w:val="00755505"/>
    <w:rsid w:val="00757F6D"/>
    <w:rsid w:val="0076078D"/>
    <w:rsid w:val="007614BF"/>
    <w:rsid w:val="0076316D"/>
    <w:rsid w:val="00772993"/>
    <w:rsid w:val="007815FB"/>
    <w:rsid w:val="00781D80"/>
    <w:rsid w:val="00785478"/>
    <w:rsid w:val="00786B1B"/>
    <w:rsid w:val="00787592"/>
    <w:rsid w:val="00791DE5"/>
    <w:rsid w:val="007934A8"/>
    <w:rsid w:val="00794978"/>
    <w:rsid w:val="007A0054"/>
    <w:rsid w:val="007A2A87"/>
    <w:rsid w:val="007A3415"/>
    <w:rsid w:val="007A38F2"/>
    <w:rsid w:val="007A3CAA"/>
    <w:rsid w:val="007A44A6"/>
    <w:rsid w:val="007A5353"/>
    <w:rsid w:val="007A57D6"/>
    <w:rsid w:val="007A588E"/>
    <w:rsid w:val="007B0F28"/>
    <w:rsid w:val="007B1A6B"/>
    <w:rsid w:val="007B3D63"/>
    <w:rsid w:val="007B50BA"/>
    <w:rsid w:val="007B69D6"/>
    <w:rsid w:val="007B72C6"/>
    <w:rsid w:val="007C3CD2"/>
    <w:rsid w:val="007C3D93"/>
    <w:rsid w:val="007C55D0"/>
    <w:rsid w:val="007D0398"/>
    <w:rsid w:val="007D2FDE"/>
    <w:rsid w:val="007D5D17"/>
    <w:rsid w:val="007E14C6"/>
    <w:rsid w:val="007E17FF"/>
    <w:rsid w:val="007E39E1"/>
    <w:rsid w:val="007E57CE"/>
    <w:rsid w:val="007E682F"/>
    <w:rsid w:val="007E6BF0"/>
    <w:rsid w:val="007E702D"/>
    <w:rsid w:val="007E7246"/>
    <w:rsid w:val="007F3334"/>
    <w:rsid w:val="007F5865"/>
    <w:rsid w:val="00801891"/>
    <w:rsid w:val="008033A1"/>
    <w:rsid w:val="00804563"/>
    <w:rsid w:val="008046A4"/>
    <w:rsid w:val="00804837"/>
    <w:rsid w:val="00805A13"/>
    <w:rsid w:val="008073A2"/>
    <w:rsid w:val="00810F8E"/>
    <w:rsid w:val="008123E1"/>
    <w:rsid w:val="00813BAC"/>
    <w:rsid w:val="00813CD4"/>
    <w:rsid w:val="008154B5"/>
    <w:rsid w:val="00821B9D"/>
    <w:rsid w:val="008229B8"/>
    <w:rsid w:val="00823FF9"/>
    <w:rsid w:val="00843373"/>
    <w:rsid w:val="0084468C"/>
    <w:rsid w:val="00844EE2"/>
    <w:rsid w:val="008461B5"/>
    <w:rsid w:val="00846679"/>
    <w:rsid w:val="00846C63"/>
    <w:rsid w:val="0085041F"/>
    <w:rsid w:val="00850CDC"/>
    <w:rsid w:val="00851DC4"/>
    <w:rsid w:val="008539BB"/>
    <w:rsid w:val="00854452"/>
    <w:rsid w:val="008552A0"/>
    <w:rsid w:val="0085591A"/>
    <w:rsid w:val="008559E8"/>
    <w:rsid w:val="00856198"/>
    <w:rsid w:val="008564DC"/>
    <w:rsid w:val="00862D23"/>
    <w:rsid w:val="00865492"/>
    <w:rsid w:val="00867CB4"/>
    <w:rsid w:val="008708AB"/>
    <w:rsid w:val="00874ED5"/>
    <w:rsid w:val="008810BC"/>
    <w:rsid w:val="00884EF0"/>
    <w:rsid w:val="008903CA"/>
    <w:rsid w:val="00897CC1"/>
    <w:rsid w:val="008A13D3"/>
    <w:rsid w:val="008A3B4F"/>
    <w:rsid w:val="008A40BC"/>
    <w:rsid w:val="008B0845"/>
    <w:rsid w:val="008B269B"/>
    <w:rsid w:val="008C1A94"/>
    <w:rsid w:val="008C27E6"/>
    <w:rsid w:val="008C5B82"/>
    <w:rsid w:val="008C672C"/>
    <w:rsid w:val="008C6A4E"/>
    <w:rsid w:val="008D7CD4"/>
    <w:rsid w:val="008E3D64"/>
    <w:rsid w:val="008E60F6"/>
    <w:rsid w:val="008F0F53"/>
    <w:rsid w:val="008F1BEA"/>
    <w:rsid w:val="008F27B9"/>
    <w:rsid w:val="008F3908"/>
    <w:rsid w:val="008F44EB"/>
    <w:rsid w:val="009014B6"/>
    <w:rsid w:val="00905D8E"/>
    <w:rsid w:val="00906BC5"/>
    <w:rsid w:val="00910181"/>
    <w:rsid w:val="00912882"/>
    <w:rsid w:val="00912895"/>
    <w:rsid w:val="00916645"/>
    <w:rsid w:val="009210DE"/>
    <w:rsid w:val="0092311E"/>
    <w:rsid w:val="00923509"/>
    <w:rsid w:val="009251B5"/>
    <w:rsid w:val="009273BC"/>
    <w:rsid w:val="00930C30"/>
    <w:rsid w:val="00933AEE"/>
    <w:rsid w:val="00935472"/>
    <w:rsid w:val="00937718"/>
    <w:rsid w:val="00937854"/>
    <w:rsid w:val="0094125D"/>
    <w:rsid w:val="00943B87"/>
    <w:rsid w:val="00943C57"/>
    <w:rsid w:val="009448BC"/>
    <w:rsid w:val="009501D6"/>
    <w:rsid w:val="00950374"/>
    <w:rsid w:val="009531CB"/>
    <w:rsid w:val="009559E1"/>
    <w:rsid w:val="0096160F"/>
    <w:rsid w:val="00962BEA"/>
    <w:rsid w:val="00964393"/>
    <w:rsid w:val="00965B6B"/>
    <w:rsid w:val="00965B80"/>
    <w:rsid w:val="00967458"/>
    <w:rsid w:val="00971B4D"/>
    <w:rsid w:val="00973859"/>
    <w:rsid w:val="00982373"/>
    <w:rsid w:val="00987078"/>
    <w:rsid w:val="00990A8A"/>
    <w:rsid w:val="00991278"/>
    <w:rsid w:val="00993B1E"/>
    <w:rsid w:val="009947D6"/>
    <w:rsid w:val="009953F9"/>
    <w:rsid w:val="00997406"/>
    <w:rsid w:val="00997826"/>
    <w:rsid w:val="009A4635"/>
    <w:rsid w:val="009A5D7A"/>
    <w:rsid w:val="009B033C"/>
    <w:rsid w:val="009B7766"/>
    <w:rsid w:val="009C12C9"/>
    <w:rsid w:val="009C1CE7"/>
    <w:rsid w:val="009C39EE"/>
    <w:rsid w:val="009C3A8F"/>
    <w:rsid w:val="009C741F"/>
    <w:rsid w:val="009D0637"/>
    <w:rsid w:val="009D2A94"/>
    <w:rsid w:val="009D55F7"/>
    <w:rsid w:val="009D7D01"/>
    <w:rsid w:val="009D7FCB"/>
    <w:rsid w:val="009E38A2"/>
    <w:rsid w:val="009E4107"/>
    <w:rsid w:val="009E5245"/>
    <w:rsid w:val="009E70EF"/>
    <w:rsid w:val="009E76BE"/>
    <w:rsid w:val="009E79BF"/>
    <w:rsid w:val="009F12DA"/>
    <w:rsid w:val="009F3FE6"/>
    <w:rsid w:val="009F4E0E"/>
    <w:rsid w:val="009F53AF"/>
    <w:rsid w:val="009F6FF4"/>
    <w:rsid w:val="00A00793"/>
    <w:rsid w:val="00A00E34"/>
    <w:rsid w:val="00A0415A"/>
    <w:rsid w:val="00A060B7"/>
    <w:rsid w:val="00A062C7"/>
    <w:rsid w:val="00A10257"/>
    <w:rsid w:val="00A14332"/>
    <w:rsid w:val="00A17AD1"/>
    <w:rsid w:val="00A23608"/>
    <w:rsid w:val="00A25A56"/>
    <w:rsid w:val="00A27B9D"/>
    <w:rsid w:val="00A27D88"/>
    <w:rsid w:val="00A304D0"/>
    <w:rsid w:val="00A30AB0"/>
    <w:rsid w:val="00A3253E"/>
    <w:rsid w:val="00A342E8"/>
    <w:rsid w:val="00A36FE2"/>
    <w:rsid w:val="00A37FED"/>
    <w:rsid w:val="00A4409F"/>
    <w:rsid w:val="00A4607D"/>
    <w:rsid w:val="00A53163"/>
    <w:rsid w:val="00A53EC9"/>
    <w:rsid w:val="00A65365"/>
    <w:rsid w:val="00A725D6"/>
    <w:rsid w:val="00A72C70"/>
    <w:rsid w:val="00A72C7D"/>
    <w:rsid w:val="00A81586"/>
    <w:rsid w:val="00A81B96"/>
    <w:rsid w:val="00A83523"/>
    <w:rsid w:val="00A84F93"/>
    <w:rsid w:val="00A86C90"/>
    <w:rsid w:val="00A87CC2"/>
    <w:rsid w:val="00A905E9"/>
    <w:rsid w:val="00A919FB"/>
    <w:rsid w:val="00A91A51"/>
    <w:rsid w:val="00A92440"/>
    <w:rsid w:val="00A92865"/>
    <w:rsid w:val="00AA03D6"/>
    <w:rsid w:val="00AA6023"/>
    <w:rsid w:val="00AA71FA"/>
    <w:rsid w:val="00AB104D"/>
    <w:rsid w:val="00AB2476"/>
    <w:rsid w:val="00AB2B10"/>
    <w:rsid w:val="00AB3DDB"/>
    <w:rsid w:val="00AB6E04"/>
    <w:rsid w:val="00AD0C73"/>
    <w:rsid w:val="00AD2FD9"/>
    <w:rsid w:val="00AE1A2D"/>
    <w:rsid w:val="00AE46E2"/>
    <w:rsid w:val="00AE5347"/>
    <w:rsid w:val="00AE55F6"/>
    <w:rsid w:val="00AE56DB"/>
    <w:rsid w:val="00AE5F3C"/>
    <w:rsid w:val="00AE79FD"/>
    <w:rsid w:val="00AF5FB0"/>
    <w:rsid w:val="00AF7442"/>
    <w:rsid w:val="00AF7F7B"/>
    <w:rsid w:val="00B04D5C"/>
    <w:rsid w:val="00B05624"/>
    <w:rsid w:val="00B10EE4"/>
    <w:rsid w:val="00B115D7"/>
    <w:rsid w:val="00B13C87"/>
    <w:rsid w:val="00B14F07"/>
    <w:rsid w:val="00B1710D"/>
    <w:rsid w:val="00B2180A"/>
    <w:rsid w:val="00B21D0B"/>
    <w:rsid w:val="00B25B60"/>
    <w:rsid w:val="00B32510"/>
    <w:rsid w:val="00B35302"/>
    <w:rsid w:val="00B3595C"/>
    <w:rsid w:val="00B36D5E"/>
    <w:rsid w:val="00B37911"/>
    <w:rsid w:val="00B41F41"/>
    <w:rsid w:val="00B424AE"/>
    <w:rsid w:val="00B42808"/>
    <w:rsid w:val="00B43E07"/>
    <w:rsid w:val="00B526A8"/>
    <w:rsid w:val="00B55FAB"/>
    <w:rsid w:val="00B61210"/>
    <w:rsid w:val="00B6734E"/>
    <w:rsid w:val="00B702CB"/>
    <w:rsid w:val="00B73040"/>
    <w:rsid w:val="00B75B00"/>
    <w:rsid w:val="00B76198"/>
    <w:rsid w:val="00B80ACA"/>
    <w:rsid w:val="00B813A4"/>
    <w:rsid w:val="00B819E3"/>
    <w:rsid w:val="00B83D9D"/>
    <w:rsid w:val="00B84529"/>
    <w:rsid w:val="00B84C30"/>
    <w:rsid w:val="00B878E1"/>
    <w:rsid w:val="00B96F7F"/>
    <w:rsid w:val="00BA25D7"/>
    <w:rsid w:val="00BA3D4A"/>
    <w:rsid w:val="00BA414B"/>
    <w:rsid w:val="00BB0828"/>
    <w:rsid w:val="00BB2111"/>
    <w:rsid w:val="00BB2F0A"/>
    <w:rsid w:val="00BB61BA"/>
    <w:rsid w:val="00BC1BBB"/>
    <w:rsid w:val="00BC266E"/>
    <w:rsid w:val="00BC3279"/>
    <w:rsid w:val="00BC59E3"/>
    <w:rsid w:val="00BC7FD2"/>
    <w:rsid w:val="00BD36EC"/>
    <w:rsid w:val="00BD47F0"/>
    <w:rsid w:val="00BD6316"/>
    <w:rsid w:val="00BE5B8B"/>
    <w:rsid w:val="00BF4B43"/>
    <w:rsid w:val="00BF5A15"/>
    <w:rsid w:val="00C0296F"/>
    <w:rsid w:val="00C03AE7"/>
    <w:rsid w:val="00C05D9D"/>
    <w:rsid w:val="00C06BF3"/>
    <w:rsid w:val="00C07AC6"/>
    <w:rsid w:val="00C12FA8"/>
    <w:rsid w:val="00C21218"/>
    <w:rsid w:val="00C261D1"/>
    <w:rsid w:val="00C31378"/>
    <w:rsid w:val="00C34FA6"/>
    <w:rsid w:val="00C35592"/>
    <w:rsid w:val="00C356AF"/>
    <w:rsid w:val="00C35ADE"/>
    <w:rsid w:val="00C41927"/>
    <w:rsid w:val="00C41C25"/>
    <w:rsid w:val="00C423C6"/>
    <w:rsid w:val="00C439D6"/>
    <w:rsid w:val="00C43FD9"/>
    <w:rsid w:val="00C44EB2"/>
    <w:rsid w:val="00C47E8F"/>
    <w:rsid w:val="00C51ABA"/>
    <w:rsid w:val="00C521A7"/>
    <w:rsid w:val="00C54CC8"/>
    <w:rsid w:val="00C57BC4"/>
    <w:rsid w:val="00C57EDE"/>
    <w:rsid w:val="00C60915"/>
    <w:rsid w:val="00C67DA4"/>
    <w:rsid w:val="00C7005A"/>
    <w:rsid w:val="00C764D4"/>
    <w:rsid w:val="00C87617"/>
    <w:rsid w:val="00C964B8"/>
    <w:rsid w:val="00CA2627"/>
    <w:rsid w:val="00CB0067"/>
    <w:rsid w:val="00CB18B6"/>
    <w:rsid w:val="00CB380B"/>
    <w:rsid w:val="00CB467F"/>
    <w:rsid w:val="00CB7909"/>
    <w:rsid w:val="00CC7137"/>
    <w:rsid w:val="00CD11FD"/>
    <w:rsid w:val="00CD4AF7"/>
    <w:rsid w:val="00CD4C1C"/>
    <w:rsid w:val="00CD5E13"/>
    <w:rsid w:val="00CD5F69"/>
    <w:rsid w:val="00CE10B8"/>
    <w:rsid w:val="00CE3517"/>
    <w:rsid w:val="00CE6407"/>
    <w:rsid w:val="00CF720A"/>
    <w:rsid w:val="00D00E7F"/>
    <w:rsid w:val="00D01670"/>
    <w:rsid w:val="00D023D9"/>
    <w:rsid w:val="00D05C26"/>
    <w:rsid w:val="00D062AC"/>
    <w:rsid w:val="00D07969"/>
    <w:rsid w:val="00D120EF"/>
    <w:rsid w:val="00D152E7"/>
    <w:rsid w:val="00D15B1C"/>
    <w:rsid w:val="00D15B3E"/>
    <w:rsid w:val="00D17AA8"/>
    <w:rsid w:val="00D21F91"/>
    <w:rsid w:val="00D261F9"/>
    <w:rsid w:val="00D26269"/>
    <w:rsid w:val="00D26F4C"/>
    <w:rsid w:val="00D33027"/>
    <w:rsid w:val="00D3796C"/>
    <w:rsid w:val="00D44360"/>
    <w:rsid w:val="00D44595"/>
    <w:rsid w:val="00D50D2F"/>
    <w:rsid w:val="00D53948"/>
    <w:rsid w:val="00D549B9"/>
    <w:rsid w:val="00D557EE"/>
    <w:rsid w:val="00D56058"/>
    <w:rsid w:val="00D57D71"/>
    <w:rsid w:val="00D57F4B"/>
    <w:rsid w:val="00D6287E"/>
    <w:rsid w:val="00D6395D"/>
    <w:rsid w:val="00D656AD"/>
    <w:rsid w:val="00D76E91"/>
    <w:rsid w:val="00D80B84"/>
    <w:rsid w:val="00D845D4"/>
    <w:rsid w:val="00D84643"/>
    <w:rsid w:val="00D849AA"/>
    <w:rsid w:val="00D84CC9"/>
    <w:rsid w:val="00D872D1"/>
    <w:rsid w:val="00D90463"/>
    <w:rsid w:val="00D93652"/>
    <w:rsid w:val="00D93DDB"/>
    <w:rsid w:val="00D97BBA"/>
    <w:rsid w:val="00DA02D6"/>
    <w:rsid w:val="00DA1988"/>
    <w:rsid w:val="00DA2E87"/>
    <w:rsid w:val="00DA4228"/>
    <w:rsid w:val="00DA44B7"/>
    <w:rsid w:val="00DA590B"/>
    <w:rsid w:val="00DA6122"/>
    <w:rsid w:val="00DB0727"/>
    <w:rsid w:val="00DB4809"/>
    <w:rsid w:val="00DB5E8F"/>
    <w:rsid w:val="00DB70BC"/>
    <w:rsid w:val="00DC0972"/>
    <w:rsid w:val="00DC31E2"/>
    <w:rsid w:val="00DC3E99"/>
    <w:rsid w:val="00DC7C3E"/>
    <w:rsid w:val="00DD1BAA"/>
    <w:rsid w:val="00DE30E0"/>
    <w:rsid w:val="00DE69D4"/>
    <w:rsid w:val="00DF2151"/>
    <w:rsid w:val="00DF3029"/>
    <w:rsid w:val="00DF7007"/>
    <w:rsid w:val="00E027E0"/>
    <w:rsid w:val="00E10D35"/>
    <w:rsid w:val="00E14AA0"/>
    <w:rsid w:val="00E202F8"/>
    <w:rsid w:val="00E22BCE"/>
    <w:rsid w:val="00E258D8"/>
    <w:rsid w:val="00E326FF"/>
    <w:rsid w:val="00E34B8E"/>
    <w:rsid w:val="00E361B0"/>
    <w:rsid w:val="00E374D9"/>
    <w:rsid w:val="00E41563"/>
    <w:rsid w:val="00E42943"/>
    <w:rsid w:val="00E43903"/>
    <w:rsid w:val="00E44FA7"/>
    <w:rsid w:val="00E4695A"/>
    <w:rsid w:val="00E52D11"/>
    <w:rsid w:val="00E53A75"/>
    <w:rsid w:val="00E53AA8"/>
    <w:rsid w:val="00E53BA2"/>
    <w:rsid w:val="00E55AB5"/>
    <w:rsid w:val="00E574A1"/>
    <w:rsid w:val="00E61F96"/>
    <w:rsid w:val="00E62DB8"/>
    <w:rsid w:val="00E63010"/>
    <w:rsid w:val="00E653BD"/>
    <w:rsid w:val="00E65948"/>
    <w:rsid w:val="00E677EF"/>
    <w:rsid w:val="00E7159B"/>
    <w:rsid w:val="00E72D02"/>
    <w:rsid w:val="00E74C1B"/>
    <w:rsid w:val="00E84CFD"/>
    <w:rsid w:val="00E859DF"/>
    <w:rsid w:val="00E866CC"/>
    <w:rsid w:val="00E86C84"/>
    <w:rsid w:val="00E87041"/>
    <w:rsid w:val="00E91192"/>
    <w:rsid w:val="00E93B05"/>
    <w:rsid w:val="00E94AED"/>
    <w:rsid w:val="00E95201"/>
    <w:rsid w:val="00E9631E"/>
    <w:rsid w:val="00EA1574"/>
    <w:rsid w:val="00EA1807"/>
    <w:rsid w:val="00EA38FE"/>
    <w:rsid w:val="00EA4947"/>
    <w:rsid w:val="00EB0731"/>
    <w:rsid w:val="00EC0C41"/>
    <w:rsid w:val="00EC11F0"/>
    <w:rsid w:val="00EC14FA"/>
    <w:rsid w:val="00EC1594"/>
    <w:rsid w:val="00EC1C8C"/>
    <w:rsid w:val="00EC3DC7"/>
    <w:rsid w:val="00EC5FD5"/>
    <w:rsid w:val="00ED2521"/>
    <w:rsid w:val="00ED2FB9"/>
    <w:rsid w:val="00ED6873"/>
    <w:rsid w:val="00ED6F18"/>
    <w:rsid w:val="00ED73EF"/>
    <w:rsid w:val="00EE0C7D"/>
    <w:rsid w:val="00EE1F54"/>
    <w:rsid w:val="00EE456B"/>
    <w:rsid w:val="00EE508D"/>
    <w:rsid w:val="00EE7CB2"/>
    <w:rsid w:val="00EF20A6"/>
    <w:rsid w:val="00EF284B"/>
    <w:rsid w:val="00EF35BF"/>
    <w:rsid w:val="00EF381C"/>
    <w:rsid w:val="00EF5780"/>
    <w:rsid w:val="00EF7C61"/>
    <w:rsid w:val="00F00C37"/>
    <w:rsid w:val="00F034AC"/>
    <w:rsid w:val="00F03879"/>
    <w:rsid w:val="00F06745"/>
    <w:rsid w:val="00F11167"/>
    <w:rsid w:val="00F160D2"/>
    <w:rsid w:val="00F16314"/>
    <w:rsid w:val="00F2068C"/>
    <w:rsid w:val="00F20817"/>
    <w:rsid w:val="00F327C9"/>
    <w:rsid w:val="00F33E3A"/>
    <w:rsid w:val="00F3523C"/>
    <w:rsid w:val="00F4748D"/>
    <w:rsid w:val="00F51143"/>
    <w:rsid w:val="00F53497"/>
    <w:rsid w:val="00F53841"/>
    <w:rsid w:val="00F53B21"/>
    <w:rsid w:val="00F555D1"/>
    <w:rsid w:val="00F612B3"/>
    <w:rsid w:val="00F653FF"/>
    <w:rsid w:val="00F657C0"/>
    <w:rsid w:val="00F676C1"/>
    <w:rsid w:val="00F7064A"/>
    <w:rsid w:val="00F747AD"/>
    <w:rsid w:val="00F84674"/>
    <w:rsid w:val="00F87C1E"/>
    <w:rsid w:val="00F87F11"/>
    <w:rsid w:val="00F91DF5"/>
    <w:rsid w:val="00F942CA"/>
    <w:rsid w:val="00F9452C"/>
    <w:rsid w:val="00FA0964"/>
    <w:rsid w:val="00FA1376"/>
    <w:rsid w:val="00FA53CB"/>
    <w:rsid w:val="00FB46C5"/>
    <w:rsid w:val="00FB7206"/>
    <w:rsid w:val="00FC1D72"/>
    <w:rsid w:val="00FC2827"/>
    <w:rsid w:val="00FC40CE"/>
    <w:rsid w:val="00FE0C92"/>
    <w:rsid w:val="00FE5577"/>
    <w:rsid w:val="00FE5B17"/>
    <w:rsid w:val="00FF34CA"/>
    <w:rsid w:val="00FF741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533EF943"/>
  <w15:docId w15:val="{0FB76CF5-5F43-41F7-A453-70966E6C5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DA4"/>
    <w:rPr>
      <w:sz w:val="22"/>
      <w:lang w:val="en-GB"/>
    </w:rPr>
  </w:style>
  <w:style w:type="paragraph" w:styleId="Heading1">
    <w:name w:val="heading 1"/>
    <w:aliases w:val="Cover title white"/>
    <w:next w:val="Normal"/>
    <w:link w:val="Heading1Char"/>
    <w:semiHidden/>
    <w:qFormat/>
    <w:rsid w:val="00B32510"/>
    <w:pPr>
      <w:keepNext/>
      <w:keepLines/>
      <w:outlineLvl w:val="0"/>
    </w:pPr>
    <w:rPr>
      <w:rFonts w:asciiTheme="majorHAnsi" w:eastAsiaTheme="majorEastAsia" w:hAnsiTheme="majorHAnsi" w:cstheme="majorBidi"/>
      <w:b/>
      <w:bCs/>
      <w:caps/>
      <w:color w:val="FFFFFF" w:themeColor="background1"/>
      <w:sz w:val="40"/>
      <w:szCs w:val="40"/>
    </w:rPr>
  </w:style>
  <w:style w:type="paragraph" w:styleId="Heading2">
    <w:name w:val="heading 2"/>
    <w:basedOn w:val="Numberedtilelevel1"/>
    <w:next w:val="Normal"/>
    <w:link w:val="Heading2Char"/>
    <w:uiPriority w:val="9"/>
    <w:semiHidden/>
    <w:qFormat/>
    <w:rsid w:val="002F2009"/>
    <w:pPr>
      <w:outlineLvl w:val="1"/>
    </w:pPr>
  </w:style>
  <w:style w:type="paragraph" w:styleId="Heading3">
    <w:name w:val="heading 3"/>
    <w:aliases w:val="Title 2"/>
    <w:basedOn w:val="Numberedtitlelevel2"/>
    <w:next w:val="Normal"/>
    <w:link w:val="Heading3Char"/>
    <w:uiPriority w:val="9"/>
    <w:semiHidden/>
    <w:rsid w:val="002F2009"/>
    <w:pPr>
      <w:outlineLvl w:val="2"/>
    </w:pPr>
  </w:style>
  <w:style w:type="paragraph" w:styleId="Heading4">
    <w:name w:val="heading 4"/>
    <w:basedOn w:val="Normal"/>
    <w:next w:val="Normal"/>
    <w:link w:val="Heading4Char"/>
    <w:uiPriority w:val="9"/>
    <w:semiHidden/>
    <w:qFormat/>
    <w:rsid w:val="001C5BC2"/>
    <w:pPr>
      <w:keepNext/>
      <w:keepLines/>
      <w:numPr>
        <w:ilvl w:val="3"/>
        <w:numId w:val="3"/>
      </w:numPr>
      <w:spacing w:before="200"/>
      <w:outlineLvl w:val="3"/>
    </w:pPr>
    <w:rPr>
      <w:rFonts w:asciiTheme="majorHAnsi" w:eastAsiaTheme="majorEastAsia" w:hAnsiTheme="majorHAnsi" w:cstheme="majorBidi"/>
      <w:b/>
      <w:bCs/>
      <w:i/>
      <w:iCs/>
      <w:color w:val="2F5773" w:themeColor="accent1"/>
    </w:rPr>
  </w:style>
  <w:style w:type="paragraph" w:styleId="Heading5">
    <w:name w:val="heading 5"/>
    <w:aliases w:val="Cover subtitle white"/>
    <w:next w:val="Normal"/>
    <w:link w:val="Heading5Char"/>
    <w:semiHidden/>
    <w:qFormat/>
    <w:rsid w:val="00B32510"/>
    <w:pPr>
      <w:keepNext/>
      <w:keepLines/>
      <w:spacing w:before="200"/>
      <w:outlineLvl w:val="4"/>
    </w:pPr>
    <w:rPr>
      <w:rFonts w:asciiTheme="majorHAnsi" w:eastAsiaTheme="majorEastAsia" w:hAnsiTheme="majorHAnsi" w:cstheme="majorBidi"/>
      <w:caps/>
      <w:color w:val="FFFFFF" w:themeColor="background1"/>
      <w:sz w:val="28"/>
      <w:szCs w:val="28"/>
    </w:rPr>
  </w:style>
  <w:style w:type="paragraph" w:styleId="Heading6">
    <w:name w:val="heading 6"/>
    <w:basedOn w:val="Normal"/>
    <w:next w:val="Normal"/>
    <w:link w:val="Heading6Char"/>
    <w:uiPriority w:val="9"/>
    <w:semiHidden/>
    <w:qFormat/>
    <w:rsid w:val="001C5BC2"/>
    <w:pPr>
      <w:keepNext/>
      <w:keepLines/>
      <w:numPr>
        <w:ilvl w:val="5"/>
        <w:numId w:val="3"/>
      </w:numPr>
      <w:spacing w:before="200"/>
      <w:outlineLvl w:val="5"/>
    </w:pPr>
    <w:rPr>
      <w:rFonts w:asciiTheme="majorHAnsi" w:eastAsiaTheme="majorEastAsia" w:hAnsiTheme="majorHAnsi" w:cstheme="majorBidi"/>
      <w:i/>
      <w:iCs/>
      <w:color w:val="172B39" w:themeColor="accent1" w:themeShade="7F"/>
    </w:rPr>
  </w:style>
  <w:style w:type="paragraph" w:styleId="Heading7">
    <w:name w:val="heading 7"/>
    <w:basedOn w:val="Normal"/>
    <w:next w:val="Normal"/>
    <w:link w:val="Heading7Char"/>
    <w:uiPriority w:val="9"/>
    <w:semiHidden/>
    <w:qFormat/>
    <w:rsid w:val="001C5BC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C5BC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1C5BC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semiHidden/>
    <w:rsid w:val="00290DA3"/>
    <w:rPr>
      <w:rFonts w:asciiTheme="majorHAnsi" w:eastAsiaTheme="majorEastAsia" w:hAnsiTheme="majorHAnsi" w:cstheme="majorBidi"/>
      <w:b/>
      <w:bCs/>
      <w:caps/>
      <w:color w:val="FFFFFF" w:themeColor="background1"/>
      <w:sz w:val="40"/>
      <w:szCs w:val="40"/>
    </w:rPr>
  </w:style>
  <w:style w:type="paragraph" w:customStyle="1" w:styleId="Numberedtilelevel1">
    <w:name w:val="Numbered tile level 1"/>
    <w:basedOn w:val="Titlelevel1"/>
    <w:qFormat/>
    <w:rsid w:val="00482FB6"/>
    <w:pPr>
      <w:numPr>
        <w:numId w:val="7"/>
      </w:numPr>
    </w:pPr>
  </w:style>
  <w:style w:type="character" w:customStyle="1" w:styleId="Heading2Char">
    <w:name w:val="Heading 2 Char"/>
    <w:basedOn w:val="DefaultParagraphFont"/>
    <w:link w:val="Heading2"/>
    <w:uiPriority w:val="9"/>
    <w:semiHidden/>
    <w:rsid w:val="00582AA7"/>
    <w:rPr>
      <w:rFonts w:asciiTheme="majorHAnsi" w:eastAsiaTheme="majorEastAsia" w:hAnsiTheme="majorHAnsi" w:cstheme="majorBidi"/>
      <w:color w:val="2F5773" w:themeColor="text2"/>
      <w:spacing w:val="5"/>
      <w:kern w:val="28"/>
      <w:sz w:val="52"/>
      <w:szCs w:val="52"/>
    </w:rPr>
  </w:style>
  <w:style w:type="paragraph" w:customStyle="1" w:styleId="Numberedtitlelevel2">
    <w:name w:val="Numbered title level 2"/>
    <w:basedOn w:val="Titlelevel2"/>
    <w:next w:val="body"/>
    <w:qFormat/>
    <w:rsid w:val="00482FB6"/>
    <w:pPr>
      <w:numPr>
        <w:ilvl w:val="1"/>
        <w:numId w:val="7"/>
      </w:numPr>
    </w:pPr>
  </w:style>
  <w:style w:type="paragraph" w:customStyle="1" w:styleId="Titlelevel2">
    <w:name w:val="Title level 2"/>
    <w:qFormat/>
    <w:rsid w:val="005D4005"/>
    <w:pPr>
      <w:spacing w:before="240" w:after="240"/>
    </w:pPr>
    <w:rPr>
      <w:rFonts w:asciiTheme="majorHAnsi" w:eastAsiaTheme="majorEastAsia" w:hAnsiTheme="majorHAnsi" w:cstheme="majorBidi"/>
      <w:bCs/>
      <w:color w:val="2F5773" w:themeColor="text2"/>
      <w:sz w:val="32"/>
    </w:rPr>
  </w:style>
  <w:style w:type="paragraph" w:customStyle="1" w:styleId="body">
    <w:name w:val="body"/>
    <w:qFormat/>
    <w:rsid w:val="00CD4AF7"/>
    <w:pPr>
      <w:spacing w:before="240" w:after="120" w:line="276" w:lineRule="auto"/>
      <w:jc w:val="both"/>
    </w:pPr>
    <w:rPr>
      <w:sz w:val="22"/>
    </w:rPr>
  </w:style>
  <w:style w:type="character" w:customStyle="1" w:styleId="Heading3Char">
    <w:name w:val="Heading 3 Char"/>
    <w:aliases w:val="Title 2 Char"/>
    <w:basedOn w:val="DefaultParagraphFont"/>
    <w:link w:val="Heading3"/>
    <w:uiPriority w:val="9"/>
    <w:semiHidden/>
    <w:rsid w:val="00582AA7"/>
    <w:rPr>
      <w:rFonts w:asciiTheme="majorHAnsi" w:eastAsiaTheme="majorEastAsia" w:hAnsiTheme="majorHAnsi" w:cstheme="majorBidi"/>
      <w:bCs/>
      <w:color w:val="2F5773" w:themeColor="text2"/>
      <w:sz w:val="32"/>
    </w:rPr>
  </w:style>
  <w:style w:type="character" w:customStyle="1" w:styleId="Heading4Char">
    <w:name w:val="Heading 4 Char"/>
    <w:basedOn w:val="DefaultParagraphFont"/>
    <w:link w:val="Heading4"/>
    <w:uiPriority w:val="9"/>
    <w:semiHidden/>
    <w:rsid w:val="00582AA7"/>
    <w:rPr>
      <w:rFonts w:asciiTheme="majorHAnsi" w:eastAsiaTheme="majorEastAsia" w:hAnsiTheme="majorHAnsi" w:cstheme="majorBidi"/>
      <w:b/>
      <w:bCs/>
      <w:i/>
      <w:iCs/>
      <w:color w:val="2F5773" w:themeColor="accent1"/>
      <w:sz w:val="22"/>
    </w:rPr>
  </w:style>
  <w:style w:type="character" w:customStyle="1" w:styleId="Heading5Char">
    <w:name w:val="Heading 5 Char"/>
    <w:aliases w:val="Cover subtitle white Char"/>
    <w:basedOn w:val="DefaultParagraphFont"/>
    <w:link w:val="Heading5"/>
    <w:semiHidden/>
    <w:rsid w:val="00290DA3"/>
    <w:rPr>
      <w:rFonts w:asciiTheme="majorHAnsi" w:eastAsiaTheme="majorEastAsia" w:hAnsiTheme="majorHAnsi" w:cstheme="majorBidi"/>
      <w:caps/>
      <w:color w:val="FFFFFF" w:themeColor="background1"/>
      <w:sz w:val="28"/>
      <w:szCs w:val="28"/>
    </w:rPr>
  </w:style>
  <w:style w:type="character" w:customStyle="1" w:styleId="Heading6Char">
    <w:name w:val="Heading 6 Char"/>
    <w:basedOn w:val="DefaultParagraphFont"/>
    <w:link w:val="Heading6"/>
    <w:uiPriority w:val="9"/>
    <w:semiHidden/>
    <w:rsid w:val="00582AA7"/>
    <w:rPr>
      <w:rFonts w:asciiTheme="majorHAnsi" w:eastAsiaTheme="majorEastAsia" w:hAnsiTheme="majorHAnsi" w:cstheme="majorBidi"/>
      <w:i/>
      <w:iCs/>
      <w:color w:val="172B39" w:themeColor="accent1" w:themeShade="7F"/>
      <w:sz w:val="22"/>
    </w:rPr>
  </w:style>
  <w:style w:type="character" w:customStyle="1" w:styleId="Heading7Char">
    <w:name w:val="Heading 7 Char"/>
    <w:basedOn w:val="DefaultParagraphFont"/>
    <w:link w:val="Heading7"/>
    <w:uiPriority w:val="9"/>
    <w:semiHidden/>
    <w:rsid w:val="00582AA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2A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2AA7"/>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372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ascii="Calibri" w:eastAsia="Times New Roman" w:hAnsi="Calibri" w:cs="Times New Roman"/>
      <w:b/>
      <w:color w:val="000000"/>
      <w:sz w:val="22"/>
      <w:szCs w:val="22"/>
    </w:rPr>
  </w:style>
  <w:style w:type="paragraph" w:customStyle="1" w:styleId="Tabledata">
    <w:name w:val="Table data"/>
    <w:basedOn w:val="body"/>
    <w:qFormat/>
    <w:rsid w:val="00455E0E"/>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qFormat/>
    <w:rsid w:val="008F3908"/>
    <w:pPr>
      <w:numPr>
        <w:numId w:val="5"/>
      </w:numPr>
    </w:pPr>
    <w:rPr>
      <w:sz w:val="22"/>
      <w:szCs w:val="22"/>
    </w:rPr>
  </w:style>
  <w:style w:type="paragraph" w:styleId="Footer">
    <w:name w:val="footer"/>
    <w:basedOn w:val="Normal"/>
    <w:link w:val="FooterChar"/>
    <w:rsid w:val="00A00E34"/>
    <w:pPr>
      <w:tabs>
        <w:tab w:val="center" w:pos="4320"/>
        <w:tab w:val="right" w:pos="8640"/>
      </w:tabs>
    </w:pPr>
  </w:style>
  <w:style w:type="character" w:customStyle="1" w:styleId="FooterChar">
    <w:name w:val="Footer Char"/>
    <w:basedOn w:val="DefaultParagraphFont"/>
    <w:link w:val="Footer"/>
    <w:uiPriority w:val="99"/>
    <w:rsid w:val="00582AA7"/>
    <w:rPr>
      <w:sz w:val="22"/>
    </w:rPr>
  </w:style>
  <w:style w:type="table" w:styleId="TableGrid">
    <w:name w:val="Table Grid"/>
    <w:basedOn w:val="TableProfessional"/>
    <w:uiPriority w:val="59"/>
    <w:rsid w:val="00A14332"/>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7A0054"/>
    <w:pPr>
      <w:numPr>
        <w:numId w:val="6"/>
      </w:numPr>
      <w:spacing w:before="240" w:after="120"/>
      <w:contextualSpacing/>
    </w:pPr>
    <w:rPr>
      <w:sz w:val="22"/>
    </w:rPr>
  </w:style>
  <w:style w:type="paragraph" w:customStyle="1" w:styleId="Titlelevel1">
    <w:name w:val="Title level 1"/>
    <w:autoRedefine/>
    <w:qFormat/>
    <w:rsid w:val="00471CA1"/>
    <w:pPr>
      <w:pBdr>
        <w:bottom w:val="single" w:sz="8" w:space="1" w:color="2F5773" w:themeColor="text2"/>
      </w:pBdr>
      <w:spacing w:before="360" w:after="600" w:line="560" w:lineRule="exact"/>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qFormat/>
    <w:rsid w:val="005D4005"/>
    <w:pPr>
      <w:spacing w:before="240" w:after="240"/>
    </w:pPr>
    <w:rPr>
      <w:b/>
      <w:color w:val="2F5773" w:themeColor="text2"/>
    </w:rPr>
  </w:style>
  <w:style w:type="paragraph" w:customStyle="1" w:styleId="Titlelevel4">
    <w:name w:val="Title level 4"/>
    <w:next w:val="body"/>
    <w:qFormat/>
    <w:rsid w:val="00AE55F6"/>
    <w:pPr>
      <w:spacing w:before="240" w:after="240"/>
    </w:pPr>
    <w:rPr>
      <w:color w:val="E98E31" w:themeColor="background2"/>
    </w:rPr>
  </w:style>
  <w:style w:type="paragraph" w:customStyle="1" w:styleId="Figuretitle">
    <w:name w:val="Figure title"/>
    <w:basedOn w:val="body"/>
    <w:next w:val="Normal"/>
    <w:autoRedefine/>
    <w:qFormat/>
    <w:rsid w:val="003221EF"/>
    <w:pPr>
      <w:keepNext/>
      <w:spacing w:before="360" w:after="360"/>
    </w:pPr>
    <w:rPr>
      <w:rFonts w:eastAsia="Times New Roman" w:cs="Times New Roman"/>
      <w:bCs/>
      <w:noProof/>
      <w:color w:val="2F5773" w:themeColor="text2"/>
      <w:szCs w:val="20"/>
      <w:lang w:val="en-GB" w:eastAsia="en-GB"/>
    </w:rPr>
  </w:style>
  <w:style w:type="table" w:customStyle="1" w:styleId="EBAtable">
    <w:name w:val="EBA table"/>
    <w:basedOn w:val="TableNormal"/>
    <w:uiPriority w:val="99"/>
    <w:rsid w:val="002434B0"/>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uiPriority w:val="99"/>
    <w:semiHidden/>
    <w:rsid w:val="00610305"/>
    <w:rPr>
      <w:rFonts w:asciiTheme="minorHAnsi" w:hAnsiTheme="minorHAnsi"/>
      <w:color w:val="auto"/>
      <w:sz w:val="22"/>
    </w:rPr>
  </w:style>
  <w:style w:type="paragraph" w:customStyle="1" w:styleId="Runningtitle">
    <w:name w:val="Running title"/>
    <w:qFormat/>
    <w:rsid w:val="009F53AF"/>
    <w:rPr>
      <w:caps/>
      <w:sz w:val="16"/>
      <w:szCs w:val="18"/>
    </w:rPr>
  </w:style>
  <w:style w:type="paragraph" w:styleId="FootnoteText">
    <w:name w:val="footnote text"/>
    <w:basedOn w:val="body"/>
    <w:link w:val="FootnoteTextChar"/>
    <w:autoRedefine/>
    <w:qFormat/>
    <w:rsid w:val="00DB5E8F"/>
    <w:pPr>
      <w:spacing w:before="80" w:after="0" w:line="200" w:lineRule="exact"/>
    </w:pPr>
    <w:rPr>
      <w:sz w:val="18"/>
      <w:szCs w:val="18"/>
    </w:rPr>
  </w:style>
  <w:style w:type="character" w:customStyle="1" w:styleId="FootnoteTextChar">
    <w:name w:val="Footnote Text Char"/>
    <w:basedOn w:val="DefaultParagraphFont"/>
    <w:link w:val="FootnoteText"/>
    <w:rsid w:val="00582AA7"/>
    <w:rPr>
      <w:sz w:val="18"/>
      <w:szCs w:val="18"/>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
    <w:basedOn w:val="DefaultParagraphFont"/>
    <w:qFormat/>
    <w:rsid w:val="00B13C87"/>
    <w:rPr>
      <w:rFonts w:asciiTheme="minorHAnsi" w:hAnsiTheme="minorHAnsi"/>
      <w:sz w:val="22"/>
      <w:szCs w:val="18"/>
      <w:vertAlign w:val="superscript"/>
    </w:rPr>
  </w:style>
  <w:style w:type="paragraph" w:customStyle="1" w:styleId="bullet1">
    <w:name w:val="bullet 1"/>
    <w:basedOn w:val="body"/>
    <w:next w:val="body"/>
    <w:qFormat/>
    <w:rsid w:val="001C5BC2"/>
    <w:pPr>
      <w:numPr>
        <w:numId w:val="2"/>
      </w:numPr>
    </w:pPr>
    <w:rPr>
      <w:szCs w:val="22"/>
    </w:rPr>
  </w:style>
  <w:style w:type="paragraph" w:styleId="TOC1">
    <w:name w:val="toc 1"/>
    <w:autoRedefine/>
    <w:uiPriority w:val="39"/>
    <w:qFormat/>
    <w:rsid w:val="00C47E8F"/>
    <w:pPr>
      <w:tabs>
        <w:tab w:val="left" w:pos="312"/>
        <w:tab w:val="left" w:pos="421"/>
        <w:tab w:val="right" w:pos="8771"/>
      </w:tabs>
      <w:spacing w:before="120" w:after="120"/>
      <w:outlineLvl w:val="0"/>
    </w:pPr>
    <w:rPr>
      <w:b/>
      <w:bCs/>
      <w:noProof/>
      <w:color w:val="2F5773" w:themeColor="text2"/>
      <w:sz w:val="22"/>
      <w:szCs w:val="22"/>
    </w:rPr>
  </w:style>
  <w:style w:type="paragraph" w:styleId="TOC2">
    <w:name w:val="toc 2"/>
    <w:next w:val="Normal"/>
    <w:autoRedefine/>
    <w:uiPriority w:val="39"/>
    <w:qFormat/>
    <w:rsid w:val="00C41927"/>
    <w:pPr>
      <w:tabs>
        <w:tab w:val="left" w:pos="529"/>
        <w:tab w:val="right" w:pos="8771"/>
      </w:tabs>
      <w:spacing w:before="80" w:after="80"/>
    </w:pPr>
    <w:rPr>
      <w:noProof/>
      <w:sz w:val="22"/>
      <w:szCs w:val="22"/>
    </w:rPr>
  </w:style>
  <w:style w:type="paragraph" w:styleId="TOC3">
    <w:name w:val="toc 3"/>
    <w:basedOn w:val="Normal"/>
    <w:next w:val="Normal"/>
    <w:autoRedefine/>
    <w:uiPriority w:val="39"/>
    <w:qFormat/>
    <w:rsid w:val="00663B0A"/>
    <w:pPr>
      <w:tabs>
        <w:tab w:val="right" w:pos="8771"/>
      </w:tabs>
      <w:ind w:left="567"/>
    </w:pPr>
    <w:rPr>
      <w:szCs w:val="22"/>
    </w:rPr>
  </w:style>
  <w:style w:type="paragraph" w:styleId="TOC4">
    <w:name w:val="toc 4"/>
    <w:basedOn w:val="Normal"/>
    <w:next w:val="Normal"/>
    <w:autoRedefine/>
    <w:uiPriority w:val="39"/>
    <w:rsid w:val="00EE456B"/>
    <w:pPr>
      <w:tabs>
        <w:tab w:val="right" w:pos="8771"/>
      </w:tabs>
      <w:ind w:left="1134"/>
    </w:pPr>
    <w:rPr>
      <w:szCs w:val="22"/>
    </w:rPr>
  </w:style>
  <w:style w:type="paragraph" w:customStyle="1" w:styleId="bullet2">
    <w:name w:val="bullet 2"/>
    <w:basedOn w:val="body"/>
    <w:qFormat/>
    <w:rsid w:val="001C5BC2"/>
    <w:pPr>
      <w:numPr>
        <w:numId w:val="1"/>
      </w:numPr>
    </w:pPr>
    <w:rPr>
      <w:szCs w:val="22"/>
    </w:rPr>
  </w:style>
  <w:style w:type="paragraph" w:customStyle="1" w:styleId="Numberedtitlelevel3">
    <w:name w:val="Numbered title level 3"/>
    <w:basedOn w:val="Titlelevel3"/>
    <w:next w:val="body"/>
    <w:qFormat/>
    <w:rsid w:val="008F3908"/>
    <w:pPr>
      <w:numPr>
        <w:ilvl w:val="2"/>
        <w:numId w:val="7"/>
      </w:numPr>
    </w:pPr>
  </w:style>
  <w:style w:type="table" w:styleId="LightShading">
    <w:name w:val="Light Shading"/>
    <w:basedOn w:val="TableNormal"/>
    <w:uiPriority w:val="60"/>
    <w:rsid w:val="00F942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301B"/>
    <w:rPr>
      <w:color w:val="234156" w:themeColor="accent1" w:themeShade="BF"/>
    </w:rPr>
    <w:tblPr>
      <w:tblStyleRowBandSize w:val="1"/>
      <w:tblStyleColBandSize w:val="1"/>
      <w:tblBorders>
        <w:top w:val="single" w:sz="8" w:space="0" w:color="2F5773" w:themeColor="accent1"/>
        <w:bottom w:val="single" w:sz="8" w:space="0" w:color="2F5773" w:themeColor="accent1"/>
      </w:tblBorders>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5D4005"/>
    <w:pPr>
      <w:numPr>
        <w:numId w:val="4"/>
      </w:numPr>
    </w:pPr>
  </w:style>
  <w:style w:type="paragraph" w:styleId="Header">
    <w:name w:val="header"/>
    <w:basedOn w:val="Normal"/>
    <w:link w:val="HeaderChar"/>
    <w:uiPriority w:val="99"/>
    <w:semiHidden/>
    <w:rsid w:val="00A92440"/>
    <w:pPr>
      <w:tabs>
        <w:tab w:val="center" w:pos="4320"/>
        <w:tab w:val="right" w:pos="8640"/>
      </w:tabs>
    </w:pPr>
  </w:style>
  <w:style w:type="character" w:customStyle="1" w:styleId="HeaderChar">
    <w:name w:val="Header Char"/>
    <w:basedOn w:val="DefaultParagraphFont"/>
    <w:link w:val="Header"/>
    <w:uiPriority w:val="99"/>
    <w:semiHidden/>
    <w:rsid w:val="00582AA7"/>
    <w:rPr>
      <w:sz w:val="22"/>
    </w:rPr>
  </w:style>
  <w:style w:type="paragraph" w:styleId="Title">
    <w:name w:val="Title"/>
    <w:basedOn w:val="Normal"/>
    <w:next w:val="Normal"/>
    <w:link w:val="TitleChar"/>
    <w:qFormat/>
    <w:rsid w:val="004719B4"/>
    <w:pPr>
      <w:pBdr>
        <w:bottom w:val="single" w:sz="8" w:space="4" w:color="2F5773" w:themeColor="accent1"/>
      </w:pBdr>
      <w:spacing w:after="300"/>
      <w:contextualSpacing/>
    </w:pPr>
    <w:rPr>
      <w:rFonts w:asciiTheme="majorHAnsi" w:eastAsiaTheme="majorEastAsia" w:hAnsiTheme="majorHAnsi" w:cstheme="majorBidi"/>
      <w:color w:val="2F5773" w:themeColor="text2"/>
      <w:spacing w:val="5"/>
      <w:kern w:val="28"/>
      <w:sz w:val="52"/>
      <w:szCs w:val="52"/>
    </w:rPr>
  </w:style>
  <w:style w:type="character" w:customStyle="1" w:styleId="TitleChar">
    <w:name w:val="Title Char"/>
    <w:basedOn w:val="DefaultParagraphFont"/>
    <w:link w:val="Title"/>
    <w:rsid w:val="00582AA7"/>
    <w:rPr>
      <w:rFonts w:asciiTheme="majorHAnsi" w:eastAsiaTheme="majorEastAsia" w:hAnsiTheme="majorHAnsi" w:cstheme="majorBidi"/>
      <w:color w:val="2F5773" w:themeColor="text2"/>
      <w:spacing w:val="5"/>
      <w:kern w:val="28"/>
      <w:sz w:val="52"/>
      <w:szCs w:val="52"/>
    </w:rPr>
  </w:style>
  <w:style w:type="paragraph" w:styleId="TableofFigures">
    <w:name w:val="table of figures"/>
    <w:basedOn w:val="Normal"/>
    <w:next w:val="Normal"/>
    <w:autoRedefine/>
    <w:uiPriority w:val="99"/>
    <w:qFormat/>
    <w:rsid w:val="00172007"/>
    <w:pPr>
      <w:spacing w:before="160"/>
    </w:pPr>
  </w:style>
  <w:style w:type="paragraph" w:styleId="Subtitle">
    <w:name w:val="Subtitle"/>
    <w:next w:val="Normal"/>
    <w:link w:val="SubtitleChar"/>
    <w:autoRedefine/>
    <w:uiPriority w:val="11"/>
    <w:qFormat/>
    <w:rsid w:val="004719B4"/>
    <w:pPr>
      <w:numPr>
        <w:ilvl w:val="1"/>
      </w:numPr>
      <w:spacing w:before="240" w:after="120"/>
    </w:pPr>
    <w:rPr>
      <w:rFonts w:asciiTheme="majorHAnsi" w:eastAsiaTheme="majorEastAsia" w:hAnsiTheme="majorHAnsi" w:cstheme="majorBidi"/>
      <w:color w:val="2F5773" w:themeColor="accent1"/>
      <w:sz w:val="32"/>
      <w:szCs w:val="32"/>
      <w:lang w:val="en-GB"/>
    </w:rPr>
  </w:style>
  <w:style w:type="character" w:customStyle="1" w:styleId="SubtitleChar">
    <w:name w:val="Subtitle Char"/>
    <w:basedOn w:val="DefaultParagraphFont"/>
    <w:link w:val="Subtitle"/>
    <w:uiPriority w:val="11"/>
    <w:rsid w:val="00290DA3"/>
    <w:rPr>
      <w:rFonts w:asciiTheme="majorHAnsi" w:eastAsiaTheme="majorEastAsia" w:hAnsiTheme="majorHAnsi" w:cstheme="majorBidi"/>
      <w:color w:val="2F5773" w:themeColor="accent1"/>
      <w:sz w:val="32"/>
      <w:szCs w:val="32"/>
      <w:lang w:val="en-GB"/>
    </w:rPr>
  </w:style>
  <w:style w:type="character" w:styleId="BookTitle">
    <w:name w:val="Book Title"/>
    <w:basedOn w:val="DefaultParagraphFont"/>
    <w:uiPriority w:val="33"/>
    <w:semiHidden/>
    <w:qFormat/>
    <w:rsid w:val="000D7A44"/>
    <w:rPr>
      <w:b/>
      <w:bCs/>
      <w:smallCaps/>
      <w:spacing w:val="5"/>
    </w:rPr>
  </w:style>
  <w:style w:type="character" w:customStyle="1" w:styleId="Highlighttext">
    <w:name w:val="Highlight text"/>
    <w:basedOn w:val="DefaultParagraphFont"/>
    <w:uiPriority w:val="1"/>
    <w:semiHidden/>
    <w:qFormat/>
    <w:rsid w:val="00AE55F6"/>
    <w:rPr>
      <w:rFonts w:asciiTheme="minorHAnsi" w:hAnsiTheme="minorHAnsi"/>
      <w:b/>
      <w:bCs/>
      <w:caps w:val="0"/>
      <w:smallCaps w:val="0"/>
      <w:color w:val="E98E31" w:themeColor="background2"/>
      <w:sz w:val="22"/>
      <w:szCs w:val="22"/>
    </w:rPr>
  </w:style>
  <w:style w:type="paragraph" w:customStyle="1" w:styleId="abbreviation">
    <w:name w:val="abbreviation"/>
    <w:basedOn w:val="Tableheader"/>
    <w:qFormat/>
    <w:rsid w:val="00455E0E"/>
    <w:rPr>
      <w:bCs/>
      <w:lang w:val="en-GB" w:eastAsia="en-GB"/>
    </w:rPr>
  </w:style>
  <w:style w:type="paragraph" w:styleId="ListBullet">
    <w:name w:val="List Bullet"/>
    <w:basedOn w:val="Normal"/>
    <w:semiHidden/>
    <w:qFormat/>
    <w:rsid w:val="00A304D0"/>
    <w:pPr>
      <w:numPr>
        <w:numId w:val="9"/>
      </w:numPr>
      <w:contextualSpacing/>
    </w:pPr>
  </w:style>
  <w:style w:type="character" w:styleId="Hyperlink">
    <w:name w:val="Hyperlink"/>
    <w:basedOn w:val="DefaultParagraphFont"/>
    <w:uiPriority w:val="99"/>
    <w:rsid w:val="00392385"/>
    <w:rPr>
      <w:color w:val="2F5773" w:themeColor="hyperlink"/>
      <w:u w:val="single"/>
    </w:rPr>
  </w:style>
  <w:style w:type="paragraph" w:customStyle="1" w:styleId="numberedparagraph">
    <w:name w:val="numbered paragraph"/>
    <w:basedOn w:val="body"/>
    <w:qFormat/>
    <w:rsid w:val="00E22BCE"/>
    <w:pPr>
      <w:numPr>
        <w:numId w:val="8"/>
      </w:numPr>
    </w:pPr>
  </w:style>
  <w:style w:type="paragraph" w:styleId="TOC5">
    <w:name w:val="toc 5"/>
    <w:basedOn w:val="Normal"/>
    <w:next w:val="Normal"/>
    <w:autoRedefine/>
    <w:uiPriority w:val="39"/>
    <w:semiHidden/>
    <w:rsid w:val="00B526A8"/>
    <w:pPr>
      <w:ind w:left="880"/>
    </w:pPr>
  </w:style>
  <w:style w:type="paragraph" w:styleId="TOC6">
    <w:name w:val="toc 6"/>
    <w:basedOn w:val="Normal"/>
    <w:next w:val="Normal"/>
    <w:autoRedefine/>
    <w:uiPriority w:val="39"/>
    <w:semiHidden/>
    <w:rsid w:val="00B526A8"/>
    <w:pPr>
      <w:ind w:left="1100"/>
    </w:pPr>
  </w:style>
  <w:style w:type="paragraph" w:styleId="TOC7">
    <w:name w:val="toc 7"/>
    <w:basedOn w:val="Normal"/>
    <w:next w:val="Normal"/>
    <w:autoRedefine/>
    <w:uiPriority w:val="39"/>
    <w:semiHidden/>
    <w:rsid w:val="00B526A8"/>
    <w:pPr>
      <w:ind w:left="1320"/>
    </w:pPr>
  </w:style>
  <w:style w:type="paragraph" w:styleId="TOC8">
    <w:name w:val="toc 8"/>
    <w:basedOn w:val="Normal"/>
    <w:next w:val="Normal"/>
    <w:autoRedefine/>
    <w:uiPriority w:val="39"/>
    <w:semiHidden/>
    <w:rsid w:val="00B526A8"/>
    <w:pPr>
      <w:ind w:left="1540"/>
    </w:pPr>
  </w:style>
  <w:style w:type="paragraph" w:styleId="TOC9">
    <w:name w:val="toc 9"/>
    <w:basedOn w:val="Normal"/>
    <w:next w:val="Normal"/>
    <w:autoRedefine/>
    <w:uiPriority w:val="39"/>
    <w:semiHidden/>
    <w:rsid w:val="00B526A8"/>
    <w:pPr>
      <w:ind w:left="1760"/>
    </w:pPr>
  </w:style>
  <w:style w:type="paragraph" w:customStyle="1" w:styleId="Default">
    <w:name w:val="Default"/>
    <w:rsid w:val="000C7FD8"/>
    <w:pPr>
      <w:autoSpaceDE w:val="0"/>
      <w:autoSpaceDN w:val="0"/>
      <w:adjustRightInd w:val="0"/>
    </w:pPr>
    <w:rPr>
      <w:rFonts w:ascii="Calibri" w:eastAsiaTheme="minorHAnsi" w:hAnsi="Calibri" w:cs="Calibri"/>
      <w:color w:val="000000"/>
      <w:lang w:val="en-GB"/>
    </w:rPr>
  </w:style>
  <w:style w:type="paragraph" w:styleId="TOCHeading">
    <w:name w:val="TOC Heading"/>
    <w:basedOn w:val="Heading1"/>
    <w:next w:val="Normal"/>
    <w:uiPriority w:val="39"/>
    <w:semiHidden/>
    <w:qFormat/>
    <w:rsid w:val="00B43E07"/>
    <w:pPr>
      <w:spacing w:before="480"/>
      <w:outlineLvl w:val="9"/>
    </w:pPr>
    <w:rPr>
      <w:caps w:val="0"/>
      <w:color w:val="234156" w:themeColor="accent1" w:themeShade="BF"/>
      <w:sz w:val="28"/>
      <w:szCs w:val="28"/>
    </w:rPr>
  </w:style>
  <w:style w:type="character" w:customStyle="1" w:styleId="Marker">
    <w:name w:val="Marker"/>
    <w:rsid w:val="00B43E07"/>
    <w:rPr>
      <w:color w:val="0000FF"/>
      <w:shd w:val="clear" w:color="auto" w:fill="auto"/>
    </w:rPr>
  </w:style>
  <w:style w:type="character" w:customStyle="1" w:styleId="Marker2">
    <w:name w:val="Marker2"/>
    <w:rsid w:val="00B43E07"/>
    <w:rPr>
      <w:color w:val="FF0000"/>
      <w:shd w:val="clear" w:color="auto" w:fill="auto"/>
    </w:rPr>
  </w:style>
  <w:style w:type="paragraph" w:customStyle="1" w:styleId="Annexetitre">
    <w:name w:val="Annexe titre"/>
    <w:basedOn w:val="Normal"/>
    <w:next w:val="Normal"/>
    <w:rsid w:val="00B43E07"/>
    <w:pPr>
      <w:spacing w:before="120" w:after="120"/>
      <w:jc w:val="center"/>
    </w:pPr>
    <w:rPr>
      <w:rFonts w:ascii="Times New Roman" w:eastAsia="Times New Roman" w:hAnsi="Times New Roman" w:cs="Times New Roman"/>
      <w:b/>
      <w:sz w:val="24"/>
      <w:u w:val="single"/>
    </w:rPr>
  </w:style>
  <w:style w:type="paragraph" w:customStyle="1" w:styleId="Applicationdirecte">
    <w:name w:val="Application directe"/>
    <w:basedOn w:val="Normal"/>
    <w:next w:val="Fait"/>
    <w:rsid w:val="00B43E07"/>
    <w:pPr>
      <w:spacing w:before="480" w:after="120"/>
      <w:jc w:val="both"/>
    </w:pPr>
    <w:rPr>
      <w:rFonts w:ascii="Times New Roman" w:eastAsia="Times New Roman" w:hAnsi="Times New Roman" w:cs="Times New Roman"/>
      <w:sz w:val="24"/>
    </w:rPr>
  </w:style>
  <w:style w:type="paragraph" w:customStyle="1" w:styleId="Considrant">
    <w:name w:val="Considérant"/>
    <w:basedOn w:val="Normal"/>
    <w:rsid w:val="00B43E07"/>
    <w:pPr>
      <w:numPr>
        <w:numId w:val="10"/>
      </w:numPr>
      <w:spacing w:before="120" w:after="120"/>
      <w:jc w:val="both"/>
    </w:pPr>
    <w:rPr>
      <w:rFonts w:ascii="Times New Roman" w:eastAsia="Times New Roman" w:hAnsi="Times New Roman" w:cs="Times New Roman"/>
      <w:sz w:val="24"/>
    </w:rPr>
  </w:style>
  <w:style w:type="paragraph" w:customStyle="1" w:styleId="Datedadoption">
    <w:name w:val="Date d'adoption"/>
    <w:basedOn w:val="Normal"/>
    <w:next w:val="Titreobjet"/>
    <w:rsid w:val="00B43E07"/>
    <w:pPr>
      <w:spacing w:before="360"/>
      <w:jc w:val="center"/>
    </w:pPr>
    <w:rPr>
      <w:rFonts w:ascii="Times New Roman" w:eastAsia="Times New Roman" w:hAnsi="Times New Roman" w:cs="Times New Roman"/>
      <w:b/>
      <w:sz w:val="24"/>
    </w:rPr>
  </w:style>
  <w:style w:type="paragraph" w:customStyle="1" w:styleId="Fait">
    <w:name w:val="Fait à"/>
    <w:basedOn w:val="Normal"/>
    <w:next w:val="Institutionquisigne"/>
    <w:rsid w:val="00B43E07"/>
    <w:pPr>
      <w:keepNext/>
      <w:spacing w:before="120"/>
      <w:jc w:val="both"/>
    </w:pPr>
    <w:rPr>
      <w:rFonts w:ascii="Times New Roman" w:eastAsia="Times New Roman" w:hAnsi="Times New Roman" w:cs="Times New Roman"/>
      <w:sz w:val="24"/>
    </w:rPr>
  </w:style>
  <w:style w:type="paragraph" w:customStyle="1" w:styleId="Formuledadoption">
    <w:name w:val="Formule d'adoption"/>
    <w:basedOn w:val="Normal"/>
    <w:next w:val="Titrearticle"/>
    <w:rsid w:val="00B43E07"/>
    <w:pPr>
      <w:keepNext/>
      <w:spacing w:before="120" w:after="120"/>
      <w:jc w:val="both"/>
    </w:pPr>
    <w:rPr>
      <w:rFonts w:ascii="Times New Roman" w:eastAsia="Times New Roman" w:hAnsi="Times New Roman" w:cs="Times New Roman"/>
      <w:sz w:val="24"/>
    </w:rPr>
  </w:style>
  <w:style w:type="paragraph" w:customStyle="1" w:styleId="Institutionquisigne">
    <w:name w:val="Institution qui signe"/>
    <w:basedOn w:val="Normal"/>
    <w:next w:val="Personnequisigne"/>
    <w:rsid w:val="00B43E07"/>
    <w:pPr>
      <w:keepNext/>
      <w:tabs>
        <w:tab w:val="left" w:pos="4252"/>
      </w:tabs>
      <w:spacing w:before="720"/>
      <w:jc w:val="both"/>
    </w:pPr>
    <w:rPr>
      <w:rFonts w:ascii="Times New Roman" w:eastAsia="Times New Roman" w:hAnsi="Times New Roman" w:cs="Times New Roman"/>
      <w:i/>
      <w:sz w:val="24"/>
    </w:rPr>
  </w:style>
  <w:style w:type="paragraph" w:customStyle="1" w:styleId="Personnequisigne">
    <w:name w:val="Personne qui signe"/>
    <w:basedOn w:val="Normal"/>
    <w:next w:val="Institutionquisigne"/>
    <w:rsid w:val="00B43E07"/>
    <w:pPr>
      <w:tabs>
        <w:tab w:val="left" w:pos="4252"/>
      </w:tabs>
    </w:pPr>
    <w:rPr>
      <w:rFonts w:ascii="Times New Roman" w:eastAsia="Times New Roman" w:hAnsi="Times New Roman" w:cs="Times New Roman"/>
      <w:i/>
      <w:sz w:val="24"/>
    </w:rPr>
  </w:style>
  <w:style w:type="paragraph" w:customStyle="1" w:styleId="Titrearticle">
    <w:name w:val="Titre article"/>
    <w:basedOn w:val="Normal"/>
    <w:next w:val="Normal"/>
    <w:rsid w:val="00B43E07"/>
    <w:pPr>
      <w:keepNext/>
      <w:spacing w:before="360" w:after="120"/>
      <w:jc w:val="center"/>
    </w:pPr>
    <w:rPr>
      <w:rFonts w:ascii="Times New Roman" w:eastAsia="Times New Roman" w:hAnsi="Times New Roman" w:cs="Times New Roman"/>
      <w:i/>
      <w:sz w:val="24"/>
    </w:rPr>
  </w:style>
  <w:style w:type="paragraph" w:customStyle="1" w:styleId="Titreobjet">
    <w:name w:val="Titre objet"/>
    <w:basedOn w:val="Normal"/>
    <w:next w:val="Normal"/>
    <w:rsid w:val="00B43E07"/>
    <w:pPr>
      <w:spacing w:before="360" w:after="360"/>
      <w:jc w:val="center"/>
    </w:pPr>
    <w:rPr>
      <w:rFonts w:ascii="Times New Roman" w:eastAsia="Times New Roman" w:hAnsi="Times New Roman" w:cs="Times New Roman"/>
      <w:b/>
      <w:sz w:val="24"/>
    </w:rPr>
  </w:style>
  <w:style w:type="paragraph" w:customStyle="1" w:styleId="Typedudocument">
    <w:name w:val="Type du document"/>
    <w:basedOn w:val="Normal"/>
    <w:next w:val="Titreobjet"/>
    <w:rsid w:val="00B43E07"/>
    <w:pPr>
      <w:spacing w:before="360"/>
      <w:jc w:val="center"/>
    </w:pPr>
    <w:rPr>
      <w:rFonts w:ascii="Times New Roman" w:eastAsia="Times New Roman" w:hAnsi="Times New Roman" w:cs="Times New Roman"/>
      <w:b/>
      <w:sz w:val="24"/>
    </w:rPr>
  </w:style>
  <w:style w:type="paragraph" w:customStyle="1" w:styleId="Pagedecouverture">
    <w:name w:val="Page de couverture"/>
    <w:basedOn w:val="Normal"/>
    <w:next w:val="Normal"/>
    <w:rsid w:val="00B43E07"/>
    <w:pPr>
      <w:spacing w:before="120" w:after="120"/>
      <w:jc w:val="both"/>
    </w:pPr>
    <w:rPr>
      <w:rFonts w:ascii="Times New Roman" w:eastAsia="Times New Roman" w:hAnsi="Times New Roman" w:cs="Times New Roman"/>
      <w:sz w:val="24"/>
    </w:rPr>
  </w:style>
  <w:style w:type="paragraph" w:customStyle="1" w:styleId="Institutionquiagit">
    <w:name w:val="Institution qui agit"/>
    <w:basedOn w:val="Normal"/>
    <w:next w:val="Normal"/>
    <w:rsid w:val="00B43E07"/>
    <w:pPr>
      <w:keepNext/>
      <w:spacing w:before="600" w:after="120"/>
      <w:jc w:val="both"/>
    </w:pPr>
    <w:rPr>
      <w:rFonts w:ascii="Times New Roman" w:eastAsia="Times New Roman" w:hAnsi="Times New Roman" w:cs="Times New Roman"/>
      <w:sz w:val="24"/>
    </w:rPr>
  </w:style>
  <w:style w:type="paragraph" w:styleId="ListParagraph">
    <w:name w:val="List Paragraph"/>
    <w:basedOn w:val="Normal"/>
    <w:uiPriority w:val="34"/>
    <w:qFormat/>
    <w:rsid w:val="009F12DA"/>
    <w:pPr>
      <w:ind w:left="720"/>
    </w:pPr>
    <w:rPr>
      <w:rFonts w:ascii="Calibri" w:eastAsia="Calibri" w:hAnsi="Calibri" w:cs="Times New Roman"/>
      <w:szCs w:val="22"/>
    </w:rPr>
  </w:style>
  <w:style w:type="character" w:styleId="CommentReference">
    <w:name w:val="annotation reference"/>
    <w:basedOn w:val="DefaultParagraphFont"/>
    <w:uiPriority w:val="99"/>
    <w:semiHidden/>
    <w:unhideWhenUsed/>
    <w:rsid w:val="00E7159B"/>
    <w:rPr>
      <w:sz w:val="16"/>
      <w:szCs w:val="16"/>
    </w:rPr>
  </w:style>
  <w:style w:type="paragraph" w:styleId="CommentText">
    <w:name w:val="annotation text"/>
    <w:basedOn w:val="Normal"/>
    <w:link w:val="CommentTextChar"/>
    <w:uiPriority w:val="99"/>
    <w:unhideWhenUsed/>
    <w:rsid w:val="00E7159B"/>
    <w:rPr>
      <w:sz w:val="20"/>
      <w:szCs w:val="20"/>
    </w:rPr>
  </w:style>
  <w:style w:type="character" w:customStyle="1" w:styleId="CommentTextChar">
    <w:name w:val="Comment Text Char"/>
    <w:basedOn w:val="DefaultParagraphFont"/>
    <w:link w:val="CommentText"/>
    <w:uiPriority w:val="99"/>
    <w:rsid w:val="00E7159B"/>
    <w:rPr>
      <w:sz w:val="20"/>
      <w:szCs w:val="20"/>
    </w:rPr>
  </w:style>
  <w:style w:type="paragraph" w:styleId="CommentSubject">
    <w:name w:val="annotation subject"/>
    <w:basedOn w:val="CommentText"/>
    <w:next w:val="CommentText"/>
    <w:link w:val="CommentSubjectChar"/>
    <w:uiPriority w:val="99"/>
    <w:semiHidden/>
    <w:unhideWhenUsed/>
    <w:rsid w:val="00E7159B"/>
    <w:rPr>
      <w:b/>
      <w:bCs/>
    </w:rPr>
  </w:style>
  <w:style w:type="character" w:customStyle="1" w:styleId="CommentSubjectChar">
    <w:name w:val="Comment Subject Char"/>
    <w:basedOn w:val="CommentTextChar"/>
    <w:link w:val="CommentSubject"/>
    <w:uiPriority w:val="99"/>
    <w:semiHidden/>
    <w:rsid w:val="00E7159B"/>
    <w:rPr>
      <w:b/>
      <w:bCs/>
      <w:sz w:val="20"/>
      <w:szCs w:val="20"/>
    </w:rPr>
  </w:style>
  <w:style w:type="paragraph" w:styleId="Caption">
    <w:name w:val="caption"/>
    <w:basedOn w:val="Normal"/>
    <w:next w:val="Normal"/>
    <w:uiPriority w:val="35"/>
    <w:unhideWhenUsed/>
    <w:qFormat/>
    <w:rsid w:val="00D120EF"/>
    <w:pPr>
      <w:spacing w:after="200"/>
    </w:pPr>
    <w:rPr>
      <w:b/>
      <w:bCs/>
      <w:color w:val="2F5773" w:themeColor="accent1"/>
      <w:sz w:val="18"/>
      <w:szCs w:val="18"/>
    </w:rPr>
  </w:style>
  <w:style w:type="paragraph" w:customStyle="1" w:styleId="TableMainHeading">
    <w:name w:val="TableMainHeading"/>
    <w:basedOn w:val="Normal"/>
    <w:next w:val="Normal"/>
    <w:uiPriority w:val="99"/>
    <w:rsid w:val="00810F8E"/>
    <w:pPr>
      <w:spacing w:before="120" w:after="120"/>
    </w:pPr>
    <w:rPr>
      <w:rFonts w:ascii="Segoe UI" w:eastAsia="Times New Roman" w:hAnsi="Segoe UI" w:cs="Times New Roman"/>
      <w:szCs w:val="20"/>
    </w:rPr>
  </w:style>
  <w:style w:type="paragraph" w:customStyle="1" w:styleId="TableNote">
    <w:name w:val="TableNote"/>
    <w:basedOn w:val="Normal"/>
    <w:rsid w:val="006F0B70"/>
    <w:pPr>
      <w:spacing w:before="60" w:after="120"/>
      <w:jc w:val="both"/>
    </w:pPr>
    <w:rPr>
      <w:rFonts w:ascii="Segoe UI" w:eastAsia="Times New Roman" w:hAnsi="Segoe UI" w:cs="Times New Roman"/>
      <w:sz w:val="15"/>
      <w:szCs w:val="20"/>
    </w:rPr>
  </w:style>
  <w:style w:type="paragraph" w:customStyle="1" w:styleId="CM11">
    <w:name w:val="CM1+1"/>
    <w:basedOn w:val="Default"/>
    <w:next w:val="Default"/>
    <w:uiPriority w:val="99"/>
    <w:rsid w:val="008539BB"/>
    <w:rPr>
      <w:rFonts w:ascii="EUAlbertina" w:eastAsiaTheme="minorEastAsia" w:hAnsi="EUAlbertina" w:cstheme="minorBidi"/>
      <w:color w:val="auto"/>
      <w:lang w:val="fr-FR"/>
    </w:rPr>
  </w:style>
  <w:style w:type="paragraph" w:customStyle="1" w:styleId="CM31">
    <w:name w:val="CM3+1"/>
    <w:basedOn w:val="Default"/>
    <w:next w:val="Default"/>
    <w:uiPriority w:val="99"/>
    <w:rsid w:val="008539BB"/>
    <w:rPr>
      <w:rFonts w:ascii="EUAlbertina" w:eastAsiaTheme="minorEastAsia" w:hAnsi="EUAlbertina" w:cstheme="minorBidi"/>
      <w:color w:val="auto"/>
      <w:lang w:val="fr-FR"/>
    </w:rPr>
  </w:style>
  <w:style w:type="paragraph" w:customStyle="1" w:styleId="CM13">
    <w:name w:val="CM1+3"/>
    <w:basedOn w:val="Default"/>
    <w:next w:val="Default"/>
    <w:uiPriority w:val="99"/>
    <w:rsid w:val="004B3092"/>
    <w:rPr>
      <w:rFonts w:ascii="EUAlbertina" w:eastAsiaTheme="minorEastAsia" w:hAnsi="EUAlbertina" w:cstheme="minorBidi"/>
      <w:color w:val="auto"/>
      <w:lang w:val="fr-FR"/>
    </w:rPr>
  </w:style>
  <w:style w:type="paragraph" w:customStyle="1" w:styleId="CM33">
    <w:name w:val="CM3+3"/>
    <w:basedOn w:val="Default"/>
    <w:next w:val="Default"/>
    <w:uiPriority w:val="99"/>
    <w:rsid w:val="004B3092"/>
    <w:rPr>
      <w:rFonts w:ascii="EUAlbertina" w:eastAsiaTheme="minorEastAsia" w:hAnsi="EUAlbertina" w:cstheme="minorBidi"/>
      <w:color w:val="auto"/>
      <w:lang w:val="fr-FR"/>
    </w:rPr>
  </w:style>
  <w:style w:type="paragraph" w:styleId="Revision">
    <w:name w:val="Revision"/>
    <w:hidden/>
    <w:uiPriority w:val="99"/>
    <w:semiHidden/>
    <w:rsid w:val="00997826"/>
    <w:rPr>
      <w:sz w:val="22"/>
    </w:rPr>
  </w:style>
  <w:style w:type="character" w:customStyle="1" w:styleId="InstructionsTextChar">
    <w:name w:val="Instructions Text Char"/>
    <w:link w:val="InstructionsText"/>
    <w:locked/>
    <w:rsid w:val="008C672C"/>
    <w:rPr>
      <w:rFonts w:ascii="Times New Roman" w:eastAsia="Times New Roman" w:hAnsi="Times New Roman" w:cs="Times New Roman"/>
      <w:lang w:eastAsia="de-DE"/>
    </w:rPr>
  </w:style>
  <w:style w:type="paragraph" w:customStyle="1" w:styleId="InstructionsText">
    <w:name w:val="Instructions Text"/>
    <w:basedOn w:val="Normal"/>
    <w:link w:val="InstructionsTextChar"/>
    <w:autoRedefine/>
    <w:rsid w:val="008C672C"/>
    <w:pPr>
      <w:spacing w:after="120"/>
      <w:jc w:val="both"/>
    </w:pPr>
    <w:rPr>
      <w:rFonts w:ascii="Times New Roman" w:eastAsia="Times New Roman" w:hAnsi="Times New Roman" w:cs="Times New Roman"/>
      <w:sz w:val="24"/>
      <w:lang w:eastAsia="de-DE"/>
    </w:rPr>
  </w:style>
  <w:style w:type="paragraph" w:customStyle="1" w:styleId="TableParagraph">
    <w:name w:val="Table Paragraph"/>
    <w:basedOn w:val="Normal"/>
    <w:uiPriority w:val="1"/>
    <w:qFormat/>
    <w:rsid w:val="009501D6"/>
    <w:pPr>
      <w:widowControl w:val="0"/>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663650">
      <w:bodyDiv w:val="1"/>
      <w:marLeft w:val="0"/>
      <w:marRight w:val="0"/>
      <w:marTop w:val="0"/>
      <w:marBottom w:val="0"/>
      <w:divBdr>
        <w:top w:val="none" w:sz="0" w:space="0" w:color="auto"/>
        <w:left w:val="none" w:sz="0" w:space="0" w:color="auto"/>
        <w:bottom w:val="none" w:sz="0" w:space="0" w:color="auto"/>
        <w:right w:val="none" w:sz="0" w:space="0" w:color="auto"/>
      </w:divBdr>
    </w:div>
    <w:div w:id="271405863">
      <w:bodyDiv w:val="1"/>
      <w:marLeft w:val="0"/>
      <w:marRight w:val="0"/>
      <w:marTop w:val="0"/>
      <w:marBottom w:val="0"/>
      <w:divBdr>
        <w:top w:val="none" w:sz="0" w:space="0" w:color="auto"/>
        <w:left w:val="none" w:sz="0" w:space="0" w:color="auto"/>
        <w:bottom w:val="none" w:sz="0" w:space="0" w:color="auto"/>
        <w:right w:val="none" w:sz="0" w:space="0" w:color="auto"/>
      </w:divBdr>
    </w:div>
    <w:div w:id="730928745">
      <w:bodyDiv w:val="1"/>
      <w:marLeft w:val="0"/>
      <w:marRight w:val="0"/>
      <w:marTop w:val="0"/>
      <w:marBottom w:val="0"/>
      <w:divBdr>
        <w:top w:val="none" w:sz="0" w:space="0" w:color="auto"/>
        <w:left w:val="none" w:sz="0" w:space="0" w:color="auto"/>
        <w:bottom w:val="none" w:sz="0" w:space="0" w:color="auto"/>
        <w:right w:val="none" w:sz="0" w:space="0" w:color="auto"/>
      </w:divBdr>
    </w:div>
    <w:div w:id="936715033">
      <w:bodyDiv w:val="1"/>
      <w:marLeft w:val="0"/>
      <w:marRight w:val="0"/>
      <w:marTop w:val="0"/>
      <w:marBottom w:val="0"/>
      <w:divBdr>
        <w:top w:val="none" w:sz="0" w:space="0" w:color="auto"/>
        <w:left w:val="none" w:sz="0" w:space="0" w:color="auto"/>
        <w:bottom w:val="none" w:sz="0" w:space="0" w:color="auto"/>
        <w:right w:val="none" w:sz="0" w:space="0" w:color="auto"/>
      </w:divBdr>
    </w:div>
    <w:div w:id="1009408660">
      <w:bodyDiv w:val="1"/>
      <w:marLeft w:val="0"/>
      <w:marRight w:val="0"/>
      <w:marTop w:val="0"/>
      <w:marBottom w:val="0"/>
      <w:divBdr>
        <w:top w:val="none" w:sz="0" w:space="0" w:color="auto"/>
        <w:left w:val="none" w:sz="0" w:space="0" w:color="auto"/>
        <w:bottom w:val="none" w:sz="0" w:space="0" w:color="auto"/>
        <w:right w:val="none" w:sz="0" w:space="0" w:color="auto"/>
      </w:divBdr>
    </w:div>
    <w:div w:id="1124035648">
      <w:bodyDiv w:val="1"/>
      <w:marLeft w:val="0"/>
      <w:marRight w:val="0"/>
      <w:marTop w:val="0"/>
      <w:marBottom w:val="0"/>
      <w:divBdr>
        <w:top w:val="none" w:sz="0" w:space="0" w:color="auto"/>
        <w:left w:val="none" w:sz="0" w:space="0" w:color="auto"/>
        <w:bottom w:val="none" w:sz="0" w:space="0" w:color="auto"/>
        <w:right w:val="none" w:sz="0" w:space="0" w:color="auto"/>
      </w:divBdr>
    </w:div>
    <w:div w:id="1220751002">
      <w:bodyDiv w:val="1"/>
      <w:marLeft w:val="0"/>
      <w:marRight w:val="0"/>
      <w:marTop w:val="0"/>
      <w:marBottom w:val="0"/>
      <w:divBdr>
        <w:top w:val="none" w:sz="0" w:space="0" w:color="auto"/>
        <w:left w:val="none" w:sz="0" w:space="0" w:color="auto"/>
        <w:bottom w:val="none" w:sz="0" w:space="0" w:color="auto"/>
        <w:right w:val="none" w:sz="0" w:space="0" w:color="auto"/>
      </w:divBdr>
    </w:div>
    <w:div w:id="1271661559">
      <w:bodyDiv w:val="1"/>
      <w:marLeft w:val="0"/>
      <w:marRight w:val="0"/>
      <w:marTop w:val="0"/>
      <w:marBottom w:val="0"/>
      <w:divBdr>
        <w:top w:val="none" w:sz="0" w:space="0" w:color="auto"/>
        <w:left w:val="none" w:sz="0" w:space="0" w:color="auto"/>
        <w:bottom w:val="none" w:sz="0" w:space="0" w:color="auto"/>
        <w:right w:val="none" w:sz="0" w:space="0" w:color="auto"/>
      </w:divBdr>
    </w:div>
    <w:div w:id="1627926797">
      <w:bodyDiv w:val="1"/>
      <w:marLeft w:val="0"/>
      <w:marRight w:val="0"/>
      <w:marTop w:val="0"/>
      <w:marBottom w:val="0"/>
      <w:divBdr>
        <w:top w:val="none" w:sz="0" w:space="0" w:color="auto"/>
        <w:left w:val="none" w:sz="0" w:space="0" w:color="auto"/>
        <w:bottom w:val="none" w:sz="0" w:space="0" w:color="auto"/>
        <w:right w:val="none" w:sz="0" w:space="0" w:color="auto"/>
      </w:divBdr>
    </w:div>
    <w:div w:id="2054648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BA template">
  <a:themeElements>
    <a:clrScheme name="EBA theme 2">
      <a:dk1>
        <a:srgbClr val="000000"/>
      </a:dk1>
      <a:lt1>
        <a:sysClr val="window" lastClr="FFFFFF"/>
      </a:lt1>
      <a:dk2>
        <a:srgbClr val="2F5773"/>
      </a:dk2>
      <a:lt2>
        <a:srgbClr val="E98E31"/>
      </a:lt2>
      <a:accent1>
        <a:srgbClr val="2F5773"/>
      </a:accent1>
      <a:accent2>
        <a:srgbClr val="EA933B"/>
      </a:accent2>
      <a:accent3>
        <a:srgbClr val="D44D2A"/>
      </a:accent3>
      <a:accent4>
        <a:srgbClr val="49AB74"/>
      </a:accent4>
      <a:accent5>
        <a:srgbClr val="52666E"/>
      </a:accent5>
      <a:accent6>
        <a:srgbClr val="163A5A"/>
      </a:accent6>
      <a:hlink>
        <a:srgbClr val="2F5773"/>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B25E6-C2B7-4B03-98FB-2135B4900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2899</Words>
  <Characters>16528</Characters>
  <Application>Microsoft Office Word</Application>
  <DocSecurity>0</DocSecurity>
  <Lines>137</Lines>
  <Paragraphs>38</Paragraphs>
  <ScaleCrop>false</ScaleCrop>
  <HeadingPairs>
    <vt:vector size="10" baseType="variant">
      <vt:variant>
        <vt:lpstr>Title</vt:lpstr>
      </vt:variant>
      <vt:variant>
        <vt:i4>1</vt:i4>
      </vt:variant>
      <vt:variant>
        <vt:lpstr>Titel</vt:lpstr>
      </vt:variant>
      <vt:variant>
        <vt:i4>1</vt:i4>
      </vt:variant>
      <vt:variant>
        <vt:lpstr>Titre</vt:lpstr>
      </vt:variant>
      <vt:variant>
        <vt:i4>1</vt:i4>
      </vt:variant>
      <vt:variant>
        <vt:lpstr>Título</vt:lpstr>
      </vt:variant>
      <vt:variant>
        <vt:i4>1</vt:i4>
      </vt:variant>
      <vt:variant>
        <vt:lpstr>Titolo</vt:lpstr>
      </vt:variant>
      <vt:variant>
        <vt:i4>1</vt:i4>
      </vt:variant>
    </vt:vector>
  </HeadingPairs>
  <TitlesOfParts>
    <vt:vector size="5" baseType="lpstr">
      <vt:lpstr/>
      <vt:lpstr/>
      <vt:lpstr/>
      <vt:lpstr/>
      <vt:lpstr/>
    </vt:vector>
  </TitlesOfParts>
  <Company>OP</Company>
  <LinksUpToDate>false</LinksUpToDate>
  <CharactersWithSpaces>19389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dc:creator>
  <cp:keywords/>
  <cp:lastModifiedBy>Pilar Gutierrez</cp:lastModifiedBy>
  <cp:revision>3</cp:revision>
  <cp:lastPrinted>2019-04-15T09:50:00Z</cp:lastPrinted>
  <dcterms:created xsi:type="dcterms:W3CDTF">2019-09-16T14:54:00Z</dcterms:created>
  <dcterms:modified xsi:type="dcterms:W3CDTF">2019-09-16T14:55:00Z</dcterms:modified>
</cp:coreProperties>
</file>