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847C3" w14:textId="58ADFDA9" w:rsidR="005673AC" w:rsidRPr="00A95602" w:rsidRDefault="00C122DA" w:rsidP="00C122DA">
      <w:pPr>
        <w:pStyle w:val="Annexetitre"/>
        <w:rPr>
          <w:noProof/>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A95602">
        <w:rPr>
          <w:noProof/>
        </w:rPr>
        <w:t xml:space="preserve">ANNEX </w:t>
      </w:r>
      <w:r w:rsidR="00BE4814">
        <w:rPr>
          <w:noProof/>
        </w:rPr>
        <w:t>8</w:t>
      </w:r>
      <w:r w:rsidR="00BE4814" w:rsidRPr="00A95602">
        <w:rPr>
          <w:noProof/>
        </w:rPr>
        <w:t xml:space="preserve"> </w:t>
      </w:r>
      <w:r w:rsidR="005673AC" w:rsidRPr="00A95602">
        <w:rPr>
          <w:noProof/>
        </w:rPr>
        <w:t>–</w:t>
      </w:r>
      <w:r w:rsidRPr="00A95602">
        <w:rPr>
          <w:noProof/>
        </w:rPr>
        <w:t xml:space="preserve"> Instructions for o</w:t>
      </w:r>
      <w:r w:rsidR="005673AC" w:rsidRPr="00A95602">
        <w:rPr>
          <w:noProof/>
        </w:rPr>
        <w:t>wn funds</w:t>
      </w:r>
      <w:r w:rsidRPr="00A95602">
        <w:rPr>
          <w:noProof/>
        </w:rPr>
        <w:t xml:space="preserve"> disclosure templates</w:t>
      </w:r>
    </w:p>
    <w:p w14:paraId="5D35EF83" w14:textId="77777777" w:rsidR="005673AC" w:rsidRPr="00A01A6F" w:rsidRDefault="005673AC" w:rsidP="00E258D8">
      <w:pPr>
        <w:rPr>
          <w:rFonts w:ascii="Times New Roman" w:hAnsi="Times New Roman" w:cs="Times New Roman"/>
          <w:noProof/>
          <w:sz w:val="24"/>
        </w:rPr>
      </w:pPr>
    </w:p>
    <w:p w14:paraId="79324F1A" w14:textId="39D340AB" w:rsidR="00DD40A7" w:rsidRPr="00A95602" w:rsidRDefault="00DD40A7" w:rsidP="00E258D8">
      <w:pPr>
        <w:rPr>
          <w:rFonts w:ascii="Times New Roman" w:hAnsi="Times New Roman" w:cs="Times New Roman"/>
          <w:b/>
          <w:bCs/>
          <w:sz w:val="24"/>
        </w:rPr>
      </w:pPr>
      <w:r w:rsidRPr="00A95602">
        <w:rPr>
          <w:rFonts w:ascii="Times New Roman" w:hAnsi="Times New Roman" w:cs="Times New Roman"/>
          <w:b/>
          <w:bCs/>
          <w:sz w:val="24"/>
        </w:rPr>
        <w:t>Template</w:t>
      </w:r>
      <w:r w:rsidR="005658E3" w:rsidRPr="00A95602">
        <w:rPr>
          <w:rFonts w:ascii="Times New Roman" w:hAnsi="Times New Roman" w:cs="Times New Roman"/>
          <w:b/>
          <w:bCs/>
          <w:sz w:val="24"/>
        </w:rPr>
        <w:t xml:space="preserve"> EU</w:t>
      </w:r>
      <w:r w:rsidRPr="00A95602">
        <w:rPr>
          <w:rFonts w:ascii="Times New Roman" w:hAnsi="Times New Roman" w:cs="Times New Roman"/>
          <w:b/>
          <w:bCs/>
          <w:sz w:val="24"/>
        </w:rPr>
        <w:t xml:space="preserve"> CC1</w:t>
      </w:r>
      <w:r w:rsidR="00241556" w:rsidRPr="00A95602">
        <w:rPr>
          <w:rFonts w:ascii="Times New Roman" w:hAnsi="Times New Roman" w:cs="Times New Roman"/>
          <w:b/>
          <w:bCs/>
          <w:sz w:val="24"/>
        </w:rPr>
        <w:t xml:space="preserve">- </w:t>
      </w:r>
      <w:r w:rsidR="000152D6" w:rsidRPr="00A95602">
        <w:rPr>
          <w:rFonts w:ascii="Times New Roman" w:hAnsi="Times New Roman" w:cs="Times New Roman"/>
          <w:b/>
          <w:bCs/>
          <w:sz w:val="24"/>
        </w:rPr>
        <w:t>Composition of regulatory own funds</w:t>
      </w:r>
    </w:p>
    <w:p w14:paraId="2CC71055" w14:textId="77777777" w:rsidR="009A6CFC" w:rsidRPr="00A01A6F" w:rsidRDefault="009A6CFC" w:rsidP="00E258D8">
      <w:pPr>
        <w:rPr>
          <w:rFonts w:ascii="Times New Roman" w:hAnsi="Times New Roman" w:cs="Times New Roman"/>
          <w:noProof/>
          <w:sz w:val="24"/>
        </w:rPr>
      </w:pPr>
    </w:p>
    <w:p w14:paraId="6BCA6571" w14:textId="54545C88" w:rsidR="009A6CFC" w:rsidRPr="006E2336" w:rsidRDefault="009A6CFC" w:rsidP="00FC5DAA">
      <w:pPr>
        <w:numPr>
          <w:ilvl w:val="0"/>
          <w:numId w:val="11"/>
        </w:numPr>
        <w:spacing w:before="120" w:after="120"/>
        <w:ind w:left="357" w:hanging="357"/>
        <w:jc w:val="both"/>
        <w:rPr>
          <w:rFonts w:ascii="Times New Roman" w:hAnsi="Times New Roman" w:cs="Times New Roman"/>
          <w:bCs/>
          <w:sz w:val="24"/>
        </w:rPr>
      </w:pPr>
      <w:r w:rsidRPr="00A95602">
        <w:rPr>
          <w:rFonts w:ascii="Times New Roman" w:hAnsi="Times New Roman" w:cs="Times New Roman"/>
          <w:bCs/>
          <w:sz w:val="24"/>
        </w:rPr>
        <w:t xml:space="preserve">Institutions shall apply the instructions provided in this Annex in order to complete </w:t>
      </w:r>
      <w:r w:rsidR="00A01A6F">
        <w:rPr>
          <w:rFonts w:ascii="Times New Roman" w:hAnsi="Times New Roman" w:cs="Times New Roman"/>
          <w:bCs/>
          <w:sz w:val="24"/>
        </w:rPr>
        <w:t xml:space="preserve">template EU CC1 </w:t>
      </w:r>
      <w:r w:rsidR="00241556" w:rsidRPr="000769C4">
        <w:rPr>
          <w:rFonts w:ascii="Times New Roman" w:hAnsi="Times New Roman" w:cs="Times New Roman"/>
          <w:bCs/>
          <w:sz w:val="24"/>
        </w:rPr>
        <w:t xml:space="preserve">as presented in Annex </w:t>
      </w:r>
      <w:r w:rsidR="00BE4814">
        <w:rPr>
          <w:rFonts w:ascii="Times New Roman" w:hAnsi="Times New Roman" w:cs="Times New Roman"/>
          <w:bCs/>
          <w:sz w:val="24"/>
        </w:rPr>
        <w:t>7</w:t>
      </w:r>
      <w:r w:rsidR="008804A3">
        <w:rPr>
          <w:rFonts w:ascii="Times New Roman" w:hAnsi="Times New Roman" w:cs="Times New Roman"/>
          <w:bCs/>
          <w:sz w:val="24"/>
        </w:rPr>
        <w:t xml:space="preserve">, according to Article 437 of </w:t>
      </w:r>
      <w:r w:rsidR="008804A3" w:rsidRPr="00C31378">
        <w:rPr>
          <w:rFonts w:ascii="Times New Roman" w:hAnsi="Times New Roman" w:cs="Times New Roman"/>
          <w:noProof/>
          <w:color w:val="000000"/>
          <w:sz w:val="24"/>
          <w:lang w:val="en-GB"/>
        </w:rPr>
        <w:t>Regulation (EU) No 575/2013 (CRR)</w:t>
      </w:r>
      <w:r w:rsidRPr="000769C4">
        <w:rPr>
          <w:rFonts w:ascii="Times New Roman" w:hAnsi="Times New Roman" w:cs="Times New Roman"/>
          <w:bCs/>
          <w:sz w:val="24"/>
        </w:rPr>
        <w:t>.</w:t>
      </w:r>
    </w:p>
    <w:p w14:paraId="4E300347" w14:textId="5F8C7F16" w:rsidR="009A6CFC" w:rsidRPr="00A95602" w:rsidRDefault="009A6CFC" w:rsidP="00FC5DAA">
      <w:pPr>
        <w:numPr>
          <w:ilvl w:val="0"/>
          <w:numId w:val="11"/>
        </w:numPr>
        <w:spacing w:before="120" w:after="120"/>
        <w:ind w:left="357" w:hanging="357"/>
        <w:jc w:val="both"/>
        <w:rPr>
          <w:rFonts w:ascii="Times New Roman" w:hAnsi="Times New Roman" w:cs="Times New Roman"/>
          <w:bCs/>
          <w:sz w:val="24"/>
        </w:rPr>
      </w:pPr>
      <w:r w:rsidRPr="00A95602">
        <w:rPr>
          <w:rFonts w:ascii="Times New Roman" w:hAnsi="Times New Roman" w:cs="Times New Roman"/>
          <w:bCs/>
          <w:sz w:val="24"/>
        </w:rPr>
        <w:t>For the purposes of template</w:t>
      </w:r>
      <w:r w:rsidR="00A01A6F">
        <w:rPr>
          <w:rFonts w:ascii="Times New Roman" w:hAnsi="Times New Roman" w:cs="Times New Roman"/>
          <w:bCs/>
          <w:sz w:val="24"/>
        </w:rPr>
        <w:t xml:space="preserve"> EU CC1</w:t>
      </w:r>
      <w:r w:rsidRPr="00A95602">
        <w:rPr>
          <w:rFonts w:ascii="Times New Roman" w:hAnsi="Times New Roman" w:cs="Times New Roman"/>
          <w:bCs/>
          <w:sz w:val="24"/>
        </w:rPr>
        <w:t>, regulatory adjustments comprise deductions from own funds and prudential filters.</w:t>
      </w:r>
    </w:p>
    <w:p w14:paraId="007E4F8A" w14:textId="79DD679C" w:rsidR="00DD40A7" w:rsidRDefault="00DD40A7" w:rsidP="00FC5DAA">
      <w:pPr>
        <w:numPr>
          <w:ilvl w:val="0"/>
          <w:numId w:val="11"/>
        </w:numPr>
        <w:spacing w:before="120" w:after="120"/>
        <w:ind w:left="357" w:hanging="357"/>
        <w:jc w:val="both"/>
        <w:rPr>
          <w:rFonts w:ascii="Times New Roman" w:hAnsi="Times New Roman" w:cs="Times New Roman"/>
          <w:bCs/>
          <w:sz w:val="24"/>
        </w:rPr>
      </w:pPr>
      <w:r w:rsidRPr="00FC5DAA">
        <w:rPr>
          <w:rFonts w:ascii="Times New Roman" w:hAnsi="Times New Roman" w:cs="Times New Roman"/>
          <w:bCs/>
          <w:sz w:val="24"/>
        </w:rPr>
        <w:t xml:space="preserve">Institutions are required to complete column (b) to show the source of every major input, which is to </w:t>
      </w:r>
      <w:proofErr w:type="gramStart"/>
      <w:r w:rsidRPr="00FC5DAA">
        <w:rPr>
          <w:rFonts w:ascii="Times New Roman" w:hAnsi="Times New Roman" w:cs="Times New Roman"/>
          <w:bCs/>
          <w:sz w:val="24"/>
        </w:rPr>
        <w:t>be cross-referenced</w:t>
      </w:r>
      <w:proofErr w:type="gramEnd"/>
      <w:r w:rsidRPr="00FC5DAA">
        <w:rPr>
          <w:rFonts w:ascii="Times New Roman" w:hAnsi="Times New Roman" w:cs="Times New Roman"/>
          <w:bCs/>
          <w:sz w:val="24"/>
        </w:rPr>
        <w:t xml:space="preserve"> to the corresponding rows in Template </w:t>
      </w:r>
      <w:r w:rsidR="002E626C">
        <w:rPr>
          <w:rFonts w:ascii="Times New Roman" w:hAnsi="Times New Roman" w:cs="Times New Roman"/>
          <w:bCs/>
          <w:sz w:val="24"/>
        </w:rPr>
        <w:t xml:space="preserve">EU </w:t>
      </w:r>
      <w:r w:rsidRPr="00FC5DAA">
        <w:rPr>
          <w:rFonts w:ascii="Times New Roman" w:hAnsi="Times New Roman" w:cs="Times New Roman"/>
          <w:bCs/>
          <w:sz w:val="24"/>
        </w:rPr>
        <w:t>CC2.</w:t>
      </w:r>
    </w:p>
    <w:p w14:paraId="00FFF09E" w14:textId="1F9C985B" w:rsidR="008804A3" w:rsidRPr="008804A3" w:rsidRDefault="008804A3" w:rsidP="008804A3">
      <w:pPr>
        <w:numPr>
          <w:ilvl w:val="0"/>
          <w:numId w:val="11"/>
        </w:numPr>
        <w:spacing w:before="120" w:after="120"/>
        <w:jc w:val="both"/>
        <w:rPr>
          <w:rFonts w:ascii="Times New Roman" w:hAnsi="Times New Roman" w:cs="Times New Roman"/>
          <w:bCs/>
          <w:sz w:val="24"/>
        </w:rPr>
      </w:pPr>
      <w:r w:rsidRPr="008804A3">
        <w:rPr>
          <w:rFonts w:ascii="Times New Roman" w:hAnsi="Times New Roman" w:cs="Times New Roman"/>
          <w:bCs/>
          <w:sz w:val="24"/>
        </w:rPr>
        <w:t xml:space="preserve">Institutions shall include in the narrative accompanying the template </w:t>
      </w:r>
      <w:r w:rsidR="00080651">
        <w:rPr>
          <w:rFonts w:ascii="Times New Roman" w:hAnsi="Times New Roman" w:cs="Times New Roman"/>
          <w:bCs/>
          <w:sz w:val="24"/>
        </w:rPr>
        <w:t xml:space="preserve">a </w:t>
      </w:r>
      <w:r w:rsidRPr="008804A3">
        <w:rPr>
          <w:rFonts w:ascii="Times New Roman" w:hAnsi="Times New Roman" w:cs="Times New Roman"/>
          <w:bCs/>
          <w:sz w:val="24"/>
        </w:rPr>
        <w:t>description of all restrictions applied to the calculation of own funds in accordance with CRR</w:t>
      </w:r>
      <w:r w:rsidRPr="00080651">
        <w:rPr>
          <w:rFonts w:ascii="Times New Roman" w:hAnsi="Times New Roman" w:cs="Times New Roman"/>
          <w:bCs/>
          <w:sz w:val="24"/>
        </w:rPr>
        <w:t xml:space="preserve"> and the instruments, prudential filters and deductions to which those restrictions apply</w:t>
      </w:r>
      <w:r w:rsidRPr="008804A3">
        <w:rPr>
          <w:rFonts w:ascii="Times New Roman" w:hAnsi="Times New Roman" w:cs="Times New Roman"/>
          <w:bCs/>
          <w:sz w:val="24"/>
        </w:rPr>
        <w:t xml:space="preserve">. They shall also include a comprehensive explanation of the basis on which capital ratios are calculated where those capital ratios </w:t>
      </w:r>
      <w:proofErr w:type="gramStart"/>
      <w:r w:rsidRPr="008804A3">
        <w:rPr>
          <w:rFonts w:ascii="Times New Roman" w:hAnsi="Times New Roman" w:cs="Times New Roman"/>
          <w:bCs/>
          <w:sz w:val="24"/>
        </w:rPr>
        <w:t>are calculated</w:t>
      </w:r>
      <w:proofErr w:type="gramEnd"/>
      <w:r w:rsidRPr="008804A3">
        <w:rPr>
          <w:rFonts w:ascii="Times New Roman" w:hAnsi="Times New Roman" w:cs="Times New Roman"/>
          <w:bCs/>
          <w:sz w:val="24"/>
        </w:rPr>
        <w:t xml:space="preserve"> by using elements of own funds determined on a basis other than the basis laid down in </w:t>
      </w:r>
      <w:r>
        <w:rPr>
          <w:rFonts w:ascii="Times New Roman" w:hAnsi="Times New Roman" w:cs="Times New Roman"/>
          <w:bCs/>
          <w:sz w:val="24"/>
        </w:rPr>
        <w:t>the CRR</w:t>
      </w:r>
      <w:r w:rsidRPr="008804A3">
        <w:rPr>
          <w:rFonts w:ascii="Times New Roman" w:hAnsi="Times New Roman" w:cs="Times New Roman"/>
          <w:bCs/>
          <w:sz w:val="24"/>
        </w:rPr>
        <w:t>.</w:t>
      </w:r>
    </w:p>
    <w:p w14:paraId="08BE0C25" w14:textId="77777777" w:rsidR="00DD40A7" w:rsidRPr="00FC5DAA" w:rsidRDefault="00DD40A7" w:rsidP="00DD40A7">
      <w:pPr>
        <w:jc w:val="both"/>
        <w:rPr>
          <w:rFonts w:ascii="Times New Roman" w:hAnsi="Times New Roman" w:cs="Times New Roman"/>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7242"/>
      </w:tblGrid>
      <w:tr w:rsidR="00DD40A7" w:rsidRPr="00A95602" w14:paraId="5B9B57EB" w14:textId="77777777" w:rsidTr="00A01A6F">
        <w:trPr>
          <w:trHeight w:val="395"/>
        </w:trPr>
        <w:tc>
          <w:tcPr>
            <w:tcW w:w="8414" w:type="dxa"/>
            <w:gridSpan w:val="2"/>
            <w:shd w:val="clear" w:color="auto" w:fill="D9D9D9" w:themeFill="background1" w:themeFillShade="D9"/>
          </w:tcPr>
          <w:p w14:paraId="47993537" w14:textId="49F4EA71" w:rsidR="00DD40A7" w:rsidRPr="00A01A6F" w:rsidRDefault="00181925" w:rsidP="00181925">
            <w:pPr>
              <w:pStyle w:val="TableTitle"/>
              <w:spacing w:before="0" w:after="0"/>
              <w:jc w:val="left"/>
              <w:rPr>
                <w:rFonts w:ascii="Times New Roman" w:hAnsi="Times New Roman"/>
                <w:sz w:val="24"/>
                <w:szCs w:val="24"/>
              </w:rPr>
            </w:pPr>
            <w:r w:rsidRPr="00A95602">
              <w:rPr>
                <w:rFonts w:ascii="Times New Roman" w:hAnsi="Times New Roman"/>
                <w:sz w:val="24"/>
                <w:szCs w:val="24"/>
              </w:rPr>
              <w:t>Legal references and instructions</w:t>
            </w:r>
          </w:p>
        </w:tc>
      </w:tr>
      <w:tr w:rsidR="00DD40A7" w:rsidRPr="00A95602" w14:paraId="631C4557" w14:textId="77777777" w:rsidTr="00181925">
        <w:tc>
          <w:tcPr>
            <w:tcW w:w="1172" w:type="dxa"/>
            <w:shd w:val="clear" w:color="auto" w:fill="D9D9D9" w:themeFill="background1" w:themeFillShade="D9"/>
          </w:tcPr>
          <w:p w14:paraId="7188C383" w14:textId="77777777" w:rsidR="00DD40A7" w:rsidRPr="00A01A6F" w:rsidRDefault="00DD40A7" w:rsidP="001B66D7">
            <w:pPr>
              <w:rPr>
                <w:rFonts w:ascii="Times New Roman" w:hAnsi="Times New Roman" w:cs="Times New Roman"/>
                <w:b/>
                <w:sz w:val="24"/>
                <w:lang w:eastAsia="ja-JP"/>
              </w:rPr>
            </w:pPr>
            <w:r w:rsidRPr="00A01A6F">
              <w:rPr>
                <w:rFonts w:ascii="Times New Roman" w:hAnsi="Times New Roman" w:cs="Times New Roman"/>
                <w:b/>
                <w:sz w:val="24"/>
                <w:lang w:eastAsia="ja-JP"/>
              </w:rPr>
              <w:t>Row number</w:t>
            </w:r>
          </w:p>
        </w:tc>
        <w:tc>
          <w:tcPr>
            <w:tcW w:w="7242" w:type="dxa"/>
            <w:shd w:val="clear" w:color="auto" w:fill="D9D9D9" w:themeFill="background1" w:themeFillShade="D9"/>
          </w:tcPr>
          <w:p w14:paraId="26C15D12" w14:textId="77777777" w:rsidR="00DD40A7" w:rsidRPr="00A01A6F" w:rsidRDefault="00DD40A7" w:rsidP="001B66D7">
            <w:pPr>
              <w:rPr>
                <w:rFonts w:ascii="Times New Roman" w:hAnsi="Times New Roman" w:cs="Times New Roman"/>
                <w:b/>
                <w:sz w:val="24"/>
                <w:lang w:eastAsia="ja-JP"/>
              </w:rPr>
            </w:pPr>
            <w:r w:rsidRPr="00A01A6F">
              <w:rPr>
                <w:rFonts w:ascii="Times New Roman" w:hAnsi="Times New Roman" w:cs="Times New Roman"/>
                <w:b/>
                <w:sz w:val="24"/>
                <w:lang w:eastAsia="ja-JP"/>
              </w:rPr>
              <w:t>Explanation</w:t>
            </w:r>
          </w:p>
        </w:tc>
      </w:tr>
      <w:tr w:rsidR="00DD40A7" w:rsidRPr="00A95602" w14:paraId="1196A31B" w14:textId="77777777" w:rsidTr="001B66D7">
        <w:tc>
          <w:tcPr>
            <w:tcW w:w="1172" w:type="dxa"/>
            <w:vAlign w:val="center"/>
          </w:tcPr>
          <w:p w14:paraId="4E9D1796"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w:t>
            </w:r>
          </w:p>
        </w:tc>
        <w:tc>
          <w:tcPr>
            <w:tcW w:w="7242" w:type="dxa"/>
          </w:tcPr>
          <w:p w14:paraId="7B9EAE6E" w14:textId="53BF0F58"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Capital instruments and the related share premium accounts</w:t>
            </w:r>
            <w:r w:rsidR="00A01A6F">
              <w:rPr>
                <w:rFonts w:ascii="Times New Roman" w:hAnsi="Times New Roman" w:cs="Times New Roman"/>
                <w:sz w:val="24"/>
                <w:lang w:eastAsia="ja-JP"/>
              </w:rPr>
              <w:t xml:space="preserve"> in accordance with Articles 26</w:t>
            </w:r>
            <w:r w:rsidRPr="00A01A6F">
              <w:rPr>
                <w:rFonts w:ascii="Times New Roman" w:hAnsi="Times New Roman" w:cs="Times New Roman"/>
                <w:sz w:val="24"/>
                <w:lang w:eastAsia="ja-JP"/>
              </w:rPr>
              <w:t>(1)</w:t>
            </w:r>
            <w:r w:rsidR="006E2336">
              <w:rPr>
                <w:rFonts w:ascii="Times New Roman" w:hAnsi="Times New Roman" w:cs="Times New Roman"/>
                <w:sz w:val="24"/>
                <w:lang w:eastAsia="ja-JP"/>
              </w:rPr>
              <w:t xml:space="preserve"> letters (a) and (b)</w:t>
            </w:r>
            <w:r w:rsidRPr="00A01A6F">
              <w:rPr>
                <w:rFonts w:ascii="Times New Roman" w:hAnsi="Times New Roman" w:cs="Times New Roman"/>
                <w:sz w:val="24"/>
                <w:lang w:eastAsia="ja-JP"/>
              </w:rPr>
              <w:t xml:space="preserve">, 27, 28, 29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and the EBA li</w:t>
            </w:r>
            <w:r w:rsidR="00A01A6F">
              <w:rPr>
                <w:rFonts w:ascii="Times New Roman" w:hAnsi="Times New Roman" w:cs="Times New Roman"/>
                <w:sz w:val="24"/>
                <w:lang w:eastAsia="ja-JP"/>
              </w:rPr>
              <w:t>st as referred to in Article 26</w:t>
            </w:r>
            <w:r w:rsidRPr="00A01A6F">
              <w:rPr>
                <w:rFonts w:ascii="Times New Roman" w:hAnsi="Times New Roman" w:cs="Times New Roman"/>
                <w:sz w:val="24"/>
                <w:lang w:eastAsia="ja-JP"/>
              </w:rPr>
              <w:t xml:space="preserve">(3) of the same regulation. </w:t>
            </w:r>
          </w:p>
        </w:tc>
      </w:tr>
      <w:tr w:rsidR="00DD40A7" w:rsidRPr="00A95602" w14:paraId="7F8F6171" w14:textId="77777777" w:rsidTr="001B66D7">
        <w:tc>
          <w:tcPr>
            <w:tcW w:w="1172" w:type="dxa"/>
            <w:vAlign w:val="center"/>
          </w:tcPr>
          <w:p w14:paraId="5AFC0113"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w:t>
            </w:r>
          </w:p>
        </w:tc>
        <w:tc>
          <w:tcPr>
            <w:tcW w:w="7242" w:type="dxa"/>
            <w:vAlign w:val="center"/>
          </w:tcPr>
          <w:p w14:paraId="10C20D92" w14:textId="6AE06E85"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Retained earnings prior to all regulatory adjustment</w:t>
            </w:r>
            <w:r w:rsidR="00A01A6F">
              <w:rPr>
                <w:rFonts w:ascii="Times New Roman" w:hAnsi="Times New Roman" w:cs="Times New Roman"/>
                <w:sz w:val="24"/>
                <w:lang w:eastAsia="ja-JP"/>
              </w:rPr>
              <w:t>s in accordance with Article 26(1</w:t>
            </w:r>
            <w:proofErr w:type="gramStart"/>
            <w:r w:rsidR="00A01A6F">
              <w:rPr>
                <w:rFonts w:ascii="Times New Roman" w:hAnsi="Times New Roman" w:cs="Times New Roman"/>
                <w:sz w:val="24"/>
                <w:lang w:eastAsia="ja-JP"/>
              </w:rPr>
              <w:t>)</w:t>
            </w:r>
            <w:r w:rsidRPr="00A01A6F">
              <w:rPr>
                <w:rFonts w:ascii="Times New Roman" w:hAnsi="Times New Roman" w:cs="Times New Roman"/>
                <w:sz w:val="24"/>
                <w:lang w:eastAsia="ja-JP"/>
              </w:rPr>
              <w:t>(</w:t>
            </w:r>
            <w:proofErr w:type="gramEnd"/>
            <w:r w:rsidRPr="00A01A6F">
              <w:rPr>
                <w:rFonts w:ascii="Times New Roman" w:hAnsi="Times New Roman" w:cs="Times New Roman"/>
                <w:sz w:val="24"/>
                <w:lang w:eastAsia="ja-JP"/>
              </w:rPr>
              <w:t xml:space="preserve">c)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(prior to the inclusion of any interim net profits or losses).</w:t>
            </w:r>
          </w:p>
        </w:tc>
      </w:tr>
      <w:tr w:rsidR="00DD40A7" w:rsidRPr="00A95602" w14:paraId="49A0351D" w14:textId="77777777" w:rsidTr="00A01A6F">
        <w:trPr>
          <w:trHeight w:val="980"/>
        </w:trPr>
        <w:tc>
          <w:tcPr>
            <w:tcW w:w="1172" w:type="dxa"/>
            <w:vAlign w:val="center"/>
          </w:tcPr>
          <w:p w14:paraId="3A9A303A"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w:t>
            </w:r>
          </w:p>
        </w:tc>
        <w:tc>
          <w:tcPr>
            <w:tcW w:w="7242" w:type="dxa"/>
            <w:vAlign w:val="center"/>
          </w:tcPr>
          <w:p w14:paraId="4838E46E" w14:textId="4E50B8CB"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Amount of accumulated other comprehensive income and other reserve</w:t>
            </w:r>
            <w:r w:rsidR="00A01A6F">
              <w:rPr>
                <w:rFonts w:ascii="Times New Roman" w:hAnsi="Times New Roman" w:cs="Times New Roman"/>
                <w:sz w:val="24"/>
                <w:lang w:eastAsia="ja-JP"/>
              </w:rPr>
              <w:t>s in accordance with Article 26(1</w:t>
            </w:r>
            <w:proofErr w:type="gramStart"/>
            <w:r w:rsidR="00A01A6F">
              <w:rPr>
                <w:rFonts w:ascii="Times New Roman" w:hAnsi="Times New Roman" w:cs="Times New Roman"/>
                <w:sz w:val="24"/>
                <w:lang w:eastAsia="ja-JP"/>
              </w:rPr>
              <w:t>)</w:t>
            </w:r>
            <w:r w:rsidRPr="00A01A6F">
              <w:rPr>
                <w:rFonts w:ascii="Times New Roman" w:hAnsi="Times New Roman" w:cs="Times New Roman"/>
                <w:sz w:val="24"/>
                <w:lang w:eastAsia="ja-JP"/>
              </w:rPr>
              <w:t>(</w:t>
            </w:r>
            <w:proofErr w:type="gramEnd"/>
            <w:r w:rsidRPr="00A01A6F">
              <w:rPr>
                <w:rFonts w:ascii="Times New Roman" w:hAnsi="Times New Roman" w:cs="Times New Roman"/>
                <w:sz w:val="24"/>
                <w:lang w:eastAsia="ja-JP"/>
              </w:rPr>
              <w:t xml:space="preserve">d) and (e) 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68F08338" w14:textId="77777777" w:rsidTr="001B66D7">
        <w:tc>
          <w:tcPr>
            <w:tcW w:w="1172" w:type="dxa"/>
            <w:vAlign w:val="center"/>
          </w:tcPr>
          <w:p w14:paraId="22227B9E" w14:textId="27F7A691" w:rsidR="00DD40A7" w:rsidRPr="00A01A6F" w:rsidRDefault="00FC22F3"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DD40A7" w:rsidRPr="00A01A6F">
              <w:rPr>
                <w:rFonts w:ascii="Times New Roman" w:hAnsi="Times New Roman" w:cs="Times New Roman"/>
                <w:sz w:val="24"/>
                <w:lang w:eastAsia="ja-JP"/>
              </w:rPr>
              <w:t>3a</w:t>
            </w:r>
          </w:p>
        </w:tc>
        <w:tc>
          <w:tcPr>
            <w:tcW w:w="7242" w:type="dxa"/>
            <w:vAlign w:val="center"/>
          </w:tcPr>
          <w:p w14:paraId="1FED2D53" w14:textId="11962365"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Amount of funds for general banking ris</w:t>
            </w:r>
            <w:r w:rsidR="00A01A6F">
              <w:rPr>
                <w:rFonts w:ascii="Times New Roman" w:hAnsi="Times New Roman" w:cs="Times New Roman"/>
                <w:sz w:val="24"/>
                <w:lang w:eastAsia="ja-JP"/>
              </w:rPr>
              <w:t>k in accordance with Article 26(1</w:t>
            </w:r>
            <w:proofErr w:type="gramStart"/>
            <w:r w:rsidR="00A01A6F">
              <w:rPr>
                <w:rFonts w:ascii="Times New Roman" w:hAnsi="Times New Roman" w:cs="Times New Roman"/>
                <w:sz w:val="24"/>
                <w:lang w:eastAsia="ja-JP"/>
              </w:rPr>
              <w:t>)</w:t>
            </w:r>
            <w:r w:rsidRPr="00A01A6F">
              <w:rPr>
                <w:rFonts w:ascii="Times New Roman" w:hAnsi="Times New Roman" w:cs="Times New Roman"/>
                <w:sz w:val="24"/>
                <w:lang w:eastAsia="ja-JP"/>
              </w:rPr>
              <w:t>(</w:t>
            </w:r>
            <w:proofErr w:type="gramEnd"/>
            <w:r w:rsidRPr="00A01A6F">
              <w:rPr>
                <w:rFonts w:ascii="Times New Roman" w:hAnsi="Times New Roman" w:cs="Times New Roman"/>
                <w:sz w:val="24"/>
                <w:lang w:eastAsia="ja-JP"/>
              </w:rPr>
              <w:t xml:space="preserve">f) 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2B2C04AA" w14:textId="77777777" w:rsidTr="001B66D7">
        <w:tc>
          <w:tcPr>
            <w:tcW w:w="1172" w:type="dxa"/>
            <w:vAlign w:val="center"/>
          </w:tcPr>
          <w:p w14:paraId="6DE6F2C7"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w:t>
            </w:r>
          </w:p>
        </w:tc>
        <w:tc>
          <w:tcPr>
            <w:tcW w:w="7242" w:type="dxa"/>
            <w:vAlign w:val="center"/>
          </w:tcPr>
          <w:p w14:paraId="4FFCAAA9" w14:textId="52EDAC5C"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Amount of qualifying i</w:t>
            </w:r>
            <w:r w:rsidR="00A01A6F">
              <w:rPr>
                <w:rFonts w:ascii="Times New Roman" w:hAnsi="Times New Roman" w:cs="Times New Roman"/>
                <w:sz w:val="24"/>
                <w:lang w:eastAsia="ja-JP"/>
              </w:rPr>
              <w:t>tems referred to in Article 484</w:t>
            </w:r>
            <w:r w:rsidRPr="00A01A6F">
              <w:rPr>
                <w:rFonts w:ascii="Times New Roman" w:hAnsi="Times New Roman" w:cs="Times New Roman"/>
                <w:sz w:val="24"/>
                <w:lang w:eastAsia="ja-JP"/>
              </w:rPr>
              <w:t xml:space="preserve">(3) 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 xml:space="preserve"> and the related share premium accounts subject to phase out from C</w:t>
            </w:r>
            <w:r w:rsidR="00A01A6F">
              <w:rPr>
                <w:rFonts w:ascii="Times New Roman" w:hAnsi="Times New Roman" w:cs="Times New Roman"/>
                <w:sz w:val="24"/>
                <w:lang w:eastAsia="ja-JP"/>
              </w:rPr>
              <w:t>ET1 as described in Article 486</w:t>
            </w:r>
            <w:r w:rsidRPr="00A01A6F">
              <w:rPr>
                <w:rFonts w:ascii="Times New Roman" w:hAnsi="Times New Roman" w:cs="Times New Roman"/>
                <w:sz w:val="24"/>
                <w:lang w:eastAsia="ja-JP"/>
              </w:rPr>
              <w:t xml:space="preserve">(2) 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2EA561C4" w14:textId="77777777" w:rsidTr="001B66D7">
        <w:tc>
          <w:tcPr>
            <w:tcW w:w="1172" w:type="dxa"/>
            <w:vAlign w:val="center"/>
          </w:tcPr>
          <w:p w14:paraId="52BBBD7B"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w:t>
            </w:r>
          </w:p>
        </w:tc>
        <w:tc>
          <w:tcPr>
            <w:tcW w:w="7242" w:type="dxa"/>
            <w:vAlign w:val="center"/>
          </w:tcPr>
          <w:p w14:paraId="0760FBB7" w14:textId="408F01C2"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Minority interests (amount allowed in consolidated CET1) as per Article 84 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30D8D148" w14:textId="77777777" w:rsidTr="001B66D7">
        <w:tc>
          <w:tcPr>
            <w:tcW w:w="1172" w:type="dxa"/>
            <w:vAlign w:val="center"/>
          </w:tcPr>
          <w:p w14:paraId="19A45E38" w14:textId="00F547F1" w:rsidR="00DD40A7" w:rsidRPr="00A01A6F" w:rsidRDefault="00FC22F3"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lastRenderedPageBreak/>
              <w:t>EU-</w:t>
            </w:r>
            <w:r w:rsidR="00DD40A7" w:rsidRPr="00A01A6F">
              <w:rPr>
                <w:rFonts w:ascii="Times New Roman" w:hAnsi="Times New Roman" w:cs="Times New Roman"/>
                <w:sz w:val="24"/>
                <w:lang w:eastAsia="ja-JP"/>
              </w:rPr>
              <w:t>5a</w:t>
            </w:r>
          </w:p>
        </w:tc>
        <w:tc>
          <w:tcPr>
            <w:tcW w:w="7242" w:type="dxa"/>
            <w:vAlign w:val="center"/>
          </w:tcPr>
          <w:p w14:paraId="51BF3ECB" w14:textId="317AD5CF"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Independently reviewed interim profits net of any foreseeable charg</w:t>
            </w:r>
            <w:r w:rsidR="007335CF">
              <w:rPr>
                <w:rFonts w:ascii="Times New Roman" w:hAnsi="Times New Roman" w:cs="Times New Roman"/>
                <w:sz w:val="24"/>
                <w:lang w:eastAsia="ja-JP"/>
              </w:rPr>
              <w:t>e or dividend as per Article 26</w:t>
            </w:r>
            <w:r w:rsidRPr="00A01A6F">
              <w:rPr>
                <w:rFonts w:ascii="Times New Roman" w:hAnsi="Times New Roman" w:cs="Times New Roman"/>
                <w:sz w:val="24"/>
                <w:lang w:eastAsia="ja-JP"/>
              </w:rPr>
              <w:t xml:space="preserve">(2) 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78C034F0" w14:textId="77777777" w:rsidTr="001B66D7">
        <w:tc>
          <w:tcPr>
            <w:tcW w:w="1172" w:type="dxa"/>
            <w:vAlign w:val="center"/>
          </w:tcPr>
          <w:p w14:paraId="08E18157"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w:t>
            </w:r>
          </w:p>
        </w:tc>
        <w:tc>
          <w:tcPr>
            <w:tcW w:w="7242" w:type="dxa"/>
            <w:vAlign w:val="center"/>
          </w:tcPr>
          <w:p w14:paraId="4E2B9356" w14:textId="37085E8A"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Sum of rows 1 to </w:t>
            </w:r>
            <w:r w:rsidR="00A01A6F">
              <w:rPr>
                <w:rFonts w:ascii="Times New Roman" w:hAnsi="Times New Roman" w:cs="Times New Roman"/>
                <w:sz w:val="24"/>
                <w:lang w:eastAsia="ja-JP"/>
              </w:rPr>
              <w:t>EU-</w:t>
            </w:r>
            <w:r w:rsidRPr="00A01A6F">
              <w:rPr>
                <w:rFonts w:ascii="Times New Roman" w:hAnsi="Times New Roman" w:cs="Times New Roman"/>
                <w:sz w:val="24"/>
                <w:lang w:eastAsia="ja-JP"/>
              </w:rPr>
              <w:t>5a.</w:t>
            </w:r>
          </w:p>
        </w:tc>
      </w:tr>
      <w:tr w:rsidR="00DD40A7" w:rsidRPr="00A95602" w14:paraId="6D82B581" w14:textId="77777777" w:rsidTr="001B66D7">
        <w:tc>
          <w:tcPr>
            <w:tcW w:w="1172" w:type="dxa"/>
            <w:vAlign w:val="center"/>
          </w:tcPr>
          <w:p w14:paraId="00BBCE35"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w:t>
            </w:r>
          </w:p>
        </w:tc>
        <w:tc>
          <w:tcPr>
            <w:tcW w:w="7242" w:type="dxa"/>
            <w:vAlign w:val="center"/>
          </w:tcPr>
          <w:p w14:paraId="3FE273D6" w14:textId="18BF158C"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Additional value adjustments in accordance with Article 34 and 105 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2AC9616F" w14:textId="77777777" w:rsidTr="001B66D7">
        <w:tc>
          <w:tcPr>
            <w:tcW w:w="1172" w:type="dxa"/>
            <w:vAlign w:val="center"/>
          </w:tcPr>
          <w:p w14:paraId="4A79F639"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8</w:t>
            </w:r>
          </w:p>
        </w:tc>
        <w:tc>
          <w:tcPr>
            <w:tcW w:w="7242" w:type="dxa"/>
            <w:vAlign w:val="center"/>
          </w:tcPr>
          <w:p w14:paraId="43E7B2F6" w14:textId="53D8A3D3"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Intangible assets (net of related tax liability)</w:t>
            </w:r>
            <w:r w:rsidR="007335CF">
              <w:rPr>
                <w:rFonts w:ascii="Times New Roman" w:hAnsi="Times New Roman" w:cs="Times New Roman"/>
                <w:sz w:val="24"/>
                <w:lang w:eastAsia="ja-JP"/>
              </w:rPr>
              <w:t xml:space="preserve"> in accordance with Articles 36(1</w:t>
            </w:r>
            <w:proofErr w:type="gramStart"/>
            <w:r w:rsidR="007335CF">
              <w:rPr>
                <w:rFonts w:ascii="Times New Roman" w:hAnsi="Times New Roman" w:cs="Times New Roman"/>
                <w:sz w:val="24"/>
                <w:lang w:eastAsia="ja-JP"/>
              </w:rPr>
              <w:t>)</w:t>
            </w:r>
            <w:r w:rsidRPr="00A01A6F">
              <w:rPr>
                <w:rFonts w:ascii="Times New Roman" w:hAnsi="Times New Roman" w:cs="Times New Roman"/>
                <w:sz w:val="24"/>
                <w:lang w:eastAsia="ja-JP"/>
              </w:rPr>
              <w:t>(</w:t>
            </w:r>
            <w:proofErr w:type="gramEnd"/>
            <w:r w:rsidRPr="00A01A6F">
              <w:rPr>
                <w:rFonts w:ascii="Times New Roman" w:hAnsi="Times New Roman" w:cs="Times New Roman"/>
                <w:sz w:val="24"/>
                <w:lang w:eastAsia="ja-JP"/>
              </w:rPr>
              <w:t xml:space="preserve">b) and 37 of </w:t>
            </w:r>
            <w:r w:rsidR="00AC565D">
              <w:rPr>
                <w:rFonts w:ascii="Times New Roman" w:hAnsi="Times New Roman" w:cs="Times New Roman"/>
                <w:sz w:val="24"/>
                <w:lang w:eastAsia="ja-JP"/>
              </w:rPr>
              <w:t>CRR</w:t>
            </w:r>
            <w:r w:rsidR="00F15397">
              <w:rPr>
                <w:rFonts w:ascii="Times New Roman" w:hAnsi="Times New Roman" w:cs="Times New Roman"/>
                <w:sz w:val="24"/>
                <w:lang w:eastAsia="ja-JP"/>
              </w:rPr>
              <w:t xml:space="preserve"> (negative amount)</w:t>
            </w:r>
            <w:r w:rsidRPr="00A01A6F">
              <w:rPr>
                <w:rFonts w:ascii="Times New Roman" w:hAnsi="Times New Roman" w:cs="Times New Roman"/>
                <w:sz w:val="24"/>
                <w:lang w:eastAsia="ja-JP"/>
              </w:rPr>
              <w:t>.</w:t>
            </w:r>
          </w:p>
        </w:tc>
      </w:tr>
      <w:tr w:rsidR="00DD40A7" w:rsidRPr="00A95602" w14:paraId="24A17A3F" w14:textId="77777777" w:rsidTr="001B66D7">
        <w:tc>
          <w:tcPr>
            <w:tcW w:w="1172" w:type="dxa"/>
            <w:vAlign w:val="center"/>
          </w:tcPr>
          <w:p w14:paraId="0AAB9F8B"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 xml:space="preserve">9 </w:t>
            </w:r>
          </w:p>
        </w:tc>
        <w:tc>
          <w:tcPr>
            <w:tcW w:w="7242" w:type="dxa"/>
            <w:vAlign w:val="center"/>
          </w:tcPr>
          <w:p w14:paraId="75143E28" w14:textId="045DB9B6"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[An Empty Set under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148640C7" w14:textId="77777777" w:rsidTr="001B66D7">
        <w:tc>
          <w:tcPr>
            <w:tcW w:w="1172" w:type="dxa"/>
            <w:vAlign w:val="center"/>
          </w:tcPr>
          <w:p w14:paraId="61DB8426"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10</w:t>
            </w:r>
          </w:p>
        </w:tc>
        <w:tc>
          <w:tcPr>
            <w:tcW w:w="7242" w:type="dxa"/>
            <w:vAlign w:val="center"/>
          </w:tcPr>
          <w:p w14:paraId="3D6987A9" w14:textId="4D8FD769"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Deferred tax assets that rely on future profitability excluding those arising from temporary differences (net of related tax liability whe</w:t>
            </w:r>
            <w:r w:rsidR="007335CF">
              <w:rPr>
                <w:rFonts w:ascii="Times New Roman" w:hAnsi="Times New Roman" w:cs="Times New Roman"/>
                <w:sz w:val="24"/>
                <w:lang w:eastAsia="ja-JP"/>
              </w:rPr>
              <w:t>re the conditions in Article 38(3) are met) in accordance with Articles 36(1</w:t>
            </w:r>
            <w:proofErr w:type="gramStart"/>
            <w:r w:rsidR="007335CF">
              <w:rPr>
                <w:rFonts w:ascii="Times New Roman" w:hAnsi="Times New Roman" w:cs="Times New Roman"/>
                <w:sz w:val="24"/>
                <w:lang w:eastAsia="ja-JP"/>
              </w:rPr>
              <w:t>)</w:t>
            </w:r>
            <w:r w:rsidRPr="00A01A6F">
              <w:rPr>
                <w:rFonts w:ascii="Times New Roman" w:hAnsi="Times New Roman" w:cs="Times New Roman"/>
                <w:sz w:val="24"/>
                <w:lang w:eastAsia="ja-JP"/>
              </w:rPr>
              <w:t>(</w:t>
            </w:r>
            <w:proofErr w:type="gramEnd"/>
            <w:r w:rsidRPr="00A01A6F">
              <w:rPr>
                <w:rFonts w:ascii="Times New Roman" w:hAnsi="Times New Roman" w:cs="Times New Roman"/>
                <w:sz w:val="24"/>
                <w:lang w:eastAsia="ja-JP"/>
              </w:rPr>
              <w:t xml:space="preserve">c) and 38 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3A2AEBF7" w14:textId="77777777" w:rsidTr="001B66D7">
        <w:tc>
          <w:tcPr>
            <w:tcW w:w="1172" w:type="dxa"/>
            <w:vAlign w:val="center"/>
          </w:tcPr>
          <w:p w14:paraId="7D6FD8B9"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11</w:t>
            </w:r>
          </w:p>
        </w:tc>
        <w:tc>
          <w:tcPr>
            <w:tcW w:w="7242" w:type="dxa"/>
            <w:vAlign w:val="center"/>
          </w:tcPr>
          <w:p w14:paraId="46DA2785" w14:textId="0FEA54FB"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Fair value reserves related to gains or losses on cash flow hedges</w:t>
            </w:r>
            <w:r w:rsidR="006C257B" w:rsidRPr="00A01A6F">
              <w:rPr>
                <w:rFonts w:ascii="Times New Roman" w:hAnsi="Times New Roman" w:cs="Times New Roman"/>
                <w:sz w:val="24"/>
                <w:lang w:eastAsia="ja-JP"/>
              </w:rPr>
              <w:t xml:space="preserve"> of financial instruments that are not </w:t>
            </w:r>
            <w:r w:rsidR="00F15397">
              <w:rPr>
                <w:rFonts w:ascii="Times New Roman" w:hAnsi="Times New Roman" w:cs="Times New Roman"/>
                <w:sz w:val="24"/>
                <w:lang w:eastAsia="ja-JP"/>
              </w:rPr>
              <w:t>valued</w:t>
            </w:r>
            <w:r w:rsidR="00F15397" w:rsidRPr="00A01A6F">
              <w:rPr>
                <w:rFonts w:ascii="Times New Roman" w:hAnsi="Times New Roman" w:cs="Times New Roman"/>
                <w:sz w:val="24"/>
                <w:lang w:eastAsia="ja-JP"/>
              </w:rPr>
              <w:t xml:space="preserve"> </w:t>
            </w:r>
            <w:r w:rsidR="006C257B" w:rsidRPr="00A01A6F">
              <w:rPr>
                <w:rFonts w:ascii="Times New Roman" w:hAnsi="Times New Roman" w:cs="Times New Roman"/>
                <w:sz w:val="24"/>
                <w:lang w:eastAsia="ja-JP"/>
              </w:rPr>
              <w:t xml:space="preserve">at fair value </w:t>
            </w:r>
            <w:r w:rsidRPr="00A01A6F">
              <w:rPr>
                <w:rFonts w:ascii="Times New Roman" w:hAnsi="Times New Roman" w:cs="Times New Roman"/>
                <w:sz w:val="24"/>
                <w:lang w:eastAsia="ja-JP"/>
              </w:rPr>
              <w:t>in accordance with Article 33</w:t>
            </w:r>
            <w:r w:rsidR="007C480D">
              <w:rPr>
                <w:rFonts w:ascii="Times New Roman" w:hAnsi="Times New Roman" w:cs="Times New Roman"/>
                <w:sz w:val="24"/>
                <w:lang w:eastAsia="ja-JP"/>
              </w:rPr>
              <w:t>(</w:t>
            </w:r>
            <w:r w:rsidR="006E2336">
              <w:rPr>
                <w:rFonts w:ascii="Times New Roman" w:hAnsi="Times New Roman" w:cs="Times New Roman"/>
                <w:sz w:val="24"/>
                <w:lang w:eastAsia="ja-JP"/>
              </w:rPr>
              <w:t>1</w:t>
            </w:r>
            <w:proofErr w:type="gramStart"/>
            <w:r w:rsidR="007C480D">
              <w:rPr>
                <w:rFonts w:ascii="Times New Roman" w:hAnsi="Times New Roman" w:cs="Times New Roman"/>
                <w:sz w:val="24"/>
                <w:lang w:eastAsia="ja-JP"/>
              </w:rPr>
              <w:t>)</w:t>
            </w:r>
            <w:r w:rsidRPr="00A01A6F">
              <w:rPr>
                <w:rFonts w:ascii="Times New Roman" w:hAnsi="Times New Roman" w:cs="Times New Roman"/>
                <w:sz w:val="24"/>
                <w:lang w:eastAsia="ja-JP"/>
              </w:rPr>
              <w:t>(</w:t>
            </w:r>
            <w:proofErr w:type="gramEnd"/>
            <w:r w:rsidRPr="00A01A6F">
              <w:rPr>
                <w:rFonts w:ascii="Times New Roman" w:hAnsi="Times New Roman" w:cs="Times New Roman"/>
                <w:sz w:val="24"/>
                <w:lang w:eastAsia="ja-JP"/>
              </w:rPr>
              <w:t xml:space="preserve">a) 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145527EB" w14:textId="77777777" w:rsidTr="001B66D7">
        <w:tc>
          <w:tcPr>
            <w:tcW w:w="1172" w:type="dxa"/>
            <w:vAlign w:val="center"/>
          </w:tcPr>
          <w:p w14:paraId="1BAB239F"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12</w:t>
            </w:r>
          </w:p>
        </w:tc>
        <w:tc>
          <w:tcPr>
            <w:tcW w:w="7242" w:type="dxa"/>
            <w:vAlign w:val="center"/>
          </w:tcPr>
          <w:p w14:paraId="0F8249C8" w14:textId="6972E213" w:rsidR="00DD40A7" w:rsidRPr="00A01A6F" w:rsidRDefault="00DD40A7" w:rsidP="00BD7264">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Negative amounts resulting from the calculation of expected loss amounts</w:t>
            </w:r>
            <w:r w:rsidR="007335CF">
              <w:rPr>
                <w:rFonts w:ascii="Times New Roman" w:hAnsi="Times New Roman" w:cs="Times New Roman"/>
                <w:sz w:val="24"/>
                <w:lang w:eastAsia="ja-JP"/>
              </w:rPr>
              <w:t xml:space="preserve"> in accordance with Articles 36(1</w:t>
            </w:r>
            <w:proofErr w:type="gramStart"/>
            <w:r w:rsidR="007335CF">
              <w:rPr>
                <w:rFonts w:ascii="Times New Roman" w:hAnsi="Times New Roman" w:cs="Times New Roman"/>
                <w:sz w:val="24"/>
                <w:lang w:eastAsia="ja-JP"/>
              </w:rPr>
              <w:t>)</w:t>
            </w:r>
            <w:r w:rsidRPr="00A01A6F">
              <w:rPr>
                <w:rFonts w:ascii="Times New Roman" w:hAnsi="Times New Roman" w:cs="Times New Roman"/>
                <w:sz w:val="24"/>
                <w:lang w:eastAsia="ja-JP"/>
              </w:rPr>
              <w:t>(</w:t>
            </w:r>
            <w:proofErr w:type="gramEnd"/>
            <w:r w:rsidRPr="00A01A6F">
              <w:rPr>
                <w:rFonts w:ascii="Times New Roman" w:hAnsi="Times New Roman" w:cs="Times New Roman"/>
                <w:sz w:val="24"/>
                <w:lang w:eastAsia="ja-JP"/>
              </w:rPr>
              <w:t>d)</w:t>
            </w:r>
            <w:r w:rsidR="00BD7264">
              <w:rPr>
                <w:rFonts w:ascii="Times New Roman" w:hAnsi="Times New Roman" w:cs="Times New Roman"/>
                <w:sz w:val="24"/>
                <w:lang w:eastAsia="ja-JP"/>
              </w:rPr>
              <w:t xml:space="preserve"> and</w:t>
            </w:r>
            <w:r w:rsidRPr="00A01A6F">
              <w:rPr>
                <w:rFonts w:ascii="Times New Roman" w:hAnsi="Times New Roman" w:cs="Times New Roman"/>
                <w:sz w:val="24"/>
                <w:lang w:eastAsia="ja-JP"/>
              </w:rPr>
              <w:t xml:space="preserve"> 40 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4B953853" w14:textId="77777777" w:rsidTr="001B66D7">
        <w:tc>
          <w:tcPr>
            <w:tcW w:w="1172" w:type="dxa"/>
            <w:vAlign w:val="center"/>
          </w:tcPr>
          <w:p w14:paraId="21E926EF"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13</w:t>
            </w:r>
          </w:p>
        </w:tc>
        <w:tc>
          <w:tcPr>
            <w:tcW w:w="7242" w:type="dxa"/>
            <w:vAlign w:val="center"/>
          </w:tcPr>
          <w:p w14:paraId="08875A05" w14:textId="3A165510"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Any increase in equity </w:t>
            </w:r>
            <w:proofErr w:type="gramStart"/>
            <w:r w:rsidRPr="00A01A6F">
              <w:rPr>
                <w:rFonts w:ascii="Times New Roman" w:hAnsi="Times New Roman" w:cs="Times New Roman"/>
                <w:sz w:val="24"/>
                <w:lang w:eastAsia="ja-JP"/>
              </w:rPr>
              <w:t>that results</w:t>
            </w:r>
            <w:proofErr w:type="gramEnd"/>
            <w:r w:rsidRPr="00A01A6F">
              <w:rPr>
                <w:rFonts w:ascii="Times New Roman" w:hAnsi="Times New Roman" w:cs="Times New Roman"/>
                <w:sz w:val="24"/>
                <w:lang w:eastAsia="ja-JP"/>
              </w:rPr>
              <w:t xml:space="preserve"> from </w:t>
            </w:r>
            <w:proofErr w:type="spellStart"/>
            <w:r w:rsidRPr="00A01A6F">
              <w:rPr>
                <w:rFonts w:ascii="Times New Roman" w:hAnsi="Times New Roman" w:cs="Times New Roman"/>
                <w:sz w:val="24"/>
                <w:lang w:eastAsia="ja-JP"/>
              </w:rPr>
              <w:t>securitised</w:t>
            </w:r>
            <w:proofErr w:type="spellEnd"/>
            <w:r w:rsidRPr="00A01A6F">
              <w:rPr>
                <w:rFonts w:ascii="Times New Roman" w:hAnsi="Times New Roman" w:cs="Times New Roman"/>
                <w:sz w:val="24"/>
                <w:lang w:eastAsia="ja-JP"/>
              </w:rPr>
              <w:t xml:space="preserve"> asset</w:t>
            </w:r>
            <w:r w:rsidR="007335CF">
              <w:rPr>
                <w:rFonts w:ascii="Times New Roman" w:hAnsi="Times New Roman" w:cs="Times New Roman"/>
                <w:sz w:val="24"/>
                <w:lang w:eastAsia="ja-JP"/>
              </w:rPr>
              <w:t>s in accordance with Article 32</w:t>
            </w:r>
            <w:r w:rsidRPr="00A01A6F">
              <w:rPr>
                <w:rFonts w:ascii="Times New Roman" w:hAnsi="Times New Roman" w:cs="Times New Roman"/>
                <w:sz w:val="24"/>
                <w:lang w:eastAsia="ja-JP"/>
              </w:rPr>
              <w:t xml:space="preserve">(1) 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5BC22191" w14:textId="77777777" w:rsidTr="001B66D7">
        <w:tc>
          <w:tcPr>
            <w:tcW w:w="1172" w:type="dxa"/>
            <w:vAlign w:val="center"/>
          </w:tcPr>
          <w:p w14:paraId="369E9F12"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14</w:t>
            </w:r>
          </w:p>
        </w:tc>
        <w:tc>
          <w:tcPr>
            <w:tcW w:w="7242" w:type="dxa"/>
            <w:vAlign w:val="center"/>
          </w:tcPr>
          <w:p w14:paraId="7E4943FC" w14:textId="5385A283"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Gains or losses on liabilities valued at fair value resulting from changes in own credit standing in accordance with Article 33</w:t>
            </w:r>
            <w:r w:rsidR="007C480D">
              <w:rPr>
                <w:rFonts w:ascii="Times New Roman" w:hAnsi="Times New Roman" w:cs="Times New Roman"/>
                <w:sz w:val="24"/>
                <w:lang w:eastAsia="ja-JP"/>
              </w:rPr>
              <w:t>(</w:t>
            </w:r>
            <w:r w:rsidR="00AC565D">
              <w:rPr>
                <w:rFonts w:ascii="Times New Roman" w:hAnsi="Times New Roman" w:cs="Times New Roman"/>
                <w:sz w:val="24"/>
                <w:lang w:eastAsia="ja-JP"/>
              </w:rPr>
              <w:t>1</w:t>
            </w:r>
            <w:proofErr w:type="gramStart"/>
            <w:r w:rsidR="007C480D">
              <w:rPr>
                <w:rFonts w:ascii="Times New Roman" w:hAnsi="Times New Roman" w:cs="Times New Roman"/>
                <w:sz w:val="24"/>
                <w:lang w:eastAsia="ja-JP"/>
              </w:rPr>
              <w:t>)</w:t>
            </w:r>
            <w:r w:rsidRPr="00A01A6F">
              <w:rPr>
                <w:rFonts w:ascii="Times New Roman" w:hAnsi="Times New Roman" w:cs="Times New Roman"/>
                <w:sz w:val="24"/>
                <w:lang w:eastAsia="ja-JP"/>
              </w:rPr>
              <w:t>(</w:t>
            </w:r>
            <w:proofErr w:type="gramEnd"/>
            <w:r w:rsidRPr="00A01A6F">
              <w:rPr>
                <w:rFonts w:ascii="Times New Roman" w:hAnsi="Times New Roman" w:cs="Times New Roman"/>
                <w:sz w:val="24"/>
                <w:lang w:eastAsia="ja-JP"/>
              </w:rPr>
              <w:t xml:space="preserve">b) 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5ACB1795" w14:textId="77777777" w:rsidTr="001B66D7">
        <w:tc>
          <w:tcPr>
            <w:tcW w:w="1172" w:type="dxa"/>
            <w:vAlign w:val="center"/>
          </w:tcPr>
          <w:p w14:paraId="418E9DCE"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15</w:t>
            </w:r>
          </w:p>
        </w:tc>
        <w:tc>
          <w:tcPr>
            <w:tcW w:w="7242" w:type="dxa"/>
            <w:vAlign w:val="center"/>
          </w:tcPr>
          <w:p w14:paraId="1748B16B" w14:textId="4AB4881D"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Defined-benefit pension fund assets in accordance with Articles 36</w:t>
            </w:r>
            <w:r w:rsidR="007335CF">
              <w:rPr>
                <w:rFonts w:ascii="Times New Roman" w:hAnsi="Times New Roman" w:cs="Times New Roman"/>
                <w:sz w:val="24"/>
                <w:lang w:eastAsia="ja-JP"/>
              </w:rPr>
              <w:t>(1</w:t>
            </w:r>
            <w:proofErr w:type="gramStart"/>
            <w:r w:rsidR="007335CF">
              <w:rPr>
                <w:rFonts w:ascii="Times New Roman" w:hAnsi="Times New Roman" w:cs="Times New Roman"/>
                <w:sz w:val="24"/>
                <w:lang w:eastAsia="ja-JP"/>
              </w:rPr>
              <w:t>)</w:t>
            </w:r>
            <w:r w:rsidRPr="00A01A6F">
              <w:rPr>
                <w:rFonts w:ascii="Times New Roman" w:hAnsi="Times New Roman" w:cs="Times New Roman"/>
                <w:sz w:val="24"/>
                <w:lang w:eastAsia="ja-JP"/>
              </w:rPr>
              <w:t>(</w:t>
            </w:r>
            <w:proofErr w:type="gramEnd"/>
            <w:r w:rsidRPr="00A01A6F">
              <w:rPr>
                <w:rFonts w:ascii="Times New Roman" w:hAnsi="Times New Roman" w:cs="Times New Roman"/>
                <w:sz w:val="24"/>
                <w:lang w:eastAsia="ja-JP"/>
              </w:rPr>
              <w:t xml:space="preserve">e) and 41 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0E7078DE" w14:textId="77777777" w:rsidTr="001B66D7">
        <w:tc>
          <w:tcPr>
            <w:tcW w:w="1172" w:type="dxa"/>
            <w:vAlign w:val="center"/>
          </w:tcPr>
          <w:p w14:paraId="3C54946F"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16</w:t>
            </w:r>
          </w:p>
        </w:tc>
        <w:tc>
          <w:tcPr>
            <w:tcW w:w="7242" w:type="dxa"/>
            <w:vAlign w:val="center"/>
          </w:tcPr>
          <w:p w14:paraId="13CF2FFB" w14:textId="1ABB4379" w:rsidR="00DD40A7" w:rsidRPr="00A01A6F" w:rsidRDefault="006C257B"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Direct, indirect and synthetic h</w:t>
            </w:r>
            <w:r w:rsidR="00DD40A7" w:rsidRPr="00A01A6F">
              <w:rPr>
                <w:rFonts w:ascii="Times New Roman" w:hAnsi="Times New Roman" w:cs="Times New Roman"/>
                <w:sz w:val="24"/>
                <w:lang w:eastAsia="ja-JP"/>
              </w:rPr>
              <w:t xml:space="preserve">oldings by an institution of own CET1 instruments as described in Articles 36 (1) (f) and 42 of </w:t>
            </w:r>
            <w:r w:rsidR="00AC565D">
              <w:rPr>
                <w:rFonts w:ascii="Times New Roman" w:hAnsi="Times New Roman" w:cs="Times New Roman"/>
                <w:sz w:val="24"/>
                <w:lang w:eastAsia="ja-JP"/>
              </w:rPr>
              <w:t>CRR</w:t>
            </w:r>
            <w:r w:rsidR="00DD40A7" w:rsidRPr="00A01A6F">
              <w:rPr>
                <w:rFonts w:ascii="Times New Roman" w:hAnsi="Times New Roman" w:cs="Times New Roman"/>
                <w:sz w:val="24"/>
                <w:lang w:eastAsia="ja-JP"/>
              </w:rPr>
              <w:t xml:space="preserve"> (negative amount).</w:t>
            </w:r>
          </w:p>
        </w:tc>
      </w:tr>
      <w:tr w:rsidR="00DD40A7" w:rsidRPr="00A95602" w14:paraId="21E2DF49" w14:textId="77777777" w:rsidTr="001B66D7">
        <w:tc>
          <w:tcPr>
            <w:tcW w:w="1172" w:type="dxa"/>
            <w:vAlign w:val="center"/>
          </w:tcPr>
          <w:p w14:paraId="0BD99778"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17</w:t>
            </w:r>
          </w:p>
        </w:tc>
        <w:tc>
          <w:tcPr>
            <w:tcW w:w="7242" w:type="dxa"/>
            <w:vAlign w:val="center"/>
          </w:tcPr>
          <w:p w14:paraId="3594A0A0" w14:textId="55A25B3B"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Direct, indirect and synthetic holdings of the CET1 instruments of financial sector entities where those entities have reciprocal cross holdings with the institution designed to inflate artificially the own funds of the institution as described in Articles</w:t>
            </w:r>
            <w:r w:rsidR="007335CF">
              <w:rPr>
                <w:rFonts w:ascii="Times New Roman" w:hAnsi="Times New Roman" w:cs="Times New Roman"/>
                <w:sz w:val="24"/>
                <w:lang w:eastAsia="ja-JP"/>
              </w:rPr>
              <w:t xml:space="preserve">  36(1)</w:t>
            </w:r>
            <w:r w:rsidRPr="00A01A6F">
              <w:rPr>
                <w:rFonts w:ascii="Times New Roman" w:hAnsi="Times New Roman" w:cs="Times New Roman"/>
                <w:sz w:val="24"/>
                <w:lang w:eastAsia="ja-JP"/>
              </w:rPr>
              <w:t xml:space="preserve">(g) and 44 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68837F75" w14:textId="77777777" w:rsidTr="001B66D7">
        <w:tc>
          <w:tcPr>
            <w:tcW w:w="1172" w:type="dxa"/>
            <w:vAlign w:val="center"/>
          </w:tcPr>
          <w:p w14:paraId="179CC019"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18</w:t>
            </w:r>
          </w:p>
        </w:tc>
        <w:tc>
          <w:tcPr>
            <w:tcW w:w="7242" w:type="dxa"/>
            <w:vAlign w:val="center"/>
          </w:tcPr>
          <w:p w14:paraId="73824AFB" w14:textId="6D941255"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Direct, indirect and synthetic holdings of the CET1 instruments of financial sector entities where the institution does not have a significant </w:t>
            </w:r>
            <w:r w:rsidRPr="00A01A6F">
              <w:rPr>
                <w:rFonts w:ascii="Times New Roman" w:hAnsi="Times New Roman" w:cs="Times New Roman"/>
                <w:sz w:val="24"/>
                <w:lang w:eastAsia="ja-JP"/>
              </w:rPr>
              <w:lastRenderedPageBreak/>
              <w:t>investment in those entities (amount above 10% threshold and net of eligible short positio</w:t>
            </w:r>
            <w:r w:rsidR="007335CF">
              <w:rPr>
                <w:rFonts w:ascii="Times New Roman" w:hAnsi="Times New Roman" w:cs="Times New Roman"/>
                <w:sz w:val="24"/>
                <w:lang w:eastAsia="ja-JP"/>
              </w:rPr>
              <w:t>ns) as described in Articles 36(1)</w:t>
            </w:r>
            <w:r w:rsidRPr="00A01A6F">
              <w:rPr>
                <w:rFonts w:ascii="Times New Roman" w:hAnsi="Times New Roman" w:cs="Times New Roman"/>
                <w:sz w:val="24"/>
                <w:lang w:eastAsia="ja-JP"/>
              </w:rPr>
              <w:t>(h), 43, 45, 46</w:t>
            </w:r>
            <w:r w:rsidR="00AC565D">
              <w:rPr>
                <w:rFonts w:ascii="Times New Roman" w:hAnsi="Times New Roman" w:cs="Times New Roman"/>
                <w:sz w:val="24"/>
                <w:lang w:eastAsia="ja-JP"/>
              </w:rPr>
              <w:t>,</w:t>
            </w:r>
            <w:r w:rsidR="007335CF">
              <w:rPr>
                <w:rFonts w:ascii="Times New Roman" w:hAnsi="Times New Roman" w:cs="Times New Roman"/>
                <w:sz w:val="24"/>
                <w:lang w:eastAsia="ja-JP"/>
              </w:rPr>
              <w:t>49(2)</w:t>
            </w:r>
            <w:r w:rsidRPr="00A01A6F">
              <w:rPr>
                <w:rFonts w:ascii="Times New Roman" w:hAnsi="Times New Roman" w:cs="Times New Roman"/>
                <w:sz w:val="24"/>
                <w:lang w:eastAsia="ja-JP"/>
              </w:rPr>
              <w:t>(3)</w:t>
            </w:r>
            <w:r w:rsidR="00AC565D">
              <w:rPr>
                <w:rFonts w:ascii="Times New Roman" w:hAnsi="Times New Roman" w:cs="Times New Roman"/>
                <w:sz w:val="24"/>
                <w:lang w:eastAsia="ja-JP"/>
              </w:rPr>
              <w:t xml:space="preserve"> and 79</w:t>
            </w:r>
            <w:r w:rsidRPr="00A01A6F">
              <w:rPr>
                <w:rFonts w:ascii="Times New Roman" w:hAnsi="Times New Roman" w:cs="Times New Roman"/>
                <w:sz w:val="24"/>
                <w:lang w:eastAsia="ja-JP"/>
              </w:rPr>
              <w:t xml:space="preserve"> of </w:t>
            </w:r>
            <w:r w:rsidR="00AC565D">
              <w:rPr>
                <w:rFonts w:ascii="Times New Roman" w:hAnsi="Times New Roman" w:cs="Times New Roman"/>
                <w:sz w:val="24"/>
                <w:lang w:eastAsia="ja-JP"/>
              </w:rPr>
              <w:t xml:space="preserve">CRR </w:t>
            </w:r>
            <w:r w:rsidRPr="00A01A6F">
              <w:rPr>
                <w:rFonts w:ascii="Times New Roman" w:hAnsi="Times New Roman" w:cs="Times New Roman"/>
                <w:sz w:val="24"/>
                <w:lang w:eastAsia="ja-JP"/>
              </w:rPr>
              <w:t>(negative amount).</w:t>
            </w:r>
          </w:p>
        </w:tc>
      </w:tr>
      <w:tr w:rsidR="00DD40A7" w:rsidRPr="00A95602" w14:paraId="422960BD" w14:textId="77777777" w:rsidTr="001B66D7">
        <w:tc>
          <w:tcPr>
            <w:tcW w:w="1172" w:type="dxa"/>
            <w:vAlign w:val="center"/>
          </w:tcPr>
          <w:p w14:paraId="17BDAA83"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lastRenderedPageBreak/>
              <w:t>19</w:t>
            </w:r>
          </w:p>
        </w:tc>
        <w:tc>
          <w:tcPr>
            <w:tcW w:w="7242" w:type="dxa"/>
            <w:vAlign w:val="center"/>
          </w:tcPr>
          <w:p w14:paraId="6243127E" w14:textId="1522B1FC" w:rsidR="00DD40A7" w:rsidRPr="00A01A6F" w:rsidRDefault="00DD40A7" w:rsidP="00BD7264">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Direct, indirect and synthetic holdings by the institution of the CET1 instruments of financial sector entities where the institution has a significant investment in those entities (amount above 10% threshold and net of eligible short positions) as described in Articles 36</w:t>
            </w:r>
            <w:r w:rsidR="007335CF">
              <w:rPr>
                <w:rFonts w:ascii="Times New Roman" w:hAnsi="Times New Roman" w:cs="Times New Roman"/>
                <w:sz w:val="24"/>
                <w:lang w:eastAsia="ja-JP"/>
              </w:rPr>
              <w:t>(1)</w:t>
            </w:r>
            <w:r w:rsidRPr="00A01A6F">
              <w:rPr>
                <w:rFonts w:ascii="Times New Roman" w:hAnsi="Times New Roman" w:cs="Times New Roman"/>
                <w:sz w:val="24"/>
                <w:lang w:eastAsia="ja-JP"/>
              </w:rPr>
              <w:t>(</w:t>
            </w:r>
            <w:proofErr w:type="spellStart"/>
            <w:r w:rsidRPr="00A01A6F">
              <w:rPr>
                <w:rFonts w:ascii="Times New Roman" w:hAnsi="Times New Roman" w:cs="Times New Roman"/>
                <w:sz w:val="24"/>
                <w:lang w:eastAsia="ja-JP"/>
              </w:rPr>
              <w:t>i</w:t>
            </w:r>
            <w:proofErr w:type="spellEnd"/>
            <w:r w:rsidRPr="00A01A6F">
              <w:rPr>
                <w:rFonts w:ascii="Times New Roman" w:hAnsi="Times New Roman" w:cs="Times New Roman"/>
                <w:sz w:val="24"/>
                <w:lang w:eastAsia="ja-JP"/>
              </w:rPr>
              <w:t>), 43, 45, 47, 48</w:t>
            </w:r>
            <w:r w:rsidR="007335CF">
              <w:rPr>
                <w:rFonts w:ascii="Times New Roman" w:hAnsi="Times New Roman" w:cs="Times New Roman"/>
                <w:sz w:val="24"/>
                <w:lang w:eastAsia="ja-JP"/>
              </w:rPr>
              <w:t>(1)(b),</w:t>
            </w:r>
            <w:r w:rsidR="00BD7264">
              <w:rPr>
                <w:rFonts w:ascii="Times New Roman" w:hAnsi="Times New Roman" w:cs="Times New Roman"/>
                <w:sz w:val="24"/>
                <w:lang w:eastAsia="ja-JP"/>
              </w:rPr>
              <w:t xml:space="preserve"> and</w:t>
            </w:r>
            <w:r w:rsidR="007335CF">
              <w:rPr>
                <w:rFonts w:ascii="Times New Roman" w:hAnsi="Times New Roman" w:cs="Times New Roman"/>
                <w:sz w:val="24"/>
                <w:lang w:eastAsia="ja-JP"/>
              </w:rPr>
              <w:t xml:space="preserve"> 49</w:t>
            </w:r>
            <w:r w:rsidRPr="00A01A6F">
              <w:rPr>
                <w:rFonts w:ascii="Times New Roman" w:hAnsi="Times New Roman" w:cs="Times New Roman"/>
                <w:sz w:val="24"/>
                <w:lang w:eastAsia="ja-JP"/>
              </w:rPr>
              <w:t xml:space="preserve">(1) to (3)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45AEA911" w14:textId="77777777" w:rsidTr="001B66D7">
        <w:tc>
          <w:tcPr>
            <w:tcW w:w="1172" w:type="dxa"/>
            <w:vAlign w:val="center"/>
          </w:tcPr>
          <w:p w14:paraId="4870FAE4"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20</w:t>
            </w:r>
          </w:p>
        </w:tc>
        <w:tc>
          <w:tcPr>
            <w:tcW w:w="7242" w:type="dxa"/>
            <w:vAlign w:val="center"/>
          </w:tcPr>
          <w:p w14:paraId="3155DA91" w14:textId="178C1F9F"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[An Empty Set under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7C531C7D" w14:textId="77777777" w:rsidTr="001B66D7">
        <w:tc>
          <w:tcPr>
            <w:tcW w:w="1172" w:type="dxa"/>
            <w:vAlign w:val="center"/>
          </w:tcPr>
          <w:p w14:paraId="5898DA73" w14:textId="58939383" w:rsidR="00DD40A7" w:rsidRPr="00A01A6F" w:rsidRDefault="00FC22F3"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DD40A7" w:rsidRPr="00A01A6F">
              <w:rPr>
                <w:rFonts w:ascii="Times New Roman" w:hAnsi="Times New Roman" w:cs="Times New Roman"/>
                <w:sz w:val="24"/>
                <w:lang w:eastAsia="ja-JP"/>
              </w:rPr>
              <w:t>20a</w:t>
            </w:r>
          </w:p>
        </w:tc>
        <w:tc>
          <w:tcPr>
            <w:tcW w:w="7242" w:type="dxa"/>
            <w:vAlign w:val="center"/>
          </w:tcPr>
          <w:p w14:paraId="7B014F7B" w14:textId="0814F700"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Exposure amount which qualifies for a RW of 1250%, where the institution opts for the deduction alternative, as described in Article 36 (1) (k) 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4931F832" w14:textId="77777777" w:rsidTr="001B66D7">
        <w:tc>
          <w:tcPr>
            <w:tcW w:w="1172" w:type="dxa"/>
            <w:vAlign w:val="center"/>
          </w:tcPr>
          <w:p w14:paraId="1B78DC87" w14:textId="1C947A42" w:rsidR="00DD40A7" w:rsidRPr="00A01A6F" w:rsidRDefault="00FC22F3"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DD40A7" w:rsidRPr="00A01A6F">
              <w:rPr>
                <w:rFonts w:ascii="Times New Roman" w:hAnsi="Times New Roman" w:cs="Times New Roman"/>
                <w:sz w:val="24"/>
                <w:lang w:eastAsia="ja-JP"/>
              </w:rPr>
              <w:t>20b</w:t>
            </w:r>
          </w:p>
        </w:tc>
        <w:tc>
          <w:tcPr>
            <w:tcW w:w="7242" w:type="dxa"/>
            <w:vAlign w:val="center"/>
          </w:tcPr>
          <w:p w14:paraId="06B0D6ED" w14:textId="422AE5CF"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Of the amount reported in </w:t>
            </w:r>
            <w:r w:rsidR="0020146D">
              <w:rPr>
                <w:rFonts w:ascii="Times New Roman" w:hAnsi="Times New Roman" w:cs="Times New Roman"/>
                <w:sz w:val="24"/>
                <w:lang w:eastAsia="ja-JP"/>
              </w:rPr>
              <w:t>EU-</w:t>
            </w:r>
            <w:r w:rsidRPr="00A01A6F">
              <w:rPr>
                <w:rFonts w:ascii="Times New Roman" w:hAnsi="Times New Roman" w:cs="Times New Roman"/>
                <w:sz w:val="24"/>
                <w:lang w:eastAsia="ja-JP"/>
              </w:rPr>
              <w:t>20a, the amount relating to qualifying holdings outside the financial sector</w:t>
            </w:r>
            <w:r w:rsidR="007335CF">
              <w:rPr>
                <w:rFonts w:ascii="Times New Roman" w:hAnsi="Times New Roman" w:cs="Times New Roman"/>
                <w:sz w:val="24"/>
                <w:lang w:eastAsia="ja-JP"/>
              </w:rPr>
              <w:t xml:space="preserve"> in accordance with Articles 36(1)(k)</w:t>
            </w:r>
            <w:r w:rsidR="00CE0E35">
              <w:rPr>
                <w:rFonts w:ascii="Times New Roman" w:hAnsi="Times New Roman" w:cs="Times New Roman"/>
                <w:sz w:val="24"/>
                <w:lang w:eastAsia="ja-JP"/>
              </w:rPr>
              <w:t>(</w:t>
            </w:r>
            <w:proofErr w:type="spellStart"/>
            <w:r w:rsidR="00CE0E35">
              <w:rPr>
                <w:rFonts w:ascii="Times New Roman" w:hAnsi="Times New Roman" w:cs="Times New Roman"/>
                <w:sz w:val="24"/>
                <w:lang w:eastAsia="ja-JP"/>
              </w:rPr>
              <w:t>i</w:t>
            </w:r>
            <w:proofErr w:type="spellEnd"/>
            <w:r w:rsidR="00CE0E35">
              <w:rPr>
                <w:rFonts w:ascii="Times New Roman" w:hAnsi="Times New Roman" w:cs="Times New Roman"/>
                <w:sz w:val="24"/>
                <w:lang w:eastAsia="ja-JP"/>
              </w:rPr>
              <w:t xml:space="preserve">) </w:t>
            </w:r>
            <w:r w:rsidRPr="00A01A6F">
              <w:rPr>
                <w:rFonts w:ascii="Times New Roman" w:hAnsi="Times New Roman" w:cs="Times New Roman"/>
                <w:sz w:val="24"/>
                <w:lang w:eastAsia="ja-JP"/>
              </w:rPr>
              <w:t xml:space="preserve">and 89 to </w:t>
            </w:r>
            <w:r w:rsidR="00CE0E35">
              <w:rPr>
                <w:rFonts w:ascii="Times New Roman" w:hAnsi="Times New Roman" w:cs="Times New Roman"/>
                <w:sz w:val="24"/>
                <w:lang w:eastAsia="ja-JP"/>
              </w:rPr>
              <w:t>91</w:t>
            </w:r>
            <w:r w:rsidRPr="00A01A6F">
              <w:rPr>
                <w:rFonts w:ascii="Times New Roman" w:hAnsi="Times New Roman" w:cs="Times New Roman"/>
                <w:sz w:val="24"/>
                <w:lang w:eastAsia="ja-JP"/>
              </w:rPr>
              <w:t xml:space="preserve"> 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0B99D692" w14:textId="77777777" w:rsidTr="001B66D7">
        <w:tc>
          <w:tcPr>
            <w:tcW w:w="1172" w:type="dxa"/>
            <w:vAlign w:val="center"/>
          </w:tcPr>
          <w:p w14:paraId="1D0B758D" w14:textId="757F0830" w:rsidR="00DD40A7" w:rsidRPr="00A01A6F" w:rsidRDefault="00FC22F3"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DD40A7" w:rsidRPr="00A01A6F">
              <w:rPr>
                <w:rFonts w:ascii="Times New Roman" w:hAnsi="Times New Roman" w:cs="Times New Roman"/>
                <w:sz w:val="24"/>
                <w:lang w:eastAsia="ja-JP"/>
              </w:rPr>
              <w:t>20c</w:t>
            </w:r>
          </w:p>
        </w:tc>
        <w:tc>
          <w:tcPr>
            <w:tcW w:w="7242" w:type="dxa"/>
            <w:vAlign w:val="center"/>
          </w:tcPr>
          <w:p w14:paraId="5BA95E77" w14:textId="7706920C"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Of the amount reported in </w:t>
            </w:r>
            <w:r w:rsidR="0020146D">
              <w:rPr>
                <w:rFonts w:ascii="Times New Roman" w:hAnsi="Times New Roman" w:cs="Times New Roman"/>
                <w:sz w:val="24"/>
                <w:lang w:eastAsia="ja-JP"/>
              </w:rPr>
              <w:t>EU-</w:t>
            </w:r>
            <w:r w:rsidRPr="00A01A6F">
              <w:rPr>
                <w:rFonts w:ascii="Times New Roman" w:hAnsi="Times New Roman" w:cs="Times New Roman"/>
                <w:sz w:val="24"/>
                <w:lang w:eastAsia="ja-JP"/>
              </w:rPr>
              <w:t xml:space="preserve">20a, the amount relating to </w:t>
            </w:r>
            <w:proofErr w:type="spellStart"/>
            <w:r w:rsidRPr="00A01A6F">
              <w:rPr>
                <w:rFonts w:ascii="Times New Roman" w:hAnsi="Times New Roman" w:cs="Times New Roman"/>
                <w:sz w:val="24"/>
                <w:lang w:eastAsia="ja-JP"/>
              </w:rPr>
              <w:t>securitisation</w:t>
            </w:r>
            <w:proofErr w:type="spellEnd"/>
            <w:r w:rsidRPr="00A01A6F">
              <w:rPr>
                <w:rFonts w:ascii="Times New Roman" w:hAnsi="Times New Roman" w:cs="Times New Roman"/>
                <w:sz w:val="24"/>
                <w:lang w:eastAsia="ja-JP"/>
              </w:rPr>
              <w:t xml:space="preserve"> positions, in accordance with Articles 36</w:t>
            </w:r>
            <w:r w:rsidR="007335CF">
              <w:rPr>
                <w:rFonts w:ascii="Times New Roman" w:hAnsi="Times New Roman" w:cs="Times New Roman"/>
                <w:sz w:val="24"/>
                <w:lang w:eastAsia="ja-JP"/>
              </w:rPr>
              <w:t>(1)(k)(ii), 243(1)(b), 244(1)</w:t>
            </w:r>
            <w:r w:rsidRPr="00A01A6F">
              <w:rPr>
                <w:rFonts w:ascii="Times New Roman" w:hAnsi="Times New Roman" w:cs="Times New Roman"/>
                <w:sz w:val="24"/>
                <w:lang w:eastAsia="ja-JP"/>
              </w:rPr>
              <w:t xml:space="preserve">(b) and 258 of </w:t>
            </w:r>
            <w:r w:rsidR="00AC565D">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7670B901" w14:textId="77777777" w:rsidTr="001B66D7">
        <w:tc>
          <w:tcPr>
            <w:tcW w:w="1172" w:type="dxa"/>
            <w:vAlign w:val="center"/>
          </w:tcPr>
          <w:p w14:paraId="27C962A0" w14:textId="72CC7C71" w:rsidR="00DD40A7" w:rsidRPr="00A01A6F" w:rsidRDefault="00FC22F3"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DD40A7" w:rsidRPr="00A01A6F">
              <w:rPr>
                <w:rFonts w:ascii="Times New Roman" w:hAnsi="Times New Roman" w:cs="Times New Roman"/>
                <w:sz w:val="24"/>
                <w:lang w:eastAsia="ja-JP"/>
              </w:rPr>
              <w:t>20d</w:t>
            </w:r>
          </w:p>
        </w:tc>
        <w:tc>
          <w:tcPr>
            <w:tcW w:w="7242" w:type="dxa"/>
            <w:vAlign w:val="center"/>
          </w:tcPr>
          <w:p w14:paraId="73D967D1" w14:textId="685B2A93"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Of the amount reported in </w:t>
            </w:r>
            <w:r w:rsidR="0020146D">
              <w:rPr>
                <w:rFonts w:ascii="Times New Roman" w:hAnsi="Times New Roman" w:cs="Times New Roman"/>
                <w:sz w:val="24"/>
                <w:lang w:eastAsia="ja-JP"/>
              </w:rPr>
              <w:t>EU-</w:t>
            </w:r>
            <w:r w:rsidRPr="00A01A6F">
              <w:rPr>
                <w:rFonts w:ascii="Times New Roman" w:hAnsi="Times New Roman" w:cs="Times New Roman"/>
                <w:sz w:val="24"/>
                <w:lang w:eastAsia="ja-JP"/>
              </w:rPr>
              <w:t>20a, the amount relating to free deliveries</w:t>
            </w:r>
            <w:r w:rsidR="007335CF">
              <w:rPr>
                <w:rFonts w:ascii="Times New Roman" w:hAnsi="Times New Roman" w:cs="Times New Roman"/>
                <w:sz w:val="24"/>
                <w:lang w:eastAsia="ja-JP"/>
              </w:rPr>
              <w:t xml:space="preserve"> in accordance with Articles 3(1</w:t>
            </w:r>
            <w:proofErr w:type="gramStart"/>
            <w:r w:rsidR="007335CF">
              <w:rPr>
                <w:rFonts w:ascii="Times New Roman" w:hAnsi="Times New Roman" w:cs="Times New Roman"/>
                <w:sz w:val="24"/>
                <w:lang w:eastAsia="ja-JP"/>
              </w:rPr>
              <w:t>)(</w:t>
            </w:r>
            <w:proofErr w:type="gramEnd"/>
            <w:r w:rsidR="007335CF">
              <w:rPr>
                <w:rFonts w:ascii="Times New Roman" w:hAnsi="Times New Roman" w:cs="Times New Roman"/>
                <w:sz w:val="24"/>
                <w:lang w:eastAsia="ja-JP"/>
              </w:rPr>
              <w:t>k)</w:t>
            </w:r>
            <w:r w:rsidRPr="00A01A6F">
              <w:rPr>
                <w:rFonts w:ascii="Times New Roman" w:hAnsi="Times New Roman" w:cs="Times New Roman"/>
                <w:sz w:val="24"/>
                <w:lang w:eastAsia="ja-JP"/>
              </w:rPr>
              <w:t>(ii</w:t>
            </w:r>
            <w:r w:rsidR="00181925" w:rsidRPr="00A01A6F">
              <w:rPr>
                <w:rFonts w:ascii="Times New Roman" w:hAnsi="Times New Roman" w:cs="Times New Roman"/>
                <w:sz w:val="24"/>
                <w:lang w:eastAsia="ja-JP"/>
              </w:rPr>
              <w:t>i</w:t>
            </w:r>
            <w:r w:rsidRPr="00A01A6F">
              <w:rPr>
                <w:rFonts w:ascii="Times New Roman" w:hAnsi="Times New Roman" w:cs="Times New Roman"/>
                <w:sz w:val="24"/>
                <w:lang w:eastAsia="ja-JP"/>
              </w:rPr>
              <w:t xml:space="preserve">) and 379(3)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72F359F6" w14:textId="77777777" w:rsidTr="001B66D7">
        <w:tc>
          <w:tcPr>
            <w:tcW w:w="1172" w:type="dxa"/>
            <w:vAlign w:val="center"/>
          </w:tcPr>
          <w:p w14:paraId="5D7653C6"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21</w:t>
            </w:r>
          </w:p>
        </w:tc>
        <w:tc>
          <w:tcPr>
            <w:tcW w:w="7242" w:type="dxa"/>
            <w:vAlign w:val="center"/>
          </w:tcPr>
          <w:p w14:paraId="1F78A8E0" w14:textId="265B4E8F"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Deferred tax assets arising from temporary differences (amount above 10% threshold, net of related tax liability where the conditions in Article 38(3) are met) as described in Articles 36</w:t>
            </w:r>
            <w:r w:rsidR="007335CF">
              <w:rPr>
                <w:rFonts w:ascii="Times New Roman" w:hAnsi="Times New Roman" w:cs="Times New Roman"/>
                <w:sz w:val="24"/>
                <w:lang w:eastAsia="ja-JP"/>
              </w:rPr>
              <w:t>(1)(c), 38 and 48(1)</w:t>
            </w:r>
            <w:r w:rsidRPr="00A01A6F">
              <w:rPr>
                <w:rFonts w:ascii="Times New Roman" w:hAnsi="Times New Roman" w:cs="Times New Roman"/>
                <w:sz w:val="24"/>
                <w:lang w:eastAsia="ja-JP"/>
              </w:rPr>
              <w:t xml:space="preserve">(a)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79D3BF49" w14:textId="77777777" w:rsidTr="001B66D7">
        <w:tc>
          <w:tcPr>
            <w:tcW w:w="1172" w:type="dxa"/>
            <w:vAlign w:val="center"/>
          </w:tcPr>
          <w:p w14:paraId="7CCF223B"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22</w:t>
            </w:r>
          </w:p>
        </w:tc>
        <w:tc>
          <w:tcPr>
            <w:tcW w:w="7242" w:type="dxa"/>
            <w:vAlign w:val="center"/>
          </w:tcPr>
          <w:p w14:paraId="316138FB" w14:textId="280E944B"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Amount exceeding the </w:t>
            </w:r>
            <w:r w:rsidR="008054E1" w:rsidRPr="00A01A6F">
              <w:rPr>
                <w:rFonts w:ascii="Times New Roman" w:hAnsi="Times New Roman" w:cs="Times New Roman"/>
                <w:sz w:val="24"/>
                <w:lang w:eastAsia="ja-JP"/>
              </w:rPr>
              <w:t>17.65</w:t>
            </w:r>
            <w:r w:rsidRPr="00A01A6F">
              <w:rPr>
                <w:rFonts w:ascii="Times New Roman" w:hAnsi="Times New Roman" w:cs="Times New Roman"/>
                <w:sz w:val="24"/>
                <w:lang w:eastAsia="ja-JP"/>
              </w:rPr>
              <w:t>% threshol</w:t>
            </w:r>
            <w:r w:rsidR="007335CF">
              <w:rPr>
                <w:rFonts w:ascii="Times New Roman" w:hAnsi="Times New Roman" w:cs="Times New Roman"/>
                <w:sz w:val="24"/>
                <w:lang w:eastAsia="ja-JP"/>
              </w:rPr>
              <w:t>d in accordance with Article 48</w:t>
            </w:r>
            <w:r w:rsidRPr="00A01A6F">
              <w:rPr>
                <w:rFonts w:ascii="Times New Roman" w:hAnsi="Times New Roman" w:cs="Times New Roman"/>
                <w:sz w:val="24"/>
                <w:lang w:eastAsia="ja-JP"/>
              </w:rPr>
              <w:t xml:space="preserve">(1)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66652C22" w14:textId="77777777" w:rsidTr="001B66D7">
        <w:tc>
          <w:tcPr>
            <w:tcW w:w="1172" w:type="dxa"/>
            <w:vAlign w:val="center"/>
          </w:tcPr>
          <w:p w14:paraId="4B5E4602"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23</w:t>
            </w:r>
          </w:p>
        </w:tc>
        <w:tc>
          <w:tcPr>
            <w:tcW w:w="7242" w:type="dxa"/>
            <w:vAlign w:val="center"/>
          </w:tcPr>
          <w:p w14:paraId="7AB0A98B" w14:textId="4103E24C"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Of the amount reported in 22, the amount of </w:t>
            </w:r>
            <w:r w:rsidR="006C257B" w:rsidRPr="00A01A6F">
              <w:rPr>
                <w:rFonts w:ascii="Times New Roman" w:hAnsi="Times New Roman" w:cs="Times New Roman"/>
                <w:sz w:val="24"/>
                <w:lang w:eastAsia="ja-JP"/>
              </w:rPr>
              <w:t xml:space="preserve">Direct, indirect and </w:t>
            </w:r>
            <w:proofErr w:type="gramStart"/>
            <w:r w:rsidR="006C257B" w:rsidRPr="00A01A6F">
              <w:rPr>
                <w:rFonts w:ascii="Times New Roman" w:hAnsi="Times New Roman" w:cs="Times New Roman"/>
                <w:sz w:val="24"/>
                <w:lang w:eastAsia="ja-JP"/>
              </w:rPr>
              <w:t xml:space="preserve">synthetic  </w:t>
            </w:r>
            <w:r w:rsidRPr="00A01A6F">
              <w:rPr>
                <w:rFonts w:ascii="Times New Roman" w:hAnsi="Times New Roman" w:cs="Times New Roman"/>
                <w:sz w:val="24"/>
                <w:lang w:eastAsia="ja-JP"/>
              </w:rPr>
              <w:t>holdings</w:t>
            </w:r>
            <w:proofErr w:type="gramEnd"/>
            <w:r w:rsidRPr="00A01A6F">
              <w:rPr>
                <w:rFonts w:ascii="Times New Roman" w:hAnsi="Times New Roman" w:cs="Times New Roman"/>
                <w:sz w:val="24"/>
                <w:lang w:eastAsia="ja-JP"/>
              </w:rPr>
              <w:t xml:space="preserve"> by the institution of the CET1 instruments of financial sector entities where the institution has a significant investment in those entit</w:t>
            </w:r>
            <w:r w:rsidR="007335CF">
              <w:rPr>
                <w:rFonts w:ascii="Times New Roman" w:hAnsi="Times New Roman" w:cs="Times New Roman"/>
                <w:sz w:val="24"/>
                <w:lang w:eastAsia="ja-JP"/>
              </w:rPr>
              <w:t>ies as described in Articles 36(1)(</w:t>
            </w:r>
            <w:proofErr w:type="spellStart"/>
            <w:r w:rsidR="007335CF">
              <w:rPr>
                <w:rFonts w:ascii="Times New Roman" w:hAnsi="Times New Roman" w:cs="Times New Roman"/>
                <w:sz w:val="24"/>
                <w:lang w:eastAsia="ja-JP"/>
              </w:rPr>
              <w:t>i</w:t>
            </w:r>
            <w:proofErr w:type="spellEnd"/>
            <w:r w:rsidR="007335CF">
              <w:rPr>
                <w:rFonts w:ascii="Times New Roman" w:hAnsi="Times New Roman" w:cs="Times New Roman"/>
                <w:sz w:val="24"/>
                <w:lang w:eastAsia="ja-JP"/>
              </w:rPr>
              <w:t>) and 48(1)</w:t>
            </w:r>
            <w:r w:rsidRPr="00A01A6F">
              <w:rPr>
                <w:rFonts w:ascii="Times New Roman" w:hAnsi="Times New Roman" w:cs="Times New Roman"/>
                <w:sz w:val="24"/>
                <w:lang w:eastAsia="ja-JP"/>
              </w:rPr>
              <w:t xml:space="preserve">(b)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655C532D" w14:textId="77777777" w:rsidTr="001B66D7">
        <w:tc>
          <w:tcPr>
            <w:tcW w:w="1172" w:type="dxa"/>
            <w:vAlign w:val="center"/>
          </w:tcPr>
          <w:p w14:paraId="525B1142"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24</w:t>
            </w:r>
          </w:p>
        </w:tc>
        <w:tc>
          <w:tcPr>
            <w:tcW w:w="7242" w:type="dxa"/>
            <w:vAlign w:val="center"/>
          </w:tcPr>
          <w:p w14:paraId="0AB1E2F4" w14:textId="7BDF7695"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[An Empty Set under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13B6C496" w14:textId="77777777" w:rsidTr="001B66D7">
        <w:tc>
          <w:tcPr>
            <w:tcW w:w="1172" w:type="dxa"/>
            <w:vAlign w:val="center"/>
          </w:tcPr>
          <w:p w14:paraId="21EFC974"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lastRenderedPageBreak/>
              <w:t>25</w:t>
            </w:r>
          </w:p>
        </w:tc>
        <w:tc>
          <w:tcPr>
            <w:tcW w:w="7242" w:type="dxa"/>
            <w:vAlign w:val="center"/>
          </w:tcPr>
          <w:p w14:paraId="07103465" w14:textId="53D1F7BB"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Of the amount reported in 22 the amount of deferred tax assets arising from temporary differen</w:t>
            </w:r>
            <w:r w:rsidR="007335CF">
              <w:rPr>
                <w:rFonts w:ascii="Times New Roman" w:hAnsi="Times New Roman" w:cs="Times New Roman"/>
                <w:sz w:val="24"/>
                <w:lang w:eastAsia="ja-JP"/>
              </w:rPr>
              <w:t>ces as described in Articles 36(1)(c), 38 and 48(1)</w:t>
            </w:r>
            <w:r w:rsidRPr="00A01A6F">
              <w:rPr>
                <w:rFonts w:ascii="Times New Roman" w:hAnsi="Times New Roman" w:cs="Times New Roman"/>
                <w:sz w:val="24"/>
                <w:lang w:eastAsia="ja-JP"/>
              </w:rPr>
              <w:t xml:space="preserve">(a)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3A1102A0" w14:textId="77777777" w:rsidTr="001B66D7">
        <w:tc>
          <w:tcPr>
            <w:tcW w:w="1172" w:type="dxa"/>
            <w:vAlign w:val="center"/>
          </w:tcPr>
          <w:p w14:paraId="65A06351" w14:textId="3B7AC2C9" w:rsidR="00DD40A7" w:rsidRPr="00A01A6F" w:rsidRDefault="00FC22F3"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DD40A7" w:rsidRPr="00A01A6F">
              <w:rPr>
                <w:rFonts w:ascii="Times New Roman" w:hAnsi="Times New Roman" w:cs="Times New Roman"/>
                <w:sz w:val="24"/>
                <w:lang w:eastAsia="ja-JP"/>
              </w:rPr>
              <w:t>25a</w:t>
            </w:r>
          </w:p>
        </w:tc>
        <w:tc>
          <w:tcPr>
            <w:tcW w:w="7242" w:type="dxa"/>
            <w:vAlign w:val="center"/>
          </w:tcPr>
          <w:p w14:paraId="550EF670" w14:textId="50C3647E"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Losses for the financial yea</w:t>
            </w:r>
            <w:r w:rsidR="007335CF">
              <w:rPr>
                <w:rFonts w:ascii="Times New Roman" w:hAnsi="Times New Roman" w:cs="Times New Roman"/>
                <w:sz w:val="24"/>
                <w:lang w:eastAsia="ja-JP"/>
              </w:rPr>
              <w:t>r in accordance with Article 36(1</w:t>
            </w:r>
            <w:proofErr w:type="gramStart"/>
            <w:r w:rsidR="007335CF">
              <w:rPr>
                <w:rFonts w:ascii="Times New Roman" w:hAnsi="Times New Roman" w:cs="Times New Roman"/>
                <w:sz w:val="24"/>
                <w:lang w:eastAsia="ja-JP"/>
              </w:rPr>
              <w:t>)</w:t>
            </w:r>
            <w:r w:rsidRPr="00A01A6F">
              <w:rPr>
                <w:rFonts w:ascii="Times New Roman" w:hAnsi="Times New Roman" w:cs="Times New Roman"/>
                <w:sz w:val="24"/>
                <w:lang w:eastAsia="ja-JP"/>
              </w:rPr>
              <w:t>(</w:t>
            </w:r>
            <w:proofErr w:type="gramEnd"/>
            <w:r w:rsidRPr="00A01A6F">
              <w:rPr>
                <w:rFonts w:ascii="Times New Roman" w:hAnsi="Times New Roman" w:cs="Times New Roman"/>
                <w:sz w:val="24"/>
                <w:lang w:eastAsia="ja-JP"/>
              </w:rPr>
              <w:t xml:space="preserve">a)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60897BEA" w14:textId="77777777" w:rsidTr="001B66D7">
        <w:tc>
          <w:tcPr>
            <w:tcW w:w="1172" w:type="dxa"/>
            <w:vAlign w:val="center"/>
          </w:tcPr>
          <w:p w14:paraId="399E8918" w14:textId="1FB8F735" w:rsidR="00DD40A7" w:rsidRPr="00A01A6F" w:rsidRDefault="00FC22F3"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DD40A7" w:rsidRPr="00A01A6F">
              <w:rPr>
                <w:rFonts w:ascii="Times New Roman" w:hAnsi="Times New Roman" w:cs="Times New Roman"/>
                <w:sz w:val="24"/>
                <w:lang w:eastAsia="ja-JP"/>
              </w:rPr>
              <w:t>25b</w:t>
            </w:r>
          </w:p>
        </w:tc>
        <w:tc>
          <w:tcPr>
            <w:tcW w:w="7242" w:type="dxa"/>
            <w:vAlign w:val="center"/>
          </w:tcPr>
          <w:p w14:paraId="11FE36D0" w14:textId="455E4297"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Amount of foreseeable tax charges relating to CET1 items foreseeable at the moment of their calculation, except where the institution suitably adjusts the amount of CET1 items insofar as such tax charges reduce the amount up to which those items may be applied to cover risks or losses, in accordance with Article 36</w:t>
            </w:r>
            <w:r w:rsidR="007335CF">
              <w:rPr>
                <w:rFonts w:ascii="Times New Roman" w:hAnsi="Times New Roman" w:cs="Times New Roman"/>
                <w:sz w:val="24"/>
                <w:lang w:eastAsia="ja-JP"/>
              </w:rPr>
              <w:t>(1</w:t>
            </w:r>
            <w:proofErr w:type="gramStart"/>
            <w:r w:rsidR="007335CF">
              <w:rPr>
                <w:rFonts w:ascii="Times New Roman" w:hAnsi="Times New Roman" w:cs="Times New Roman"/>
                <w:sz w:val="24"/>
                <w:lang w:eastAsia="ja-JP"/>
              </w:rPr>
              <w:t>)</w:t>
            </w:r>
            <w:r w:rsidRPr="00A01A6F">
              <w:rPr>
                <w:rFonts w:ascii="Times New Roman" w:hAnsi="Times New Roman" w:cs="Times New Roman"/>
                <w:sz w:val="24"/>
                <w:lang w:eastAsia="ja-JP"/>
              </w:rPr>
              <w:t>(</w:t>
            </w:r>
            <w:proofErr w:type="gramEnd"/>
            <w:r w:rsidRPr="00A01A6F">
              <w:rPr>
                <w:rFonts w:ascii="Times New Roman" w:hAnsi="Times New Roman" w:cs="Times New Roman"/>
                <w:sz w:val="24"/>
                <w:lang w:eastAsia="ja-JP"/>
              </w:rPr>
              <w:t xml:space="preserve">l)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745B15" w:rsidRPr="00A95602" w14:paraId="32B5936D" w14:textId="77777777" w:rsidTr="001B66D7">
        <w:tc>
          <w:tcPr>
            <w:tcW w:w="1172" w:type="dxa"/>
            <w:vAlign w:val="center"/>
          </w:tcPr>
          <w:p w14:paraId="74AA81B7" w14:textId="7AE58CC5" w:rsidR="00745B15" w:rsidRPr="00A01A6F" w:rsidRDefault="00745B15"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26</w:t>
            </w:r>
          </w:p>
        </w:tc>
        <w:tc>
          <w:tcPr>
            <w:tcW w:w="7242" w:type="dxa"/>
            <w:vAlign w:val="center"/>
          </w:tcPr>
          <w:p w14:paraId="4C3F47E2" w14:textId="7D2559B8" w:rsidR="00745B15" w:rsidRPr="00A01A6F" w:rsidRDefault="00745B15"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[An Empty Set under Regulation xx/XX/E [CRR]] </w:t>
            </w:r>
          </w:p>
        </w:tc>
      </w:tr>
      <w:tr w:rsidR="00DD40A7" w:rsidRPr="00A95602" w14:paraId="7851C9C0" w14:textId="77777777" w:rsidTr="001B66D7">
        <w:tc>
          <w:tcPr>
            <w:tcW w:w="1172" w:type="dxa"/>
            <w:vAlign w:val="center"/>
          </w:tcPr>
          <w:p w14:paraId="15639C3F"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27</w:t>
            </w:r>
          </w:p>
        </w:tc>
        <w:tc>
          <w:tcPr>
            <w:tcW w:w="7242" w:type="dxa"/>
            <w:vAlign w:val="center"/>
          </w:tcPr>
          <w:p w14:paraId="296DE75E" w14:textId="4EFAF5AB"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Qualifying AT1 deductions that exceed the AT1</w:t>
            </w:r>
            <w:r w:rsidR="0051457E" w:rsidRPr="00A01A6F">
              <w:rPr>
                <w:rFonts w:ascii="Times New Roman" w:hAnsi="Times New Roman" w:cs="Times New Roman"/>
                <w:sz w:val="24"/>
                <w:lang w:eastAsia="ja-JP"/>
              </w:rPr>
              <w:t xml:space="preserve"> items </w:t>
            </w:r>
            <w:r w:rsidRPr="00A01A6F">
              <w:rPr>
                <w:rFonts w:ascii="Times New Roman" w:hAnsi="Times New Roman" w:cs="Times New Roman"/>
                <w:sz w:val="24"/>
                <w:lang w:eastAsia="ja-JP"/>
              </w:rPr>
              <w:t>of the institu</w:t>
            </w:r>
            <w:r w:rsidR="007335CF">
              <w:rPr>
                <w:rFonts w:ascii="Times New Roman" w:hAnsi="Times New Roman" w:cs="Times New Roman"/>
                <w:sz w:val="24"/>
                <w:lang w:eastAsia="ja-JP"/>
              </w:rPr>
              <w:t>tion as described in Article 36(1</w:t>
            </w:r>
            <w:proofErr w:type="gramStart"/>
            <w:r w:rsidR="007335CF">
              <w:rPr>
                <w:rFonts w:ascii="Times New Roman" w:hAnsi="Times New Roman" w:cs="Times New Roman"/>
                <w:sz w:val="24"/>
                <w:lang w:eastAsia="ja-JP"/>
              </w:rPr>
              <w:t>)</w:t>
            </w:r>
            <w:r w:rsidRPr="00A01A6F">
              <w:rPr>
                <w:rFonts w:ascii="Times New Roman" w:hAnsi="Times New Roman" w:cs="Times New Roman"/>
                <w:sz w:val="24"/>
                <w:lang w:eastAsia="ja-JP"/>
              </w:rPr>
              <w:t>(</w:t>
            </w:r>
            <w:proofErr w:type="gramEnd"/>
            <w:r w:rsidRPr="00A01A6F">
              <w:rPr>
                <w:rFonts w:ascii="Times New Roman" w:hAnsi="Times New Roman" w:cs="Times New Roman"/>
                <w:sz w:val="24"/>
                <w:lang w:eastAsia="ja-JP"/>
              </w:rPr>
              <w:t xml:space="preserve">j)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304DDE" w:rsidRPr="00A95602" w14:paraId="04B7DB21" w14:textId="77777777" w:rsidTr="001B66D7">
        <w:tc>
          <w:tcPr>
            <w:tcW w:w="1172" w:type="dxa"/>
            <w:vAlign w:val="center"/>
          </w:tcPr>
          <w:p w14:paraId="49CBCCCC" w14:textId="4620A86D" w:rsidR="00304DDE" w:rsidRPr="00A01A6F" w:rsidRDefault="001705D7" w:rsidP="001B66D7">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 xml:space="preserve">EU </w:t>
            </w:r>
            <w:bookmarkStart w:id="10" w:name="_GoBack"/>
            <w:bookmarkEnd w:id="10"/>
            <w:r w:rsidR="00304DDE" w:rsidRPr="00A01A6F">
              <w:rPr>
                <w:rFonts w:ascii="Times New Roman" w:hAnsi="Times New Roman" w:cs="Times New Roman"/>
                <w:sz w:val="24"/>
                <w:lang w:eastAsia="ja-JP"/>
              </w:rPr>
              <w:t>27a</w:t>
            </w:r>
          </w:p>
        </w:tc>
        <w:tc>
          <w:tcPr>
            <w:tcW w:w="7242" w:type="dxa"/>
            <w:vAlign w:val="center"/>
          </w:tcPr>
          <w:p w14:paraId="6C65643D" w14:textId="37AC701B" w:rsidR="00304DDE" w:rsidRPr="00A01A6F" w:rsidRDefault="00304DD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Other regulatory adjustments</w:t>
            </w:r>
          </w:p>
          <w:p w14:paraId="2A7C7C43" w14:textId="71488715" w:rsidR="00304DDE" w:rsidRPr="00A01A6F" w:rsidRDefault="00304DD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Institutions </w:t>
            </w:r>
            <w:r w:rsidR="00A95602">
              <w:rPr>
                <w:rFonts w:ascii="Times New Roman" w:hAnsi="Times New Roman" w:cs="Times New Roman"/>
                <w:sz w:val="24"/>
                <w:lang w:eastAsia="ja-JP"/>
              </w:rPr>
              <w:t>shall</w:t>
            </w:r>
            <w:r w:rsidRPr="00A01A6F">
              <w:rPr>
                <w:rFonts w:ascii="Times New Roman" w:hAnsi="Times New Roman" w:cs="Times New Roman"/>
                <w:sz w:val="24"/>
                <w:lang w:eastAsia="ja-JP"/>
              </w:rPr>
              <w:t xml:space="preserve"> disclose in this row any regulatory adjustment applicable, reported as part of supervisory reporting and not included in any other row of this template, including the amount of IFRS 9 transitional arrangements, when relevant and until the end of the transitional period.</w:t>
            </w:r>
          </w:p>
        </w:tc>
      </w:tr>
      <w:tr w:rsidR="00DD40A7" w:rsidRPr="00A95602" w14:paraId="06D31BFC" w14:textId="77777777" w:rsidTr="001B66D7">
        <w:tc>
          <w:tcPr>
            <w:tcW w:w="1172" w:type="dxa"/>
            <w:vAlign w:val="center"/>
          </w:tcPr>
          <w:p w14:paraId="74B5CB53"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28</w:t>
            </w:r>
          </w:p>
        </w:tc>
        <w:tc>
          <w:tcPr>
            <w:tcW w:w="7242" w:type="dxa"/>
            <w:vAlign w:val="center"/>
          </w:tcPr>
          <w:p w14:paraId="7D4623AA" w14:textId="1729B33E"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Total regulatory adjustments to CET1, to be calculated as the sum of rows 7 to </w:t>
            </w:r>
            <w:r w:rsidR="0020146D">
              <w:rPr>
                <w:rFonts w:ascii="Times New Roman" w:hAnsi="Times New Roman" w:cs="Times New Roman"/>
                <w:sz w:val="24"/>
                <w:lang w:eastAsia="ja-JP"/>
              </w:rPr>
              <w:t>EU-</w:t>
            </w:r>
            <w:r w:rsidRPr="00A01A6F">
              <w:rPr>
                <w:rFonts w:ascii="Times New Roman" w:hAnsi="Times New Roman" w:cs="Times New Roman"/>
                <w:sz w:val="24"/>
                <w:lang w:eastAsia="ja-JP"/>
              </w:rPr>
              <w:t xml:space="preserve">20a, 21, 22 and </w:t>
            </w:r>
            <w:r w:rsidR="0020146D">
              <w:rPr>
                <w:rFonts w:ascii="Times New Roman" w:hAnsi="Times New Roman" w:cs="Times New Roman"/>
                <w:sz w:val="24"/>
                <w:lang w:eastAsia="ja-JP"/>
              </w:rPr>
              <w:t>EU-</w:t>
            </w:r>
            <w:r w:rsidRPr="00A01A6F">
              <w:rPr>
                <w:rFonts w:ascii="Times New Roman" w:hAnsi="Times New Roman" w:cs="Times New Roman"/>
                <w:sz w:val="24"/>
                <w:lang w:eastAsia="ja-JP"/>
              </w:rPr>
              <w:t>25a to 27</w:t>
            </w:r>
            <w:r w:rsidR="00CA3955" w:rsidRPr="00A01A6F">
              <w:rPr>
                <w:rFonts w:ascii="Times New Roman" w:hAnsi="Times New Roman" w:cs="Times New Roman"/>
                <w:sz w:val="24"/>
                <w:lang w:eastAsia="ja-JP"/>
              </w:rPr>
              <w:t>a</w:t>
            </w:r>
            <w:r w:rsidRPr="00A01A6F">
              <w:rPr>
                <w:rFonts w:ascii="Times New Roman" w:hAnsi="Times New Roman" w:cs="Times New Roman"/>
                <w:sz w:val="24"/>
                <w:lang w:eastAsia="ja-JP"/>
              </w:rPr>
              <w:t xml:space="preserve">. </w:t>
            </w:r>
          </w:p>
        </w:tc>
      </w:tr>
      <w:tr w:rsidR="00DD40A7" w:rsidRPr="00A95602" w14:paraId="2C1E11AC" w14:textId="77777777" w:rsidTr="001B66D7">
        <w:tc>
          <w:tcPr>
            <w:tcW w:w="1172" w:type="dxa"/>
            <w:vAlign w:val="center"/>
          </w:tcPr>
          <w:p w14:paraId="6BE54353"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29</w:t>
            </w:r>
          </w:p>
        </w:tc>
        <w:tc>
          <w:tcPr>
            <w:tcW w:w="7242" w:type="dxa"/>
            <w:vAlign w:val="center"/>
          </w:tcPr>
          <w:p w14:paraId="5554AA82" w14:textId="77777777"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Common Equity Tier 1 (CET1) capital, to </w:t>
            </w:r>
            <w:proofErr w:type="gramStart"/>
            <w:r w:rsidRPr="00A01A6F">
              <w:rPr>
                <w:rFonts w:ascii="Times New Roman" w:hAnsi="Times New Roman" w:cs="Times New Roman"/>
                <w:sz w:val="24"/>
                <w:lang w:eastAsia="ja-JP"/>
              </w:rPr>
              <w:t>be calculated</w:t>
            </w:r>
            <w:proofErr w:type="gramEnd"/>
            <w:r w:rsidRPr="00A01A6F">
              <w:rPr>
                <w:rFonts w:ascii="Times New Roman" w:hAnsi="Times New Roman" w:cs="Times New Roman"/>
                <w:sz w:val="24"/>
                <w:lang w:eastAsia="ja-JP"/>
              </w:rPr>
              <w:t xml:space="preserve"> as row 6 minus row 28.</w:t>
            </w:r>
          </w:p>
        </w:tc>
      </w:tr>
      <w:tr w:rsidR="00DD40A7" w:rsidRPr="00A95602" w14:paraId="16556856" w14:textId="77777777" w:rsidTr="001B66D7">
        <w:tc>
          <w:tcPr>
            <w:tcW w:w="1172" w:type="dxa"/>
            <w:vAlign w:val="center"/>
          </w:tcPr>
          <w:p w14:paraId="1898C229"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30</w:t>
            </w:r>
          </w:p>
        </w:tc>
        <w:tc>
          <w:tcPr>
            <w:tcW w:w="7242" w:type="dxa"/>
            <w:vAlign w:val="center"/>
          </w:tcPr>
          <w:p w14:paraId="375D6E18" w14:textId="0C646A49"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Capital instruments and the related share premium accounts as per Articles 51 and 52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57800DC9" w14:textId="77777777" w:rsidTr="001B66D7">
        <w:tc>
          <w:tcPr>
            <w:tcW w:w="1172" w:type="dxa"/>
            <w:vAlign w:val="center"/>
          </w:tcPr>
          <w:p w14:paraId="65906802"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31</w:t>
            </w:r>
          </w:p>
        </w:tc>
        <w:tc>
          <w:tcPr>
            <w:tcW w:w="7242" w:type="dxa"/>
            <w:vAlign w:val="center"/>
          </w:tcPr>
          <w:p w14:paraId="6FF2FA7A" w14:textId="77777777"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The amount in row 30 classified as equity under applicable accounting standards.</w:t>
            </w:r>
          </w:p>
        </w:tc>
      </w:tr>
      <w:tr w:rsidR="00DD40A7" w:rsidRPr="00A95602" w14:paraId="027197A4" w14:textId="77777777" w:rsidTr="001B66D7">
        <w:tc>
          <w:tcPr>
            <w:tcW w:w="1172" w:type="dxa"/>
            <w:vAlign w:val="center"/>
          </w:tcPr>
          <w:p w14:paraId="669DAE69"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32</w:t>
            </w:r>
          </w:p>
        </w:tc>
        <w:tc>
          <w:tcPr>
            <w:tcW w:w="7242" w:type="dxa"/>
            <w:vAlign w:val="center"/>
          </w:tcPr>
          <w:p w14:paraId="4A38DC8B" w14:textId="77777777"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The amount in row 30 classified as liabilities under applicable accounting standards.</w:t>
            </w:r>
          </w:p>
        </w:tc>
      </w:tr>
      <w:tr w:rsidR="00DD40A7" w:rsidRPr="00A95602" w14:paraId="691F3EFB" w14:textId="77777777" w:rsidTr="001B66D7">
        <w:tc>
          <w:tcPr>
            <w:tcW w:w="1172" w:type="dxa"/>
            <w:vAlign w:val="center"/>
          </w:tcPr>
          <w:p w14:paraId="5AD32B92"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33</w:t>
            </w:r>
          </w:p>
        </w:tc>
        <w:tc>
          <w:tcPr>
            <w:tcW w:w="7242" w:type="dxa"/>
            <w:vAlign w:val="center"/>
          </w:tcPr>
          <w:p w14:paraId="723B5455" w14:textId="48A03E71"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Amount of qualifying i</w:t>
            </w:r>
            <w:r w:rsidR="007335CF">
              <w:rPr>
                <w:rFonts w:ascii="Times New Roman" w:hAnsi="Times New Roman" w:cs="Times New Roman"/>
                <w:sz w:val="24"/>
                <w:lang w:eastAsia="ja-JP"/>
              </w:rPr>
              <w:t>tems referred to in Article 484</w:t>
            </w:r>
            <w:r w:rsidRPr="00A01A6F">
              <w:rPr>
                <w:rFonts w:ascii="Times New Roman" w:hAnsi="Times New Roman" w:cs="Times New Roman"/>
                <w:sz w:val="24"/>
                <w:lang w:eastAsia="ja-JP"/>
              </w:rPr>
              <w:t xml:space="preserve">(4) and the related share premium accounts subject to phase out from </w:t>
            </w:r>
            <w:r w:rsidR="007335CF">
              <w:rPr>
                <w:rFonts w:ascii="Times New Roman" w:hAnsi="Times New Roman" w:cs="Times New Roman"/>
                <w:sz w:val="24"/>
                <w:lang w:eastAsia="ja-JP"/>
              </w:rPr>
              <w:t>AT1 as described in Article 486</w:t>
            </w:r>
            <w:r w:rsidRPr="00A01A6F">
              <w:rPr>
                <w:rFonts w:ascii="Times New Roman" w:hAnsi="Times New Roman" w:cs="Times New Roman"/>
                <w:sz w:val="24"/>
                <w:lang w:eastAsia="ja-JP"/>
              </w:rPr>
              <w:t xml:space="preserve">(3)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284A9D" w:rsidRPr="00A95602" w14:paraId="36AC4A6C" w14:textId="77777777" w:rsidTr="00284A9D">
        <w:tc>
          <w:tcPr>
            <w:tcW w:w="1172" w:type="dxa"/>
            <w:vAlign w:val="center"/>
          </w:tcPr>
          <w:p w14:paraId="5A0A9BBB" w14:textId="2D0F895A" w:rsidR="00284A9D" w:rsidRPr="003E3993" w:rsidRDefault="00FC22F3" w:rsidP="00284A9D">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lastRenderedPageBreak/>
              <w:t>EU-</w:t>
            </w:r>
            <w:r w:rsidR="00284A9D" w:rsidRPr="003E3993">
              <w:rPr>
                <w:rFonts w:ascii="Times New Roman" w:hAnsi="Times New Roman" w:cs="Times New Roman"/>
                <w:sz w:val="24"/>
                <w:lang w:eastAsia="ja-JP"/>
              </w:rPr>
              <w:t>33a</w:t>
            </w:r>
          </w:p>
        </w:tc>
        <w:tc>
          <w:tcPr>
            <w:tcW w:w="7242" w:type="dxa"/>
            <w:vAlign w:val="center"/>
          </w:tcPr>
          <w:p w14:paraId="64053417" w14:textId="135E6D71" w:rsidR="00284A9D" w:rsidRPr="003E3993" w:rsidRDefault="00284A9D" w:rsidP="00970F55">
            <w:pPr>
              <w:spacing w:after="200" w:line="276" w:lineRule="auto"/>
              <w:jc w:val="both"/>
              <w:rPr>
                <w:rFonts w:ascii="Times New Roman" w:hAnsi="Times New Roman" w:cs="Times New Roman"/>
                <w:sz w:val="24"/>
                <w:lang w:eastAsia="ja-JP"/>
              </w:rPr>
            </w:pPr>
            <w:r w:rsidRPr="003E3993">
              <w:rPr>
                <w:rFonts w:ascii="Times New Roman" w:hAnsi="Times New Roman" w:cs="Times New Roman"/>
                <w:sz w:val="24"/>
                <w:lang w:eastAsia="ja-JP"/>
              </w:rPr>
              <w:t>Amount of qualifying ite</w:t>
            </w:r>
            <w:r>
              <w:rPr>
                <w:rFonts w:ascii="Times New Roman" w:hAnsi="Times New Roman" w:cs="Times New Roman"/>
                <w:sz w:val="24"/>
                <w:lang w:eastAsia="ja-JP"/>
              </w:rPr>
              <w:t xml:space="preserve">ms referred to in Article </w:t>
            </w:r>
            <w:proofErr w:type="gramStart"/>
            <w:r>
              <w:rPr>
                <w:rFonts w:ascii="Times New Roman" w:hAnsi="Times New Roman" w:cs="Times New Roman"/>
                <w:sz w:val="24"/>
                <w:lang w:eastAsia="ja-JP"/>
              </w:rPr>
              <w:t>494a</w:t>
            </w:r>
            <w:r w:rsidR="000918FE">
              <w:rPr>
                <w:rFonts w:ascii="Times New Roman" w:hAnsi="Times New Roman" w:cs="Times New Roman"/>
                <w:sz w:val="24"/>
                <w:lang w:eastAsia="ja-JP"/>
              </w:rPr>
              <w:t>(</w:t>
            </w:r>
            <w:proofErr w:type="gramEnd"/>
            <w:r w:rsidR="000918FE">
              <w:rPr>
                <w:rFonts w:ascii="Times New Roman" w:hAnsi="Times New Roman" w:cs="Times New Roman"/>
                <w:sz w:val="24"/>
                <w:lang w:eastAsia="ja-JP"/>
              </w:rPr>
              <w:t xml:space="preserve">1) </w:t>
            </w:r>
            <w:r w:rsidRPr="003E3993">
              <w:rPr>
                <w:rFonts w:ascii="Times New Roman" w:hAnsi="Times New Roman" w:cs="Times New Roman"/>
                <w:sz w:val="24"/>
                <w:lang w:eastAsia="ja-JP"/>
              </w:rPr>
              <w:t>of CRR subject to phase out from AT</w:t>
            </w:r>
            <w:r w:rsidR="00457830">
              <w:rPr>
                <w:rFonts w:ascii="Times New Roman" w:hAnsi="Times New Roman" w:cs="Times New Roman"/>
                <w:sz w:val="24"/>
                <w:lang w:eastAsia="ja-JP"/>
              </w:rPr>
              <w:t>1</w:t>
            </w:r>
            <w:r w:rsidRPr="003E3993">
              <w:rPr>
                <w:rFonts w:ascii="Times New Roman" w:hAnsi="Times New Roman" w:cs="Times New Roman"/>
                <w:sz w:val="24"/>
                <w:lang w:eastAsia="ja-JP"/>
              </w:rPr>
              <w:t>.</w:t>
            </w:r>
          </w:p>
        </w:tc>
      </w:tr>
      <w:tr w:rsidR="007A634A" w:rsidRPr="00A95602" w14:paraId="66E0DE96" w14:textId="77777777" w:rsidTr="00BE4814">
        <w:tc>
          <w:tcPr>
            <w:tcW w:w="1172" w:type="dxa"/>
            <w:vAlign w:val="center"/>
          </w:tcPr>
          <w:p w14:paraId="3376ACE8" w14:textId="5F0A1BA5" w:rsidR="007A634A" w:rsidRPr="00A01A6F" w:rsidRDefault="0020146D" w:rsidP="00BE4814">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7A634A" w:rsidRPr="00A01A6F">
              <w:rPr>
                <w:rFonts w:ascii="Times New Roman" w:hAnsi="Times New Roman" w:cs="Times New Roman"/>
                <w:sz w:val="24"/>
                <w:lang w:eastAsia="ja-JP"/>
              </w:rPr>
              <w:t>33</w:t>
            </w:r>
            <w:r w:rsidR="00284A9D">
              <w:rPr>
                <w:rFonts w:ascii="Times New Roman" w:hAnsi="Times New Roman" w:cs="Times New Roman"/>
                <w:sz w:val="24"/>
                <w:lang w:eastAsia="ja-JP"/>
              </w:rPr>
              <w:t>b</w:t>
            </w:r>
          </w:p>
        </w:tc>
        <w:tc>
          <w:tcPr>
            <w:tcW w:w="7242" w:type="dxa"/>
            <w:vAlign w:val="center"/>
          </w:tcPr>
          <w:p w14:paraId="6AD4201D" w14:textId="10E7F7BC" w:rsidR="007A634A" w:rsidRPr="00A01A6F" w:rsidRDefault="007A634A"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Amount of qualifying items referred to in Article </w:t>
            </w:r>
            <w:proofErr w:type="gramStart"/>
            <w:r w:rsidRPr="00A01A6F">
              <w:rPr>
                <w:rFonts w:ascii="Times New Roman" w:hAnsi="Times New Roman" w:cs="Times New Roman"/>
                <w:sz w:val="24"/>
                <w:lang w:eastAsia="ja-JP"/>
              </w:rPr>
              <w:t>494</w:t>
            </w:r>
            <w:r w:rsidR="00457830">
              <w:rPr>
                <w:rFonts w:ascii="Times New Roman" w:hAnsi="Times New Roman" w:cs="Times New Roman"/>
                <w:sz w:val="24"/>
                <w:lang w:eastAsia="ja-JP"/>
              </w:rPr>
              <w:t>b</w:t>
            </w:r>
            <w:r w:rsidR="007335CF">
              <w:rPr>
                <w:rFonts w:ascii="Times New Roman" w:hAnsi="Times New Roman" w:cs="Times New Roman"/>
                <w:sz w:val="24"/>
                <w:lang w:eastAsia="ja-JP"/>
              </w:rPr>
              <w:t>(</w:t>
            </w:r>
            <w:proofErr w:type="gramEnd"/>
            <w:r w:rsidR="00457830">
              <w:rPr>
                <w:rFonts w:ascii="Times New Roman" w:hAnsi="Times New Roman" w:cs="Times New Roman"/>
                <w:sz w:val="24"/>
                <w:lang w:eastAsia="ja-JP"/>
              </w:rPr>
              <w:t>1</w:t>
            </w:r>
            <w:r w:rsidRPr="00A01A6F">
              <w:rPr>
                <w:rFonts w:ascii="Times New Roman" w:hAnsi="Times New Roman" w:cs="Times New Roman"/>
                <w:sz w:val="24"/>
                <w:lang w:eastAsia="ja-JP"/>
              </w:rPr>
              <w:t xml:space="preserve">)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subject to phase out from AT</w:t>
            </w:r>
            <w:r w:rsidR="00457830">
              <w:rPr>
                <w:rFonts w:ascii="Times New Roman" w:hAnsi="Times New Roman" w:cs="Times New Roman"/>
                <w:sz w:val="24"/>
                <w:lang w:eastAsia="ja-JP"/>
              </w:rPr>
              <w:t>1</w:t>
            </w:r>
            <w:r w:rsidRPr="00A01A6F">
              <w:rPr>
                <w:rFonts w:ascii="Times New Roman" w:hAnsi="Times New Roman" w:cs="Times New Roman"/>
                <w:sz w:val="24"/>
                <w:lang w:eastAsia="ja-JP"/>
              </w:rPr>
              <w:t>.</w:t>
            </w:r>
          </w:p>
        </w:tc>
      </w:tr>
      <w:tr w:rsidR="00DD40A7" w:rsidRPr="00A95602" w14:paraId="00DE8D61" w14:textId="77777777" w:rsidTr="001B66D7">
        <w:tc>
          <w:tcPr>
            <w:tcW w:w="1172" w:type="dxa"/>
            <w:vAlign w:val="center"/>
          </w:tcPr>
          <w:p w14:paraId="6EC017FF"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34</w:t>
            </w:r>
          </w:p>
        </w:tc>
        <w:tc>
          <w:tcPr>
            <w:tcW w:w="7242" w:type="dxa"/>
            <w:vAlign w:val="center"/>
          </w:tcPr>
          <w:p w14:paraId="5A65724B" w14:textId="61812431"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Qualifying T1 capital included in consolidated AT1 capital (including minority interests not included in row 5) issued by subsidiaries and held by third parties as described in Articles 85 and 86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39645DE6" w14:textId="77777777" w:rsidTr="001B66D7">
        <w:tc>
          <w:tcPr>
            <w:tcW w:w="1172" w:type="dxa"/>
            <w:vAlign w:val="center"/>
          </w:tcPr>
          <w:p w14:paraId="74E26574"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35</w:t>
            </w:r>
          </w:p>
        </w:tc>
        <w:tc>
          <w:tcPr>
            <w:tcW w:w="7242" w:type="dxa"/>
            <w:vAlign w:val="center"/>
          </w:tcPr>
          <w:p w14:paraId="2C5AFB38" w14:textId="4874AE21"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The amount reported in row 34 that relates to the instruments issued by subsidiaries subject to phase </w:t>
            </w:r>
            <w:r w:rsidR="007335CF">
              <w:rPr>
                <w:rFonts w:ascii="Times New Roman" w:hAnsi="Times New Roman" w:cs="Times New Roman"/>
                <w:sz w:val="24"/>
                <w:lang w:eastAsia="ja-JP"/>
              </w:rPr>
              <w:t>out as described in Article 486</w:t>
            </w:r>
            <w:r w:rsidRPr="00A01A6F">
              <w:rPr>
                <w:rFonts w:ascii="Times New Roman" w:hAnsi="Times New Roman" w:cs="Times New Roman"/>
                <w:sz w:val="24"/>
                <w:lang w:eastAsia="ja-JP"/>
              </w:rPr>
              <w:t xml:space="preserve">(3)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7B5D2C27" w14:textId="77777777" w:rsidTr="001B66D7">
        <w:tc>
          <w:tcPr>
            <w:tcW w:w="1172" w:type="dxa"/>
            <w:vAlign w:val="center"/>
          </w:tcPr>
          <w:p w14:paraId="5A731021"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36</w:t>
            </w:r>
          </w:p>
        </w:tc>
        <w:tc>
          <w:tcPr>
            <w:tcW w:w="7242" w:type="dxa"/>
            <w:vAlign w:val="center"/>
          </w:tcPr>
          <w:p w14:paraId="0B3E9816" w14:textId="5C7DD4F2"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The sum of rows 30, 33</w:t>
            </w:r>
            <w:r w:rsidR="00EC1B31">
              <w:rPr>
                <w:rFonts w:ascii="Times New Roman" w:hAnsi="Times New Roman" w:cs="Times New Roman"/>
                <w:sz w:val="24"/>
                <w:lang w:eastAsia="ja-JP"/>
              </w:rPr>
              <w:t>, EU-33a, EU-33b</w:t>
            </w:r>
            <w:r w:rsidRPr="00A01A6F">
              <w:rPr>
                <w:rFonts w:ascii="Times New Roman" w:hAnsi="Times New Roman" w:cs="Times New Roman"/>
                <w:sz w:val="24"/>
                <w:lang w:eastAsia="ja-JP"/>
              </w:rPr>
              <w:t xml:space="preserve"> and 34.</w:t>
            </w:r>
          </w:p>
        </w:tc>
      </w:tr>
      <w:tr w:rsidR="00DD40A7" w:rsidRPr="00A95602" w14:paraId="783CA232" w14:textId="77777777" w:rsidTr="001B66D7">
        <w:tc>
          <w:tcPr>
            <w:tcW w:w="1172" w:type="dxa"/>
            <w:vAlign w:val="center"/>
          </w:tcPr>
          <w:p w14:paraId="4073BBCB"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37</w:t>
            </w:r>
          </w:p>
        </w:tc>
        <w:tc>
          <w:tcPr>
            <w:tcW w:w="7242" w:type="dxa"/>
            <w:vAlign w:val="center"/>
          </w:tcPr>
          <w:p w14:paraId="32F83CAE" w14:textId="43C38F4E" w:rsidR="00DD40A7" w:rsidRPr="00A01A6F" w:rsidRDefault="006C257B"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Direct, indirect and synthetic </w:t>
            </w:r>
            <w:r w:rsidR="00DD40A7" w:rsidRPr="00A01A6F">
              <w:rPr>
                <w:rFonts w:ascii="Times New Roman" w:hAnsi="Times New Roman" w:cs="Times New Roman"/>
                <w:sz w:val="24"/>
                <w:lang w:eastAsia="ja-JP"/>
              </w:rPr>
              <w:t>holdings by an institution of own AT1 instruments as described in Articles 52</w:t>
            </w:r>
            <w:r w:rsidR="007335CF">
              <w:rPr>
                <w:rFonts w:ascii="Times New Roman" w:hAnsi="Times New Roman" w:cs="Times New Roman"/>
                <w:sz w:val="24"/>
                <w:lang w:eastAsia="ja-JP"/>
              </w:rPr>
              <w:t>(1</w:t>
            </w:r>
            <w:proofErr w:type="gramStart"/>
            <w:r w:rsidR="007335CF">
              <w:rPr>
                <w:rFonts w:ascii="Times New Roman" w:hAnsi="Times New Roman" w:cs="Times New Roman"/>
                <w:sz w:val="24"/>
                <w:lang w:eastAsia="ja-JP"/>
              </w:rPr>
              <w:t>)(</w:t>
            </w:r>
            <w:proofErr w:type="gramEnd"/>
            <w:r w:rsidR="007335CF">
              <w:rPr>
                <w:rFonts w:ascii="Times New Roman" w:hAnsi="Times New Roman" w:cs="Times New Roman"/>
                <w:sz w:val="24"/>
                <w:lang w:eastAsia="ja-JP"/>
              </w:rPr>
              <w:t>b), 56</w:t>
            </w:r>
            <w:r w:rsidR="00DD40A7" w:rsidRPr="00A01A6F">
              <w:rPr>
                <w:rFonts w:ascii="Times New Roman" w:hAnsi="Times New Roman" w:cs="Times New Roman"/>
                <w:sz w:val="24"/>
                <w:lang w:eastAsia="ja-JP"/>
              </w:rPr>
              <w:t xml:space="preserve">(a) and 57 of </w:t>
            </w:r>
            <w:r w:rsidR="00C122DA" w:rsidRPr="00A01A6F">
              <w:rPr>
                <w:rFonts w:ascii="Times New Roman" w:hAnsi="Times New Roman" w:cs="Times New Roman"/>
                <w:sz w:val="24"/>
                <w:lang w:eastAsia="ja-JP"/>
              </w:rPr>
              <w:t>CRR</w:t>
            </w:r>
            <w:r w:rsidR="00DD40A7" w:rsidRPr="00A01A6F">
              <w:rPr>
                <w:rFonts w:ascii="Times New Roman" w:hAnsi="Times New Roman" w:cs="Times New Roman"/>
                <w:sz w:val="24"/>
                <w:lang w:eastAsia="ja-JP"/>
              </w:rPr>
              <w:t xml:space="preserve"> (negative amount).</w:t>
            </w:r>
          </w:p>
        </w:tc>
      </w:tr>
      <w:tr w:rsidR="00DD40A7" w:rsidRPr="00A95602" w14:paraId="53BD52E1" w14:textId="77777777" w:rsidTr="001B66D7">
        <w:tc>
          <w:tcPr>
            <w:tcW w:w="1172" w:type="dxa"/>
            <w:vAlign w:val="center"/>
          </w:tcPr>
          <w:p w14:paraId="492740D7"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38</w:t>
            </w:r>
          </w:p>
        </w:tc>
        <w:tc>
          <w:tcPr>
            <w:tcW w:w="7242" w:type="dxa"/>
            <w:vAlign w:val="center"/>
          </w:tcPr>
          <w:p w14:paraId="01EF4882" w14:textId="41B13E43" w:rsidR="00DD40A7" w:rsidRPr="00A01A6F" w:rsidRDefault="00EC1B31" w:rsidP="00970F55">
            <w:pPr>
              <w:spacing w:after="200" w:line="276" w:lineRule="auto"/>
              <w:jc w:val="both"/>
              <w:rPr>
                <w:rFonts w:ascii="Times New Roman" w:hAnsi="Times New Roman" w:cs="Times New Roman"/>
                <w:sz w:val="24"/>
                <w:lang w:eastAsia="ja-JP"/>
              </w:rPr>
            </w:pPr>
            <w:r>
              <w:rPr>
                <w:rFonts w:ascii="Times New Roman" w:hAnsi="Times New Roman" w:cs="Times New Roman"/>
                <w:sz w:val="24"/>
                <w:lang w:eastAsia="ja-JP"/>
              </w:rPr>
              <w:t>Direct, indirect and synthetic h</w:t>
            </w:r>
            <w:r w:rsidR="00DD40A7" w:rsidRPr="00A01A6F">
              <w:rPr>
                <w:rFonts w:ascii="Times New Roman" w:hAnsi="Times New Roman" w:cs="Times New Roman"/>
                <w:sz w:val="24"/>
                <w:lang w:eastAsia="ja-JP"/>
              </w:rPr>
              <w:t>oldings of the AT1 instruments of financial sector entities where those entities have reciprocal cross holdings with the institution designed to inflate artificially the own funds of the institut</w:t>
            </w:r>
            <w:r w:rsidR="007335CF">
              <w:rPr>
                <w:rFonts w:ascii="Times New Roman" w:hAnsi="Times New Roman" w:cs="Times New Roman"/>
                <w:sz w:val="24"/>
                <w:lang w:eastAsia="ja-JP"/>
              </w:rPr>
              <w:t>ion as described in Articles 56</w:t>
            </w:r>
            <w:r w:rsidR="00DD40A7" w:rsidRPr="00A01A6F">
              <w:rPr>
                <w:rFonts w:ascii="Times New Roman" w:hAnsi="Times New Roman" w:cs="Times New Roman"/>
                <w:sz w:val="24"/>
                <w:lang w:eastAsia="ja-JP"/>
              </w:rPr>
              <w:t xml:space="preserve">(b) and 58 of </w:t>
            </w:r>
            <w:r w:rsidR="00C122DA" w:rsidRPr="00A01A6F">
              <w:rPr>
                <w:rFonts w:ascii="Times New Roman" w:hAnsi="Times New Roman" w:cs="Times New Roman"/>
                <w:sz w:val="24"/>
                <w:lang w:eastAsia="ja-JP"/>
              </w:rPr>
              <w:t>CRR</w:t>
            </w:r>
            <w:r w:rsidR="00DD40A7" w:rsidRPr="00A01A6F">
              <w:rPr>
                <w:rFonts w:ascii="Times New Roman" w:hAnsi="Times New Roman" w:cs="Times New Roman"/>
                <w:sz w:val="24"/>
                <w:lang w:eastAsia="ja-JP"/>
              </w:rPr>
              <w:t xml:space="preserve"> (negative amount).</w:t>
            </w:r>
          </w:p>
        </w:tc>
      </w:tr>
      <w:tr w:rsidR="00DD40A7" w:rsidRPr="00A95602" w14:paraId="26370B13" w14:textId="77777777" w:rsidTr="001B66D7">
        <w:tc>
          <w:tcPr>
            <w:tcW w:w="1172" w:type="dxa"/>
            <w:vAlign w:val="center"/>
          </w:tcPr>
          <w:p w14:paraId="21216FAA"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39</w:t>
            </w:r>
          </w:p>
        </w:tc>
        <w:tc>
          <w:tcPr>
            <w:tcW w:w="7242" w:type="dxa"/>
            <w:vAlign w:val="center"/>
          </w:tcPr>
          <w:p w14:paraId="1AC582C9" w14:textId="33A925DE"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Direct</w:t>
            </w:r>
            <w:r w:rsidR="00EC1B31">
              <w:rPr>
                <w:rFonts w:ascii="Times New Roman" w:hAnsi="Times New Roman" w:cs="Times New Roman"/>
                <w:sz w:val="24"/>
                <w:lang w:eastAsia="ja-JP"/>
              </w:rPr>
              <w:t>,</w:t>
            </w:r>
            <w:r w:rsidRPr="00A01A6F">
              <w:rPr>
                <w:rFonts w:ascii="Times New Roman" w:hAnsi="Times New Roman" w:cs="Times New Roman"/>
                <w:sz w:val="24"/>
                <w:lang w:eastAsia="ja-JP"/>
              </w:rPr>
              <w:t xml:space="preserve"> indirect</w:t>
            </w:r>
            <w:r w:rsidR="00EC1B31">
              <w:rPr>
                <w:rFonts w:ascii="Times New Roman" w:hAnsi="Times New Roman" w:cs="Times New Roman"/>
                <w:sz w:val="24"/>
                <w:lang w:eastAsia="ja-JP"/>
              </w:rPr>
              <w:t xml:space="preserve"> and synthetic</w:t>
            </w:r>
            <w:r w:rsidRPr="00A01A6F">
              <w:rPr>
                <w:rFonts w:ascii="Times New Roman" w:hAnsi="Times New Roman" w:cs="Times New Roman"/>
                <w:sz w:val="24"/>
                <w:lang w:eastAsia="ja-JP"/>
              </w:rPr>
              <w:t xml:space="preserve"> holdings of the AT1 instruments of financial sector entities where the institution does not have a significant investment in those entities (amount above 10% threshold and net of eligible short positio</w:t>
            </w:r>
            <w:r w:rsidR="007335CF">
              <w:rPr>
                <w:rFonts w:ascii="Times New Roman" w:hAnsi="Times New Roman" w:cs="Times New Roman"/>
                <w:sz w:val="24"/>
                <w:lang w:eastAsia="ja-JP"/>
              </w:rPr>
              <w:t>ns) as described in Articles 56</w:t>
            </w:r>
            <w:r w:rsidRPr="00A01A6F">
              <w:rPr>
                <w:rFonts w:ascii="Times New Roman" w:hAnsi="Times New Roman" w:cs="Times New Roman"/>
                <w:sz w:val="24"/>
                <w:lang w:eastAsia="ja-JP"/>
              </w:rPr>
              <w:t xml:space="preserve">(c), </w:t>
            </w:r>
            <w:r w:rsidR="00CE0E35">
              <w:rPr>
                <w:rFonts w:ascii="Times New Roman" w:hAnsi="Times New Roman" w:cs="Times New Roman"/>
                <w:sz w:val="24"/>
                <w:lang w:eastAsia="ja-JP"/>
              </w:rPr>
              <w:t xml:space="preserve">59, </w:t>
            </w:r>
            <w:r w:rsidRPr="00A01A6F">
              <w:rPr>
                <w:rFonts w:ascii="Times New Roman" w:hAnsi="Times New Roman" w:cs="Times New Roman"/>
                <w:sz w:val="24"/>
                <w:lang w:eastAsia="ja-JP"/>
              </w:rPr>
              <w:t xml:space="preserve">60 and </w:t>
            </w:r>
            <w:r w:rsidR="00CE0E35">
              <w:rPr>
                <w:rFonts w:ascii="Times New Roman" w:hAnsi="Times New Roman" w:cs="Times New Roman"/>
                <w:sz w:val="24"/>
                <w:lang w:eastAsia="ja-JP"/>
              </w:rPr>
              <w:t>7</w:t>
            </w:r>
            <w:r w:rsidRPr="00A01A6F">
              <w:rPr>
                <w:rFonts w:ascii="Times New Roman" w:hAnsi="Times New Roman" w:cs="Times New Roman"/>
                <w:sz w:val="24"/>
                <w:lang w:eastAsia="ja-JP"/>
              </w:rPr>
              <w:t xml:space="preserve">9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1906BE3B" w14:textId="77777777" w:rsidTr="001B66D7">
        <w:tc>
          <w:tcPr>
            <w:tcW w:w="1172" w:type="dxa"/>
            <w:vAlign w:val="center"/>
          </w:tcPr>
          <w:p w14:paraId="28B09844"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40</w:t>
            </w:r>
          </w:p>
        </w:tc>
        <w:tc>
          <w:tcPr>
            <w:tcW w:w="7242" w:type="dxa"/>
            <w:vAlign w:val="center"/>
          </w:tcPr>
          <w:p w14:paraId="19CE43AB" w14:textId="137CFBDC"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Direct</w:t>
            </w:r>
            <w:r w:rsidR="00EC1B31">
              <w:rPr>
                <w:rFonts w:ascii="Times New Roman" w:hAnsi="Times New Roman" w:cs="Times New Roman"/>
                <w:sz w:val="24"/>
                <w:lang w:eastAsia="ja-JP"/>
              </w:rPr>
              <w:t>,</w:t>
            </w:r>
            <w:r w:rsidRPr="00A01A6F">
              <w:rPr>
                <w:rFonts w:ascii="Times New Roman" w:hAnsi="Times New Roman" w:cs="Times New Roman"/>
                <w:sz w:val="24"/>
                <w:lang w:eastAsia="ja-JP"/>
              </w:rPr>
              <w:t xml:space="preserve"> indirect</w:t>
            </w:r>
            <w:r w:rsidR="00EC1B31">
              <w:rPr>
                <w:rFonts w:ascii="Times New Roman" w:hAnsi="Times New Roman" w:cs="Times New Roman"/>
                <w:sz w:val="24"/>
                <w:lang w:eastAsia="ja-JP"/>
              </w:rPr>
              <w:t xml:space="preserve"> and synthetic</w:t>
            </w:r>
            <w:r w:rsidRPr="00A01A6F">
              <w:rPr>
                <w:rFonts w:ascii="Times New Roman" w:hAnsi="Times New Roman" w:cs="Times New Roman"/>
                <w:sz w:val="24"/>
                <w:lang w:eastAsia="ja-JP"/>
              </w:rPr>
              <w:t xml:space="preserve"> holdings by the institution of the AT1 instruments of financial sector entities where the institution has a significant investment in those entities (net of eligible short positio</w:t>
            </w:r>
            <w:r w:rsidR="007335CF">
              <w:rPr>
                <w:rFonts w:ascii="Times New Roman" w:hAnsi="Times New Roman" w:cs="Times New Roman"/>
                <w:sz w:val="24"/>
                <w:lang w:eastAsia="ja-JP"/>
              </w:rPr>
              <w:t>ns) as described in Articles 56</w:t>
            </w:r>
            <w:r w:rsidRPr="00A01A6F">
              <w:rPr>
                <w:rFonts w:ascii="Times New Roman" w:hAnsi="Times New Roman" w:cs="Times New Roman"/>
                <w:sz w:val="24"/>
                <w:lang w:eastAsia="ja-JP"/>
              </w:rPr>
              <w:t>(d)</w:t>
            </w:r>
            <w:r w:rsidR="00CE0E35">
              <w:rPr>
                <w:rFonts w:ascii="Times New Roman" w:hAnsi="Times New Roman" w:cs="Times New Roman"/>
                <w:sz w:val="24"/>
                <w:lang w:eastAsia="ja-JP"/>
              </w:rPr>
              <w:t>,</w:t>
            </w:r>
            <w:r w:rsidRPr="00A01A6F">
              <w:rPr>
                <w:rFonts w:ascii="Times New Roman" w:hAnsi="Times New Roman" w:cs="Times New Roman"/>
                <w:sz w:val="24"/>
                <w:lang w:eastAsia="ja-JP"/>
              </w:rPr>
              <w:t xml:space="preserve"> 59</w:t>
            </w:r>
            <w:r w:rsidR="00CE0E35">
              <w:rPr>
                <w:rFonts w:ascii="Times New Roman" w:hAnsi="Times New Roman" w:cs="Times New Roman"/>
                <w:sz w:val="24"/>
                <w:lang w:eastAsia="ja-JP"/>
              </w:rPr>
              <w:t xml:space="preserve"> and 79</w:t>
            </w:r>
            <w:r w:rsidRPr="00A01A6F">
              <w:rPr>
                <w:rFonts w:ascii="Times New Roman" w:hAnsi="Times New Roman" w:cs="Times New Roman"/>
                <w:sz w:val="24"/>
                <w:lang w:eastAsia="ja-JP"/>
              </w:rPr>
              <w:t xml:space="preserve">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DD40A7" w:rsidRPr="00A95602" w14:paraId="30CB2DB7" w14:textId="77777777" w:rsidTr="001B66D7">
        <w:tc>
          <w:tcPr>
            <w:tcW w:w="1172" w:type="dxa"/>
            <w:vAlign w:val="center"/>
          </w:tcPr>
          <w:p w14:paraId="32BC9F5F"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41</w:t>
            </w:r>
          </w:p>
        </w:tc>
        <w:tc>
          <w:tcPr>
            <w:tcW w:w="7242" w:type="dxa"/>
            <w:vAlign w:val="center"/>
          </w:tcPr>
          <w:p w14:paraId="093AD35C" w14:textId="685E8878"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[An Empty Set under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0CCFA9A8" w14:textId="77777777" w:rsidTr="001B66D7">
        <w:tc>
          <w:tcPr>
            <w:tcW w:w="1172" w:type="dxa"/>
            <w:vAlign w:val="center"/>
          </w:tcPr>
          <w:p w14:paraId="7DA58F48"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42</w:t>
            </w:r>
          </w:p>
        </w:tc>
        <w:tc>
          <w:tcPr>
            <w:tcW w:w="7242" w:type="dxa"/>
            <w:vAlign w:val="center"/>
          </w:tcPr>
          <w:p w14:paraId="5376BA23" w14:textId="76F7FBF9"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Qualifying T2 deductions that exceed the T2 </w:t>
            </w:r>
            <w:r w:rsidR="0051457E" w:rsidRPr="00A01A6F">
              <w:rPr>
                <w:rFonts w:ascii="Times New Roman" w:hAnsi="Times New Roman" w:cs="Times New Roman"/>
                <w:sz w:val="24"/>
                <w:lang w:eastAsia="ja-JP"/>
              </w:rPr>
              <w:t xml:space="preserve">items </w:t>
            </w:r>
            <w:r w:rsidRPr="00A01A6F">
              <w:rPr>
                <w:rFonts w:ascii="Times New Roman" w:hAnsi="Times New Roman" w:cs="Times New Roman"/>
                <w:sz w:val="24"/>
                <w:lang w:eastAsia="ja-JP"/>
              </w:rPr>
              <w:t>of the institut</w:t>
            </w:r>
            <w:r w:rsidR="007335CF">
              <w:rPr>
                <w:rFonts w:ascii="Times New Roman" w:hAnsi="Times New Roman" w:cs="Times New Roman"/>
                <w:sz w:val="24"/>
                <w:lang w:eastAsia="ja-JP"/>
              </w:rPr>
              <w:t>ion as described in Articles 56</w:t>
            </w:r>
            <w:r w:rsidRPr="00A01A6F">
              <w:rPr>
                <w:rFonts w:ascii="Times New Roman" w:hAnsi="Times New Roman" w:cs="Times New Roman"/>
                <w:sz w:val="24"/>
                <w:lang w:eastAsia="ja-JP"/>
              </w:rPr>
              <w:t xml:space="preserve">(e)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(negative amount).</w:t>
            </w:r>
          </w:p>
        </w:tc>
      </w:tr>
      <w:tr w:rsidR="00B41D2E" w:rsidRPr="00A95602" w14:paraId="6D8BBAD2" w14:textId="77777777" w:rsidTr="001B66D7">
        <w:tc>
          <w:tcPr>
            <w:tcW w:w="1172" w:type="dxa"/>
            <w:vAlign w:val="center"/>
          </w:tcPr>
          <w:p w14:paraId="53BB6BFB" w14:textId="09086FAE" w:rsidR="00B41D2E" w:rsidRPr="00A01A6F" w:rsidRDefault="00FC22F3" w:rsidP="00B41D2E">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B41D2E" w:rsidRPr="00A01A6F">
              <w:rPr>
                <w:rFonts w:ascii="Times New Roman" w:hAnsi="Times New Roman" w:cs="Times New Roman"/>
                <w:sz w:val="24"/>
                <w:lang w:eastAsia="ja-JP"/>
              </w:rPr>
              <w:t>42a</w:t>
            </w:r>
          </w:p>
        </w:tc>
        <w:tc>
          <w:tcPr>
            <w:tcW w:w="7242" w:type="dxa"/>
            <w:vAlign w:val="center"/>
          </w:tcPr>
          <w:p w14:paraId="18220A78" w14:textId="77777777"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Other regulatory adjustments to AT1 capital</w:t>
            </w:r>
          </w:p>
          <w:p w14:paraId="582A65AE" w14:textId="1B791587"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Institutions </w:t>
            </w:r>
            <w:r w:rsidR="00A95602">
              <w:rPr>
                <w:rFonts w:ascii="Times New Roman" w:hAnsi="Times New Roman" w:cs="Times New Roman"/>
                <w:sz w:val="24"/>
                <w:lang w:eastAsia="ja-JP"/>
              </w:rPr>
              <w:t>shall</w:t>
            </w:r>
            <w:r w:rsidRPr="00A01A6F">
              <w:rPr>
                <w:rFonts w:ascii="Times New Roman" w:hAnsi="Times New Roman" w:cs="Times New Roman"/>
                <w:sz w:val="24"/>
                <w:lang w:eastAsia="ja-JP"/>
              </w:rPr>
              <w:t xml:space="preserve"> disclose in this row any regulatory adjustment applicable, reported as part of supervisory reporting and not included in any other row of this template.</w:t>
            </w:r>
          </w:p>
        </w:tc>
      </w:tr>
      <w:tr w:rsidR="00DD40A7" w:rsidRPr="00A95602" w14:paraId="66F0BDF0" w14:textId="77777777" w:rsidTr="001B66D7">
        <w:tc>
          <w:tcPr>
            <w:tcW w:w="1172" w:type="dxa"/>
            <w:vAlign w:val="center"/>
          </w:tcPr>
          <w:p w14:paraId="15AC5CD0"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lastRenderedPageBreak/>
              <w:t>43</w:t>
            </w:r>
          </w:p>
        </w:tc>
        <w:tc>
          <w:tcPr>
            <w:tcW w:w="7242" w:type="dxa"/>
            <w:vAlign w:val="center"/>
          </w:tcPr>
          <w:p w14:paraId="107155AE" w14:textId="5D99795E"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The sum of rows 37 to </w:t>
            </w:r>
            <w:r w:rsidR="0020146D">
              <w:rPr>
                <w:rFonts w:ascii="Times New Roman" w:hAnsi="Times New Roman" w:cs="Times New Roman"/>
                <w:sz w:val="24"/>
                <w:lang w:eastAsia="ja-JP"/>
              </w:rPr>
              <w:t>EU-</w:t>
            </w:r>
            <w:r w:rsidRPr="00A01A6F">
              <w:rPr>
                <w:rFonts w:ascii="Times New Roman" w:hAnsi="Times New Roman" w:cs="Times New Roman"/>
                <w:sz w:val="24"/>
                <w:lang w:eastAsia="ja-JP"/>
              </w:rPr>
              <w:t>42</w:t>
            </w:r>
            <w:r w:rsidR="000536DB" w:rsidRPr="00A01A6F">
              <w:rPr>
                <w:rFonts w:ascii="Times New Roman" w:hAnsi="Times New Roman" w:cs="Times New Roman"/>
                <w:sz w:val="24"/>
                <w:lang w:eastAsia="ja-JP"/>
              </w:rPr>
              <w:t>a</w:t>
            </w:r>
            <w:r w:rsidRPr="00A01A6F">
              <w:rPr>
                <w:rFonts w:ascii="Times New Roman" w:hAnsi="Times New Roman" w:cs="Times New Roman"/>
                <w:sz w:val="24"/>
                <w:lang w:eastAsia="ja-JP"/>
              </w:rPr>
              <w:t>.</w:t>
            </w:r>
          </w:p>
        </w:tc>
      </w:tr>
      <w:tr w:rsidR="00DD40A7" w:rsidRPr="00A95602" w14:paraId="257B0E43" w14:textId="77777777" w:rsidTr="001B66D7">
        <w:tc>
          <w:tcPr>
            <w:tcW w:w="1172" w:type="dxa"/>
            <w:vAlign w:val="center"/>
          </w:tcPr>
          <w:p w14:paraId="3CB39633"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44</w:t>
            </w:r>
          </w:p>
        </w:tc>
        <w:tc>
          <w:tcPr>
            <w:tcW w:w="7242" w:type="dxa"/>
            <w:vAlign w:val="center"/>
          </w:tcPr>
          <w:p w14:paraId="5095FF96" w14:textId="77777777"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Additional Tier 1 (AT1) capital, to </w:t>
            </w:r>
            <w:proofErr w:type="gramStart"/>
            <w:r w:rsidRPr="00A01A6F">
              <w:rPr>
                <w:rFonts w:ascii="Times New Roman" w:hAnsi="Times New Roman" w:cs="Times New Roman"/>
                <w:sz w:val="24"/>
                <w:lang w:eastAsia="ja-JP"/>
              </w:rPr>
              <w:t>be calculated</w:t>
            </w:r>
            <w:proofErr w:type="gramEnd"/>
            <w:r w:rsidRPr="00A01A6F">
              <w:rPr>
                <w:rFonts w:ascii="Times New Roman" w:hAnsi="Times New Roman" w:cs="Times New Roman"/>
                <w:sz w:val="24"/>
                <w:lang w:eastAsia="ja-JP"/>
              </w:rPr>
              <w:t xml:space="preserve"> as row 36 minus row 43.</w:t>
            </w:r>
          </w:p>
        </w:tc>
      </w:tr>
      <w:tr w:rsidR="00DD40A7" w:rsidRPr="00A95602" w14:paraId="6B155661" w14:textId="77777777" w:rsidTr="001B66D7">
        <w:tc>
          <w:tcPr>
            <w:tcW w:w="1172" w:type="dxa"/>
            <w:vAlign w:val="center"/>
          </w:tcPr>
          <w:p w14:paraId="7CDEE1F9"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45</w:t>
            </w:r>
          </w:p>
        </w:tc>
        <w:tc>
          <w:tcPr>
            <w:tcW w:w="7242" w:type="dxa"/>
            <w:vAlign w:val="center"/>
          </w:tcPr>
          <w:p w14:paraId="0D901229" w14:textId="77777777"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Tier 1 capital, to be calculated as row 29 plus row 44.</w:t>
            </w:r>
          </w:p>
        </w:tc>
      </w:tr>
      <w:tr w:rsidR="00DD40A7" w:rsidRPr="00A95602" w14:paraId="1B12FEC2" w14:textId="77777777" w:rsidTr="001B66D7">
        <w:tc>
          <w:tcPr>
            <w:tcW w:w="1172" w:type="dxa"/>
            <w:vAlign w:val="center"/>
          </w:tcPr>
          <w:p w14:paraId="2C9FBCE1"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46</w:t>
            </w:r>
          </w:p>
        </w:tc>
        <w:tc>
          <w:tcPr>
            <w:tcW w:w="7242" w:type="dxa"/>
            <w:vAlign w:val="center"/>
          </w:tcPr>
          <w:p w14:paraId="071DBE1C" w14:textId="2066B7B1"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Capital instruments and the related share premium accounts as described in Articles 62 and 63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707B698C" w14:textId="77777777" w:rsidTr="001B66D7">
        <w:tc>
          <w:tcPr>
            <w:tcW w:w="1172" w:type="dxa"/>
            <w:vAlign w:val="center"/>
          </w:tcPr>
          <w:p w14:paraId="42C41000"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47</w:t>
            </w:r>
          </w:p>
        </w:tc>
        <w:tc>
          <w:tcPr>
            <w:tcW w:w="7242" w:type="dxa"/>
            <w:vAlign w:val="center"/>
          </w:tcPr>
          <w:p w14:paraId="76A69A53" w14:textId="73B8A8E1"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Amount of qualifying i</w:t>
            </w:r>
            <w:r w:rsidR="007335CF">
              <w:rPr>
                <w:rFonts w:ascii="Times New Roman" w:hAnsi="Times New Roman" w:cs="Times New Roman"/>
                <w:sz w:val="24"/>
                <w:lang w:eastAsia="ja-JP"/>
              </w:rPr>
              <w:t>tems referred to in Article 484</w:t>
            </w:r>
            <w:r w:rsidRPr="00A01A6F">
              <w:rPr>
                <w:rFonts w:ascii="Times New Roman" w:hAnsi="Times New Roman" w:cs="Times New Roman"/>
                <w:sz w:val="24"/>
                <w:lang w:eastAsia="ja-JP"/>
              </w:rPr>
              <w:t>(5) and the related share premium accounts subject to phase out from</w:t>
            </w:r>
            <w:r w:rsidR="007335CF">
              <w:rPr>
                <w:rFonts w:ascii="Times New Roman" w:hAnsi="Times New Roman" w:cs="Times New Roman"/>
                <w:sz w:val="24"/>
                <w:lang w:eastAsia="ja-JP"/>
              </w:rPr>
              <w:t xml:space="preserve"> T2 as described in Article 486</w:t>
            </w:r>
            <w:r w:rsidRPr="00A01A6F">
              <w:rPr>
                <w:rFonts w:ascii="Times New Roman" w:hAnsi="Times New Roman" w:cs="Times New Roman"/>
                <w:sz w:val="24"/>
                <w:lang w:eastAsia="ja-JP"/>
              </w:rPr>
              <w:t xml:space="preserve">(4)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81F8C" w:rsidRPr="00A95602" w14:paraId="38D46EDC" w14:textId="77777777" w:rsidTr="007C480D">
        <w:tc>
          <w:tcPr>
            <w:tcW w:w="1172" w:type="dxa"/>
            <w:vAlign w:val="center"/>
          </w:tcPr>
          <w:p w14:paraId="2B88C1A7" w14:textId="12742D93" w:rsidR="00D81F8C" w:rsidRPr="003E3993" w:rsidRDefault="00FC22F3" w:rsidP="007C480D">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D81F8C" w:rsidRPr="003E3993">
              <w:rPr>
                <w:rFonts w:ascii="Times New Roman" w:hAnsi="Times New Roman" w:cs="Times New Roman"/>
                <w:sz w:val="24"/>
                <w:lang w:eastAsia="ja-JP"/>
              </w:rPr>
              <w:t>47a</w:t>
            </w:r>
          </w:p>
        </w:tc>
        <w:tc>
          <w:tcPr>
            <w:tcW w:w="7242" w:type="dxa"/>
            <w:vAlign w:val="center"/>
          </w:tcPr>
          <w:p w14:paraId="3879EF0C" w14:textId="3291D025" w:rsidR="00D81F8C" w:rsidRPr="003E3993" w:rsidRDefault="00D81F8C" w:rsidP="00970F55">
            <w:pPr>
              <w:spacing w:after="200" w:line="276" w:lineRule="auto"/>
              <w:jc w:val="both"/>
              <w:rPr>
                <w:rFonts w:ascii="Times New Roman" w:hAnsi="Times New Roman" w:cs="Times New Roman"/>
                <w:sz w:val="24"/>
                <w:lang w:eastAsia="ja-JP"/>
              </w:rPr>
            </w:pPr>
            <w:r w:rsidRPr="003E3993">
              <w:rPr>
                <w:rFonts w:ascii="Times New Roman" w:hAnsi="Times New Roman" w:cs="Times New Roman"/>
                <w:sz w:val="24"/>
                <w:lang w:eastAsia="ja-JP"/>
              </w:rPr>
              <w:t xml:space="preserve">Amount of qualifying items referred to in Article </w:t>
            </w:r>
            <w:proofErr w:type="gramStart"/>
            <w:r w:rsidRPr="003E3993">
              <w:rPr>
                <w:rFonts w:ascii="Times New Roman" w:hAnsi="Times New Roman" w:cs="Times New Roman"/>
                <w:sz w:val="24"/>
                <w:lang w:eastAsia="ja-JP"/>
              </w:rPr>
              <w:t>494a(</w:t>
            </w:r>
            <w:proofErr w:type="gramEnd"/>
            <w:r w:rsidRPr="003E3993">
              <w:rPr>
                <w:rFonts w:ascii="Times New Roman" w:hAnsi="Times New Roman" w:cs="Times New Roman"/>
                <w:sz w:val="24"/>
                <w:lang w:eastAsia="ja-JP"/>
              </w:rPr>
              <w:t>2) of CRR subject to phase out from T2.</w:t>
            </w:r>
          </w:p>
        </w:tc>
      </w:tr>
      <w:tr w:rsidR="007A634A" w:rsidRPr="00A95602" w14:paraId="15D88CBA" w14:textId="77777777" w:rsidTr="00BE4814">
        <w:tc>
          <w:tcPr>
            <w:tcW w:w="1172" w:type="dxa"/>
            <w:vAlign w:val="center"/>
          </w:tcPr>
          <w:p w14:paraId="3EBA7466" w14:textId="3DFBD0D7" w:rsidR="007A634A" w:rsidRPr="00A01A6F" w:rsidRDefault="00FC22F3" w:rsidP="00BE4814">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7A634A" w:rsidRPr="00A01A6F">
              <w:rPr>
                <w:rFonts w:ascii="Times New Roman" w:hAnsi="Times New Roman" w:cs="Times New Roman"/>
                <w:sz w:val="24"/>
                <w:lang w:eastAsia="ja-JP"/>
              </w:rPr>
              <w:t>47</w:t>
            </w:r>
            <w:r w:rsidR="00D81F8C">
              <w:rPr>
                <w:rFonts w:ascii="Times New Roman" w:hAnsi="Times New Roman" w:cs="Times New Roman"/>
                <w:sz w:val="24"/>
                <w:lang w:eastAsia="ja-JP"/>
              </w:rPr>
              <w:t>b</w:t>
            </w:r>
          </w:p>
        </w:tc>
        <w:tc>
          <w:tcPr>
            <w:tcW w:w="7242" w:type="dxa"/>
            <w:vAlign w:val="center"/>
          </w:tcPr>
          <w:p w14:paraId="1210494B" w14:textId="5D91C97A" w:rsidR="007A634A" w:rsidRPr="00A01A6F" w:rsidRDefault="007A634A"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Amount of qualifying items referred to in Article </w:t>
            </w:r>
            <w:proofErr w:type="gramStart"/>
            <w:r w:rsidRPr="00A01A6F">
              <w:rPr>
                <w:rFonts w:ascii="Times New Roman" w:hAnsi="Times New Roman" w:cs="Times New Roman"/>
                <w:sz w:val="24"/>
                <w:lang w:eastAsia="ja-JP"/>
              </w:rPr>
              <w:t>494b(</w:t>
            </w:r>
            <w:proofErr w:type="gramEnd"/>
            <w:r w:rsidRPr="00A01A6F">
              <w:rPr>
                <w:rFonts w:ascii="Times New Roman" w:hAnsi="Times New Roman" w:cs="Times New Roman"/>
                <w:sz w:val="24"/>
                <w:lang w:eastAsia="ja-JP"/>
              </w:rPr>
              <w:t xml:space="preserve">2)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subject to phase out from T2.</w:t>
            </w:r>
          </w:p>
        </w:tc>
      </w:tr>
      <w:tr w:rsidR="00DD40A7" w:rsidRPr="00A95602" w14:paraId="6D559C9A" w14:textId="77777777" w:rsidTr="001B66D7">
        <w:tc>
          <w:tcPr>
            <w:tcW w:w="1172" w:type="dxa"/>
            <w:vAlign w:val="center"/>
          </w:tcPr>
          <w:p w14:paraId="498D0264"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48</w:t>
            </w:r>
          </w:p>
        </w:tc>
        <w:tc>
          <w:tcPr>
            <w:tcW w:w="7242" w:type="dxa"/>
            <w:vAlign w:val="center"/>
          </w:tcPr>
          <w:p w14:paraId="41A18AC6" w14:textId="1150EFDB"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Qualifying own funds instruments included in consolidated T2 capital (including minority interests and AT1 instruments not included in rows 5 or</w:t>
            </w:r>
            <w:r w:rsidR="00BD6709">
              <w:rPr>
                <w:rFonts w:ascii="Times New Roman" w:hAnsi="Times New Roman" w:cs="Times New Roman"/>
                <w:sz w:val="24"/>
                <w:lang w:eastAsia="ja-JP"/>
              </w:rPr>
              <w:t xml:space="preserve"> </w:t>
            </w:r>
            <w:r w:rsidRPr="00A01A6F">
              <w:rPr>
                <w:rFonts w:ascii="Times New Roman" w:hAnsi="Times New Roman" w:cs="Times New Roman"/>
                <w:sz w:val="24"/>
                <w:lang w:eastAsia="ja-JP"/>
              </w:rPr>
              <w:t xml:space="preserve">34) issued by subsidiaries and held by third parties as described in Articles 87 and 88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7BE29C1A" w14:textId="77777777" w:rsidTr="001B66D7">
        <w:tc>
          <w:tcPr>
            <w:tcW w:w="1172" w:type="dxa"/>
            <w:vAlign w:val="center"/>
          </w:tcPr>
          <w:p w14:paraId="0865B583"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49</w:t>
            </w:r>
          </w:p>
        </w:tc>
        <w:tc>
          <w:tcPr>
            <w:tcW w:w="7242" w:type="dxa"/>
            <w:vAlign w:val="center"/>
          </w:tcPr>
          <w:p w14:paraId="40F115EA" w14:textId="18690966"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Of the amount reported in 48, the amount relating to instruments issued </w:t>
            </w:r>
            <w:proofErr w:type="gramStart"/>
            <w:r w:rsidRPr="00A01A6F">
              <w:rPr>
                <w:rFonts w:ascii="Times New Roman" w:hAnsi="Times New Roman" w:cs="Times New Roman"/>
                <w:sz w:val="24"/>
                <w:lang w:eastAsia="ja-JP"/>
              </w:rPr>
              <w:t>by subsidiaries subject to phase o</w:t>
            </w:r>
            <w:r w:rsidR="007335CF">
              <w:rPr>
                <w:rFonts w:ascii="Times New Roman" w:hAnsi="Times New Roman" w:cs="Times New Roman"/>
                <w:sz w:val="24"/>
                <w:lang w:eastAsia="ja-JP"/>
              </w:rPr>
              <w:t>ut, as described in Article 486</w:t>
            </w:r>
            <w:r w:rsidRPr="00A01A6F">
              <w:rPr>
                <w:rFonts w:ascii="Times New Roman" w:hAnsi="Times New Roman" w:cs="Times New Roman"/>
                <w:sz w:val="24"/>
                <w:lang w:eastAsia="ja-JP"/>
              </w:rPr>
              <w:t xml:space="preserve">(4) of </w:t>
            </w:r>
            <w:r w:rsidR="00C122DA" w:rsidRPr="00A01A6F">
              <w:rPr>
                <w:rFonts w:ascii="Times New Roman" w:hAnsi="Times New Roman" w:cs="Times New Roman"/>
                <w:sz w:val="24"/>
                <w:lang w:eastAsia="ja-JP"/>
              </w:rPr>
              <w:t>CRR</w:t>
            </w:r>
            <w:proofErr w:type="gramEnd"/>
            <w:r w:rsidRPr="00A01A6F">
              <w:rPr>
                <w:rFonts w:ascii="Times New Roman" w:hAnsi="Times New Roman" w:cs="Times New Roman"/>
                <w:sz w:val="24"/>
                <w:lang w:eastAsia="ja-JP"/>
              </w:rPr>
              <w:t>.</w:t>
            </w:r>
          </w:p>
        </w:tc>
      </w:tr>
      <w:tr w:rsidR="00DD40A7" w:rsidRPr="00A95602" w14:paraId="7A695AB5" w14:textId="77777777" w:rsidTr="001B66D7">
        <w:tc>
          <w:tcPr>
            <w:tcW w:w="1172" w:type="dxa"/>
            <w:vAlign w:val="center"/>
          </w:tcPr>
          <w:p w14:paraId="3F8B9971"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50</w:t>
            </w:r>
          </w:p>
        </w:tc>
        <w:tc>
          <w:tcPr>
            <w:tcW w:w="7242" w:type="dxa"/>
            <w:vAlign w:val="center"/>
          </w:tcPr>
          <w:p w14:paraId="698A5199" w14:textId="62BC69F6"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Credit risk adjustments</w:t>
            </w:r>
            <w:r w:rsidR="007335CF">
              <w:rPr>
                <w:rFonts w:ascii="Times New Roman" w:hAnsi="Times New Roman" w:cs="Times New Roman"/>
                <w:sz w:val="24"/>
                <w:lang w:eastAsia="ja-JP"/>
              </w:rPr>
              <w:t xml:space="preserve"> in accordance with Articles 62</w:t>
            </w:r>
            <w:r w:rsidRPr="00A01A6F">
              <w:rPr>
                <w:rFonts w:ascii="Times New Roman" w:hAnsi="Times New Roman" w:cs="Times New Roman"/>
                <w:sz w:val="24"/>
                <w:lang w:eastAsia="ja-JP"/>
              </w:rPr>
              <w:t xml:space="preserve">(c) and (d)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DD40A7" w:rsidRPr="00A95602" w14:paraId="458A9932" w14:textId="77777777" w:rsidTr="001B66D7">
        <w:tc>
          <w:tcPr>
            <w:tcW w:w="1172" w:type="dxa"/>
            <w:vAlign w:val="center"/>
          </w:tcPr>
          <w:p w14:paraId="36C9C2D2"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51</w:t>
            </w:r>
          </w:p>
        </w:tc>
        <w:tc>
          <w:tcPr>
            <w:tcW w:w="7242" w:type="dxa"/>
            <w:vAlign w:val="center"/>
          </w:tcPr>
          <w:p w14:paraId="7543CFDF" w14:textId="77777777"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The sum of rows 46 to 48 and row 50.</w:t>
            </w:r>
          </w:p>
        </w:tc>
      </w:tr>
      <w:tr w:rsidR="00DD40A7" w:rsidRPr="00A95602" w14:paraId="1BD94D3E" w14:textId="77777777" w:rsidTr="001B66D7">
        <w:tc>
          <w:tcPr>
            <w:tcW w:w="1172" w:type="dxa"/>
            <w:vAlign w:val="center"/>
          </w:tcPr>
          <w:p w14:paraId="7123DE51"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52</w:t>
            </w:r>
          </w:p>
        </w:tc>
        <w:tc>
          <w:tcPr>
            <w:tcW w:w="7242" w:type="dxa"/>
            <w:vAlign w:val="center"/>
          </w:tcPr>
          <w:p w14:paraId="0814AA63" w14:textId="03811436" w:rsidR="00DD40A7" w:rsidRPr="00A01A6F" w:rsidRDefault="006C257B"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Direct, indirect and synthetic </w:t>
            </w:r>
            <w:r w:rsidR="00DD40A7" w:rsidRPr="00A01A6F">
              <w:rPr>
                <w:rFonts w:ascii="Times New Roman" w:hAnsi="Times New Roman" w:cs="Times New Roman"/>
                <w:sz w:val="24"/>
                <w:lang w:eastAsia="ja-JP"/>
              </w:rPr>
              <w:t>holdings by an institution of own T2 instruments and subordinated loans as described in Articles</w:t>
            </w:r>
            <w:r w:rsidR="007335CF">
              <w:rPr>
                <w:rFonts w:ascii="Times New Roman" w:hAnsi="Times New Roman" w:cs="Times New Roman"/>
                <w:sz w:val="24"/>
                <w:lang w:eastAsia="ja-JP"/>
              </w:rPr>
              <w:t xml:space="preserve"> 63(b)(</w:t>
            </w:r>
            <w:proofErr w:type="spellStart"/>
            <w:r w:rsidR="007335CF">
              <w:rPr>
                <w:rFonts w:ascii="Times New Roman" w:hAnsi="Times New Roman" w:cs="Times New Roman"/>
                <w:sz w:val="24"/>
                <w:lang w:eastAsia="ja-JP"/>
              </w:rPr>
              <w:t>i</w:t>
            </w:r>
            <w:proofErr w:type="spellEnd"/>
            <w:r w:rsidR="007335CF">
              <w:rPr>
                <w:rFonts w:ascii="Times New Roman" w:hAnsi="Times New Roman" w:cs="Times New Roman"/>
                <w:sz w:val="24"/>
                <w:lang w:eastAsia="ja-JP"/>
              </w:rPr>
              <w:t>), 66</w:t>
            </w:r>
            <w:r w:rsidR="00DD40A7" w:rsidRPr="00A01A6F">
              <w:rPr>
                <w:rFonts w:ascii="Times New Roman" w:hAnsi="Times New Roman" w:cs="Times New Roman"/>
                <w:sz w:val="24"/>
                <w:lang w:eastAsia="ja-JP"/>
              </w:rPr>
              <w:t xml:space="preserve">(a) and 67 of </w:t>
            </w:r>
            <w:r w:rsidR="00C122DA" w:rsidRPr="00A01A6F">
              <w:rPr>
                <w:rFonts w:ascii="Times New Roman" w:hAnsi="Times New Roman" w:cs="Times New Roman"/>
                <w:sz w:val="24"/>
                <w:lang w:eastAsia="ja-JP"/>
              </w:rPr>
              <w:t>CRR</w:t>
            </w:r>
            <w:r w:rsidR="00DD40A7" w:rsidRPr="00A01A6F">
              <w:rPr>
                <w:rFonts w:ascii="Times New Roman" w:hAnsi="Times New Roman" w:cs="Times New Roman"/>
                <w:sz w:val="24"/>
                <w:lang w:eastAsia="ja-JP"/>
              </w:rPr>
              <w:t xml:space="preserve"> (negative amount).</w:t>
            </w:r>
          </w:p>
        </w:tc>
      </w:tr>
      <w:tr w:rsidR="00DD40A7" w:rsidRPr="00A95602" w14:paraId="6DA681BF" w14:textId="77777777" w:rsidTr="001B66D7">
        <w:tc>
          <w:tcPr>
            <w:tcW w:w="1172" w:type="dxa"/>
            <w:vAlign w:val="center"/>
          </w:tcPr>
          <w:p w14:paraId="7A74FC9E"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53</w:t>
            </w:r>
          </w:p>
        </w:tc>
        <w:tc>
          <w:tcPr>
            <w:tcW w:w="7242" w:type="dxa"/>
            <w:vAlign w:val="center"/>
          </w:tcPr>
          <w:p w14:paraId="750C22F8" w14:textId="44E85444" w:rsidR="00DD40A7" w:rsidRPr="00A01A6F" w:rsidRDefault="00D2174F"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Direct, indirect and synthetic h</w:t>
            </w:r>
            <w:r w:rsidR="00DD40A7" w:rsidRPr="00A01A6F">
              <w:rPr>
                <w:rFonts w:ascii="Times New Roman" w:hAnsi="Times New Roman" w:cs="Times New Roman"/>
                <w:sz w:val="24"/>
                <w:lang w:eastAsia="ja-JP"/>
              </w:rPr>
              <w:t>oldings of the T2 instruments and subordinated loans of financial sector entities where those entities have reciprocal cross holdings with the institution designed to inflate artificially the own funds of the institu</w:t>
            </w:r>
            <w:r w:rsidR="007335CF">
              <w:rPr>
                <w:rFonts w:ascii="Times New Roman" w:hAnsi="Times New Roman" w:cs="Times New Roman"/>
                <w:sz w:val="24"/>
                <w:lang w:eastAsia="ja-JP"/>
              </w:rPr>
              <w:t>tion as described in Article 66</w:t>
            </w:r>
            <w:r w:rsidR="00DD40A7" w:rsidRPr="00A01A6F">
              <w:rPr>
                <w:rFonts w:ascii="Times New Roman" w:hAnsi="Times New Roman" w:cs="Times New Roman"/>
                <w:sz w:val="24"/>
                <w:lang w:eastAsia="ja-JP"/>
              </w:rPr>
              <w:t xml:space="preserve">(b) and 68 of </w:t>
            </w:r>
            <w:r w:rsidR="00C122DA" w:rsidRPr="00A01A6F">
              <w:rPr>
                <w:rFonts w:ascii="Times New Roman" w:hAnsi="Times New Roman" w:cs="Times New Roman"/>
                <w:sz w:val="24"/>
                <w:lang w:eastAsia="ja-JP"/>
              </w:rPr>
              <w:t>CRR</w:t>
            </w:r>
            <w:r w:rsidR="00DD40A7" w:rsidRPr="00A01A6F">
              <w:rPr>
                <w:rFonts w:ascii="Times New Roman" w:hAnsi="Times New Roman" w:cs="Times New Roman"/>
                <w:sz w:val="24"/>
                <w:lang w:eastAsia="ja-JP"/>
              </w:rPr>
              <w:t xml:space="preserve"> (negative amount).</w:t>
            </w:r>
          </w:p>
        </w:tc>
      </w:tr>
      <w:tr w:rsidR="00DD40A7" w:rsidRPr="00A95602" w14:paraId="2A93D3F4" w14:textId="77777777" w:rsidTr="001B66D7">
        <w:tc>
          <w:tcPr>
            <w:tcW w:w="1172" w:type="dxa"/>
            <w:vAlign w:val="center"/>
          </w:tcPr>
          <w:p w14:paraId="27CC6DC1"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54</w:t>
            </w:r>
          </w:p>
        </w:tc>
        <w:tc>
          <w:tcPr>
            <w:tcW w:w="7242" w:type="dxa"/>
            <w:vAlign w:val="center"/>
          </w:tcPr>
          <w:p w14:paraId="689B5835" w14:textId="36A85210" w:rsidR="00DD40A7" w:rsidRPr="00A01A6F" w:rsidRDefault="00D2174F"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Direct, indirect and synthetic</w:t>
            </w:r>
            <w:r w:rsidR="00DD40A7" w:rsidRPr="00A01A6F">
              <w:rPr>
                <w:rFonts w:ascii="Times New Roman" w:hAnsi="Times New Roman" w:cs="Times New Roman"/>
                <w:sz w:val="24"/>
                <w:lang w:eastAsia="ja-JP"/>
              </w:rPr>
              <w:t xml:space="preserve"> holdings of the T2 instruments and subordinated loans of financial sector entities where the institution does not have a significant investment in those entities (amount above 10% </w:t>
            </w:r>
            <w:r w:rsidR="00DD40A7" w:rsidRPr="00A01A6F">
              <w:rPr>
                <w:rFonts w:ascii="Times New Roman" w:hAnsi="Times New Roman" w:cs="Times New Roman"/>
                <w:sz w:val="24"/>
                <w:lang w:eastAsia="ja-JP"/>
              </w:rPr>
              <w:lastRenderedPageBreak/>
              <w:t>threshold and net of eligible short positio</w:t>
            </w:r>
            <w:r w:rsidR="007335CF">
              <w:rPr>
                <w:rFonts w:ascii="Times New Roman" w:hAnsi="Times New Roman" w:cs="Times New Roman"/>
                <w:sz w:val="24"/>
                <w:lang w:eastAsia="ja-JP"/>
              </w:rPr>
              <w:t>ns) as described in Articles 66</w:t>
            </w:r>
            <w:r w:rsidR="00DD40A7" w:rsidRPr="00A01A6F">
              <w:rPr>
                <w:rFonts w:ascii="Times New Roman" w:hAnsi="Times New Roman" w:cs="Times New Roman"/>
                <w:sz w:val="24"/>
                <w:lang w:eastAsia="ja-JP"/>
              </w:rPr>
              <w:t>(c), 69</w:t>
            </w:r>
            <w:r w:rsidR="00407E31">
              <w:rPr>
                <w:rFonts w:ascii="Times New Roman" w:hAnsi="Times New Roman" w:cs="Times New Roman"/>
                <w:sz w:val="24"/>
                <w:lang w:eastAsia="ja-JP"/>
              </w:rPr>
              <w:t>,</w:t>
            </w:r>
            <w:r w:rsidR="00DD40A7" w:rsidRPr="00A01A6F">
              <w:rPr>
                <w:rFonts w:ascii="Times New Roman" w:hAnsi="Times New Roman" w:cs="Times New Roman"/>
                <w:sz w:val="24"/>
                <w:lang w:eastAsia="ja-JP"/>
              </w:rPr>
              <w:t xml:space="preserve"> 70 </w:t>
            </w:r>
            <w:r w:rsidR="00407E31">
              <w:rPr>
                <w:rFonts w:ascii="Times New Roman" w:hAnsi="Times New Roman" w:cs="Times New Roman"/>
                <w:sz w:val="24"/>
                <w:lang w:eastAsia="ja-JP"/>
              </w:rPr>
              <w:t xml:space="preserve">and 79 </w:t>
            </w:r>
            <w:r w:rsidR="00DD40A7" w:rsidRPr="00A01A6F">
              <w:rPr>
                <w:rFonts w:ascii="Times New Roman" w:hAnsi="Times New Roman" w:cs="Times New Roman"/>
                <w:sz w:val="24"/>
                <w:lang w:eastAsia="ja-JP"/>
              </w:rPr>
              <w:t xml:space="preserve">of </w:t>
            </w:r>
            <w:r w:rsidR="00C122DA" w:rsidRPr="00A01A6F">
              <w:rPr>
                <w:rFonts w:ascii="Times New Roman" w:hAnsi="Times New Roman" w:cs="Times New Roman"/>
                <w:sz w:val="24"/>
                <w:lang w:eastAsia="ja-JP"/>
              </w:rPr>
              <w:t>CRR</w:t>
            </w:r>
            <w:r w:rsidR="00DD40A7" w:rsidRPr="00A01A6F">
              <w:rPr>
                <w:rFonts w:ascii="Times New Roman" w:hAnsi="Times New Roman" w:cs="Times New Roman"/>
                <w:sz w:val="24"/>
                <w:lang w:eastAsia="ja-JP"/>
              </w:rPr>
              <w:t xml:space="preserve"> (negative amount).</w:t>
            </w:r>
          </w:p>
        </w:tc>
      </w:tr>
      <w:tr w:rsidR="00DD40A7" w:rsidRPr="00A95602" w14:paraId="6E5548B0" w14:textId="77777777" w:rsidTr="001B66D7">
        <w:tc>
          <w:tcPr>
            <w:tcW w:w="1172" w:type="dxa"/>
            <w:vAlign w:val="center"/>
          </w:tcPr>
          <w:p w14:paraId="0437044C"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lastRenderedPageBreak/>
              <w:t>54a</w:t>
            </w:r>
          </w:p>
        </w:tc>
        <w:tc>
          <w:tcPr>
            <w:tcW w:w="7242" w:type="dxa"/>
            <w:vAlign w:val="center"/>
          </w:tcPr>
          <w:p w14:paraId="4DAC841E" w14:textId="60DE1878" w:rsidR="00DD40A7" w:rsidRPr="00A01A6F" w:rsidRDefault="00E45D6A"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An empty set under CRR</w:t>
            </w:r>
          </w:p>
        </w:tc>
      </w:tr>
      <w:tr w:rsidR="00DD40A7" w:rsidRPr="00A95602" w14:paraId="0B797858" w14:textId="77777777" w:rsidTr="001B66D7">
        <w:tc>
          <w:tcPr>
            <w:tcW w:w="1172" w:type="dxa"/>
            <w:vAlign w:val="center"/>
          </w:tcPr>
          <w:p w14:paraId="58D28750"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55</w:t>
            </w:r>
          </w:p>
        </w:tc>
        <w:tc>
          <w:tcPr>
            <w:tcW w:w="7242" w:type="dxa"/>
            <w:vAlign w:val="center"/>
          </w:tcPr>
          <w:p w14:paraId="1F9E002D" w14:textId="06E62FD8" w:rsidR="00DD40A7" w:rsidRPr="00A01A6F" w:rsidRDefault="00D2174F"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Direct, indirect and synthetic </w:t>
            </w:r>
            <w:r w:rsidR="00DD40A7" w:rsidRPr="00A01A6F">
              <w:rPr>
                <w:rFonts w:ascii="Times New Roman" w:hAnsi="Times New Roman" w:cs="Times New Roman"/>
                <w:sz w:val="24"/>
                <w:lang w:eastAsia="ja-JP"/>
              </w:rPr>
              <w:t>holdings by the institution of the T2 instruments and subordinated loans of financial sector entities where the institution has a significant investment in those entities (net of eligible short positions) as described in Articles 66(d)</w:t>
            </w:r>
            <w:r w:rsidR="00407E31">
              <w:rPr>
                <w:rFonts w:ascii="Times New Roman" w:hAnsi="Times New Roman" w:cs="Times New Roman"/>
                <w:sz w:val="24"/>
                <w:lang w:eastAsia="ja-JP"/>
              </w:rPr>
              <w:t>,</w:t>
            </w:r>
            <w:r w:rsidR="00DD40A7" w:rsidRPr="00A01A6F">
              <w:rPr>
                <w:rFonts w:ascii="Times New Roman" w:hAnsi="Times New Roman" w:cs="Times New Roman"/>
                <w:sz w:val="24"/>
                <w:lang w:eastAsia="ja-JP"/>
              </w:rPr>
              <w:t xml:space="preserve"> 69</w:t>
            </w:r>
            <w:r w:rsidR="00407E31">
              <w:rPr>
                <w:rFonts w:ascii="Times New Roman" w:hAnsi="Times New Roman" w:cs="Times New Roman"/>
                <w:sz w:val="24"/>
                <w:lang w:eastAsia="ja-JP"/>
              </w:rPr>
              <w:t xml:space="preserve"> and 79</w:t>
            </w:r>
            <w:r w:rsidR="00DD40A7" w:rsidRPr="00A01A6F">
              <w:rPr>
                <w:rFonts w:ascii="Times New Roman" w:hAnsi="Times New Roman" w:cs="Times New Roman"/>
                <w:sz w:val="24"/>
                <w:lang w:eastAsia="ja-JP"/>
              </w:rPr>
              <w:t xml:space="preserve"> of </w:t>
            </w:r>
            <w:r w:rsidR="00C122DA" w:rsidRPr="00A01A6F">
              <w:rPr>
                <w:rFonts w:ascii="Times New Roman" w:hAnsi="Times New Roman" w:cs="Times New Roman"/>
                <w:sz w:val="24"/>
                <w:lang w:eastAsia="ja-JP"/>
              </w:rPr>
              <w:t>CRR</w:t>
            </w:r>
            <w:r w:rsidR="00DD40A7" w:rsidRPr="00A01A6F">
              <w:rPr>
                <w:rFonts w:ascii="Times New Roman" w:hAnsi="Times New Roman" w:cs="Times New Roman"/>
                <w:sz w:val="24"/>
                <w:lang w:eastAsia="ja-JP"/>
              </w:rPr>
              <w:t xml:space="preserve"> (negative amount).</w:t>
            </w:r>
          </w:p>
        </w:tc>
      </w:tr>
      <w:tr w:rsidR="00DD40A7" w:rsidRPr="00A95602" w14:paraId="44518E5D" w14:textId="77777777" w:rsidTr="001B66D7">
        <w:tc>
          <w:tcPr>
            <w:tcW w:w="1172" w:type="dxa"/>
            <w:vAlign w:val="center"/>
          </w:tcPr>
          <w:p w14:paraId="4E0A9213" w14:textId="77777777" w:rsidR="00DD40A7" w:rsidRPr="00A01A6F" w:rsidRDefault="00DD40A7" w:rsidP="001B66D7">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56</w:t>
            </w:r>
          </w:p>
        </w:tc>
        <w:tc>
          <w:tcPr>
            <w:tcW w:w="7242" w:type="dxa"/>
            <w:vAlign w:val="center"/>
          </w:tcPr>
          <w:p w14:paraId="0692AF09" w14:textId="75524A3C" w:rsidR="00DD40A7" w:rsidRPr="00A01A6F" w:rsidRDefault="00DD40A7"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[An Empty Set under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266553" w:rsidRPr="00A95602" w14:paraId="11D6E34B" w14:textId="77777777" w:rsidTr="001B66D7">
        <w:tc>
          <w:tcPr>
            <w:tcW w:w="1172" w:type="dxa"/>
            <w:vAlign w:val="center"/>
          </w:tcPr>
          <w:p w14:paraId="07CF5211" w14:textId="676AC7F0" w:rsidR="00DD40A7" w:rsidRPr="00A01A6F" w:rsidRDefault="00FC22F3" w:rsidP="001B66D7">
            <w:pPr>
              <w:spacing w:after="200" w:line="276" w:lineRule="auto"/>
              <w:rPr>
                <w:rFonts w:ascii="Times New Roman" w:hAnsi="Times New Roman" w:cs="Times New Roman"/>
                <w:color w:val="000000" w:themeColor="text1"/>
                <w:sz w:val="24"/>
                <w:lang w:eastAsia="ja-JP"/>
              </w:rPr>
            </w:pPr>
            <w:r>
              <w:rPr>
                <w:rFonts w:ascii="Times New Roman" w:hAnsi="Times New Roman" w:cs="Times New Roman"/>
                <w:color w:val="000000" w:themeColor="text1"/>
                <w:sz w:val="24"/>
                <w:lang w:eastAsia="ja-JP"/>
              </w:rPr>
              <w:t>EU-</w:t>
            </w:r>
            <w:r w:rsidR="00DD40A7" w:rsidRPr="00A01A6F">
              <w:rPr>
                <w:rFonts w:ascii="Times New Roman" w:hAnsi="Times New Roman" w:cs="Times New Roman"/>
                <w:color w:val="000000" w:themeColor="text1"/>
                <w:sz w:val="24"/>
                <w:lang w:eastAsia="ja-JP"/>
              </w:rPr>
              <w:t>56a</w:t>
            </w:r>
          </w:p>
        </w:tc>
        <w:tc>
          <w:tcPr>
            <w:tcW w:w="7242" w:type="dxa"/>
            <w:vAlign w:val="center"/>
          </w:tcPr>
          <w:p w14:paraId="378C0635" w14:textId="372B4521" w:rsidR="00811B51" w:rsidRPr="00A01A6F" w:rsidRDefault="005658E3" w:rsidP="00970F55">
            <w:pPr>
              <w:spacing w:after="200" w:line="276" w:lineRule="auto"/>
              <w:jc w:val="both"/>
              <w:rPr>
                <w:rFonts w:ascii="Times New Roman" w:hAnsi="Times New Roman" w:cs="Times New Roman"/>
                <w:color w:val="000000" w:themeColor="text1"/>
                <w:sz w:val="24"/>
                <w:lang w:eastAsia="ja-JP"/>
              </w:rPr>
            </w:pPr>
            <w:r w:rsidRPr="00A01A6F">
              <w:rPr>
                <w:rFonts w:ascii="Times New Roman" w:hAnsi="Times New Roman" w:cs="Times New Roman"/>
                <w:color w:val="000000" w:themeColor="text1"/>
                <w:sz w:val="24"/>
                <w:lang w:eastAsia="ja-JP"/>
              </w:rPr>
              <w:t xml:space="preserve">Qualifying eligible liabilities deductions that exceed the eligible liabilities items of the institution </w:t>
            </w:r>
            <w:r w:rsidR="007335CF">
              <w:rPr>
                <w:rFonts w:ascii="Times New Roman" w:hAnsi="Times New Roman" w:cs="Times New Roman"/>
                <w:sz w:val="24"/>
                <w:lang w:eastAsia="ja-JP"/>
              </w:rPr>
              <w:t>as described in Article 66</w:t>
            </w:r>
            <w:r w:rsidR="00181925" w:rsidRPr="00A01A6F">
              <w:rPr>
                <w:rFonts w:ascii="Times New Roman" w:hAnsi="Times New Roman" w:cs="Times New Roman"/>
                <w:sz w:val="24"/>
                <w:lang w:eastAsia="ja-JP"/>
              </w:rPr>
              <w:t xml:space="preserve">(e) of CRR </w:t>
            </w:r>
            <w:r w:rsidRPr="00A01A6F">
              <w:rPr>
                <w:rFonts w:ascii="Times New Roman" w:hAnsi="Times New Roman" w:cs="Times New Roman"/>
                <w:color w:val="000000" w:themeColor="text1"/>
                <w:sz w:val="24"/>
                <w:lang w:eastAsia="ja-JP"/>
              </w:rPr>
              <w:t>(negative amount)</w:t>
            </w:r>
            <w:r w:rsidR="00A1373A" w:rsidRPr="00A01A6F">
              <w:rPr>
                <w:rFonts w:ascii="Times New Roman" w:hAnsi="Times New Roman" w:cs="Times New Roman"/>
                <w:color w:val="000000" w:themeColor="text1"/>
                <w:sz w:val="24"/>
                <w:lang w:eastAsia="ja-JP"/>
              </w:rPr>
              <w:t xml:space="preserve"> </w:t>
            </w:r>
          </w:p>
        </w:tc>
      </w:tr>
      <w:tr w:rsidR="00B41D2E" w:rsidRPr="00A95602" w14:paraId="1B5BDD29" w14:textId="77777777" w:rsidTr="001B66D7">
        <w:tc>
          <w:tcPr>
            <w:tcW w:w="1172" w:type="dxa"/>
            <w:vAlign w:val="center"/>
          </w:tcPr>
          <w:p w14:paraId="1CFFC2C6" w14:textId="0148E4C6" w:rsidR="00B41D2E" w:rsidRPr="00A01A6F" w:rsidRDefault="00FC22F3" w:rsidP="00B41D2E">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B41D2E" w:rsidRPr="00A01A6F">
              <w:rPr>
                <w:rFonts w:ascii="Times New Roman" w:hAnsi="Times New Roman" w:cs="Times New Roman"/>
                <w:sz w:val="24"/>
                <w:lang w:eastAsia="ja-JP"/>
              </w:rPr>
              <w:t>56b</w:t>
            </w:r>
          </w:p>
        </w:tc>
        <w:tc>
          <w:tcPr>
            <w:tcW w:w="7242" w:type="dxa"/>
            <w:vAlign w:val="center"/>
          </w:tcPr>
          <w:p w14:paraId="570EE817" w14:textId="77777777"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Other regulatory adjustments to T2 capital</w:t>
            </w:r>
          </w:p>
          <w:p w14:paraId="1ADFEB8A" w14:textId="70F6DE33"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Institutions </w:t>
            </w:r>
            <w:r w:rsidR="00A95602">
              <w:rPr>
                <w:rFonts w:ascii="Times New Roman" w:hAnsi="Times New Roman" w:cs="Times New Roman"/>
                <w:sz w:val="24"/>
                <w:lang w:eastAsia="ja-JP"/>
              </w:rPr>
              <w:t>shall</w:t>
            </w:r>
            <w:r w:rsidRPr="00A01A6F">
              <w:rPr>
                <w:rFonts w:ascii="Times New Roman" w:hAnsi="Times New Roman" w:cs="Times New Roman"/>
                <w:sz w:val="24"/>
                <w:lang w:eastAsia="ja-JP"/>
              </w:rPr>
              <w:t xml:space="preserve"> disclose in this row any regulatory adjustment applicable, reported as part of supervisory reporting and not included in any other row of this template.</w:t>
            </w:r>
          </w:p>
        </w:tc>
      </w:tr>
      <w:tr w:rsidR="00B41D2E" w:rsidRPr="00A95602" w14:paraId="5103AE37" w14:textId="77777777" w:rsidTr="001B66D7">
        <w:tc>
          <w:tcPr>
            <w:tcW w:w="1172" w:type="dxa"/>
            <w:vAlign w:val="center"/>
          </w:tcPr>
          <w:p w14:paraId="7BDA6505"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57</w:t>
            </w:r>
          </w:p>
        </w:tc>
        <w:tc>
          <w:tcPr>
            <w:tcW w:w="7242" w:type="dxa"/>
            <w:vAlign w:val="center"/>
          </w:tcPr>
          <w:p w14:paraId="04627A8A" w14:textId="40A56E3F"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The sum of rows 52 to </w:t>
            </w:r>
            <w:r w:rsidR="00AC5B77">
              <w:rPr>
                <w:rFonts w:ascii="Times New Roman" w:hAnsi="Times New Roman" w:cs="Times New Roman"/>
                <w:sz w:val="24"/>
                <w:lang w:eastAsia="ja-JP"/>
              </w:rPr>
              <w:t>EU-</w:t>
            </w:r>
            <w:r w:rsidRPr="00A01A6F">
              <w:rPr>
                <w:rFonts w:ascii="Times New Roman" w:hAnsi="Times New Roman" w:cs="Times New Roman"/>
                <w:sz w:val="24"/>
                <w:lang w:eastAsia="ja-JP"/>
              </w:rPr>
              <w:t>56</w:t>
            </w:r>
            <w:r w:rsidR="000536DB" w:rsidRPr="00A01A6F">
              <w:rPr>
                <w:rFonts w:ascii="Times New Roman" w:hAnsi="Times New Roman" w:cs="Times New Roman"/>
                <w:sz w:val="24"/>
                <w:lang w:eastAsia="ja-JP"/>
              </w:rPr>
              <w:t>b</w:t>
            </w:r>
            <w:r w:rsidRPr="00A01A6F">
              <w:rPr>
                <w:rFonts w:ascii="Times New Roman" w:hAnsi="Times New Roman" w:cs="Times New Roman"/>
                <w:sz w:val="24"/>
                <w:lang w:eastAsia="ja-JP"/>
              </w:rPr>
              <w:t>.</w:t>
            </w:r>
          </w:p>
        </w:tc>
      </w:tr>
      <w:tr w:rsidR="00B41D2E" w:rsidRPr="00A95602" w14:paraId="3BAF0F0C" w14:textId="77777777" w:rsidTr="001B66D7">
        <w:tc>
          <w:tcPr>
            <w:tcW w:w="1172" w:type="dxa"/>
            <w:vAlign w:val="center"/>
          </w:tcPr>
          <w:p w14:paraId="153F42A8"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58</w:t>
            </w:r>
          </w:p>
        </w:tc>
        <w:tc>
          <w:tcPr>
            <w:tcW w:w="7242" w:type="dxa"/>
            <w:vAlign w:val="center"/>
          </w:tcPr>
          <w:p w14:paraId="36ECF63B" w14:textId="77777777"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Tier 2 (T2) capital, to </w:t>
            </w:r>
            <w:proofErr w:type="gramStart"/>
            <w:r w:rsidRPr="00A01A6F">
              <w:rPr>
                <w:rFonts w:ascii="Times New Roman" w:hAnsi="Times New Roman" w:cs="Times New Roman"/>
                <w:sz w:val="24"/>
                <w:lang w:eastAsia="ja-JP"/>
              </w:rPr>
              <w:t>be calculated</w:t>
            </w:r>
            <w:proofErr w:type="gramEnd"/>
            <w:r w:rsidRPr="00A01A6F">
              <w:rPr>
                <w:rFonts w:ascii="Times New Roman" w:hAnsi="Times New Roman" w:cs="Times New Roman"/>
                <w:sz w:val="24"/>
                <w:lang w:eastAsia="ja-JP"/>
              </w:rPr>
              <w:t xml:space="preserve"> as row 51 minus row 57.</w:t>
            </w:r>
          </w:p>
        </w:tc>
      </w:tr>
      <w:tr w:rsidR="00B41D2E" w:rsidRPr="00A95602" w14:paraId="1954475D" w14:textId="77777777" w:rsidTr="001B66D7">
        <w:tc>
          <w:tcPr>
            <w:tcW w:w="1172" w:type="dxa"/>
            <w:vAlign w:val="center"/>
          </w:tcPr>
          <w:p w14:paraId="45E1227D"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59</w:t>
            </w:r>
          </w:p>
        </w:tc>
        <w:tc>
          <w:tcPr>
            <w:tcW w:w="7242" w:type="dxa"/>
            <w:vAlign w:val="center"/>
          </w:tcPr>
          <w:p w14:paraId="68F4FB29" w14:textId="77777777"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Total capital, to be calculated as row 45 plus row 58.</w:t>
            </w:r>
          </w:p>
        </w:tc>
      </w:tr>
      <w:tr w:rsidR="00B41D2E" w:rsidRPr="00A95602" w14:paraId="0274259F" w14:textId="77777777" w:rsidTr="001B66D7">
        <w:tc>
          <w:tcPr>
            <w:tcW w:w="1172" w:type="dxa"/>
            <w:vAlign w:val="center"/>
          </w:tcPr>
          <w:p w14:paraId="51426ABD"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60</w:t>
            </w:r>
          </w:p>
        </w:tc>
        <w:tc>
          <w:tcPr>
            <w:tcW w:w="7242" w:type="dxa"/>
            <w:vAlign w:val="center"/>
          </w:tcPr>
          <w:p w14:paraId="7C05B816" w14:textId="49B734DA" w:rsidR="00B41D2E" w:rsidRPr="00A01A6F" w:rsidRDefault="00A92FBB"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Total Risk exposure amount</w:t>
            </w:r>
            <w:r w:rsidRPr="00A01A6F" w:rsidDel="00A92FBB">
              <w:rPr>
                <w:rFonts w:ascii="Times New Roman" w:hAnsi="Times New Roman" w:cs="Times New Roman"/>
                <w:sz w:val="24"/>
                <w:lang w:eastAsia="ja-JP"/>
              </w:rPr>
              <w:t xml:space="preserve"> </w:t>
            </w:r>
            <w:r w:rsidR="00B41D2E" w:rsidRPr="00A01A6F">
              <w:rPr>
                <w:rFonts w:ascii="Times New Roman" w:hAnsi="Times New Roman" w:cs="Times New Roman"/>
                <w:sz w:val="24"/>
                <w:lang w:eastAsia="ja-JP"/>
              </w:rPr>
              <w:t>of the group.</w:t>
            </w:r>
          </w:p>
        </w:tc>
      </w:tr>
      <w:tr w:rsidR="00B41D2E" w:rsidRPr="00A95602" w14:paraId="6725DF36" w14:textId="77777777" w:rsidTr="001B66D7">
        <w:tc>
          <w:tcPr>
            <w:tcW w:w="1172" w:type="dxa"/>
            <w:vAlign w:val="center"/>
          </w:tcPr>
          <w:p w14:paraId="3CD40187"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61</w:t>
            </w:r>
          </w:p>
        </w:tc>
        <w:tc>
          <w:tcPr>
            <w:tcW w:w="7242" w:type="dxa"/>
            <w:vAlign w:val="center"/>
          </w:tcPr>
          <w:p w14:paraId="2C4B7DCD" w14:textId="6BAD27BC"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Common Equity Tier 1 (as a percentage of risk exposure amount), to be calculated as row 29 divided by row 60 (expressed as a percentage</w:t>
            </w:r>
            <w:r w:rsidR="007335CF">
              <w:rPr>
                <w:rFonts w:ascii="Times New Roman" w:hAnsi="Times New Roman" w:cs="Times New Roman"/>
                <w:sz w:val="24"/>
                <w:lang w:eastAsia="ja-JP"/>
              </w:rPr>
              <w:t>) in accordance with Article 92(2</w:t>
            </w:r>
            <w:proofErr w:type="gramStart"/>
            <w:r w:rsidR="007335CF">
              <w:rPr>
                <w:rFonts w:ascii="Times New Roman" w:hAnsi="Times New Roman" w:cs="Times New Roman"/>
                <w:sz w:val="24"/>
                <w:lang w:eastAsia="ja-JP"/>
              </w:rPr>
              <w:t>)</w:t>
            </w:r>
            <w:r w:rsidRPr="00A01A6F">
              <w:rPr>
                <w:rFonts w:ascii="Times New Roman" w:hAnsi="Times New Roman" w:cs="Times New Roman"/>
                <w:sz w:val="24"/>
                <w:lang w:eastAsia="ja-JP"/>
              </w:rPr>
              <w:t>(</w:t>
            </w:r>
            <w:proofErr w:type="gramEnd"/>
            <w:r w:rsidRPr="00A01A6F">
              <w:rPr>
                <w:rFonts w:ascii="Times New Roman" w:hAnsi="Times New Roman" w:cs="Times New Roman"/>
                <w:sz w:val="24"/>
                <w:lang w:eastAsia="ja-JP"/>
              </w:rPr>
              <w:t xml:space="preserve">a)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14682821" w14:textId="77777777" w:rsidTr="001B66D7">
        <w:tc>
          <w:tcPr>
            <w:tcW w:w="1172" w:type="dxa"/>
            <w:vAlign w:val="center"/>
          </w:tcPr>
          <w:p w14:paraId="32F10E3C"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62</w:t>
            </w:r>
          </w:p>
        </w:tc>
        <w:tc>
          <w:tcPr>
            <w:tcW w:w="7242" w:type="dxa"/>
            <w:vAlign w:val="center"/>
          </w:tcPr>
          <w:p w14:paraId="64BBD1B0" w14:textId="447F0292"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Tier 1 (as a percentage of risk exposure amount), to be calculated as row 45 divided by row 60 (expressed as a percentage</w:t>
            </w:r>
            <w:r w:rsidR="007335CF">
              <w:rPr>
                <w:rFonts w:ascii="Times New Roman" w:hAnsi="Times New Roman" w:cs="Times New Roman"/>
                <w:sz w:val="24"/>
                <w:lang w:eastAsia="ja-JP"/>
              </w:rPr>
              <w:t>) in accordance with Article 92</w:t>
            </w:r>
            <w:r w:rsidRPr="00A01A6F">
              <w:rPr>
                <w:rFonts w:ascii="Times New Roman" w:hAnsi="Times New Roman" w:cs="Times New Roman"/>
                <w:sz w:val="24"/>
                <w:lang w:eastAsia="ja-JP"/>
              </w:rPr>
              <w:t>(2</w:t>
            </w:r>
            <w:proofErr w:type="gramStart"/>
            <w:r w:rsidRPr="00A01A6F">
              <w:rPr>
                <w:rFonts w:ascii="Times New Roman" w:hAnsi="Times New Roman" w:cs="Times New Roman"/>
                <w:sz w:val="24"/>
                <w:lang w:eastAsia="ja-JP"/>
              </w:rPr>
              <w:t>)(</w:t>
            </w:r>
            <w:proofErr w:type="gramEnd"/>
            <w:r w:rsidRPr="00A01A6F">
              <w:rPr>
                <w:rFonts w:ascii="Times New Roman" w:hAnsi="Times New Roman" w:cs="Times New Roman"/>
                <w:sz w:val="24"/>
                <w:lang w:eastAsia="ja-JP"/>
              </w:rPr>
              <w:t xml:space="preserve">b)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1FE41937" w14:textId="77777777" w:rsidTr="001B66D7">
        <w:tc>
          <w:tcPr>
            <w:tcW w:w="1172" w:type="dxa"/>
            <w:vAlign w:val="center"/>
          </w:tcPr>
          <w:p w14:paraId="7AD82FA2"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63</w:t>
            </w:r>
          </w:p>
        </w:tc>
        <w:tc>
          <w:tcPr>
            <w:tcW w:w="7242" w:type="dxa"/>
            <w:vAlign w:val="center"/>
          </w:tcPr>
          <w:p w14:paraId="52A85C27" w14:textId="208F4E50"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Total capital (as a percentage of risk exposure amount), to be calculated as row 59 divided by row 60 (expressed as a percentage) in accordance with Article 92</w:t>
            </w:r>
            <w:r w:rsidR="007335CF">
              <w:rPr>
                <w:rFonts w:ascii="Times New Roman" w:hAnsi="Times New Roman" w:cs="Times New Roman"/>
                <w:sz w:val="24"/>
                <w:lang w:eastAsia="ja-JP"/>
              </w:rPr>
              <w:t>(2</w:t>
            </w:r>
            <w:proofErr w:type="gramStart"/>
            <w:r w:rsidR="007335CF">
              <w:rPr>
                <w:rFonts w:ascii="Times New Roman" w:hAnsi="Times New Roman" w:cs="Times New Roman"/>
                <w:sz w:val="24"/>
                <w:lang w:eastAsia="ja-JP"/>
              </w:rPr>
              <w:t>)</w:t>
            </w:r>
            <w:r w:rsidRPr="00A01A6F">
              <w:rPr>
                <w:rFonts w:ascii="Times New Roman" w:hAnsi="Times New Roman" w:cs="Times New Roman"/>
                <w:sz w:val="24"/>
                <w:lang w:eastAsia="ja-JP"/>
              </w:rPr>
              <w:t>(</w:t>
            </w:r>
            <w:proofErr w:type="gramEnd"/>
            <w:r w:rsidRPr="00A01A6F">
              <w:rPr>
                <w:rFonts w:ascii="Times New Roman" w:hAnsi="Times New Roman" w:cs="Times New Roman"/>
                <w:sz w:val="24"/>
                <w:lang w:eastAsia="ja-JP"/>
              </w:rPr>
              <w:t xml:space="preserve">c)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2DA554AA" w14:textId="77777777" w:rsidTr="001B66D7">
        <w:tc>
          <w:tcPr>
            <w:tcW w:w="1172" w:type="dxa"/>
            <w:vAlign w:val="center"/>
          </w:tcPr>
          <w:p w14:paraId="0CA80CAE"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64</w:t>
            </w:r>
          </w:p>
        </w:tc>
        <w:tc>
          <w:tcPr>
            <w:tcW w:w="7242" w:type="dxa"/>
            <w:vAlign w:val="center"/>
          </w:tcPr>
          <w:p w14:paraId="25FB1D72" w14:textId="7526C8C9" w:rsidR="00B41D2E" w:rsidRPr="00A01A6F" w:rsidRDefault="00D2174F" w:rsidP="00970F55">
            <w:pPr>
              <w:spacing w:after="200" w:line="276" w:lineRule="auto"/>
              <w:jc w:val="both"/>
              <w:rPr>
                <w:rFonts w:ascii="Times New Roman" w:hAnsi="Times New Roman" w:cs="Times New Roman"/>
                <w:sz w:val="24"/>
                <w:lang w:eastAsia="ja-JP"/>
              </w:rPr>
            </w:pPr>
            <w:proofErr w:type="gramStart"/>
            <w:r w:rsidRPr="00A01A6F">
              <w:rPr>
                <w:rFonts w:ascii="Times New Roman" w:hAnsi="Times New Roman" w:cs="Times New Roman"/>
                <w:sz w:val="24"/>
                <w:lang w:eastAsia="ja-JP"/>
              </w:rPr>
              <w:t>Institution CET1 overall capital requirement (CET1 requiremen</w:t>
            </w:r>
            <w:r w:rsidR="007335CF">
              <w:rPr>
                <w:rFonts w:ascii="Times New Roman" w:hAnsi="Times New Roman" w:cs="Times New Roman"/>
                <w:sz w:val="24"/>
                <w:lang w:eastAsia="ja-JP"/>
              </w:rPr>
              <w:t>t in accordance with article 92</w:t>
            </w:r>
            <w:r w:rsidRPr="00A01A6F">
              <w:rPr>
                <w:rFonts w:ascii="Times New Roman" w:hAnsi="Times New Roman" w:cs="Times New Roman"/>
                <w:sz w:val="24"/>
                <w:lang w:eastAsia="ja-JP"/>
              </w:rPr>
              <w:t>(1)</w:t>
            </w:r>
            <w:r w:rsidR="00BD6709">
              <w:rPr>
                <w:rFonts w:ascii="Times New Roman" w:hAnsi="Times New Roman" w:cs="Times New Roman"/>
                <w:sz w:val="24"/>
                <w:lang w:eastAsia="ja-JP"/>
              </w:rPr>
              <w:t>(a)</w:t>
            </w:r>
            <w:r w:rsidRPr="00A01A6F">
              <w:rPr>
                <w:rFonts w:ascii="Times New Roman" w:hAnsi="Times New Roman" w:cs="Times New Roman"/>
                <w:sz w:val="24"/>
                <w:lang w:eastAsia="ja-JP"/>
              </w:rPr>
              <w:t xml:space="preserve"> of Regulation (EU) No 575/2013, plus additional CET1 requirement which the institutions are required to hold </w:t>
            </w:r>
            <w:r w:rsidRPr="00A01A6F">
              <w:rPr>
                <w:rFonts w:ascii="Times New Roman" w:hAnsi="Times New Roman" w:cs="Times New Roman"/>
                <w:sz w:val="24"/>
                <w:lang w:eastAsia="ja-JP"/>
              </w:rPr>
              <w:lastRenderedPageBreak/>
              <w:t>in accordance with Article 104(1)(a) of Directive 2013/36/EU, plus combined buffer requirement</w:t>
            </w:r>
            <w:r w:rsidR="00060C0E" w:rsidRPr="00A01A6F">
              <w:rPr>
                <w:rFonts w:ascii="Times New Roman" w:hAnsi="Times New Roman" w:cs="Times New Roman"/>
                <w:sz w:val="24"/>
                <w:lang w:eastAsia="ja-JP"/>
              </w:rPr>
              <w:t xml:space="preserve"> </w:t>
            </w:r>
            <w:r w:rsidRPr="00A01A6F">
              <w:rPr>
                <w:rFonts w:ascii="Times New Roman" w:hAnsi="Times New Roman" w:cs="Times New Roman"/>
                <w:sz w:val="24"/>
                <w:lang w:eastAsia="ja-JP"/>
              </w:rPr>
              <w:t>in accordance with Article 128(6) of Directive 2013/36/EU) expressed as a percentage of risk exposure amount</w:t>
            </w:r>
            <w:r w:rsidR="00BD6709">
              <w:rPr>
                <w:rFonts w:ascii="Times New Roman" w:hAnsi="Times New Roman" w:cs="Times New Roman"/>
                <w:sz w:val="24"/>
                <w:lang w:eastAsia="ja-JP"/>
              </w:rPr>
              <w:t>.</w:t>
            </w:r>
            <w:proofErr w:type="gramEnd"/>
            <w:r w:rsidR="00BD6709">
              <w:rPr>
                <w:rFonts w:ascii="Times New Roman" w:hAnsi="Times New Roman" w:cs="Times New Roman"/>
                <w:sz w:val="24"/>
                <w:lang w:eastAsia="ja-JP"/>
              </w:rPr>
              <w:t xml:space="preserve"> </w:t>
            </w:r>
            <w:r w:rsidR="00B41D2E" w:rsidRPr="00A01A6F">
              <w:rPr>
                <w:rFonts w:ascii="Times New Roman" w:hAnsi="Times New Roman" w:cs="Times New Roman"/>
                <w:sz w:val="24"/>
                <w:lang w:eastAsia="ja-JP"/>
              </w:rPr>
              <w:t>To be calculated as 4.5% plus the additional pillar 2 requirements which the institutions are required to hold in accordance with Article 104(1</w:t>
            </w:r>
            <w:proofErr w:type="gramStart"/>
            <w:r w:rsidR="00B41D2E" w:rsidRPr="00A01A6F">
              <w:rPr>
                <w:rFonts w:ascii="Times New Roman" w:hAnsi="Times New Roman" w:cs="Times New Roman"/>
                <w:sz w:val="24"/>
                <w:lang w:eastAsia="ja-JP"/>
              </w:rPr>
              <w:t>)(</w:t>
            </w:r>
            <w:proofErr w:type="gramEnd"/>
            <w:r w:rsidR="00B41D2E" w:rsidRPr="00A01A6F">
              <w:rPr>
                <w:rFonts w:ascii="Times New Roman" w:hAnsi="Times New Roman" w:cs="Times New Roman"/>
                <w:sz w:val="24"/>
                <w:lang w:eastAsia="ja-JP"/>
              </w:rPr>
              <w:t xml:space="preserve">a) of Directive </w:t>
            </w:r>
            <w:r w:rsidRPr="00A01A6F">
              <w:rPr>
                <w:rFonts w:ascii="Times New Roman" w:hAnsi="Times New Roman" w:cs="Times New Roman"/>
                <w:sz w:val="24"/>
                <w:lang w:eastAsia="ja-JP"/>
              </w:rPr>
              <w:t>2013/36/EU</w:t>
            </w:r>
            <w:r w:rsidR="00B41D2E" w:rsidRPr="00A01A6F" w:rsidDel="004C350B">
              <w:rPr>
                <w:rFonts w:ascii="Times New Roman" w:hAnsi="Times New Roman" w:cs="Times New Roman"/>
                <w:color w:val="FF0000"/>
                <w:sz w:val="24"/>
                <w:lang w:eastAsia="ja-JP"/>
              </w:rPr>
              <w:t xml:space="preserve"> </w:t>
            </w:r>
            <w:r w:rsidR="00B41D2E" w:rsidRPr="00A01A6F">
              <w:rPr>
                <w:rFonts w:ascii="Times New Roman" w:hAnsi="Times New Roman" w:cs="Times New Roman"/>
                <w:sz w:val="24"/>
                <w:lang w:eastAsia="ja-JP"/>
              </w:rPr>
              <w:t xml:space="preserve">plus the </w:t>
            </w:r>
            <w:r w:rsidRPr="00A01A6F">
              <w:rPr>
                <w:rFonts w:ascii="Times New Roman" w:hAnsi="Times New Roman" w:cs="Times New Roman"/>
                <w:sz w:val="24"/>
                <w:lang w:eastAsia="ja-JP"/>
              </w:rPr>
              <w:t xml:space="preserve">combined </w:t>
            </w:r>
            <w:r w:rsidR="00B41D2E" w:rsidRPr="00A01A6F">
              <w:rPr>
                <w:rFonts w:ascii="Times New Roman" w:hAnsi="Times New Roman" w:cs="Times New Roman"/>
                <w:sz w:val="24"/>
                <w:lang w:eastAsia="ja-JP"/>
              </w:rPr>
              <w:t>buffer requirement calculated in accordance with Articles 128, 129</w:t>
            </w:r>
            <w:r w:rsidRPr="00A01A6F">
              <w:rPr>
                <w:rFonts w:ascii="Times New Roman" w:hAnsi="Times New Roman" w:cs="Times New Roman"/>
                <w:sz w:val="24"/>
                <w:lang w:eastAsia="ja-JP"/>
              </w:rPr>
              <w:t>,</w:t>
            </w:r>
            <w:r w:rsidR="00B41D2E" w:rsidRPr="00A01A6F">
              <w:rPr>
                <w:rFonts w:ascii="Times New Roman" w:hAnsi="Times New Roman" w:cs="Times New Roman"/>
                <w:sz w:val="24"/>
                <w:lang w:eastAsia="ja-JP"/>
              </w:rPr>
              <w:t xml:space="preserve"> 130</w:t>
            </w:r>
            <w:r w:rsidRPr="00A01A6F">
              <w:rPr>
                <w:rFonts w:ascii="Times New Roman" w:hAnsi="Times New Roman" w:cs="Times New Roman"/>
                <w:sz w:val="24"/>
                <w:lang w:eastAsia="ja-JP"/>
              </w:rPr>
              <w:t>, 131 and 133</w:t>
            </w:r>
            <w:r w:rsidR="00B41D2E" w:rsidRPr="00A01A6F">
              <w:rPr>
                <w:rFonts w:ascii="Times New Roman" w:hAnsi="Times New Roman" w:cs="Times New Roman"/>
                <w:sz w:val="24"/>
                <w:lang w:eastAsia="ja-JP"/>
              </w:rPr>
              <w:t xml:space="preserve"> of Directive </w:t>
            </w:r>
            <w:r w:rsidR="00BD6709">
              <w:rPr>
                <w:rFonts w:ascii="Times New Roman" w:hAnsi="Times New Roman" w:cs="Times New Roman"/>
                <w:sz w:val="24"/>
                <w:lang w:eastAsia="ja-JP"/>
              </w:rPr>
              <w:t>2013</w:t>
            </w:r>
            <w:r w:rsidR="00B41D2E" w:rsidRPr="00A01A6F">
              <w:rPr>
                <w:rFonts w:ascii="Times New Roman" w:hAnsi="Times New Roman" w:cs="Times New Roman"/>
                <w:sz w:val="24"/>
                <w:lang w:eastAsia="ja-JP"/>
              </w:rPr>
              <w:t>/</w:t>
            </w:r>
            <w:r w:rsidR="00BD6709">
              <w:rPr>
                <w:rFonts w:ascii="Times New Roman" w:hAnsi="Times New Roman" w:cs="Times New Roman"/>
                <w:sz w:val="24"/>
                <w:lang w:eastAsia="ja-JP"/>
              </w:rPr>
              <w:t>36</w:t>
            </w:r>
            <w:r w:rsidR="00B41D2E" w:rsidRPr="00A01A6F">
              <w:rPr>
                <w:rFonts w:ascii="Times New Roman" w:hAnsi="Times New Roman" w:cs="Times New Roman"/>
                <w:sz w:val="24"/>
                <w:lang w:eastAsia="ja-JP"/>
              </w:rPr>
              <w:t xml:space="preserve">/EU. This row will show the CET1 ratio below which the institution will become subject to constraints on distributions. </w:t>
            </w:r>
          </w:p>
        </w:tc>
      </w:tr>
      <w:tr w:rsidR="00B41D2E" w:rsidRPr="00A95602" w14:paraId="6BFE067D" w14:textId="77777777" w:rsidTr="001B66D7">
        <w:tc>
          <w:tcPr>
            <w:tcW w:w="1172" w:type="dxa"/>
            <w:vAlign w:val="center"/>
          </w:tcPr>
          <w:p w14:paraId="3AADC4B7"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lastRenderedPageBreak/>
              <w:t>65</w:t>
            </w:r>
          </w:p>
        </w:tc>
        <w:tc>
          <w:tcPr>
            <w:tcW w:w="7242" w:type="dxa"/>
            <w:vAlign w:val="center"/>
          </w:tcPr>
          <w:p w14:paraId="0B558C8F" w14:textId="7CBF6508"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The amount in row 64 (expressed as a percentage of risk weighed assets) that relates to the </w:t>
            </w:r>
            <w:proofErr w:type="gramStart"/>
            <w:r w:rsidRPr="00A01A6F">
              <w:rPr>
                <w:rFonts w:ascii="Times New Roman" w:hAnsi="Times New Roman" w:cs="Times New Roman"/>
                <w:sz w:val="24"/>
                <w:lang w:eastAsia="ja-JP"/>
              </w:rPr>
              <w:t>capital conservation buffer</w:t>
            </w:r>
            <w:r w:rsidR="00A95602" w:rsidRPr="00A95602">
              <w:rPr>
                <w:rFonts w:ascii="Times New Roman" w:hAnsi="Times New Roman" w:cs="Times New Roman"/>
                <w:sz w:val="24"/>
                <w:lang w:eastAsia="ja-JP"/>
              </w:rPr>
              <w:t xml:space="preserve"> </w:t>
            </w:r>
            <w:r w:rsidRPr="00A01A6F">
              <w:rPr>
                <w:rFonts w:ascii="Times New Roman" w:hAnsi="Times New Roman" w:cs="Times New Roman"/>
                <w:sz w:val="24"/>
                <w:lang w:eastAsia="ja-JP"/>
              </w:rPr>
              <w:t>re</w:t>
            </w:r>
            <w:r w:rsidR="00A95602" w:rsidRPr="00A95602">
              <w:rPr>
                <w:rFonts w:ascii="Times New Roman" w:hAnsi="Times New Roman" w:cs="Times New Roman"/>
                <w:sz w:val="24"/>
                <w:lang w:eastAsia="ja-JP"/>
              </w:rPr>
              <w:t>quirement</w:t>
            </w:r>
            <w:proofErr w:type="gramEnd"/>
            <w:r w:rsidR="00BD6709" w:rsidRPr="005476DC">
              <w:rPr>
                <w:rFonts w:ascii="Times New Roman" w:hAnsi="Times New Roman" w:cs="Times New Roman"/>
                <w:sz w:val="24"/>
                <w:lang w:eastAsia="ja-JP"/>
              </w:rPr>
              <w:t xml:space="preserve"> in accordance with Article</w:t>
            </w:r>
            <w:r w:rsidR="00BD6709">
              <w:rPr>
                <w:rFonts w:ascii="Times New Roman" w:hAnsi="Times New Roman" w:cs="Times New Roman"/>
                <w:sz w:val="24"/>
                <w:lang w:eastAsia="ja-JP"/>
              </w:rPr>
              <w:t xml:space="preserve"> </w:t>
            </w:r>
            <w:r w:rsidR="00BD6709" w:rsidRPr="005476DC">
              <w:rPr>
                <w:rFonts w:ascii="Times New Roman" w:hAnsi="Times New Roman" w:cs="Times New Roman"/>
                <w:sz w:val="24"/>
                <w:lang w:eastAsia="ja-JP"/>
              </w:rPr>
              <w:t>1</w:t>
            </w:r>
            <w:r w:rsidR="00BD6709">
              <w:rPr>
                <w:rFonts w:ascii="Times New Roman" w:hAnsi="Times New Roman" w:cs="Times New Roman"/>
                <w:sz w:val="24"/>
                <w:lang w:eastAsia="ja-JP"/>
              </w:rPr>
              <w:t xml:space="preserve">29 </w:t>
            </w:r>
            <w:r w:rsidR="00BD6709" w:rsidRPr="005476DC">
              <w:rPr>
                <w:rFonts w:ascii="Times New Roman" w:hAnsi="Times New Roman" w:cs="Times New Roman"/>
                <w:sz w:val="24"/>
                <w:lang w:eastAsia="ja-JP"/>
              </w:rPr>
              <w:t>of Directive 2013/36/EU</w:t>
            </w:r>
            <w:r w:rsidRPr="00A01A6F">
              <w:rPr>
                <w:rFonts w:ascii="Times New Roman" w:hAnsi="Times New Roman" w:cs="Times New Roman"/>
                <w:sz w:val="24"/>
                <w:lang w:eastAsia="ja-JP"/>
              </w:rPr>
              <w:t xml:space="preserve">. </w:t>
            </w:r>
          </w:p>
        </w:tc>
      </w:tr>
      <w:tr w:rsidR="00B41D2E" w:rsidRPr="00A95602" w14:paraId="28134560" w14:textId="77777777" w:rsidTr="001B66D7">
        <w:tc>
          <w:tcPr>
            <w:tcW w:w="1172" w:type="dxa"/>
            <w:vAlign w:val="center"/>
          </w:tcPr>
          <w:p w14:paraId="0B4BE0A0"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66</w:t>
            </w:r>
          </w:p>
        </w:tc>
        <w:tc>
          <w:tcPr>
            <w:tcW w:w="7242" w:type="dxa"/>
            <w:vAlign w:val="center"/>
          </w:tcPr>
          <w:p w14:paraId="6C0C1F22" w14:textId="2C14BDDE"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The amount in row 64 (expressed as a percentage of risk weighed assets) that relates to the countercyclical buffer requirement</w:t>
            </w:r>
            <w:r w:rsidR="00BD6709" w:rsidRPr="005476DC">
              <w:rPr>
                <w:rFonts w:ascii="Times New Roman" w:hAnsi="Times New Roman" w:cs="Times New Roman"/>
                <w:sz w:val="24"/>
                <w:lang w:eastAsia="ja-JP"/>
              </w:rPr>
              <w:t xml:space="preserve"> in accordance with Article</w:t>
            </w:r>
            <w:r w:rsidR="00BD6709">
              <w:rPr>
                <w:rFonts w:ascii="Times New Roman" w:hAnsi="Times New Roman" w:cs="Times New Roman"/>
                <w:sz w:val="24"/>
                <w:lang w:eastAsia="ja-JP"/>
              </w:rPr>
              <w:t xml:space="preserve"> </w:t>
            </w:r>
            <w:r w:rsidR="00BD6709" w:rsidRPr="005476DC">
              <w:rPr>
                <w:rFonts w:ascii="Times New Roman" w:hAnsi="Times New Roman" w:cs="Times New Roman"/>
                <w:sz w:val="24"/>
                <w:lang w:eastAsia="ja-JP"/>
              </w:rPr>
              <w:t>130</w:t>
            </w:r>
            <w:r w:rsidR="00BD6709">
              <w:rPr>
                <w:rFonts w:ascii="Times New Roman" w:hAnsi="Times New Roman" w:cs="Times New Roman"/>
                <w:sz w:val="24"/>
                <w:lang w:eastAsia="ja-JP"/>
              </w:rPr>
              <w:t xml:space="preserve"> </w:t>
            </w:r>
            <w:r w:rsidR="00BD6709" w:rsidRPr="005476DC">
              <w:rPr>
                <w:rFonts w:ascii="Times New Roman" w:hAnsi="Times New Roman" w:cs="Times New Roman"/>
                <w:sz w:val="24"/>
                <w:lang w:eastAsia="ja-JP"/>
              </w:rPr>
              <w:t>of Directive 2013/36/EU</w:t>
            </w:r>
            <w:r w:rsidRPr="00A01A6F">
              <w:rPr>
                <w:rFonts w:ascii="Times New Roman" w:hAnsi="Times New Roman" w:cs="Times New Roman"/>
                <w:sz w:val="24"/>
                <w:lang w:eastAsia="ja-JP"/>
              </w:rPr>
              <w:t xml:space="preserve">. </w:t>
            </w:r>
          </w:p>
        </w:tc>
      </w:tr>
      <w:tr w:rsidR="00B41D2E" w:rsidRPr="00A95602" w14:paraId="040B7A9D" w14:textId="77777777" w:rsidTr="001B66D7">
        <w:tc>
          <w:tcPr>
            <w:tcW w:w="1172" w:type="dxa"/>
            <w:vAlign w:val="center"/>
          </w:tcPr>
          <w:p w14:paraId="06594E9E"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67</w:t>
            </w:r>
          </w:p>
        </w:tc>
        <w:tc>
          <w:tcPr>
            <w:tcW w:w="7242" w:type="dxa"/>
            <w:vAlign w:val="center"/>
          </w:tcPr>
          <w:p w14:paraId="7A28A33E" w14:textId="4A5FFFCF"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The amount in row 64 (expressed as a percentage of risk weighed assets) that relates to the systemic risk buffer requirement</w:t>
            </w:r>
            <w:r w:rsidR="00BD6709" w:rsidRPr="005476DC">
              <w:rPr>
                <w:rFonts w:ascii="Times New Roman" w:hAnsi="Times New Roman" w:cs="Times New Roman"/>
                <w:sz w:val="24"/>
                <w:lang w:eastAsia="ja-JP"/>
              </w:rPr>
              <w:t xml:space="preserve"> in accordance with Article 133 of Directive 2013/36/EU</w:t>
            </w:r>
            <w:r w:rsidRPr="00A01A6F">
              <w:rPr>
                <w:rFonts w:ascii="Times New Roman" w:hAnsi="Times New Roman" w:cs="Times New Roman"/>
                <w:sz w:val="24"/>
                <w:lang w:eastAsia="ja-JP"/>
              </w:rPr>
              <w:t xml:space="preserve">. </w:t>
            </w:r>
          </w:p>
        </w:tc>
      </w:tr>
      <w:tr w:rsidR="00B41D2E" w:rsidRPr="00A95602" w14:paraId="1D7B2180" w14:textId="77777777" w:rsidTr="001B66D7">
        <w:tc>
          <w:tcPr>
            <w:tcW w:w="1172" w:type="dxa"/>
            <w:vAlign w:val="center"/>
          </w:tcPr>
          <w:p w14:paraId="476B7A87" w14:textId="4DBC4FEA" w:rsidR="00B41D2E" w:rsidRPr="00A01A6F" w:rsidRDefault="00FC22F3" w:rsidP="00B41D2E">
            <w:pPr>
              <w:spacing w:after="200" w:line="276" w:lineRule="auto"/>
              <w:rPr>
                <w:rFonts w:ascii="Times New Roman" w:hAnsi="Times New Roman" w:cs="Times New Roman"/>
                <w:sz w:val="24"/>
                <w:lang w:eastAsia="ja-JP"/>
              </w:rPr>
            </w:pPr>
            <w:r>
              <w:rPr>
                <w:rFonts w:ascii="Times New Roman" w:hAnsi="Times New Roman" w:cs="Times New Roman"/>
                <w:sz w:val="24"/>
                <w:lang w:eastAsia="ja-JP"/>
              </w:rPr>
              <w:t>EU-</w:t>
            </w:r>
            <w:r w:rsidR="00B41D2E" w:rsidRPr="00A01A6F">
              <w:rPr>
                <w:rFonts w:ascii="Times New Roman" w:hAnsi="Times New Roman" w:cs="Times New Roman"/>
                <w:sz w:val="24"/>
                <w:lang w:eastAsia="ja-JP"/>
              </w:rPr>
              <w:t>67a</w:t>
            </w:r>
          </w:p>
        </w:tc>
        <w:tc>
          <w:tcPr>
            <w:tcW w:w="7242" w:type="dxa"/>
            <w:vAlign w:val="center"/>
          </w:tcPr>
          <w:p w14:paraId="52BC50F8" w14:textId="03CD6D4C"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The amount in row 64 (expressed as a percentage of risk weighed assets) that relates to the G-SII or O-SII buffer requirement</w:t>
            </w:r>
            <w:r w:rsidR="00BD6709" w:rsidRPr="005476DC">
              <w:rPr>
                <w:rFonts w:ascii="Times New Roman" w:hAnsi="Times New Roman" w:cs="Times New Roman"/>
                <w:sz w:val="24"/>
                <w:lang w:eastAsia="ja-JP"/>
              </w:rPr>
              <w:t xml:space="preserve"> in accordance with Article 131 of Directive 2013/36/EU</w:t>
            </w:r>
            <w:r w:rsidRPr="00A01A6F">
              <w:rPr>
                <w:rFonts w:ascii="Times New Roman" w:hAnsi="Times New Roman" w:cs="Times New Roman"/>
                <w:sz w:val="24"/>
                <w:lang w:eastAsia="ja-JP"/>
              </w:rPr>
              <w:t xml:space="preserve">. </w:t>
            </w:r>
          </w:p>
        </w:tc>
      </w:tr>
      <w:tr w:rsidR="00B41D2E" w:rsidRPr="00A95602" w14:paraId="702E553D" w14:textId="77777777" w:rsidTr="001B66D7">
        <w:tc>
          <w:tcPr>
            <w:tcW w:w="1172" w:type="dxa"/>
            <w:vAlign w:val="center"/>
          </w:tcPr>
          <w:p w14:paraId="17C0DD8E"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68</w:t>
            </w:r>
          </w:p>
        </w:tc>
        <w:tc>
          <w:tcPr>
            <w:tcW w:w="7242" w:type="dxa"/>
            <w:vAlign w:val="center"/>
          </w:tcPr>
          <w:p w14:paraId="5D0050F3" w14:textId="7A3A5505" w:rsidR="00B41D2E" w:rsidRPr="00A01A6F" w:rsidRDefault="00060C0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Common Equity Tier 1 available to meet buffer (as a percentage of risk exposure amount). </w:t>
            </w:r>
            <w:proofErr w:type="gramStart"/>
            <w:r w:rsidRPr="00A01A6F">
              <w:rPr>
                <w:rFonts w:ascii="Times New Roman" w:hAnsi="Times New Roman" w:cs="Times New Roman"/>
                <w:sz w:val="24"/>
                <w:lang w:eastAsia="ja-JP"/>
              </w:rPr>
              <w:t>To be calculated as the available CET1 capital of the institution, less the institution’s CET1 capital requirement</w:t>
            </w:r>
            <w:r w:rsidR="007335CF">
              <w:rPr>
                <w:rFonts w:ascii="Times New Roman" w:hAnsi="Times New Roman" w:cs="Times New Roman"/>
                <w:sz w:val="24"/>
                <w:lang w:eastAsia="ja-JP"/>
              </w:rPr>
              <w:t>s in accordance with article 92</w:t>
            </w:r>
            <w:r w:rsidRPr="00A01A6F">
              <w:rPr>
                <w:rFonts w:ascii="Times New Roman" w:hAnsi="Times New Roman" w:cs="Times New Roman"/>
                <w:sz w:val="24"/>
                <w:lang w:eastAsia="ja-JP"/>
              </w:rPr>
              <w:t>(1)</w:t>
            </w:r>
            <w:r w:rsidR="00BD6709">
              <w:rPr>
                <w:rFonts w:ascii="Times New Roman" w:hAnsi="Times New Roman" w:cs="Times New Roman"/>
                <w:sz w:val="24"/>
                <w:lang w:eastAsia="ja-JP"/>
              </w:rPr>
              <w:t>(a)</w:t>
            </w:r>
            <w:r w:rsidRPr="00A01A6F">
              <w:rPr>
                <w:rFonts w:ascii="Times New Roman" w:hAnsi="Times New Roman" w:cs="Times New Roman"/>
                <w:sz w:val="24"/>
                <w:lang w:eastAsia="ja-JP"/>
              </w:rPr>
              <w:t xml:space="preserve"> of Regulation (EU) No 575/2013 and following Article 104(1)(a) of Directive 2013/36/EU, and less any Common Equity Tier 1 items used by the institution to meet its additional Tier 1 and T2 capital requirements.</w:t>
            </w:r>
            <w:proofErr w:type="gramEnd"/>
          </w:p>
        </w:tc>
      </w:tr>
      <w:tr w:rsidR="00B41D2E" w:rsidRPr="00A95602" w14:paraId="2701E31A" w14:textId="77777777" w:rsidTr="001B66D7">
        <w:tc>
          <w:tcPr>
            <w:tcW w:w="1172" w:type="dxa"/>
            <w:vAlign w:val="center"/>
          </w:tcPr>
          <w:p w14:paraId="3C88F2A2" w14:textId="77777777" w:rsidR="00B41D2E" w:rsidRPr="00A01A6F" w:rsidDel="007266C2"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69</w:t>
            </w:r>
          </w:p>
        </w:tc>
        <w:tc>
          <w:tcPr>
            <w:tcW w:w="7242" w:type="dxa"/>
            <w:vAlign w:val="center"/>
          </w:tcPr>
          <w:p w14:paraId="6CD0F2DC" w14:textId="77777777" w:rsidR="00B41D2E" w:rsidRPr="00A01A6F" w:rsidRDefault="00B41D2E" w:rsidP="00970F55">
            <w:pPr>
              <w:spacing w:after="200" w:line="276" w:lineRule="auto"/>
              <w:jc w:val="both"/>
              <w:rPr>
                <w:rFonts w:ascii="Times New Roman" w:hAnsi="Times New Roman" w:cs="Times New Roman"/>
                <w:sz w:val="24"/>
                <w:lang w:val="fr-FR" w:eastAsia="ja-JP"/>
              </w:rPr>
            </w:pPr>
            <w:r w:rsidRPr="00A01A6F">
              <w:rPr>
                <w:rFonts w:ascii="Times New Roman" w:hAnsi="Times New Roman" w:cs="Times New Roman"/>
                <w:sz w:val="24"/>
                <w:lang w:val="fr-FR" w:eastAsia="ja-JP"/>
              </w:rPr>
              <w:t xml:space="preserve">[non relevant in EU </w:t>
            </w:r>
            <w:proofErr w:type="spellStart"/>
            <w:r w:rsidRPr="00A01A6F">
              <w:rPr>
                <w:rFonts w:ascii="Times New Roman" w:hAnsi="Times New Roman" w:cs="Times New Roman"/>
                <w:sz w:val="24"/>
                <w:lang w:val="fr-FR" w:eastAsia="ja-JP"/>
              </w:rPr>
              <w:t>regulation</w:t>
            </w:r>
            <w:proofErr w:type="spellEnd"/>
            <w:r w:rsidRPr="00A01A6F">
              <w:rPr>
                <w:rFonts w:ascii="Times New Roman" w:hAnsi="Times New Roman" w:cs="Times New Roman"/>
                <w:sz w:val="24"/>
                <w:lang w:val="fr-FR" w:eastAsia="ja-JP"/>
              </w:rPr>
              <w:t>]</w:t>
            </w:r>
          </w:p>
        </w:tc>
      </w:tr>
      <w:tr w:rsidR="00B41D2E" w:rsidRPr="00A95602" w14:paraId="1D1FB8DD" w14:textId="77777777" w:rsidTr="001B66D7">
        <w:tc>
          <w:tcPr>
            <w:tcW w:w="1172" w:type="dxa"/>
            <w:vAlign w:val="center"/>
          </w:tcPr>
          <w:p w14:paraId="0E72159E" w14:textId="6D4B7559" w:rsidR="00B41D2E" w:rsidRPr="00A01A6F" w:rsidDel="007266C2"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70</w:t>
            </w:r>
          </w:p>
        </w:tc>
        <w:tc>
          <w:tcPr>
            <w:tcW w:w="7242" w:type="dxa"/>
            <w:vAlign w:val="center"/>
          </w:tcPr>
          <w:p w14:paraId="49B41894" w14:textId="77777777" w:rsidR="00B41D2E" w:rsidRPr="00A01A6F" w:rsidRDefault="00B41D2E" w:rsidP="00970F55">
            <w:pPr>
              <w:spacing w:after="200" w:line="276" w:lineRule="auto"/>
              <w:jc w:val="both"/>
              <w:rPr>
                <w:rFonts w:ascii="Times New Roman" w:hAnsi="Times New Roman" w:cs="Times New Roman"/>
                <w:sz w:val="24"/>
                <w:lang w:val="fr-FR" w:eastAsia="ja-JP"/>
              </w:rPr>
            </w:pPr>
            <w:r w:rsidRPr="00A01A6F">
              <w:rPr>
                <w:rFonts w:ascii="Times New Roman" w:hAnsi="Times New Roman" w:cs="Times New Roman"/>
                <w:sz w:val="24"/>
                <w:lang w:val="fr-FR" w:eastAsia="ja-JP"/>
              </w:rPr>
              <w:t xml:space="preserve">[non relevant in EU </w:t>
            </w:r>
            <w:proofErr w:type="spellStart"/>
            <w:r w:rsidRPr="00A01A6F">
              <w:rPr>
                <w:rFonts w:ascii="Times New Roman" w:hAnsi="Times New Roman" w:cs="Times New Roman"/>
                <w:sz w:val="24"/>
                <w:lang w:val="fr-FR" w:eastAsia="ja-JP"/>
              </w:rPr>
              <w:t>regulation</w:t>
            </w:r>
            <w:proofErr w:type="spellEnd"/>
            <w:r w:rsidRPr="00A01A6F">
              <w:rPr>
                <w:rFonts w:ascii="Times New Roman" w:hAnsi="Times New Roman" w:cs="Times New Roman"/>
                <w:sz w:val="24"/>
                <w:lang w:val="fr-FR" w:eastAsia="ja-JP"/>
              </w:rPr>
              <w:t>]</w:t>
            </w:r>
          </w:p>
        </w:tc>
      </w:tr>
      <w:tr w:rsidR="00B41D2E" w:rsidRPr="00A95602" w14:paraId="3D69DF61" w14:textId="77777777" w:rsidTr="001B66D7">
        <w:tc>
          <w:tcPr>
            <w:tcW w:w="1172" w:type="dxa"/>
            <w:vAlign w:val="center"/>
          </w:tcPr>
          <w:p w14:paraId="6503BA9E" w14:textId="77777777" w:rsidR="00B41D2E" w:rsidRPr="00A01A6F" w:rsidDel="007266C2"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71</w:t>
            </w:r>
          </w:p>
        </w:tc>
        <w:tc>
          <w:tcPr>
            <w:tcW w:w="7242" w:type="dxa"/>
            <w:vAlign w:val="center"/>
          </w:tcPr>
          <w:p w14:paraId="5B1B3269" w14:textId="77777777" w:rsidR="00B41D2E" w:rsidRPr="00A01A6F" w:rsidRDefault="00B41D2E" w:rsidP="00970F55">
            <w:pPr>
              <w:spacing w:after="200" w:line="276" w:lineRule="auto"/>
              <w:jc w:val="both"/>
              <w:rPr>
                <w:rFonts w:ascii="Times New Roman" w:hAnsi="Times New Roman" w:cs="Times New Roman"/>
                <w:sz w:val="24"/>
                <w:lang w:val="fr-FR" w:eastAsia="ja-JP"/>
              </w:rPr>
            </w:pPr>
            <w:r w:rsidRPr="00A01A6F">
              <w:rPr>
                <w:rFonts w:ascii="Times New Roman" w:hAnsi="Times New Roman" w:cs="Times New Roman"/>
                <w:sz w:val="24"/>
                <w:lang w:val="fr-FR" w:eastAsia="ja-JP"/>
              </w:rPr>
              <w:t xml:space="preserve">[non relevant in EU </w:t>
            </w:r>
            <w:proofErr w:type="spellStart"/>
            <w:r w:rsidRPr="00A01A6F">
              <w:rPr>
                <w:rFonts w:ascii="Times New Roman" w:hAnsi="Times New Roman" w:cs="Times New Roman"/>
                <w:sz w:val="24"/>
                <w:lang w:val="fr-FR" w:eastAsia="ja-JP"/>
              </w:rPr>
              <w:t>regulation</w:t>
            </w:r>
            <w:proofErr w:type="spellEnd"/>
            <w:r w:rsidRPr="00A01A6F">
              <w:rPr>
                <w:rFonts w:ascii="Times New Roman" w:hAnsi="Times New Roman" w:cs="Times New Roman"/>
                <w:sz w:val="24"/>
                <w:lang w:val="fr-FR" w:eastAsia="ja-JP"/>
              </w:rPr>
              <w:t>]</w:t>
            </w:r>
          </w:p>
        </w:tc>
      </w:tr>
      <w:tr w:rsidR="00B41D2E" w:rsidRPr="00A95602" w14:paraId="19D6207C" w14:textId="77777777" w:rsidTr="001B66D7">
        <w:tc>
          <w:tcPr>
            <w:tcW w:w="1172" w:type="dxa"/>
            <w:vAlign w:val="center"/>
          </w:tcPr>
          <w:p w14:paraId="21AB6209"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72</w:t>
            </w:r>
          </w:p>
        </w:tc>
        <w:tc>
          <w:tcPr>
            <w:tcW w:w="7242" w:type="dxa"/>
            <w:vAlign w:val="center"/>
          </w:tcPr>
          <w:p w14:paraId="46DCA5EC" w14:textId="477F5251" w:rsidR="00B41D2E" w:rsidRPr="00A01A6F" w:rsidRDefault="00A95602" w:rsidP="00970F55">
            <w:pPr>
              <w:spacing w:after="200" w:line="276" w:lineRule="auto"/>
              <w:jc w:val="both"/>
              <w:rPr>
                <w:rFonts w:ascii="Times New Roman" w:hAnsi="Times New Roman" w:cs="Times New Roman"/>
                <w:sz w:val="24"/>
                <w:lang w:eastAsia="ja-JP"/>
              </w:rPr>
            </w:pPr>
            <w:r w:rsidRPr="00A95602">
              <w:rPr>
                <w:rFonts w:ascii="Times New Roman" w:hAnsi="Times New Roman" w:cs="Times New Roman"/>
                <w:sz w:val="24"/>
                <w:lang w:eastAsia="ja-JP"/>
              </w:rPr>
              <w:t xml:space="preserve">Direct and indirect holdings of the own funds and eligible liabilities of financial sector entities where the institution does not have a significant investment in those entities (amount below 10% threshold and net of </w:t>
            </w:r>
            <w:r w:rsidRPr="00A95602">
              <w:rPr>
                <w:rFonts w:ascii="Times New Roman" w:hAnsi="Times New Roman" w:cs="Times New Roman"/>
                <w:sz w:val="24"/>
                <w:lang w:eastAsia="ja-JP"/>
              </w:rPr>
              <w:lastRenderedPageBreak/>
              <w:t>eligible short positions)</w:t>
            </w:r>
            <w:r w:rsidR="007335CF">
              <w:rPr>
                <w:rFonts w:ascii="Times New Roman" w:hAnsi="Times New Roman" w:cs="Times New Roman"/>
                <w:sz w:val="24"/>
                <w:lang w:eastAsia="ja-JP"/>
              </w:rPr>
              <w:t xml:space="preserve"> in accordance with Articles 36(1)(h), 45, 46, 56(c), 59, 60, 66</w:t>
            </w:r>
            <w:r w:rsidRPr="00A95602">
              <w:rPr>
                <w:rFonts w:ascii="Times New Roman" w:hAnsi="Times New Roman" w:cs="Times New Roman"/>
                <w:sz w:val="24"/>
                <w:lang w:eastAsia="ja-JP"/>
              </w:rPr>
              <w:t xml:space="preserve">(c), 69, 70 and 72i of CRR   </w:t>
            </w:r>
          </w:p>
        </w:tc>
      </w:tr>
      <w:tr w:rsidR="00B41D2E" w:rsidRPr="00A95602" w14:paraId="18060893" w14:textId="77777777" w:rsidTr="001B66D7">
        <w:tc>
          <w:tcPr>
            <w:tcW w:w="1172" w:type="dxa"/>
            <w:vAlign w:val="center"/>
          </w:tcPr>
          <w:p w14:paraId="46A8EF0B"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lastRenderedPageBreak/>
              <w:t>73</w:t>
            </w:r>
          </w:p>
        </w:tc>
        <w:tc>
          <w:tcPr>
            <w:tcW w:w="7242" w:type="dxa"/>
            <w:vAlign w:val="center"/>
          </w:tcPr>
          <w:p w14:paraId="59E74319" w14:textId="526B2C84"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Direct and indirect holdings by the institution of the CET1 instruments of financial sector entities where the institution has a significant investment in those entities (amount below 17.65% threshold and net of eligible short positions)</w:t>
            </w:r>
            <w:r w:rsidR="007335CF">
              <w:rPr>
                <w:rFonts w:ascii="Times New Roman" w:hAnsi="Times New Roman" w:cs="Times New Roman"/>
                <w:sz w:val="24"/>
                <w:lang w:eastAsia="ja-JP"/>
              </w:rPr>
              <w:t xml:space="preserve"> in accordance with Articles 36(1)</w:t>
            </w:r>
            <w:r w:rsidRPr="00A01A6F">
              <w:rPr>
                <w:rFonts w:ascii="Times New Roman" w:hAnsi="Times New Roman" w:cs="Times New Roman"/>
                <w:sz w:val="24"/>
                <w:lang w:eastAsia="ja-JP"/>
              </w:rPr>
              <w:t>(</w:t>
            </w:r>
            <w:proofErr w:type="spellStart"/>
            <w:r w:rsidRPr="00A01A6F">
              <w:rPr>
                <w:rFonts w:ascii="Times New Roman" w:hAnsi="Times New Roman" w:cs="Times New Roman"/>
                <w:sz w:val="24"/>
                <w:lang w:eastAsia="ja-JP"/>
              </w:rPr>
              <w:t>i</w:t>
            </w:r>
            <w:proofErr w:type="spellEnd"/>
            <w:r w:rsidRPr="00A01A6F">
              <w:rPr>
                <w:rFonts w:ascii="Times New Roman" w:hAnsi="Times New Roman" w:cs="Times New Roman"/>
                <w:sz w:val="24"/>
                <w:lang w:eastAsia="ja-JP"/>
              </w:rPr>
              <w:t>),</w:t>
            </w:r>
            <w:r w:rsidR="00407E31">
              <w:rPr>
                <w:rFonts w:ascii="Times New Roman" w:hAnsi="Times New Roman" w:cs="Times New Roman"/>
                <w:sz w:val="24"/>
                <w:lang w:eastAsia="ja-JP"/>
              </w:rPr>
              <w:t xml:space="preserve"> 43, </w:t>
            </w:r>
            <w:r w:rsidRPr="00A01A6F">
              <w:rPr>
                <w:rFonts w:ascii="Times New Roman" w:hAnsi="Times New Roman" w:cs="Times New Roman"/>
                <w:sz w:val="24"/>
                <w:lang w:eastAsia="ja-JP"/>
              </w:rPr>
              <w:t>45</w:t>
            </w:r>
            <w:r w:rsidR="00407E31">
              <w:rPr>
                <w:rFonts w:ascii="Times New Roman" w:hAnsi="Times New Roman" w:cs="Times New Roman"/>
                <w:sz w:val="24"/>
                <w:lang w:eastAsia="ja-JP"/>
              </w:rPr>
              <w:t>, 47,</w:t>
            </w:r>
            <w:r w:rsidRPr="00A01A6F">
              <w:rPr>
                <w:rFonts w:ascii="Times New Roman" w:hAnsi="Times New Roman" w:cs="Times New Roman"/>
                <w:sz w:val="24"/>
                <w:lang w:eastAsia="ja-JP"/>
              </w:rPr>
              <w:t xml:space="preserve"> </w:t>
            </w:r>
            <w:r w:rsidR="00407E31">
              <w:rPr>
                <w:rFonts w:ascii="Times New Roman" w:hAnsi="Times New Roman" w:cs="Times New Roman"/>
                <w:sz w:val="24"/>
                <w:lang w:eastAsia="ja-JP"/>
              </w:rPr>
              <w:t xml:space="preserve"> </w:t>
            </w:r>
            <w:r w:rsidR="007335CF">
              <w:rPr>
                <w:rFonts w:ascii="Times New Roman" w:hAnsi="Times New Roman" w:cs="Times New Roman"/>
                <w:sz w:val="24"/>
                <w:lang w:eastAsia="ja-JP"/>
              </w:rPr>
              <w:t>48(1)(b) and 49</w:t>
            </w:r>
            <w:r w:rsidR="00407E31" w:rsidRPr="00A01A6F">
              <w:rPr>
                <w:rFonts w:ascii="Times New Roman" w:hAnsi="Times New Roman" w:cs="Times New Roman"/>
                <w:sz w:val="24"/>
                <w:lang w:eastAsia="ja-JP"/>
              </w:rPr>
              <w:t xml:space="preserve">(1)-(3) </w:t>
            </w:r>
            <w:r w:rsidRPr="00A01A6F">
              <w:rPr>
                <w:rFonts w:ascii="Times New Roman" w:hAnsi="Times New Roman" w:cs="Times New Roman"/>
                <w:sz w:val="24"/>
                <w:lang w:eastAsia="ja-JP"/>
              </w:rPr>
              <w:t xml:space="preserve">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 xml:space="preserve">. (The total amount of such investments that are not reported in row 19 and row 23). </w:t>
            </w:r>
          </w:p>
        </w:tc>
      </w:tr>
      <w:tr w:rsidR="00B41D2E" w:rsidRPr="00A95602" w14:paraId="7E525DEB" w14:textId="77777777" w:rsidTr="001B66D7">
        <w:tc>
          <w:tcPr>
            <w:tcW w:w="1172" w:type="dxa"/>
            <w:vAlign w:val="center"/>
          </w:tcPr>
          <w:p w14:paraId="3A83B7DC"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74</w:t>
            </w:r>
          </w:p>
        </w:tc>
        <w:tc>
          <w:tcPr>
            <w:tcW w:w="7242" w:type="dxa"/>
            <w:vAlign w:val="center"/>
          </w:tcPr>
          <w:p w14:paraId="6A313F32" w14:textId="1049D388"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[An Empty Set under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3A9E291C" w14:textId="77777777" w:rsidTr="001B66D7">
        <w:tc>
          <w:tcPr>
            <w:tcW w:w="1172" w:type="dxa"/>
            <w:vAlign w:val="center"/>
          </w:tcPr>
          <w:p w14:paraId="38E9EAC5"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75</w:t>
            </w:r>
          </w:p>
        </w:tc>
        <w:tc>
          <w:tcPr>
            <w:tcW w:w="7242" w:type="dxa"/>
            <w:vAlign w:val="center"/>
          </w:tcPr>
          <w:p w14:paraId="00E05EB6" w14:textId="64E9176C"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Deferred tax assets arising from temporary differences (amount below 1</w:t>
            </w:r>
            <w:r w:rsidR="00A95602" w:rsidRPr="00A95602">
              <w:rPr>
                <w:rFonts w:ascii="Times New Roman" w:hAnsi="Times New Roman" w:cs="Times New Roman"/>
                <w:sz w:val="24"/>
                <w:lang w:eastAsia="ja-JP"/>
              </w:rPr>
              <w:t>7.65</w:t>
            </w:r>
            <w:r w:rsidRPr="00A01A6F">
              <w:rPr>
                <w:rFonts w:ascii="Times New Roman" w:hAnsi="Times New Roman" w:cs="Times New Roman"/>
                <w:sz w:val="24"/>
                <w:lang w:eastAsia="ja-JP"/>
              </w:rPr>
              <w:t>% threshold</w:t>
            </w:r>
            <w:r w:rsidR="00133881">
              <w:rPr>
                <w:rFonts w:ascii="Times New Roman" w:hAnsi="Times New Roman" w:cs="Times New Roman"/>
                <w:sz w:val="24"/>
                <w:lang w:eastAsia="ja-JP"/>
              </w:rPr>
              <w:t xml:space="preserve"> according to 48(2</w:t>
            </w:r>
            <w:proofErr w:type="gramStart"/>
            <w:r w:rsidR="00133881">
              <w:rPr>
                <w:rFonts w:ascii="Times New Roman" w:hAnsi="Times New Roman" w:cs="Times New Roman"/>
                <w:sz w:val="24"/>
                <w:lang w:eastAsia="ja-JP"/>
              </w:rPr>
              <w:t>)(</w:t>
            </w:r>
            <w:proofErr w:type="gramEnd"/>
            <w:r w:rsidR="00133881">
              <w:rPr>
                <w:rFonts w:ascii="Times New Roman" w:hAnsi="Times New Roman" w:cs="Times New Roman"/>
                <w:sz w:val="24"/>
                <w:lang w:eastAsia="ja-JP"/>
              </w:rPr>
              <w:t>b)</w:t>
            </w:r>
            <w:r w:rsidRPr="00A01A6F">
              <w:rPr>
                <w:rFonts w:ascii="Times New Roman" w:hAnsi="Times New Roman" w:cs="Times New Roman"/>
                <w:sz w:val="24"/>
                <w:lang w:eastAsia="ja-JP"/>
              </w:rPr>
              <w:t>, net of related tax liability whe</w:t>
            </w:r>
            <w:r w:rsidR="007335CF">
              <w:rPr>
                <w:rFonts w:ascii="Times New Roman" w:hAnsi="Times New Roman" w:cs="Times New Roman"/>
                <w:sz w:val="24"/>
                <w:lang w:eastAsia="ja-JP"/>
              </w:rPr>
              <w:t>re the conditions in Article 38</w:t>
            </w:r>
            <w:r w:rsidRPr="00A01A6F">
              <w:rPr>
                <w:rFonts w:ascii="Times New Roman" w:hAnsi="Times New Roman" w:cs="Times New Roman"/>
                <w:sz w:val="24"/>
                <w:lang w:eastAsia="ja-JP"/>
              </w:rPr>
              <w:t>(3) are met)</w:t>
            </w:r>
            <w:r w:rsidR="007335CF">
              <w:rPr>
                <w:rFonts w:ascii="Times New Roman" w:hAnsi="Times New Roman" w:cs="Times New Roman"/>
                <w:sz w:val="24"/>
                <w:lang w:eastAsia="ja-JP"/>
              </w:rPr>
              <w:t xml:space="preserve"> in accordance with Articles 36(1)</w:t>
            </w:r>
            <w:r w:rsidRPr="00A01A6F">
              <w:rPr>
                <w:rFonts w:ascii="Times New Roman" w:hAnsi="Times New Roman" w:cs="Times New Roman"/>
                <w:sz w:val="24"/>
                <w:lang w:eastAsia="ja-JP"/>
              </w:rPr>
              <w:t xml:space="preserve">(c), 38 and 48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r w:rsidR="00A95602" w:rsidRPr="00A95602">
              <w:rPr>
                <w:rFonts w:ascii="Times New Roman" w:hAnsi="Times New Roman" w:cs="Times New Roman"/>
                <w:sz w:val="24"/>
                <w:lang w:eastAsia="ja-JP"/>
              </w:rPr>
              <w:t xml:space="preserve"> (The total amount of such </w:t>
            </w:r>
            <w:r w:rsidR="00BD6709">
              <w:rPr>
                <w:rFonts w:ascii="Times New Roman" w:hAnsi="Times New Roman" w:cs="Times New Roman"/>
                <w:sz w:val="24"/>
                <w:lang w:eastAsia="ja-JP"/>
              </w:rPr>
              <w:t>deferred tax assets</w:t>
            </w:r>
            <w:r w:rsidR="00A95602" w:rsidRPr="00A95602">
              <w:rPr>
                <w:rFonts w:ascii="Times New Roman" w:hAnsi="Times New Roman" w:cs="Times New Roman"/>
                <w:sz w:val="24"/>
                <w:lang w:eastAsia="ja-JP"/>
              </w:rPr>
              <w:t xml:space="preserve"> that are not reported in row 21 and row 25).</w:t>
            </w:r>
          </w:p>
        </w:tc>
      </w:tr>
      <w:tr w:rsidR="00B41D2E" w:rsidRPr="00A95602" w14:paraId="52CE2F88" w14:textId="77777777" w:rsidTr="001B66D7">
        <w:tc>
          <w:tcPr>
            <w:tcW w:w="1172" w:type="dxa"/>
            <w:vAlign w:val="center"/>
          </w:tcPr>
          <w:p w14:paraId="609BEB77"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76</w:t>
            </w:r>
          </w:p>
        </w:tc>
        <w:tc>
          <w:tcPr>
            <w:tcW w:w="7242" w:type="dxa"/>
            <w:vAlign w:val="center"/>
          </w:tcPr>
          <w:p w14:paraId="58A526CB" w14:textId="312D2DB0"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Credit Risk Adjustments included in T2 in respect of exposures subject to </w:t>
            </w:r>
            <w:proofErr w:type="spellStart"/>
            <w:r w:rsidRPr="00A01A6F">
              <w:rPr>
                <w:rFonts w:ascii="Times New Roman" w:hAnsi="Times New Roman" w:cs="Times New Roman"/>
                <w:sz w:val="24"/>
                <w:lang w:eastAsia="ja-JP"/>
              </w:rPr>
              <w:t>standardised</w:t>
            </w:r>
            <w:proofErr w:type="spellEnd"/>
            <w:r w:rsidRPr="00A01A6F">
              <w:rPr>
                <w:rFonts w:ascii="Times New Roman" w:hAnsi="Times New Roman" w:cs="Times New Roman"/>
                <w:sz w:val="24"/>
                <w:lang w:eastAsia="ja-JP"/>
              </w:rPr>
              <w:t xml:space="preserve"> approach in accordance with Article 62</w:t>
            </w:r>
            <w:r w:rsidR="00407E31">
              <w:rPr>
                <w:rFonts w:ascii="Times New Roman" w:hAnsi="Times New Roman" w:cs="Times New Roman"/>
                <w:sz w:val="24"/>
                <w:lang w:eastAsia="ja-JP"/>
              </w:rPr>
              <w:t>(c)</w:t>
            </w:r>
            <w:r w:rsidRPr="00A01A6F">
              <w:rPr>
                <w:rFonts w:ascii="Times New Roman" w:hAnsi="Times New Roman" w:cs="Times New Roman"/>
                <w:sz w:val="24"/>
                <w:lang w:eastAsia="ja-JP"/>
              </w:rPr>
              <w:t xml:space="preserve">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6E53A929" w14:textId="77777777" w:rsidTr="001B66D7">
        <w:tc>
          <w:tcPr>
            <w:tcW w:w="1172" w:type="dxa"/>
            <w:vAlign w:val="center"/>
          </w:tcPr>
          <w:p w14:paraId="4B0262ED"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77</w:t>
            </w:r>
          </w:p>
        </w:tc>
        <w:tc>
          <w:tcPr>
            <w:tcW w:w="7242" w:type="dxa"/>
            <w:vAlign w:val="center"/>
          </w:tcPr>
          <w:p w14:paraId="3599F4DE" w14:textId="52FC6033"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Cap on inclusion of credit risk adjustments in T2 under </w:t>
            </w:r>
            <w:proofErr w:type="spellStart"/>
            <w:r w:rsidRPr="00A01A6F">
              <w:rPr>
                <w:rFonts w:ascii="Times New Roman" w:hAnsi="Times New Roman" w:cs="Times New Roman"/>
                <w:sz w:val="24"/>
                <w:lang w:eastAsia="ja-JP"/>
              </w:rPr>
              <w:t>standardised</w:t>
            </w:r>
            <w:proofErr w:type="spellEnd"/>
            <w:r w:rsidRPr="00A01A6F">
              <w:rPr>
                <w:rFonts w:ascii="Times New Roman" w:hAnsi="Times New Roman" w:cs="Times New Roman"/>
                <w:sz w:val="24"/>
                <w:lang w:eastAsia="ja-JP"/>
              </w:rPr>
              <w:t xml:space="preserve"> approach in accordance with Article 62</w:t>
            </w:r>
            <w:r w:rsidR="00407E31">
              <w:rPr>
                <w:rFonts w:ascii="Times New Roman" w:hAnsi="Times New Roman" w:cs="Times New Roman"/>
                <w:sz w:val="24"/>
                <w:lang w:eastAsia="ja-JP"/>
              </w:rPr>
              <w:t>(c)</w:t>
            </w:r>
            <w:r w:rsidRPr="00A01A6F">
              <w:rPr>
                <w:rFonts w:ascii="Times New Roman" w:hAnsi="Times New Roman" w:cs="Times New Roman"/>
                <w:sz w:val="24"/>
                <w:lang w:eastAsia="ja-JP"/>
              </w:rPr>
              <w:t xml:space="preserve">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3C06CB82" w14:textId="77777777" w:rsidTr="001B66D7">
        <w:tc>
          <w:tcPr>
            <w:tcW w:w="1172" w:type="dxa"/>
            <w:vAlign w:val="center"/>
          </w:tcPr>
          <w:p w14:paraId="1A8D72CC"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78</w:t>
            </w:r>
          </w:p>
        </w:tc>
        <w:tc>
          <w:tcPr>
            <w:tcW w:w="7242" w:type="dxa"/>
            <w:vAlign w:val="center"/>
          </w:tcPr>
          <w:p w14:paraId="3F79BAF9" w14:textId="180E64E6"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Credit risk adjustments included in T2 in respect of exposures subject to internal ratings-based approach in accordance with Article 62</w:t>
            </w:r>
            <w:r w:rsidR="00407E31">
              <w:rPr>
                <w:rFonts w:ascii="Times New Roman" w:hAnsi="Times New Roman" w:cs="Times New Roman"/>
                <w:sz w:val="24"/>
                <w:lang w:eastAsia="ja-JP"/>
              </w:rPr>
              <w:t>(d)</w:t>
            </w:r>
            <w:r w:rsidRPr="00A01A6F">
              <w:rPr>
                <w:rFonts w:ascii="Times New Roman" w:hAnsi="Times New Roman" w:cs="Times New Roman"/>
                <w:sz w:val="24"/>
                <w:lang w:eastAsia="ja-JP"/>
              </w:rPr>
              <w:t xml:space="preserve">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2591E23F" w14:textId="77777777" w:rsidTr="001B66D7">
        <w:tc>
          <w:tcPr>
            <w:tcW w:w="1172" w:type="dxa"/>
            <w:vAlign w:val="center"/>
          </w:tcPr>
          <w:p w14:paraId="6BBA0707"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79</w:t>
            </w:r>
          </w:p>
        </w:tc>
        <w:tc>
          <w:tcPr>
            <w:tcW w:w="7242" w:type="dxa"/>
            <w:vAlign w:val="center"/>
          </w:tcPr>
          <w:p w14:paraId="5AAC7859" w14:textId="792637F9"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Cap for inclusion of credit risk adjustments in T2 under internal ratings-based approach in accordance with Article 62</w:t>
            </w:r>
            <w:r w:rsidR="00407E31">
              <w:rPr>
                <w:rFonts w:ascii="Times New Roman" w:hAnsi="Times New Roman" w:cs="Times New Roman"/>
                <w:sz w:val="24"/>
                <w:lang w:eastAsia="ja-JP"/>
              </w:rPr>
              <w:t>(d)</w:t>
            </w:r>
            <w:r w:rsidRPr="00A01A6F">
              <w:rPr>
                <w:rFonts w:ascii="Times New Roman" w:hAnsi="Times New Roman" w:cs="Times New Roman"/>
                <w:sz w:val="24"/>
                <w:lang w:eastAsia="ja-JP"/>
              </w:rPr>
              <w:t xml:space="preserve">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7E698B05" w14:textId="77777777" w:rsidTr="001B66D7">
        <w:tc>
          <w:tcPr>
            <w:tcW w:w="1172" w:type="dxa"/>
            <w:vAlign w:val="center"/>
          </w:tcPr>
          <w:p w14:paraId="68A164A6"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80</w:t>
            </w:r>
          </w:p>
        </w:tc>
        <w:tc>
          <w:tcPr>
            <w:tcW w:w="7242" w:type="dxa"/>
            <w:vAlign w:val="center"/>
          </w:tcPr>
          <w:p w14:paraId="129F2560" w14:textId="33CEC253"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Current cap on CET1 instruments subject to phase out arrangements </w:t>
            </w:r>
            <w:r w:rsidR="007335CF">
              <w:rPr>
                <w:rFonts w:ascii="Times New Roman" w:hAnsi="Times New Roman" w:cs="Times New Roman"/>
                <w:sz w:val="24"/>
                <w:lang w:eastAsia="ja-JP"/>
              </w:rPr>
              <w:t>in accordance with Articles 484(3), 486</w:t>
            </w:r>
            <w:r w:rsidRPr="00A01A6F">
              <w:rPr>
                <w:rFonts w:ascii="Times New Roman" w:hAnsi="Times New Roman" w:cs="Times New Roman"/>
                <w:sz w:val="24"/>
                <w:lang w:eastAsia="ja-JP"/>
              </w:rPr>
              <w:t xml:space="preserve">(2) and (5)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28C76A2A" w14:textId="77777777" w:rsidTr="001B66D7">
        <w:tc>
          <w:tcPr>
            <w:tcW w:w="1172" w:type="dxa"/>
            <w:vAlign w:val="center"/>
          </w:tcPr>
          <w:p w14:paraId="32073308"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81</w:t>
            </w:r>
          </w:p>
        </w:tc>
        <w:tc>
          <w:tcPr>
            <w:tcW w:w="7242" w:type="dxa"/>
            <w:vAlign w:val="center"/>
          </w:tcPr>
          <w:p w14:paraId="593D8941" w14:textId="5C89CF1B"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Amount excluded from CET1 due to cap (excess over cap after redemptions and maturities) </w:t>
            </w:r>
            <w:r w:rsidR="007335CF">
              <w:rPr>
                <w:rFonts w:ascii="Times New Roman" w:hAnsi="Times New Roman" w:cs="Times New Roman"/>
                <w:sz w:val="24"/>
                <w:lang w:eastAsia="ja-JP"/>
              </w:rPr>
              <w:t>in accordance with Articles 484(3), 486</w:t>
            </w:r>
            <w:r w:rsidRPr="00A01A6F">
              <w:rPr>
                <w:rFonts w:ascii="Times New Roman" w:hAnsi="Times New Roman" w:cs="Times New Roman"/>
                <w:sz w:val="24"/>
                <w:lang w:eastAsia="ja-JP"/>
              </w:rPr>
              <w:t xml:space="preserve">(2) and (5)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6175FEF8" w14:textId="77777777" w:rsidTr="001B66D7">
        <w:tc>
          <w:tcPr>
            <w:tcW w:w="1172" w:type="dxa"/>
            <w:vAlign w:val="center"/>
          </w:tcPr>
          <w:p w14:paraId="0540A826"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82</w:t>
            </w:r>
          </w:p>
        </w:tc>
        <w:tc>
          <w:tcPr>
            <w:tcW w:w="7242" w:type="dxa"/>
            <w:vAlign w:val="center"/>
          </w:tcPr>
          <w:p w14:paraId="1C7F79F2" w14:textId="6C13F2A8"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Current cap on AT1 instruments subject to phase out arrangements in accordance with Articles 484(4), 4</w:t>
            </w:r>
            <w:r w:rsidR="007335CF">
              <w:rPr>
                <w:rFonts w:ascii="Times New Roman" w:hAnsi="Times New Roman" w:cs="Times New Roman"/>
                <w:sz w:val="24"/>
                <w:lang w:eastAsia="ja-JP"/>
              </w:rPr>
              <w:t>86</w:t>
            </w:r>
            <w:r w:rsidRPr="00A01A6F">
              <w:rPr>
                <w:rFonts w:ascii="Times New Roman" w:hAnsi="Times New Roman" w:cs="Times New Roman"/>
                <w:sz w:val="24"/>
                <w:lang w:eastAsia="ja-JP"/>
              </w:rPr>
              <w:t xml:space="preserve">(3) and (5)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1682ABD8" w14:textId="77777777" w:rsidTr="001B66D7">
        <w:tc>
          <w:tcPr>
            <w:tcW w:w="1172" w:type="dxa"/>
            <w:vAlign w:val="center"/>
          </w:tcPr>
          <w:p w14:paraId="06C369EE"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83</w:t>
            </w:r>
          </w:p>
        </w:tc>
        <w:tc>
          <w:tcPr>
            <w:tcW w:w="7242" w:type="dxa"/>
            <w:vAlign w:val="center"/>
          </w:tcPr>
          <w:p w14:paraId="11C39047" w14:textId="44C789BA"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Amount excluded from AT1 due to cap (excess over cap after redemptions and maturities) </w:t>
            </w:r>
            <w:r w:rsidR="007335CF">
              <w:rPr>
                <w:rFonts w:ascii="Times New Roman" w:hAnsi="Times New Roman" w:cs="Times New Roman"/>
                <w:sz w:val="24"/>
                <w:lang w:eastAsia="ja-JP"/>
              </w:rPr>
              <w:t>in accordance with Articles 484(4), 486</w:t>
            </w:r>
            <w:r w:rsidRPr="00A01A6F">
              <w:rPr>
                <w:rFonts w:ascii="Times New Roman" w:hAnsi="Times New Roman" w:cs="Times New Roman"/>
                <w:sz w:val="24"/>
                <w:lang w:eastAsia="ja-JP"/>
              </w:rPr>
              <w:t xml:space="preserve">(3) and (5)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3C768451" w14:textId="77777777" w:rsidTr="001B66D7">
        <w:tc>
          <w:tcPr>
            <w:tcW w:w="1172" w:type="dxa"/>
            <w:vAlign w:val="center"/>
          </w:tcPr>
          <w:p w14:paraId="2E072BDA"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lastRenderedPageBreak/>
              <w:t>84</w:t>
            </w:r>
          </w:p>
        </w:tc>
        <w:tc>
          <w:tcPr>
            <w:tcW w:w="7242" w:type="dxa"/>
            <w:vAlign w:val="center"/>
          </w:tcPr>
          <w:p w14:paraId="642A0E61" w14:textId="67077C69"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Current cap on T2 instruments subject to phase out arrangements </w:t>
            </w:r>
            <w:r w:rsidR="007335CF">
              <w:rPr>
                <w:rFonts w:ascii="Times New Roman" w:hAnsi="Times New Roman" w:cs="Times New Roman"/>
                <w:sz w:val="24"/>
                <w:lang w:eastAsia="ja-JP"/>
              </w:rPr>
              <w:t>in accordance with Articles 484(5), 486</w:t>
            </w:r>
            <w:r w:rsidRPr="00A01A6F">
              <w:rPr>
                <w:rFonts w:ascii="Times New Roman" w:hAnsi="Times New Roman" w:cs="Times New Roman"/>
                <w:sz w:val="24"/>
                <w:lang w:eastAsia="ja-JP"/>
              </w:rPr>
              <w:t xml:space="preserve">(4) and (5)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r w:rsidR="00B41D2E" w:rsidRPr="00A95602" w14:paraId="3D483768" w14:textId="77777777" w:rsidTr="001B66D7">
        <w:tc>
          <w:tcPr>
            <w:tcW w:w="1172" w:type="dxa"/>
            <w:vAlign w:val="center"/>
          </w:tcPr>
          <w:p w14:paraId="29BEF28A" w14:textId="77777777" w:rsidR="00B41D2E" w:rsidRPr="00A01A6F" w:rsidRDefault="00B41D2E" w:rsidP="00B41D2E">
            <w:pPr>
              <w:spacing w:after="200" w:line="276" w:lineRule="auto"/>
              <w:rPr>
                <w:rFonts w:ascii="Times New Roman" w:hAnsi="Times New Roman" w:cs="Times New Roman"/>
                <w:sz w:val="24"/>
                <w:lang w:eastAsia="ja-JP"/>
              </w:rPr>
            </w:pPr>
            <w:r w:rsidRPr="00A01A6F">
              <w:rPr>
                <w:rFonts w:ascii="Times New Roman" w:hAnsi="Times New Roman" w:cs="Times New Roman"/>
                <w:sz w:val="24"/>
                <w:lang w:eastAsia="ja-JP"/>
              </w:rPr>
              <w:t>85</w:t>
            </w:r>
          </w:p>
        </w:tc>
        <w:tc>
          <w:tcPr>
            <w:tcW w:w="7242" w:type="dxa"/>
            <w:vAlign w:val="center"/>
          </w:tcPr>
          <w:p w14:paraId="1D6B6D2E" w14:textId="133B65CF" w:rsidR="00B41D2E" w:rsidRPr="00A01A6F" w:rsidRDefault="00B41D2E" w:rsidP="00970F55">
            <w:pPr>
              <w:spacing w:after="200" w:line="276" w:lineRule="auto"/>
              <w:jc w:val="both"/>
              <w:rPr>
                <w:rFonts w:ascii="Times New Roman" w:hAnsi="Times New Roman" w:cs="Times New Roman"/>
                <w:sz w:val="24"/>
                <w:lang w:eastAsia="ja-JP"/>
              </w:rPr>
            </w:pPr>
            <w:r w:rsidRPr="00A01A6F">
              <w:rPr>
                <w:rFonts w:ascii="Times New Roman" w:hAnsi="Times New Roman" w:cs="Times New Roman"/>
                <w:sz w:val="24"/>
                <w:lang w:eastAsia="ja-JP"/>
              </w:rPr>
              <w:t xml:space="preserve">Amount excluded from T2 due to cap (excess over cap after redemptions and maturities) </w:t>
            </w:r>
            <w:r w:rsidR="007335CF">
              <w:rPr>
                <w:rFonts w:ascii="Times New Roman" w:hAnsi="Times New Roman" w:cs="Times New Roman"/>
                <w:sz w:val="24"/>
                <w:lang w:eastAsia="ja-JP"/>
              </w:rPr>
              <w:t>in accordance with Articles 484(5), 486</w:t>
            </w:r>
            <w:r w:rsidRPr="00A01A6F">
              <w:rPr>
                <w:rFonts w:ascii="Times New Roman" w:hAnsi="Times New Roman" w:cs="Times New Roman"/>
                <w:sz w:val="24"/>
                <w:lang w:eastAsia="ja-JP"/>
              </w:rPr>
              <w:t xml:space="preserve">(4) and (5) of </w:t>
            </w:r>
            <w:r w:rsidR="00C122DA" w:rsidRPr="00A01A6F">
              <w:rPr>
                <w:rFonts w:ascii="Times New Roman" w:hAnsi="Times New Roman" w:cs="Times New Roman"/>
                <w:sz w:val="24"/>
                <w:lang w:eastAsia="ja-JP"/>
              </w:rPr>
              <w:t>CRR</w:t>
            </w:r>
            <w:r w:rsidRPr="00A01A6F">
              <w:rPr>
                <w:rFonts w:ascii="Times New Roman" w:hAnsi="Times New Roman" w:cs="Times New Roman"/>
                <w:sz w:val="24"/>
                <w:lang w:eastAsia="ja-JP"/>
              </w:rPr>
              <w:t>.</w:t>
            </w:r>
          </w:p>
        </w:tc>
      </w:tr>
    </w:tbl>
    <w:p w14:paraId="16826561" w14:textId="77777777" w:rsidR="00DD40A7" w:rsidRPr="00A95602" w:rsidRDefault="00DD40A7" w:rsidP="00DD40A7">
      <w:pPr>
        <w:jc w:val="both"/>
        <w:rPr>
          <w:rFonts w:ascii="Times New Roman" w:hAnsi="Times New Roman" w:cs="Times New Roman"/>
          <w:bCs/>
          <w:sz w:val="24"/>
        </w:rPr>
      </w:pPr>
    </w:p>
    <w:p w14:paraId="2377F07D" w14:textId="77777777" w:rsidR="00DD40A7" w:rsidRPr="00A01A6F" w:rsidRDefault="00DD40A7" w:rsidP="00E258D8">
      <w:pPr>
        <w:rPr>
          <w:rFonts w:ascii="Times New Roman" w:hAnsi="Times New Roman" w:cs="Times New Roman"/>
          <w:noProof/>
          <w:sz w:val="24"/>
        </w:rPr>
      </w:pPr>
    </w:p>
    <w:p w14:paraId="4B51B25E" w14:textId="77777777" w:rsidR="004D7854" w:rsidRPr="00A01A6F" w:rsidRDefault="004D7854">
      <w:pPr>
        <w:rPr>
          <w:rFonts w:ascii="Times New Roman" w:hAnsi="Times New Roman" w:cs="Times New Roman"/>
          <w:sz w:val="24"/>
          <w:lang w:val="en-GB"/>
        </w:rPr>
      </w:pPr>
      <w:r w:rsidRPr="00A01A6F">
        <w:rPr>
          <w:rFonts w:ascii="Times New Roman" w:hAnsi="Times New Roman" w:cs="Times New Roman"/>
          <w:sz w:val="24"/>
          <w:lang w:val="en-GB"/>
        </w:rPr>
        <w:br w:type="page"/>
      </w:r>
    </w:p>
    <w:p w14:paraId="35186FAD" w14:textId="77777777" w:rsidR="00267DE1" w:rsidRPr="00A01A6F" w:rsidRDefault="00267DE1" w:rsidP="00267DE1">
      <w:pPr>
        <w:rPr>
          <w:rFonts w:ascii="Times New Roman" w:hAnsi="Times New Roman" w:cs="Times New Roman"/>
          <w:noProof/>
          <w:sz w:val="24"/>
        </w:rPr>
      </w:pPr>
    </w:p>
    <w:p w14:paraId="058122C2" w14:textId="270BB9FE" w:rsidR="00267DE1" w:rsidRPr="00A95602" w:rsidRDefault="00267DE1" w:rsidP="00267DE1">
      <w:pPr>
        <w:rPr>
          <w:rFonts w:ascii="Times New Roman" w:hAnsi="Times New Roman" w:cs="Times New Roman"/>
          <w:b/>
          <w:bCs/>
          <w:sz w:val="24"/>
        </w:rPr>
      </w:pPr>
      <w:r w:rsidRPr="00A95602">
        <w:rPr>
          <w:rFonts w:ascii="Times New Roman" w:hAnsi="Times New Roman" w:cs="Times New Roman"/>
          <w:b/>
          <w:bCs/>
          <w:sz w:val="24"/>
        </w:rPr>
        <w:t xml:space="preserve">Template </w:t>
      </w:r>
      <w:r w:rsidR="00BE4814">
        <w:rPr>
          <w:rFonts w:ascii="Times New Roman" w:hAnsi="Times New Roman" w:cs="Times New Roman"/>
          <w:b/>
          <w:bCs/>
          <w:sz w:val="24"/>
        </w:rPr>
        <w:t xml:space="preserve">EU </w:t>
      </w:r>
      <w:r w:rsidRPr="00A95602">
        <w:rPr>
          <w:rFonts w:ascii="Times New Roman" w:hAnsi="Times New Roman" w:cs="Times New Roman"/>
          <w:b/>
          <w:bCs/>
          <w:sz w:val="24"/>
        </w:rPr>
        <w:t>CC2</w:t>
      </w:r>
      <w:r w:rsidR="00241556" w:rsidRPr="00A95602">
        <w:rPr>
          <w:rFonts w:ascii="Times New Roman" w:hAnsi="Times New Roman" w:cs="Times New Roman"/>
          <w:b/>
          <w:bCs/>
          <w:sz w:val="24"/>
        </w:rPr>
        <w:t xml:space="preserve"> – Reconciliation of regulatory own funds to balance sheet</w:t>
      </w:r>
      <w:r w:rsidR="00081467">
        <w:rPr>
          <w:rFonts w:ascii="Times New Roman" w:hAnsi="Times New Roman" w:cs="Times New Roman"/>
          <w:b/>
          <w:bCs/>
          <w:sz w:val="24"/>
        </w:rPr>
        <w:t xml:space="preserve"> in the audited financial statements</w:t>
      </w:r>
    </w:p>
    <w:p w14:paraId="461F16F6" w14:textId="77777777" w:rsidR="00267DE1" w:rsidRPr="00A95602" w:rsidRDefault="00267DE1">
      <w:pPr>
        <w:rPr>
          <w:rFonts w:ascii="Times New Roman" w:hAnsi="Times New Roman" w:cs="Times New Roman"/>
          <w:b/>
          <w:sz w:val="24"/>
        </w:rPr>
      </w:pPr>
    </w:p>
    <w:p w14:paraId="31C0B4D5" w14:textId="731F76C1" w:rsidR="00267DE1" w:rsidRPr="007335CF" w:rsidRDefault="00267DE1" w:rsidP="007335CF">
      <w:pPr>
        <w:numPr>
          <w:ilvl w:val="0"/>
          <w:numId w:val="11"/>
        </w:numPr>
        <w:spacing w:before="120" w:after="120"/>
        <w:ind w:left="357" w:hanging="357"/>
        <w:jc w:val="both"/>
        <w:rPr>
          <w:rFonts w:ascii="Times New Roman" w:hAnsi="Times New Roman" w:cs="Times New Roman"/>
          <w:bCs/>
          <w:sz w:val="24"/>
        </w:rPr>
      </w:pPr>
      <w:r w:rsidRPr="00A01A6F">
        <w:rPr>
          <w:rFonts w:ascii="Times New Roman" w:hAnsi="Times New Roman" w:cs="Times New Roman"/>
          <w:bCs/>
          <w:sz w:val="24"/>
        </w:rPr>
        <w:t xml:space="preserve">Institutions shall apply the instructions provided in this Annex in order to complete </w:t>
      </w:r>
      <w:r w:rsidR="007335CF">
        <w:rPr>
          <w:rFonts w:ascii="Times New Roman" w:hAnsi="Times New Roman" w:cs="Times New Roman"/>
          <w:bCs/>
          <w:sz w:val="24"/>
        </w:rPr>
        <w:t>template EU CC2</w:t>
      </w:r>
      <w:r w:rsidRPr="00A01A6F">
        <w:rPr>
          <w:rFonts w:ascii="Times New Roman" w:hAnsi="Times New Roman" w:cs="Times New Roman"/>
          <w:bCs/>
          <w:sz w:val="24"/>
        </w:rPr>
        <w:t xml:space="preserve"> as presented in Annex </w:t>
      </w:r>
      <w:r w:rsidR="00BE4814">
        <w:rPr>
          <w:rFonts w:ascii="Times New Roman" w:hAnsi="Times New Roman" w:cs="Times New Roman"/>
          <w:bCs/>
          <w:sz w:val="24"/>
        </w:rPr>
        <w:t>7</w:t>
      </w:r>
      <w:r w:rsidR="008F2190">
        <w:rPr>
          <w:rFonts w:ascii="Times New Roman" w:hAnsi="Times New Roman" w:cs="Times New Roman"/>
          <w:bCs/>
          <w:sz w:val="24"/>
        </w:rPr>
        <w:t xml:space="preserve">, according to Article 437(a) of </w:t>
      </w:r>
      <w:r w:rsidR="008F2190" w:rsidRPr="00C31378">
        <w:rPr>
          <w:rFonts w:ascii="Times New Roman" w:hAnsi="Times New Roman" w:cs="Times New Roman"/>
          <w:noProof/>
          <w:color w:val="000000"/>
          <w:sz w:val="24"/>
          <w:lang w:val="en-GB"/>
        </w:rPr>
        <w:t>CRR</w:t>
      </w:r>
      <w:r w:rsidR="008F2190" w:rsidRPr="000769C4">
        <w:rPr>
          <w:rFonts w:ascii="Times New Roman" w:hAnsi="Times New Roman" w:cs="Times New Roman"/>
          <w:bCs/>
          <w:sz w:val="24"/>
        </w:rPr>
        <w:t>.</w:t>
      </w:r>
    </w:p>
    <w:p w14:paraId="5A02A571" w14:textId="6B8FE0D4" w:rsidR="00785FA0" w:rsidRPr="00A01A6F" w:rsidRDefault="00267DE1" w:rsidP="00FC5DAA">
      <w:pPr>
        <w:numPr>
          <w:ilvl w:val="0"/>
          <w:numId w:val="11"/>
        </w:numPr>
        <w:spacing w:before="120" w:after="120"/>
        <w:ind w:left="357" w:hanging="357"/>
        <w:jc w:val="both"/>
        <w:rPr>
          <w:rFonts w:ascii="Times New Roman" w:hAnsi="Times New Roman" w:cs="Times New Roman"/>
          <w:bCs/>
          <w:sz w:val="24"/>
        </w:rPr>
      </w:pPr>
      <w:r w:rsidRPr="00A01A6F">
        <w:rPr>
          <w:rFonts w:ascii="Times New Roman" w:hAnsi="Times New Roman" w:cs="Times New Roman"/>
          <w:bCs/>
          <w:sz w:val="24"/>
        </w:rPr>
        <w:t xml:space="preserve">Institutions </w:t>
      </w:r>
      <w:r w:rsidR="00544B12" w:rsidRPr="00A01A6F">
        <w:rPr>
          <w:rFonts w:ascii="Times New Roman" w:hAnsi="Times New Roman" w:cs="Times New Roman"/>
          <w:bCs/>
          <w:sz w:val="24"/>
        </w:rPr>
        <w:t>shall</w:t>
      </w:r>
      <w:r w:rsidR="0032171F" w:rsidRPr="00A01A6F">
        <w:rPr>
          <w:rFonts w:ascii="Times New Roman" w:hAnsi="Times New Roman" w:cs="Times New Roman"/>
          <w:bCs/>
          <w:sz w:val="24"/>
        </w:rPr>
        <w:t xml:space="preserve"> </w:t>
      </w:r>
      <w:r w:rsidR="00DF1A0E" w:rsidRPr="00A01A6F">
        <w:rPr>
          <w:rFonts w:ascii="Times New Roman" w:hAnsi="Times New Roman" w:cs="Times New Roman"/>
          <w:bCs/>
          <w:sz w:val="24"/>
        </w:rPr>
        <w:t xml:space="preserve">disclose </w:t>
      </w:r>
      <w:r w:rsidR="001B66D7" w:rsidRPr="00A01A6F">
        <w:rPr>
          <w:rFonts w:ascii="Times New Roman" w:hAnsi="Times New Roman" w:cs="Times New Roman"/>
          <w:bCs/>
          <w:sz w:val="24"/>
        </w:rPr>
        <w:t>the balance sheet</w:t>
      </w:r>
      <w:r w:rsidR="00DF1A0E" w:rsidRPr="00A01A6F">
        <w:rPr>
          <w:rFonts w:ascii="Times New Roman" w:hAnsi="Times New Roman" w:cs="Times New Roman"/>
          <w:bCs/>
          <w:sz w:val="24"/>
        </w:rPr>
        <w:t xml:space="preserve"> included</w:t>
      </w:r>
      <w:r w:rsidR="001B66D7" w:rsidRPr="00A01A6F">
        <w:rPr>
          <w:rFonts w:ascii="Times New Roman" w:hAnsi="Times New Roman" w:cs="Times New Roman"/>
          <w:bCs/>
          <w:sz w:val="24"/>
        </w:rPr>
        <w:t xml:space="preserve"> in their published financial statements</w:t>
      </w:r>
      <w:r w:rsidR="00785FA0" w:rsidRPr="00A01A6F">
        <w:rPr>
          <w:rFonts w:ascii="Times New Roman" w:hAnsi="Times New Roman" w:cs="Times New Roman"/>
          <w:bCs/>
          <w:sz w:val="24"/>
        </w:rPr>
        <w:t>. Financial statements shall be the audited financial statements for the year-end disclosures.</w:t>
      </w:r>
    </w:p>
    <w:p w14:paraId="282E5C21" w14:textId="37566050" w:rsidR="003156DA" w:rsidRPr="00A01A6F" w:rsidRDefault="003156DA" w:rsidP="00FC5DAA">
      <w:pPr>
        <w:numPr>
          <w:ilvl w:val="0"/>
          <w:numId w:val="11"/>
        </w:numPr>
        <w:spacing w:before="120" w:after="120"/>
        <w:ind w:left="357" w:hanging="357"/>
        <w:jc w:val="both"/>
        <w:rPr>
          <w:rFonts w:ascii="Times New Roman" w:hAnsi="Times New Roman" w:cs="Times New Roman"/>
          <w:bCs/>
          <w:sz w:val="24"/>
        </w:rPr>
      </w:pPr>
      <w:r w:rsidRPr="00A01A6F">
        <w:rPr>
          <w:rFonts w:ascii="Times New Roman" w:hAnsi="Times New Roman" w:cs="Times New Roman"/>
          <w:bCs/>
          <w:sz w:val="24"/>
        </w:rPr>
        <w:t>T</w:t>
      </w:r>
      <w:r w:rsidR="00785FA0" w:rsidRPr="00A01A6F">
        <w:rPr>
          <w:rFonts w:ascii="Times New Roman" w:hAnsi="Times New Roman" w:cs="Times New Roman"/>
          <w:bCs/>
          <w:sz w:val="24"/>
        </w:rPr>
        <w:t xml:space="preserve">he rows of the template are flexible and </w:t>
      </w:r>
      <w:proofErr w:type="gramStart"/>
      <w:r w:rsidR="00A95602">
        <w:rPr>
          <w:rFonts w:ascii="Times New Roman" w:hAnsi="Times New Roman" w:cs="Times New Roman"/>
          <w:bCs/>
          <w:sz w:val="24"/>
        </w:rPr>
        <w:t>shall</w:t>
      </w:r>
      <w:r w:rsidR="00A95602" w:rsidRPr="00A01A6F">
        <w:rPr>
          <w:rFonts w:ascii="Times New Roman" w:hAnsi="Times New Roman" w:cs="Times New Roman"/>
          <w:bCs/>
          <w:sz w:val="24"/>
        </w:rPr>
        <w:t xml:space="preserve"> </w:t>
      </w:r>
      <w:r w:rsidR="00785FA0" w:rsidRPr="00A01A6F">
        <w:rPr>
          <w:rFonts w:ascii="Times New Roman" w:hAnsi="Times New Roman" w:cs="Times New Roman"/>
          <w:bCs/>
          <w:sz w:val="24"/>
        </w:rPr>
        <w:t>be disclosed</w:t>
      </w:r>
      <w:proofErr w:type="gramEnd"/>
      <w:r w:rsidR="00785FA0" w:rsidRPr="00A01A6F">
        <w:rPr>
          <w:rFonts w:ascii="Times New Roman" w:hAnsi="Times New Roman" w:cs="Times New Roman"/>
          <w:bCs/>
          <w:sz w:val="24"/>
        </w:rPr>
        <w:t xml:space="preserve"> by institutions in line with their financial statements</w:t>
      </w:r>
      <w:r w:rsidRPr="00A01A6F">
        <w:rPr>
          <w:rFonts w:ascii="Times New Roman" w:hAnsi="Times New Roman" w:cs="Times New Roman"/>
          <w:bCs/>
          <w:sz w:val="24"/>
        </w:rPr>
        <w:t>.</w:t>
      </w:r>
      <w:r w:rsidR="00785FA0" w:rsidRPr="00A01A6F">
        <w:rPr>
          <w:rFonts w:ascii="Times New Roman" w:hAnsi="Times New Roman" w:cs="Times New Roman"/>
          <w:bCs/>
          <w:sz w:val="24"/>
        </w:rPr>
        <w:t xml:space="preserve"> </w:t>
      </w:r>
      <w:r w:rsidRPr="00A01A6F">
        <w:rPr>
          <w:rFonts w:ascii="Times New Roman" w:hAnsi="Times New Roman" w:cs="Times New Roman"/>
          <w:bCs/>
          <w:sz w:val="24"/>
        </w:rPr>
        <w:t xml:space="preserve">Own funds items in the audited financial statements shall include all items that are components of or are deducted from regulatory own funds, including equity, liabilities such as debt, or other balance sheet lines that affect regulatory own funds such as intangible assets, goodwill, deferred tax assets. Institutions shall expand the own funds items of the balance sheet as necessary in order to ensure that all of the components included in the </w:t>
      </w:r>
      <w:r w:rsidR="008F2190">
        <w:rPr>
          <w:rFonts w:ascii="Times New Roman" w:hAnsi="Times New Roman" w:cs="Times New Roman"/>
          <w:bCs/>
          <w:sz w:val="24"/>
        </w:rPr>
        <w:t xml:space="preserve">composition of </w:t>
      </w:r>
      <w:r w:rsidRPr="00A01A6F">
        <w:rPr>
          <w:rFonts w:ascii="Times New Roman" w:hAnsi="Times New Roman" w:cs="Times New Roman"/>
          <w:bCs/>
          <w:sz w:val="24"/>
        </w:rPr>
        <w:t xml:space="preserve">own funds disclosure template (template </w:t>
      </w:r>
      <w:r w:rsidR="00BE4814">
        <w:rPr>
          <w:rFonts w:ascii="Times New Roman" w:hAnsi="Times New Roman" w:cs="Times New Roman"/>
          <w:bCs/>
          <w:sz w:val="24"/>
        </w:rPr>
        <w:t xml:space="preserve">EU </w:t>
      </w:r>
      <w:r w:rsidRPr="00A01A6F">
        <w:rPr>
          <w:rFonts w:ascii="Times New Roman" w:hAnsi="Times New Roman" w:cs="Times New Roman"/>
          <w:bCs/>
          <w:sz w:val="24"/>
        </w:rPr>
        <w:t>CC1) appear separately. Institutions shall only expand elements of the balance sheet up to the level of granularity that is necessary for deriving the components required by template</w:t>
      </w:r>
      <w:r w:rsidR="00BE4814">
        <w:rPr>
          <w:rFonts w:ascii="Times New Roman" w:hAnsi="Times New Roman" w:cs="Times New Roman"/>
          <w:bCs/>
          <w:sz w:val="24"/>
        </w:rPr>
        <w:t xml:space="preserve"> EU</w:t>
      </w:r>
      <w:r w:rsidRPr="00A01A6F">
        <w:rPr>
          <w:rFonts w:ascii="Times New Roman" w:hAnsi="Times New Roman" w:cs="Times New Roman"/>
          <w:bCs/>
          <w:sz w:val="24"/>
        </w:rPr>
        <w:t xml:space="preserve"> CC1.</w:t>
      </w:r>
      <w:r w:rsidR="00A95602" w:rsidRPr="00FC5DAA">
        <w:rPr>
          <w:rFonts w:ascii="Times New Roman" w:hAnsi="Times New Roman" w:cs="Times New Roman"/>
          <w:bCs/>
          <w:sz w:val="24"/>
        </w:rPr>
        <w:t xml:space="preserve"> Disclosure shall be proportionate to the complexity of the institution's balance sheet.</w:t>
      </w:r>
    </w:p>
    <w:p w14:paraId="33CFD474" w14:textId="07B9BFF9" w:rsidR="00785FA0" w:rsidRPr="00A01A6F" w:rsidRDefault="003156DA" w:rsidP="00FC5DAA">
      <w:pPr>
        <w:numPr>
          <w:ilvl w:val="0"/>
          <w:numId w:val="11"/>
        </w:numPr>
        <w:spacing w:before="120" w:after="120"/>
        <w:ind w:left="357" w:hanging="357"/>
        <w:jc w:val="both"/>
        <w:rPr>
          <w:rFonts w:ascii="Times New Roman" w:hAnsi="Times New Roman" w:cs="Times New Roman"/>
          <w:bCs/>
          <w:sz w:val="24"/>
        </w:rPr>
      </w:pPr>
      <w:r w:rsidRPr="00A01A6F">
        <w:rPr>
          <w:rFonts w:ascii="Times New Roman" w:hAnsi="Times New Roman" w:cs="Times New Roman"/>
          <w:bCs/>
          <w:sz w:val="24"/>
        </w:rPr>
        <w:t>T</w:t>
      </w:r>
      <w:r w:rsidR="00785FA0" w:rsidRPr="00A01A6F">
        <w:rPr>
          <w:rFonts w:ascii="Times New Roman" w:hAnsi="Times New Roman" w:cs="Times New Roman"/>
          <w:bCs/>
          <w:sz w:val="24"/>
        </w:rPr>
        <w:t xml:space="preserve">he columns are fixed and </w:t>
      </w:r>
      <w:r w:rsidR="00A95602">
        <w:rPr>
          <w:rFonts w:ascii="Times New Roman" w:hAnsi="Times New Roman" w:cs="Times New Roman"/>
          <w:bCs/>
          <w:sz w:val="24"/>
        </w:rPr>
        <w:t>shall</w:t>
      </w:r>
      <w:r w:rsidR="00785FA0" w:rsidRPr="00A01A6F">
        <w:rPr>
          <w:rFonts w:ascii="Times New Roman" w:hAnsi="Times New Roman" w:cs="Times New Roman"/>
          <w:bCs/>
          <w:sz w:val="24"/>
        </w:rPr>
        <w:t xml:space="preserve"> be reported as follows:</w:t>
      </w:r>
    </w:p>
    <w:p w14:paraId="0C0515EE" w14:textId="70E82DA4" w:rsidR="00785FA0" w:rsidRPr="00A01A6F" w:rsidRDefault="00785FA0" w:rsidP="00FC5DAA">
      <w:pPr>
        <w:pStyle w:val="numberedparagraph"/>
        <w:numPr>
          <w:ilvl w:val="1"/>
          <w:numId w:val="12"/>
        </w:numPr>
        <w:tabs>
          <w:tab w:val="clear" w:pos="-180"/>
        </w:tabs>
        <w:ind w:left="709"/>
        <w:rPr>
          <w:rFonts w:ascii="Times New Roman" w:hAnsi="Times New Roman" w:cs="Times New Roman"/>
          <w:sz w:val="24"/>
          <w:lang w:val="en-GB"/>
        </w:rPr>
      </w:pPr>
      <w:r w:rsidRPr="00A01A6F">
        <w:rPr>
          <w:rFonts w:ascii="Times New Roman" w:hAnsi="Times New Roman" w:cs="Times New Roman"/>
          <w:sz w:val="24"/>
          <w:lang w:val="en-GB"/>
        </w:rPr>
        <w:t>Column a: Institutions shall include the figures reported in the balance sheet included in their published financial statements according to the accounting scope of consolidation.</w:t>
      </w:r>
    </w:p>
    <w:p w14:paraId="3A270921" w14:textId="343AC119" w:rsidR="00785FA0" w:rsidRPr="00A01A6F" w:rsidRDefault="00785FA0" w:rsidP="00FC5DAA">
      <w:pPr>
        <w:pStyle w:val="numberedparagraph"/>
        <w:numPr>
          <w:ilvl w:val="1"/>
          <w:numId w:val="12"/>
        </w:numPr>
        <w:tabs>
          <w:tab w:val="clear" w:pos="-180"/>
        </w:tabs>
        <w:ind w:left="709"/>
        <w:rPr>
          <w:rFonts w:ascii="Times New Roman" w:hAnsi="Times New Roman" w:cs="Times New Roman"/>
          <w:sz w:val="24"/>
          <w:lang w:val="en-GB"/>
        </w:rPr>
      </w:pPr>
      <w:r w:rsidRPr="00A01A6F">
        <w:rPr>
          <w:rFonts w:ascii="Times New Roman" w:hAnsi="Times New Roman" w:cs="Times New Roman"/>
          <w:sz w:val="24"/>
          <w:lang w:val="en-GB"/>
        </w:rPr>
        <w:t>Column b: Institutions shall report the figures corresponding to the regulatory scope of consolidation.</w:t>
      </w:r>
    </w:p>
    <w:p w14:paraId="06961445" w14:textId="453A1DCA" w:rsidR="00785FA0" w:rsidRPr="00A01A6F" w:rsidRDefault="00785FA0" w:rsidP="00FC5DAA">
      <w:pPr>
        <w:pStyle w:val="numberedparagraph"/>
        <w:numPr>
          <w:ilvl w:val="1"/>
          <w:numId w:val="12"/>
        </w:numPr>
        <w:tabs>
          <w:tab w:val="clear" w:pos="-180"/>
        </w:tabs>
        <w:ind w:left="709"/>
        <w:rPr>
          <w:rFonts w:ascii="Times New Roman" w:hAnsi="Times New Roman" w:cs="Times New Roman"/>
          <w:sz w:val="24"/>
          <w:lang w:val="en-GB"/>
        </w:rPr>
      </w:pPr>
      <w:r w:rsidRPr="00A01A6F">
        <w:rPr>
          <w:rFonts w:ascii="Times New Roman" w:hAnsi="Times New Roman" w:cs="Times New Roman"/>
          <w:sz w:val="24"/>
          <w:lang w:val="en-GB"/>
        </w:rPr>
        <w:t>Column c</w:t>
      </w:r>
      <w:r w:rsidR="008C700B" w:rsidRPr="00A01A6F">
        <w:rPr>
          <w:rFonts w:ascii="Times New Roman" w:hAnsi="Times New Roman" w:cs="Times New Roman"/>
          <w:sz w:val="24"/>
          <w:lang w:val="en-GB"/>
        </w:rPr>
        <w:t>:</w:t>
      </w:r>
      <w:r w:rsidRPr="00A01A6F">
        <w:rPr>
          <w:rFonts w:ascii="Times New Roman" w:hAnsi="Times New Roman" w:cs="Times New Roman"/>
          <w:sz w:val="24"/>
          <w:lang w:val="en-GB"/>
        </w:rPr>
        <w:t xml:space="preserve"> Institutions shall include the cross-reference between the own find item in template </w:t>
      </w:r>
      <w:r w:rsidR="00BE4814">
        <w:rPr>
          <w:rFonts w:ascii="Times New Roman" w:hAnsi="Times New Roman" w:cs="Times New Roman"/>
          <w:sz w:val="24"/>
          <w:lang w:val="en-GB"/>
        </w:rPr>
        <w:t xml:space="preserve">EU </w:t>
      </w:r>
      <w:r w:rsidRPr="00A01A6F">
        <w:rPr>
          <w:rFonts w:ascii="Times New Roman" w:hAnsi="Times New Roman" w:cs="Times New Roman"/>
          <w:sz w:val="24"/>
          <w:lang w:val="en-GB"/>
        </w:rPr>
        <w:t xml:space="preserve">CC2 and the relevant items in the own funds disclosure template </w:t>
      </w:r>
      <w:r w:rsidR="00BE4814">
        <w:rPr>
          <w:rFonts w:ascii="Times New Roman" w:hAnsi="Times New Roman" w:cs="Times New Roman"/>
          <w:sz w:val="24"/>
          <w:lang w:val="en-GB"/>
        </w:rPr>
        <w:t xml:space="preserve">EU </w:t>
      </w:r>
      <w:r w:rsidRPr="00A01A6F">
        <w:rPr>
          <w:rFonts w:ascii="Times New Roman" w:hAnsi="Times New Roman" w:cs="Times New Roman"/>
          <w:sz w:val="24"/>
          <w:lang w:val="en-GB"/>
        </w:rPr>
        <w:t>CC1. The reference in column c of template</w:t>
      </w:r>
      <w:r w:rsidR="00BE4814">
        <w:rPr>
          <w:rFonts w:ascii="Times New Roman" w:hAnsi="Times New Roman" w:cs="Times New Roman"/>
          <w:sz w:val="24"/>
          <w:lang w:val="en-GB"/>
        </w:rPr>
        <w:t xml:space="preserve"> EU</w:t>
      </w:r>
      <w:r w:rsidRPr="00A01A6F">
        <w:rPr>
          <w:rFonts w:ascii="Times New Roman" w:hAnsi="Times New Roman" w:cs="Times New Roman"/>
          <w:sz w:val="24"/>
          <w:lang w:val="en-GB"/>
        </w:rPr>
        <w:t xml:space="preserve"> CC2 </w:t>
      </w:r>
      <w:proofErr w:type="gramStart"/>
      <w:r w:rsidRPr="00A01A6F">
        <w:rPr>
          <w:rFonts w:ascii="Times New Roman" w:hAnsi="Times New Roman" w:cs="Times New Roman"/>
          <w:sz w:val="24"/>
          <w:lang w:val="en-GB"/>
        </w:rPr>
        <w:t>will be linked</w:t>
      </w:r>
      <w:proofErr w:type="gramEnd"/>
      <w:r w:rsidRPr="00A01A6F">
        <w:rPr>
          <w:rFonts w:ascii="Times New Roman" w:hAnsi="Times New Roman" w:cs="Times New Roman"/>
          <w:sz w:val="24"/>
          <w:lang w:val="en-GB"/>
        </w:rPr>
        <w:t xml:space="preserve"> to the reference included in column b of template </w:t>
      </w:r>
      <w:r w:rsidR="00BE4814">
        <w:rPr>
          <w:rFonts w:ascii="Times New Roman" w:hAnsi="Times New Roman" w:cs="Times New Roman"/>
          <w:sz w:val="24"/>
          <w:lang w:val="en-GB"/>
        </w:rPr>
        <w:t xml:space="preserve">EU </w:t>
      </w:r>
      <w:r w:rsidRPr="00A01A6F">
        <w:rPr>
          <w:rFonts w:ascii="Times New Roman" w:hAnsi="Times New Roman" w:cs="Times New Roman"/>
          <w:sz w:val="24"/>
          <w:lang w:val="en-GB"/>
        </w:rPr>
        <w:t>CC1.</w:t>
      </w:r>
    </w:p>
    <w:p w14:paraId="147EA88F" w14:textId="1B4EC005" w:rsidR="009702C5" w:rsidRPr="00A01A6F" w:rsidRDefault="001B66D7" w:rsidP="00FC5DAA">
      <w:pPr>
        <w:numPr>
          <w:ilvl w:val="0"/>
          <w:numId w:val="11"/>
        </w:numPr>
        <w:spacing w:before="120" w:after="120"/>
        <w:ind w:left="357" w:hanging="357"/>
        <w:jc w:val="both"/>
        <w:rPr>
          <w:rFonts w:ascii="Times New Roman" w:hAnsi="Times New Roman" w:cs="Times New Roman"/>
          <w:bCs/>
          <w:sz w:val="24"/>
        </w:rPr>
      </w:pPr>
      <w:r w:rsidRPr="00A01A6F">
        <w:rPr>
          <w:rFonts w:ascii="Times New Roman" w:hAnsi="Times New Roman" w:cs="Times New Roman"/>
          <w:bCs/>
          <w:sz w:val="24"/>
        </w:rPr>
        <w:t xml:space="preserve"> </w:t>
      </w:r>
      <w:r w:rsidR="009702C5" w:rsidRPr="00A01A6F">
        <w:rPr>
          <w:rFonts w:ascii="Times New Roman" w:hAnsi="Times New Roman" w:cs="Times New Roman"/>
          <w:bCs/>
          <w:sz w:val="24"/>
        </w:rPr>
        <w:t xml:space="preserve">In the following cases where </w:t>
      </w:r>
      <w:r w:rsidR="009F7480" w:rsidRPr="00A01A6F">
        <w:rPr>
          <w:rFonts w:ascii="Times New Roman" w:hAnsi="Times New Roman" w:cs="Times New Roman"/>
          <w:bCs/>
          <w:sz w:val="24"/>
        </w:rPr>
        <w:t>institution</w:t>
      </w:r>
      <w:r w:rsidRPr="00A01A6F">
        <w:rPr>
          <w:rFonts w:ascii="Times New Roman" w:hAnsi="Times New Roman" w:cs="Times New Roman"/>
          <w:bCs/>
          <w:sz w:val="24"/>
        </w:rPr>
        <w:t>s</w:t>
      </w:r>
      <w:r w:rsidR="009702C5" w:rsidRPr="00A01A6F">
        <w:rPr>
          <w:rFonts w:ascii="Times New Roman" w:hAnsi="Times New Roman" w:cs="Times New Roman"/>
          <w:bCs/>
          <w:sz w:val="24"/>
        </w:rPr>
        <w:t>’</w:t>
      </w:r>
      <w:r w:rsidRPr="00A01A6F">
        <w:rPr>
          <w:rFonts w:ascii="Times New Roman" w:hAnsi="Times New Roman" w:cs="Times New Roman"/>
          <w:bCs/>
          <w:sz w:val="24"/>
        </w:rPr>
        <w:t xml:space="preserve"> scope of accounting consolidation and its scope of regulatory consolidation are exactly the same, column (a) and (b) </w:t>
      </w:r>
      <w:r w:rsidR="00A95602" w:rsidRPr="00FC5DAA">
        <w:rPr>
          <w:rFonts w:ascii="Times New Roman" w:hAnsi="Times New Roman" w:cs="Times New Roman"/>
          <w:bCs/>
          <w:sz w:val="24"/>
        </w:rPr>
        <w:t>shall</w:t>
      </w:r>
      <w:r w:rsidRPr="00A01A6F">
        <w:rPr>
          <w:rFonts w:ascii="Times New Roman" w:hAnsi="Times New Roman" w:cs="Times New Roman"/>
          <w:bCs/>
          <w:sz w:val="24"/>
        </w:rPr>
        <w:t xml:space="preserve"> be merged and this fact </w:t>
      </w:r>
      <w:r w:rsidR="00A95602" w:rsidRPr="00FC5DAA">
        <w:rPr>
          <w:rFonts w:ascii="Times New Roman" w:hAnsi="Times New Roman" w:cs="Times New Roman"/>
          <w:bCs/>
          <w:sz w:val="24"/>
        </w:rPr>
        <w:t>shall</w:t>
      </w:r>
      <w:r w:rsidRPr="00A01A6F">
        <w:rPr>
          <w:rFonts w:ascii="Times New Roman" w:hAnsi="Times New Roman" w:cs="Times New Roman"/>
          <w:bCs/>
          <w:sz w:val="24"/>
        </w:rPr>
        <w:t xml:space="preserve"> be clearly disclosed</w:t>
      </w:r>
      <w:r w:rsidR="009702C5" w:rsidRPr="00A01A6F">
        <w:rPr>
          <w:rFonts w:ascii="Times New Roman" w:hAnsi="Times New Roman" w:cs="Times New Roman"/>
          <w:bCs/>
          <w:sz w:val="24"/>
        </w:rPr>
        <w:t>:</w:t>
      </w:r>
    </w:p>
    <w:p w14:paraId="140109A7" w14:textId="4F2E2175" w:rsidR="001B66D7" w:rsidRPr="00A01A6F" w:rsidRDefault="009702C5" w:rsidP="00FC5DAA">
      <w:pPr>
        <w:pStyle w:val="numberedparagraph"/>
        <w:numPr>
          <w:ilvl w:val="1"/>
          <w:numId w:val="12"/>
        </w:numPr>
        <w:ind w:left="709"/>
        <w:rPr>
          <w:rFonts w:ascii="Times New Roman" w:hAnsi="Times New Roman" w:cs="Times New Roman"/>
          <w:bCs/>
          <w:sz w:val="24"/>
        </w:rPr>
      </w:pPr>
      <w:proofErr w:type="gramStart"/>
      <w:r w:rsidRPr="00A01A6F">
        <w:rPr>
          <w:rFonts w:ascii="Times New Roman" w:hAnsi="Times New Roman" w:cs="Times New Roman"/>
          <w:sz w:val="24"/>
        </w:rPr>
        <w:t>Where institutions comply with the obligations laid down in Part Eight of Regulation (EU) No 575/2013 on a consolidated or sub-consolidated basis but the scope of consolidation and the method for consolidation used for the balance sheet in the financial statements are identical to the scope of consolidation and the method for consolidation defined pursuant to Part One, Title II, Chapter 2 of Regulation (EU) No 575/2013, and institutions clearly state the absence of differences between the respective scopes and methods for consolidation.</w:t>
      </w:r>
      <w:proofErr w:type="gramEnd"/>
    </w:p>
    <w:p w14:paraId="37C677D8" w14:textId="77777777" w:rsidR="00E27884" w:rsidRPr="00A01A6F" w:rsidRDefault="00E27884" w:rsidP="00126F48">
      <w:pPr>
        <w:ind w:left="426"/>
        <w:jc w:val="both"/>
        <w:rPr>
          <w:rFonts w:ascii="Times New Roman" w:hAnsi="Times New Roman" w:cs="Times New Roman"/>
          <w:bCs/>
          <w:sz w:val="24"/>
        </w:rPr>
      </w:pPr>
    </w:p>
    <w:p w14:paraId="27145A91" w14:textId="5AF728A8" w:rsidR="009702C5" w:rsidRPr="00A01A6F" w:rsidRDefault="009702C5" w:rsidP="00FC5DAA">
      <w:pPr>
        <w:pStyle w:val="numberedparagraph"/>
        <w:numPr>
          <w:ilvl w:val="1"/>
          <w:numId w:val="12"/>
        </w:numPr>
        <w:ind w:left="709"/>
        <w:rPr>
          <w:rFonts w:ascii="Times New Roman" w:hAnsi="Times New Roman" w:cs="Times New Roman"/>
          <w:bCs/>
          <w:sz w:val="24"/>
        </w:rPr>
      </w:pPr>
      <w:r w:rsidRPr="00A01A6F">
        <w:rPr>
          <w:rFonts w:ascii="Times New Roman" w:hAnsi="Times New Roman" w:cs="Times New Roman"/>
          <w:sz w:val="24"/>
        </w:rPr>
        <w:t>Where institutions meet the obligations laid down in Part Eight of Regulation (EU) No 575/2013 on an individual basis.</w:t>
      </w:r>
    </w:p>
    <w:p w14:paraId="06DC0524" w14:textId="4C3B96FA" w:rsidR="001B66D7" w:rsidRPr="00A01A6F" w:rsidRDefault="001B66D7" w:rsidP="001B66D7">
      <w:pPr>
        <w:pStyle w:val="ListParagraph"/>
        <w:rPr>
          <w:rFonts w:ascii="Times New Roman" w:hAnsi="Times New Roman"/>
          <w:bCs/>
          <w:sz w:val="24"/>
          <w:szCs w:val="24"/>
        </w:rPr>
      </w:pPr>
    </w:p>
    <w:p w14:paraId="421E904A" w14:textId="36E9E4D5" w:rsidR="008C700B" w:rsidRPr="00A95602" w:rsidRDefault="008C700B">
      <w:pPr>
        <w:rPr>
          <w:rFonts w:ascii="Times New Roman" w:hAnsi="Times New Roman" w:cs="Times New Roman"/>
          <w:b/>
          <w:sz w:val="24"/>
        </w:rPr>
      </w:pPr>
      <w:r w:rsidRPr="00A95602">
        <w:rPr>
          <w:rFonts w:ascii="Times New Roman" w:hAnsi="Times New Roman" w:cs="Times New Roman"/>
          <w:b/>
          <w:sz w:val="24"/>
        </w:rPr>
        <w:br w:type="page"/>
      </w:r>
    </w:p>
    <w:p w14:paraId="3C3B8C28" w14:textId="41F51DAD" w:rsidR="004D7854" w:rsidRPr="000769C4" w:rsidRDefault="00BE4814" w:rsidP="004D7854">
      <w:pPr>
        <w:rPr>
          <w:rFonts w:ascii="Times New Roman" w:hAnsi="Times New Roman" w:cs="Times New Roman"/>
          <w:b/>
          <w:bCs/>
          <w:sz w:val="24"/>
        </w:rPr>
      </w:pPr>
      <w:r w:rsidRPr="00A95602">
        <w:rPr>
          <w:rFonts w:ascii="Times New Roman" w:hAnsi="Times New Roman" w:cs="Times New Roman"/>
          <w:b/>
          <w:bCs/>
          <w:sz w:val="24"/>
        </w:rPr>
        <w:lastRenderedPageBreak/>
        <w:t>T</w:t>
      </w:r>
      <w:r>
        <w:rPr>
          <w:rFonts w:ascii="Times New Roman" w:hAnsi="Times New Roman" w:cs="Times New Roman"/>
          <w:b/>
          <w:bCs/>
          <w:sz w:val="24"/>
        </w:rPr>
        <w:t>able</w:t>
      </w:r>
      <w:r w:rsidRPr="00A95602">
        <w:rPr>
          <w:rFonts w:ascii="Times New Roman" w:hAnsi="Times New Roman" w:cs="Times New Roman"/>
          <w:b/>
          <w:bCs/>
          <w:sz w:val="24"/>
        </w:rPr>
        <w:t xml:space="preserve"> </w:t>
      </w:r>
      <w:r w:rsidR="00C32777">
        <w:rPr>
          <w:rFonts w:ascii="Times New Roman" w:hAnsi="Times New Roman" w:cs="Times New Roman"/>
          <w:b/>
          <w:bCs/>
          <w:sz w:val="24"/>
        </w:rPr>
        <w:t xml:space="preserve">EU </w:t>
      </w:r>
      <w:r w:rsidR="004D7854" w:rsidRPr="00A95602">
        <w:rPr>
          <w:rFonts w:ascii="Times New Roman" w:hAnsi="Times New Roman" w:cs="Times New Roman"/>
          <w:b/>
          <w:bCs/>
          <w:sz w:val="24"/>
        </w:rPr>
        <w:t>CCA</w:t>
      </w:r>
      <w:r w:rsidR="00241556" w:rsidRPr="00A95602">
        <w:rPr>
          <w:rFonts w:ascii="Times New Roman" w:hAnsi="Times New Roman" w:cs="Times New Roman"/>
          <w:b/>
          <w:bCs/>
          <w:sz w:val="24"/>
        </w:rPr>
        <w:t xml:space="preserve"> – Main features of regulatory </w:t>
      </w:r>
      <w:r w:rsidR="00133881">
        <w:rPr>
          <w:rFonts w:ascii="Times New Roman" w:hAnsi="Times New Roman" w:cs="Times New Roman"/>
          <w:b/>
          <w:bCs/>
          <w:sz w:val="24"/>
        </w:rPr>
        <w:t>own funds</w:t>
      </w:r>
      <w:r w:rsidR="00133881" w:rsidRPr="00A95602">
        <w:rPr>
          <w:rFonts w:ascii="Times New Roman" w:hAnsi="Times New Roman" w:cs="Times New Roman"/>
          <w:b/>
          <w:bCs/>
          <w:sz w:val="24"/>
        </w:rPr>
        <w:t xml:space="preserve"> </w:t>
      </w:r>
      <w:r w:rsidR="00241556" w:rsidRPr="00A95602">
        <w:rPr>
          <w:rFonts w:ascii="Times New Roman" w:hAnsi="Times New Roman" w:cs="Times New Roman"/>
          <w:b/>
          <w:bCs/>
          <w:sz w:val="24"/>
        </w:rPr>
        <w:t>instruments and eligible liabilities instruments.</w:t>
      </w:r>
    </w:p>
    <w:p w14:paraId="537CA575" w14:textId="77777777" w:rsidR="004D7854" w:rsidRPr="00A95602" w:rsidRDefault="004D7854" w:rsidP="004D7854">
      <w:pPr>
        <w:rPr>
          <w:rFonts w:ascii="Times New Roman" w:hAnsi="Times New Roman" w:cs="Times New Roman"/>
          <w:b/>
          <w:bCs/>
          <w:sz w:val="24"/>
        </w:rPr>
      </w:pPr>
    </w:p>
    <w:p w14:paraId="290CFE39" w14:textId="064D703E" w:rsidR="009658DE" w:rsidRPr="00A01A6F" w:rsidRDefault="009658DE" w:rsidP="00FC5DAA">
      <w:pPr>
        <w:numPr>
          <w:ilvl w:val="0"/>
          <w:numId w:val="11"/>
        </w:numPr>
        <w:spacing w:before="120" w:after="120"/>
        <w:ind w:left="357" w:hanging="357"/>
        <w:jc w:val="both"/>
        <w:rPr>
          <w:rFonts w:ascii="Times New Roman" w:hAnsi="Times New Roman" w:cs="Times New Roman"/>
          <w:bCs/>
          <w:sz w:val="24"/>
        </w:rPr>
      </w:pPr>
      <w:r w:rsidRPr="00A01A6F">
        <w:rPr>
          <w:rFonts w:ascii="Times New Roman" w:hAnsi="Times New Roman" w:cs="Times New Roman"/>
          <w:bCs/>
          <w:sz w:val="24"/>
        </w:rPr>
        <w:t xml:space="preserve">Institutions shall apply the instructions provided in this Annex in order to complete </w:t>
      </w:r>
      <w:r w:rsidR="00BE4814">
        <w:rPr>
          <w:rFonts w:ascii="Times New Roman" w:hAnsi="Times New Roman" w:cs="Times New Roman"/>
          <w:bCs/>
          <w:sz w:val="24"/>
        </w:rPr>
        <w:t>table</w:t>
      </w:r>
      <w:r w:rsidRPr="00A01A6F">
        <w:rPr>
          <w:rFonts w:ascii="Times New Roman" w:hAnsi="Times New Roman" w:cs="Times New Roman"/>
          <w:bCs/>
          <w:sz w:val="24"/>
        </w:rPr>
        <w:t xml:space="preserve"> </w:t>
      </w:r>
      <w:r w:rsidR="00123F9E">
        <w:rPr>
          <w:rFonts w:ascii="Times New Roman" w:hAnsi="Times New Roman" w:cs="Times New Roman"/>
          <w:bCs/>
          <w:sz w:val="24"/>
        </w:rPr>
        <w:t xml:space="preserve">EU CCA </w:t>
      </w:r>
      <w:r w:rsidRPr="00A01A6F">
        <w:rPr>
          <w:rFonts w:ascii="Times New Roman" w:hAnsi="Times New Roman" w:cs="Times New Roman"/>
          <w:bCs/>
          <w:sz w:val="24"/>
        </w:rPr>
        <w:t>as presented</w:t>
      </w:r>
      <w:r w:rsidR="00267DE1" w:rsidRPr="00A01A6F">
        <w:rPr>
          <w:rFonts w:ascii="Times New Roman" w:hAnsi="Times New Roman" w:cs="Times New Roman"/>
          <w:bCs/>
          <w:sz w:val="24"/>
        </w:rPr>
        <w:t xml:space="preserve"> in Annex </w:t>
      </w:r>
      <w:r w:rsidR="00BE4814">
        <w:rPr>
          <w:rFonts w:ascii="Times New Roman" w:hAnsi="Times New Roman" w:cs="Times New Roman"/>
          <w:bCs/>
          <w:sz w:val="24"/>
        </w:rPr>
        <w:t>7</w:t>
      </w:r>
      <w:r w:rsidR="00516D85">
        <w:rPr>
          <w:rFonts w:ascii="Times New Roman" w:hAnsi="Times New Roman" w:cs="Times New Roman"/>
          <w:bCs/>
          <w:sz w:val="24"/>
        </w:rPr>
        <w:t xml:space="preserve">, according to Article 437(b) and (c) of </w:t>
      </w:r>
      <w:r w:rsidR="00516D85" w:rsidRPr="00C31378">
        <w:rPr>
          <w:rFonts w:ascii="Times New Roman" w:hAnsi="Times New Roman" w:cs="Times New Roman"/>
          <w:noProof/>
          <w:color w:val="000000"/>
          <w:sz w:val="24"/>
          <w:lang w:val="en-GB"/>
        </w:rPr>
        <w:t>CRR</w:t>
      </w:r>
      <w:r w:rsidR="00516D85" w:rsidRPr="000769C4">
        <w:rPr>
          <w:rFonts w:ascii="Times New Roman" w:hAnsi="Times New Roman" w:cs="Times New Roman"/>
          <w:bCs/>
          <w:sz w:val="24"/>
        </w:rPr>
        <w:t>.</w:t>
      </w:r>
    </w:p>
    <w:p w14:paraId="72141E91" w14:textId="25660CAE" w:rsidR="009658DE" w:rsidRPr="00A01A6F" w:rsidRDefault="009658DE" w:rsidP="00FC5DAA">
      <w:pPr>
        <w:numPr>
          <w:ilvl w:val="0"/>
          <w:numId w:val="11"/>
        </w:numPr>
        <w:spacing w:before="120" w:after="120"/>
        <w:ind w:left="357" w:hanging="357"/>
        <w:jc w:val="both"/>
        <w:rPr>
          <w:rFonts w:ascii="Times New Roman" w:hAnsi="Times New Roman" w:cs="Times New Roman"/>
          <w:bCs/>
          <w:sz w:val="24"/>
        </w:rPr>
      </w:pPr>
      <w:r w:rsidRPr="00A01A6F">
        <w:rPr>
          <w:rFonts w:ascii="Times New Roman" w:hAnsi="Times New Roman" w:cs="Times New Roman"/>
          <w:bCs/>
          <w:sz w:val="24"/>
        </w:rPr>
        <w:t xml:space="preserve">Institutions shall complete </w:t>
      </w:r>
      <w:r w:rsidR="00BE4814">
        <w:rPr>
          <w:rFonts w:ascii="Times New Roman" w:hAnsi="Times New Roman" w:cs="Times New Roman"/>
          <w:bCs/>
          <w:sz w:val="24"/>
        </w:rPr>
        <w:t>table</w:t>
      </w:r>
      <w:r w:rsidR="00123F9E">
        <w:rPr>
          <w:rFonts w:ascii="Times New Roman" w:hAnsi="Times New Roman" w:cs="Times New Roman"/>
          <w:bCs/>
          <w:sz w:val="24"/>
        </w:rPr>
        <w:t xml:space="preserve"> EU CCA</w:t>
      </w:r>
      <w:r w:rsidR="00BE4814" w:rsidRPr="00A01A6F">
        <w:rPr>
          <w:rFonts w:ascii="Times New Roman" w:hAnsi="Times New Roman" w:cs="Times New Roman"/>
          <w:bCs/>
          <w:sz w:val="24"/>
        </w:rPr>
        <w:t xml:space="preserve"> </w:t>
      </w:r>
      <w:r w:rsidRPr="00A01A6F">
        <w:rPr>
          <w:rFonts w:ascii="Times New Roman" w:hAnsi="Times New Roman" w:cs="Times New Roman"/>
          <w:bCs/>
          <w:sz w:val="24"/>
        </w:rPr>
        <w:t>for the following categories: Common Equity Tier 1 instruments, Additional Tier 1 instruments</w:t>
      </w:r>
      <w:r w:rsidR="000769C4">
        <w:rPr>
          <w:rFonts w:ascii="Times New Roman" w:hAnsi="Times New Roman" w:cs="Times New Roman"/>
          <w:bCs/>
          <w:sz w:val="24"/>
        </w:rPr>
        <w:t>,</w:t>
      </w:r>
      <w:r w:rsidRPr="00A01A6F">
        <w:rPr>
          <w:rFonts w:ascii="Times New Roman" w:hAnsi="Times New Roman" w:cs="Times New Roman"/>
          <w:bCs/>
          <w:sz w:val="24"/>
        </w:rPr>
        <w:t xml:space="preserve"> Tier 2 instruments</w:t>
      </w:r>
      <w:r w:rsidR="000769C4">
        <w:rPr>
          <w:rFonts w:ascii="Times New Roman" w:hAnsi="Times New Roman" w:cs="Times New Roman"/>
          <w:bCs/>
          <w:sz w:val="24"/>
        </w:rPr>
        <w:t xml:space="preserve"> and</w:t>
      </w:r>
      <w:r w:rsidR="009B6F48">
        <w:rPr>
          <w:rFonts w:ascii="Times New Roman" w:hAnsi="Times New Roman"/>
          <w:bCs/>
          <w:szCs w:val="22"/>
        </w:rPr>
        <w:t xml:space="preserve">, within the meaning of Article 72b of the CRR, </w:t>
      </w:r>
      <w:r w:rsidR="000769C4" w:rsidRPr="000769C4">
        <w:rPr>
          <w:rFonts w:ascii="Times New Roman" w:hAnsi="Times New Roman" w:cs="Times New Roman"/>
          <w:bCs/>
          <w:sz w:val="24"/>
        </w:rPr>
        <w:t>eligible liabilities instruments</w:t>
      </w:r>
      <w:r w:rsidRPr="00A01A6F">
        <w:rPr>
          <w:rFonts w:ascii="Times New Roman" w:hAnsi="Times New Roman" w:cs="Times New Roman"/>
          <w:bCs/>
          <w:sz w:val="24"/>
        </w:rPr>
        <w:t>.</w:t>
      </w:r>
    </w:p>
    <w:p w14:paraId="6865D701" w14:textId="6FA6009A" w:rsidR="009658DE" w:rsidRDefault="009658DE" w:rsidP="00FC5DAA">
      <w:pPr>
        <w:numPr>
          <w:ilvl w:val="0"/>
          <w:numId w:val="11"/>
        </w:numPr>
        <w:spacing w:before="120" w:after="120"/>
        <w:ind w:left="357" w:hanging="357"/>
        <w:jc w:val="both"/>
        <w:rPr>
          <w:rFonts w:ascii="Times New Roman" w:hAnsi="Times New Roman" w:cs="Times New Roman"/>
          <w:bCs/>
          <w:sz w:val="24"/>
        </w:rPr>
      </w:pPr>
      <w:r w:rsidRPr="00A01A6F">
        <w:rPr>
          <w:rFonts w:ascii="Times New Roman" w:hAnsi="Times New Roman" w:cs="Times New Roman"/>
          <w:bCs/>
          <w:sz w:val="24"/>
        </w:rPr>
        <w:t xml:space="preserve">The </w:t>
      </w:r>
      <w:r w:rsidR="00BE4814">
        <w:rPr>
          <w:rFonts w:ascii="Times New Roman" w:hAnsi="Times New Roman" w:cs="Times New Roman"/>
          <w:bCs/>
          <w:sz w:val="24"/>
        </w:rPr>
        <w:t>tables</w:t>
      </w:r>
      <w:r w:rsidR="00BE4814" w:rsidRPr="00A01A6F">
        <w:rPr>
          <w:rFonts w:ascii="Times New Roman" w:hAnsi="Times New Roman" w:cs="Times New Roman"/>
          <w:bCs/>
          <w:sz w:val="24"/>
        </w:rPr>
        <w:t xml:space="preserve"> </w:t>
      </w:r>
      <w:r w:rsidRPr="00A01A6F">
        <w:rPr>
          <w:rFonts w:ascii="Times New Roman" w:hAnsi="Times New Roman" w:cs="Times New Roman"/>
          <w:bCs/>
          <w:sz w:val="24"/>
        </w:rPr>
        <w:t xml:space="preserve">shall comprise </w:t>
      </w:r>
      <w:r w:rsidR="001C4DBD" w:rsidRPr="00A01A6F">
        <w:rPr>
          <w:rFonts w:ascii="Times New Roman" w:hAnsi="Times New Roman" w:cs="Times New Roman"/>
          <w:bCs/>
          <w:sz w:val="24"/>
        </w:rPr>
        <w:t xml:space="preserve">separate </w:t>
      </w:r>
      <w:r w:rsidRPr="00A01A6F">
        <w:rPr>
          <w:rFonts w:ascii="Times New Roman" w:hAnsi="Times New Roman" w:cs="Times New Roman"/>
          <w:bCs/>
          <w:sz w:val="24"/>
        </w:rPr>
        <w:t>columns with the features of</w:t>
      </w:r>
      <w:r w:rsidR="001C4DBD" w:rsidRPr="00A01A6F">
        <w:rPr>
          <w:rFonts w:ascii="Times New Roman" w:hAnsi="Times New Roman" w:cs="Times New Roman"/>
          <w:bCs/>
          <w:sz w:val="24"/>
        </w:rPr>
        <w:t xml:space="preserve"> each</w:t>
      </w:r>
      <w:r w:rsidRPr="00A01A6F">
        <w:rPr>
          <w:rFonts w:ascii="Times New Roman" w:hAnsi="Times New Roman" w:cs="Times New Roman"/>
          <w:bCs/>
          <w:sz w:val="24"/>
        </w:rPr>
        <w:t xml:space="preserve"> </w:t>
      </w:r>
      <w:r w:rsidR="00DB0E3D" w:rsidRPr="00A01A6F">
        <w:rPr>
          <w:rFonts w:ascii="Times New Roman" w:hAnsi="Times New Roman" w:cs="Times New Roman"/>
          <w:bCs/>
          <w:sz w:val="24"/>
        </w:rPr>
        <w:t xml:space="preserve">regulatory </w:t>
      </w:r>
      <w:r w:rsidR="00516D85">
        <w:rPr>
          <w:rFonts w:ascii="Times New Roman" w:hAnsi="Times New Roman" w:cs="Times New Roman"/>
          <w:bCs/>
          <w:sz w:val="24"/>
        </w:rPr>
        <w:t>own fund instruments</w:t>
      </w:r>
      <w:r w:rsidR="00516D85" w:rsidRPr="00D811FA">
        <w:rPr>
          <w:rFonts w:ascii="Times New Roman" w:hAnsi="Times New Roman" w:cs="Times New Roman"/>
          <w:bCs/>
          <w:sz w:val="24"/>
        </w:rPr>
        <w:t xml:space="preserve"> </w:t>
      </w:r>
      <w:r w:rsidR="001C4DBD" w:rsidRPr="00A01A6F">
        <w:rPr>
          <w:rFonts w:ascii="Times New Roman" w:hAnsi="Times New Roman" w:cs="Times New Roman"/>
          <w:bCs/>
          <w:sz w:val="24"/>
        </w:rPr>
        <w:t>and eligible liabilities</w:t>
      </w:r>
      <w:r w:rsidRPr="00A01A6F">
        <w:rPr>
          <w:rFonts w:ascii="Times New Roman" w:hAnsi="Times New Roman" w:cs="Times New Roman"/>
          <w:bCs/>
          <w:sz w:val="24"/>
        </w:rPr>
        <w:t xml:space="preserve"> instruments. In cases where</w:t>
      </w:r>
      <w:r w:rsidR="001C4DBD" w:rsidRPr="00A01A6F">
        <w:rPr>
          <w:rFonts w:ascii="Times New Roman" w:hAnsi="Times New Roman" w:cs="Times New Roman"/>
          <w:bCs/>
          <w:sz w:val="24"/>
        </w:rPr>
        <w:t xml:space="preserve"> </w:t>
      </w:r>
      <w:r w:rsidR="00DB0E3D" w:rsidRPr="00A01A6F">
        <w:rPr>
          <w:rFonts w:ascii="Times New Roman" w:hAnsi="Times New Roman" w:cs="Times New Roman"/>
          <w:bCs/>
          <w:sz w:val="24"/>
        </w:rPr>
        <w:t xml:space="preserve">different </w:t>
      </w:r>
      <w:r w:rsidRPr="00A01A6F">
        <w:rPr>
          <w:rFonts w:ascii="Times New Roman" w:hAnsi="Times New Roman" w:cs="Times New Roman"/>
          <w:bCs/>
          <w:sz w:val="24"/>
        </w:rPr>
        <w:t>instruments of a same category have identical features, institutions may complete only one column disclosing these identical features and identify the issuances to which the identical features refer.</w:t>
      </w:r>
      <w:r w:rsidR="001C4DBD" w:rsidRPr="00A01A6F">
        <w:rPr>
          <w:rFonts w:ascii="Times New Roman" w:hAnsi="Times New Roman" w:cs="Times New Roman"/>
          <w:bCs/>
          <w:sz w:val="24"/>
        </w:rPr>
        <w:t xml:space="preserve"> When disclosing the columns for these instruments, institutions shall group them under three sections (horizontally along the table) to indicate</w:t>
      </w:r>
      <w:r w:rsidR="00DB0E3D" w:rsidRPr="00A01A6F">
        <w:rPr>
          <w:rFonts w:ascii="Times New Roman" w:hAnsi="Times New Roman" w:cs="Times New Roman"/>
          <w:bCs/>
          <w:sz w:val="24"/>
        </w:rPr>
        <w:t xml:space="preserve"> </w:t>
      </w:r>
      <w:r w:rsidR="001C4DBD" w:rsidRPr="00A01A6F">
        <w:rPr>
          <w:rFonts w:ascii="Times New Roman" w:hAnsi="Times New Roman" w:cs="Times New Roman"/>
          <w:bCs/>
          <w:sz w:val="24"/>
        </w:rPr>
        <w:t>whether they are for meeting (</w:t>
      </w:r>
      <w:proofErr w:type="spellStart"/>
      <w:r w:rsidR="001C4DBD" w:rsidRPr="00A01A6F">
        <w:rPr>
          <w:rFonts w:ascii="Times New Roman" w:hAnsi="Times New Roman" w:cs="Times New Roman"/>
          <w:bCs/>
          <w:sz w:val="24"/>
        </w:rPr>
        <w:t>i</w:t>
      </w:r>
      <w:proofErr w:type="spellEnd"/>
      <w:r w:rsidR="001C4DBD" w:rsidRPr="00A01A6F">
        <w:rPr>
          <w:rFonts w:ascii="Times New Roman" w:hAnsi="Times New Roman" w:cs="Times New Roman"/>
          <w:bCs/>
          <w:sz w:val="24"/>
        </w:rPr>
        <w:t xml:space="preserve">) only </w:t>
      </w:r>
      <w:r w:rsidR="00516D85">
        <w:rPr>
          <w:rFonts w:ascii="Times New Roman" w:hAnsi="Times New Roman" w:cs="Times New Roman"/>
          <w:bCs/>
          <w:sz w:val="24"/>
        </w:rPr>
        <w:t>own funds</w:t>
      </w:r>
      <w:r w:rsidR="00516D85" w:rsidRPr="00D811FA">
        <w:rPr>
          <w:rFonts w:ascii="Times New Roman" w:hAnsi="Times New Roman" w:cs="Times New Roman"/>
          <w:bCs/>
          <w:sz w:val="24"/>
        </w:rPr>
        <w:t xml:space="preserve"> </w:t>
      </w:r>
      <w:r w:rsidR="001C4DBD" w:rsidRPr="00D811FA">
        <w:rPr>
          <w:rFonts w:ascii="Times New Roman" w:hAnsi="Times New Roman" w:cs="Times New Roman"/>
          <w:bCs/>
          <w:sz w:val="24"/>
        </w:rPr>
        <w:t xml:space="preserve">(but not </w:t>
      </w:r>
      <w:r w:rsidR="00DB0E3D" w:rsidRPr="00D811FA">
        <w:rPr>
          <w:rFonts w:ascii="Times New Roman" w:hAnsi="Times New Roman" w:cs="Times New Roman"/>
          <w:bCs/>
          <w:sz w:val="24"/>
        </w:rPr>
        <w:t>eligible liabilities</w:t>
      </w:r>
      <w:r w:rsidR="001C4DBD" w:rsidRPr="00D811FA">
        <w:rPr>
          <w:rFonts w:ascii="Times New Roman" w:hAnsi="Times New Roman" w:cs="Times New Roman"/>
          <w:bCs/>
          <w:sz w:val="24"/>
        </w:rPr>
        <w:t xml:space="preserve">) requirements; (ii) both </w:t>
      </w:r>
      <w:r w:rsidR="00516D85">
        <w:rPr>
          <w:rFonts w:ascii="Times New Roman" w:hAnsi="Times New Roman" w:cs="Times New Roman"/>
          <w:bCs/>
          <w:sz w:val="24"/>
        </w:rPr>
        <w:t>own funds</w:t>
      </w:r>
      <w:r w:rsidR="00516D85" w:rsidRPr="00D811FA">
        <w:rPr>
          <w:rFonts w:ascii="Times New Roman" w:hAnsi="Times New Roman" w:cs="Times New Roman"/>
          <w:bCs/>
          <w:sz w:val="24"/>
        </w:rPr>
        <w:t xml:space="preserve"> </w:t>
      </w:r>
      <w:r w:rsidR="001C4DBD" w:rsidRPr="00D811FA">
        <w:rPr>
          <w:rFonts w:ascii="Times New Roman" w:hAnsi="Times New Roman" w:cs="Times New Roman"/>
          <w:bCs/>
          <w:sz w:val="24"/>
        </w:rPr>
        <w:t xml:space="preserve">and </w:t>
      </w:r>
      <w:r w:rsidR="00DB0E3D" w:rsidRPr="00D811FA">
        <w:rPr>
          <w:rFonts w:ascii="Times New Roman" w:hAnsi="Times New Roman" w:cs="Times New Roman"/>
          <w:bCs/>
          <w:sz w:val="24"/>
        </w:rPr>
        <w:t>eligible liabilities</w:t>
      </w:r>
      <w:r w:rsidR="001C4DBD" w:rsidRPr="00D811FA">
        <w:rPr>
          <w:rFonts w:ascii="Times New Roman" w:hAnsi="Times New Roman" w:cs="Times New Roman"/>
          <w:bCs/>
          <w:sz w:val="24"/>
        </w:rPr>
        <w:t xml:space="preserve"> requirements; or (iii) only </w:t>
      </w:r>
      <w:r w:rsidR="00DB0E3D" w:rsidRPr="00D811FA">
        <w:rPr>
          <w:rFonts w:ascii="Times New Roman" w:hAnsi="Times New Roman" w:cs="Times New Roman"/>
          <w:bCs/>
          <w:sz w:val="24"/>
        </w:rPr>
        <w:t>eligible liabilities</w:t>
      </w:r>
      <w:r w:rsidR="001C4DBD" w:rsidRPr="00D811FA">
        <w:rPr>
          <w:rFonts w:ascii="Times New Roman" w:hAnsi="Times New Roman" w:cs="Times New Roman"/>
          <w:bCs/>
          <w:sz w:val="24"/>
        </w:rPr>
        <w:t xml:space="preserve"> (but</w:t>
      </w:r>
      <w:r w:rsidR="00DB0E3D" w:rsidRPr="00D811FA">
        <w:rPr>
          <w:rFonts w:ascii="Times New Roman" w:hAnsi="Times New Roman" w:cs="Times New Roman"/>
          <w:bCs/>
          <w:sz w:val="24"/>
        </w:rPr>
        <w:t xml:space="preserve"> </w:t>
      </w:r>
      <w:r w:rsidR="001C4DBD" w:rsidRPr="00D811FA">
        <w:rPr>
          <w:rFonts w:ascii="Times New Roman" w:hAnsi="Times New Roman" w:cs="Times New Roman"/>
          <w:bCs/>
          <w:sz w:val="24"/>
        </w:rPr>
        <w:t xml:space="preserve">not </w:t>
      </w:r>
      <w:r w:rsidR="00516D85">
        <w:rPr>
          <w:rFonts w:ascii="Times New Roman" w:hAnsi="Times New Roman" w:cs="Times New Roman"/>
          <w:bCs/>
          <w:sz w:val="24"/>
        </w:rPr>
        <w:t>own funds</w:t>
      </w:r>
      <w:r w:rsidR="001C4DBD" w:rsidRPr="00A01A6F">
        <w:rPr>
          <w:rFonts w:ascii="Times New Roman" w:hAnsi="Times New Roman" w:cs="Times New Roman"/>
          <w:bCs/>
          <w:sz w:val="24"/>
        </w:rPr>
        <w:t>) requirements</w:t>
      </w:r>
      <w:r w:rsidR="00DB0E3D" w:rsidRPr="00A01A6F">
        <w:rPr>
          <w:rFonts w:ascii="Times New Roman" w:hAnsi="Times New Roman" w:cs="Times New Roman"/>
          <w:bCs/>
          <w:sz w:val="24"/>
        </w:rPr>
        <w:t>.</w:t>
      </w:r>
      <w:r w:rsidR="001C4DBD" w:rsidRPr="00A01A6F">
        <w:rPr>
          <w:rFonts w:ascii="Times New Roman" w:hAnsi="Times New Roman" w:cs="Times New Roman"/>
          <w:bCs/>
          <w:sz w:val="24"/>
        </w:rPr>
        <w:tab/>
      </w:r>
    </w:p>
    <w:p w14:paraId="4E71F401" w14:textId="668A75F1" w:rsidR="008E0B40" w:rsidRPr="00A01A6F" w:rsidRDefault="008E0B40" w:rsidP="00FC5DAA">
      <w:pPr>
        <w:numPr>
          <w:ilvl w:val="0"/>
          <w:numId w:val="11"/>
        </w:numPr>
        <w:spacing w:before="120" w:after="120"/>
        <w:ind w:left="357" w:hanging="357"/>
        <w:jc w:val="both"/>
        <w:rPr>
          <w:rFonts w:ascii="Times New Roman" w:hAnsi="Times New Roman" w:cs="Times New Roman"/>
          <w:bCs/>
          <w:sz w:val="24"/>
        </w:rPr>
      </w:pPr>
      <w:r>
        <w:rPr>
          <w:rFonts w:ascii="Times New Roman" w:hAnsi="Times New Roman" w:cs="Times New Roman"/>
          <w:bCs/>
          <w:sz w:val="24"/>
        </w:rPr>
        <w:t xml:space="preserve">In relation to eligible liabilities instruments that are not subordinated to </w:t>
      </w:r>
      <w:proofErr w:type="gramStart"/>
      <w:r>
        <w:rPr>
          <w:rFonts w:ascii="Times New Roman" w:hAnsi="Times New Roman" w:cs="Times New Roman"/>
          <w:bCs/>
          <w:sz w:val="24"/>
        </w:rPr>
        <w:t>excluded</w:t>
      </w:r>
      <w:proofErr w:type="gramEnd"/>
      <w:r>
        <w:rPr>
          <w:rFonts w:ascii="Times New Roman" w:hAnsi="Times New Roman" w:cs="Times New Roman"/>
          <w:bCs/>
          <w:sz w:val="24"/>
        </w:rPr>
        <w:t xml:space="preserve"> liabilities, institutions shall disclose only securities which are fungible, </w:t>
      </w:r>
      <w:r w:rsidRPr="00EF47A4">
        <w:rPr>
          <w:rFonts w:ascii="Times New Roman" w:hAnsi="Times New Roman" w:cs="Times New Roman"/>
          <w:bCs/>
          <w:sz w:val="24"/>
        </w:rPr>
        <w:t>negotiable financial instrument</w:t>
      </w:r>
      <w:r>
        <w:rPr>
          <w:rFonts w:ascii="Times New Roman" w:hAnsi="Times New Roman" w:cs="Times New Roman"/>
          <w:bCs/>
          <w:sz w:val="24"/>
        </w:rPr>
        <w:t>s, at the exclusion of loans and deposits.</w:t>
      </w:r>
    </w:p>
    <w:p w14:paraId="25F640E5" w14:textId="77777777" w:rsidR="009658DE" w:rsidRPr="00A01A6F" w:rsidRDefault="009658DE" w:rsidP="009658DE">
      <w:pPr>
        <w:rPr>
          <w:rFonts w:ascii="Times New Roman" w:hAnsi="Times New Roman" w:cs="Times New Roman"/>
          <w:sz w:val="24"/>
        </w:rPr>
      </w:pPr>
    </w:p>
    <w:tbl>
      <w:tblPr>
        <w:tblW w:w="94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8711"/>
      </w:tblGrid>
      <w:tr w:rsidR="009658DE" w:rsidRPr="00A95602" w14:paraId="524B5BB4" w14:textId="77777777" w:rsidTr="00A01A6F">
        <w:trPr>
          <w:trHeight w:val="259"/>
        </w:trPr>
        <w:tc>
          <w:tcPr>
            <w:tcW w:w="9487" w:type="dxa"/>
            <w:gridSpan w:val="2"/>
            <w:shd w:val="clear" w:color="auto" w:fill="D9D9D9" w:themeFill="background1" w:themeFillShade="D9"/>
          </w:tcPr>
          <w:p w14:paraId="73244A82" w14:textId="42796C39" w:rsidR="009658DE" w:rsidRPr="00A01A6F" w:rsidRDefault="009658DE" w:rsidP="00516D85">
            <w:pPr>
              <w:rPr>
                <w:rFonts w:ascii="Times New Roman" w:eastAsia="Times New Roman" w:hAnsi="Times New Roman" w:cs="Times New Roman"/>
                <w:b/>
                <w:bCs/>
                <w:color w:val="000000"/>
                <w:sz w:val="24"/>
                <w:lang w:val="en-GB" w:eastAsia="ja-JP"/>
              </w:rPr>
            </w:pPr>
            <w:r w:rsidRPr="00A01A6F">
              <w:rPr>
                <w:rFonts w:ascii="Times New Roman" w:eastAsia="Times New Roman" w:hAnsi="Times New Roman" w:cs="Times New Roman"/>
                <w:b/>
                <w:bCs/>
                <w:color w:val="000000"/>
                <w:sz w:val="24"/>
                <w:lang w:val="en-GB" w:eastAsia="ja-JP"/>
              </w:rPr>
              <w:t xml:space="preserve">Instructions for completing the </w:t>
            </w:r>
            <w:r w:rsidR="00516D85">
              <w:rPr>
                <w:rFonts w:ascii="Times New Roman" w:eastAsia="Times New Roman" w:hAnsi="Times New Roman" w:cs="Times New Roman"/>
                <w:b/>
                <w:bCs/>
                <w:color w:val="000000"/>
                <w:sz w:val="24"/>
                <w:lang w:val="en-GB" w:eastAsia="ja-JP"/>
              </w:rPr>
              <w:t>regulatory own funds</w:t>
            </w:r>
            <w:r w:rsidR="00516D85" w:rsidRPr="00A01A6F">
              <w:rPr>
                <w:rFonts w:ascii="Times New Roman" w:eastAsia="Times New Roman" w:hAnsi="Times New Roman" w:cs="Times New Roman"/>
                <w:b/>
                <w:bCs/>
                <w:color w:val="000000"/>
                <w:sz w:val="24"/>
                <w:lang w:val="en-GB" w:eastAsia="ja-JP"/>
              </w:rPr>
              <w:t xml:space="preserve"> </w:t>
            </w:r>
            <w:r w:rsidR="009B6F48">
              <w:rPr>
                <w:rFonts w:ascii="Times New Roman" w:eastAsia="Times New Roman" w:hAnsi="Times New Roman" w:cs="Times New Roman"/>
                <w:b/>
                <w:bCs/>
                <w:color w:val="000000"/>
                <w:sz w:val="24"/>
                <w:lang w:val="en-GB" w:eastAsia="ja-JP"/>
              </w:rPr>
              <w:t xml:space="preserve">and eligible liabilities </w:t>
            </w:r>
            <w:r w:rsidRPr="00A01A6F">
              <w:rPr>
                <w:rFonts w:ascii="Times New Roman" w:eastAsia="Times New Roman" w:hAnsi="Times New Roman" w:cs="Times New Roman"/>
                <w:b/>
                <w:bCs/>
                <w:color w:val="000000"/>
                <w:sz w:val="24"/>
                <w:lang w:val="en-GB" w:eastAsia="ja-JP"/>
              </w:rPr>
              <w:t xml:space="preserve">instruments main features </w:t>
            </w:r>
            <w:r w:rsidR="00BE4814">
              <w:rPr>
                <w:rFonts w:ascii="Times New Roman" w:eastAsia="Times New Roman" w:hAnsi="Times New Roman" w:cs="Times New Roman"/>
                <w:b/>
                <w:bCs/>
                <w:color w:val="000000"/>
                <w:sz w:val="24"/>
                <w:lang w:val="en-GB" w:eastAsia="ja-JP"/>
              </w:rPr>
              <w:t>table</w:t>
            </w:r>
          </w:p>
        </w:tc>
      </w:tr>
      <w:tr w:rsidR="00516D85" w:rsidRPr="00A95602" w14:paraId="30732083" w14:textId="77777777" w:rsidTr="00123F9E">
        <w:trPr>
          <w:trHeight w:val="259"/>
        </w:trPr>
        <w:tc>
          <w:tcPr>
            <w:tcW w:w="776" w:type="dxa"/>
            <w:shd w:val="clear" w:color="auto" w:fill="D9D9D9" w:themeFill="background1" w:themeFillShade="D9"/>
            <w:vAlign w:val="center"/>
          </w:tcPr>
          <w:p w14:paraId="578DA64A" w14:textId="398417E2" w:rsidR="00516D85" w:rsidRPr="00123F9E" w:rsidRDefault="00516D85" w:rsidP="00123F9E">
            <w:pPr>
              <w:rPr>
                <w:rFonts w:ascii="Times New Roman" w:eastAsia="Times New Roman" w:hAnsi="Times New Roman" w:cs="Times New Roman"/>
                <w:b/>
                <w:bCs/>
                <w:color w:val="000000"/>
                <w:sz w:val="24"/>
                <w:lang w:val="en-GB" w:eastAsia="ja-JP"/>
              </w:rPr>
            </w:pPr>
            <w:r w:rsidRPr="00123F9E">
              <w:rPr>
                <w:rFonts w:ascii="Times New Roman" w:eastAsia="Times New Roman" w:hAnsi="Times New Roman" w:cs="Times New Roman"/>
                <w:b/>
                <w:bCs/>
                <w:color w:val="000000"/>
                <w:sz w:val="24"/>
                <w:lang w:val="en-GB" w:eastAsia="ja-JP"/>
              </w:rPr>
              <w:t>Row number</w:t>
            </w:r>
          </w:p>
        </w:tc>
        <w:tc>
          <w:tcPr>
            <w:tcW w:w="8711" w:type="dxa"/>
            <w:shd w:val="clear" w:color="auto" w:fill="D9D9D9" w:themeFill="background1" w:themeFillShade="D9"/>
            <w:noWrap/>
            <w:vAlign w:val="bottom"/>
          </w:tcPr>
          <w:p w14:paraId="70315ABE" w14:textId="07C959BF" w:rsidR="00516D85" w:rsidRPr="00123F9E" w:rsidRDefault="00516D85" w:rsidP="00123F9E">
            <w:pPr>
              <w:rPr>
                <w:rFonts w:ascii="Times New Roman" w:eastAsia="Times New Roman" w:hAnsi="Times New Roman" w:cs="Times New Roman"/>
                <w:b/>
                <w:bCs/>
                <w:color w:val="000000"/>
                <w:sz w:val="24"/>
                <w:lang w:val="en-GB" w:eastAsia="ja-JP"/>
              </w:rPr>
            </w:pPr>
            <w:r w:rsidRPr="00123F9E">
              <w:rPr>
                <w:rFonts w:ascii="Times New Roman" w:eastAsia="Times New Roman" w:hAnsi="Times New Roman" w:cs="Times New Roman"/>
                <w:b/>
                <w:bCs/>
                <w:color w:val="000000"/>
                <w:sz w:val="24"/>
                <w:lang w:val="en-GB" w:eastAsia="ja-JP"/>
              </w:rPr>
              <w:t>Explanation</w:t>
            </w:r>
          </w:p>
        </w:tc>
      </w:tr>
      <w:tr w:rsidR="009658DE" w:rsidRPr="00A95602" w14:paraId="3EBF7E04" w14:textId="77777777" w:rsidTr="001B66D7">
        <w:trPr>
          <w:trHeight w:val="259"/>
        </w:trPr>
        <w:tc>
          <w:tcPr>
            <w:tcW w:w="776" w:type="dxa"/>
            <w:vAlign w:val="center"/>
          </w:tcPr>
          <w:p w14:paraId="3009F99C"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w:t>
            </w:r>
          </w:p>
        </w:tc>
        <w:tc>
          <w:tcPr>
            <w:tcW w:w="8711" w:type="dxa"/>
            <w:shd w:val="clear" w:color="auto" w:fill="auto"/>
            <w:noWrap/>
            <w:vAlign w:val="bottom"/>
          </w:tcPr>
          <w:p w14:paraId="09B99AC2"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Identifies issuer legal entity.</w:t>
            </w:r>
          </w:p>
          <w:p w14:paraId="3072CA16"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9658DE" w:rsidRPr="00A95602" w14:paraId="632AB141" w14:textId="77777777" w:rsidTr="001B66D7">
        <w:trPr>
          <w:trHeight w:val="259"/>
        </w:trPr>
        <w:tc>
          <w:tcPr>
            <w:tcW w:w="776" w:type="dxa"/>
            <w:vAlign w:val="center"/>
          </w:tcPr>
          <w:p w14:paraId="535238FE"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w:t>
            </w:r>
          </w:p>
        </w:tc>
        <w:tc>
          <w:tcPr>
            <w:tcW w:w="8711" w:type="dxa"/>
            <w:shd w:val="clear" w:color="auto" w:fill="auto"/>
            <w:noWrap/>
            <w:vAlign w:val="bottom"/>
          </w:tcPr>
          <w:p w14:paraId="14614470"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Unique identifier (e.g. CUSIP, ISIN or Bloomberg identifier for private placement).</w:t>
            </w:r>
          </w:p>
          <w:p w14:paraId="728B4032"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Free text</w:t>
            </w:r>
          </w:p>
        </w:tc>
      </w:tr>
      <w:tr w:rsidR="009B6F48" w:rsidRPr="009658DE" w14:paraId="5E8C812B" w14:textId="77777777" w:rsidTr="00BE4814">
        <w:trPr>
          <w:trHeight w:val="259"/>
        </w:trPr>
        <w:tc>
          <w:tcPr>
            <w:tcW w:w="776" w:type="dxa"/>
            <w:vAlign w:val="center"/>
          </w:tcPr>
          <w:p w14:paraId="13E1B407" w14:textId="77777777" w:rsidR="009B6F48" w:rsidRPr="00A01A6F" w:rsidRDefault="009B6F48" w:rsidP="00BE4814">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2a</w:t>
            </w:r>
          </w:p>
        </w:tc>
        <w:tc>
          <w:tcPr>
            <w:tcW w:w="8711" w:type="dxa"/>
            <w:shd w:val="clear" w:color="auto" w:fill="auto"/>
            <w:noWrap/>
            <w:vAlign w:val="bottom"/>
          </w:tcPr>
          <w:p w14:paraId="54C41C3A" w14:textId="77777777" w:rsidR="009B6F48" w:rsidRPr="00A01A6F" w:rsidRDefault="009B6F48" w:rsidP="00970F55">
            <w:pPr>
              <w:autoSpaceDE w:val="0"/>
              <w:autoSpaceDN w:val="0"/>
              <w:adjustRightInd w:val="0"/>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if the instrument </w:t>
            </w:r>
            <w:proofErr w:type="gramStart"/>
            <w:r w:rsidRPr="00A01A6F">
              <w:rPr>
                <w:rFonts w:ascii="Times New Roman" w:eastAsia="Times New Roman" w:hAnsi="Times New Roman" w:cs="Times New Roman"/>
                <w:sz w:val="24"/>
                <w:lang w:eastAsia="ja-JP"/>
              </w:rPr>
              <w:t>has been publicly or privately placed</w:t>
            </w:r>
            <w:proofErr w:type="gramEnd"/>
            <w:r w:rsidRPr="00A01A6F">
              <w:rPr>
                <w:rFonts w:ascii="Times New Roman" w:eastAsia="Times New Roman" w:hAnsi="Times New Roman" w:cs="Times New Roman"/>
                <w:sz w:val="24"/>
                <w:lang w:eastAsia="ja-JP"/>
              </w:rPr>
              <w:t>.</w:t>
            </w:r>
          </w:p>
          <w:p w14:paraId="027BB2F1" w14:textId="77777777" w:rsidR="009B6F48" w:rsidRPr="00A01A6F" w:rsidRDefault="009B6F48"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Select from menu: [Public] [Private]</w:t>
            </w:r>
          </w:p>
        </w:tc>
      </w:tr>
      <w:tr w:rsidR="009658DE" w:rsidRPr="00A95602" w14:paraId="0BA4119C" w14:textId="77777777" w:rsidTr="001B66D7">
        <w:trPr>
          <w:trHeight w:val="259"/>
        </w:trPr>
        <w:tc>
          <w:tcPr>
            <w:tcW w:w="776" w:type="dxa"/>
            <w:vAlign w:val="center"/>
          </w:tcPr>
          <w:p w14:paraId="77DEE473"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w:t>
            </w:r>
          </w:p>
        </w:tc>
        <w:tc>
          <w:tcPr>
            <w:tcW w:w="8711" w:type="dxa"/>
            <w:shd w:val="clear" w:color="auto" w:fill="auto"/>
            <w:noWrap/>
            <w:vAlign w:val="bottom"/>
          </w:tcPr>
          <w:p w14:paraId="3CEF07D0" w14:textId="77777777" w:rsidR="009658DE" w:rsidRPr="00A01A6F" w:rsidRDefault="009658DE" w:rsidP="00970F55">
            <w:pPr>
              <w:autoSpaceDE w:val="0"/>
              <w:autoSpaceDN w:val="0"/>
              <w:adjustRightInd w:val="0"/>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the governing law(s) of the instrument. </w:t>
            </w:r>
          </w:p>
          <w:p w14:paraId="390B901A"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 xml:space="preserve">Free text </w:t>
            </w:r>
          </w:p>
        </w:tc>
      </w:tr>
      <w:tr w:rsidR="00407E31" w:rsidRPr="00407E31" w14:paraId="5077D1B0" w14:textId="77777777" w:rsidTr="001B66D7">
        <w:trPr>
          <w:trHeight w:val="259"/>
        </w:trPr>
        <w:tc>
          <w:tcPr>
            <w:tcW w:w="776" w:type="dxa"/>
            <w:vAlign w:val="center"/>
          </w:tcPr>
          <w:p w14:paraId="3044512F"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3a</w:t>
            </w:r>
          </w:p>
        </w:tc>
        <w:tc>
          <w:tcPr>
            <w:tcW w:w="8711" w:type="dxa"/>
            <w:shd w:val="clear" w:color="auto" w:fill="auto"/>
            <w:noWrap/>
            <w:vAlign w:val="bottom"/>
          </w:tcPr>
          <w:p w14:paraId="47EB44CD" w14:textId="6D6E6294" w:rsidR="009658DE" w:rsidRDefault="004A6748" w:rsidP="00970F55">
            <w:pPr>
              <w:autoSpaceDE w:val="0"/>
              <w:autoSpaceDN w:val="0"/>
              <w:adjustRightInd w:val="0"/>
              <w:spacing w:after="200" w:line="276" w:lineRule="auto"/>
              <w:jc w:val="both"/>
              <w:rPr>
                <w:rFonts w:ascii="Times New Roman" w:eastAsia="Times New Roman" w:hAnsi="Times New Roman" w:cs="Times New Roman"/>
                <w:sz w:val="24"/>
                <w:lang w:val="en-GB" w:eastAsia="en-GB"/>
              </w:rPr>
            </w:pPr>
            <w:r w:rsidRPr="004A6748">
              <w:rPr>
                <w:rFonts w:ascii="Times New Roman" w:eastAsia="Times New Roman" w:hAnsi="Times New Roman" w:cs="Times New Roman"/>
                <w:sz w:val="24"/>
                <w:lang w:val="en-GB" w:eastAsia="en-GB"/>
              </w:rPr>
              <w:t>Contractual recognition of write down and conversion powers of resolution authorities</w:t>
            </w:r>
          </w:p>
          <w:p w14:paraId="228844AB" w14:textId="17E2C7E0" w:rsidR="004A6748" w:rsidRPr="004A6748" w:rsidRDefault="009874AC" w:rsidP="00970F55">
            <w:pPr>
              <w:autoSpaceDE w:val="0"/>
              <w:autoSpaceDN w:val="0"/>
              <w:adjustRightInd w:val="0"/>
              <w:spacing w:after="200" w:line="276" w:lineRule="auto"/>
              <w:jc w:val="both"/>
              <w:rPr>
                <w:rFonts w:ascii="Times New Roman" w:eastAsia="Times New Roman" w:hAnsi="Times New Roman" w:cs="Times New Roman"/>
                <w:sz w:val="24"/>
                <w:lang w:val="en-GB" w:eastAsia="en-GB"/>
              </w:rPr>
            </w:pPr>
            <w:r>
              <w:rPr>
                <w:rFonts w:ascii="Times New Roman" w:eastAsia="Times New Roman" w:hAnsi="Times New Roman" w:cs="Times New Roman"/>
                <w:sz w:val="24"/>
                <w:lang w:val="en-GB" w:eastAsia="en-GB"/>
              </w:rPr>
              <w:t>S</w:t>
            </w:r>
            <w:r w:rsidR="004A6748" w:rsidRPr="004A6748">
              <w:rPr>
                <w:rFonts w:ascii="Times New Roman" w:eastAsia="Times New Roman" w:hAnsi="Times New Roman" w:cs="Times New Roman"/>
                <w:sz w:val="24"/>
                <w:lang w:val="en-GB" w:eastAsia="en-GB"/>
              </w:rPr>
              <w:t xml:space="preserve">pecifies whether the instrument contains a clause whereby, upon decision by a resolution authority or a relevant third country authority, the principal amount of the instruments is to be written down on a permanent basis or the instruments are to be converted into </w:t>
            </w:r>
            <w:r w:rsidR="004A6748" w:rsidRPr="004A6748">
              <w:rPr>
                <w:rFonts w:ascii="Times New Roman" w:eastAsia="Times New Roman" w:hAnsi="Times New Roman" w:cs="Times New Roman"/>
                <w:sz w:val="24"/>
                <w:lang w:val="en-GB" w:eastAsia="en-GB"/>
              </w:rPr>
              <w:lastRenderedPageBreak/>
              <w:t>Common Equity Tier 1 instruments, in the meaning, where applicable, of the following provisions:</w:t>
            </w:r>
          </w:p>
          <w:p w14:paraId="60BF0772" w14:textId="0C9DB77A" w:rsidR="004A6748" w:rsidRPr="004A6748" w:rsidRDefault="004A6748" w:rsidP="00970F55">
            <w:pPr>
              <w:autoSpaceDE w:val="0"/>
              <w:autoSpaceDN w:val="0"/>
              <w:adjustRightInd w:val="0"/>
              <w:spacing w:after="200" w:line="276" w:lineRule="auto"/>
              <w:jc w:val="both"/>
              <w:rPr>
                <w:rFonts w:ascii="Times New Roman" w:eastAsia="Times New Roman" w:hAnsi="Times New Roman" w:cs="Times New Roman"/>
                <w:sz w:val="24"/>
                <w:lang w:val="en-GB" w:eastAsia="en-GB"/>
              </w:rPr>
            </w:pPr>
            <w:r w:rsidRPr="004A6748">
              <w:rPr>
                <w:rFonts w:ascii="Times New Roman" w:eastAsia="Times New Roman" w:hAnsi="Times New Roman" w:cs="Times New Roman"/>
                <w:sz w:val="24"/>
                <w:lang w:val="en-GB" w:eastAsia="en-GB"/>
              </w:rPr>
              <w:t>-</w:t>
            </w:r>
            <w:r w:rsidR="009874AC">
              <w:rPr>
                <w:rFonts w:ascii="Times New Roman" w:eastAsia="Times New Roman" w:hAnsi="Times New Roman" w:cs="Times New Roman"/>
                <w:sz w:val="24"/>
                <w:lang w:val="en-GB" w:eastAsia="en-GB"/>
              </w:rPr>
              <w:t xml:space="preserve"> </w:t>
            </w:r>
            <w:r w:rsidRPr="004A6748">
              <w:rPr>
                <w:rFonts w:ascii="Times New Roman" w:eastAsia="Times New Roman" w:hAnsi="Times New Roman" w:cs="Times New Roman"/>
                <w:sz w:val="24"/>
                <w:lang w:val="en-GB" w:eastAsia="en-GB"/>
              </w:rPr>
              <w:t>In relation to Additional Tier 1 instruments, Article 52(1)(p)</w:t>
            </w:r>
            <w:r w:rsidR="00BD6709">
              <w:rPr>
                <w:rFonts w:ascii="Times New Roman" w:eastAsia="Times New Roman" w:hAnsi="Times New Roman" w:cs="Times New Roman"/>
                <w:sz w:val="24"/>
                <w:lang w:val="en-GB" w:eastAsia="en-GB"/>
              </w:rPr>
              <w:t xml:space="preserve"> of CRR</w:t>
            </w:r>
            <w:r w:rsidR="009874AC">
              <w:rPr>
                <w:rFonts w:ascii="Times New Roman" w:eastAsia="Times New Roman" w:hAnsi="Times New Roman" w:cs="Times New Roman"/>
                <w:sz w:val="24"/>
                <w:lang w:val="en-GB" w:eastAsia="en-GB"/>
              </w:rPr>
              <w:t>;</w:t>
            </w:r>
          </w:p>
          <w:p w14:paraId="78313078" w14:textId="19947872" w:rsidR="004A6748" w:rsidRDefault="004A6748" w:rsidP="00970F55">
            <w:pPr>
              <w:autoSpaceDE w:val="0"/>
              <w:autoSpaceDN w:val="0"/>
              <w:adjustRightInd w:val="0"/>
              <w:spacing w:after="200" w:line="276" w:lineRule="auto"/>
              <w:jc w:val="both"/>
              <w:rPr>
                <w:rFonts w:ascii="Times New Roman" w:eastAsia="Times New Roman" w:hAnsi="Times New Roman" w:cs="Times New Roman"/>
                <w:sz w:val="24"/>
                <w:lang w:val="en-GB" w:eastAsia="en-GB"/>
              </w:rPr>
            </w:pPr>
            <w:r w:rsidRPr="004A6748">
              <w:rPr>
                <w:rFonts w:ascii="Times New Roman" w:eastAsia="Times New Roman" w:hAnsi="Times New Roman" w:cs="Times New Roman"/>
                <w:sz w:val="24"/>
                <w:lang w:val="en-GB" w:eastAsia="en-GB"/>
              </w:rPr>
              <w:t>-</w:t>
            </w:r>
            <w:r w:rsidR="009874AC">
              <w:rPr>
                <w:rFonts w:ascii="Times New Roman" w:eastAsia="Times New Roman" w:hAnsi="Times New Roman" w:cs="Times New Roman"/>
                <w:sz w:val="24"/>
                <w:lang w:val="en-GB" w:eastAsia="en-GB"/>
              </w:rPr>
              <w:t xml:space="preserve"> </w:t>
            </w:r>
            <w:r w:rsidRPr="004A6748">
              <w:rPr>
                <w:rFonts w:ascii="Times New Roman" w:eastAsia="Times New Roman" w:hAnsi="Times New Roman" w:cs="Times New Roman"/>
                <w:sz w:val="24"/>
                <w:lang w:val="en-GB" w:eastAsia="en-GB"/>
              </w:rPr>
              <w:t>In relation to Tier</w:t>
            </w:r>
            <w:r w:rsidR="009874AC">
              <w:rPr>
                <w:rFonts w:ascii="Times New Roman" w:eastAsia="Times New Roman" w:hAnsi="Times New Roman" w:cs="Times New Roman"/>
                <w:sz w:val="24"/>
                <w:lang w:val="en-GB" w:eastAsia="en-GB"/>
              </w:rPr>
              <w:t xml:space="preserve"> </w:t>
            </w:r>
            <w:r w:rsidRPr="004A6748">
              <w:rPr>
                <w:rFonts w:ascii="Times New Roman" w:eastAsia="Times New Roman" w:hAnsi="Times New Roman" w:cs="Times New Roman"/>
                <w:sz w:val="24"/>
                <w:lang w:val="en-GB" w:eastAsia="en-GB"/>
              </w:rPr>
              <w:t>2 instruments, Article 63 (n) or (o);</w:t>
            </w:r>
          </w:p>
          <w:p w14:paraId="27F99881" w14:textId="4A6EDD66" w:rsidR="009874AC" w:rsidRDefault="009874AC" w:rsidP="00970F55">
            <w:pPr>
              <w:autoSpaceDE w:val="0"/>
              <w:autoSpaceDN w:val="0"/>
              <w:adjustRightInd w:val="0"/>
              <w:spacing w:after="200" w:line="276" w:lineRule="auto"/>
              <w:jc w:val="both"/>
              <w:rPr>
                <w:rFonts w:ascii="Times New Roman" w:eastAsia="Times New Roman" w:hAnsi="Times New Roman" w:cs="Times New Roman"/>
                <w:sz w:val="24"/>
                <w:lang w:val="en-GB" w:eastAsia="en-GB"/>
              </w:rPr>
            </w:pPr>
            <w:r>
              <w:rPr>
                <w:rFonts w:ascii="Times New Roman" w:eastAsia="Times New Roman" w:hAnsi="Times New Roman" w:cs="Times New Roman"/>
                <w:sz w:val="24"/>
                <w:lang w:val="en-GB" w:eastAsia="en-GB"/>
              </w:rPr>
              <w:t>- I</w:t>
            </w:r>
            <w:r w:rsidRPr="009874AC">
              <w:rPr>
                <w:rFonts w:ascii="Times New Roman" w:eastAsia="Times New Roman" w:hAnsi="Times New Roman" w:cs="Times New Roman"/>
                <w:sz w:val="24"/>
                <w:lang w:val="en-GB" w:eastAsia="en-GB"/>
              </w:rPr>
              <w:t>n relation to eligible liabilities, Article 72b(2)(n)</w:t>
            </w:r>
            <w:r>
              <w:rPr>
                <w:rFonts w:ascii="Times New Roman" w:eastAsia="Times New Roman" w:hAnsi="Times New Roman" w:cs="Times New Roman"/>
                <w:sz w:val="24"/>
                <w:lang w:val="en-GB" w:eastAsia="en-GB"/>
              </w:rPr>
              <w:t>;</w:t>
            </w:r>
          </w:p>
          <w:p w14:paraId="1A307950" w14:textId="1A43430D" w:rsidR="009874AC" w:rsidRPr="00A01A6F" w:rsidRDefault="009874AC" w:rsidP="00970F55">
            <w:pPr>
              <w:autoSpaceDE w:val="0"/>
              <w:autoSpaceDN w:val="0"/>
              <w:adjustRightInd w:val="0"/>
              <w:spacing w:after="200" w:line="276" w:lineRule="auto"/>
              <w:jc w:val="both"/>
              <w:rPr>
                <w:rFonts w:ascii="Times New Roman" w:eastAsia="Times New Roman" w:hAnsi="Times New Roman" w:cs="Times New Roman"/>
                <w:sz w:val="24"/>
                <w:lang w:val="en-GB" w:eastAsia="en-GB"/>
              </w:rPr>
            </w:pPr>
            <w:r>
              <w:rPr>
                <w:rFonts w:ascii="Times New Roman" w:eastAsia="Times New Roman" w:hAnsi="Times New Roman" w:cs="Times New Roman"/>
                <w:sz w:val="24"/>
                <w:lang w:val="en-GB" w:eastAsia="en-GB"/>
              </w:rPr>
              <w:t>- I</w:t>
            </w:r>
            <w:r w:rsidRPr="009874AC">
              <w:rPr>
                <w:rFonts w:ascii="Times New Roman" w:eastAsia="Times New Roman" w:hAnsi="Times New Roman" w:cs="Times New Roman"/>
                <w:sz w:val="24"/>
                <w:lang w:val="en-GB" w:eastAsia="en-GB"/>
              </w:rPr>
              <w:t>n relation to any of the above and governed by third country law, Article 55 of the BRRD.</w:t>
            </w:r>
          </w:p>
          <w:p w14:paraId="051DC645" w14:textId="77777777" w:rsidR="009874AC" w:rsidRPr="00A01A6F" w:rsidRDefault="009874AC"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A write down and conversion may be both compliant with Article 55 BRRD and any of the first three indents.</w:t>
            </w:r>
          </w:p>
          <w:p w14:paraId="56853CBC" w14:textId="4D2F7E13" w:rsidR="009658DE" w:rsidRPr="00123F9E" w:rsidRDefault="00123F9E" w:rsidP="00970F55">
            <w:pPr>
              <w:spacing w:after="200" w:line="276" w:lineRule="auto"/>
              <w:jc w:val="both"/>
              <w:rPr>
                <w:rFonts w:ascii="Times New Roman" w:eastAsia="Times New Roman" w:hAnsi="Times New Roman" w:cs="Times New Roman"/>
                <w:i/>
                <w:sz w:val="24"/>
                <w:lang w:eastAsia="ja-JP"/>
              </w:rPr>
            </w:pPr>
            <w:r>
              <w:rPr>
                <w:rFonts w:ascii="Times New Roman" w:eastAsia="Times New Roman" w:hAnsi="Times New Roman" w:cs="Times New Roman"/>
                <w:i/>
                <w:sz w:val="24"/>
                <w:lang w:eastAsia="ja-JP"/>
              </w:rPr>
              <w:t>Select from menu: [YES] [NO]</w:t>
            </w:r>
          </w:p>
        </w:tc>
      </w:tr>
      <w:tr w:rsidR="009658DE" w:rsidRPr="00A95602" w14:paraId="5EFFA1F7" w14:textId="77777777" w:rsidTr="001B66D7">
        <w:trPr>
          <w:trHeight w:val="259"/>
        </w:trPr>
        <w:tc>
          <w:tcPr>
            <w:tcW w:w="776" w:type="dxa"/>
            <w:vAlign w:val="center"/>
          </w:tcPr>
          <w:p w14:paraId="1FB41B2A"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lastRenderedPageBreak/>
              <w:t>4</w:t>
            </w:r>
          </w:p>
        </w:tc>
        <w:tc>
          <w:tcPr>
            <w:tcW w:w="8711" w:type="dxa"/>
            <w:shd w:val="clear" w:color="auto" w:fill="auto"/>
            <w:noWrap/>
            <w:vAlign w:val="bottom"/>
          </w:tcPr>
          <w:p w14:paraId="5B82E602" w14:textId="01E1C8E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transitional regulatory </w:t>
            </w:r>
            <w:r w:rsidR="00BB5F93">
              <w:rPr>
                <w:rFonts w:ascii="Times New Roman" w:eastAsia="Times New Roman" w:hAnsi="Times New Roman" w:cs="Times New Roman"/>
                <w:sz w:val="24"/>
                <w:lang w:eastAsia="ja-JP"/>
              </w:rPr>
              <w:t>own funds</w:t>
            </w:r>
            <w:r w:rsidR="00BB5F93" w:rsidRPr="00D811FA">
              <w:rPr>
                <w:rFonts w:ascii="Times New Roman" w:eastAsia="Times New Roman" w:hAnsi="Times New Roman" w:cs="Times New Roman"/>
                <w:sz w:val="24"/>
                <w:lang w:eastAsia="ja-JP"/>
              </w:rPr>
              <w:t xml:space="preserve"> </w:t>
            </w:r>
            <w:r w:rsidRPr="00A01A6F">
              <w:rPr>
                <w:rFonts w:ascii="Times New Roman" w:eastAsia="Times New Roman" w:hAnsi="Times New Roman" w:cs="Times New Roman"/>
                <w:sz w:val="24"/>
                <w:lang w:eastAsia="ja-JP"/>
              </w:rPr>
              <w:t>treatment contained in CRR</w:t>
            </w:r>
            <w:r w:rsidR="004A6748">
              <w:rPr>
                <w:rFonts w:ascii="Times New Roman" w:eastAsia="Times New Roman" w:hAnsi="Times New Roman" w:cs="Times New Roman"/>
                <w:sz w:val="24"/>
                <w:lang w:eastAsia="ja-JP"/>
              </w:rPr>
              <w:t>.</w:t>
            </w:r>
            <w:r w:rsidRPr="00A01A6F">
              <w:rPr>
                <w:rFonts w:ascii="Times New Roman" w:eastAsia="Times New Roman" w:hAnsi="Times New Roman" w:cs="Times New Roman"/>
                <w:sz w:val="24"/>
                <w:lang w:eastAsia="ja-JP"/>
              </w:rPr>
              <w:t xml:space="preserve"> The original classification of the instrument is the point of reference independently of possible reclassification in lower tiers of </w:t>
            </w:r>
            <w:r w:rsidR="00BB5F93">
              <w:rPr>
                <w:rFonts w:ascii="Times New Roman" w:eastAsia="Times New Roman" w:hAnsi="Times New Roman" w:cs="Times New Roman"/>
                <w:sz w:val="24"/>
                <w:lang w:eastAsia="ja-JP"/>
              </w:rPr>
              <w:t>own funds</w:t>
            </w:r>
            <w:r w:rsidRPr="00A01A6F">
              <w:rPr>
                <w:rFonts w:ascii="Times New Roman" w:eastAsia="Times New Roman" w:hAnsi="Times New Roman" w:cs="Times New Roman"/>
                <w:sz w:val="24"/>
                <w:lang w:eastAsia="ja-JP"/>
              </w:rPr>
              <w:t>.</w:t>
            </w:r>
          </w:p>
          <w:p w14:paraId="47BECD11"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[Common Equity Tier 1] [Additional Tier 1] [Tier 2] [Ineligible] [N/A]</w:t>
            </w:r>
          </w:p>
          <w:p w14:paraId="7DCDE60E"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 xml:space="preserve">Free text – specify if a fraction of the issuance </w:t>
            </w:r>
            <w:proofErr w:type="gramStart"/>
            <w:r w:rsidRPr="00A01A6F">
              <w:rPr>
                <w:rFonts w:ascii="Times New Roman" w:eastAsia="Times New Roman" w:hAnsi="Times New Roman" w:cs="Times New Roman"/>
                <w:i/>
                <w:sz w:val="24"/>
                <w:lang w:eastAsia="ja-JP"/>
              </w:rPr>
              <w:t>has been reclassified</w:t>
            </w:r>
            <w:proofErr w:type="gramEnd"/>
            <w:r w:rsidRPr="00A01A6F">
              <w:rPr>
                <w:rFonts w:ascii="Times New Roman" w:eastAsia="Times New Roman" w:hAnsi="Times New Roman" w:cs="Times New Roman"/>
                <w:i/>
                <w:sz w:val="24"/>
                <w:lang w:eastAsia="ja-JP"/>
              </w:rPr>
              <w:t xml:space="preserve"> in lower tiers of capital.</w:t>
            </w:r>
          </w:p>
        </w:tc>
      </w:tr>
      <w:tr w:rsidR="009658DE" w:rsidRPr="00A95602" w14:paraId="32FEECEA" w14:textId="77777777" w:rsidTr="001B66D7">
        <w:trPr>
          <w:trHeight w:val="259"/>
        </w:trPr>
        <w:tc>
          <w:tcPr>
            <w:tcW w:w="776" w:type="dxa"/>
            <w:vAlign w:val="center"/>
          </w:tcPr>
          <w:p w14:paraId="0FF57CBD"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5</w:t>
            </w:r>
          </w:p>
        </w:tc>
        <w:tc>
          <w:tcPr>
            <w:tcW w:w="8711" w:type="dxa"/>
            <w:shd w:val="clear" w:color="auto" w:fill="auto"/>
            <w:noWrap/>
            <w:vAlign w:val="bottom"/>
          </w:tcPr>
          <w:p w14:paraId="57BF29BD" w14:textId="6BD390BF"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regulatory </w:t>
            </w:r>
            <w:r w:rsidR="00BB5F93">
              <w:rPr>
                <w:rFonts w:ascii="Times New Roman" w:eastAsia="Times New Roman" w:hAnsi="Times New Roman" w:cs="Times New Roman"/>
                <w:sz w:val="24"/>
                <w:lang w:eastAsia="ja-JP"/>
              </w:rPr>
              <w:t>own funds</w:t>
            </w:r>
            <w:r w:rsidR="00D811FA">
              <w:rPr>
                <w:rFonts w:ascii="Times New Roman" w:eastAsia="Times New Roman" w:hAnsi="Times New Roman" w:cs="Times New Roman"/>
                <w:sz w:val="24"/>
                <w:lang w:eastAsia="ja-JP"/>
              </w:rPr>
              <w:t xml:space="preserve"> </w:t>
            </w:r>
            <w:r w:rsidRPr="00A01A6F">
              <w:rPr>
                <w:rFonts w:ascii="Times New Roman" w:eastAsia="Times New Roman" w:hAnsi="Times New Roman" w:cs="Times New Roman"/>
                <w:sz w:val="24"/>
                <w:lang w:eastAsia="ja-JP"/>
              </w:rPr>
              <w:t xml:space="preserve">treatment under CRR without taking into account the transitional treatment. </w:t>
            </w:r>
          </w:p>
          <w:p w14:paraId="5BB111A6" w14:textId="591880FB"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Select from menu: [Common Equity Tier 1] [Additional Tier 1] [Tier 2]</w:t>
            </w:r>
            <w:r w:rsidR="004A6748">
              <w:t xml:space="preserve"> </w:t>
            </w:r>
            <w:r w:rsidR="004A6748" w:rsidRPr="004A6748">
              <w:rPr>
                <w:rFonts w:ascii="Times New Roman" w:eastAsia="Times New Roman" w:hAnsi="Times New Roman" w:cs="Times New Roman"/>
                <w:i/>
                <w:sz w:val="24"/>
                <w:lang w:eastAsia="ja-JP"/>
              </w:rPr>
              <w:t xml:space="preserve">] [eligible liabilities] </w:t>
            </w:r>
            <w:r w:rsidRPr="00A01A6F">
              <w:rPr>
                <w:rFonts w:ascii="Times New Roman" w:eastAsia="Times New Roman" w:hAnsi="Times New Roman" w:cs="Times New Roman"/>
                <w:i/>
                <w:sz w:val="24"/>
                <w:lang w:eastAsia="ja-JP"/>
              </w:rPr>
              <w:t xml:space="preserve"> [Ineligible]</w:t>
            </w:r>
          </w:p>
        </w:tc>
      </w:tr>
      <w:tr w:rsidR="009658DE" w:rsidRPr="00A95602" w14:paraId="3EF56E0F" w14:textId="77777777" w:rsidTr="001B66D7">
        <w:trPr>
          <w:trHeight w:val="259"/>
        </w:trPr>
        <w:tc>
          <w:tcPr>
            <w:tcW w:w="776" w:type="dxa"/>
            <w:vAlign w:val="center"/>
          </w:tcPr>
          <w:p w14:paraId="78D39E27"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6</w:t>
            </w:r>
          </w:p>
        </w:tc>
        <w:tc>
          <w:tcPr>
            <w:tcW w:w="8711" w:type="dxa"/>
            <w:shd w:val="clear" w:color="auto" w:fill="auto"/>
            <w:noWrap/>
            <w:vAlign w:val="bottom"/>
          </w:tcPr>
          <w:p w14:paraId="69673381" w14:textId="201D0068"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the level(s) within the group at which the instrument is included in the </w:t>
            </w:r>
            <w:r w:rsidR="00BB5F93">
              <w:rPr>
                <w:rFonts w:ascii="Times New Roman" w:eastAsia="Times New Roman" w:hAnsi="Times New Roman" w:cs="Times New Roman"/>
                <w:sz w:val="24"/>
                <w:lang w:eastAsia="ja-JP"/>
              </w:rPr>
              <w:t>own funds</w:t>
            </w:r>
            <w:r w:rsidR="00407E31">
              <w:rPr>
                <w:rFonts w:ascii="Times New Roman" w:eastAsia="Times New Roman" w:hAnsi="Times New Roman" w:cs="Times New Roman"/>
                <w:sz w:val="24"/>
                <w:lang w:eastAsia="ja-JP"/>
              </w:rPr>
              <w:t>/eligible liabilities</w:t>
            </w:r>
            <w:r w:rsidRPr="00A01A6F">
              <w:rPr>
                <w:rFonts w:ascii="Times New Roman" w:eastAsia="Times New Roman" w:hAnsi="Times New Roman" w:cs="Times New Roman"/>
                <w:sz w:val="24"/>
                <w:lang w:eastAsia="ja-JP"/>
              </w:rPr>
              <w:t>.</w:t>
            </w:r>
          </w:p>
          <w:p w14:paraId="372FC716"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Select from menu: [Solo] [(Sub-)Consolidated] [Solo and (Sub-)Consolidated]</w:t>
            </w:r>
          </w:p>
        </w:tc>
      </w:tr>
      <w:tr w:rsidR="009658DE" w:rsidRPr="00A95602" w14:paraId="34702AA9" w14:textId="77777777" w:rsidTr="001B66D7">
        <w:trPr>
          <w:trHeight w:val="259"/>
        </w:trPr>
        <w:tc>
          <w:tcPr>
            <w:tcW w:w="776" w:type="dxa"/>
            <w:vAlign w:val="center"/>
          </w:tcPr>
          <w:p w14:paraId="688C11D5"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7</w:t>
            </w:r>
          </w:p>
        </w:tc>
        <w:tc>
          <w:tcPr>
            <w:tcW w:w="8711" w:type="dxa"/>
            <w:shd w:val="clear" w:color="auto" w:fill="auto"/>
            <w:noWrap/>
            <w:vAlign w:val="bottom"/>
          </w:tcPr>
          <w:p w14:paraId="60951728" w14:textId="152636B8" w:rsidR="009658DE"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instrument type, varying by jurisdiction.  </w:t>
            </w:r>
          </w:p>
          <w:p w14:paraId="760DDF99" w14:textId="60B5E7B2" w:rsidR="004A6748" w:rsidRPr="00123F9E" w:rsidRDefault="004A6748"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For CET1 instruments, select name of the instrument in the CET1 list published by the EBA pursua</w:t>
            </w:r>
            <w:r w:rsidR="00123F9E">
              <w:rPr>
                <w:rFonts w:ascii="Times New Roman" w:eastAsia="Times New Roman" w:hAnsi="Times New Roman" w:cs="Times New Roman"/>
                <w:i/>
                <w:sz w:val="24"/>
                <w:lang w:eastAsia="ja-JP"/>
              </w:rPr>
              <w:t>nt to Article 26(3) of the CRR.</w:t>
            </w:r>
          </w:p>
          <w:p w14:paraId="4EFBFEF0" w14:textId="76E11941" w:rsidR="009658DE" w:rsidRPr="00123F9E" w:rsidRDefault="004A6748" w:rsidP="00970F55">
            <w:pPr>
              <w:spacing w:after="200" w:line="276" w:lineRule="auto"/>
              <w:jc w:val="both"/>
              <w:rPr>
                <w:rFonts w:ascii="Times New Roman" w:eastAsia="Times New Roman" w:hAnsi="Times New Roman" w:cs="Times New Roman"/>
                <w:i/>
                <w:sz w:val="24"/>
                <w:lang w:eastAsia="ja-JP"/>
              </w:rPr>
            </w:pPr>
            <w:r>
              <w:rPr>
                <w:rFonts w:ascii="Times New Roman" w:eastAsia="Times New Roman" w:hAnsi="Times New Roman" w:cs="Times New Roman"/>
                <w:i/>
                <w:sz w:val="24"/>
                <w:lang w:eastAsia="ja-JP"/>
              </w:rPr>
              <w:t>For other instruments, s</w:t>
            </w:r>
            <w:r w:rsidR="009658DE" w:rsidRPr="00A01A6F">
              <w:rPr>
                <w:rFonts w:ascii="Times New Roman" w:eastAsia="Times New Roman" w:hAnsi="Times New Roman" w:cs="Times New Roman"/>
                <w:i/>
                <w:sz w:val="24"/>
                <w:lang w:eastAsia="ja-JP"/>
              </w:rPr>
              <w:t xml:space="preserve">elect from: menu options to be provided to institutions by each jurisdiction – legal references of </w:t>
            </w:r>
            <w:r w:rsidR="00C122DA" w:rsidRPr="00A01A6F">
              <w:rPr>
                <w:rFonts w:ascii="Times New Roman" w:eastAsia="Times New Roman" w:hAnsi="Times New Roman" w:cs="Times New Roman"/>
                <w:i/>
                <w:sz w:val="24"/>
                <w:lang w:eastAsia="ja-JP"/>
              </w:rPr>
              <w:t>CRR</w:t>
            </w:r>
            <w:r w:rsidR="009658DE" w:rsidRPr="00A01A6F">
              <w:rPr>
                <w:rFonts w:ascii="Times New Roman" w:eastAsia="Times New Roman" w:hAnsi="Times New Roman" w:cs="Times New Roman"/>
                <w:i/>
                <w:sz w:val="24"/>
                <w:lang w:eastAsia="ja-JP"/>
              </w:rPr>
              <w:t xml:space="preserve"> articles for each ty</w:t>
            </w:r>
            <w:r w:rsidR="00123F9E">
              <w:rPr>
                <w:rFonts w:ascii="Times New Roman" w:eastAsia="Times New Roman" w:hAnsi="Times New Roman" w:cs="Times New Roman"/>
                <w:i/>
                <w:sz w:val="24"/>
                <w:lang w:eastAsia="ja-JP"/>
              </w:rPr>
              <w:t>pe of instrument to be inserted</w:t>
            </w:r>
          </w:p>
        </w:tc>
      </w:tr>
      <w:tr w:rsidR="009658DE" w:rsidRPr="00A95602" w14:paraId="5E17573D" w14:textId="77777777" w:rsidTr="001B66D7">
        <w:trPr>
          <w:trHeight w:val="259"/>
        </w:trPr>
        <w:tc>
          <w:tcPr>
            <w:tcW w:w="776" w:type="dxa"/>
            <w:vAlign w:val="center"/>
          </w:tcPr>
          <w:p w14:paraId="4E215755"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lastRenderedPageBreak/>
              <w:t>8</w:t>
            </w:r>
          </w:p>
        </w:tc>
        <w:tc>
          <w:tcPr>
            <w:tcW w:w="8711" w:type="dxa"/>
            <w:shd w:val="clear" w:color="auto" w:fill="auto"/>
            <w:noWrap/>
            <w:vAlign w:val="bottom"/>
          </w:tcPr>
          <w:p w14:paraId="70202BB9" w14:textId="24C208DE"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the amount </w:t>
            </w:r>
            <w:proofErr w:type="spellStart"/>
            <w:r w:rsidRPr="00A01A6F">
              <w:rPr>
                <w:rFonts w:ascii="Times New Roman" w:eastAsia="Times New Roman" w:hAnsi="Times New Roman" w:cs="Times New Roman"/>
                <w:sz w:val="24"/>
                <w:lang w:eastAsia="ja-JP"/>
              </w:rPr>
              <w:t>recognised</w:t>
            </w:r>
            <w:proofErr w:type="spellEnd"/>
            <w:r w:rsidRPr="00A01A6F">
              <w:rPr>
                <w:rFonts w:ascii="Times New Roman" w:eastAsia="Times New Roman" w:hAnsi="Times New Roman" w:cs="Times New Roman"/>
                <w:sz w:val="24"/>
                <w:lang w:eastAsia="ja-JP"/>
              </w:rPr>
              <w:t xml:space="preserve"> in regulatory </w:t>
            </w:r>
            <w:r w:rsidR="00BB5F93">
              <w:rPr>
                <w:rFonts w:ascii="Times New Roman" w:eastAsia="Times New Roman" w:hAnsi="Times New Roman" w:cs="Times New Roman"/>
                <w:sz w:val="24"/>
                <w:lang w:eastAsia="ja-JP"/>
              </w:rPr>
              <w:t xml:space="preserve">own funds </w:t>
            </w:r>
            <w:r w:rsidR="004A6748">
              <w:rPr>
                <w:rFonts w:ascii="Times New Roman" w:eastAsia="Times New Roman" w:hAnsi="Times New Roman" w:cs="Times New Roman"/>
                <w:sz w:val="24"/>
                <w:lang w:eastAsia="ja-JP"/>
              </w:rPr>
              <w:t>or eligible lia</w:t>
            </w:r>
            <w:r w:rsidR="00BD6709">
              <w:rPr>
                <w:rFonts w:ascii="Times New Roman" w:eastAsia="Times New Roman" w:hAnsi="Times New Roman" w:cs="Times New Roman"/>
                <w:sz w:val="24"/>
                <w:lang w:eastAsia="ja-JP"/>
              </w:rPr>
              <w:t>b</w:t>
            </w:r>
            <w:r w:rsidR="004A6748">
              <w:rPr>
                <w:rFonts w:ascii="Times New Roman" w:eastAsia="Times New Roman" w:hAnsi="Times New Roman" w:cs="Times New Roman"/>
                <w:sz w:val="24"/>
                <w:lang w:eastAsia="ja-JP"/>
              </w:rPr>
              <w:t xml:space="preserve">ilities </w:t>
            </w:r>
            <w:r w:rsidRPr="00A01A6F">
              <w:rPr>
                <w:rFonts w:ascii="Times New Roman" w:eastAsia="Times New Roman" w:hAnsi="Times New Roman" w:cs="Times New Roman"/>
                <w:sz w:val="24"/>
                <w:lang w:eastAsia="ja-JP"/>
              </w:rPr>
              <w:t xml:space="preserve">(total amount of the instrument </w:t>
            </w:r>
            <w:proofErr w:type="spellStart"/>
            <w:r w:rsidRPr="00A01A6F">
              <w:rPr>
                <w:rFonts w:ascii="Times New Roman" w:eastAsia="Times New Roman" w:hAnsi="Times New Roman" w:cs="Times New Roman"/>
                <w:sz w:val="24"/>
                <w:lang w:eastAsia="ja-JP"/>
              </w:rPr>
              <w:t>recognised</w:t>
            </w:r>
            <w:proofErr w:type="spellEnd"/>
            <w:r w:rsidRPr="00A01A6F">
              <w:rPr>
                <w:rFonts w:ascii="Times New Roman" w:eastAsia="Times New Roman" w:hAnsi="Times New Roman" w:cs="Times New Roman"/>
                <w:sz w:val="24"/>
                <w:lang w:eastAsia="ja-JP"/>
              </w:rPr>
              <w:t xml:space="preserve"> before transitional provisions for the relevant level of the disclosure - currency used for the reporting obligations).</w:t>
            </w:r>
          </w:p>
          <w:p w14:paraId="1D3A3BDD" w14:textId="3204D9A6"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 xml:space="preserve">Free text – specify in particular if some parts of the instruments are in different tiers of the regulatory </w:t>
            </w:r>
            <w:r w:rsidR="00BB5F93">
              <w:rPr>
                <w:rFonts w:ascii="Times New Roman" w:eastAsia="Times New Roman" w:hAnsi="Times New Roman" w:cs="Times New Roman"/>
                <w:i/>
                <w:sz w:val="24"/>
                <w:lang w:eastAsia="ja-JP"/>
              </w:rPr>
              <w:t>own funds</w:t>
            </w:r>
            <w:r w:rsidR="00BB5F93" w:rsidRPr="00D811FA">
              <w:rPr>
                <w:rFonts w:ascii="Times New Roman" w:eastAsia="Times New Roman" w:hAnsi="Times New Roman" w:cs="Times New Roman"/>
                <w:i/>
                <w:sz w:val="24"/>
                <w:lang w:eastAsia="ja-JP"/>
              </w:rPr>
              <w:t xml:space="preserve"> </w:t>
            </w:r>
            <w:r w:rsidRPr="00A01A6F">
              <w:rPr>
                <w:rFonts w:ascii="Times New Roman" w:eastAsia="Times New Roman" w:hAnsi="Times New Roman" w:cs="Times New Roman"/>
                <w:i/>
                <w:sz w:val="24"/>
                <w:lang w:eastAsia="ja-JP"/>
              </w:rPr>
              <w:t xml:space="preserve">and if the amount </w:t>
            </w:r>
            <w:proofErr w:type="spellStart"/>
            <w:r w:rsidRPr="00A01A6F">
              <w:rPr>
                <w:rFonts w:ascii="Times New Roman" w:eastAsia="Times New Roman" w:hAnsi="Times New Roman" w:cs="Times New Roman"/>
                <w:i/>
                <w:sz w:val="24"/>
                <w:lang w:eastAsia="ja-JP"/>
              </w:rPr>
              <w:t>recognised</w:t>
            </w:r>
            <w:proofErr w:type="spellEnd"/>
            <w:r w:rsidRPr="00A01A6F">
              <w:rPr>
                <w:rFonts w:ascii="Times New Roman" w:eastAsia="Times New Roman" w:hAnsi="Times New Roman" w:cs="Times New Roman"/>
                <w:i/>
                <w:sz w:val="24"/>
                <w:lang w:eastAsia="ja-JP"/>
              </w:rPr>
              <w:t xml:space="preserve"> in regulatory </w:t>
            </w:r>
            <w:r w:rsidR="00BB5F93">
              <w:rPr>
                <w:rFonts w:ascii="Times New Roman" w:eastAsia="Times New Roman" w:hAnsi="Times New Roman" w:cs="Times New Roman"/>
                <w:i/>
                <w:sz w:val="24"/>
                <w:lang w:eastAsia="ja-JP"/>
              </w:rPr>
              <w:t>own funds</w:t>
            </w:r>
            <w:r w:rsidR="00BB5F93" w:rsidRPr="00D811FA">
              <w:rPr>
                <w:rFonts w:ascii="Times New Roman" w:eastAsia="Times New Roman" w:hAnsi="Times New Roman" w:cs="Times New Roman"/>
                <w:i/>
                <w:sz w:val="24"/>
                <w:lang w:eastAsia="ja-JP"/>
              </w:rPr>
              <w:t xml:space="preserve"> </w:t>
            </w:r>
            <w:r w:rsidRPr="00A01A6F">
              <w:rPr>
                <w:rFonts w:ascii="Times New Roman" w:eastAsia="Times New Roman" w:hAnsi="Times New Roman" w:cs="Times New Roman"/>
                <w:i/>
                <w:sz w:val="24"/>
                <w:lang w:eastAsia="ja-JP"/>
              </w:rPr>
              <w:t>is different from the amount issued.</w:t>
            </w:r>
          </w:p>
        </w:tc>
      </w:tr>
      <w:tr w:rsidR="009658DE" w:rsidRPr="00A95602" w14:paraId="52BB0598" w14:textId="77777777" w:rsidTr="001B66D7">
        <w:trPr>
          <w:trHeight w:val="259"/>
        </w:trPr>
        <w:tc>
          <w:tcPr>
            <w:tcW w:w="776" w:type="dxa"/>
            <w:vAlign w:val="center"/>
          </w:tcPr>
          <w:p w14:paraId="407AA3B7"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9</w:t>
            </w:r>
          </w:p>
        </w:tc>
        <w:tc>
          <w:tcPr>
            <w:tcW w:w="8711" w:type="dxa"/>
            <w:shd w:val="clear" w:color="auto" w:fill="auto"/>
            <w:noWrap/>
            <w:vAlign w:val="bottom"/>
          </w:tcPr>
          <w:p w14:paraId="3BE7742E"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Nominal amount of instrument (in currency of issuance and currency used for the reporting obligations).</w:t>
            </w:r>
          </w:p>
          <w:p w14:paraId="3960D43D"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9658DE" w:rsidRPr="00A95602" w14:paraId="66FA3247" w14:textId="77777777" w:rsidTr="001B66D7">
        <w:trPr>
          <w:trHeight w:val="259"/>
        </w:trPr>
        <w:tc>
          <w:tcPr>
            <w:tcW w:w="776" w:type="dxa"/>
            <w:vAlign w:val="center"/>
          </w:tcPr>
          <w:p w14:paraId="6BD28576" w14:textId="6542E933" w:rsidR="009658DE" w:rsidRPr="00A01A6F" w:rsidRDefault="00FC22F3" w:rsidP="009658DE">
            <w:pPr>
              <w:spacing w:after="200" w:line="276" w:lineRule="auto"/>
              <w:rPr>
                <w:rFonts w:ascii="Times New Roman" w:eastAsia="Times New Roman" w:hAnsi="Times New Roman" w:cs="Times New Roman"/>
                <w:sz w:val="24"/>
                <w:lang w:eastAsia="ja-JP"/>
              </w:rPr>
            </w:pPr>
            <w:r>
              <w:rPr>
                <w:rFonts w:ascii="Times New Roman" w:eastAsia="Times New Roman" w:hAnsi="Times New Roman" w:cs="Times New Roman"/>
                <w:sz w:val="24"/>
                <w:lang w:eastAsia="ja-JP"/>
              </w:rPr>
              <w:t>EU-</w:t>
            </w:r>
            <w:r w:rsidR="009658DE" w:rsidRPr="00A01A6F">
              <w:rPr>
                <w:rFonts w:ascii="Times New Roman" w:eastAsia="Times New Roman" w:hAnsi="Times New Roman" w:cs="Times New Roman"/>
                <w:sz w:val="24"/>
                <w:lang w:eastAsia="ja-JP"/>
              </w:rPr>
              <w:t>9a</w:t>
            </w:r>
          </w:p>
        </w:tc>
        <w:tc>
          <w:tcPr>
            <w:tcW w:w="8711" w:type="dxa"/>
            <w:shd w:val="clear" w:color="auto" w:fill="auto"/>
            <w:noWrap/>
            <w:vAlign w:val="bottom"/>
          </w:tcPr>
          <w:p w14:paraId="0656F9A1"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Issue price of instrument.</w:t>
            </w:r>
          </w:p>
          <w:p w14:paraId="51B34F68"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9658DE" w:rsidRPr="00A95602" w14:paraId="4B285FA0" w14:textId="77777777" w:rsidTr="001B66D7">
        <w:trPr>
          <w:trHeight w:val="259"/>
        </w:trPr>
        <w:tc>
          <w:tcPr>
            <w:tcW w:w="776" w:type="dxa"/>
            <w:vAlign w:val="center"/>
          </w:tcPr>
          <w:p w14:paraId="2767C468" w14:textId="7632F6B6" w:rsidR="009658DE" w:rsidRPr="00A01A6F" w:rsidRDefault="00FC22F3" w:rsidP="009658DE">
            <w:pPr>
              <w:spacing w:after="200" w:line="276" w:lineRule="auto"/>
              <w:rPr>
                <w:rFonts w:ascii="Times New Roman" w:eastAsia="Times New Roman" w:hAnsi="Times New Roman" w:cs="Times New Roman"/>
                <w:sz w:val="24"/>
                <w:lang w:eastAsia="ja-JP"/>
              </w:rPr>
            </w:pPr>
            <w:r>
              <w:rPr>
                <w:rFonts w:ascii="Times New Roman" w:eastAsia="Times New Roman" w:hAnsi="Times New Roman" w:cs="Times New Roman"/>
                <w:sz w:val="24"/>
                <w:lang w:eastAsia="ja-JP"/>
              </w:rPr>
              <w:t>EU-</w:t>
            </w:r>
            <w:r w:rsidR="009658DE" w:rsidRPr="00A01A6F">
              <w:rPr>
                <w:rFonts w:ascii="Times New Roman" w:eastAsia="Times New Roman" w:hAnsi="Times New Roman" w:cs="Times New Roman"/>
                <w:sz w:val="24"/>
                <w:lang w:eastAsia="ja-JP"/>
              </w:rPr>
              <w:t>9b</w:t>
            </w:r>
          </w:p>
        </w:tc>
        <w:tc>
          <w:tcPr>
            <w:tcW w:w="8711" w:type="dxa"/>
            <w:shd w:val="clear" w:color="auto" w:fill="auto"/>
            <w:noWrap/>
            <w:vAlign w:val="bottom"/>
          </w:tcPr>
          <w:p w14:paraId="52E691DD"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Redemption price of instrument.</w:t>
            </w:r>
          </w:p>
          <w:p w14:paraId="72769B15"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9658DE" w:rsidRPr="00A95602" w14:paraId="6CAF4E2A" w14:textId="77777777" w:rsidTr="001B66D7">
        <w:trPr>
          <w:trHeight w:val="259"/>
        </w:trPr>
        <w:tc>
          <w:tcPr>
            <w:tcW w:w="776" w:type="dxa"/>
            <w:vAlign w:val="center"/>
          </w:tcPr>
          <w:p w14:paraId="66E965A6"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10</w:t>
            </w:r>
          </w:p>
        </w:tc>
        <w:tc>
          <w:tcPr>
            <w:tcW w:w="8711" w:type="dxa"/>
            <w:shd w:val="clear" w:color="auto" w:fill="auto"/>
            <w:noWrap/>
            <w:vAlign w:val="bottom"/>
          </w:tcPr>
          <w:p w14:paraId="22ED7A0E"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accounting classification.  </w:t>
            </w:r>
          </w:p>
          <w:p w14:paraId="0B704262"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 xml:space="preserve">Select from menu: [Shareholders’ equity] [Liability – </w:t>
            </w:r>
            <w:proofErr w:type="spellStart"/>
            <w:r w:rsidRPr="00A01A6F">
              <w:rPr>
                <w:rFonts w:ascii="Times New Roman" w:eastAsia="Times New Roman" w:hAnsi="Times New Roman" w:cs="Times New Roman"/>
                <w:i/>
                <w:sz w:val="24"/>
                <w:lang w:eastAsia="ja-JP"/>
              </w:rPr>
              <w:t>amortised</w:t>
            </w:r>
            <w:proofErr w:type="spellEnd"/>
            <w:r w:rsidRPr="00A01A6F">
              <w:rPr>
                <w:rFonts w:ascii="Times New Roman" w:eastAsia="Times New Roman" w:hAnsi="Times New Roman" w:cs="Times New Roman"/>
                <w:i/>
                <w:sz w:val="24"/>
                <w:lang w:eastAsia="ja-JP"/>
              </w:rPr>
              <w:t xml:space="preserve"> cost] [Liability – fair value option] [Non-controlling interest in consolidated subsidiary]</w:t>
            </w:r>
          </w:p>
        </w:tc>
      </w:tr>
      <w:tr w:rsidR="009658DE" w:rsidRPr="00A95602" w14:paraId="3DB1577D" w14:textId="77777777" w:rsidTr="001B66D7">
        <w:trPr>
          <w:trHeight w:val="259"/>
        </w:trPr>
        <w:tc>
          <w:tcPr>
            <w:tcW w:w="776" w:type="dxa"/>
            <w:vAlign w:val="center"/>
          </w:tcPr>
          <w:p w14:paraId="1C5693AD"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11</w:t>
            </w:r>
          </w:p>
        </w:tc>
        <w:tc>
          <w:tcPr>
            <w:tcW w:w="8711" w:type="dxa"/>
            <w:shd w:val="clear" w:color="auto" w:fill="auto"/>
            <w:noWrap/>
            <w:vAlign w:val="bottom"/>
          </w:tcPr>
          <w:p w14:paraId="406C1569"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date of issuance.</w:t>
            </w:r>
          </w:p>
          <w:p w14:paraId="0D7E3484"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Free text</w:t>
            </w:r>
          </w:p>
        </w:tc>
      </w:tr>
      <w:tr w:rsidR="009658DE" w:rsidRPr="00A95602" w14:paraId="11AF4C64" w14:textId="77777777" w:rsidTr="001B66D7">
        <w:trPr>
          <w:trHeight w:val="259"/>
        </w:trPr>
        <w:tc>
          <w:tcPr>
            <w:tcW w:w="776" w:type="dxa"/>
            <w:vAlign w:val="center"/>
          </w:tcPr>
          <w:p w14:paraId="57761E57"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12</w:t>
            </w:r>
          </w:p>
        </w:tc>
        <w:tc>
          <w:tcPr>
            <w:tcW w:w="8711" w:type="dxa"/>
            <w:shd w:val="clear" w:color="auto" w:fill="auto"/>
            <w:noWrap/>
            <w:vAlign w:val="bottom"/>
          </w:tcPr>
          <w:p w14:paraId="6976D7D4"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whether dated or perpetual.</w:t>
            </w:r>
          </w:p>
          <w:p w14:paraId="0F42D342"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[Perpetual] [Dated]</w:t>
            </w:r>
          </w:p>
        </w:tc>
      </w:tr>
      <w:tr w:rsidR="009658DE" w:rsidRPr="00A95602" w14:paraId="4BE37209" w14:textId="77777777" w:rsidTr="001B66D7">
        <w:trPr>
          <w:trHeight w:val="259"/>
        </w:trPr>
        <w:tc>
          <w:tcPr>
            <w:tcW w:w="776" w:type="dxa"/>
            <w:vAlign w:val="center"/>
          </w:tcPr>
          <w:p w14:paraId="0D1261C3"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13</w:t>
            </w:r>
          </w:p>
        </w:tc>
        <w:tc>
          <w:tcPr>
            <w:tcW w:w="8711" w:type="dxa"/>
            <w:shd w:val="clear" w:color="auto" w:fill="auto"/>
            <w:noWrap/>
            <w:vAlign w:val="bottom"/>
          </w:tcPr>
          <w:p w14:paraId="153D299E"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For dated instrument, specifies original maturity date (day, month and year). For perpetual instrument put ‘no maturity’. </w:t>
            </w:r>
          </w:p>
          <w:p w14:paraId="66725994"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Free text</w:t>
            </w:r>
          </w:p>
        </w:tc>
      </w:tr>
      <w:tr w:rsidR="009658DE" w:rsidRPr="00A95602" w14:paraId="5FC8C1A5" w14:textId="77777777" w:rsidTr="001B66D7">
        <w:trPr>
          <w:trHeight w:val="259"/>
        </w:trPr>
        <w:tc>
          <w:tcPr>
            <w:tcW w:w="776" w:type="dxa"/>
            <w:vAlign w:val="center"/>
          </w:tcPr>
          <w:p w14:paraId="6F9A92FE"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14</w:t>
            </w:r>
          </w:p>
        </w:tc>
        <w:tc>
          <w:tcPr>
            <w:tcW w:w="8711" w:type="dxa"/>
            <w:shd w:val="clear" w:color="auto" w:fill="auto"/>
            <w:noWrap/>
            <w:vAlign w:val="bottom"/>
          </w:tcPr>
          <w:p w14:paraId="1805FE4E"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whether there is an issuer call option (all types of call options).</w:t>
            </w:r>
          </w:p>
          <w:p w14:paraId="38F9BCB2"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[Yes] [No]</w:t>
            </w:r>
          </w:p>
        </w:tc>
      </w:tr>
      <w:tr w:rsidR="009658DE" w:rsidRPr="00A95602" w14:paraId="753CC710" w14:textId="77777777" w:rsidTr="001B66D7">
        <w:trPr>
          <w:trHeight w:val="259"/>
        </w:trPr>
        <w:tc>
          <w:tcPr>
            <w:tcW w:w="776" w:type="dxa"/>
            <w:vAlign w:val="center"/>
          </w:tcPr>
          <w:p w14:paraId="33B9ADA2"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15</w:t>
            </w:r>
          </w:p>
        </w:tc>
        <w:tc>
          <w:tcPr>
            <w:tcW w:w="8711" w:type="dxa"/>
            <w:shd w:val="clear" w:color="auto" w:fill="auto"/>
            <w:noWrap/>
            <w:vAlign w:val="bottom"/>
          </w:tcPr>
          <w:p w14:paraId="7546FFC2"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For instrument with issuer call option, specifies first date of call if the instrument has a call option on a specific date (day, month and year) and, in addition, specifies whether the instrument has a tax and/or regulatory event call. Also specifies the redemption price. Helps to assess permanence.</w:t>
            </w:r>
          </w:p>
          <w:p w14:paraId="3FCEA27F"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lastRenderedPageBreak/>
              <w:t>Free text</w:t>
            </w:r>
          </w:p>
        </w:tc>
      </w:tr>
      <w:tr w:rsidR="009658DE" w:rsidRPr="00A95602" w14:paraId="6454B231" w14:textId="77777777" w:rsidTr="001B66D7">
        <w:trPr>
          <w:trHeight w:val="259"/>
        </w:trPr>
        <w:tc>
          <w:tcPr>
            <w:tcW w:w="776" w:type="dxa"/>
            <w:vAlign w:val="center"/>
          </w:tcPr>
          <w:p w14:paraId="37ADA45A"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lastRenderedPageBreak/>
              <w:t>16</w:t>
            </w:r>
          </w:p>
        </w:tc>
        <w:tc>
          <w:tcPr>
            <w:tcW w:w="8711" w:type="dxa"/>
            <w:shd w:val="clear" w:color="auto" w:fill="auto"/>
            <w:noWrap/>
            <w:vAlign w:val="bottom"/>
          </w:tcPr>
          <w:p w14:paraId="1B86EE22"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the existence and frequency of subsequent call dates, if applicable. Helps to assess permanence.</w:t>
            </w:r>
          </w:p>
          <w:p w14:paraId="226A553C"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Free text</w:t>
            </w:r>
          </w:p>
        </w:tc>
      </w:tr>
      <w:tr w:rsidR="009658DE" w:rsidRPr="00A95602" w14:paraId="13A0470B" w14:textId="77777777" w:rsidTr="001B66D7">
        <w:trPr>
          <w:trHeight w:val="259"/>
        </w:trPr>
        <w:tc>
          <w:tcPr>
            <w:tcW w:w="776" w:type="dxa"/>
            <w:vAlign w:val="center"/>
          </w:tcPr>
          <w:p w14:paraId="2044E203"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17</w:t>
            </w:r>
          </w:p>
        </w:tc>
        <w:tc>
          <w:tcPr>
            <w:tcW w:w="8711" w:type="dxa"/>
            <w:shd w:val="clear" w:color="auto" w:fill="auto"/>
            <w:noWrap/>
            <w:vAlign w:val="bottom"/>
          </w:tcPr>
          <w:p w14:paraId="0D9F4943" w14:textId="77777777" w:rsidR="009658DE" w:rsidRPr="00A01A6F" w:rsidRDefault="009658DE" w:rsidP="00970F55">
            <w:pPr>
              <w:autoSpaceDE w:val="0"/>
              <w:autoSpaceDN w:val="0"/>
              <w:adjustRightInd w:val="0"/>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whether the coupon/dividend </w:t>
            </w:r>
            <w:proofErr w:type="gramStart"/>
            <w:r w:rsidRPr="00A01A6F">
              <w:rPr>
                <w:rFonts w:ascii="Times New Roman" w:eastAsia="Times New Roman" w:hAnsi="Times New Roman" w:cs="Times New Roman"/>
                <w:sz w:val="24"/>
                <w:lang w:eastAsia="ja-JP"/>
              </w:rPr>
              <w:t>is:</w:t>
            </w:r>
            <w:proofErr w:type="gramEnd"/>
            <w:r w:rsidRPr="00A01A6F">
              <w:rPr>
                <w:rFonts w:ascii="Times New Roman" w:eastAsia="Times New Roman" w:hAnsi="Times New Roman" w:cs="Times New Roman"/>
                <w:sz w:val="24"/>
                <w:lang w:eastAsia="ja-JP"/>
              </w:rPr>
              <w:t xml:space="preserve"> either fixed over the life of the instrument, or floating over the life of the instrument, or currently fixed but will move to a floating rate in the future, or currently floating but will move to a fixed rate in the future. </w:t>
            </w:r>
          </w:p>
          <w:p w14:paraId="32CA3D59"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 xml:space="preserve">Select from menu: [Fixed], [Floating] [Fixed to floating], [Floating to fixed] </w:t>
            </w:r>
          </w:p>
        </w:tc>
      </w:tr>
      <w:tr w:rsidR="009658DE" w:rsidRPr="00A95602" w14:paraId="41923853" w14:textId="77777777" w:rsidTr="001B66D7">
        <w:trPr>
          <w:trHeight w:val="259"/>
        </w:trPr>
        <w:tc>
          <w:tcPr>
            <w:tcW w:w="776" w:type="dxa"/>
            <w:vAlign w:val="center"/>
          </w:tcPr>
          <w:p w14:paraId="06D21DF5"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18</w:t>
            </w:r>
          </w:p>
        </w:tc>
        <w:tc>
          <w:tcPr>
            <w:tcW w:w="8711" w:type="dxa"/>
            <w:shd w:val="clear" w:color="auto" w:fill="auto"/>
            <w:noWrap/>
            <w:vAlign w:val="bottom"/>
          </w:tcPr>
          <w:p w14:paraId="45D3F2E1" w14:textId="77777777" w:rsidR="009658DE" w:rsidRPr="00A01A6F" w:rsidRDefault="009658DE" w:rsidP="00970F55">
            <w:pPr>
              <w:autoSpaceDE w:val="0"/>
              <w:autoSpaceDN w:val="0"/>
              <w:adjustRightInd w:val="0"/>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the coupon rate of the instrument and any related index that the coupon/dividend rate references. </w:t>
            </w:r>
          </w:p>
          <w:p w14:paraId="6F198863"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 xml:space="preserve">Free text </w:t>
            </w:r>
          </w:p>
        </w:tc>
      </w:tr>
      <w:tr w:rsidR="009658DE" w:rsidRPr="00A95602" w14:paraId="60E70E39" w14:textId="77777777" w:rsidTr="001B66D7">
        <w:trPr>
          <w:trHeight w:val="259"/>
        </w:trPr>
        <w:tc>
          <w:tcPr>
            <w:tcW w:w="776" w:type="dxa"/>
            <w:vAlign w:val="center"/>
          </w:tcPr>
          <w:p w14:paraId="21879375"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19</w:t>
            </w:r>
          </w:p>
        </w:tc>
        <w:tc>
          <w:tcPr>
            <w:tcW w:w="8711" w:type="dxa"/>
            <w:shd w:val="clear" w:color="auto" w:fill="auto"/>
            <w:noWrap/>
            <w:vAlign w:val="bottom"/>
          </w:tcPr>
          <w:p w14:paraId="6930B808" w14:textId="77777777" w:rsidR="009658DE" w:rsidRPr="00A01A6F" w:rsidRDefault="009658DE" w:rsidP="00970F55">
            <w:pPr>
              <w:autoSpaceDE w:val="0"/>
              <w:autoSpaceDN w:val="0"/>
              <w:adjustRightInd w:val="0"/>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whether the non-payment of a coupon or dividend on the instrument prohibits the payment of dividends on common shares (i.e. whether there is a dividend stopper). </w:t>
            </w:r>
          </w:p>
          <w:p w14:paraId="0D110485"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 xml:space="preserve">Select from menu: [yes], [no] </w:t>
            </w:r>
          </w:p>
        </w:tc>
      </w:tr>
      <w:tr w:rsidR="009658DE" w:rsidRPr="00A95602" w14:paraId="11EDD08A" w14:textId="77777777" w:rsidTr="001B66D7">
        <w:trPr>
          <w:trHeight w:val="259"/>
        </w:trPr>
        <w:tc>
          <w:tcPr>
            <w:tcW w:w="776" w:type="dxa"/>
            <w:vAlign w:val="center"/>
          </w:tcPr>
          <w:p w14:paraId="1B198B7C" w14:textId="1D8036D6" w:rsidR="009658DE" w:rsidRPr="00A01A6F" w:rsidRDefault="00FC22F3" w:rsidP="009658DE">
            <w:pPr>
              <w:spacing w:after="200" w:line="276" w:lineRule="auto"/>
              <w:rPr>
                <w:rFonts w:ascii="Times New Roman" w:eastAsia="Times New Roman" w:hAnsi="Times New Roman" w:cs="Times New Roman"/>
                <w:sz w:val="24"/>
                <w:lang w:eastAsia="ja-JP"/>
              </w:rPr>
            </w:pPr>
            <w:r>
              <w:rPr>
                <w:rFonts w:ascii="Times New Roman" w:eastAsia="Times New Roman" w:hAnsi="Times New Roman" w:cs="Times New Roman"/>
                <w:sz w:val="24"/>
                <w:lang w:eastAsia="ja-JP"/>
              </w:rPr>
              <w:t>EU-</w:t>
            </w:r>
            <w:r w:rsidR="009658DE" w:rsidRPr="00A01A6F">
              <w:rPr>
                <w:rFonts w:ascii="Times New Roman" w:eastAsia="Times New Roman" w:hAnsi="Times New Roman" w:cs="Times New Roman"/>
                <w:sz w:val="24"/>
                <w:lang w:eastAsia="ja-JP"/>
              </w:rPr>
              <w:t>20a</w:t>
            </w:r>
          </w:p>
        </w:tc>
        <w:tc>
          <w:tcPr>
            <w:tcW w:w="8711" w:type="dxa"/>
            <w:shd w:val="clear" w:color="auto" w:fill="auto"/>
            <w:noWrap/>
            <w:vAlign w:val="bottom"/>
          </w:tcPr>
          <w:p w14:paraId="3E08C14E" w14:textId="1B61EC2E"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whether the issuer has full discretion, partial discretion or no discretion over whether a coupon/dividend is paid. If the institution </w:t>
            </w:r>
            <w:proofErr w:type="gramStart"/>
            <w:r w:rsidRPr="00A01A6F">
              <w:rPr>
                <w:rFonts w:ascii="Times New Roman" w:eastAsia="Times New Roman" w:hAnsi="Times New Roman" w:cs="Times New Roman"/>
                <w:sz w:val="24"/>
                <w:lang w:eastAsia="ja-JP"/>
              </w:rPr>
              <w:t>has</w:t>
            </w:r>
            <w:proofErr w:type="gramEnd"/>
            <w:r w:rsidRPr="00A01A6F">
              <w:rPr>
                <w:rFonts w:ascii="Times New Roman" w:eastAsia="Times New Roman" w:hAnsi="Times New Roman" w:cs="Times New Roman"/>
                <w:sz w:val="24"/>
                <w:lang w:eastAsia="ja-JP"/>
              </w:rPr>
              <w:t xml:space="preserve"> full discretion to cancel coupon/dividend payments under all circumstances it must select ‘fully discretionary’ (including when there is a dividend stopper that does not have the effect of preventing the institution from cancelling payments on the instrument). If there are conditions that must be met before payment can be cancelled (e.g. </w:t>
            </w:r>
            <w:r w:rsidR="00BB5F93">
              <w:rPr>
                <w:rFonts w:ascii="Times New Roman" w:eastAsia="Times New Roman" w:hAnsi="Times New Roman" w:cs="Times New Roman"/>
                <w:sz w:val="24"/>
                <w:lang w:eastAsia="ja-JP"/>
              </w:rPr>
              <w:t>own funds</w:t>
            </w:r>
            <w:r w:rsidR="00123F9E">
              <w:rPr>
                <w:rFonts w:ascii="Times New Roman" w:eastAsia="Times New Roman" w:hAnsi="Times New Roman" w:cs="Times New Roman"/>
                <w:sz w:val="24"/>
                <w:lang w:eastAsia="ja-JP"/>
              </w:rPr>
              <w:t xml:space="preserve"> </w:t>
            </w:r>
            <w:r w:rsidRPr="00A01A6F">
              <w:rPr>
                <w:rFonts w:ascii="Times New Roman" w:eastAsia="Times New Roman" w:hAnsi="Times New Roman" w:cs="Times New Roman"/>
                <w:sz w:val="24"/>
                <w:lang w:eastAsia="ja-JP"/>
              </w:rPr>
              <w:t xml:space="preserve">below a certain threshold), the institution must select ‘partially discretionary’. If the institution is unable to cancel the payment outside of </w:t>
            </w:r>
            <w:proofErr w:type="gramStart"/>
            <w:r w:rsidRPr="00A01A6F">
              <w:rPr>
                <w:rFonts w:ascii="Times New Roman" w:eastAsia="Times New Roman" w:hAnsi="Times New Roman" w:cs="Times New Roman"/>
                <w:sz w:val="24"/>
                <w:lang w:eastAsia="ja-JP"/>
              </w:rPr>
              <w:t>insolvency</w:t>
            </w:r>
            <w:proofErr w:type="gramEnd"/>
            <w:r w:rsidRPr="00A01A6F">
              <w:rPr>
                <w:rFonts w:ascii="Times New Roman" w:eastAsia="Times New Roman" w:hAnsi="Times New Roman" w:cs="Times New Roman"/>
                <w:sz w:val="24"/>
                <w:lang w:eastAsia="ja-JP"/>
              </w:rPr>
              <w:t xml:space="preserve"> the institution must select ‘mandatory’.</w:t>
            </w:r>
          </w:p>
          <w:p w14:paraId="70EC9C15"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[Fully discretionary] [Partially discretionary] [Mandatory]</w:t>
            </w:r>
          </w:p>
          <w:p w14:paraId="402CCE29"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i/>
                <w:sz w:val="24"/>
                <w:lang w:eastAsia="ja-JP"/>
              </w:rPr>
              <w:t>Free text (specify the reasons for discretion, existence of dividend pushers, dividend stoppers, ACSM)</w:t>
            </w:r>
          </w:p>
        </w:tc>
      </w:tr>
      <w:tr w:rsidR="009658DE" w:rsidRPr="00A95602" w14:paraId="166A6364" w14:textId="77777777" w:rsidTr="001B66D7">
        <w:trPr>
          <w:trHeight w:val="259"/>
        </w:trPr>
        <w:tc>
          <w:tcPr>
            <w:tcW w:w="776" w:type="dxa"/>
            <w:vAlign w:val="center"/>
          </w:tcPr>
          <w:p w14:paraId="6B660935" w14:textId="2A5638E0" w:rsidR="009658DE" w:rsidRPr="00A01A6F" w:rsidRDefault="00FC22F3" w:rsidP="009658DE">
            <w:pPr>
              <w:spacing w:after="200" w:line="276" w:lineRule="auto"/>
              <w:rPr>
                <w:rFonts w:ascii="Times New Roman" w:eastAsia="Times New Roman" w:hAnsi="Times New Roman" w:cs="Times New Roman"/>
                <w:sz w:val="24"/>
                <w:lang w:eastAsia="ja-JP"/>
              </w:rPr>
            </w:pPr>
            <w:r>
              <w:rPr>
                <w:rFonts w:ascii="Times New Roman" w:eastAsia="Times New Roman" w:hAnsi="Times New Roman" w:cs="Times New Roman"/>
                <w:sz w:val="24"/>
                <w:lang w:eastAsia="ja-JP"/>
              </w:rPr>
              <w:t>EU-</w:t>
            </w:r>
            <w:r w:rsidR="009658DE" w:rsidRPr="00A01A6F">
              <w:rPr>
                <w:rFonts w:ascii="Times New Roman" w:eastAsia="Times New Roman" w:hAnsi="Times New Roman" w:cs="Times New Roman"/>
                <w:sz w:val="24"/>
                <w:lang w:eastAsia="ja-JP"/>
              </w:rPr>
              <w:t>20b</w:t>
            </w:r>
          </w:p>
        </w:tc>
        <w:tc>
          <w:tcPr>
            <w:tcW w:w="8711" w:type="dxa"/>
            <w:shd w:val="clear" w:color="auto" w:fill="auto"/>
            <w:noWrap/>
            <w:vAlign w:val="bottom"/>
          </w:tcPr>
          <w:p w14:paraId="447C369B"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whether the issuer has full discretion, partial discretion or no discretion over the amount of the coupon/dividend.</w:t>
            </w:r>
          </w:p>
          <w:p w14:paraId="6C47B7FD"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[Fully discretionary] [Partially discretionary] [Mandatory]</w:t>
            </w:r>
          </w:p>
        </w:tc>
      </w:tr>
      <w:tr w:rsidR="009658DE" w:rsidRPr="00A95602" w14:paraId="0D8C2CE4" w14:textId="77777777" w:rsidTr="001B66D7">
        <w:trPr>
          <w:trHeight w:val="259"/>
        </w:trPr>
        <w:tc>
          <w:tcPr>
            <w:tcW w:w="776" w:type="dxa"/>
            <w:vAlign w:val="center"/>
          </w:tcPr>
          <w:p w14:paraId="0A73BE2F"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21</w:t>
            </w:r>
          </w:p>
        </w:tc>
        <w:tc>
          <w:tcPr>
            <w:tcW w:w="8711" w:type="dxa"/>
            <w:shd w:val="clear" w:color="auto" w:fill="auto"/>
            <w:noWrap/>
            <w:vAlign w:val="bottom"/>
          </w:tcPr>
          <w:p w14:paraId="1553D629"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whether there is a step-up or other incentive to redeem.</w:t>
            </w:r>
          </w:p>
          <w:p w14:paraId="4C4BA881"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[Yes] [No]</w:t>
            </w:r>
          </w:p>
        </w:tc>
      </w:tr>
      <w:tr w:rsidR="009658DE" w:rsidRPr="00A95602" w14:paraId="46012E50" w14:textId="77777777" w:rsidTr="001B66D7">
        <w:trPr>
          <w:trHeight w:val="259"/>
        </w:trPr>
        <w:tc>
          <w:tcPr>
            <w:tcW w:w="776" w:type="dxa"/>
            <w:vAlign w:val="center"/>
          </w:tcPr>
          <w:p w14:paraId="55A2DA01"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lastRenderedPageBreak/>
              <w:t>22</w:t>
            </w:r>
          </w:p>
        </w:tc>
        <w:tc>
          <w:tcPr>
            <w:tcW w:w="8711" w:type="dxa"/>
            <w:shd w:val="clear" w:color="auto" w:fill="auto"/>
            <w:noWrap/>
            <w:vAlign w:val="bottom"/>
          </w:tcPr>
          <w:p w14:paraId="63923486"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whether dividends / coupons are cumulative or noncumulative.</w:t>
            </w:r>
          </w:p>
          <w:p w14:paraId="7AF5E28D"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[Noncumulative] [Cumulative] [ACSM]</w:t>
            </w:r>
          </w:p>
        </w:tc>
      </w:tr>
      <w:tr w:rsidR="009658DE" w:rsidRPr="00A95602" w14:paraId="1A6B741D" w14:textId="77777777" w:rsidTr="001B66D7">
        <w:trPr>
          <w:trHeight w:val="259"/>
        </w:trPr>
        <w:tc>
          <w:tcPr>
            <w:tcW w:w="776" w:type="dxa"/>
            <w:vAlign w:val="center"/>
          </w:tcPr>
          <w:p w14:paraId="365A8CE7"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23</w:t>
            </w:r>
          </w:p>
        </w:tc>
        <w:tc>
          <w:tcPr>
            <w:tcW w:w="8711" w:type="dxa"/>
            <w:shd w:val="clear" w:color="auto" w:fill="auto"/>
            <w:noWrap/>
            <w:vAlign w:val="bottom"/>
          </w:tcPr>
          <w:p w14:paraId="4ADC4B97"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whether instrument is convertible or not.  </w:t>
            </w:r>
          </w:p>
          <w:p w14:paraId="004CB940"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[Convertible] [Nonconvertible]</w:t>
            </w:r>
          </w:p>
        </w:tc>
      </w:tr>
      <w:tr w:rsidR="009658DE" w:rsidRPr="00A95602" w14:paraId="4C978DDB" w14:textId="77777777" w:rsidTr="001B66D7">
        <w:trPr>
          <w:trHeight w:val="259"/>
        </w:trPr>
        <w:tc>
          <w:tcPr>
            <w:tcW w:w="776" w:type="dxa"/>
            <w:vAlign w:val="center"/>
          </w:tcPr>
          <w:p w14:paraId="2752484A"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24</w:t>
            </w:r>
          </w:p>
        </w:tc>
        <w:tc>
          <w:tcPr>
            <w:tcW w:w="8711" w:type="dxa"/>
            <w:shd w:val="clear" w:color="auto" w:fill="auto"/>
            <w:noWrap/>
            <w:vAlign w:val="bottom"/>
          </w:tcPr>
          <w:p w14:paraId="1AAC193B" w14:textId="61C97DD0"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the conditions under which the instrument will convert, including point of non-viability. Where one or more authorities have the ability to trigger conversion, the authorities </w:t>
            </w:r>
            <w:proofErr w:type="gramStart"/>
            <w:r w:rsidR="00A95602">
              <w:rPr>
                <w:rFonts w:ascii="Times New Roman" w:eastAsia="Times New Roman" w:hAnsi="Times New Roman" w:cs="Times New Roman"/>
                <w:sz w:val="24"/>
                <w:lang w:eastAsia="ja-JP"/>
              </w:rPr>
              <w:t>shall</w:t>
            </w:r>
            <w:r w:rsidRPr="00A01A6F">
              <w:rPr>
                <w:rFonts w:ascii="Times New Roman" w:eastAsia="Times New Roman" w:hAnsi="Times New Roman" w:cs="Times New Roman"/>
                <w:sz w:val="24"/>
                <w:lang w:eastAsia="ja-JP"/>
              </w:rPr>
              <w:t xml:space="preserve"> be listed</w:t>
            </w:r>
            <w:proofErr w:type="gramEnd"/>
            <w:r w:rsidRPr="00A01A6F">
              <w:rPr>
                <w:rFonts w:ascii="Times New Roman" w:eastAsia="Times New Roman" w:hAnsi="Times New Roman" w:cs="Times New Roman"/>
                <w:sz w:val="24"/>
                <w:lang w:eastAsia="ja-JP"/>
              </w:rPr>
              <w:t xml:space="preserve">. For each of the authorities it </w:t>
            </w:r>
            <w:r w:rsidR="00A95602">
              <w:rPr>
                <w:rFonts w:ascii="Times New Roman" w:eastAsia="Times New Roman" w:hAnsi="Times New Roman" w:cs="Times New Roman"/>
                <w:sz w:val="24"/>
                <w:lang w:eastAsia="ja-JP"/>
              </w:rPr>
              <w:t>shall</w:t>
            </w:r>
            <w:r w:rsidRPr="00A01A6F">
              <w:rPr>
                <w:rFonts w:ascii="Times New Roman" w:eastAsia="Times New Roman" w:hAnsi="Times New Roman" w:cs="Times New Roman"/>
                <w:sz w:val="24"/>
                <w:lang w:eastAsia="ja-JP"/>
              </w:rPr>
              <w:t xml:space="preserve"> be stated whether it is the terms of the contract of the instrument that provide the legal basis for the authority to trigger conversion (a contractual approach) or whether the legal basis is provided by statutory means (a statutory approach).</w:t>
            </w:r>
          </w:p>
          <w:p w14:paraId="5750AA06"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9658DE" w:rsidRPr="00A95602" w14:paraId="6FBD4406" w14:textId="77777777" w:rsidTr="001B66D7">
        <w:trPr>
          <w:trHeight w:val="259"/>
        </w:trPr>
        <w:tc>
          <w:tcPr>
            <w:tcW w:w="776" w:type="dxa"/>
            <w:vAlign w:val="center"/>
          </w:tcPr>
          <w:p w14:paraId="6D29F70D"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25</w:t>
            </w:r>
          </w:p>
        </w:tc>
        <w:tc>
          <w:tcPr>
            <w:tcW w:w="8711" w:type="dxa"/>
            <w:shd w:val="clear" w:color="auto" w:fill="auto"/>
            <w:noWrap/>
            <w:vAlign w:val="bottom"/>
          </w:tcPr>
          <w:p w14:paraId="7DF7AE85"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whether the instrument will always convert fully, may convert fully or partially, or will always convert partially.</w:t>
            </w:r>
          </w:p>
          <w:p w14:paraId="21EF2DD0"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[Always Fully] [Fully or Partially] [Always partially]</w:t>
            </w:r>
          </w:p>
        </w:tc>
      </w:tr>
      <w:tr w:rsidR="009658DE" w:rsidRPr="00A95602" w14:paraId="72AE83AE" w14:textId="77777777" w:rsidTr="001B66D7">
        <w:trPr>
          <w:trHeight w:val="259"/>
        </w:trPr>
        <w:tc>
          <w:tcPr>
            <w:tcW w:w="776" w:type="dxa"/>
            <w:vAlign w:val="center"/>
          </w:tcPr>
          <w:p w14:paraId="4AE7949D"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26</w:t>
            </w:r>
          </w:p>
        </w:tc>
        <w:tc>
          <w:tcPr>
            <w:tcW w:w="8711" w:type="dxa"/>
            <w:shd w:val="clear" w:color="auto" w:fill="auto"/>
            <w:noWrap/>
            <w:vAlign w:val="bottom"/>
          </w:tcPr>
          <w:p w14:paraId="313D1D62"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rate of conversion into the more loss absorbent instrument. </w:t>
            </w:r>
          </w:p>
          <w:p w14:paraId="109D03FC"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9658DE" w:rsidRPr="00A95602" w14:paraId="3D0692AD" w14:textId="77777777" w:rsidTr="001B66D7">
        <w:trPr>
          <w:trHeight w:val="259"/>
        </w:trPr>
        <w:tc>
          <w:tcPr>
            <w:tcW w:w="776" w:type="dxa"/>
            <w:vAlign w:val="center"/>
          </w:tcPr>
          <w:p w14:paraId="2BFE9FB3"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27</w:t>
            </w:r>
          </w:p>
        </w:tc>
        <w:tc>
          <w:tcPr>
            <w:tcW w:w="8711" w:type="dxa"/>
            <w:shd w:val="clear" w:color="auto" w:fill="auto"/>
            <w:noWrap/>
            <w:vAlign w:val="bottom"/>
          </w:tcPr>
          <w:p w14:paraId="624168AC"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For convertible instruments, specifies whether conversion is mandatory or optional. </w:t>
            </w:r>
          </w:p>
          <w:p w14:paraId="025975BD"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[Mandatory] [Optional] [NA] and [at the option of the holders] [at the option of the issuer] [at the option of both the holders and the issuer]</w:t>
            </w:r>
          </w:p>
        </w:tc>
      </w:tr>
      <w:tr w:rsidR="009658DE" w:rsidRPr="00A95602" w14:paraId="0C1A4289" w14:textId="77777777" w:rsidTr="001B66D7">
        <w:trPr>
          <w:trHeight w:val="259"/>
        </w:trPr>
        <w:tc>
          <w:tcPr>
            <w:tcW w:w="776" w:type="dxa"/>
            <w:vAlign w:val="center"/>
          </w:tcPr>
          <w:p w14:paraId="4035C779"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28</w:t>
            </w:r>
          </w:p>
        </w:tc>
        <w:tc>
          <w:tcPr>
            <w:tcW w:w="8711" w:type="dxa"/>
            <w:shd w:val="clear" w:color="auto" w:fill="auto"/>
            <w:noWrap/>
            <w:vAlign w:val="bottom"/>
          </w:tcPr>
          <w:p w14:paraId="6A324884"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For convertible instruments, specifies instrument type convertible </w:t>
            </w:r>
            <w:proofErr w:type="gramStart"/>
            <w:r w:rsidRPr="00A01A6F">
              <w:rPr>
                <w:rFonts w:ascii="Times New Roman" w:eastAsia="Times New Roman" w:hAnsi="Times New Roman" w:cs="Times New Roman"/>
                <w:sz w:val="24"/>
                <w:lang w:eastAsia="ja-JP"/>
              </w:rPr>
              <w:t>into</w:t>
            </w:r>
            <w:proofErr w:type="gramEnd"/>
            <w:r w:rsidRPr="00A01A6F">
              <w:rPr>
                <w:rFonts w:ascii="Times New Roman" w:eastAsia="Times New Roman" w:hAnsi="Times New Roman" w:cs="Times New Roman"/>
                <w:sz w:val="24"/>
                <w:lang w:eastAsia="ja-JP"/>
              </w:rPr>
              <w:t>. Helps to assess loss absorbency.</w:t>
            </w:r>
          </w:p>
          <w:p w14:paraId="2614EECF"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[Common Equity Tier 1] [Additional Tier 1] [Tier 2] [Other]</w:t>
            </w:r>
          </w:p>
        </w:tc>
      </w:tr>
      <w:tr w:rsidR="009658DE" w:rsidRPr="00A95602" w14:paraId="4B1AF5B8" w14:textId="77777777" w:rsidTr="001B66D7">
        <w:trPr>
          <w:trHeight w:val="259"/>
        </w:trPr>
        <w:tc>
          <w:tcPr>
            <w:tcW w:w="776" w:type="dxa"/>
            <w:vAlign w:val="center"/>
          </w:tcPr>
          <w:p w14:paraId="6677323F"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29</w:t>
            </w:r>
          </w:p>
        </w:tc>
        <w:tc>
          <w:tcPr>
            <w:tcW w:w="8711" w:type="dxa"/>
            <w:shd w:val="clear" w:color="auto" w:fill="auto"/>
            <w:noWrap/>
            <w:vAlign w:val="bottom"/>
          </w:tcPr>
          <w:p w14:paraId="05CF88BC"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If convertible, specify issuer of instrument it converts </w:t>
            </w:r>
            <w:proofErr w:type="gramStart"/>
            <w:r w:rsidRPr="00A01A6F">
              <w:rPr>
                <w:rFonts w:ascii="Times New Roman" w:eastAsia="Times New Roman" w:hAnsi="Times New Roman" w:cs="Times New Roman"/>
                <w:sz w:val="24"/>
                <w:lang w:eastAsia="ja-JP"/>
              </w:rPr>
              <w:t>into</w:t>
            </w:r>
            <w:proofErr w:type="gramEnd"/>
            <w:r w:rsidRPr="00A01A6F">
              <w:rPr>
                <w:rFonts w:ascii="Times New Roman" w:eastAsia="Times New Roman" w:hAnsi="Times New Roman" w:cs="Times New Roman"/>
                <w:sz w:val="24"/>
                <w:lang w:eastAsia="ja-JP"/>
              </w:rPr>
              <w:t>.</w:t>
            </w:r>
          </w:p>
          <w:p w14:paraId="05BD52B7"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9658DE" w:rsidRPr="00A95602" w14:paraId="0732F7A7" w14:textId="77777777" w:rsidTr="001B66D7">
        <w:trPr>
          <w:trHeight w:val="259"/>
        </w:trPr>
        <w:tc>
          <w:tcPr>
            <w:tcW w:w="776" w:type="dxa"/>
            <w:vAlign w:val="center"/>
          </w:tcPr>
          <w:p w14:paraId="6451795F"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30</w:t>
            </w:r>
          </w:p>
        </w:tc>
        <w:tc>
          <w:tcPr>
            <w:tcW w:w="8711" w:type="dxa"/>
            <w:shd w:val="clear" w:color="auto" w:fill="auto"/>
            <w:noWrap/>
            <w:vAlign w:val="bottom"/>
          </w:tcPr>
          <w:p w14:paraId="24AA1013"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whether there is a write down feature. </w:t>
            </w:r>
          </w:p>
          <w:p w14:paraId="2B376539"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[Yes] [No]</w:t>
            </w:r>
          </w:p>
        </w:tc>
      </w:tr>
      <w:tr w:rsidR="009658DE" w:rsidRPr="00A95602" w14:paraId="51848DC4" w14:textId="77777777" w:rsidTr="001B66D7">
        <w:trPr>
          <w:trHeight w:val="259"/>
        </w:trPr>
        <w:tc>
          <w:tcPr>
            <w:tcW w:w="776" w:type="dxa"/>
            <w:vAlign w:val="center"/>
          </w:tcPr>
          <w:p w14:paraId="49538122"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31</w:t>
            </w:r>
          </w:p>
        </w:tc>
        <w:tc>
          <w:tcPr>
            <w:tcW w:w="8711" w:type="dxa"/>
            <w:shd w:val="clear" w:color="auto" w:fill="auto"/>
            <w:noWrap/>
            <w:vAlign w:val="bottom"/>
          </w:tcPr>
          <w:p w14:paraId="238DC96C" w14:textId="50BB5B6A" w:rsidR="009658DE" w:rsidRPr="00A01A6F" w:rsidRDefault="009658DE" w:rsidP="00970F55">
            <w:pPr>
              <w:autoSpaceDE w:val="0"/>
              <w:autoSpaceDN w:val="0"/>
              <w:adjustRightInd w:val="0"/>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the triggers at which write-down occurs, including point of non-viability. Where one or more authorities have the ability to trigger write-down, the authorities </w:t>
            </w:r>
            <w:proofErr w:type="gramStart"/>
            <w:r w:rsidR="00A95602">
              <w:rPr>
                <w:rFonts w:ascii="Times New Roman" w:eastAsia="Times New Roman" w:hAnsi="Times New Roman" w:cs="Times New Roman"/>
                <w:sz w:val="24"/>
                <w:lang w:eastAsia="ja-JP"/>
              </w:rPr>
              <w:t>shall</w:t>
            </w:r>
            <w:r w:rsidRPr="00A01A6F">
              <w:rPr>
                <w:rFonts w:ascii="Times New Roman" w:eastAsia="Times New Roman" w:hAnsi="Times New Roman" w:cs="Times New Roman"/>
                <w:sz w:val="24"/>
                <w:lang w:eastAsia="ja-JP"/>
              </w:rPr>
              <w:t xml:space="preserve"> be listed</w:t>
            </w:r>
            <w:proofErr w:type="gramEnd"/>
            <w:r w:rsidRPr="00A01A6F">
              <w:rPr>
                <w:rFonts w:ascii="Times New Roman" w:eastAsia="Times New Roman" w:hAnsi="Times New Roman" w:cs="Times New Roman"/>
                <w:sz w:val="24"/>
                <w:lang w:eastAsia="ja-JP"/>
              </w:rPr>
              <w:t xml:space="preserve">. For each of the authorities it </w:t>
            </w:r>
            <w:r w:rsidR="00A95602">
              <w:rPr>
                <w:rFonts w:ascii="Times New Roman" w:eastAsia="Times New Roman" w:hAnsi="Times New Roman" w:cs="Times New Roman"/>
                <w:sz w:val="24"/>
                <w:lang w:eastAsia="ja-JP"/>
              </w:rPr>
              <w:t>shall</w:t>
            </w:r>
            <w:r w:rsidRPr="00A01A6F">
              <w:rPr>
                <w:rFonts w:ascii="Times New Roman" w:eastAsia="Times New Roman" w:hAnsi="Times New Roman" w:cs="Times New Roman"/>
                <w:sz w:val="24"/>
                <w:lang w:eastAsia="ja-JP"/>
              </w:rPr>
              <w:t xml:space="preserve"> be stated whether it is the terms of the contract of the instrument that provide the legal basis for the authority to trigger write-down (a </w:t>
            </w:r>
            <w:r w:rsidRPr="00A01A6F">
              <w:rPr>
                <w:rFonts w:ascii="Times New Roman" w:eastAsia="Times New Roman" w:hAnsi="Times New Roman" w:cs="Times New Roman"/>
                <w:sz w:val="24"/>
                <w:lang w:eastAsia="ja-JP"/>
              </w:rPr>
              <w:lastRenderedPageBreak/>
              <w:t xml:space="preserve">contractual approach) or whether the legal basis is provided by statutory means (a statutory approach </w:t>
            </w:r>
          </w:p>
          <w:p w14:paraId="1175066F"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9658DE" w:rsidRPr="00A95602" w14:paraId="083B4824" w14:textId="77777777" w:rsidTr="001B66D7">
        <w:trPr>
          <w:trHeight w:val="259"/>
        </w:trPr>
        <w:tc>
          <w:tcPr>
            <w:tcW w:w="776" w:type="dxa"/>
            <w:vAlign w:val="center"/>
          </w:tcPr>
          <w:p w14:paraId="653F6FF1"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lastRenderedPageBreak/>
              <w:t>32</w:t>
            </w:r>
          </w:p>
        </w:tc>
        <w:tc>
          <w:tcPr>
            <w:tcW w:w="8711" w:type="dxa"/>
            <w:shd w:val="clear" w:color="auto" w:fill="auto"/>
            <w:noWrap/>
            <w:vAlign w:val="bottom"/>
          </w:tcPr>
          <w:p w14:paraId="4DB6654A"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whether the instrument will always </w:t>
            </w:r>
            <w:proofErr w:type="gramStart"/>
            <w:r w:rsidRPr="00A01A6F">
              <w:rPr>
                <w:rFonts w:ascii="Times New Roman" w:eastAsia="Times New Roman" w:hAnsi="Times New Roman" w:cs="Times New Roman"/>
                <w:sz w:val="24"/>
                <w:lang w:eastAsia="ja-JP"/>
              </w:rPr>
              <w:t>be written down</w:t>
            </w:r>
            <w:proofErr w:type="gramEnd"/>
            <w:r w:rsidRPr="00A01A6F">
              <w:rPr>
                <w:rFonts w:ascii="Times New Roman" w:eastAsia="Times New Roman" w:hAnsi="Times New Roman" w:cs="Times New Roman"/>
                <w:sz w:val="24"/>
                <w:lang w:eastAsia="ja-JP"/>
              </w:rPr>
              <w:t xml:space="preserve"> fully, may be written down partially, or will always be written down partially. Helps assess the level of loss absorbency at write-down.</w:t>
            </w:r>
          </w:p>
          <w:p w14:paraId="6958A192"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[Always Fully] [Fully or Partially] [Always partially] ]</w:t>
            </w:r>
          </w:p>
        </w:tc>
      </w:tr>
      <w:tr w:rsidR="009658DE" w:rsidRPr="00A95602" w14:paraId="4F1F0376" w14:textId="77777777" w:rsidTr="001B66D7">
        <w:trPr>
          <w:trHeight w:val="259"/>
        </w:trPr>
        <w:tc>
          <w:tcPr>
            <w:tcW w:w="776" w:type="dxa"/>
            <w:vAlign w:val="center"/>
          </w:tcPr>
          <w:p w14:paraId="654B4858"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33</w:t>
            </w:r>
          </w:p>
        </w:tc>
        <w:tc>
          <w:tcPr>
            <w:tcW w:w="8711" w:type="dxa"/>
            <w:shd w:val="clear" w:color="auto" w:fill="auto"/>
            <w:noWrap/>
            <w:vAlign w:val="bottom"/>
          </w:tcPr>
          <w:p w14:paraId="14234BD0"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For write down instrument, specifies whether write down is permanent or temporary. </w:t>
            </w:r>
          </w:p>
          <w:p w14:paraId="292016FF"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[Permanent] [Temporary] [NA]</w:t>
            </w:r>
          </w:p>
        </w:tc>
      </w:tr>
      <w:tr w:rsidR="009658DE" w:rsidRPr="00A95602" w14:paraId="656C4ACC" w14:textId="77777777" w:rsidTr="001B66D7">
        <w:trPr>
          <w:trHeight w:val="259"/>
        </w:trPr>
        <w:tc>
          <w:tcPr>
            <w:tcW w:w="776" w:type="dxa"/>
            <w:vAlign w:val="center"/>
          </w:tcPr>
          <w:p w14:paraId="73D4A300"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34</w:t>
            </w:r>
          </w:p>
        </w:tc>
        <w:tc>
          <w:tcPr>
            <w:tcW w:w="8711" w:type="dxa"/>
            <w:shd w:val="clear" w:color="auto" w:fill="auto"/>
            <w:noWrap/>
            <w:vAlign w:val="bottom"/>
          </w:tcPr>
          <w:p w14:paraId="3F7E2EBC"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Describes the write-up mechanism.</w:t>
            </w:r>
          </w:p>
          <w:p w14:paraId="66D3C653"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1C502A" w:rsidRPr="001C502A" w14:paraId="46A860AF" w14:textId="77777777" w:rsidTr="001B66D7">
        <w:trPr>
          <w:trHeight w:val="259"/>
        </w:trPr>
        <w:tc>
          <w:tcPr>
            <w:tcW w:w="776" w:type="dxa"/>
            <w:vAlign w:val="center"/>
          </w:tcPr>
          <w:p w14:paraId="067E5C7D"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34a</w:t>
            </w:r>
          </w:p>
        </w:tc>
        <w:tc>
          <w:tcPr>
            <w:tcW w:w="8711" w:type="dxa"/>
            <w:shd w:val="clear" w:color="auto" w:fill="auto"/>
            <w:noWrap/>
            <w:vAlign w:val="bottom"/>
          </w:tcPr>
          <w:p w14:paraId="38AEDBDC" w14:textId="572FDD03" w:rsidR="009658DE" w:rsidRPr="00802CF8" w:rsidRDefault="009658DE" w:rsidP="00970F55">
            <w:pPr>
              <w:spacing w:after="200" w:line="276" w:lineRule="auto"/>
              <w:jc w:val="both"/>
              <w:rPr>
                <w:rFonts w:ascii="Times New Roman" w:eastAsia="Times New Roman" w:hAnsi="Times New Roman" w:cs="Times New Roman"/>
                <w:sz w:val="24"/>
                <w:lang w:eastAsia="ja-JP"/>
              </w:rPr>
            </w:pPr>
            <w:r w:rsidRPr="00802CF8">
              <w:rPr>
                <w:rFonts w:ascii="Times New Roman" w:eastAsia="Times New Roman" w:hAnsi="Times New Roman" w:cs="Times New Roman"/>
                <w:sz w:val="24"/>
                <w:lang w:eastAsia="ja-JP"/>
              </w:rPr>
              <w:t>Type of subordination</w:t>
            </w:r>
            <w:r w:rsidR="004A6748" w:rsidRPr="00802CF8">
              <w:rPr>
                <w:rFonts w:ascii="Times New Roman" w:eastAsia="Times New Roman" w:hAnsi="Times New Roman" w:cs="Times New Roman"/>
                <w:sz w:val="24"/>
                <w:lang w:eastAsia="ja-JP"/>
              </w:rPr>
              <w:t xml:space="preserve"> (only for eligible liabilities)</w:t>
            </w:r>
          </w:p>
          <w:p w14:paraId="1A25E15A" w14:textId="77777777" w:rsidR="004A6748" w:rsidRPr="00802CF8" w:rsidRDefault="004A6748" w:rsidP="00970F55">
            <w:pPr>
              <w:spacing w:after="200" w:line="276" w:lineRule="auto"/>
              <w:jc w:val="both"/>
              <w:rPr>
                <w:rFonts w:ascii="Times New Roman" w:eastAsia="Times New Roman" w:hAnsi="Times New Roman" w:cs="Times New Roman"/>
                <w:sz w:val="24"/>
                <w:lang w:eastAsia="ja-JP"/>
              </w:rPr>
            </w:pPr>
            <w:r w:rsidRPr="00802CF8">
              <w:rPr>
                <w:rFonts w:ascii="Times New Roman" w:eastAsia="Times New Roman" w:hAnsi="Times New Roman" w:cs="Times New Roman"/>
                <w:sz w:val="24"/>
                <w:lang w:eastAsia="ja-JP"/>
              </w:rPr>
              <w:t xml:space="preserve">Specifies whether the instrument meets any of the types of subordination described in Article </w:t>
            </w:r>
            <w:proofErr w:type="gramStart"/>
            <w:r w:rsidRPr="00802CF8">
              <w:rPr>
                <w:rFonts w:ascii="Times New Roman" w:eastAsia="Times New Roman" w:hAnsi="Times New Roman" w:cs="Times New Roman"/>
                <w:sz w:val="24"/>
                <w:lang w:eastAsia="ja-JP"/>
              </w:rPr>
              <w:t>72b(</w:t>
            </w:r>
            <w:proofErr w:type="gramEnd"/>
            <w:r w:rsidRPr="00802CF8">
              <w:rPr>
                <w:rFonts w:ascii="Times New Roman" w:eastAsia="Times New Roman" w:hAnsi="Times New Roman" w:cs="Times New Roman"/>
                <w:sz w:val="24"/>
                <w:lang w:eastAsia="ja-JP"/>
              </w:rPr>
              <w:t>2)(d) (</w:t>
            </w:r>
            <w:proofErr w:type="spellStart"/>
            <w:r w:rsidRPr="00802CF8">
              <w:rPr>
                <w:rFonts w:ascii="Times New Roman" w:eastAsia="Times New Roman" w:hAnsi="Times New Roman" w:cs="Times New Roman"/>
                <w:sz w:val="24"/>
                <w:lang w:eastAsia="ja-JP"/>
              </w:rPr>
              <w:t>i</w:t>
            </w:r>
            <w:proofErr w:type="spellEnd"/>
            <w:r w:rsidRPr="00802CF8">
              <w:rPr>
                <w:rFonts w:ascii="Times New Roman" w:eastAsia="Times New Roman" w:hAnsi="Times New Roman" w:cs="Times New Roman"/>
                <w:sz w:val="24"/>
                <w:lang w:eastAsia="ja-JP"/>
              </w:rPr>
              <w:t xml:space="preserve">), (ii) or (iii). </w:t>
            </w:r>
          </w:p>
          <w:p w14:paraId="3A42EC6C" w14:textId="77777777" w:rsidR="004A6748" w:rsidRPr="00802CF8" w:rsidRDefault="004A6748" w:rsidP="00970F55">
            <w:pPr>
              <w:spacing w:after="200" w:line="276" w:lineRule="auto"/>
              <w:jc w:val="both"/>
              <w:rPr>
                <w:rFonts w:ascii="Times New Roman" w:eastAsia="Times New Roman" w:hAnsi="Times New Roman" w:cs="Times New Roman"/>
                <w:i/>
                <w:sz w:val="24"/>
                <w:lang w:eastAsia="ja-JP"/>
              </w:rPr>
            </w:pPr>
            <w:r w:rsidRPr="00802CF8">
              <w:rPr>
                <w:rFonts w:ascii="Times New Roman" w:eastAsia="Times New Roman" w:hAnsi="Times New Roman" w:cs="Times New Roman"/>
                <w:i/>
                <w:sz w:val="24"/>
                <w:lang w:eastAsia="ja-JP"/>
              </w:rPr>
              <w:t>Select from menu:</w:t>
            </w:r>
          </w:p>
          <w:p w14:paraId="3474C3F3" w14:textId="77777777" w:rsidR="004A6748" w:rsidRPr="00802CF8" w:rsidRDefault="004A6748" w:rsidP="00970F55">
            <w:pPr>
              <w:spacing w:after="200" w:line="276" w:lineRule="auto"/>
              <w:jc w:val="both"/>
              <w:rPr>
                <w:rFonts w:ascii="Times New Roman" w:eastAsia="Times New Roman" w:hAnsi="Times New Roman" w:cs="Times New Roman"/>
                <w:i/>
                <w:sz w:val="24"/>
                <w:lang w:eastAsia="ja-JP"/>
              </w:rPr>
            </w:pPr>
            <w:r w:rsidRPr="00802CF8">
              <w:rPr>
                <w:rFonts w:ascii="Times New Roman" w:eastAsia="Times New Roman" w:hAnsi="Times New Roman" w:cs="Times New Roman"/>
                <w:i/>
                <w:sz w:val="24"/>
                <w:lang w:eastAsia="ja-JP"/>
              </w:rPr>
              <w:t xml:space="preserve"> [Contractual] if the instrument meets the requirements set out in Article 72b(2)(d) (</w:t>
            </w:r>
            <w:proofErr w:type="spellStart"/>
            <w:r w:rsidRPr="00802CF8">
              <w:rPr>
                <w:rFonts w:ascii="Times New Roman" w:eastAsia="Times New Roman" w:hAnsi="Times New Roman" w:cs="Times New Roman"/>
                <w:i/>
                <w:sz w:val="24"/>
                <w:lang w:eastAsia="ja-JP"/>
              </w:rPr>
              <w:t>i</w:t>
            </w:r>
            <w:proofErr w:type="spellEnd"/>
            <w:r w:rsidRPr="00802CF8">
              <w:rPr>
                <w:rFonts w:ascii="Times New Roman" w:eastAsia="Times New Roman" w:hAnsi="Times New Roman" w:cs="Times New Roman"/>
                <w:i/>
                <w:sz w:val="24"/>
                <w:lang w:eastAsia="ja-JP"/>
              </w:rPr>
              <w:t>) of the CRR;</w:t>
            </w:r>
          </w:p>
          <w:p w14:paraId="7E8E1D83" w14:textId="77777777" w:rsidR="004A6748" w:rsidRPr="00802CF8" w:rsidRDefault="004A6748" w:rsidP="00970F55">
            <w:pPr>
              <w:spacing w:after="200" w:line="276" w:lineRule="auto"/>
              <w:jc w:val="both"/>
              <w:rPr>
                <w:rFonts w:ascii="Times New Roman" w:eastAsia="Times New Roman" w:hAnsi="Times New Roman" w:cs="Times New Roman"/>
                <w:i/>
                <w:sz w:val="24"/>
                <w:lang w:eastAsia="ja-JP"/>
              </w:rPr>
            </w:pPr>
            <w:r w:rsidRPr="00802CF8">
              <w:rPr>
                <w:rFonts w:ascii="Times New Roman" w:eastAsia="Times New Roman" w:hAnsi="Times New Roman" w:cs="Times New Roman"/>
                <w:i/>
                <w:sz w:val="24"/>
                <w:lang w:eastAsia="ja-JP"/>
              </w:rPr>
              <w:t xml:space="preserve"> [Statutory] if the instrument meets the requirements set out in Article 72b(2)(d) (ii);</w:t>
            </w:r>
          </w:p>
          <w:p w14:paraId="2D0F1B6F" w14:textId="77777777" w:rsidR="004A6748" w:rsidRPr="00802CF8" w:rsidRDefault="004A6748" w:rsidP="00970F55">
            <w:pPr>
              <w:spacing w:after="200" w:line="276" w:lineRule="auto"/>
              <w:jc w:val="both"/>
              <w:rPr>
                <w:rFonts w:ascii="Times New Roman" w:eastAsia="Times New Roman" w:hAnsi="Times New Roman" w:cs="Times New Roman"/>
                <w:i/>
                <w:sz w:val="24"/>
                <w:lang w:eastAsia="ja-JP"/>
              </w:rPr>
            </w:pPr>
            <w:r w:rsidRPr="00802CF8">
              <w:rPr>
                <w:rFonts w:ascii="Times New Roman" w:eastAsia="Times New Roman" w:hAnsi="Times New Roman" w:cs="Times New Roman"/>
                <w:i/>
                <w:sz w:val="24"/>
                <w:lang w:eastAsia="ja-JP"/>
              </w:rPr>
              <w:t xml:space="preserve">[Structural]  if the instrument meets the requirements set out in Article 72b(2)(d) (iii); </w:t>
            </w:r>
          </w:p>
          <w:p w14:paraId="27356675" w14:textId="344E91AC" w:rsidR="009658DE" w:rsidRPr="00802CF8" w:rsidRDefault="004A6748" w:rsidP="006E6CC7">
            <w:pPr>
              <w:spacing w:after="200" w:line="276" w:lineRule="auto"/>
              <w:jc w:val="both"/>
              <w:rPr>
                <w:rFonts w:ascii="Times New Roman" w:eastAsia="Times New Roman" w:hAnsi="Times New Roman" w:cs="Times New Roman"/>
                <w:sz w:val="24"/>
                <w:lang w:eastAsia="ja-JP"/>
              </w:rPr>
            </w:pPr>
            <w:r w:rsidRPr="00802CF8">
              <w:rPr>
                <w:rFonts w:ascii="Times New Roman" w:eastAsia="Times New Roman" w:hAnsi="Times New Roman" w:cs="Times New Roman"/>
                <w:i/>
                <w:sz w:val="24"/>
                <w:lang w:eastAsia="ja-JP"/>
              </w:rPr>
              <w:t xml:space="preserve">[Exemption from subordination] where the instrument does not meet any of the abovementioned forms of subordination and provided the institution has been permitted, </w:t>
            </w:r>
            <w:r w:rsidR="006E6CC7">
              <w:rPr>
                <w:rFonts w:ascii="Times New Roman" w:eastAsia="Times New Roman" w:hAnsi="Times New Roman" w:cs="Times New Roman"/>
                <w:i/>
                <w:sz w:val="24"/>
                <w:lang w:eastAsia="ja-JP"/>
              </w:rPr>
              <w:t xml:space="preserve">pursuant to Article </w:t>
            </w:r>
            <w:proofErr w:type="gramStart"/>
            <w:r w:rsidR="006E6CC7">
              <w:rPr>
                <w:rFonts w:ascii="Times New Roman" w:eastAsia="Times New Roman" w:hAnsi="Times New Roman" w:cs="Times New Roman"/>
                <w:i/>
                <w:sz w:val="24"/>
                <w:lang w:eastAsia="ja-JP"/>
              </w:rPr>
              <w:t>72b(</w:t>
            </w:r>
            <w:proofErr w:type="gramEnd"/>
            <w:r w:rsidR="006E6CC7">
              <w:rPr>
                <w:rFonts w:ascii="Times New Roman" w:eastAsia="Times New Roman" w:hAnsi="Times New Roman" w:cs="Times New Roman"/>
                <w:i/>
                <w:sz w:val="24"/>
                <w:lang w:eastAsia="ja-JP"/>
              </w:rPr>
              <w:t>4</w:t>
            </w:r>
            <w:r w:rsidRPr="00802CF8">
              <w:rPr>
                <w:rFonts w:ascii="Times New Roman" w:eastAsia="Times New Roman" w:hAnsi="Times New Roman" w:cs="Times New Roman"/>
                <w:i/>
                <w:sz w:val="24"/>
                <w:lang w:eastAsia="ja-JP"/>
              </w:rPr>
              <w:t>)</w:t>
            </w:r>
            <w:r w:rsidR="006E6CC7">
              <w:rPr>
                <w:rFonts w:ascii="Times New Roman" w:eastAsia="Times New Roman" w:hAnsi="Times New Roman" w:cs="Times New Roman"/>
                <w:i/>
                <w:sz w:val="24"/>
                <w:lang w:eastAsia="ja-JP"/>
              </w:rPr>
              <w:t xml:space="preserve"> of CRR</w:t>
            </w:r>
            <w:r w:rsidRPr="00802CF8">
              <w:rPr>
                <w:rFonts w:ascii="Times New Roman" w:eastAsia="Times New Roman" w:hAnsi="Times New Roman" w:cs="Times New Roman"/>
                <w:i/>
                <w:sz w:val="24"/>
                <w:lang w:eastAsia="ja-JP"/>
              </w:rPr>
              <w:t>, to include unsubordinated liabilities as eligible liabilities items.</w:t>
            </w:r>
          </w:p>
        </w:tc>
      </w:tr>
      <w:tr w:rsidR="004A6748" w:rsidRPr="00A95602" w14:paraId="09FFCC53" w14:textId="77777777" w:rsidTr="001B66D7">
        <w:trPr>
          <w:trHeight w:val="259"/>
        </w:trPr>
        <w:tc>
          <w:tcPr>
            <w:tcW w:w="776" w:type="dxa"/>
            <w:vAlign w:val="center"/>
          </w:tcPr>
          <w:p w14:paraId="7457C424" w14:textId="0E84F4BE" w:rsidR="004A6748" w:rsidRPr="00BD6709" w:rsidRDefault="00FC22F3" w:rsidP="004A6748">
            <w:pPr>
              <w:spacing w:after="200" w:line="276" w:lineRule="auto"/>
              <w:rPr>
                <w:rFonts w:ascii="Times New Roman" w:eastAsia="Times New Roman" w:hAnsi="Times New Roman" w:cs="Times New Roman"/>
                <w:sz w:val="24"/>
                <w:lang w:eastAsia="ja-JP"/>
              </w:rPr>
            </w:pPr>
            <w:r>
              <w:rPr>
                <w:rFonts w:ascii="Times New Roman" w:eastAsia="Times New Roman" w:hAnsi="Times New Roman" w:cs="Times New Roman"/>
                <w:sz w:val="24"/>
                <w:lang w:eastAsia="ja-JP"/>
              </w:rPr>
              <w:t>EU-</w:t>
            </w:r>
            <w:r w:rsidR="004A6748" w:rsidRPr="00A01A6F">
              <w:rPr>
                <w:rFonts w:ascii="Times New Roman" w:eastAsia="Times New Roman" w:hAnsi="Times New Roman" w:cs="Times New Roman"/>
                <w:sz w:val="24"/>
                <w:lang w:eastAsia="ja-JP"/>
              </w:rPr>
              <w:t>34b</w:t>
            </w:r>
          </w:p>
        </w:tc>
        <w:tc>
          <w:tcPr>
            <w:tcW w:w="8711" w:type="dxa"/>
            <w:shd w:val="clear" w:color="auto" w:fill="auto"/>
            <w:noWrap/>
            <w:vAlign w:val="bottom"/>
          </w:tcPr>
          <w:p w14:paraId="5EC1697D" w14:textId="77777777" w:rsidR="004A6748" w:rsidRPr="00802CF8" w:rsidRDefault="004A6748" w:rsidP="00970F55">
            <w:pPr>
              <w:spacing w:after="200" w:line="276" w:lineRule="auto"/>
              <w:jc w:val="both"/>
              <w:rPr>
                <w:rFonts w:ascii="Times New Roman" w:eastAsia="Times New Roman" w:hAnsi="Times New Roman" w:cs="Times New Roman"/>
                <w:sz w:val="24"/>
                <w:lang w:eastAsia="ja-JP"/>
              </w:rPr>
            </w:pPr>
            <w:r w:rsidRPr="00802CF8">
              <w:rPr>
                <w:rFonts w:ascii="Times New Roman" w:eastAsia="Times New Roman" w:hAnsi="Times New Roman" w:cs="Times New Roman"/>
                <w:sz w:val="24"/>
                <w:lang w:eastAsia="ja-JP"/>
              </w:rPr>
              <w:t>Specifies the ranking of the instrument in normal insolvency proceedings.</w:t>
            </w:r>
          </w:p>
          <w:p w14:paraId="660C8965" w14:textId="3CF8CA6F" w:rsidR="004A6748" w:rsidRPr="00802CF8" w:rsidRDefault="004A6748" w:rsidP="00970F55">
            <w:pPr>
              <w:spacing w:after="200" w:line="276" w:lineRule="auto"/>
              <w:jc w:val="both"/>
              <w:rPr>
                <w:rFonts w:ascii="Times New Roman" w:eastAsia="Times New Roman" w:hAnsi="Times New Roman" w:cs="Times New Roman"/>
                <w:sz w:val="24"/>
                <w:lang w:eastAsia="ja-JP"/>
              </w:rPr>
            </w:pPr>
            <w:r w:rsidRPr="00802CF8">
              <w:rPr>
                <w:rFonts w:ascii="Times New Roman" w:eastAsia="Times New Roman" w:hAnsi="Times New Roman" w:cs="Times New Roman"/>
                <w:i/>
                <w:sz w:val="24"/>
                <w:lang w:eastAsia="ja-JP"/>
              </w:rPr>
              <w:t>As defined in [</w:t>
            </w:r>
            <w:proofErr w:type="gramStart"/>
            <w:r w:rsidRPr="00802CF8">
              <w:rPr>
                <w:rFonts w:ascii="Times New Roman" w:eastAsia="Times New Roman" w:hAnsi="Times New Roman" w:cs="Times New Roman"/>
                <w:i/>
                <w:sz w:val="24"/>
                <w:lang w:eastAsia="ja-JP"/>
              </w:rPr>
              <w:t>ITS</w:t>
            </w:r>
            <w:proofErr w:type="gramEnd"/>
            <w:r w:rsidRPr="00802CF8">
              <w:rPr>
                <w:rFonts w:ascii="Times New Roman" w:eastAsia="Times New Roman" w:hAnsi="Times New Roman" w:cs="Times New Roman"/>
                <w:i/>
                <w:sz w:val="24"/>
                <w:lang w:eastAsia="ja-JP"/>
              </w:rPr>
              <w:t xml:space="preserve"> on MREL reporting].</w:t>
            </w:r>
          </w:p>
        </w:tc>
      </w:tr>
      <w:tr w:rsidR="009658DE" w:rsidRPr="00A95602" w14:paraId="22BB9A6C" w14:textId="75CEF1F5" w:rsidTr="001B66D7">
        <w:trPr>
          <w:trHeight w:val="259"/>
        </w:trPr>
        <w:tc>
          <w:tcPr>
            <w:tcW w:w="776" w:type="dxa"/>
            <w:vAlign w:val="center"/>
          </w:tcPr>
          <w:p w14:paraId="4491ECAB" w14:textId="506D6C44"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35</w:t>
            </w:r>
          </w:p>
        </w:tc>
        <w:tc>
          <w:tcPr>
            <w:tcW w:w="8711" w:type="dxa"/>
            <w:shd w:val="clear" w:color="auto" w:fill="auto"/>
            <w:noWrap/>
            <w:vAlign w:val="bottom"/>
          </w:tcPr>
          <w:p w14:paraId="2D3146D2" w14:textId="64CFBC56"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Specifies instrument to which it is most immediately subordinate. Where applicable, banks </w:t>
            </w:r>
            <w:r w:rsidR="00A95602">
              <w:rPr>
                <w:rFonts w:ascii="Times New Roman" w:eastAsia="Times New Roman" w:hAnsi="Times New Roman" w:cs="Times New Roman"/>
                <w:sz w:val="24"/>
                <w:lang w:eastAsia="ja-JP"/>
              </w:rPr>
              <w:t>shall</w:t>
            </w:r>
            <w:r w:rsidRPr="00A01A6F">
              <w:rPr>
                <w:rFonts w:ascii="Times New Roman" w:eastAsia="Times New Roman" w:hAnsi="Times New Roman" w:cs="Times New Roman"/>
                <w:sz w:val="24"/>
                <w:lang w:eastAsia="ja-JP"/>
              </w:rPr>
              <w:t xml:space="preserve"> specify the column numbers of the instruments in the completed main features </w:t>
            </w:r>
            <w:r w:rsidR="00BB5F93">
              <w:rPr>
                <w:rFonts w:ascii="Times New Roman" w:eastAsia="Times New Roman" w:hAnsi="Times New Roman" w:cs="Times New Roman"/>
                <w:sz w:val="24"/>
                <w:lang w:eastAsia="ja-JP"/>
              </w:rPr>
              <w:t>table</w:t>
            </w:r>
            <w:r w:rsidR="00BB5F93" w:rsidRPr="00A01A6F">
              <w:rPr>
                <w:rFonts w:ascii="Times New Roman" w:eastAsia="Times New Roman" w:hAnsi="Times New Roman" w:cs="Times New Roman"/>
                <w:sz w:val="24"/>
                <w:lang w:eastAsia="ja-JP"/>
              </w:rPr>
              <w:t xml:space="preserve"> </w:t>
            </w:r>
            <w:r w:rsidRPr="00A01A6F">
              <w:rPr>
                <w:rFonts w:ascii="Times New Roman" w:eastAsia="Times New Roman" w:hAnsi="Times New Roman" w:cs="Times New Roman"/>
                <w:sz w:val="24"/>
                <w:lang w:eastAsia="ja-JP"/>
              </w:rPr>
              <w:t>to which the instrument is most immediately subordinate.</w:t>
            </w:r>
          </w:p>
          <w:p w14:paraId="5676B2F1" w14:textId="2EE3D77F"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9658DE" w:rsidRPr="00A95602" w14:paraId="4F841019" w14:textId="77777777" w:rsidTr="001B66D7">
        <w:trPr>
          <w:trHeight w:val="259"/>
        </w:trPr>
        <w:tc>
          <w:tcPr>
            <w:tcW w:w="776" w:type="dxa"/>
            <w:vAlign w:val="center"/>
          </w:tcPr>
          <w:p w14:paraId="121FF708"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lastRenderedPageBreak/>
              <w:t>36</w:t>
            </w:r>
          </w:p>
        </w:tc>
        <w:tc>
          <w:tcPr>
            <w:tcW w:w="8711" w:type="dxa"/>
            <w:shd w:val="clear" w:color="auto" w:fill="auto"/>
            <w:noWrap/>
            <w:vAlign w:val="bottom"/>
          </w:tcPr>
          <w:p w14:paraId="6F54A08E" w14:textId="7777777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Specifies whether there are non-compliant features.</w:t>
            </w:r>
          </w:p>
          <w:p w14:paraId="1CA05FB3"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Select from menu: [Yes] [No]</w:t>
            </w:r>
          </w:p>
        </w:tc>
      </w:tr>
      <w:tr w:rsidR="009658DE" w:rsidRPr="00A95602" w14:paraId="7ADD007C" w14:textId="77777777" w:rsidTr="001B66D7">
        <w:trPr>
          <w:trHeight w:val="259"/>
        </w:trPr>
        <w:tc>
          <w:tcPr>
            <w:tcW w:w="776" w:type="dxa"/>
            <w:vAlign w:val="center"/>
          </w:tcPr>
          <w:p w14:paraId="186A6028" w14:textId="77777777" w:rsidR="009658DE" w:rsidRPr="00A01A6F" w:rsidRDefault="009658DE"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37</w:t>
            </w:r>
          </w:p>
        </w:tc>
        <w:tc>
          <w:tcPr>
            <w:tcW w:w="8711" w:type="dxa"/>
            <w:shd w:val="clear" w:color="auto" w:fill="auto"/>
            <w:noWrap/>
            <w:vAlign w:val="bottom"/>
          </w:tcPr>
          <w:p w14:paraId="43F7A68A" w14:textId="12019267" w:rsidR="009658DE" w:rsidRPr="00A01A6F" w:rsidRDefault="009658DE"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 xml:space="preserve">If there are non-compliant features, institution </w:t>
            </w:r>
            <w:r w:rsidR="004A6748">
              <w:rPr>
                <w:rFonts w:ascii="Times New Roman" w:eastAsia="Times New Roman" w:hAnsi="Times New Roman" w:cs="Times New Roman"/>
                <w:sz w:val="24"/>
                <w:lang w:eastAsia="ja-JP"/>
              </w:rPr>
              <w:t>shall</w:t>
            </w:r>
            <w:r w:rsidR="004A6748" w:rsidRPr="00A01A6F">
              <w:rPr>
                <w:rFonts w:ascii="Times New Roman" w:eastAsia="Times New Roman" w:hAnsi="Times New Roman" w:cs="Times New Roman"/>
                <w:sz w:val="24"/>
                <w:lang w:eastAsia="ja-JP"/>
              </w:rPr>
              <w:t xml:space="preserve"> </w:t>
            </w:r>
            <w:r w:rsidRPr="00A01A6F">
              <w:rPr>
                <w:rFonts w:ascii="Times New Roman" w:eastAsia="Times New Roman" w:hAnsi="Times New Roman" w:cs="Times New Roman"/>
                <w:sz w:val="24"/>
                <w:lang w:eastAsia="ja-JP"/>
              </w:rPr>
              <w:t xml:space="preserve">specify which ones. </w:t>
            </w:r>
          </w:p>
          <w:p w14:paraId="0EBCC4F7" w14:textId="77777777" w:rsidR="009658DE" w:rsidRPr="00A01A6F" w:rsidRDefault="009658DE" w:rsidP="00970F55">
            <w:pPr>
              <w:spacing w:after="200" w:line="276" w:lineRule="auto"/>
              <w:jc w:val="both"/>
              <w:rPr>
                <w:rFonts w:ascii="Times New Roman" w:eastAsia="Times New Roman" w:hAnsi="Times New Roman" w:cs="Times New Roman"/>
                <w:i/>
                <w:sz w:val="24"/>
                <w:lang w:eastAsia="ja-JP"/>
              </w:rPr>
            </w:pPr>
            <w:r w:rsidRPr="00A01A6F">
              <w:rPr>
                <w:rFonts w:ascii="Times New Roman" w:eastAsia="Times New Roman" w:hAnsi="Times New Roman" w:cs="Times New Roman"/>
                <w:i/>
                <w:sz w:val="24"/>
                <w:lang w:eastAsia="ja-JP"/>
              </w:rPr>
              <w:t>Free text</w:t>
            </w:r>
          </w:p>
        </w:tc>
      </w:tr>
      <w:tr w:rsidR="00FD6A9F" w:rsidRPr="00181925" w14:paraId="3E9AF05B" w14:textId="77777777" w:rsidTr="001B66D7">
        <w:trPr>
          <w:trHeight w:val="259"/>
        </w:trPr>
        <w:tc>
          <w:tcPr>
            <w:tcW w:w="776" w:type="dxa"/>
            <w:vAlign w:val="center"/>
          </w:tcPr>
          <w:p w14:paraId="354CFA4C" w14:textId="0CA5AAA8" w:rsidR="00FD6A9F" w:rsidRPr="00A01A6F" w:rsidRDefault="00FD6A9F" w:rsidP="009658DE">
            <w:pPr>
              <w:spacing w:after="200" w:line="276" w:lineRule="auto"/>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37a</w:t>
            </w:r>
          </w:p>
        </w:tc>
        <w:tc>
          <w:tcPr>
            <w:tcW w:w="8711" w:type="dxa"/>
            <w:shd w:val="clear" w:color="auto" w:fill="auto"/>
            <w:noWrap/>
            <w:vAlign w:val="bottom"/>
          </w:tcPr>
          <w:p w14:paraId="652B063B" w14:textId="70A3BDFD" w:rsidR="00FD6A9F" w:rsidRPr="00A01A6F" w:rsidRDefault="00FD6A9F" w:rsidP="00970F55">
            <w:pPr>
              <w:spacing w:after="200" w:line="276" w:lineRule="auto"/>
              <w:jc w:val="both"/>
              <w:rPr>
                <w:rFonts w:ascii="Times New Roman" w:eastAsia="Times New Roman" w:hAnsi="Times New Roman" w:cs="Times New Roman"/>
                <w:sz w:val="24"/>
                <w:lang w:eastAsia="ja-JP"/>
              </w:rPr>
            </w:pPr>
            <w:r w:rsidRPr="00A01A6F">
              <w:rPr>
                <w:rFonts w:ascii="Times New Roman" w:eastAsia="Times New Roman" w:hAnsi="Times New Roman" w:cs="Times New Roman"/>
                <w:sz w:val="24"/>
                <w:lang w:eastAsia="ja-JP"/>
              </w:rPr>
              <w:t>Institutions shall include the hyperlink that gives access to the prospectus of the issuance, including all the terms and conditions of the instrument.</w:t>
            </w:r>
          </w:p>
        </w:tc>
      </w:tr>
      <w:bookmarkEnd w:id="0"/>
      <w:bookmarkEnd w:id="1"/>
      <w:bookmarkEnd w:id="2"/>
      <w:bookmarkEnd w:id="3"/>
      <w:bookmarkEnd w:id="4"/>
      <w:bookmarkEnd w:id="5"/>
      <w:bookmarkEnd w:id="6"/>
      <w:bookmarkEnd w:id="7"/>
      <w:bookmarkEnd w:id="8"/>
      <w:bookmarkEnd w:id="9"/>
    </w:tbl>
    <w:p w14:paraId="0B687D33" w14:textId="77777777" w:rsidR="004D7854" w:rsidRPr="00181925" w:rsidRDefault="004D7854" w:rsidP="004D7854">
      <w:pPr>
        <w:rPr>
          <w:rFonts w:ascii="Times New Roman" w:hAnsi="Times New Roman" w:cs="Times New Roman"/>
          <w:bCs/>
          <w:sz w:val="24"/>
        </w:rPr>
      </w:pPr>
    </w:p>
    <w:sectPr w:rsidR="004D7854" w:rsidRPr="00181925" w:rsidSect="000F33D3">
      <w:footerReference w:type="default" r:id="rId8"/>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32351" w14:textId="77777777" w:rsidR="007335CF" w:rsidRDefault="007335CF" w:rsidP="00A00E34">
      <w:r>
        <w:separator/>
      </w:r>
    </w:p>
    <w:p w14:paraId="45BEB431" w14:textId="77777777" w:rsidR="007335CF" w:rsidRDefault="007335CF"/>
  </w:endnote>
  <w:endnote w:type="continuationSeparator" w:id="0">
    <w:p w14:paraId="481BE060" w14:textId="77777777" w:rsidR="007335CF" w:rsidRDefault="007335CF" w:rsidP="00A00E34">
      <w:r>
        <w:continuationSeparator/>
      </w:r>
    </w:p>
    <w:p w14:paraId="707B90B9" w14:textId="77777777" w:rsidR="007335CF" w:rsidRDefault="00733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704084"/>
      <w:docPartObj>
        <w:docPartGallery w:val="Page Numbers (Bottom of Page)"/>
        <w:docPartUnique/>
      </w:docPartObj>
    </w:sdtPr>
    <w:sdtEndPr>
      <w:rPr>
        <w:noProof/>
      </w:rPr>
    </w:sdtEndPr>
    <w:sdtContent>
      <w:p w14:paraId="44B2B30F" w14:textId="68CDAEC9" w:rsidR="007335CF" w:rsidRDefault="007335CF">
        <w:pPr>
          <w:pStyle w:val="Footer"/>
          <w:jc w:val="right"/>
        </w:pPr>
        <w:r>
          <w:fldChar w:fldCharType="begin"/>
        </w:r>
        <w:r>
          <w:instrText xml:space="preserve"> PAGE   \* MERGEFORMAT </w:instrText>
        </w:r>
        <w:r>
          <w:fldChar w:fldCharType="separate"/>
        </w:r>
        <w:r w:rsidR="001705D7">
          <w:rPr>
            <w:noProof/>
          </w:rPr>
          <w:t>19</w:t>
        </w:r>
        <w:r>
          <w:rPr>
            <w:noProof/>
          </w:rPr>
          <w:fldChar w:fldCharType="end"/>
        </w:r>
      </w:p>
    </w:sdtContent>
  </w:sdt>
  <w:p w14:paraId="2302812C" w14:textId="77777777" w:rsidR="007335CF" w:rsidRDefault="00733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4835D" w14:textId="77777777" w:rsidR="007335CF" w:rsidRPr="00DB5E8F" w:rsidRDefault="007335CF">
      <w:pPr>
        <w:rPr>
          <w:sz w:val="12"/>
          <w:szCs w:val="12"/>
        </w:rPr>
      </w:pPr>
      <w:r w:rsidRPr="00DB5E8F">
        <w:rPr>
          <w:sz w:val="12"/>
          <w:szCs w:val="12"/>
        </w:rPr>
        <w:separator/>
      </w:r>
    </w:p>
  </w:footnote>
  <w:footnote w:type="continuationSeparator" w:id="0">
    <w:p w14:paraId="49DE89A8" w14:textId="77777777" w:rsidR="007335CF" w:rsidRDefault="007335CF" w:rsidP="00A00E34">
      <w:r>
        <w:continuationSeparator/>
      </w:r>
    </w:p>
    <w:p w14:paraId="7953BDC8" w14:textId="77777777" w:rsidR="007335CF" w:rsidRDefault="007335CF"/>
  </w:footnote>
  <w:footnote w:type="continuationNotice" w:id="1">
    <w:p w14:paraId="70CE7EAB" w14:textId="77777777" w:rsidR="007335CF" w:rsidRDefault="007335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1785"/>
    <w:multiLevelType w:val="hybridMultilevel"/>
    <w:tmpl w:val="06983DAE"/>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80"/>
        </w:tabs>
        <w:ind w:left="-180" w:hanging="360"/>
      </w:pPr>
    </w:lvl>
    <w:lvl w:ilvl="2" w:tplc="0809001B">
      <w:start w:val="1"/>
      <w:numFmt w:val="lowerRoman"/>
      <w:lvlText w:val="%3."/>
      <w:lvlJc w:val="right"/>
      <w:pPr>
        <w:tabs>
          <w:tab w:val="num" w:pos="540"/>
        </w:tabs>
        <w:ind w:left="540" w:hanging="180"/>
      </w:pPr>
    </w:lvl>
    <w:lvl w:ilvl="3" w:tplc="0809000F">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4"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6"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767C0"/>
    <w:multiLevelType w:val="hybridMultilevel"/>
    <w:tmpl w:val="06983DA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10"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1"/>
  </w:num>
  <w:num w:numId="6">
    <w:abstractNumId w:val="1"/>
  </w:num>
  <w:num w:numId="7">
    <w:abstractNumId w:val="10"/>
  </w:num>
  <w:num w:numId="8">
    <w:abstractNumId w:val="8"/>
  </w:num>
  <w:num w:numId="9">
    <w:abstractNumId w:val="0"/>
  </w:num>
  <w:num w:numId="10">
    <w:abstractNumId w:val="4"/>
  </w:num>
  <w:num w:numId="11">
    <w:abstractNumId w:val="9"/>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7270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GL-REC 20XX XX (FINAL GLS-REC ON"/>
  </w:docVars>
  <w:rsids>
    <w:rsidRoot w:val="006307A5"/>
    <w:rsid w:val="00001873"/>
    <w:rsid w:val="00003F50"/>
    <w:rsid w:val="00013281"/>
    <w:rsid w:val="000152D6"/>
    <w:rsid w:val="00015DE4"/>
    <w:rsid w:val="000231B7"/>
    <w:rsid w:val="00027CA0"/>
    <w:rsid w:val="00030D65"/>
    <w:rsid w:val="00034F4F"/>
    <w:rsid w:val="00040129"/>
    <w:rsid w:val="000536DB"/>
    <w:rsid w:val="00060A3C"/>
    <w:rsid w:val="00060C0E"/>
    <w:rsid w:val="00060F40"/>
    <w:rsid w:val="00062830"/>
    <w:rsid w:val="00062937"/>
    <w:rsid w:val="00066A9A"/>
    <w:rsid w:val="000769C4"/>
    <w:rsid w:val="000774B3"/>
    <w:rsid w:val="00080651"/>
    <w:rsid w:val="00081467"/>
    <w:rsid w:val="00083C33"/>
    <w:rsid w:val="000843CD"/>
    <w:rsid w:val="00085E01"/>
    <w:rsid w:val="000918FE"/>
    <w:rsid w:val="00096C95"/>
    <w:rsid w:val="000A1C81"/>
    <w:rsid w:val="000A2565"/>
    <w:rsid w:val="000A3851"/>
    <w:rsid w:val="000B1645"/>
    <w:rsid w:val="000C5A8A"/>
    <w:rsid w:val="000C7FD8"/>
    <w:rsid w:val="000D1FC3"/>
    <w:rsid w:val="000D7A44"/>
    <w:rsid w:val="000E0C27"/>
    <w:rsid w:val="000E6D15"/>
    <w:rsid w:val="000F33D3"/>
    <w:rsid w:val="000F3E72"/>
    <w:rsid w:val="000F607B"/>
    <w:rsid w:val="000F6495"/>
    <w:rsid w:val="000F6FD8"/>
    <w:rsid w:val="001061FA"/>
    <w:rsid w:val="00107CC3"/>
    <w:rsid w:val="0011517F"/>
    <w:rsid w:val="00121BB0"/>
    <w:rsid w:val="00121E46"/>
    <w:rsid w:val="00123AEB"/>
    <w:rsid w:val="00123F9E"/>
    <w:rsid w:val="0012686C"/>
    <w:rsid w:val="00126F48"/>
    <w:rsid w:val="0013090C"/>
    <w:rsid w:val="00131C5D"/>
    <w:rsid w:val="00133881"/>
    <w:rsid w:val="00141649"/>
    <w:rsid w:val="00142DF6"/>
    <w:rsid w:val="00145D24"/>
    <w:rsid w:val="00147499"/>
    <w:rsid w:val="00152832"/>
    <w:rsid w:val="00154596"/>
    <w:rsid w:val="001600FC"/>
    <w:rsid w:val="0016737A"/>
    <w:rsid w:val="001705D7"/>
    <w:rsid w:val="00172007"/>
    <w:rsid w:val="0017330E"/>
    <w:rsid w:val="0017446F"/>
    <w:rsid w:val="00177CB9"/>
    <w:rsid w:val="00181925"/>
    <w:rsid w:val="001834D4"/>
    <w:rsid w:val="00192287"/>
    <w:rsid w:val="001A016C"/>
    <w:rsid w:val="001A2A81"/>
    <w:rsid w:val="001A5BD4"/>
    <w:rsid w:val="001A70A8"/>
    <w:rsid w:val="001B2C0D"/>
    <w:rsid w:val="001B5520"/>
    <w:rsid w:val="001B6017"/>
    <w:rsid w:val="001B66D7"/>
    <w:rsid w:val="001B7A0B"/>
    <w:rsid w:val="001B7EB3"/>
    <w:rsid w:val="001C1FD9"/>
    <w:rsid w:val="001C4DBD"/>
    <w:rsid w:val="001C502A"/>
    <w:rsid w:val="001C5BC2"/>
    <w:rsid w:val="001D0179"/>
    <w:rsid w:val="001E1188"/>
    <w:rsid w:val="001E3599"/>
    <w:rsid w:val="001F1CB9"/>
    <w:rsid w:val="001F7501"/>
    <w:rsid w:val="0020146D"/>
    <w:rsid w:val="00205878"/>
    <w:rsid w:val="00213D7B"/>
    <w:rsid w:val="00214DEC"/>
    <w:rsid w:val="00224761"/>
    <w:rsid w:val="00224A3F"/>
    <w:rsid w:val="00224D96"/>
    <w:rsid w:val="002277D4"/>
    <w:rsid w:val="002306C7"/>
    <w:rsid w:val="00236399"/>
    <w:rsid w:val="00241556"/>
    <w:rsid w:val="00241BD8"/>
    <w:rsid w:val="002434B0"/>
    <w:rsid w:val="00254CA9"/>
    <w:rsid w:val="00263720"/>
    <w:rsid w:val="00266553"/>
    <w:rsid w:val="00266F94"/>
    <w:rsid w:val="00267DE1"/>
    <w:rsid w:val="0027418E"/>
    <w:rsid w:val="002767AA"/>
    <w:rsid w:val="00284A9D"/>
    <w:rsid w:val="00284B51"/>
    <w:rsid w:val="00290DA3"/>
    <w:rsid w:val="002A0FF0"/>
    <w:rsid w:val="002A3A19"/>
    <w:rsid w:val="002C0DCF"/>
    <w:rsid w:val="002D1867"/>
    <w:rsid w:val="002D4CB9"/>
    <w:rsid w:val="002E626C"/>
    <w:rsid w:val="002F2009"/>
    <w:rsid w:val="00300924"/>
    <w:rsid w:val="003025A8"/>
    <w:rsid w:val="00304DDE"/>
    <w:rsid w:val="003129B6"/>
    <w:rsid w:val="00314D6E"/>
    <w:rsid w:val="003156DA"/>
    <w:rsid w:val="00317E83"/>
    <w:rsid w:val="00320E57"/>
    <w:rsid w:val="0032171F"/>
    <w:rsid w:val="003221EF"/>
    <w:rsid w:val="00322C23"/>
    <w:rsid w:val="003248A2"/>
    <w:rsid w:val="00350D0D"/>
    <w:rsid w:val="0035477B"/>
    <w:rsid w:val="003601D5"/>
    <w:rsid w:val="003604AA"/>
    <w:rsid w:val="003604E5"/>
    <w:rsid w:val="00372BEC"/>
    <w:rsid w:val="00382481"/>
    <w:rsid w:val="00392385"/>
    <w:rsid w:val="003A2097"/>
    <w:rsid w:val="003A4578"/>
    <w:rsid w:val="003B6A5A"/>
    <w:rsid w:val="003D01F8"/>
    <w:rsid w:val="003D5C73"/>
    <w:rsid w:val="003D6EFC"/>
    <w:rsid w:val="003D7A72"/>
    <w:rsid w:val="003E318D"/>
    <w:rsid w:val="004079C3"/>
    <w:rsid w:val="00407E31"/>
    <w:rsid w:val="00411DE3"/>
    <w:rsid w:val="00412567"/>
    <w:rsid w:val="00415A37"/>
    <w:rsid w:val="004172D1"/>
    <w:rsid w:val="0041780C"/>
    <w:rsid w:val="00424530"/>
    <w:rsid w:val="00431D34"/>
    <w:rsid w:val="0043577F"/>
    <w:rsid w:val="0043675A"/>
    <w:rsid w:val="00441F85"/>
    <w:rsid w:val="00445775"/>
    <w:rsid w:val="00452468"/>
    <w:rsid w:val="0045301B"/>
    <w:rsid w:val="004541F3"/>
    <w:rsid w:val="00455E0E"/>
    <w:rsid w:val="00457830"/>
    <w:rsid w:val="004719B4"/>
    <w:rsid w:val="00471CA1"/>
    <w:rsid w:val="00471CCE"/>
    <w:rsid w:val="0047368B"/>
    <w:rsid w:val="00481AC4"/>
    <w:rsid w:val="00482FB6"/>
    <w:rsid w:val="004955E7"/>
    <w:rsid w:val="0049781D"/>
    <w:rsid w:val="004A4358"/>
    <w:rsid w:val="004A5D8B"/>
    <w:rsid w:val="004A6748"/>
    <w:rsid w:val="004B0ED2"/>
    <w:rsid w:val="004B2FC0"/>
    <w:rsid w:val="004B7784"/>
    <w:rsid w:val="004C1B19"/>
    <w:rsid w:val="004C320A"/>
    <w:rsid w:val="004C350B"/>
    <w:rsid w:val="004C6392"/>
    <w:rsid w:val="004D1DB2"/>
    <w:rsid w:val="004D3523"/>
    <w:rsid w:val="004D7668"/>
    <w:rsid w:val="004D7854"/>
    <w:rsid w:val="004E405B"/>
    <w:rsid w:val="004F0AB6"/>
    <w:rsid w:val="004F63DB"/>
    <w:rsid w:val="004F7817"/>
    <w:rsid w:val="00505C64"/>
    <w:rsid w:val="005105EF"/>
    <w:rsid w:val="0051457E"/>
    <w:rsid w:val="00516D85"/>
    <w:rsid w:val="00523895"/>
    <w:rsid w:val="005331B8"/>
    <w:rsid w:val="00536BAA"/>
    <w:rsid w:val="005410AB"/>
    <w:rsid w:val="00543A44"/>
    <w:rsid w:val="00544B12"/>
    <w:rsid w:val="00565691"/>
    <w:rsid w:val="005658E3"/>
    <w:rsid w:val="005673AC"/>
    <w:rsid w:val="00571BB6"/>
    <w:rsid w:val="00575BA7"/>
    <w:rsid w:val="00582AA7"/>
    <w:rsid w:val="0058477C"/>
    <w:rsid w:val="0058568F"/>
    <w:rsid w:val="00593D83"/>
    <w:rsid w:val="005A6911"/>
    <w:rsid w:val="005B5C09"/>
    <w:rsid w:val="005B7D63"/>
    <w:rsid w:val="005C3DFF"/>
    <w:rsid w:val="005C46A2"/>
    <w:rsid w:val="005C498B"/>
    <w:rsid w:val="005C590A"/>
    <w:rsid w:val="005D4005"/>
    <w:rsid w:val="005D40D1"/>
    <w:rsid w:val="005D7532"/>
    <w:rsid w:val="005E0636"/>
    <w:rsid w:val="005E7F29"/>
    <w:rsid w:val="005F3FED"/>
    <w:rsid w:val="006017FA"/>
    <w:rsid w:val="006059B2"/>
    <w:rsid w:val="00610305"/>
    <w:rsid w:val="00610419"/>
    <w:rsid w:val="00611DDB"/>
    <w:rsid w:val="00612C7B"/>
    <w:rsid w:val="00615CA4"/>
    <w:rsid w:val="006209BD"/>
    <w:rsid w:val="006224C1"/>
    <w:rsid w:val="00622726"/>
    <w:rsid w:val="006269B7"/>
    <w:rsid w:val="006307A5"/>
    <w:rsid w:val="00633DC7"/>
    <w:rsid w:val="00636E1D"/>
    <w:rsid w:val="00655112"/>
    <w:rsid w:val="00663B0A"/>
    <w:rsid w:val="006641F8"/>
    <w:rsid w:val="006671A5"/>
    <w:rsid w:val="00670254"/>
    <w:rsid w:val="00680E3F"/>
    <w:rsid w:val="006973AC"/>
    <w:rsid w:val="006A0D6A"/>
    <w:rsid w:val="006C1006"/>
    <w:rsid w:val="006C186D"/>
    <w:rsid w:val="006C257B"/>
    <w:rsid w:val="006D7393"/>
    <w:rsid w:val="006E2336"/>
    <w:rsid w:val="006E55E1"/>
    <w:rsid w:val="006E6CC7"/>
    <w:rsid w:val="006F2E13"/>
    <w:rsid w:val="006F445D"/>
    <w:rsid w:val="006F72C6"/>
    <w:rsid w:val="00703E4E"/>
    <w:rsid w:val="007071C6"/>
    <w:rsid w:val="00711E1C"/>
    <w:rsid w:val="00712D2C"/>
    <w:rsid w:val="00721FBA"/>
    <w:rsid w:val="007269B8"/>
    <w:rsid w:val="00730352"/>
    <w:rsid w:val="007335CF"/>
    <w:rsid w:val="00742839"/>
    <w:rsid w:val="007457ED"/>
    <w:rsid w:val="00745B15"/>
    <w:rsid w:val="00752710"/>
    <w:rsid w:val="00755505"/>
    <w:rsid w:val="00762FE2"/>
    <w:rsid w:val="0076316D"/>
    <w:rsid w:val="00770BA4"/>
    <w:rsid w:val="00772993"/>
    <w:rsid w:val="007815FB"/>
    <w:rsid w:val="00781D80"/>
    <w:rsid w:val="00785FA0"/>
    <w:rsid w:val="00791DE5"/>
    <w:rsid w:val="007A0054"/>
    <w:rsid w:val="007A2A87"/>
    <w:rsid w:val="007A38F2"/>
    <w:rsid w:val="007A44A6"/>
    <w:rsid w:val="007A5353"/>
    <w:rsid w:val="007A634A"/>
    <w:rsid w:val="007B00C5"/>
    <w:rsid w:val="007B3D63"/>
    <w:rsid w:val="007B69D6"/>
    <w:rsid w:val="007C480D"/>
    <w:rsid w:val="007C55D0"/>
    <w:rsid w:val="007E17FF"/>
    <w:rsid w:val="007E57CE"/>
    <w:rsid w:val="007F0336"/>
    <w:rsid w:val="00802CF8"/>
    <w:rsid w:val="008054E1"/>
    <w:rsid w:val="00811B51"/>
    <w:rsid w:val="008123E1"/>
    <w:rsid w:val="00813BAC"/>
    <w:rsid w:val="00813CD4"/>
    <w:rsid w:val="00821B9D"/>
    <w:rsid w:val="00823FF9"/>
    <w:rsid w:val="0083698E"/>
    <w:rsid w:val="0084468C"/>
    <w:rsid w:val="00844EE2"/>
    <w:rsid w:val="0085041F"/>
    <w:rsid w:val="00851389"/>
    <w:rsid w:val="00851DC4"/>
    <w:rsid w:val="008552A0"/>
    <w:rsid w:val="00862D23"/>
    <w:rsid w:val="00865492"/>
    <w:rsid w:val="00867CB4"/>
    <w:rsid w:val="008708AB"/>
    <w:rsid w:val="008710F1"/>
    <w:rsid w:val="00874ED5"/>
    <w:rsid w:val="008804A3"/>
    <w:rsid w:val="008810BC"/>
    <w:rsid w:val="008923EC"/>
    <w:rsid w:val="008B0845"/>
    <w:rsid w:val="008C086F"/>
    <w:rsid w:val="008C1A94"/>
    <w:rsid w:val="008C5B82"/>
    <w:rsid w:val="008C676F"/>
    <w:rsid w:val="008C700B"/>
    <w:rsid w:val="008E0286"/>
    <w:rsid w:val="008E0B40"/>
    <w:rsid w:val="008E5D6B"/>
    <w:rsid w:val="008F2190"/>
    <w:rsid w:val="008F3908"/>
    <w:rsid w:val="009014B6"/>
    <w:rsid w:val="00907326"/>
    <w:rsid w:val="0091023A"/>
    <w:rsid w:val="00912882"/>
    <w:rsid w:val="00912895"/>
    <w:rsid w:val="009210DE"/>
    <w:rsid w:val="00922245"/>
    <w:rsid w:val="0092311E"/>
    <w:rsid w:val="00943B87"/>
    <w:rsid w:val="00943C57"/>
    <w:rsid w:val="00950374"/>
    <w:rsid w:val="00950380"/>
    <w:rsid w:val="009531CB"/>
    <w:rsid w:val="00953FD4"/>
    <w:rsid w:val="0096160F"/>
    <w:rsid w:val="009658DE"/>
    <w:rsid w:val="00965B80"/>
    <w:rsid w:val="009702C5"/>
    <w:rsid w:val="00970F55"/>
    <w:rsid w:val="009874AC"/>
    <w:rsid w:val="00993B1E"/>
    <w:rsid w:val="009A6CFC"/>
    <w:rsid w:val="009A7B54"/>
    <w:rsid w:val="009B6F48"/>
    <w:rsid w:val="009B7766"/>
    <w:rsid w:val="009C12C9"/>
    <w:rsid w:val="009C1CE7"/>
    <w:rsid w:val="009D55F7"/>
    <w:rsid w:val="009E38A2"/>
    <w:rsid w:val="009E4107"/>
    <w:rsid w:val="009E76BE"/>
    <w:rsid w:val="009E79BF"/>
    <w:rsid w:val="009F12DA"/>
    <w:rsid w:val="009F3FE6"/>
    <w:rsid w:val="009F53AF"/>
    <w:rsid w:val="009F7480"/>
    <w:rsid w:val="00A00793"/>
    <w:rsid w:val="00A00E34"/>
    <w:rsid w:val="00A01A6F"/>
    <w:rsid w:val="00A062C7"/>
    <w:rsid w:val="00A10257"/>
    <w:rsid w:val="00A1373A"/>
    <w:rsid w:val="00A14332"/>
    <w:rsid w:val="00A23608"/>
    <w:rsid w:val="00A268BE"/>
    <w:rsid w:val="00A27B9D"/>
    <w:rsid w:val="00A27D88"/>
    <w:rsid w:val="00A304D0"/>
    <w:rsid w:val="00A37FED"/>
    <w:rsid w:val="00A4607D"/>
    <w:rsid w:val="00A53EC9"/>
    <w:rsid w:val="00A725D6"/>
    <w:rsid w:val="00A72C7D"/>
    <w:rsid w:val="00A76F9E"/>
    <w:rsid w:val="00A81586"/>
    <w:rsid w:val="00A9135C"/>
    <w:rsid w:val="00A92440"/>
    <w:rsid w:val="00A92FBB"/>
    <w:rsid w:val="00A95602"/>
    <w:rsid w:val="00AB104D"/>
    <w:rsid w:val="00AB2476"/>
    <w:rsid w:val="00AC565D"/>
    <w:rsid w:val="00AC5B77"/>
    <w:rsid w:val="00AD0C73"/>
    <w:rsid w:val="00AD68A6"/>
    <w:rsid w:val="00AE1A2D"/>
    <w:rsid w:val="00AE40A8"/>
    <w:rsid w:val="00AE5347"/>
    <w:rsid w:val="00AE55F6"/>
    <w:rsid w:val="00AE56DB"/>
    <w:rsid w:val="00AE5F3C"/>
    <w:rsid w:val="00AF705F"/>
    <w:rsid w:val="00AF7442"/>
    <w:rsid w:val="00B11575"/>
    <w:rsid w:val="00B13C87"/>
    <w:rsid w:val="00B1710D"/>
    <w:rsid w:val="00B27C1B"/>
    <w:rsid w:val="00B32510"/>
    <w:rsid w:val="00B3595C"/>
    <w:rsid w:val="00B36D5E"/>
    <w:rsid w:val="00B41D2E"/>
    <w:rsid w:val="00B43E07"/>
    <w:rsid w:val="00B526A8"/>
    <w:rsid w:val="00B55FAB"/>
    <w:rsid w:val="00B6734E"/>
    <w:rsid w:val="00B72FCD"/>
    <w:rsid w:val="00B76198"/>
    <w:rsid w:val="00B83D9D"/>
    <w:rsid w:val="00B84529"/>
    <w:rsid w:val="00B87D5A"/>
    <w:rsid w:val="00B96F7F"/>
    <w:rsid w:val="00BA414B"/>
    <w:rsid w:val="00BB2111"/>
    <w:rsid w:val="00BB5F93"/>
    <w:rsid w:val="00BC7FD2"/>
    <w:rsid w:val="00BD6709"/>
    <w:rsid w:val="00BD7264"/>
    <w:rsid w:val="00BE089D"/>
    <w:rsid w:val="00BE4814"/>
    <w:rsid w:val="00C03AE7"/>
    <w:rsid w:val="00C05D9D"/>
    <w:rsid w:val="00C102BB"/>
    <w:rsid w:val="00C122DA"/>
    <w:rsid w:val="00C12FA8"/>
    <w:rsid w:val="00C2347B"/>
    <w:rsid w:val="00C261D1"/>
    <w:rsid w:val="00C32777"/>
    <w:rsid w:val="00C33ED6"/>
    <w:rsid w:val="00C35592"/>
    <w:rsid w:val="00C356AF"/>
    <w:rsid w:val="00C41927"/>
    <w:rsid w:val="00C439D6"/>
    <w:rsid w:val="00C43FD9"/>
    <w:rsid w:val="00C44EB2"/>
    <w:rsid w:val="00C47E8F"/>
    <w:rsid w:val="00C54CC8"/>
    <w:rsid w:val="00C57BC4"/>
    <w:rsid w:val="00C60915"/>
    <w:rsid w:val="00C964B8"/>
    <w:rsid w:val="00CA3955"/>
    <w:rsid w:val="00CD39AD"/>
    <w:rsid w:val="00CD4AF7"/>
    <w:rsid w:val="00CD4C1C"/>
    <w:rsid w:val="00CE0E35"/>
    <w:rsid w:val="00CE3517"/>
    <w:rsid w:val="00D01670"/>
    <w:rsid w:val="00D05C26"/>
    <w:rsid w:val="00D05E45"/>
    <w:rsid w:val="00D062AC"/>
    <w:rsid w:val="00D120EF"/>
    <w:rsid w:val="00D152E7"/>
    <w:rsid w:val="00D2174F"/>
    <w:rsid w:val="00D21F91"/>
    <w:rsid w:val="00D33027"/>
    <w:rsid w:val="00D36DFB"/>
    <w:rsid w:val="00D3796C"/>
    <w:rsid w:val="00D44360"/>
    <w:rsid w:val="00D53948"/>
    <w:rsid w:val="00D549B9"/>
    <w:rsid w:val="00D54D18"/>
    <w:rsid w:val="00D557EE"/>
    <w:rsid w:val="00D56058"/>
    <w:rsid w:val="00D57F4B"/>
    <w:rsid w:val="00D65001"/>
    <w:rsid w:val="00D656AD"/>
    <w:rsid w:val="00D765DC"/>
    <w:rsid w:val="00D76E91"/>
    <w:rsid w:val="00D811FA"/>
    <w:rsid w:val="00D81F8C"/>
    <w:rsid w:val="00D849AA"/>
    <w:rsid w:val="00D84FEE"/>
    <w:rsid w:val="00D872D1"/>
    <w:rsid w:val="00DA6122"/>
    <w:rsid w:val="00DB0E3D"/>
    <w:rsid w:val="00DB2AD2"/>
    <w:rsid w:val="00DB4809"/>
    <w:rsid w:val="00DB5E8F"/>
    <w:rsid w:val="00DC3E99"/>
    <w:rsid w:val="00DC5C27"/>
    <w:rsid w:val="00DC7C3E"/>
    <w:rsid w:val="00DD40A7"/>
    <w:rsid w:val="00DE30E0"/>
    <w:rsid w:val="00DE6A90"/>
    <w:rsid w:val="00DF1A0E"/>
    <w:rsid w:val="00E032F7"/>
    <w:rsid w:val="00E11B1A"/>
    <w:rsid w:val="00E14AA0"/>
    <w:rsid w:val="00E15377"/>
    <w:rsid w:val="00E22BCE"/>
    <w:rsid w:val="00E258D8"/>
    <w:rsid w:val="00E27884"/>
    <w:rsid w:val="00E326FF"/>
    <w:rsid w:val="00E34B8E"/>
    <w:rsid w:val="00E361B0"/>
    <w:rsid w:val="00E37D82"/>
    <w:rsid w:val="00E41563"/>
    <w:rsid w:val="00E45D6A"/>
    <w:rsid w:val="00E574A1"/>
    <w:rsid w:val="00E62DB8"/>
    <w:rsid w:val="00E63010"/>
    <w:rsid w:val="00E677EF"/>
    <w:rsid w:val="00E706D2"/>
    <w:rsid w:val="00E7159B"/>
    <w:rsid w:val="00E859DF"/>
    <w:rsid w:val="00E87041"/>
    <w:rsid w:val="00E93BE6"/>
    <w:rsid w:val="00E95201"/>
    <w:rsid w:val="00EA1807"/>
    <w:rsid w:val="00EA4947"/>
    <w:rsid w:val="00EC0C41"/>
    <w:rsid w:val="00EC11F0"/>
    <w:rsid w:val="00EC1594"/>
    <w:rsid w:val="00EC1B31"/>
    <w:rsid w:val="00EC1C8C"/>
    <w:rsid w:val="00ED2521"/>
    <w:rsid w:val="00ED2FB9"/>
    <w:rsid w:val="00EE0C7D"/>
    <w:rsid w:val="00EE2A43"/>
    <w:rsid w:val="00EE456B"/>
    <w:rsid w:val="00EF35BF"/>
    <w:rsid w:val="00EF381C"/>
    <w:rsid w:val="00F00C37"/>
    <w:rsid w:val="00F034AC"/>
    <w:rsid w:val="00F124BE"/>
    <w:rsid w:val="00F15397"/>
    <w:rsid w:val="00F160D2"/>
    <w:rsid w:val="00F4748D"/>
    <w:rsid w:val="00F53841"/>
    <w:rsid w:val="00F53B21"/>
    <w:rsid w:val="00F612B3"/>
    <w:rsid w:val="00F653FF"/>
    <w:rsid w:val="00F7064A"/>
    <w:rsid w:val="00F747AD"/>
    <w:rsid w:val="00F76D8A"/>
    <w:rsid w:val="00F87F11"/>
    <w:rsid w:val="00F942CA"/>
    <w:rsid w:val="00F9452C"/>
    <w:rsid w:val="00FA4060"/>
    <w:rsid w:val="00FB310C"/>
    <w:rsid w:val="00FB482B"/>
    <w:rsid w:val="00FB7206"/>
    <w:rsid w:val="00FC1D72"/>
    <w:rsid w:val="00FC22F3"/>
    <w:rsid w:val="00FC5DAA"/>
    <w:rsid w:val="00FD6A9F"/>
    <w:rsid w:val="00FE0C92"/>
    <w:rsid w:val="00FE5577"/>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5"/>
    <o:shapelayout v:ext="edit">
      <o:idmap v:ext="edit" data="1"/>
    </o:shapelayout>
  </w:shapeDefaults>
  <w:decimalSymbol w:val="."/>
  <w:listSeparator w:val=","/>
  <w14:docId w14:val="1EA7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uiPriority w:val="99"/>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customStyle="1" w:styleId="TableTitle">
    <w:name w:val="TableTitle"/>
    <w:basedOn w:val="Normal"/>
    <w:next w:val="Normal"/>
    <w:link w:val="TableTitleChar"/>
    <w:rsid w:val="00DD40A7"/>
    <w:pPr>
      <w:keepNext/>
      <w:spacing w:before="120" w:after="240"/>
      <w:jc w:val="center"/>
    </w:pPr>
    <w:rPr>
      <w:rFonts w:ascii="Arial" w:eastAsia="MS Mincho" w:hAnsi="Arial" w:cs="Times New Roman"/>
      <w:b/>
      <w:noProof/>
      <w:szCs w:val="20"/>
      <w:lang w:val="en-GB"/>
    </w:rPr>
  </w:style>
  <w:style w:type="character" w:customStyle="1" w:styleId="TableTitleChar">
    <w:name w:val="TableTitle Char"/>
    <w:basedOn w:val="DefaultParagraphFont"/>
    <w:link w:val="TableTitle"/>
    <w:locked/>
    <w:rsid w:val="00DD40A7"/>
    <w:rPr>
      <w:rFonts w:ascii="Arial" w:eastAsia="MS Mincho" w:hAnsi="Arial" w:cs="Times New Roman"/>
      <w:b/>
      <w:noProof/>
      <w:sz w:val="22"/>
      <w:szCs w:val="20"/>
      <w:lang w:val="en-GB"/>
    </w:rPr>
  </w:style>
  <w:style w:type="paragraph" w:styleId="Revision">
    <w:name w:val="Revision"/>
    <w:hidden/>
    <w:uiPriority w:val="99"/>
    <w:semiHidden/>
    <w:rsid w:val="00BD670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39952">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135836879">
      <w:bodyDiv w:val="1"/>
      <w:marLeft w:val="0"/>
      <w:marRight w:val="0"/>
      <w:marTop w:val="0"/>
      <w:marBottom w:val="0"/>
      <w:divBdr>
        <w:top w:val="none" w:sz="0" w:space="0" w:color="auto"/>
        <w:left w:val="none" w:sz="0" w:space="0" w:color="auto"/>
        <w:bottom w:val="none" w:sz="0" w:space="0" w:color="auto"/>
        <w:right w:val="none" w:sz="0" w:space="0" w:color="auto"/>
      </w:divBdr>
    </w:div>
    <w:div w:id="1406999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3FCC-0BEC-479B-B9F9-570292465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4731</Words>
  <Characters>27538</Characters>
  <Application>Microsoft Office Word</Application>
  <DocSecurity>0</DocSecurity>
  <Lines>1835</Lines>
  <Paragraphs>1792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2019-09-18T08:40:00Z</dcterms:created>
  <dcterms:modified xsi:type="dcterms:W3CDTF">2019-09-30T17:51:00Z</dcterms:modified>
</cp:coreProperties>
</file>