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A165" w14:textId="22F8E73D" w:rsidR="005673AC" w:rsidRPr="00035669" w:rsidRDefault="00AE1555" w:rsidP="00035669">
      <w:pPr>
        <w:pStyle w:val="Annexetitre"/>
        <w:rPr>
          <w:b w:val="0"/>
          <w:noProof/>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sidRPr="00581203">
        <w:rPr>
          <w:noProof/>
        </w:rPr>
        <w:t xml:space="preserve">ANNEX </w:t>
      </w:r>
      <w:r w:rsidR="00692F84">
        <w:rPr>
          <w:noProof/>
        </w:rPr>
        <w:t>12</w:t>
      </w:r>
      <w:r w:rsidRPr="00581203">
        <w:rPr>
          <w:noProof/>
        </w:rPr>
        <w:t xml:space="preserve"> – Instructions for the dislcosure of information on</w:t>
      </w:r>
      <w:r w:rsidR="005673AC" w:rsidRPr="00581203">
        <w:rPr>
          <w:noProof/>
        </w:rPr>
        <w:t xml:space="preserve"> </w:t>
      </w:r>
      <w:r w:rsidRPr="007A4D79">
        <w:rPr>
          <w:noProof/>
        </w:rPr>
        <w:t>c</w:t>
      </w:r>
      <w:r w:rsidR="005673AC" w:rsidRPr="007A4D79">
        <w:rPr>
          <w:noProof/>
        </w:rPr>
        <w:t>ountercyclical capital buffers</w:t>
      </w:r>
    </w:p>
    <w:p w14:paraId="779D1D01" w14:textId="77777777" w:rsidR="00856FC4" w:rsidRPr="00581203" w:rsidRDefault="00856FC4" w:rsidP="00856FC4">
      <w:pPr>
        <w:autoSpaceDE w:val="0"/>
        <w:autoSpaceDN w:val="0"/>
        <w:adjustRightInd w:val="0"/>
        <w:jc w:val="both"/>
        <w:rPr>
          <w:rFonts w:ascii="Times New Roman" w:hAnsi="Times New Roman" w:cs="Times New Roman"/>
          <w:b/>
          <w:sz w:val="24"/>
          <w:lang w:val="en-GB"/>
        </w:rPr>
      </w:pPr>
    </w:p>
    <w:p w14:paraId="6A6C5B12" w14:textId="391F9D33" w:rsidR="00856FC4" w:rsidRPr="00035669" w:rsidRDefault="00856FC4" w:rsidP="000D59D3">
      <w:pPr>
        <w:autoSpaceDE w:val="0"/>
        <w:autoSpaceDN w:val="0"/>
        <w:adjustRightInd w:val="0"/>
        <w:jc w:val="both"/>
        <w:rPr>
          <w:rFonts w:ascii="Times New Roman" w:hAnsi="Times New Roman" w:cs="Times New Roman"/>
          <w:sz w:val="24"/>
          <w:lang w:val="en-GB"/>
        </w:rPr>
      </w:pPr>
      <w:r w:rsidRPr="00581203">
        <w:rPr>
          <w:rFonts w:ascii="Times New Roman" w:hAnsi="Times New Roman" w:cs="Times New Roman"/>
          <w:b/>
          <w:sz w:val="24"/>
          <w:lang w:val="en-GB"/>
        </w:rPr>
        <w:t xml:space="preserve">Template </w:t>
      </w:r>
      <w:r w:rsidR="00A07BDA">
        <w:rPr>
          <w:rFonts w:ascii="Times New Roman" w:hAnsi="Times New Roman" w:cs="Times New Roman"/>
          <w:b/>
          <w:sz w:val="24"/>
          <w:lang w:val="en-GB"/>
        </w:rPr>
        <w:t xml:space="preserve">EU </w:t>
      </w:r>
      <w:r w:rsidRPr="00581203">
        <w:rPr>
          <w:rFonts w:ascii="Times New Roman" w:hAnsi="Times New Roman" w:cs="Times New Roman"/>
          <w:b/>
          <w:sz w:val="24"/>
          <w:lang w:val="en-GB"/>
        </w:rPr>
        <w:t>CC</w:t>
      </w:r>
      <w:r w:rsidR="008825AF" w:rsidRPr="00581203">
        <w:rPr>
          <w:rFonts w:ascii="Times New Roman" w:hAnsi="Times New Roman" w:cs="Times New Roman"/>
          <w:b/>
          <w:sz w:val="24"/>
          <w:lang w:val="en-GB"/>
        </w:rPr>
        <w:t>y</w:t>
      </w:r>
      <w:r w:rsidR="00035669">
        <w:rPr>
          <w:rFonts w:ascii="Times New Roman" w:hAnsi="Times New Roman" w:cs="Times New Roman"/>
          <w:b/>
          <w:sz w:val="24"/>
          <w:lang w:val="en-GB"/>
        </w:rPr>
        <w:t>B1 -</w:t>
      </w:r>
      <w:r w:rsidRPr="00581203">
        <w:rPr>
          <w:rFonts w:ascii="Times New Roman" w:hAnsi="Times New Roman" w:cs="Times New Roman"/>
          <w:b/>
          <w:sz w:val="24"/>
          <w:lang w:val="en-GB"/>
        </w:rPr>
        <w:t xml:space="preserve"> Geographical distribution of credit exposures relevant for the calculation of the countercyclical capital buffer</w:t>
      </w:r>
      <w:r w:rsidR="00581203">
        <w:rPr>
          <w:rFonts w:ascii="Times New Roman" w:hAnsi="Times New Roman" w:cs="Times New Roman"/>
          <w:b/>
          <w:sz w:val="24"/>
          <w:lang w:val="en-GB"/>
        </w:rPr>
        <w:t xml:space="preserve">. </w:t>
      </w:r>
      <w:r w:rsidR="00581203" w:rsidRPr="00035669">
        <w:rPr>
          <w:rFonts w:ascii="Times New Roman" w:hAnsi="Times New Roman" w:cs="Times New Roman"/>
          <w:sz w:val="24"/>
          <w:lang w:val="en-GB"/>
        </w:rPr>
        <w:t xml:space="preserve">Fixed </w:t>
      </w:r>
      <w:r w:rsidR="00C126D6" w:rsidRPr="00035669">
        <w:rPr>
          <w:rFonts w:ascii="Times New Roman" w:hAnsi="Times New Roman" w:cs="Times New Roman"/>
          <w:sz w:val="24"/>
          <w:lang w:val="en-GB"/>
        </w:rPr>
        <w:t xml:space="preserve">format for </w:t>
      </w:r>
      <w:r w:rsidR="00581203" w:rsidRPr="00035669">
        <w:rPr>
          <w:rFonts w:ascii="Times New Roman" w:hAnsi="Times New Roman" w:cs="Times New Roman"/>
          <w:sz w:val="24"/>
          <w:lang w:val="en-GB"/>
        </w:rPr>
        <w:t xml:space="preserve">columns, flexible </w:t>
      </w:r>
      <w:r w:rsidR="00C126D6" w:rsidRPr="00035669">
        <w:rPr>
          <w:rFonts w:ascii="Times New Roman" w:hAnsi="Times New Roman" w:cs="Times New Roman"/>
          <w:sz w:val="24"/>
          <w:lang w:val="en-GB"/>
        </w:rPr>
        <w:t xml:space="preserve">format for </w:t>
      </w:r>
      <w:r w:rsidR="00581203" w:rsidRPr="00035669">
        <w:rPr>
          <w:rFonts w:ascii="Times New Roman" w:hAnsi="Times New Roman" w:cs="Times New Roman"/>
          <w:sz w:val="24"/>
          <w:lang w:val="en-GB"/>
        </w:rPr>
        <w:t>rows.</w:t>
      </w:r>
      <w:r w:rsidR="000D59D3" w:rsidRPr="00035669">
        <w:rPr>
          <w:rFonts w:ascii="Times New Roman" w:hAnsi="Times New Roman" w:cs="Times New Roman"/>
          <w:sz w:val="24"/>
          <w:lang w:val="en-GB"/>
        </w:rPr>
        <w:t xml:space="preserve"> </w:t>
      </w:r>
    </w:p>
    <w:p w14:paraId="7E36C6D2" w14:textId="16766153" w:rsidR="00581203" w:rsidRDefault="00581203" w:rsidP="000D59D3">
      <w:pPr>
        <w:autoSpaceDE w:val="0"/>
        <w:autoSpaceDN w:val="0"/>
        <w:adjustRightInd w:val="0"/>
        <w:jc w:val="both"/>
        <w:rPr>
          <w:rFonts w:ascii="Times New Roman" w:hAnsi="Times New Roman" w:cs="Times New Roman"/>
          <w:b/>
          <w:sz w:val="24"/>
          <w:lang w:val="en-GB"/>
        </w:rPr>
      </w:pPr>
    </w:p>
    <w:p w14:paraId="7A4BBABC" w14:textId="5B0E0AE2" w:rsidR="007A4D79" w:rsidRPr="007A4D79" w:rsidRDefault="007A4D79" w:rsidP="00034192">
      <w:pPr>
        <w:pStyle w:val="ListParagraph"/>
        <w:numPr>
          <w:ilvl w:val="0"/>
          <w:numId w:val="38"/>
        </w:numPr>
        <w:spacing w:before="120" w:after="120"/>
        <w:ind w:left="425" w:hanging="357"/>
        <w:rPr>
          <w:rFonts w:ascii="Times New Roman" w:hAnsi="Times New Roman"/>
          <w:sz w:val="24"/>
        </w:rPr>
      </w:pPr>
      <w:r w:rsidRPr="007A4D79">
        <w:rPr>
          <w:rFonts w:ascii="Times New Roman" w:hAnsi="Times New Roman"/>
          <w:sz w:val="24"/>
        </w:rPr>
        <w:t xml:space="preserve">Institutions shall </w:t>
      </w:r>
      <w:r w:rsidR="00692F84">
        <w:rPr>
          <w:rFonts w:ascii="Times New Roman" w:hAnsi="Times New Roman"/>
          <w:sz w:val="24"/>
        </w:rPr>
        <w:t xml:space="preserve">apply the instructions provided below in this Annex in order to complete </w:t>
      </w:r>
      <w:r w:rsidR="00C1090E">
        <w:rPr>
          <w:rFonts w:ascii="Times New Roman" w:hAnsi="Times New Roman"/>
          <w:sz w:val="24"/>
        </w:rPr>
        <w:t>template EU CCyB1</w:t>
      </w:r>
      <w:r w:rsidR="00692F84">
        <w:rPr>
          <w:rFonts w:ascii="Times New Roman" w:hAnsi="Times New Roman"/>
          <w:sz w:val="24"/>
        </w:rPr>
        <w:t xml:space="preserve"> as presented in Annex 11,</w:t>
      </w:r>
      <w:r w:rsidR="00035669">
        <w:rPr>
          <w:rFonts w:ascii="Times New Roman" w:hAnsi="Times New Roman"/>
          <w:sz w:val="24"/>
        </w:rPr>
        <w:t xml:space="preserve"> in application of Article 440</w:t>
      </w:r>
      <w:r w:rsidRPr="007A4D79">
        <w:rPr>
          <w:rFonts w:ascii="Times New Roman" w:hAnsi="Times New Roman"/>
          <w:sz w:val="24"/>
        </w:rPr>
        <w:t xml:space="preserve">(a) of Regulation (EU) </w:t>
      </w:r>
      <w:r w:rsidR="00C126D6" w:rsidRPr="007A4D79">
        <w:rPr>
          <w:rFonts w:ascii="Times New Roman" w:hAnsi="Times New Roman"/>
          <w:sz w:val="24"/>
        </w:rPr>
        <w:t>N</w:t>
      </w:r>
      <w:r w:rsidR="00C126D6">
        <w:rPr>
          <w:rFonts w:ascii="Times New Roman" w:hAnsi="Times New Roman"/>
          <w:sz w:val="24"/>
        </w:rPr>
        <w:t>o</w:t>
      </w:r>
      <w:r w:rsidRPr="007A4D79">
        <w:rPr>
          <w:rFonts w:ascii="Times New Roman" w:hAnsi="Times New Roman"/>
          <w:sz w:val="24"/>
        </w:rPr>
        <w:t xml:space="preserve">. 575/2013 (CRR). </w:t>
      </w:r>
    </w:p>
    <w:p w14:paraId="59EEA4BE" w14:textId="51238B2F" w:rsidR="00856FC4" w:rsidRPr="00581203" w:rsidRDefault="00856FC4" w:rsidP="00034192">
      <w:pPr>
        <w:pStyle w:val="ListParagraph"/>
        <w:numPr>
          <w:ilvl w:val="0"/>
          <w:numId w:val="38"/>
        </w:numPr>
        <w:spacing w:before="120" w:after="120"/>
        <w:ind w:left="425" w:hanging="357"/>
        <w:rPr>
          <w:rFonts w:ascii="Times New Roman" w:hAnsi="Times New Roman"/>
          <w:sz w:val="24"/>
        </w:rPr>
      </w:pPr>
      <w:r w:rsidRPr="00581203">
        <w:rPr>
          <w:rFonts w:ascii="Times New Roman" w:hAnsi="Times New Roman"/>
          <w:noProof/>
          <w:sz w:val="24"/>
        </w:rPr>
        <w:t>The</w:t>
      </w:r>
      <w:r w:rsidRPr="00581203">
        <w:rPr>
          <w:rFonts w:ascii="Times New Roman" w:hAnsi="Times New Roman"/>
          <w:sz w:val="24"/>
        </w:rPr>
        <w:t xml:space="preserve"> scope of Template </w:t>
      </w:r>
      <w:r w:rsidR="00A07BDA">
        <w:rPr>
          <w:rFonts w:ascii="Times New Roman" w:hAnsi="Times New Roman"/>
          <w:sz w:val="24"/>
        </w:rPr>
        <w:t xml:space="preserve">EU </w:t>
      </w:r>
      <w:r w:rsidRPr="00581203">
        <w:rPr>
          <w:rFonts w:ascii="Times New Roman" w:hAnsi="Times New Roman"/>
          <w:sz w:val="24"/>
        </w:rPr>
        <w:t>CC</w:t>
      </w:r>
      <w:r w:rsidR="008825AF" w:rsidRPr="00581203">
        <w:rPr>
          <w:rFonts w:ascii="Times New Roman" w:hAnsi="Times New Roman"/>
          <w:sz w:val="24"/>
        </w:rPr>
        <w:t>y</w:t>
      </w:r>
      <w:r w:rsidRPr="00581203">
        <w:rPr>
          <w:rFonts w:ascii="Times New Roman" w:hAnsi="Times New Roman"/>
          <w:sz w:val="24"/>
        </w:rPr>
        <w:t>B1 is limited to credit exposures relevant for the calculation of CC</w:t>
      </w:r>
      <w:r w:rsidR="008825AF" w:rsidRPr="00581203">
        <w:rPr>
          <w:rFonts w:ascii="Times New Roman" w:hAnsi="Times New Roman"/>
          <w:sz w:val="24"/>
        </w:rPr>
        <w:t>y</w:t>
      </w:r>
      <w:r w:rsidR="00035669">
        <w:rPr>
          <w:rFonts w:ascii="Times New Roman" w:hAnsi="Times New Roman"/>
          <w:sz w:val="24"/>
        </w:rPr>
        <w:t>B in accordance with Article 140</w:t>
      </w:r>
      <w:r w:rsidRPr="00581203">
        <w:rPr>
          <w:rFonts w:ascii="Times New Roman" w:hAnsi="Times New Roman"/>
          <w:sz w:val="24"/>
        </w:rPr>
        <w:t xml:space="preserve">(4) </w:t>
      </w:r>
      <w:r w:rsidRPr="00581203">
        <w:rPr>
          <w:rFonts w:ascii="Times New Roman" w:eastAsia="Times New Roman" w:hAnsi="Times New Roman"/>
          <w:sz w:val="24"/>
        </w:rPr>
        <w:t>of Directive 2013/36/EU.</w:t>
      </w:r>
    </w:p>
    <w:p w14:paraId="5DF71068" w14:textId="77777777" w:rsidR="00856FC4" w:rsidRPr="007A4D79" w:rsidRDefault="00856FC4" w:rsidP="00856FC4">
      <w:pPr>
        <w:pStyle w:val="ListParagraph"/>
        <w:ind w:left="360"/>
        <w:contextualSpacing/>
        <w:jc w:val="both"/>
        <w:rPr>
          <w:rFonts w:ascii="Times New Roman" w:hAnsi="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856FC4" w:rsidRPr="00581203" w14:paraId="5757A8B6" w14:textId="77777777" w:rsidTr="002D3077">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EAAB4" w14:textId="77777777" w:rsidR="00856FC4" w:rsidRPr="00581203" w:rsidRDefault="00856FC4" w:rsidP="002D3077">
            <w:pPr>
              <w:rPr>
                <w:rFonts w:ascii="Times New Roman" w:hAnsi="Times New Roman" w:cs="Times New Roman"/>
                <w:b/>
                <w:sz w:val="24"/>
                <w:lang w:val="en-GB"/>
              </w:rPr>
            </w:pPr>
            <w:r w:rsidRPr="00581203">
              <w:rPr>
                <w:rFonts w:ascii="Times New Roman" w:hAnsi="Times New Roman" w:cs="Times New Roman"/>
                <w:b/>
                <w:sz w:val="24"/>
                <w:lang w:val="en-GB"/>
              </w:rPr>
              <w:t>Legal references and instructions</w:t>
            </w:r>
          </w:p>
        </w:tc>
      </w:tr>
      <w:tr w:rsidR="00856FC4" w:rsidRPr="00581203" w14:paraId="149BB27A" w14:textId="77777777" w:rsidTr="002D3077">
        <w:trPr>
          <w:trHeight w:val="238"/>
        </w:trPr>
        <w:tc>
          <w:tcPr>
            <w:tcW w:w="1384" w:type="dxa"/>
            <w:shd w:val="clear" w:color="auto" w:fill="D9D9D9" w:themeFill="background1" w:themeFillShade="D9"/>
          </w:tcPr>
          <w:p w14:paraId="58F0287B" w14:textId="77777777" w:rsidR="00856FC4" w:rsidRPr="00581203" w:rsidRDefault="00856FC4" w:rsidP="002D3077">
            <w:pPr>
              <w:autoSpaceDE w:val="0"/>
              <w:autoSpaceDN w:val="0"/>
              <w:adjustRightInd w:val="0"/>
              <w:rPr>
                <w:rFonts w:ascii="Times New Roman" w:hAnsi="Times New Roman" w:cs="Times New Roman"/>
                <w:b/>
                <w:sz w:val="24"/>
                <w:lang w:val="en-GB"/>
              </w:rPr>
            </w:pPr>
            <w:r w:rsidRPr="00581203">
              <w:rPr>
                <w:rFonts w:ascii="Times New Roman" w:hAnsi="Times New Roman" w:cs="Times New Roman"/>
                <w:b/>
                <w:sz w:val="24"/>
                <w:lang w:val="en-GB"/>
              </w:rPr>
              <w:t>Row number</w:t>
            </w:r>
          </w:p>
        </w:tc>
        <w:tc>
          <w:tcPr>
            <w:tcW w:w="7655" w:type="dxa"/>
            <w:shd w:val="clear" w:color="auto" w:fill="D9D9D9" w:themeFill="background1" w:themeFillShade="D9"/>
          </w:tcPr>
          <w:p w14:paraId="104DD2C6" w14:textId="77777777" w:rsidR="00856FC4" w:rsidRPr="00035669" w:rsidRDefault="00856FC4" w:rsidP="002D3077">
            <w:pPr>
              <w:autoSpaceDE w:val="0"/>
              <w:autoSpaceDN w:val="0"/>
              <w:adjustRightInd w:val="0"/>
              <w:rPr>
                <w:rFonts w:ascii="Times New Roman" w:hAnsi="Times New Roman" w:cs="Times New Roman"/>
                <w:color w:val="000000"/>
                <w:sz w:val="24"/>
                <w:lang w:val="en-GB"/>
              </w:rPr>
            </w:pPr>
            <w:r w:rsidRPr="00581203">
              <w:rPr>
                <w:rFonts w:ascii="Times New Roman" w:hAnsi="Times New Roman" w:cs="Times New Roman"/>
                <w:b/>
                <w:sz w:val="24"/>
                <w:lang w:val="en-GB"/>
              </w:rPr>
              <w:t>Explanation</w:t>
            </w:r>
          </w:p>
        </w:tc>
      </w:tr>
      <w:tr w:rsidR="00856FC4" w:rsidRPr="00581203" w14:paraId="26C84FFC" w14:textId="77777777" w:rsidTr="002D3077">
        <w:trPr>
          <w:trHeight w:val="4381"/>
        </w:trPr>
        <w:tc>
          <w:tcPr>
            <w:tcW w:w="1384" w:type="dxa"/>
          </w:tcPr>
          <w:p w14:paraId="341A9CCE" w14:textId="77777777" w:rsidR="00856FC4" w:rsidRPr="00581203" w:rsidRDefault="00856FC4" w:rsidP="002D3077">
            <w:pPr>
              <w:pStyle w:val="Applicationdirecte"/>
              <w:spacing w:before="120"/>
            </w:pPr>
            <w:r w:rsidRPr="00581203">
              <w:t>010-01X</w:t>
            </w:r>
          </w:p>
        </w:tc>
        <w:tc>
          <w:tcPr>
            <w:tcW w:w="7655" w:type="dxa"/>
          </w:tcPr>
          <w:p w14:paraId="7BFE644C" w14:textId="3E4CA1B4" w:rsidR="00856FC4" w:rsidRPr="00581203" w:rsidRDefault="00856FC4" w:rsidP="002D3077">
            <w:pPr>
              <w:pStyle w:val="Applicationdirecte"/>
              <w:spacing w:before="120"/>
              <w:rPr>
                <w:b/>
              </w:rPr>
            </w:pPr>
            <w:r w:rsidRPr="00581203">
              <w:rPr>
                <w:b/>
              </w:rPr>
              <w:t>Breakdown by country</w:t>
            </w:r>
          </w:p>
          <w:p w14:paraId="695AB32A" w14:textId="7E63EB76" w:rsidR="00856FC4" w:rsidRPr="00581203" w:rsidRDefault="00856FC4" w:rsidP="00FF2B2C">
            <w:pPr>
              <w:pStyle w:val="Applicationdirecte"/>
              <w:spacing w:before="120"/>
            </w:pPr>
            <w:r w:rsidRPr="00581203">
              <w:t>List of countries in which the institution has credit exposures relevant for the calculation of the institution specific countercyclical buffer in accordance with</w:t>
            </w:r>
            <w:r w:rsidR="00FF2B2C" w:rsidRPr="00581203">
              <w:t xml:space="preserve"> Commission delegated regulation (EU) </w:t>
            </w:r>
            <w:r w:rsidR="001265AF" w:rsidRPr="00581203">
              <w:t>No 1152/2014</w:t>
            </w:r>
            <w:r w:rsidRPr="00581203">
              <w:t>.</w:t>
            </w:r>
          </w:p>
          <w:p w14:paraId="57984054" w14:textId="5108F96B" w:rsidR="00856FC4" w:rsidRPr="00581203" w:rsidRDefault="00856FC4" w:rsidP="002D3077">
            <w:pPr>
              <w:pStyle w:val="Fait"/>
              <w:spacing w:after="120"/>
            </w:pPr>
            <w:r w:rsidRPr="00581203">
              <w:t xml:space="preserve">The number of rows may vary depending on the number of countries where the institution has its credit exposures relevant for the calculation of the countercyclical buffer. </w:t>
            </w:r>
            <w:r w:rsidR="00347EC3" w:rsidRPr="00581203">
              <w:t>Institutions shall number the rows for each country co</w:t>
            </w:r>
            <w:r w:rsidR="00035669">
              <w:t>nsecutively, starting with 010</w:t>
            </w:r>
            <w:r w:rsidR="00347EC3" w:rsidRPr="00581203">
              <w:t>.</w:t>
            </w:r>
          </w:p>
          <w:p w14:paraId="06E8A9D7" w14:textId="1CE45E2B" w:rsidR="00856FC4" w:rsidRPr="004D3597" w:rsidRDefault="00856FC4" w:rsidP="00035669">
            <w:pPr>
              <w:spacing w:after="120"/>
              <w:jc w:val="both"/>
              <w:rPr>
                <w:rFonts w:ascii="Times New Roman" w:hAnsi="Times New Roman" w:cs="Times New Roman"/>
                <w:sz w:val="24"/>
                <w:lang w:val="en-GB"/>
              </w:rPr>
            </w:pPr>
            <w:r w:rsidRPr="00581203">
              <w:rPr>
                <w:rFonts w:ascii="Times New Roman" w:hAnsi="Times New Roman" w:cs="Times New Roman"/>
                <w:sz w:val="24"/>
                <w:lang w:val="en-GB"/>
              </w:rPr>
              <w:t>In accordance with</w:t>
            </w:r>
            <w:r w:rsidR="00FF2B2C" w:rsidRPr="00035669">
              <w:rPr>
                <w:rFonts w:ascii="Times New Roman" w:hAnsi="Times New Roman" w:cs="Times New Roman"/>
                <w:sz w:val="24"/>
              </w:rPr>
              <w:t xml:space="preserve"> </w:t>
            </w:r>
            <w:r w:rsidR="00FF2B2C" w:rsidRPr="00581203">
              <w:rPr>
                <w:rFonts w:ascii="Times New Roman" w:hAnsi="Times New Roman" w:cs="Times New Roman"/>
                <w:sz w:val="24"/>
              </w:rPr>
              <w:t xml:space="preserve">Commission delegated regulation (EU) </w:t>
            </w:r>
            <w:r w:rsidR="001265AF" w:rsidRPr="00581203">
              <w:rPr>
                <w:rFonts w:ascii="Times New Roman" w:hAnsi="Times New Roman" w:cs="Times New Roman"/>
                <w:sz w:val="24"/>
              </w:rPr>
              <w:t>No 1152/2014</w:t>
            </w:r>
            <w:r w:rsidRPr="00581203">
              <w:rPr>
                <w:rFonts w:ascii="Times New Roman" w:hAnsi="Times New Roman" w:cs="Times New Roman"/>
                <w:sz w:val="24"/>
                <w:lang w:val="en-GB"/>
              </w:rPr>
              <w:t>, if trading book exposures or foreign credit exposures of an institution represent less than 2% of its aggregate risk weighted exposures, the institution may choose to allocate these exposures to the place of institution</w:t>
            </w:r>
            <w:r w:rsidR="00093238" w:rsidRPr="00581203">
              <w:rPr>
                <w:rFonts w:ascii="Times New Roman" w:hAnsi="Times New Roman" w:cs="Times New Roman"/>
                <w:sz w:val="24"/>
                <w:lang w:val="en-GB"/>
              </w:rPr>
              <w:t xml:space="preserve"> (i.e. the home Member State of the institution)</w:t>
            </w:r>
            <w:r w:rsidRPr="00581203">
              <w:rPr>
                <w:rFonts w:ascii="Times New Roman" w:hAnsi="Times New Roman" w:cs="Times New Roman"/>
                <w:sz w:val="24"/>
                <w:lang w:val="en-GB"/>
              </w:rPr>
              <w:t xml:space="preserve">. If the exposures disclosed for the place of institution include exposures from other countries, these should be clearly identified in a footnote to the disclosure </w:t>
            </w:r>
            <w:r w:rsidR="004D3597">
              <w:rPr>
                <w:rFonts w:ascii="Times New Roman" w:eastAsia="Times New Roman" w:hAnsi="Times New Roman" w:cs="Times New Roman"/>
                <w:sz w:val="24"/>
                <w:lang w:val="en-GB"/>
              </w:rPr>
              <w:t>Template</w:t>
            </w:r>
            <w:r w:rsidRPr="004D3597">
              <w:rPr>
                <w:rFonts w:ascii="Times New Roman" w:hAnsi="Times New Roman" w:cs="Times New Roman"/>
                <w:sz w:val="24"/>
                <w:lang w:val="en-GB"/>
              </w:rPr>
              <w:t>.</w:t>
            </w:r>
          </w:p>
        </w:tc>
      </w:tr>
      <w:tr w:rsidR="00856FC4" w:rsidRPr="00581203" w14:paraId="02663044" w14:textId="77777777" w:rsidTr="002D3077">
        <w:trPr>
          <w:trHeight w:val="316"/>
        </w:trPr>
        <w:tc>
          <w:tcPr>
            <w:tcW w:w="1384" w:type="dxa"/>
          </w:tcPr>
          <w:p w14:paraId="6DB136D5" w14:textId="77777777" w:rsidR="00856FC4" w:rsidRPr="00035669" w:rsidRDefault="00856FC4" w:rsidP="002D3077">
            <w:pPr>
              <w:autoSpaceDE w:val="0"/>
              <w:autoSpaceDN w:val="0"/>
              <w:adjustRightInd w:val="0"/>
              <w:rPr>
                <w:rFonts w:ascii="Times New Roman" w:hAnsi="Times New Roman" w:cs="Times New Roman"/>
                <w:color w:val="000000"/>
                <w:sz w:val="24"/>
                <w:lang w:val="en-GB"/>
              </w:rPr>
            </w:pPr>
            <w:r w:rsidRPr="00581203">
              <w:rPr>
                <w:rFonts w:ascii="Times New Roman" w:eastAsia="Times New Roman" w:hAnsi="Times New Roman" w:cs="Times New Roman"/>
                <w:sz w:val="24"/>
                <w:lang w:val="en-GB"/>
              </w:rPr>
              <w:t>020</w:t>
            </w:r>
          </w:p>
        </w:tc>
        <w:tc>
          <w:tcPr>
            <w:tcW w:w="7655" w:type="dxa"/>
          </w:tcPr>
          <w:p w14:paraId="429183BD" w14:textId="77777777" w:rsidR="00856FC4" w:rsidRPr="00581203" w:rsidRDefault="00856FC4" w:rsidP="002D3077">
            <w:pPr>
              <w:autoSpaceDE w:val="0"/>
              <w:autoSpaceDN w:val="0"/>
              <w:adjustRightInd w:val="0"/>
              <w:rPr>
                <w:rFonts w:ascii="Times New Roman" w:hAnsi="Times New Roman" w:cs="Times New Roman"/>
                <w:b/>
                <w:sz w:val="24"/>
                <w:lang w:val="en-GB"/>
              </w:rPr>
            </w:pPr>
            <w:r w:rsidRPr="00581203">
              <w:rPr>
                <w:rFonts w:ascii="Times New Roman" w:hAnsi="Times New Roman" w:cs="Times New Roman"/>
                <w:b/>
                <w:sz w:val="24"/>
                <w:lang w:val="en-GB"/>
              </w:rPr>
              <w:t xml:space="preserve">Total </w:t>
            </w:r>
          </w:p>
          <w:p w14:paraId="6377B4F6" w14:textId="5352961D" w:rsidR="00856FC4" w:rsidRPr="004D3597" w:rsidRDefault="00856FC4" w:rsidP="004D3597">
            <w:pPr>
              <w:autoSpaceDE w:val="0"/>
              <w:autoSpaceDN w:val="0"/>
              <w:adjustRightInd w:val="0"/>
              <w:spacing w:before="120" w:after="120"/>
              <w:rPr>
                <w:rFonts w:ascii="Times New Roman" w:eastAsia="Times New Roman" w:hAnsi="Times New Roman" w:cs="Times New Roman"/>
                <w:sz w:val="24"/>
                <w:lang w:val="en-GB"/>
              </w:rPr>
            </w:pPr>
            <w:r w:rsidRPr="004D3597">
              <w:rPr>
                <w:rFonts w:ascii="Times New Roman" w:hAnsi="Times New Roman" w:cs="Times New Roman"/>
                <w:sz w:val="24"/>
                <w:lang w:val="en-GB"/>
              </w:rPr>
              <w:t xml:space="preserve">The value as described in accordance with the explanation for columns </w:t>
            </w:r>
            <w:r w:rsidR="004D3597">
              <w:rPr>
                <w:rFonts w:ascii="Times New Roman" w:hAnsi="Times New Roman" w:cs="Times New Roman"/>
                <w:sz w:val="24"/>
                <w:lang w:val="en-GB"/>
              </w:rPr>
              <w:t>a</w:t>
            </w:r>
            <w:r w:rsidR="004D3597" w:rsidRPr="004D3597">
              <w:rPr>
                <w:rFonts w:ascii="Times New Roman" w:hAnsi="Times New Roman" w:cs="Times New Roman"/>
                <w:sz w:val="24"/>
                <w:lang w:val="en-GB"/>
              </w:rPr>
              <w:t xml:space="preserve"> </w:t>
            </w:r>
            <w:r w:rsidRPr="004D3597">
              <w:rPr>
                <w:rFonts w:ascii="Times New Roman" w:hAnsi="Times New Roman" w:cs="Times New Roman"/>
                <w:sz w:val="24"/>
                <w:lang w:val="en-GB"/>
              </w:rPr>
              <w:t xml:space="preserve">to </w:t>
            </w:r>
            <w:r w:rsidR="004D3597">
              <w:rPr>
                <w:rFonts w:ascii="Times New Roman" w:hAnsi="Times New Roman" w:cs="Times New Roman"/>
                <w:sz w:val="24"/>
                <w:lang w:val="en-GB"/>
              </w:rPr>
              <w:t>m</w:t>
            </w:r>
            <w:r w:rsidR="004D3597" w:rsidRPr="004D3597">
              <w:rPr>
                <w:rFonts w:ascii="Times New Roman" w:hAnsi="Times New Roman" w:cs="Times New Roman"/>
                <w:sz w:val="24"/>
                <w:lang w:val="en-GB"/>
              </w:rPr>
              <w:t xml:space="preserve"> </w:t>
            </w:r>
            <w:r w:rsidRPr="004D3597">
              <w:rPr>
                <w:rFonts w:ascii="Times New Roman" w:hAnsi="Times New Roman" w:cs="Times New Roman"/>
                <w:sz w:val="24"/>
                <w:lang w:val="en-GB"/>
              </w:rPr>
              <w:t xml:space="preserve">of the current </w:t>
            </w:r>
            <w:r w:rsidR="004D3597">
              <w:rPr>
                <w:rFonts w:ascii="Times New Roman" w:eastAsia="Times New Roman" w:hAnsi="Times New Roman" w:cs="Times New Roman"/>
                <w:sz w:val="24"/>
                <w:lang w:val="en-GB"/>
              </w:rPr>
              <w:t>Template</w:t>
            </w:r>
            <w:r w:rsidRPr="004D3597">
              <w:rPr>
                <w:rFonts w:ascii="Times New Roman" w:hAnsi="Times New Roman" w:cs="Times New Roman"/>
                <w:sz w:val="24"/>
                <w:lang w:val="en-GB"/>
              </w:rPr>
              <w:t>.</w:t>
            </w:r>
          </w:p>
        </w:tc>
      </w:tr>
    </w:tbl>
    <w:p w14:paraId="038BD280" w14:textId="77777777" w:rsidR="00856FC4" w:rsidRPr="00035669" w:rsidRDefault="00856FC4" w:rsidP="005673AC">
      <w:pPr>
        <w:rPr>
          <w:rFonts w:ascii="Times New Roman"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856FC4" w:rsidRPr="00581203" w14:paraId="03F15ACE" w14:textId="77777777" w:rsidTr="002D3077">
        <w:trPr>
          <w:trHeight w:val="238"/>
        </w:trPr>
        <w:tc>
          <w:tcPr>
            <w:tcW w:w="9039" w:type="dxa"/>
            <w:gridSpan w:val="2"/>
            <w:shd w:val="clear" w:color="auto" w:fill="D9D9D9" w:themeFill="background1" w:themeFillShade="D9"/>
          </w:tcPr>
          <w:p w14:paraId="172F12CF" w14:textId="77777777" w:rsidR="00856FC4" w:rsidRPr="00581203" w:rsidRDefault="00856FC4" w:rsidP="002D3077">
            <w:pPr>
              <w:autoSpaceDE w:val="0"/>
              <w:autoSpaceDN w:val="0"/>
              <w:adjustRightInd w:val="0"/>
              <w:rPr>
                <w:rFonts w:ascii="Times New Roman" w:hAnsi="Times New Roman" w:cs="Times New Roman"/>
                <w:b/>
                <w:sz w:val="24"/>
                <w:lang w:val="en-GB"/>
              </w:rPr>
            </w:pPr>
            <w:r w:rsidRPr="00581203">
              <w:rPr>
                <w:rFonts w:ascii="Times New Roman" w:hAnsi="Times New Roman" w:cs="Times New Roman"/>
                <w:b/>
                <w:sz w:val="24"/>
                <w:lang w:val="en-GB"/>
              </w:rPr>
              <w:t>Legal references and instructions</w:t>
            </w:r>
          </w:p>
        </w:tc>
      </w:tr>
      <w:tr w:rsidR="00856FC4" w:rsidRPr="00581203" w14:paraId="1C8E9246" w14:textId="77777777" w:rsidTr="002D3077">
        <w:trPr>
          <w:trHeight w:val="238"/>
        </w:trPr>
        <w:tc>
          <w:tcPr>
            <w:tcW w:w="1384" w:type="dxa"/>
            <w:shd w:val="clear" w:color="auto" w:fill="D9D9D9" w:themeFill="background1" w:themeFillShade="D9"/>
          </w:tcPr>
          <w:p w14:paraId="5D354EE0" w14:textId="77777777" w:rsidR="00856FC4" w:rsidRPr="00581203" w:rsidRDefault="00856FC4" w:rsidP="002D3077">
            <w:pPr>
              <w:autoSpaceDE w:val="0"/>
              <w:autoSpaceDN w:val="0"/>
              <w:adjustRightInd w:val="0"/>
              <w:rPr>
                <w:rFonts w:ascii="Times New Roman" w:hAnsi="Times New Roman" w:cs="Times New Roman"/>
                <w:b/>
                <w:sz w:val="24"/>
                <w:lang w:val="en-GB"/>
              </w:rPr>
            </w:pPr>
            <w:r w:rsidRPr="00581203">
              <w:rPr>
                <w:rFonts w:ascii="Times New Roman" w:hAnsi="Times New Roman" w:cs="Times New Roman"/>
                <w:b/>
                <w:sz w:val="24"/>
                <w:lang w:val="en-GB"/>
              </w:rPr>
              <w:t>Column number</w:t>
            </w:r>
          </w:p>
        </w:tc>
        <w:tc>
          <w:tcPr>
            <w:tcW w:w="7655" w:type="dxa"/>
            <w:shd w:val="clear" w:color="auto" w:fill="D9D9D9" w:themeFill="background1" w:themeFillShade="D9"/>
          </w:tcPr>
          <w:p w14:paraId="611FD07F" w14:textId="77777777" w:rsidR="00856FC4" w:rsidRPr="004D3597" w:rsidRDefault="00856FC4" w:rsidP="002D3077">
            <w:pPr>
              <w:autoSpaceDE w:val="0"/>
              <w:autoSpaceDN w:val="0"/>
              <w:adjustRightInd w:val="0"/>
              <w:rPr>
                <w:rFonts w:ascii="Times New Roman" w:hAnsi="Times New Roman" w:cs="Times New Roman"/>
                <w:b/>
                <w:sz w:val="24"/>
                <w:lang w:val="en-GB"/>
              </w:rPr>
            </w:pPr>
            <w:r w:rsidRPr="00581203">
              <w:rPr>
                <w:rFonts w:ascii="Times New Roman" w:hAnsi="Times New Roman" w:cs="Times New Roman"/>
                <w:b/>
                <w:sz w:val="24"/>
                <w:lang w:val="en-GB"/>
              </w:rPr>
              <w:t>Explanation</w:t>
            </w:r>
          </w:p>
        </w:tc>
      </w:tr>
      <w:tr w:rsidR="00856FC4" w:rsidRPr="00581203" w14:paraId="476F361F" w14:textId="77777777" w:rsidTr="002D3077">
        <w:trPr>
          <w:trHeight w:val="841"/>
        </w:trPr>
        <w:tc>
          <w:tcPr>
            <w:tcW w:w="1384" w:type="dxa"/>
          </w:tcPr>
          <w:p w14:paraId="248E3DC1" w14:textId="2255BAF1" w:rsidR="00856FC4" w:rsidRPr="00581203" w:rsidRDefault="00581203" w:rsidP="002D3077">
            <w:pPr>
              <w:pStyle w:val="Applicationdirecte"/>
              <w:spacing w:before="120"/>
            </w:pPr>
            <w:r>
              <w:t>a</w:t>
            </w:r>
          </w:p>
        </w:tc>
        <w:tc>
          <w:tcPr>
            <w:tcW w:w="7655" w:type="dxa"/>
          </w:tcPr>
          <w:p w14:paraId="7FE3E309" w14:textId="5B40E1C4" w:rsidR="00856FC4" w:rsidRPr="00581203" w:rsidRDefault="00856FC4" w:rsidP="002D3077">
            <w:pPr>
              <w:autoSpaceDE w:val="0"/>
              <w:autoSpaceDN w:val="0"/>
              <w:adjustRightInd w:val="0"/>
              <w:spacing w:before="120" w:after="120"/>
              <w:rPr>
                <w:rFonts w:ascii="Times New Roman" w:hAnsi="Times New Roman" w:cs="Times New Roman"/>
                <w:sz w:val="24"/>
                <w:lang w:val="en-GB"/>
              </w:rPr>
            </w:pPr>
            <w:r w:rsidRPr="00581203">
              <w:rPr>
                <w:rFonts w:ascii="Times New Roman" w:hAnsi="Times New Roman" w:cs="Times New Roman"/>
                <w:b/>
                <w:sz w:val="24"/>
                <w:lang w:val="en-GB"/>
              </w:rPr>
              <w:t xml:space="preserve">Exposure value of general credit exposures </w:t>
            </w:r>
            <w:r w:rsidR="00347EC3" w:rsidRPr="00581203">
              <w:rPr>
                <w:rFonts w:ascii="Times New Roman" w:hAnsi="Times New Roman" w:cs="Times New Roman"/>
                <w:b/>
                <w:sz w:val="24"/>
                <w:lang w:val="en-GB"/>
              </w:rPr>
              <w:t>under the standardised approach</w:t>
            </w:r>
          </w:p>
          <w:p w14:paraId="3B01EA8D" w14:textId="4DF17250" w:rsidR="00347EC3" w:rsidRPr="00581203" w:rsidRDefault="00856FC4" w:rsidP="002D3077">
            <w:pPr>
              <w:pStyle w:val="Fait"/>
              <w:spacing w:after="120"/>
            </w:pPr>
            <w:r w:rsidRPr="00581203">
              <w:lastRenderedPageBreak/>
              <w:t xml:space="preserve">Exposure value of relevant credit exposures defined in accordance with Article 140(4)(a) of the Directive 2013/36/EU, determined in accordance with Article 111 of the </w:t>
            </w:r>
            <w:r w:rsidR="003D2EA6">
              <w:t>CRR</w:t>
            </w:r>
            <w:r w:rsidRPr="00581203">
              <w:t xml:space="preserve">. </w:t>
            </w:r>
          </w:p>
          <w:p w14:paraId="6489CCE0" w14:textId="35C997B0" w:rsidR="00856FC4" w:rsidRPr="003D2EA6" w:rsidRDefault="00347EC3" w:rsidP="002D3077">
            <w:pPr>
              <w:pStyle w:val="Fait"/>
              <w:spacing w:after="120"/>
            </w:pPr>
            <w:r w:rsidRPr="003D2EA6">
              <w:t>Exposure value of relevant credit exposures defined in accordance with Article 140(4)(c) of the Directive 2013/36/EU, determined in accordance with Article 24</w:t>
            </w:r>
            <w:r w:rsidR="00563973">
              <w:t>8</w:t>
            </w:r>
            <w:r w:rsidRPr="003D2EA6">
              <w:t xml:space="preserve">(a) and (c) of the </w:t>
            </w:r>
            <w:r w:rsidR="003D2EA6">
              <w:t>CRR</w:t>
            </w:r>
            <w:r w:rsidRPr="003D2EA6">
              <w:t xml:space="preserve"> shall not be included here but in </w:t>
            </w:r>
            <w:r w:rsidR="004D3597">
              <w:t>e</w:t>
            </w:r>
            <w:r w:rsidR="004D3597" w:rsidRPr="003D2EA6">
              <w:t xml:space="preserve"> </w:t>
            </w:r>
            <w:r w:rsidRPr="003D2EA6">
              <w:t>of this template.</w:t>
            </w:r>
          </w:p>
          <w:p w14:paraId="158589EA" w14:textId="63221057" w:rsidR="00856FC4" w:rsidRPr="00581203" w:rsidRDefault="00856FC4" w:rsidP="002D3077">
            <w:pPr>
              <w:pStyle w:val="Fait"/>
              <w:spacing w:after="120"/>
            </w:pPr>
            <w:r w:rsidRPr="00581203">
              <w:t>Geographical breakdown is made in accordance with</w:t>
            </w:r>
            <w:r w:rsidR="00FF2B2C" w:rsidRPr="00581203">
              <w:t xml:space="preserve"> Commission delegated regulation (EU) </w:t>
            </w:r>
            <w:r w:rsidR="001265AF" w:rsidRPr="00581203">
              <w:t>No 1152/2014</w:t>
            </w:r>
            <w:r w:rsidRPr="00581203">
              <w:t xml:space="preserve">. </w:t>
            </w:r>
          </w:p>
          <w:p w14:paraId="3F0895FF" w14:textId="11CD1767" w:rsidR="00856FC4" w:rsidRPr="003D2EA6" w:rsidRDefault="00856FC4" w:rsidP="002D3077">
            <w:pPr>
              <w:pStyle w:val="Fait"/>
              <w:spacing w:after="120"/>
            </w:pPr>
            <w:r w:rsidRPr="00581203">
              <w:t xml:space="preserve">Row 020 (Total): The sum of all relevant credit exposures defined in accordance with Article 140(4)(a) of the Directive 2013/36/EU, determined in accordance with Article 111 of the </w:t>
            </w:r>
            <w:r w:rsidR="003D2EA6">
              <w:t>CRR</w:t>
            </w:r>
            <w:r w:rsidR="00563973">
              <w:t>.</w:t>
            </w:r>
          </w:p>
        </w:tc>
      </w:tr>
      <w:tr w:rsidR="00856FC4" w:rsidRPr="00581203" w14:paraId="394A86BD" w14:textId="77777777" w:rsidTr="002D3077">
        <w:trPr>
          <w:trHeight w:val="841"/>
        </w:trPr>
        <w:tc>
          <w:tcPr>
            <w:tcW w:w="1384" w:type="dxa"/>
          </w:tcPr>
          <w:p w14:paraId="107C1EFA" w14:textId="04078371" w:rsidR="00856FC4" w:rsidRPr="00581203" w:rsidRDefault="00581203" w:rsidP="00035669">
            <w:pPr>
              <w:pStyle w:val="Applicationdirecte"/>
              <w:spacing w:before="120"/>
            </w:pPr>
            <w:r>
              <w:lastRenderedPageBreak/>
              <w:t>b</w:t>
            </w:r>
          </w:p>
        </w:tc>
        <w:tc>
          <w:tcPr>
            <w:tcW w:w="7655" w:type="dxa"/>
          </w:tcPr>
          <w:p w14:paraId="04BD1CE3" w14:textId="2CD9C847"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b/>
                <w:sz w:val="24"/>
                <w:lang w:val="en-GB"/>
              </w:rPr>
              <w:t xml:space="preserve">Exposure value of general credit exposures </w:t>
            </w:r>
            <w:r w:rsidR="00347EC3" w:rsidRPr="00581203">
              <w:rPr>
                <w:rFonts w:ascii="Times New Roman" w:hAnsi="Times New Roman" w:cs="Times New Roman"/>
                <w:b/>
                <w:sz w:val="24"/>
                <w:lang w:val="en-GB"/>
              </w:rPr>
              <w:t xml:space="preserve">under the </w:t>
            </w:r>
            <w:r w:rsidRPr="00581203">
              <w:rPr>
                <w:rFonts w:ascii="Times New Roman" w:hAnsi="Times New Roman" w:cs="Times New Roman"/>
                <w:b/>
                <w:sz w:val="24"/>
                <w:lang w:val="en-GB"/>
              </w:rPr>
              <w:t>IRB</w:t>
            </w:r>
            <w:r w:rsidR="00347EC3" w:rsidRPr="00581203">
              <w:rPr>
                <w:rFonts w:ascii="Times New Roman" w:hAnsi="Times New Roman" w:cs="Times New Roman"/>
                <w:b/>
                <w:sz w:val="24"/>
                <w:lang w:val="en-GB"/>
              </w:rPr>
              <w:t xml:space="preserve"> approach</w:t>
            </w:r>
          </w:p>
          <w:p w14:paraId="6609EF8D" w14:textId="2F4A424B" w:rsidR="00856FC4" w:rsidRPr="00581203"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t>Exposure value of relevant credit exposures defined in accordance with Article 140(4)(a) of the Directive 2013/36/EU, determined in accordance with Article 166</w:t>
            </w:r>
            <w:r w:rsidR="005068F8">
              <w:rPr>
                <w:rFonts w:ascii="Times New Roman" w:eastAsia="Times New Roman" w:hAnsi="Times New Roman" w:cs="Times New Roman"/>
                <w:sz w:val="24"/>
                <w:lang w:val="en-GB"/>
              </w:rPr>
              <w:t>, Article 167 and Article 168</w:t>
            </w:r>
            <w:r w:rsidRPr="00581203">
              <w:rPr>
                <w:rFonts w:ascii="Times New Roman" w:eastAsia="Times New Roman" w:hAnsi="Times New Roman" w:cs="Times New Roman"/>
                <w:sz w:val="24"/>
                <w:lang w:val="en-GB"/>
              </w:rPr>
              <w:t xml:space="preserve"> of the </w:t>
            </w:r>
            <w:r w:rsidR="003D2EA6">
              <w:rPr>
                <w:rFonts w:ascii="Times New Roman" w:eastAsia="Times New Roman" w:hAnsi="Times New Roman" w:cs="Times New Roman"/>
                <w:sz w:val="24"/>
                <w:lang w:val="en-GB"/>
              </w:rPr>
              <w:t>CRR</w:t>
            </w:r>
            <w:r w:rsidRPr="00581203">
              <w:rPr>
                <w:rFonts w:ascii="Times New Roman" w:eastAsia="Times New Roman" w:hAnsi="Times New Roman" w:cs="Times New Roman"/>
                <w:sz w:val="24"/>
                <w:lang w:val="en-GB"/>
              </w:rPr>
              <w:t>.</w:t>
            </w:r>
          </w:p>
          <w:p w14:paraId="3910C28C" w14:textId="7FB77AF5" w:rsidR="00347EC3" w:rsidRPr="00581203" w:rsidRDefault="00347EC3" w:rsidP="00035669">
            <w:pPr>
              <w:pStyle w:val="Fait"/>
              <w:spacing w:after="120"/>
            </w:pPr>
            <w:r w:rsidRPr="00581203">
              <w:t>Exposure value of relevant credit exposures defined in accordance with Article 140(4)(c) of the Directive 2013/36/EU, determined in accordance with Article 24</w:t>
            </w:r>
            <w:r w:rsidR="00563973">
              <w:t>8</w:t>
            </w:r>
            <w:r w:rsidRPr="00581203">
              <w:t xml:space="preserve">(a) and (c) of the </w:t>
            </w:r>
            <w:r w:rsidR="003D2EA6">
              <w:t>CRR</w:t>
            </w:r>
            <w:r w:rsidRPr="00581203">
              <w:t xml:space="preserve"> shall not be included here but in column </w:t>
            </w:r>
            <w:r w:rsidR="004D3597">
              <w:t>e</w:t>
            </w:r>
            <w:r w:rsidR="004D3597" w:rsidRPr="00581203">
              <w:t xml:space="preserve"> </w:t>
            </w:r>
            <w:r w:rsidRPr="00581203">
              <w:t>of this template.</w:t>
            </w:r>
          </w:p>
          <w:p w14:paraId="2637F22E" w14:textId="39E50A22"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Geographical breakdown is made in accordance with</w:t>
            </w:r>
            <w:r w:rsidR="00FF2B2C" w:rsidRPr="00035669">
              <w:rPr>
                <w:rFonts w:ascii="Times New Roman" w:hAnsi="Times New Roman" w:cs="Times New Roman"/>
                <w:sz w:val="24"/>
              </w:rPr>
              <w:t xml:space="preserve"> </w:t>
            </w:r>
            <w:r w:rsidR="00FF2B2C" w:rsidRPr="00581203">
              <w:rPr>
                <w:rFonts w:ascii="Times New Roman" w:hAnsi="Times New Roman" w:cs="Times New Roman"/>
                <w:sz w:val="24"/>
              </w:rPr>
              <w:t xml:space="preserve">Commission delegated regulation (EU) </w:t>
            </w:r>
            <w:r w:rsidR="001265AF" w:rsidRPr="00581203">
              <w:rPr>
                <w:rFonts w:ascii="Times New Roman" w:hAnsi="Times New Roman" w:cs="Times New Roman"/>
                <w:sz w:val="24"/>
              </w:rPr>
              <w:t>No 1152/2014</w:t>
            </w:r>
            <w:r w:rsidRPr="00581203">
              <w:rPr>
                <w:rFonts w:ascii="Times New Roman" w:hAnsi="Times New Roman" w:cs="Times New Roman"/>
                <w:sz w:val="24"/>
                <w:lang w:val="en-GB"/>
              </w:rPr>
              <w:t>.</w:t>
            </w:r>
          </w:p>
          <w:p w14:paraId="4B528F26" w14:textId="3CF50516" w:rsidR="00856FC4" w:rsidRPr="003D2EA6" w:rsidRDefault="00856FC4" w:rsidP="00035669">
            <w:pPr>
              <w:autoSpaceDE w:val="0"/>
              <w:autoSpaceDN w:val="0"/>
              <w:adjustRightInd w:val="0"/>
              <w:spacing w:before="120" w:after="120"/>
              <w:jc w:val="both"/>
              <w:rPr>
                <w:rFonts w:ascii="Times New Roman" w:hAnsi="Times New Roman" w:cs="Times New Roman"/>
                <w:b/>
                <w:sz w:val="24"/>
                <w:lang w:val="en-GB"/>
              </w:rPr>
            </w:pPr>
            <w:r w:rsidRPr="003D2EA6">
              <w:rPr>
                <w:rFonts w:ascii="Times New Roman" w:hAnsi="Times New Roman" w:cs="Times New Roman"/>
                <w:sz w:val="24"/>
                <w:lang w:val="en-GB"/>
              </w:rPr>
              <w:t>Row 020 (Total): The sum of all relevant credit exposures defined in accordance with Article 140(4)(a) of the Directive 2013/36/EU</w:t>
            </w:r>
            <w:r w:rsidRPr="003D2EA6">
              <w:rPr>
                <w:rFonts w:ascii="Times New Roman" w:eastAsia="Times New Roman" w:hAnsi="Times New Roman" w:cs="Times New Roman"/>
                <w:sz w:val="24"/>
                <w:lang w:val="en-GB"/>
              </w:rPr>
              <w:t>, determined in accordance with Article 166</w:t>
            </w:r>
            <w:r w:rsidR="005068F8">
              <w:rPr>
                <w:rFonts w:ascii="Times New Roman" w:eastAsia="Times New Roman" w:hAnsi="Times New Roman" w:cs="Times New Roman"/>
                <w:sz w:val="24"/>
                <w:lang w:val="en-GB"/>
              </w:rPr>
              <w:t>, Article 167 and Article 168</w:t>
            </w:r>
            <w:r w:rsidRPr="003D2EA6">
              <w:rPr>
                <w:rFonts w:ascii="Times New Roman" w:eastAsia="Times New Roman" w:hAnsi="Times New Roman" w:cs="Times New Roman"/>
                <w:sz w:val="24"/>
                <w:lang w:val="en-GB"/>
              </w:rPr>
              <w:t xml:space="preserve"> of the </w:t>
            </w:r>
            <w:r w:rsidR="003D2EA6">
              <w:rPr>
                <w:rFonts w:ascii="Times New Roman" w:eastAsia="Times New Roman" w:hAnsi="Times New Roman" w:cs="Times New Roman"/>
                <w:sz w:val="24"/>
                <w:lang w:val="en-GB"/>
              </w:rPr>
              <w:t>CRR</w:t>
            </w:r>
            <w:r w:rsidRPr="003D2EA6">
              <w:rPr>
                <w:rFonts w:ascii="Times New Roman" w:eastAsia="Times New Roman" w:hAnsi="Times New Roman" w:cs="Times New Roman"/>
                <w:sz w:val="24"/>
                <w:lang w:val="en-GB"/>
              </w:rPr>
              <w:t>.</w:t>
            </w:r>
          </w:p>
        </w:tc>
      </w:tr>
      <w:tr w:rsidR="00856FC4" w:rsidRPr="00581203" w14:paraId="02C5D73F" w14:textId="77777777" w:rsidTr="002D3077">
        <w:trPr>
          <w:trHeight w:val="316"/>
        </w:trPr>
        <w:tc>
          <w:tcPr>
            <w:tcW w:w="1384" w:type="dxa"/>
          </w:tcPr>
          <w:p w14:paraId="7B1FC3A5" w14:textId="1ED0EF0B" w:rsidR="00856FC4" w:rsidRPr="00035669" w:rsidRDefault="00581203" w:rsidP="00035669">
            <w:pPr>
              <w:autoSpaceDE w:val="0"/>
              <w:autoSpaceDN w:val="0"/>
              <w:adjustRightInd w:val="0"/>
              <w:jc w:val="both"/>
              <w:rPr>
                <w:rFonts w:ascii="Times New Roman" w:hAnsi="Times New Roman" w:cs="Times New Roman"/>
                <w:color w:val="000000"/>
                <w:sz w:val="24"/>
                <w:lang w:val="en-GB"/>
              </w:rPr>
            </w:pPr>
            <w:r>
              <w:rPr>
                <w:rFonts w:ascii="Times New Roman" w:eastAsia="Times New Roman" w:hAnsi="Times New Roman" w:cs="Times New Roman"/>
                <w:sz w:val="24"/>
                <w:lang w:val="en-GB"/>
              </w:rPr>
              <w:t>c</w:t>
            </w:r>
            <w:r w:rsidRPr="00581203">
              <w:rPr>
                <w:rFonts w:ascii="Times New Roman" w:eastAsia="Times New Roman" w:hAnsi="Times New Roman" w:cs="Times New Roman"/>
                <w:sz w:val="24"/>
                <w:lang w:val="en-GB"/>
              </w:rPr>
              <w:t xml:space="preserve"> </w:t>
            </w:r>
          </w:p>
        </w:tc>
        <w:tc>
          <w:tcPr>
            <w:tcW w:w="7655" w:type="dxa"/>
          </w:tcPr>
          <w:p w14:paraId="0CA1799F" w14:textId="13C8E196"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Sum of long and short positions of trading book exposures</w:t>
            </w:r>
            <w:r w:rsidR="00E54B47" w:rsidRPr="00581203">
              <w:rPr>
                <w:rFonts w:ascii="Times New Roman" w:hAnsi="Times New Roman" w:cs="Times New Roman"/>
                <w:b/>
                <w:sz w:val="24"/>
                <w:lang w:val="en-GB"/>
              </w:rPr>
              <w:t xml:space="preserve">  for standardised approach</w:t>
            </w:r>
          </w:p>
          <w:p w14:paraId="29C372CC" w14:textId="506F2880"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Sum of long and short positions of relevant credit exposures </w:t>
            </w:r>
            <w:r w:rsidRPr="00581203">
              <w:rPr>
                <w:rFonts w:ascii="Times New Roman" w:eastAsia="Times New Roman" w:hAnsi="Times New Roman" w:cs="Times New Roman"/>
                <w:sz w:val="24"/>
                <w:lang w:val="en-GB"/>
              </w:rPr>
              <w:t>defined in accordance with Article 140(4)(b) of the Directive 2013/36/EU,</w:t>
            </w:r>
            <w:r w:rsidRPr="00581203">
              <w:rPr>
                <w:rFonts w:ascii="Times New Roman" w:hAnsi="Times New Roman" w:cs="Times New Roman"/>
                <w:sz w:val="24"/>
                <w:lang w:val="en-GB"/>
              </w:rPr>
              <w:t xml:space="preserve"> calculated as the sum of long and short positions determined in accordance with Article 327 of the </w:t>
            </w:r>
            <w:r w:rsidR="003D2EA6">
              <w:rPr>
                <w:rFonts w:ascii="Times New Roman" w:hAnsi="Times New Roman" w:cs="Times New Roman"/>
                <w:sz w:val="24"/>
                <w:lang w:val="en-GB"/>
              </w:rPr>
              <w:t>CRR</w:t>
            </w:r>
            <w:r w:rsidRPr="003D2EA6">
              <w:rPr>
                <w:rFonts w:ascii="Times New Roman" w:hAnsi="Times New Roman" w:cs="Times New Roman"/>
                <w:sz w:val="24"/>
                <w:lang w:val="en-GB"/>
              </w:rPr>
              <w:t>.</w:t>
            </w:r>
          </w:p>
          <w:p w14:paraId="4A17D220" w14:textId="22C298FD"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Geographical breakdown is made in accordance with</w:t>
            </w:r>
            <w:r w:rsidR="00FF2B2C" w:rsidRPr="00581203">
              <w:rPr>
                <w:rFonts w:ascii="Times New Roman" w:hAnsi="Times New Roman" w:cs="Times New Roman"/>
                <w:sz w:val="24"/>
              </w:rPr>
              <w:t xml:space="preserve"> Commission delegated regulation (EU) </w:t>
            </w:r>
            <w:r w:rsidR="001265AF" w:rsidRPr="00581203">
              <w:rPr>
                <w:rFonts w:ascii="Times New Roman" w:hAnsi="Times New Roman" w:cs="Times New Roman"/>
                <w:sz w:val="24"/>
              </w:rPr>
              <w:t>No 1152/2014</w:t>
            </w:r>
            <w:r w:rsidRPr="00581203">
              <w:rPr>
                <w:rFonts w:ascii="Times New Roman" w:hAnsi="Times New Roman" w:cs="Times New Roman"/>
                <w:sz w:val="24"/>
                <w:lang w:val="en-GB"/>
              </w:rPr>
              <w:t>.</w:t>
            </w:r>
          </w:p>
          <w:p w14:paraId="0EE5038C" w14:textId="47A6E0AC"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Row 020 (Total): The sum of all long and short positions of relevant credit exposures defined in accordance with Article 140(4)(b) of the Directive 2013/36/EU, calculated as the sum of long and short positions determined in accordance with Article 327 of the </w:t>
            </w:r>
            <w:r w:rsidR="003D2EA6">
              <w:rPr>
                <w:rFonts w:ascii="Times New Roman" w:hAnsi="Times New Roman" w:cs="Times New Roman"/>
                <w:sz w:val="24"/>
                <w:lang w:val="en-GB"/>
              </w:rPr>
              <w:t>CRR</w:t>
            </w:r>
            <w:r w:rsidRPr="003D2EA6">
              <w:rPr>
                <w:rFonts w:ascii="Times New Roman" w:hAnsi="Times New Roman" w:cs="Times New Roman"/>
                <w:sz w:val="24"/>
                <w:lang w:val="en-GB"/>
              </w:rPr>
              <w:t>.</w:t>
            </w:r>
          </w:p>
        </w:tc>
      </w:tr>
      <w:tr w:rsidR="00856FC4" w:rsidRPr="00581203" w14:paraId="6995785F" w14:textId="77777777" w:rsidTr="002D3077">
        <w:trPr>
          <w:trHeight w:val="316"/>
        </w:trPr>
        <w:tc>
          <w:tcPr>
            <w:tcW w:w="1384" w:type="dxa"/>
          </w:tcPr>
          <w:p w14:paraId="7ADF4700" w14:textId="68060737" w:rsidR="00856FC4" w:rsidRPr="00581203" w:rsidRDefault="00581203"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d</w:t>
            </w:r>
          </w:p>
        </w:tc>
        <w:tc>
          <w:tcPr>
            <w:tcW w:w="7655" w:type="dxa"/>
          </w:tcPr>
          <w:p w14:paraId="62B3D744" w14:textId="77777777"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Value of trading book exposures for internal models</w:t>
            </w:r>
          </w:p>
          <w:p w14:paraId="28563DD2" w14:textId="77777777"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Sum of the following:</w:t>
            </w:r>
          </w:p>
          <w:p w14:paraId="0F8E6D45" w14:textId="4A4FB5ED" w:rsidR="00856FC4" w:rsidRPr="003D2EA6" w:rsidRDefault="00856FC4" w:rsidP="00035669">
            <w:pPr>
              <w:pStyle w:val="ListParagraph"/>
              <w:numPr>
                <w:ilvl w:val="1"/>
                <w:numId w:val="17"/>
              </w:numPr>
              <w:autoSpaceDE w:val="0"/>
              <w:autoSpaceDN w:val="0"/>
              <w:adjustRightInd w:val="0"/>
              <w:spacing w:before="120" w:after="120"/>
              <w:contextualSpacing/>
              <w:jc w:val="both"/>
              <w:rPr>
                <w:rFonts w:ascii="Times New Roman" w:eastAsia="Times New Roman" w:hAnsi="Times New Roman"/>
                <w:sz w:val="24"/>
                <w:szCs w:val="24"/>
              </w:rPr>
            </w:pPr>
            <w:r w:rsidRPr="007A4D79">
              <w:rPr>
                <w:rFonts w:ascii="Times New Roman" w:hAnsi="Times New Roman"/>
                <w:sz w:val="24"/>
                <w:szCs w:val="24"/>
              </w:rPr>
              <w:t xml:space="preserve">Fair value of </w:t>
            </w:r>
            <w:r w:rsidRPr="007A4D79">
              <w:rPr>
                <w:rFonts w:ascii="Times New Roman" w:eastAsia="Times New Roman" w:hAnsi="Times New Roman"/>
                <w:sz w:val="24"/>
                <w:szCs w:val="24"/>
              </w:rPr>
              <w:t>cash positions, that represent</w:t>
            </w:r>
            <w:r w:rsidRPr="007A4D79">
              <w:rPr>
                <w:rFonts w:ascii="Times New Roman" w:hAnsi="Times New Roman"/>
                <w:sz w:val="24"/>
                <w:szCs w:val="24"/>
              </w:rPr>
              <w:t xml:space="preserve"> relevant credit exposures as </w:t>
            </w:r>
            <w:r w:rsidRPr="007A4D79">
              <w:rPr>
                <w:rFonts w:ascii="Times New Roman" w:eastAsia="Times New Roman" w:hAnsi="Times New Roman"/>
                <w:sz w:val="24"/>
                <w:szCs w:val="24"/>
              </w:rPr>
              <w:t xml:space="preserve">defined in Article 140(4)(b) of the Directive </w:t>
            </w:r>
            <w:r w:rsidRPr="007A4D79">
              <w:rPr>
                <w:rFonts w:ascii="Times New Roman" w:eastAsia="Times New Roman" w:hAnsi="Times New Roman"/>
                <w:sz w:val="24"/>
                <w:szCs w:val="24"/>
              </w:rPr>
              <w:lastRenderedPageBreak/>
              <w:t xml:space="preserve">2013/36/EU, determined in accordance with Article 104 of the </w:t>
            </w:r>
            <w:r w:rsidR="003D2EA6">
              <w:rPr>
                <w:rFonts w:ascii="Times New Roman" w:eastAsia="Times New Roman" w:hAnsi="Times New Roman"/>
                <w:sz w:val="24"/>
                <w:szCs w:val="24"/>
              </w:rPr>
              <w:t>CRR</w:t>
            </w:r>
            <w:r w:rsidRPr="003D2EA6">
              <w:rPr>
                <w:rFonts w:ascii="Times New Roman" w:eastAsia="Times New Roman" w:hAnsi="Times New Roman"/>
                <w:sz w:val="24"/>
                <w:szCs w:val="24"/>
              </w:rPr>
              <w:t>.</w:t>
            </w:r>
          </w:p>
          <w:p w14:paraId="6602AA95" w14:textId="77777777" w:rsidR="00856FC4" w:rsidRPr="007A4D79" w:rsidRDefault="00856FC4" w:rsidP="00035669">
            <w:pPr>
              <w:pStyle w:val="ListParagraph"/>
              <w:numPr>
                <w:ilvl w:val="1"/>
                <w:numId w:val="17"/>
              </w:numPr>
              <w:autoSpaceDE w:val="0"/>
              <w:autoSpaceDN w:val="0"/>
              <w:adjustRightInd w:val="0"/>
              <w:spacing w:before="120" w:after="120"/>
              <w:contextualSpacing/>
              <w:jc w:val="both"/>
              <w:rPr>
                <w:rFonts w:ascii="Times New Roman" w:eastAsia="Times New Roman" w:hAnsi="Times New Roman"/>
                <w:sz w:val="24"/>
                <w:szCs w:val="24"/>
              </w:rPr>
            </w:pPr>
            <w:r w:rsidRPr="007A4D79">
              <w:rPr>
                <w:rFonts w:ascii="Times New Roman" w:eastAsia="Times New Roman" w:hAnsi="Times New Roman"/>
                <w:sz w:val="24"/>
                <w:szCs w:val="24"/>
              </w:rPr>
              <w:t>Notional value of derivatives, that represent relevant credit exposures as</w:t>
            </w:r>
            <w:r w:rsidRPr="007A4D79">
              <w:rPr>
                <w:rFonts w:ascii="Times New Roman" w:hAnsi="Times New Roman"/>
                <w:sz w:val="24"/>
                <w:szCs w:val="24"/>
              </w:rPr>
              <w:t xml:space="preserve"> </w:t>
            </w:r>
            <w:r w:rsidRPr="007A4D79">
              <w:rPr>
                <w:rFonts w:ascii="Times New Roman" w:eastAsia="Times New Roman" w:hAnsi="Times New Roman"/>
                <w:sz w:val="24"/>
                <w:szCs w:val="24"/>
              </w:rPr>
              <w:t>defined in accordance with Article 140(4)(b) of the Directive 2013/36/EU.</w:t>
            </w:r>
          </w:p>
          <w:p w14:paraId="0F571104" w14:textId="1E73E533"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Geographical breakdown is made in accordance with</w:t>
            </w:r>
            <w:r w:rsidR="00FF2B2C" w:rsidRPr="00581203">
              <w:rPr>
                <w:rFonts w:ascii="Times New Roman" w:hAnsi="Times New Roman" w:cs="Times New Roman"/>
                <w:sz w:val="24"/>
              </w:rPr>
              <w:t xml:space="preserve"> Commission delegated regulation (EU) </w:t>
            </w:r>
            <w:r w:rsidR="001265AF" w:rsidRPr="00581203">
              <w:rPr>
                <w:rFonts w:ascii="Times New Roman" w:hAnsi="Times New Roman" w:cs="Times New Roman"/>
                <w:sz w:val="24"/>
              </w:rPr>
              <w:t>No 1152/2014</w:t>
            </w:r>
            <w:r w:rsidRPr="00581203">
              <w:rPr>
                <w:rFonts w:ascii="Times New Roman" w:hAnsi="Times New Roman" w:cs="Times New Roman"/>
                <w:sz w:val="24"/>
                <w:lang w:val="en-GB"/>
              </w:rPr>
              <w:t>.</w:t>
            </w:r>
          </w:p>
          <w:p w14:paraId="1A3475BC" w14:textId="6F0322FB"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Row 020 (Total): The sum of fair value of all </w:t>
            </w:r>
            <w:r w:rsidRPr="00581203">
              <w:rPr>
                <w:rFonts w:ascii="Times New Roman" w:eastAsia="Times New Roman" w:hAnsi="Times New Roman" w:cs="Times New Roman"/>
                <w:sz w:val="24"/>
                <w:lang w:val="en-GB"/>
              </w:rPr>
              <w:t>cash positions, that represent</w:t>
            </w:r>
            <w:r w:rsidRPr="00581203">
              <w:rPr>
                <w:rFonts w:ascii="Times New Roman" w:hAnsi="Times New Roman" w:cs="Times New Roman"/>
                <w:sz w:val="24"/>
                <w:lang w:val="en-GB"/>
              </w:rPr>
              <w:t xml:space="preserve"> relevant credit exposures as </w:t>
            </w:r>
            <w:r w:rsidRPr="00581203">
              <w:rPr>
                <w:rFonts w:ascii="Times New Roman" w:eastAsia="Times New Roman" w:hAnsi="Times New Roman" w:cs="Times New Roman"/>
                <w:sz w:val="24"/>
                <w:lang w:val="en-GB"/>
              </w:rPr>
              <w:t xml:space="preserve">defined in Article 140(4)(b) of the Directive 2013/36/EU, determined in accordance with Article 104 </w:t>
            </w:r>
            <w:r w:rsidR="00563973">
              <w:rPr>
                <w:rFonts w:ascii="Times New Roman" w:eastAsia="Times New Roman" w:hAnsi="Times New Roman" w:cs="Times New Roman"/>
                <w:sz w:val="24"/>
                <w:lang w:val="en-GB"/>
              </w:rPr>
              <w:t>CRR</w:t>
            </w:r>
            <w:r w:rsidRPr="00581203">
              <w:rPr>
                <w:rFonts w:ascii="Times New Roman" w:eastAsia="Times New Roman" w:hAnsi="Times New Roman" w:cs="Times New Roman"/>
                <w:sz w:val="24"/>
                <w:lang w:val="en-GB"/>
              </w:rPr>
              <w:t>, and notional value of all derivatives, that represent relevant credit exposures as</w:t>
            </w:r>
            <w:r w:rsidRPr="00581203">
              <w:rPr>
                <w:rFonts w:ascii="Times New Roman" w:hAnsi="Times New Roman" w:cs="Times New Roman"/>
                <w:sz w:val="24"/>
                <w:lang w:val="en-GB"/>
              </w:rPr>
              <w:t xml:space="preserve"> </w:t>
            </w:r>
            <w:r w:rsidRPr="00581203">
              <w:rPr>
                <w:rFonts w:ascii="Times New Roman" w:eastAsia="Times New Roman" w:hAnsi="Times New Roman" w:cs="Times New Roman"/>
                <w:sz w:val="24"/>
                <w:lang w:val="en-GB"/>
              </w:rPr>
              <w:t>defined in accordance with Article 140(4)(b) of the Directive 2013/36/EU</w:t>
            </w:r>
            <w:r w:rsidRPr="003D2EA6">
              <w:rPr>
                <w:rFonts w:ascii="Times New Roman" w:hAnsi="Times New Roman" w:cs="Times New Roman"/>
                <w:sz w:val="24"/>
                <w:lang w:val="en-GB"/>
              </w:rPr>
              <w:t>.</w:t>
            </w:r>
          </w:p>
        </w:tc>
      </w:tr>
      <w:tr w:rsidR="00856FC4" w:rsidRPr="00581203" w14:paraId="5B70CC3C" w14:textId="77777777" w:rsidTr="002D3077">
        <w:trPr>
          <w:trHeight w:val="316"/>
        </w:trPr>
        <w:tc>
          <w:tcPr>
            <w:tcW w:w="1384" w:type="dxa"/>
          </w:tcPr>
          <w:p w14:paraId="2637D4DE" w14:textId="6661E7E0" w:rsidR="00856FC4" w:rsidRPr="00581203" w:rsidRDefault="00581203"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e</w:t>
            </w:r>
          </w:p>
        </w:tc>
        <w:tc>
          <w:tcPr>
            <w:tcW w:w="7655" w:type="dxa"/>
          </w:tcPr>
          <w:p w14:paraId="31A7C48A" w14:textId="77777777" w:rsidR="00035669" w:rsidRDefault="00581203"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 xml:space="preserve">Securitisation exposures  Exposure value for </w:t>
            </w:r>
            <w:r w:rsidR="00563973">
              <w:rPr>
                <w:rFonts w:ascii="Times New Roman" w:hAnsi="Times New Roman" w:cs="Times New Roman"/>
                <w:b/>
                <w:sz w:val="24"/>
                <w:lang w:val="en-GB"/>
              </w:rPr>
              <w:t>non-trading</w:t>
            </w:r>
            <w:r w:rsidRPr="00581203">
              <w:rPr>
                <w:rFonts w:ascii="Times New Roman" w:hAnsi="Times New Roman" w:cs="Times New Roman"/>
                <w:b/>
                <w:sz w:val="24"/>
                <w:lang w:val="en-GB"/>
              </w:rPr>
              <w:t xml:space="preserve"> book</w:t>
            </w:r>
          </w:p>
          <w:p w14:paraId="33CB7F57" w14:textId="61E88E4B"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Exposure value of relevant credit exposures </w:t>
            </w:r>
            <w:r w:rsidRPr="003D2EA6">
              <w:rPr>
                <w:rFonts w:ascii="Times New Roman" w:eastAsia="Times New Roman" w:hAnsi="Times New Roman" w:cs="Times New Roman"/>
                <w:sz w:val="24"/>
                <w:lang w:val="en-GB"/>
              </w:rPr>
              <w:t xml:space="preserve">defined in accordance with Article 140(4)(c) of the Directive 2013/36/EU, </w:t>
            </w:r>
            <w:r w:rsidRPr="003D2EA6">
              <w:rPr>
                <w:rFonts w:ascii="Times New Roman" w:hAnsi="Times New Roman" w:cs="Times New Roman"/>
                <w:sz w:val="24"/>
                <w:lang w:val="en-GB"/>
              </w:rPr>
              <w:t>determined in accordance with Article 24</w:t>
            </w:r>
            <w:r w:rsidR="00563973">
              <w:rPr>
                <w:rFonts w:ascii="Times New Roman" w:hAnsi="Times New Roman" w:cs="Times New Roman"/>
                <w:sz w:val="24"/>
                <w:lang w:val="en-GB"/>
              </w:rPr>
              <w:t>8</w:t>
            </w:r>
            <w:r w:rsidRPr="003D2EA6">
              <w:rPr>
                <w:rFonts w:ascii="Times New Roman" w:hAnsi="Times New Roman" w:cs="Times New Roman"/>
                <w:sz w:val="24"/>
                <w:lang w:val="en-GB"/>
              </w:rPr>
              <w:t>(</w:t>
            </w:r>
            <w:r w:rsidRPr="00581203">
              <w:rPr>
                <w:rFonts w:ascii="Times New Roman" w:hAnsi="Times New Roman" w:cs="Times New Roman"/>
                <w:sz w:val="24"/>
                <w:lang w:val="en-GB"/>
              </w:rPr>
              <w:t xml:space="preserve">a) and (c) of the </w:t>
            </w:r>
            <w:r w:rsidR="003D2EA6">
              <w:rPr>
                <w:rFonts w:ascii="Times New Roman" w:hAnsi="Times New Roman" w:cs="Times New Roman"/>
                <w:sz w:val="24"/>
                <w:lang w:val="en-GB"/>
              </w:rPr>
              <w:t>CRR</w:t>
            </w:r>
            <w:r w:rsidRPr="003D2EA6">
              <w:rPr>
                <w:rFonts w:ascii="Times New Roman" w:hAnsi="Times New Roman" w:cs="Times New Roman"/>
                <w:sz w:val="24"/>
                <w:lang w:val="en-GB"/>
              </w:rPr>
              <w:t xml:space="preserve">. </w:t>
            </w:r>
          </w:p>
          <w:p w14:paraId="20E0FB95" w14:textId="5F2C8D59"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Geographical breakdown is made in accordance with</w:t>
            </w:r>
            <w:r w:rsidR="00FF2B2C" w:rsidRPr="00581203">
              <w:rPr>
                <w:rFonts w:ascii="Times New Roman" w:hAnsi="Times New Roman" w:cs="Times New Roman"/>
                <w:sz w:val="24"/>
              </w:rPr>
              <w:t xml:space="preserve"> Commission delegated regulation (EU) </w:t>
            </w:r>
            <w:r w:rsidR="001265AF" w:rsidRPr="00581203">
              <w:rPr>
                <w:rFonts w:ascii="Times New Roman" w:hAnsi="Times New Roman" w:cs="Times New Roman"/>
                <w:sz w:val="24"/>
              </w:rPr>
              <w:t>No 1152/2014</w:t>
            </w:r>
            <w:r w:rsidRPr="00581203">
              <w:rPr>
                <w:rFonts w:ascii="Times New Roman" w:hAnsi="Times New Roman" w:cs="Times New Roman"/>
                <w:sz w:val="24"/>
                <w:lang w:val="en-GB"/>
              </w:rPr>
              <w:t>.</w:t>
            </w:r>
          </w:p>
          <w:p w14:paraId="722047D6" w14:textId="290C40F1"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Row 020 (Total): The sum of all relevant credit exposures defined in accordance with </w:t>
            </w:r>
            <w:r w:rsidRPr="00581203">
              <w:rPr>
                <w:rFonts w:ascii="Times New Roman" w:eastAsia="Times New Roman" w:hAnsi="Times New Roman" w:cs="Times New Roman"/>
                <w:sz w:val="24"/>
                <w:lang w:val="en-GB"/>
              </w:rPr>
              <w:t xml:space="preserve">Article 140(4)(c) of the Directive 2013/36/EU, </w:t>
            </w:r>
            <w:r w:rsidRPr="00581203">
              <w:rPr>
                <w:rFonts w:ascii="Times New Roman" w:hAnsi="Times New Roman" w:cs="Times New Roman"/>
                <w:sz w:val="24"/>
                <w:lang w:val="en-GB"/>
              </w:rPr>
              <w:t>determined in accordance with Article 24</w:t>
            </w:r>
            <w:r w:rsidR="00563973">
              <w:rPr>
                <w:rFonts w:ascii="Times New Roman" w:hAnsi="Times New Roman" w:cs="Times New Roman"/>
                <w:sz w:val="24"/>
                <w:lang w:val="en-GB"/>
              </w:rPr>
              <w:t>8</w:t>
            </w:r>
            <w:r w:rsidRPr="00581203">
              <w:rPr>
                <w:rFonts w:ascii="Times New Roman" w:hAnsi="Times New Roman" w:cs="Times New Roman"/>
                <w:sz w:val="24"/>
                <w:lang w:val="en-GB"/>
              </w:rPr>
              <w:t xml:space="preserve">(a) and (c) of the </w:t>
            </w:r>
            <w:r w:rsidR="003D2EA6">
              <w:rPr>
                <w:rFonts w:ascii="Times New Roman" w:hAnsi="Times New Roman" w:cs="Times New Roman"/>
                <w:sz w:val="24"/>
                <w:lang w:val="en-GB"/>
              </w:rPr>
              <w:t>CRR</w:t>
            </w:r>
            <w:r w:rsidRPr="003D2EA6">
              <w:rPr>
                <w:rFonts w:ascii="Times New Roman" w:eastAsia="Times New Roman" w:hAnsi="Times New Roman" w:cs="Times New Roman"/>
                <w:sz w:val="24"/>
                <w:lang w:val="en-GB"/>
              </w:rPr>
              <w:t>.</w:t>
            </w:r>
          </w:p>
        </w:tc>
      </w:tr>
      <w:tr w:rsidR="00D75823" w:rsidRPr="00581203" w14:paraId="352C1ADE" w14:textId="77777777" w:rsidTr="002D3077">
        <w:trPr>
          <w:trHeight w:val="695"/>
        </w:trPr>
        <w:tc>
          <w:tcPr>
            <w:tcW w:w="1384" w:type="dxa"/>
          </w:tcPr>
          <w:p w14:paraId="7B021AD6" w14:textId="56243272" w:rsidR="00D75823" w:rsidRPr="00581203" w:rsidRDefault="003D2EA6" w:rsidP="00035669">
            <w:pPr>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f</w:t>
            </w:r>
          </w:p>
        </w:tc>
        <w:tc>
          <w:tcPr>
            <w:tcW w:w="7655" w:type="dxa"/>
          </w:tcPr>
          <w:p w14:paraId="1ACC715D" w14:textId="77777777" w:rsidR="00D75823" w:rsidRPr="00581203" w:rsidRDefault="00D75823"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Total exposure value</w:t>
            </w:r>
          </w:p>
          <w:p w14:paraId="6F31D7C5" w14:textId="3F5EBBA9" w:rsidR="003B0284" w:rsidRPr="00035669" w:rsidRDefault="003B0284" w:rsidP="00035669">
            <w:pPr>
              <w:autoSpaceDE w:val="0"/>
              <w:autoSpaceDN w:val="0"/>
              <w:adjustRightInd w:val="0"/>
              <w:spacing w:before="120" w:after="120"/>
              <w:jc w:val="both"/>
              <w:rPr>
                <w:rFonts w:ascii="Times New Roman" w:hAnsi="Times New Roman" w:cs="Times New Roman"/>
                <w:sz w:val="24"/>
              </w:rPr>
            </w:pPr>
            <w:r w:rsidRPr="00581203">
              <w:rPr>
                <w:rFonts w:ascii="Times New Roman" w:hAnsi="Times New Roman" w:cs="Times New Roman"/>
                <w:sz w:val="24"/>
                <w:lang w:val="en-GB"/>
              </w:rPr>
              <w:t xml:space="preserve">The sum of </w:t>
            </w:r>
            <w:r w:rsidRPr="004D3597">
              <w:rPr>
                <w:rFonts w:ascii="Times New Roman" w:hAnsi="Times New Roman" w:cs="Times New Roman"/>
                <w:sz w:val="24"/>
                <w:lang w:val="en-GB"/>
              </w:rPr>
              <w:t xml:space="preserve">columns </w:t>
            </w:r>
            <w:r w:rsidR="004D3597">
              <w:rPr>
                <w:rFonts w:ascii="Times New Roman" w:hAnsi="Times New Roman" w:cs="Times New Roman"/>
                <w:sz w:val="24"/>
                <w:lang w:val="en-GB"/>
              </w:rPr>
              <w:t>a</w:t>
            </w:r>
            <w:r w:rsidRPr="004D3597">
              <w:rPr>
                <w:rFonts w:ascii="Times New Roman" w:hAnsi="Times New Roman" w:cs="Times New Roman"/>
                <w:sz w:val="24"/>
                <w:lang w:val="en-GB"/>
              </w:rPr>
              <w:t xml:space="preserve">, </w:t>
            </w:r>
            <w:r w:rsidR="004D3597">
              <w:rPr>
                <w:rFonts w:ascii="Times New Roman" w:hAnsi="Times New Roman" w:cs="Times New Roman"/>
                <w:sz w:val="24"/>
                <w:lang w:val="en-GB"/>
              </w:rPr>
              <w:t>b</w:t>
            </w:r>
            <w:r w:rsidRPr="004D3597">
              <w:rPr>
                <w:rFonts w:ascii="Times New Roman" w:hAnsi="Times New Roman" w:cs="Times New Roman"/>
                <w:sz w:val="24"/>
                <w:lang w:val="en-GB"/>
              </w:rPr>
              <w:t xml:space="preserve">, </w:t>
            </w:r>
            <w:r w:rsidR="004D3597">
              <w:rPr>
                <w:rFonts w:ascii="Times New Roman" w:hAnsi="Times New Roman" w:cs="Times New Roman"/>
                <w:sz w:val="24"/>
                <w:lang w:val="en-GB"/>
              </w:rPr>
              <w:t>c</w:t>
            </w:r>
            <w:r w:rsidR="000D59D3" w:rsidRPr="004D3597">
              <w:rPr>
                <w:rFonts w:ascii="Times New Roman" w:hAnsi="Times New Roman" w:cs="Times New Roman"/>
                <w:sz w:val="24"/>
                <w:lang w:val="en-GB"/>
              </w:rPr>
              <w:t xml:space="preserve">, </w:t>
            </w:r>
            <w:r w:rsidR="004D3597">
              <w:rPr>
                <w:rFonts w:ascii="Times New Roman" w:hAnsi="Times New Roman" w:cs="Times New Roman"/>
                <w:sz w:val="24"/>
                <w:lang w:val="en-GB"/>
              </w:rPr>
              <w:t>d</w:t>
            </w:r>
            <w:r w:rsidR="004D3597" w:rsidRPr="004D3597">
              <w:rPr>
                <w:rFonts w:ascii="Times New Roman" w:hAnsi="Times New Roman" w:cs="Times New Roman"/>
                <w:sz w:val="24"/>
                <w:lang w:val="en-GB"/>
              </w:rPr>
              <w:t xml:space="preserve"> </w:t>
            </w:r>
            <w:r w:rsidRPr="004D3597">
              <w:rPr>
                <w:rFonts w:ascii="Times New Roman" w:hAnsi="Times New Roman" w:cs="Times New Roman"/>
                <w:sz w:val="24"/>
                <w:lang w:val="en-GB"/>
              </w:rPr>
              <w:t xml:space="preserve">and </w:t>
            </w:r>
            <w:r w:rsidR="004D3597">
              <w:rPr>
                <w:rFonts w:ascii="Times New Roman" w:hAnsi="Times New Roman" w:cs="Times New Roman"/>
                <w:sz w:val="24"/>
                <w:lang w:val="en-GB"/>
              </w:rPr>
              <w:t>e</w:t>
            </w:r>
            <w:r w:rsidRPr="00035669">
              <w:rPr>
                <w:rFonts w:ascii="Times New Roman" w:hAnsi="Times New Roman" w:cs="Times New Roman"/>
                <w:sz w:val="24"/>
              </w:rPr>
              <w:t>.</w:t>
            </w:r>
          </w:p>
          <w:p w14:paraId="3025CCBC" w14:textId="65AFB7BF" w:rsidR="00D75823" w:rsidRPr="00581203" w:rsidRDefault="003B028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Row 020 (Total): The sum of all relevant credit exposures, defined in accordance to Article 140(4) </w:t>
            </w:r>
            <w:r w:rsidRPr="00581203">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w:t>
            </w:r>
          </w:p>
        </w:tc>
      </w:tr>
      <w:tr w:rsidR="00856FC4" w:rsidRPr="00581203" w14:paraId="025486DF" w14:textId="77777777" w:rsidTr="002D3077">
        <w:trPr>
          <w:trHeight w:val="695"/>
        </w:trPr>
        <w:tc>
          <w:tcPr>
            <w:tcW w:w="1384" w:type="dxa"/>
          </w:tcPr>
          <w:p w14:paraId="0A05A9B0" w14:textId="30520934" w:rsidR="00856FC4" w:rsidRPr="00581203" w:rsidRDefault="003D2EA6"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g</w:t>
            </w:r>
          </w:p>
        </w:tc>
        <w:tc>
          <w:tcPr>
            <w:tcW w:w="7655" w:type="dxa"/>
          </w:tcPr>
          <w:p w14:paraId="164B72F2" w14:textId="52ED0F74"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b/>
                <w:sz w:val="24"/>
                <w:lang w:val="en-GB"/>
              </w:rPr>
              <w:t xml:space="preserve">Own funds requirements - </w:t>
            </w:r>
            <w:r w:rsidR="0085412E" w:rsidRPr="00581203">
              <w:rPr>
                <w:rFonts w:ascii="Times New Roman" w:hAnsi="Times New Roman" w:cs="Times New Roman"/>
                <w:b/>
                <w:sz w:val="24"/>
                <w:lang w:val="en-GB"/>
              </w:rPr>
              <w:t>R</w:t>
            </w:r>
            <w:r w:rsidR="0062584F" w:rsidRPr="00581203">
              <w:rPr>
                <w:rFonts w:ascii="Times New Roman" w:hAnsi="Times New Roman" w:cs="Times New Roman"/>
                <w:b/>
                <w:sz w:val="24"/>
                <w:lang w:val="en-GB"/>
              </w:rPr>
              <w:t>elevant</w:t>
            </w:r>
            <w:r w:rsidRPr="00581203">
              <w:rPr>
                <w:rFonts w:ascii="Times New Roman" w:hAnsi="Times New Roman" w:cs="Times New Roman"/>
                <w:b/>
                <w:sz w:val="24"/>
                <w:lang w:val="en-GB"/>
              </w:rPr>
              <w:t xml:space="preserve"> credit </w:t>
            </w:r>
            <w:r w:rsidR="0012038C" w:rsidRPr="00581203">
              <w:rPr>
                <w:rFonts w:ascii="Times New Roman" w:hAnsi="Times New Roman" w:cs="Times New Roman"/>
                <w:b/>
                <w:sz w:val="24"/>
                <w:lang w:val="en-GB"/>
              </w:rPr>
              <w:t xml:space="preserve">risk </w:t>
            </w:r>
            <w:r w:rsidRPr="00581203">
              <w:rPr>
                <w:rFonts w:ascii="Times New Roman" w:hAnsi="Times New Roman" w:cs="Times New Roman"/>
                <w:b/>
                <w:sz w:val="24"/>
                <w:lang w:val="en-GB"/>
              </w:rPr>
              <w:t xml:space="preserve">exposures </w:t>
            </w:r>
            <w:r w:rsidR="0062584F" w:rsidRPr="00581203">
              <w:rPr>
                <w:rFonts w:ascii="Times New Roman" w:hAnsi="Times New Roman" w:cs="Times New Roman"/>
                <w:b/>
                <w:sz w:val="24"/>
                <w:lang w:val="en-GB"/>
              </w:rPr>
              <w:t>– Credit Risk</w:t>
            </w:r>
          </w:p>
          <w:p w14:paraId="6785759E" w14:textId="380BF3C1"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Own funds requirements for relevant credit exposures in the country in question, defined in accordance to Article 140(4)(a) </w:t>
            </w:r>
            <w:r w:rsidRPr="00581203">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 xml:space="preserve">, determined in accordance with Part Three, Title II of the </w:t>
            </w:r>
            <w:r w:rsidR="003D2EA6">
              <w:rPr>
                <w:rFonts w:ascii="Times New Roman" w:hAnsi="Times New Roman" w:cs="Times New Roman"/>
                <w:sz w:val="24"/>
                <w:lang w:val="en-GB"/>
              </w:rPr>
              <w:t>CRR</w:t>
            </w:r>
            <w:r w:rsidR="00276377" w:rsidRPr="003D2EA6">
              <w:rPr>
                <w:rFonts w:ascii="Times New Roman" w:hAnsi="Times New Roman" w:cs="Times New Roman"/>
                <w:sz w:val="24"/>
                <w:lang w:val="en-GB"/>
              </w:rPr>
              <w:t xml:space="preserve">, and taking into account the own funds requirements linked to any country-specific adjustments to risk weights set following Article 458 of the </w:t>
            </w:r>
            <w:r w:rsidR="003D2EA6">
              <w:rPr>
                <w:rFonts w:ascii="Times New Roman" w:hAnsi="Times New Roman" w:cs="Times New Roman"/>
                <w:sz w:val="24"/>
                <w:lang w:val="en-GB"/>
              </w:rPr>
              <w:t>CRR</w:t>
            </w:r>
            <w:r w:rsidR="00276377" w:rsidRPr="003D2EA6">
              <w:rPr>
                <w:rFonts w:ascii="Times New Roman" w:hAnsi="Times New Roman" w:cs="Times New Roman"/>
                <w:sz w:val="24"/>
                <w:lang w:val="en-GB"/>
              </w:rPr>
              <w:t>.</w:t>
            </w:r>
          </w:p>
          <w:p w14:paraId="05FE2816" w14:textId="3D931545"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3D2EA6">
              <w:rPr>
                <w:rFonts w:ascii="Times New Roman" w:hAnsi="Times New Roman" w:cs="Times New Roman"/>
                <w:sz w:val="24"/>
                <w:lang w:val="en-GB"/>
              </w:rPr>
              <w:t xml:space="preserve">Row 020 (Total): The sum of all own funds requirements for relevant credit exposures, defined in accordance to Article 140(4)(a) </w:t>
            </w:r>
            <w:r w:rsidRPr="003D2EA6">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 xml:space="preserve">, determined in accordance with Part Three, Title II of the </w:t>
            </w:r>
            <w:r w:rsidR="003D2EA6">
              <w:rPr>
                <w:rFonts w:ascii="Times New Roman" w:hAnsi="Times New Roman" w:cs="Times New Roman"/>
                <w:sz w:val="24"/>
                <w:lang w:val="en-GB"/>
              </w:rPr>
              <w:t>CRR</w:t>
            </w:r>
            <w:r w:rsidRPr="003D2EA6">
              <w:rPr>
                <w:rFonts w:ascii="Times New Roman" w:hAnsi="Times New Roman" w:cs="Times New Roman"/>
                <w:sz w:val="24"/>
                <w:lang w:val="en-GB"/>
              </w:rPr>
              <w:t>.</w:t>
            </w:r>
          </w:p>
        </w:tc>
      </w:tr>
      <w:tr w:rsidR="00856FC4" w:rsidRPr="00581203" w14:paraId="1FE86448" w14:textId="77777777" w:rsidTr="002D3077">
        <w:trPr>
          <w:trHeight w:val="695"/>
        </w:trPr>
        <w:tc>
          <w:tcPr>
            <w:tcW w:w="1384" w:type="dxa"/>
          </w:tcPr>
          <w:p w14:paraId="7FC6D94C" w14:textId="4EA3CFF5" w:rsidR="00856FC4" w:rsidRPr="00581203" w:rsidRDefault="003D2EA6"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h</w:t>
            </w:r>
          </w:p>
        </w:tc>
        <w:tc>
          <w:tcPr>
            <w:tcW w:w="7655" w:type="dxa"/>
          </w:tcPr>
          <w:p w14:paraId="0A8B32F9" w14:textId="4587E94F"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b/>
                <w:sz w:val="24"/>
                <w:lang w:val="en-GB"/>
              </w:rPr>
              <w:t xml:space="preserve">Own funds requirements - </w:t>
            </w:r>
            <w:r w:rsidR="002A1719" w:rsidRPr="00581203">
              <w:rPr>
                <w:rFonts w:ascii="Times New Roman" w:hAnsi="Times New Roman" w:cs="Times New Roman"/>
                <w:b/>
                <w:sz w:val="24"/>
                <w:lang w:val="en-GB"/>
              </w:rPr>
              <w:t>R</w:t>
            </w:r>
            <w:r w:rsidR="006A5D66" w:rsidRPr="00581203">
              <w:rPr>
                <w:rFonts w:ascii="Times New Roman" w:hAnsi="Times New Roman" w:cs="Times New Roman"/>
                <w:b/>
                <w:sz w:val="24"/>
                <w:lang w:val="en-GB"/>
              </w:rPr>
              <w:t>elevant credit exposures – Market risk</w:t>
            </w:r>
            <w:r w:rsidRPr="00581203">
              <w:rPr>
                <w:rFonts w:ascii="Times New Roman" w:hAnsi="Times New Roman" w:cs="Times New Roman"/>
                <w:b/>
                <w:sz w:val="24"/>
                <w:lang w:val="en-GB"/>
              </w:rPr>
              <w:t xml:space="preserve"> </w:t>
            </w:r>
          </w:p>
          <w:p w14:paraId="192F3654" w14:textId="775DE2DF" w:rsidR="00856FC4" w:rsidRPr="003D2EA6" w:rsidRDefault="00856FC4" w:rsidP="00035669">
            <w:pPr>
              <w:pStyle w:val="Fait"/>
              <w:spacing w:after="120"/>
            </w:pPr>
            <w:r w:rsidRPr="00581203">
              <w:t>Own fund</w:t>
            </w:r>
            <w:r w:rsidRPr="003D2EA6">
              <w:t xml:space="preserve">s requirements for relevant credit exposures in the country in question, defined in accordance to Article 140(4)(b) of the Directive 2013/36/EU, determined in accordance with Part Three, Title IV, Chapter 2 of </w:t>
            </w:r>
            <w:r w:rsidRPr="003D2EA6">
              <w:lastRenderedPageBreak/>
              <w:t xml:space="preserve">the </w:t>
            </w:r>
            <w:r w:rsidR="003D2EA6">
              <w:t>CRR</w:t>
            </w:r>
            <w:r w:rsidRPr="003D2EA6">
              <w:t xml:space="preserve"> for specific risk, or in accordance with Part Three, Title IV, Chapter 5 of the </w:t>
            </w:r>
            <w:r w:rsidR="003D2EA6">
              <w:t>CRR</w:t>
            </w:r>
            <w:r w:rsidRPr="003D2EA6">
              <w:t xml:space="preserve"> for incremental default and migration risk.</w:t>
            </w:r>
          </w:p>
          <w:p w14:paraId="4343ED03" w14:textId="20C226FB" w:rsidR="00856FC4" w:rsidRPr="003D2EA6" w:rsidRDefault="00856FC4" w:rsidP="00035669">
            <w:pPr>
              <w:pStyle w:val="Fait"/>
              <w:spacing w:after="120"/>
            </w:pPr>
            <w:r w:rsidRPr="003D2EA6">
              <w:t xml:space="preserve">Row 020 (Total): The sum of all own funds requirements for relevant credit exposures, defined in accordance to Article 140(4)(b) of the Directive 2013/36/EU, determined in accordance with Part Three, Title IV, Chapter 2 of the </w:t>
            </w:r>
            <w:r w:rsidR="003D2EA6">
              <w:t>CRR</w:t>
            </w:r>
            <w:r w:rsidRPr="003D2EA6">
              <w:t xml:space="preserve"> for specific risk, or in accordance with Part Three, Title IV, Chapter 5 of the </w:t>
            </w:r>
            <w:r w:rsidR="003D2EA6">
              <w:t>CRR</w:t>
            </w:r>
            <w:r w:rsidRPr="003D2EA6">
              <w:t xml:space="preserve"> for incremental default and migration risk.</w:t>
            </w:r>
          </w:p>
        </w:tc>
      </w:tr>
      <w:tr w:rsidR="00856FC4" w:rsidRPr="00581203" w14:paraId="0F575A67" w14:textId="77777777" w:rsidTr="002D3077">
        <w:trPr>
          <w:trHeight w:val="695"/>
        </w:trPr>
        <w:tc>
          <w:tcPr>
            <w:tcW w:w="1384" w:type="dxa"/>
          </w:tcPr>
          <w:p w14:paraId="315BEFFB" w14:textId="535E3DFB" w:rsidR="00856FC4" w:rsidRPr="00581203" w:rsidRDefault="003D2EA6"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i</w:t>
            </w:r>
          </w:p>
        </w:tc>
        <w:tc>
          <w:tcPr>
            <w:tcW w:w="7655" w:type="dxa"/>
          </w:tcPr>
          <w:p w14:paraId="2F123126" w14:textId="01A963DC" w:rsidR="00856FC4" w:rsidRPr="00581203"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b/>
                <w:sz w:val="24"/>
                <w:lang w:val="en-GB"/>
              </w:rPr>
              <w:t xml:space="preserve">Own funds requirements - </w:t>
            </w:r>
            <w:r w:rsidR="00563973">
              <w:rPr>
                <w:rFonts w:ascii="Times New Roman" w:hAnsi="Times New Roman" w:cs="Times New Roman"/>
                <w:b/>
                <w:sz w:val="24"/>
                <w:lang w:val="en-GB"/>
              </w:rPr>
              <w:t>R</w:t>
            </w:r>
            <w:r w:rsidR="0062584F" w:rsidRPr="00581203">
              <w:rPr>
                <w:rFonts w:ascii="Times New Roman" w:hAnsi="Times New Roman" w:cs="Times New Roman"/>
                <w:b/>
                <w:sz w:val="24"/>
                <w:lang w:val="en-GB"/>
              </w:rPr>
              <w:t>elevant credit exposures – Securitis</w:t>
            </w:r>
            <w:r w:rsidR="0062584F" w:rsidRPr="003D2EA6">
              <w:rPr>
                <w:rFonts w:ascii="Times New Roman" w:hAnsi="Times New Roman" w:cs="Times New Roman"/>
                <w:b/>
                <w:sz w:val="24"/>
                <w:lang w:val="en-GB"/>
              </w:rPr>
              <w:t xml:space="preserve">ation positions in the </w:t>
            </w:r>
            <w:r w:rsidR="00203C0B">
              <w:rPr>
                <w:rFonts w:ascii="Times New Roman" w:hAnsi="Times New Roman" w:cs="Times New Roman"/>
                <w:b/>
                <w:sz w:val="24"/>
                <w:lang w:val="en-GB"/>
              </w:rPr>
              <w:t>non-trading</w:t>
            </w:r>
            <w:r w:rsidR="00203C0B" w:rsidRPr="003D2EA6">
              <w:rPr>
                <w:rFonts w:ascii="Times New Roman" w:hAnsi="Times New Roman" w:cs="Times New Roman"/>
                <w:b/>
                <w:sz w:val="24"/>
                <w:lang w:val="en-GB"/>
              </w:rPr>
              <w:t xml:space="preserve"> </w:t>
            </w:r>
            <w:r w:rsidR="0062584F" w:rsidRPr="003D2EA6">
              <w:rPr>
                <w:rFonts w:ascii="Times New Roman" w:hAnsi="Times New Roman" w:cs="Times New Roman"/>
                <w:b/>
                <w:sz w:val="24"/>
                <w:lang w:val="en-GB"/>
              </w:rPr>
              <w:t>book</w:t>
            </w:r>
            <w:r w:rsidRPr="00581203">
              <w:rPr>
                <w:rFonts w:ascii="Times New Roman" w:hAnsi="Times New Roman" w:cs="Times New Roman"/>
                <w:b/>
                <w:sz w:val="24"/>
                <w:lang w:val="en-GB"/>
              </w:rPr>
              <w:t xml:space="preserve"> </w:t>
            </w:r>
          </w:p>
          <w:p w14:paraId="67F444C9" w14:textId="617CAC02"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Own funds requirements for relevant credit exposures in the country in question, defined in accordance to Article 140(4)(c) </w:t>
            </w:r>
            <w:r w:rsidRPr="00581203">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 xml:space="preserve"> determined in accordance with Part Three, Title II, Chapter 5 of the </w:t>
            </w:r>
            <w:r w:rsidR="003D2EA6">
              <w:rPr>
                <w:rFonts w:ascii="Times New Roman" w:hAnsi="Times New Roman" w:cs="Times New Roman"/>
                <w:sz w:val="24"/>
                <w:lang w:val="en-GB"/>
              </w:rPr>
              <w:t>CRR</w:t>
            </w:r>
            <w:r w:rsidRPr="003D2EA6">
              <w:rPr>
                <w:rFonts w:ascii="Times New Roman" w:hAnsi="Times New Roman" w:cs="Times New Roman"/>
                <w:sz w:val="24"/>
                <w:lang w:val="en-GB"/>
              </w:rPr>
              <w:t>.</w:t>
            </w:r>
          </w:p>
          <w:p w14:paraId="20FFC5E3" w14:textId="06DFC32A" w:rsidR="00856FC4" w:rsidRPr="003D2EA6" w:rsidRDefault="00856FC4" w:rsidP="00035669">
            <w:pPr>
              <w:autoSpaceDE w:val="0"/>
              <w:autoSpaceDN w:val="0"/>
              <w:adjustRightInd w:val="0"/>
              <w:spacing w:before="120" w:after="120"/>
              <w:jc w:val="both"/>
              <w:rPr>
                <w:rFonts w:ascii="Times New Roman" w:hAnsi="Times New Roman" w:cs="Times New Roman"/>
                <w:sz w:val="24"/>
                <w:lang w:val="en-GB"/>
              </w:rPr>
            </w:pPr>
            <w:r w:rsidRPr="003D2EA6">
              <w:rPr>
                <w:rFonts w:ascii="Times New Roman" w:hAnsi="Times New Roman" w:cs="Times New Roman"/>
                <w:sz w:val="24"/>
                <w:lang w:val="en-GB"/>
              </w:rPr>
              <w:t xml:space="preserve">Row 020 (Total): The sum of all own funds requirements for relevant credit exposures, defined in accordance to Article 140(4)(c) </w:t>
            </w:r>
            <w:r w:rsidRPr="003D2EA6">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 xml:space="preserve"> determined in accordance with Part Three, Title II, Chapter 5 of the </w:t>
            </w:r>
            <w:r w:rsidR="003D2EA6">
              <w:rPr>
                <w:rFonts w:ascii="Times New Roman" w:hAnsi="Times New Roman" w:cs="Times New Roman"/>
                <w:sz w:val="24"/>
                <w:lang w:val="en-GB"/>
              </w:rPr>
              <w:t>CRR</w:t>
            </w:r>
            <w:r w:rsidRPr="003D2EA6">
              <w:rPr>
                <w:rFonts w:ascii="Times New Roman" w:hAnsi="Times New Roman" w:cs="Times New Roman"/>
                <w:sz w:val="24"/>
                <w:lang w:val="en-GB"/>
              </w:rPr>
              <w:t>.</w:t>
            </w:r>
          </w:p>
        </w:tc>
      </w:tr>
      <w:tr w:rsidR="00856FC4" w:rsidRPr="00581203" w14:paraId="549C5D51" w14:textId="77777777" w:rsidTr="002D3077">
        <w:trPr>
          <w:trHeight w:val="695"/>
        </w:trPr>
        <w:tc>
          <w:tcPr>
            <w:tcW w:w="1384" w:type="dxa"/>
          </w:tcPr>
          <w:p w14:paraId="2533D917" w14:textId="514ECE17" w:rsidR="00856FC4" w:rsidRPr="00581203" w:rsidRDefault="003D2EA6"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j</w:t>
            </w:r>
          </w:p>
        </w:tc>
        <w:tc>
          <w:tcPr>
            <w:tcW w:w="7655" w:type="dxa"/>
          </w:tcPr>
          <w:p w14:paraId="511C1F9F" w14:textId="77777777"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Own funds requirements - Total</w:t>
            </w:r>
          </w:p>
          <w:p w14:paraId="3EF5EF8D" w14:textId="2D3E5397" w:rsidR="00856FC4" w:rsidRPr="00035669" w:rsidRDefault="00856FC4" w:rsidP="00035669">
            <w:pPr>
              <w:autoSpaceDE w:val="0"/>
              <w:autoSpaceDN w:val="0"/>
              <w:adjustRightInd w:val="0"/>
              <w:spacing w:before="120" w:after="120"/>
              <w:jc w:val="both"/>
              <w:rPr>
                <w:rFonts w:ascii="Times New Roman" w:hAnsi="Times New Roman" w:cs="Times New Roman"/>
                <w:sz w:val="24"/>
              </w:rPr>
            </w:pPr>
            <w:r w:rsidRPr="00581203">
              <w:rPr>
                <w:rFonts w:ascii="Times New Roman" w:hAnsi="Times New Roman" w:cs="Times New Roman"/>
                <w:sz w:val="24"/>
                <w:lang w:val="en-GB"/>
              </w:rPr>
              <w:t xml:space="preserve">The sum of </w:t>
            </w:r>
            <w:r w:rsidRPr="004D3597">
              <w:rPr>
                <w:rFonts w:ascii="Times New Roman" w:hAnsi="Times New Roman" w:cs="Times New Roman"/>
                <w:sz w:val="24"/>
                <w:lang w:val="en-GB"/>
              </w:rPr>
              <w:t xml:space="preserve">columns </w:t>
            </w:r>
            <w:r w:rsidR="004D3597">
              <w:rPr>
                <w:rFonts w:ascii="Times New Roman" w:hAnsi="Times New Roman" w:cs="Times New Roman"/>
                <w:sz w:val="24"/>
                <w:lang w:val="en-GB"/>
              </w:rPr>
              <w:t>g</w:t>
            </w:r>
            <w:r w:rsidRPr="003D2EA6">
              <w:rPr>
                <w:rFonts w:ascii="Times New Roman" w:hAnsi="Times New Roman" w:cs="Times New Roman"/>
                <w:sz w:val="24"/>
                <w:lang w:val="en-GB"/>
              </w:rPr>
              <w:t xml:space="preserve">, </w:t>
            </w:r>
            <w:r w:rsidR="004D3597">
              <w:rPr>
                <w:rFonts w:ascii="Times New Roman" w:hAnsi="Times New Roman" w:cs="Times New Roman"/>
                <w:sz w:val="24"/>
                <w:lang w:val="en-GB"/>
              </w:rPr>
              <w:t>h</w:t>
            </w:r>
            <w:r w:rsidR="004D3597" w:rsidRPr="003D2EA6">
              <w:rPr>
                <w:rFonts w:ascii="Times New Roman" w:hAnsi="Times New Roman" w:cs="Times New Roman"/>
                <w:sz w:val="24"/>
                <w:lang w:val="en-GB"/>
              </w:rPr>
              <w:t xml:space="preserve"> </w:t>
            </w:r>
            <w:r w:rsidRPr="003D2EA6">
              <w:rPr>
                <w:rFonts w:ascii="Times New Roman" w:hAnsi="Times New Roman" w:cs="Times New Roman"/>
                <w:sz w:val="24"/>
                <w:lang w:val="en-GB"/>
              </w:rPr>
              <w:t xml:space="preserve">and </w:t>
            </w:r>
            <w:r w:rsidR="004D3597">
              <w:rPr>
                <w:rFonts w:ascii="Times New Roman" w:hAnsi="Times New Roman" w:cs="Times New Roman"/>
                <w:sz w:val="24"/>
                <w:lang w:val="en-GB"/>
              </w:rPr>
              <w:t>i</w:t>
            </w:r>
            <w:r w:rsidRPr="00035669">
              <w:rPr>
                <w:rFonts w:ascii="Times New Roman" w:hAnsi="Times New Roman" w:cs="Times New Roman"/>
                <w:sz w:val="24"/>
              </w:rPr>
              <w:t>.</w:t>
            </w:r>
          </w:p>
          <w:p w14:paraId="7BF3D76D" w14:textId="77777777"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sz w:val="24"/>
                <w:lang w:val="en-GB"/>
              </w:rPr>
              <w:t xml:space="preserve">Row 020 (Total): The sum of all own funds requirements for relevant credit exposures, defined in accordance to Article 140(4) </w:t>
            </w:r>
            <w:r w:rsidRPr="00581203">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w:t>
            </w:r>
          </w:p>
        </w:tc>
      </w:tr>
      <w:tr w:rsidR="006A5D66" w:rsidRPr="00581203" w14:paraId="11FD2FB1" w14:textId="77777777" w:rsidTr="002D3077">
        <w:trPr>
          <w:trHeight w:val="695"/>
        </w:trPr>
        <w:tc>
          <w:tcPr>
            <w:tcW w:w="1384" w:type="dxa"/>
          </w:tcPr>
          <w:p w14:paraId="075DFC72" w14:textId="4B19A18B" w:rsidR="006A5D66" w:rsidRPr="00581203" w:rsidRDefault="003D2EA6" w:rsidP="00035669">
            <w:pPr>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k</w:t>
            </w:r>
          </w:p>
        </w:tc>
        <w:tc>
          <w:tcPr>
            <w:tcW w:w="7655" w:type="dxa"/>
          </w:tcPr>
          <w:p w14:paraId="596523D3" w14:textId="77777777" w:rsidR="006A5D66" w:rsidRPr="00581203" w:rsidRDefault="00D75823"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Risk-weighted exposure amounts</w:t>
            </w:r>
          </w:p>
          <w:p w14:paraId="48553E95" w14:textId="31573B99" w:rsidR="00D75823" w:rsidRPr="003D2EA6" w:rsidRDefault="003B028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Risk-weighted exposure amount</w:t>
            </w:r>
            <w:r w:rsidR="00563973">
              <w:rPr>
                <w:rFonts w:ascii="Times New Roman" w:hAnsi="Times New Roman" w:cs="Times New Roman"/>
                <w:sz w:val="24"/>
                <w:lang w:val="en-GB"/>
              </w:rPr>
              <w:t>s</w:t>
            </w:r>
            <w:r w:rsidRPr="00581203">
              <w:rPr>
                <w:rFonts w:ascii="Times New Roman" w:hAnsi="Times New Roman" w:cs="Times New Roman"/>
                <w:sz w:val="24"/>
                <w:lang w:val="en-GB"/>
              </w:rPr>
              <w:t xml:space="preserve"> for relevant credit exposures, defined in accordance to Article 140(4) </w:t>
            </w:r>
            <w:r w:rsidRPr="00581203">
              <w:rPr>
                <w:rFonts w:ascii="Times New Roman" w:eastAsia="Times New Roman" w:hAnsi="Times New Roman" w:cs="Times New Roman"/>
                <w:sz w:val="24"/>
                <w:lang w:val="en-GB"/>
              </w:rPr>
              <w:t>of the Directive 2013/36/EU</w:t>
            </w:r>
            <w:r w:rsidRPr="00581203">
              <w:rPr>
                <w:rFonts w:ascii="Times New Roman" w:hAnsi="Times New Roman" w:cs="Times New Roman"/>
                <w:sz w:val="24"/>
                <w:lang w:val="en-GB"/>
              </w:rPr>
              <w:t>, broken-down by country</w:t>
            </w:r>
            <w:r w:rsidR="00276377" w:rsidRPr="00581203">
              <w:rPr>
                <w:rFonts w:ascii="Times New Roman" w:hAnsi="Times New Roman" w:cs="Times New Roman"/>
                <w:sz w:val="24"/>
                <w:lang w:val="en-GB"/>
              </w:rPr>
              <w:t xml:space="preserve"> and taking into account any country-specific adjustments to risk weights s</w:t>
            </w:r>
            <w:r w:rsidR="00276377" w:rsidRPr="003D2EA6">
              <w:rPr>
                <w:rFonts w:ascii="Times New Roman" w:hAnsi="Times New Roman" w:cs="Times New Roman"/>
                <w:sz w:val="24"/>
                <w:lang w:val="en-GB"/>
              </w:rPr>
              <w:t xml:space="preserve">et following Article 458 of the </w:t>
            </w:r>
            <w:r w:rsidR="003D2EA6">
              <w:rPr>
                <w:rFonts w:ascii="Times New Roman" w:hAnsi="Times New Roman" w:cs="Times New Roman"/>
                <w:sz w:val="24"/>
                <w:lang w:val="en-GB"/>
              </w:rPr>
              <w:t>CRR</w:t>
            </w:r>
            <w:r w:rsidR="00276377" w:rsidRPr="003D2EA6">
              <w:rPr>
                <w:rFonts w:ascii="Times New Roman" w:hAnsi="Times New Roman" w:cs="Times New Roman"/>
                <w:sz w:val="24"/>
                <w:lang w:val="en-GB"/>
              </w:rPr>
              <w:t>..</w:t>
            </w:r>
            <w:r w:rsidRPr="003D2EA6">
              <w:rPr>
                <w:rFonts w:ascii="Times New Roman" w:hAnsi="Times New Roman" w:cs="Times New Roman"/>
                <w:sz w:val="24"/>
                <w:lang w:val="en-GB"/>
              </w:rPr>
              <w:t xml:space="preserve"> </w:t>
            </w:r>
          </w:p>
          <w:p w14:paraId="3BAA5EA2" w14:textId="7A9617D9" w:rsidR="003B0284" w:rsidRPr="003D2EA6" w:rsidRDefault="003B0284" w:rsidP="00035669">
            <w:pPr>
              <w:autoSpaceDE w:val="0"/>
              <w:autoSpaceDN w:val="0"/>
              <w:adjustRightInd w:val="0"/>
              <w:spacing w:before="120" w:after="120"/>
              <w:jc w:val="both"/>
              <w:rPr>
                <w:rFonts w:ascii="Times New Roman" w:hAnsi="Times New Roman" w:cs="Times New Roman"/>
                <w:sz w:val="24"/>
                <w:lang w:val="en-GB"/>
              </w:rPr>
            </w:pPr>
            <w:r w:rsidRPr="00581203">
              <w:rPr>
                <w:rFonts w:ascii="Times New Roman" w:hAnsi="Times New Roman" w:cs="Times New Roman"/>
                <w:sz w:val="24"/>
                <w:lang w:val="en-GB"/>
              </w:rPr>
              <w:t xml:space="preserve">Row 020 (Total): The sum of all </w:t>
            </w:r>
            <w:r w:rsidR="00563973">
              <w:rPr>
                <w:rFonts w:ascii="Times New Roman" w:hAnsi="Times New Roman" w:cs="Times New Roman"/>
                <w:sz w:val="24"/>
                <w:lang w:val="en-GB"/>
              </w:rPr>
              <w:t>r</w:t>
            </w:r>
            <w:r w:rsidRPr="00581203">
              <w:rPr>
                <w:rFonts w:ascii="Times New Roman" w:hAnsi="Times New Roman" w:cs="Times New Roman"/>
                <w:sz w:val="24"/>
                <w:lang w:val="en-GB"/>
              </w:rPr>
              <w:t xml:space="preserve">isk-weighted exposure amounts for relevant credit exposures, defined in accordance to Article 140(4) </w:t>
            </w:r>
            <w:r w:rsidRPr="00581203">
              <w:rPr>
                <w:rFonts w:ascii="Times New Roman" w:eastAsia="Times New Roman" w:hAnsi="Times New Roman" w:cs="Times New Roman"/>
                <w:sz w:val="24"/>
                <w:lang w:val="en-GB"/>
              </w:rPr>
              <w:t>of the Directive 2013/36/EU</w:t>
            </w:r>
          </w:p>
        </w:tc>
      </w:tr>
      <w:tr w:rsidR="00856FC4" w:rsidRPr="00581203" w14:paraId="4C24B25B" w14:textId="77777777" w:rsidTr="002D3077">
        <w:trPr>
          <w:trHeight w:val="695"/>
        </w:trPr>
        <w:tc>
          <w:tcPr>
            <w:tcW w:w="1384" w:type="dxa"/>
          </w:tcPr>
          <w:p w14:paraId="0DB4DBD9" w14:textId="3F0A98CC" w:rsidR="00856FC4" w:rsidRPr="00581203" w:rsidRDefault="003D2EA6"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rPr>
              <w:t>l</w:t>
            </w:r>
          </w:p>
        </w:tc>
        <w:tc>
          <w:tcPr>
            <w:tcW w:w="7655" w:type="dxa"/>
          </w:tcPr>
          <w:p w14:paraId="6E62CB20" w14:textId="1A16A1A9"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Own funds requirements weights</w:t>
            </w:r>
            <w:r w:rsidR="007A491E" w:rsidRPr="00581203">
              <w:rPr>
                <w:rFonts w:ascii="Times New Roman" w:hAnsi="Times New Roman" w:cs="Times New Roman"/>
                <w:b/>
                <w:sz w:val="24"/>
                <w:lang w:val="en-GB"/>
              </w:rPr>
              <w:t xml:space="preserve"> (%)</w:t>
            </w:r>
          </w:p>
          <w:p w14:paraId="5F178CC6" w14:textId="25B2EF54" w:rsidR="00856FC4" w:rsidRPr="004D3597"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t xml:space="preserve">The weight applied to the countercyclical buffer rate in each country, calculated as the total own funds requirements that relates to the relevant credit exposures in the country in question </w:t>
            </w:r>
            <w:r w:rsidRPr="00581203">
              <w:rPr>
                <w:rFonts w:ascii="Times New Roman" w:hAnsi="Times New Roman" w:cs="Times New Roman"/>
                <w:sz w:val="24"/>
                <w:lang w:val="en-GB"/>
              </w:rPr>
              <w:t xml:space="preserve">(row 01X, </w:t>
            </w:r>
            <w:r w:rsidRPr="004D3597">
              <w:rPr>
                <w:rFonts w:ascii="Times New Roman" w:hAnsi="Times New Roman" w:cs="Times New Roman"/>
                <w:sz w:val="24"/>
                <w:lang w:val="en-GB"/>
              </w:rPr>
              <w:t xml:space="preserve">column </w:t>
            </w:r>
            <w:r w:rsidR="004D3597">
              <w:rPr>
                <w:rFonts w:ascii="Times New Roman" w:hAnsi="Times New Roman" w:cs="Times New Roman"/>
                <w:sz w:val="24"/>
                <w:lang w:val="en-GB"/>
              </w:rPr>
              <w:t>j</w:t>
            </w:r>
            <w:r w:rsidRPr="004D3597">
              <w:rPr>
                <w:rFonts w:ascii="Times New Roman" w:hAnsi="Times New Roman" w:cs="Times New Roman"/>
                <w:sz w:val="24"/>
                <w:lang w:val="en-GB"/>
              </w:rPr>
              <w:t>)</w:t>
            </w:r>
            <w:r w:rsidRPr="004D3597">
              <w:rPr>
                <w:rFonts w:ascii="Times New Roman" w:eastAsia="Times New Roman" w:hAnsi="Times New Roman" w:cs="Times New Roman"/>
                <w:sz w:val="24"/>
                <w:lang w:val="en-GB"/>
              </w:rPr>
              <w:t xml:space="preserve">, divided by the total own funds requirements that relates to all credit exposures relevant for the calculation of the countercyclical buffer </w:t>
            </w:r>
            <w:r w:rsidRPr="004D3597">
              <w:rPr>
                <w:rFonts w:ascii="Times New Roman" w:hAnsi="Times New Roman" w:cs="Times New Roman"/>
                <w:sz w:val="24"/>
                <w:lang w:val="en-GB"/>
              </w:rPr>
              <w:t>in accordance with Article 140(4)</w:t>
            </w:r>
            <w:r w:rsidRPr="00581203">
              <w:rPr>
                <w:rFonts w:ascii="Times New Roman" w:hAnsi="Times New Roman" w:cs="Times New Roman"/>
                <w:b/>
                <w:sz w:val="24"/>
                <w:lang w:val="en-GB"/>
              </w:rPr>
              <w:t xml:space="preserve"> </w:t>
            </w:r>
            <w:r w:rsidRPr="00581203">
              <w:rPr>
                <w:rFonts w:ascii="Times New Roman" w:eastAsia="Times New Roman" w:hAnsi="Times New Roman" w:cs="Times New Roman"/>
                <w:sz w:val="24"/>
                <w:lang w:val="en-GB"/>
              </w:rPr>
              <w:t xml:space="preserve">of the Directive 2013/36/EU (row 020, </w:t>
            </w:r>
            <w:r w:rsidRPr="004D3597">
              <w:rPr>
                <w:rFonts w:ascii="Times New Roman" w:eastAsia="Times New Roman" w:hAnsi="Times New Roman" w:cs="Times New Roman"/>
                <w:sz w:val="24"/>
                <w:lang w:val="en-GB"/>
              </w:rPr>
              <w:t xml:space="preserve">column </w:t>
            </w:r>
            <w:r w:rsidR="004D3597">
              <w:rPr>
                <w:rFonts w:ascii="Times New Roman" w:eastAsia="Times New Roman" w:hAnsi="Times New Roman" w:cs="Times New Roman"/>
                <w:sz w:val="24"/>
                <w:lang w:val="en-GB"/>
              </w:rPr>
              <w:t>j</w:t>
            </w:r>
            <w:r w:rsidRPr="004D3597">
              <w:rPr>
                <w:rFonts w:ascii="Times New Roman" w:eastAsia="Times New Roman" w:hAnsi="Times New Roman" w:cs="Times New Roman"/>
                <w:sz w:val="24"/>
                <w:lang w:val="en-GB"/>
              </w:rPr>
              <w:t>).</w:t>
            </w:r>
          </w:p>
          <w:p w14:paraId="25807567" w14:textId="77E05AEA" w:rsidR="00856FC4" w:rsidRPr="004D3597"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eastAsia="Times New Roman" w:hAnsi="Times New Roman" w:cs="Times New Roman"/>
                <w:sz w:val="24"/>
                <w:lang w:val="en-GB"/>
              </w:rPr>
              <w:t xml:space="preserve">This value is disclosed as an </w:t>
            </w:r>
            <w:r w:rsidR="00834F29" w:rsidRPr="00581203">
              <w:rPr>
                <w:rFonts w:ascii="Times New Roman" w:eastAsia="Times New Roman" w:hAnsi="Times New Roman" w:cs="Times New Roman"/>
                <w:sz w:val="24"/>
                <w:lang w:val="en-GB"/>
              </w:rPr>
              <w:t xml:space="preserve">percentage </w:t>
            </w:r>
            <w:r w:rsidRPr="00581203">
              <w:rPr>
                <w:rFonts w:ascii="Times New Roman" w:eastAsia="Times New Roman" w:hAnsi="Times New Roman" w:cs="Times New Roman"/>
                <w:sz w:val="24"/>
                <w:lang w:val="en-GB"/>
              </w:rPr>
              <w:t>with 2 decimal points.</w:t>
            </w:r>
          </w:p>
        </w:tc>
      </w:tr>
      <w:tr w:rsidR="00856FC4" w:rsidRPr="00581203" w14:paraId="63624CF3" w14:textId="77777777" w:rsidTr="002D3077">
        <w:trPr>
          <w:trHeight w:val="695"/>
        </w:trPr>
        <w:tc>
          <w:tcPr>
            <w:tcW w:w="1384" w:type="dxa"/>
          </w:tcPr>
          <w:p w14:paraId="36DB20E7" w14:textId="351C7B6B" w:rsidR="00856FC4" w:rsidRPr="00581203" w:rsidRDefault="003D2EA6"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m</w:t>
            </w:r>
          </w:p>
        </w:tc>
        <w:tc>
          <w:tcPr>
            <w:tcW w:w="7655" w:type="dxa"/>
          </w:tcPr>
          <w:p w14:paraId="0F8A2193" w14:textId="3A6FF059" w:rsidR="00856FC4" w:rsidRPr="00581203" w:rsidRDefault="00856FC4" w:rsidP="00035669">
            <w:pPr>
              <w:autoSpaceDE w:val="0"/>
              <w:autoSpaceDN w:val="0"/>
              <w:adjustRightInd w:val="0"/>
              <w:jc w:val="both"/>
              <w:rPr>
                <w:rFonts w:ascii="Times New Roman" w:hAnsi="Times New Roman" w:cs="Times New Roman"/>
                <w:b/>
                <w:sz w:val="24"/>
                <w:lang w:val="en-GB"/>
              </w:rPr>
            </w:pPr>
            <w:r w:rsidRPr="00581203">
              <w:rPr>
                <w:rFonts w:ascii="Times New Roman" w:hAnsi="Times New Roman" w:cs="Times New Roman"/>
                <w:b/>
                <w:sz w:val="24"/>
                <w:lang w:val="en-GB"/>
              </w:rPr>
              <w:t>Countercyclical capital buffer rate</w:t>
            </w:r>
            <w:r w:rsidR="007A491E" w:rsidRPr="00581203">
              <w:rPr>
                <w:rFonts w:ascii="Times New Roman" w:hAnsi="Times New Roman" w:cs="Times New Roman"/>
                <w:b/>
                <w:sz w:val="24"/>
                <w:lang w:val="en-GB"/>
              </w:rPr>
              <w:t xml:space="preserve"> (%)</w:t>
            </w:r>
          </w:p>
          <w:p w14:paraId="4136CE35" w14:textId="741AE741" w:rsidR="00856FC4" w:rsidRPr="00581203"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lastRenderedPageBreak/>
              <w:t xml:space="preserve">Countercyclical capital buffer rate applicable in the country in question, and set in accordance with Articles 136, 137, 138 and 139 of the Directive 2013/36/EU. </w:t>
            </w:r>
            <w:r w:rsidR="0012038C" w:rsidRPr="00581203">
              <w:rPr>
                <w:rFonts w:ascii="Times New Roman" w:eastAsia="Times New Roman" w:hAnsi="Times New Roman" w:cs="Times New Roman"/>
                <w:sz w:val="24"/>
                <w:lang w:val="en-GB"/>
              </w:rPr>
              <w:t xml:space="preserve">This </w:t>
            </w:r>
            <w:r w:rsidR="0012038C" w:rsidRPr="004D3597">
              <w:rPr>
                <w:rFonts w:ascii="Times New Roman" w:eastAsia="Times New Roman" w:hAnsi="Times New Roman" w:cs="Times New Roman"/>
                <w:sz w:val="24"/>
                <w:lang w:val="en-GB"/>
              </w:rPr>
              <w:t>column does not include countercyclical capital b</w:t>
            </w:r>
            <w:r w:rsidR="0012038C" w:rsidRPr="00581203">
              <w:rPr>
                <w:rFonts w:ascii="Times New Roman" w:eastAsia="Times New Roman" w:hAnsi="Times New Roman" w:cs="Times New Roman"/>
                <w:sz w:val="24"/>
                <w:lang w:val="en-GB"/>
              </w:rPr>
              <w:t>uffer rates that were set, but are not yet applicable at the time of computation of the institution specific countercyclical capital buffer to which the disclosure relate</w:t>
            </w:r>
            <w:r w:rsidR="0012038C" w:rsidRPr="003D2EA6">
              <w:rPr>
                <w:rFonts w:ascii="Times New Roman" w:eastAsia="Times New Roman" w:hAnsi="Times New Roman" w:cs="Times New Roman"/>
                <w:sz w:val="24"/>
                <w:lang w:val="en-GB"/>
              </w:rPr>
              <w:t>s.</w:t>
            </w:r>
          </w:p>
          <w:p w14:paraId="6E919DDE" w14:textId="77777777"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eastAsia="Times New Roman" w:hAnsi="Times New Roman" w:cs="Times New Roman"/>
                <w:sz w:val="24"/>
                <w:lang w:val="en-GB"/>
              </w:rPr>
              <w:t>This value is disclosed as percentage with the same number of decimal points as set in accordance with Articles 136, 137, 138 and 139 of the Directive 2013/36/EU.</w:t>
            </w:r>
          </w:p>
        </w:tc>
      </w:tr>
    </w:tbl>
    <w:p w14:paraId="5D425076" w14:textId="090976D9" w:rsidR="00856FC4" w:rsidRPr="00035669" w:rsidRDefault="00856FC4" w:rsidP="00035669">
      <w:pPr>
        <w:jc w:val="both"/>
        <w:rPr>
          <w:rFonts w:ascii="Times New Roman" w:hAnsi="Times New Roman" w:cs="Times New Roman"/>
          <w:sz w:val="24"/>
          <w:lang w:val="en-GB"/>
        </w:rPr>
      </w:pPr>
    </w:p>
    <w:p w14:paraId="0888D802" w14:textId="2707C95D" w:rsidR="00856FC4" w:rsidRDefault="00856FC4" w:rsidP="00035669">
      <w:pPr>
        <w:autoSpaceDE w:val="0"/>
        <w:autoSpaceDN w:val="0"/>
        <w:adjustRightInd w:val="0"/>
        <w:jc w:val="both"/>
        <w:rPr>
          <w:rFonts w:ascii="Times New Roman" w:hAnsi="Times New Roman" w:cs="Times New Roman"/>
          <w:b/>
          <w:sz w:val="24"/>
          <w:lang w:val="en-GB"/>
        </w:rPr>
      </w:pPr>
      <w:r w:rsidRPr="00581203">
        <w:rPr>
          <w:rFonts w:ascii="Times New Roman" w:hAnsi="Times New Roman" w:cs="Times New Roman"/>
          <w:b/>
          <w:sz w:val="24"/>
          <w:lang w:val="en-GB"/>
        </w:rPr>
        <w:t>Template</w:t>
      </w:r>
      <w:r w:rsidR="00A07BDA">
        <w:rPr>
          <w:rFonts w:ascii="Times New Roman" w:hAnsi="Times New Roman" w:cs="Times New Roman"/>
          <w:b/>
          <w:sz w:val="24"/>
          <w:lang w:val="en-GB"/>
        </w:rPr>
        <w:t xml:space="preserve"> EU</w:t>
      </w:r>
      <w:r w:rsidRPr="00581203">
        <w:rPr>
          <w:rFonts w:ascii="Times New Roman" w:hAnsi="Times New Roman" w:cs="Times New Roman"/>
          <w:b/>
          <w:sz w:val="24"/>
          <w:lang w:val="en-GB"/>
        </w:rPr>
        <w:t xml:space="preserve"> CC</w:t>
      </w:r>
      <w:r w:rsidR="008825AF" w:rsidRPr="00581203">
        <w:rPr>
          <w:rFonts w:ascii="Times New Roman" w:hAnsi="Times New Roman" w:cs="Times New Roman"/>
          <w:b/>
          <w:sz w:val="24"/>
          <w:lang w:val="en-GB"/>
        </w:rPr>
        <w:t>y</w:t>
      </w:r>
      <w:r w:rsidR="00640953">
        <w:rPr>
          <w:rFonts w:ascii="Times New Roman" w:hAnsi="Times New Roman" w:cs="Times New Roman"/>
          <w:b/>
          <w:sz w:val="24"/>
          <w:lang w:val="en-GB"/>
        </w:rPr>
        <w:t>B2 -</w:t>
      </w:r>
      <w:r w:rsidRPr="00581203">
        <w:rPr>
          <w:rFonts w:ascii="Times New Roman" w:hAnsi="Times New Roman" w:cs="Times New Roman"/>
          <w:b/>
          <w:sz w:val="24"/>
          <w:lang w:val="en-GB"/>
        </w:rPr>
        <w:t xml:space="preserve"> Amount of institution specific countercyclical capital buffer</w:t>
      </w:r>
    </w:p>
    <w:p w14:paraId="10A60A4D" w14:textId="4CE5D4CF" w:rsidR="003D2EA6" w:rsidRDefault="003D2EA6" w:rsidP="00035669">
      <w:pPr>
        <w:autoSpaceDE w:val="0"/>
        <w:autoSpaceDN w:val="0"/>
        <w:adjustRightInd w:val="0"/>
        <w:jc w:val="both"/>
        <w:rPr>
          <w:rFonts w:ascii="Times New Roman" w:hAnsi="Times New Roman" w:cs="Times New Roman"/>
          <w:b/>
          <w:sz w:val="24"/>
          <w:lang w:val="en-GB"/>
        </w:rPr>
      </w:pPr>
    </w:p>
    <w:p w14:paraId="3D756E8F" w14:textId="3C43CEE4" w:rsidR="00856FC4" w:rsidRPr="00035669" w:rsidRDefault="003D2EA6" w:rsidP="00035669">
      <w:pPr>
        <w:pStyle w:val="ListParagraph"/>
        <w:numPr>
          <w:ilvl w:val="0"/>
          <w:numId w:val="38"/>
        </w:numPr>
        <w:spacing w:before="120" w:after="120"/>
        <w:ind w:left="425" w:hanging="357"/>
        <w:jc w:val="both"/>
        <w:rPr>
          <w:rFonts w:ascii="Times New Roman" w:hAnsi="Times New Roman"/>
          <w:sz w:val="24"/>
        </w:rPr>
      </w:pPr>
      <w:r w:rsidRPr="00035669">
        <w:rPr>
          <w:rFonts w:ascii="Times New Roman" w:hAnsi="Times New Roman"/>
          <w:sz w:val="24"/>
        </w:rPr>
        <w:t xml:space="preserve">Institutions shall </w:t>
      </w:r>
      <w:r w:rsidR="00692F84">
        <w:rPr>
          <w:rFonts w:ascii="Times New Roman" w:hAnsi="Times New Roman"/>
          <w:sz w:val="24"/>
        </w:rPr>
        <w:t>apply the instructions provided below in this Annex in order to complete template</w:t>
      </w:r>
      <w:r w:rsidR="00C1090E">
        <w:rPr>
          <w:rFonts w:ascii="Times New Roman" w:hAnsi="Times New Roman"/>
          <w:sz w:val="24"/>
        </w:rPr>
        <w:t xml:space="preserve"> EU CCyB2</w:t>
      </w:r>
      <w:r w:rsidR="00692F84">
        <w:rPr>
          <w:rFonts w:ascii="Times New Roman" w:hAnsi="Times New Roman"/>
          <w:sz w:val="24"/>
        </w:rPr>
        <w:t xml:space="preserve"> as presented in Annex 11,</w:t>
      </w:r>
      <w:r w:rsidR="00692F84" w:rsidRPr="007A4D79">
        <w:rPr>
          <w:rFonts w:ascii="Times New Roman" w:hAnsi="Times New Roman"/>
          <w:sz w:val="24"/>
        </w:rPr>
        <w:t xml:space="preserve"> </w:t>
      </w:r>
      <w:r w:rsidR="00035669">
        <w:rPr>
          <w:rFonts w:ascii="Times New Roman" w:hAnsi="Times New Roman"/>
          <w:sz w:val="24"/>
        </w:rPr>
        <w:t>in application of Article 440</w:t>
      </w:r>
      <w:r w:rsidRPr="00035669">
        <w:rPr>
          <w:rFonts w:ascii="Times New Roman" w:hAnsi="Times New Roman"/>
          <w:sz w:val="24"/>
        </w:rPr>
        <w:t>(b) of CRR.</w:t>
      </w:r>
      <w:bookmarkStart w:id="10" w:name="_GoBack"/>
      <w:bookmarkEnd w:id="10"/>
    </w:p>
    <w:p w14:paraId="5D1F2DAD" w14:textId="77777777" w:rsidR="00856FC4" w:rsidRPr="00035669" w:rsidRDefault="00856FC4" w:rsidP="00035669">
      <w:pPr>
        <w:jc w:val="both"/>
        <w:rPr>
          <w:rFonts w:ascii="Times New Roman" w:hAnsi="Times New Roman" w:cs="Times New Roman"/>
          <w:sz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856FC4" w:rsidRPr="00581203" w14:paraId="728D43FB" w14:textId="77777777" w:rsidTr="002D3077">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83BDD" w14:textId="77777777" w:rsidR="00856FC4" w:rsidRPr="00581203" w:rsidRDefault="00856FC4" w:rsidP="00035669">
            <w:pPr>
              <w:jc w:val="both"/>
              <w:rPr>
                <w:rFonts w:ascii="Times New Roman" w:hAnsi="Times New Roman" w:cs="Times New Roman"/>
                <w:b/>
                <w:sz w:val="24"/>
                <w:lang w:val="en-GB"/>
              </w:rPr>
            </w:pPr>
            <w:r w:rsidRPr="00581203">
              <w:rPr>
                <w:rFonts w:ascii="Times New Roman" w:hAnsi="Times New Roman" w:cs="Times New Roman"/>
                <w:b/>
                <w:sz w:val="24"/>
                <w:lang w:val="en-GB"/>
              </w:rPr>
              <w:t>Legal references and instructions</w:t>
            </w:r>
          </w:p>
        </w:tc>
      </w:tr>
      <w:tr w:rsidR="00856FC4" w:rsidRPr="00581203" w14:paraId="00153001" w14:textId="77777777" w:rsidTr="002D3077">
        <w:trPr>
          <w:trHeight w:val="238"/>
        </w:trPr>
        <w:tc>
          <w:tcPr>
            <w:tcW w:w="1384" w:type="dxa"/>
            <w:shd w:val="clear" w:color="auto" w:fill="D9D9D9" w:themeFill="background1" w:themeFillShade="D9"/>
          </w:tcPr>
          <w:p w14:paraId="3075E4F4" w14:textId="77777777" w:rsidR="00856FC4" w:rsidRPr="00581203" w:rsidRDefault="00856FC4" w:rsidP="00035669">
            <w:pPr>
              <w:autoSpaceDE w:val="0"/>
              <w:autoSpaceDN w:val="0"/>
              <w:adjustRightInd w:val="0"/>
              <w:jc w:val="both"/>
              <w:rPr>
                <w:rFonts w:ascii="Times New Roman" w:hAnsi="Times New Roman" w:cs="Times New Roman"/>
                <w:b/>
                <w:sz w:val="24"/>
                <w:lang w:val="en-GB"/>
              </w:rPr>
            </w:pPr>
            <w:r w:rsidRPr="00581203">
              <w:rPr>
                <w:rFonts w:ascii="Times New Roman" w:hAnsi="Times New Roman" w:cs="Times New Roman"/>
                <w:b/>
                <w:sz w:val="24"/>
                <w:lang w:val="en-GB"/>
              </w:rPr>
              <w:t>Row number</w:t>
            </w:r>
          </w:p>
        </w:tc>
        <w:tc>
          <w:tcPr>
            <w:tcW w:w="7655" w:type="dxa"/>
            <w:shd w:val="clear" w:color="auto" w:fill="D9D9D9" w:themeFill="background1" w:themeFillShade="D9"/>
          </w:tcPr>
          <w:p w14:paraId="35DD265B" w14:textId="77777777" w:rsidR="00856FC4" w:rsidRPr="00035669" w:rsidRDefault="00856FC4" w:rsidP="00035669">
            <w:pPr>
              <w:autoSpaceDE w:val="0"/>
              <w:autoSpaceDN w:val="0"/>
              <w:adjustRightInd w:val="0"/>
              <w:jc w:val="both"/>
              <w:rPr>
                <w:rFonts w:ascii="Times New Roman" w:hAnsi="Times New Roman" w:cs="Times New Roman"/>
                <w:color w:val="000000"/>
                <w:sz w:val="24"/>
                <w:lang w:val="en-GB"/>
              </w:rPr>
            </w:pPr>
            <w:r w:rsidRPr="00581203">
              <w:rPr>
                <w:rFonts w:ascii="Times New Roman" w:hAnsi="Times New Roman" w:cs="Times New Roman"/>
                <w:b/>
                <w:sz w:val="24"/>
                <w:lang w:val="en-GB"/>
              </w:rPr>
              <w:t>Explanation</w:t>
            </w:r>
          </w:p>
        </w:tc>
      </w:tr>
      <w:tr w:rsidR="00856FC4" w:rsidRPr="00581203" w14:paraId="59162177" w14:textId="77777777" w:rsidTr="002D3077">
        <w:trPr>
          <w:trHeight w:val="1055"/>
        </w:trPr>
        <w:tc>
          <w:tcPr>
            <w:tcW w:w="1384" w:type="dxa"/>
          </w:tcPr>
          <w:p w14:paraId="47DF39A8" w14:textId="607F0A96" w:rsidR="00856FC4" w:rsidRPr="00581203" w:rsidRDefault="004D3597" w:rsidP="00035669">
            <w:pPr>
              <w:pStyle w:val="Applicationdirecte"/>
              <w:spacing w:before="120"/>
            </w:pPr>
            <w:r>
              <w:t>1</w:t>
            </w:r>
          </w:p>
        </w:tc>
        <w:tc>
          <w:tcPr>
            <w:tcW w:w="7655" w:type="dxa"/>
          </w:tcPr>
          <w:p w14:paraId="59B3AAB6" w14:textId="77777777" w:rsidR="00856FC4" w:rsidRPr="00581203" w:rsidRDefault="00856FC4" w:rsidP="00035669">
            <w:pPr>
              <w:pStyle w:val="Applicationdirecte"/>
              <w:spacing w:before="120"/>
              <w:rPr>
                <w:b/>
              </w:rPr>
            </w:pPr>
            <w:r w:rsidRPr="00581203">
              <w:rPr>
                <w:b/>
              </w:rPr>
              <w:t>Total risk exposure amount</w:t>
            </w:r>
          </w:p>
          <w:p w14:paraId="5CA8F6EF" w14:textId="0C38FE3C" w:rsidR="00856FC4" w:rsidRPr="00035669" w:rsidRDefault="00856FC4" w:rsidP="00035669">
            <w:pPr>
              <w:autoSpaceDE w:val="0"/>
              <w:autoSpaceDN w:val="0"/>
              <w:adjustRightInd w:val="0"/>
              <w:spacing w:before="120" w:after="120"/>
              <w:jc w:val="both"/>
              <w:rPr>
                <w:rFonts w:ascii="Times New Roman" w:hAnsi="Times New Roman" w:cs="Times New Roman"/>
                <w:color w:val="000000"/>
                <w:sz w:val="24"/>
              </w:rPr>
            </w:pPr>
            <w:r w:rsidRPr="00581203">
              <w:rPr>
                <w:rFonts w:ascii="Times New Roman" w:eastAsia="Times New Roman" w:hAnsi="Times New Roman" w:cs="Times New Roman"/>
                <w:sz w:val="24"/>
                <w:lang w:val="en-GB"/>
              </w:rPr>
              <w:t>Total risk exposure amount calculate</w:t>
            </w:r>
            <w:r w:rsidR="00640953">
              <w:rPr>
                <w:rFonts w:ascii="Times New Roman" w:eastAsia="Times New Roman" w:hAnsi="Times New Roman" w:cs="Times New Roman"/>
                <w:sz w:val="24"/>
                <w:lang w:val="en-GB"/>
              </w:rPr>
              <w:t>d in accordance with Article 92</w:t>
            </w:r>
            <w:r w:rsidRPr="00581203">
              <w:rPr>
                <w:rFonts w:ascii="Times New Roman" w:eastAsia="Times New Roman" w:hAnsi="Times New Roman" w:cs="Times New Roman"/>
                <w:sz w:val="24"/>
                <w:lang w:val="en-GB"/>
              </w:rPr>
              <w:t>(3)</w:t>
            </w:r>
            <w:r w:rsidR="00563973">
              <w:rPr>
                <w:rFonts w:ascii="Times New Roman" w:eastAsia="Times New Roman" w:hAnsi="Times New Roman" w:cs="Times New Roman"/>
                <w:sz w:val="24"/>
                <w:lang w:val="en-GB"/>
              </w:rPr>
              <w:t xml:space="preserve"> of CRR</w:t>
            </w:r>
            <w:r w:rsidRPr="00581203">
              <w:rPr>
                <w:rFonts w:ascii="Times New Roman" w:eastAsia="Times New Roman" w:hAnsi="Times New Roman" w:cs="Times New Roman"/>
                <w:sz w:val="24"/>
                <w:lang w:val="en-GB"/>
              </w:rPr>
              <w:t>.</w:t>
            </w:r>
          </w:p>
        </w:tc>
      </w:tr>
      <w:tr w:rsidR="00856FC4" w:rsidRPr="00581203" w14:paraId="11AFEEE7" w14:textId="77777777" w:rsidTr="002D3077">
        <w:trPr>
          <w:trHeight w:val="316"/>
        </w:trPr>
        <w:tc>
          <w:tcPr>
            <w:tcW w:w="1384" w:type="dxa"/>
          </w:tcPr>
          <w:p w14:paraId="410EA8A0" w14:textId="04C607A5" w:rsidR="00856FC4" w:rsidRPr="00581203" w:rsidRDefault="004D3597"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2</w:t>
            </w:r>
          </w:p>
        </w:tc>
        <w:tc>
          <w:tcPr>
            <w:tcW w:w="7655" w:type="dxa"/>
          </w:tcPr>
          <w:p w14:paraId="6A67C628" w14:textId="77777777" w:rsidR="00856FC4" w:rsidRPr="00581203" w:rsidRDefault="00856FC4" w:rsidP="00035669">
            <w:pPr>
              <w:autoSpaceDE w:val="0"/>
              <w:autoSpaceDN w:val="0"/>
              <w:adjustRightInd w:val="0"/>
              <w:spacing w:before="120" w:after="120"/>
              <w:jc w:val="both"/>
              <w:rPr>
                <w:rFonts w:ascii="Times New Roman" w:hAnsi="Times New Roman" w:cs="Times New Roman"/>
                <w:b/>
                <w:sz w:val="24"/>
                <w:lang w:val="en-GB"/>
              </w:rPr>
            </w:pPr>
            <w:r w:rsidRPr="00581203">
              <w:rPr>
                <w:rFonts w:ascii="Times New Roman" w:hAnsi="Times New Roman" w:cs="Times New Roman"/>
                <w:b/>
                <w:sz w:val="24"/>
                <w:lang w:val="en-GB"/>
              </w:rPr>
              <w:t xml:space="preserve">Institution specific countercyclical capital buffer rate </w:t>
            </w:r>
          </w:p>
          <w:p w14:paraId="2A29EA0A" w14:textId="77777777" w:rsidR="00856FC4" w:rsidRPr="00581203"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t xml:space="preserve">Institution specific countercyclical capital buffer rate, determined in accordance with in accordance with Article 140(1) of the Directive 2013/36/EU. </w:t>
            </w:r>
          </w:p>
          <w:p w14:paraId="25043EA0" w14:textId="52D9CE88" w:rsidR="00856FC4" w:rsidRPr="004D3597"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t>The institution specific countercyclical capital buffer rate is calculated as the weighted average of the countercyclical buffer rates that apply in the countries where the relevant credit exposures of the institution are located and reported in rows 010</w:t>
            </w:r>
            <w:r w:rsidR="007A491E" w:rsidRPr="00581203">
              <w:rPr>
                <w:rFonts w:ascii="Times New Roman" w:eastAsia="Times New Roman" w:hAnsi="Times New Roman" w:cs="Times New Roman"/>
                <w:sz w:val="24"/>
                <w:lang w:val="en-GB"/>
              </w:rPr>
              <w:t>.1</w:t>
            </w:r>
            <w:r w:rsidRPr="00581203">
              <w:rPr>
                <w:rFonts w:ascii="Times New Roman" w:eastAsia="Times New Roman" w:hAnsi="Times New Roman" w:cs="Times New Roman"/>
                <w:sz w:val="24"/>
                <w:lang w:val="en-GB"/>
              </w:rPr>
              <w:t xml:space="preserve"> to 01</w:t>
            </w:r>
            <w:r w:rsidR="007A491E" w:rsidRPr="00581203">
              <w:rPr>
                <w:rFonts w:ascii="Times New Roman" w:eastAsia="Times New Roman" w:hAnsi="Times New Roman" w:cs="Times New Roman"/>
                <w:sz w:val="24"/>
                <w:lang w:val="en-GB"/>
              </w:rPr>
              <w:t>0.</w:t>
            </w:r>
            <w:r w:rsidRPr="00581203">
              <w:rPr>
                <w:rFonts w:ascii="Times New Roman" w:eastAsia="Times New Roman" w:hAnsi="Times New Roman" w:cs="Times New Roman"/>
                <w:sz w:val="24"/>
                <w:lang w:val="en-GB"/>
              </w:rPr>
              <w:t xml:space="preserve">X of </w:t>
            </w:r>
            <w:r w:rsidRPr="004D3597">
              <w:rPr>
                <w:rFonts w:ascii="Times New Roman" w:eastAsia="Times New Roman" w:hAnsi="Times New Roman" w:cs="Times New Roman"/>
                <w:sz w:val="24"/>
                <w:lang w:val="en-GB"/>
              </w:rPr>
              <w:t xml:space="preserve">column </w:t>
            </w:r>
            <w:r w:rsidR="004D3597">
              <w:rPr>
                <w:rFonts w:ascii="Times New Roman" w:eastAsia="Times New Roman" w:hAnsi="Times New Roman" w:cs="Times New Roman"/>
                <w:sz w:val="24"/>
                <w:lang w:val="en-GB"/>
              </w:rPr>
              <w:t>m</w:t>
            </w:r>
            <w:r w:rsidRPr="004D3597">
              <w:rPr>
                <w:rFonts w:ascii="Times New Roman" w:eastAsia="Times New Roman" w:hAnsi="Times New Roman" w:cs="Times New Roman"/>
                <w:sz w:val="24"/>
                <w:lang w:val="en-GB"/>
              </w:rPr>
              <w:t xml:space="preserve"> of the </w:t>
            </w:r>
            <w:r w:rsidR="00834F29" w:rsidRPr="004D3597">
              <w:rPr>
                <w:rFonts w:ascii="Times New Roman" w:eastAsia="Times New Roman" w:hAnsi="Times New Roman" w:cs="Times New Roman"/>
                <w:sz w:val="24"/>
                <w:lang w:val="en-GB"/>
              </w:rPr>
              <w:t xml:space="preserve">Template </w:t>
            </w:r>
            <w:r w:rsidR="00A07BDA">
              <w:rPr>
                <w:rFonts w:ascii="Times New Roman" w:eastAsia="Times New Roman" w:hAnsi="Times New Roman" w:cs="Times New Roman"/>
                <w:sz w:val="24"/>
                <w:lang w:val="en-GB"/>
              </w:rPr>
              <w:t xml:space="preserve">EU </w:t>
            </w:r>
            <w:r w:rsidR="00834F29" w:rsidRPr="004D3597">
              <w:rPr>
                <w:rFonts w:ascii="Times New Roman" w:eastAsia="Times New Roman" w:hAnsi="Times New Roman" w:cs="Times New Roman"/>
                <w:sz w:val="24"/>
                <w:lang w:val="en-GB"/>
              </w:rPr>
              <w:t>CC</w:t>
            </w:r>
            <w:r w:rsidR="008825AF" w:rsidRPr="004D3597">
              <w:rPr>
                <w:rFonts w:ascii="Times New Roman" w:eastAsia="Times New Roman" w:hAnsi="Times New Roman" w:cs="Times New Roman"/>
                <w:sz w:val="24"/>
                <w:lang w:val="en-GB"/>
              </w:rPr>
              <w:t>y</w:t>
            </w:r>
            <w:r w:rsidR="00834F29" w:rsidRPr="004D3597">
              <w:rPr>
                <w:rFonts w:ascii="Times New Roman" w:eastAsia="Times New Roman" w:hAnsi="Times New Roman" w:cs="Times New Roman"/>
                <w:sz w:val="24"/>
                <w:lang w:val="en-GB"/>
              </w:rPr>
              <w:t>B1</w:t>
            </w:r>
            <w:r w:rsidRPr="004D3597">
              <w:rPr>
                <w:rFonts w:ascii="Times New Roman" w:eastAsia="Times New Roman" w:hAnsi="Times New Roman" w:cs="Times New Roman"/>
                <w:sz w:val="24"/>
                <w:lang w:val="en-GB"/>
              </w:rPr>
              <w:t>.</w:t>
            </w:r>
          </w:p>
          <w:p w14:paraId="2EE3546C" w14:textId="13D1C682" w:rsidR="00856FC4" w:rsidRPr="004D3597"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t>The weight applied to the countercyclical buffer rate in each country is the share of funds requirements in total own funds requirements, and is disclosed in T</w:t>
            </w:r>
            <w:r w:rsidR="00834F29" w:rsidRPr="00581203">
              <w:rPr>
                <w:rFonts w:ascii="Times New Roman" w:eastAsia="Times New Roman" w:hAnsi="Times New Roman" w:cs="Times New Roman"/>
                <w:sz w:val="24"/>
                <w:lang w:val="en-GB"/>
              </w:rPr>
              <w:t>emplate</w:t>
            </w:r>
            <w:r w:rsidR="00A07BDA">
              <w:rPr>
                <w:rFonts w:ascii="Times New Roman" w:eastAsia="Times New Roman" w:hAnsi="Times New Roman" w:cs="Times New Roman"/>
                <w:sz w:val="24"/>
                <w:lang w:val="en-GB"/>
              </w:rPr>
              <w:t xml:space="preserve"> EU</w:t>
            </w:r>
            <w:r w:rsidRPr="00581203">
              <w:rPr>
                <w:rFonts w:ascii="Times New Roman" w:eastAsia="Times New Roman" w:hAnsi="Times New Roman" w:cs="Times New Roman"/>
                <w:sz w:val="24"/>
                <w:lang w:val="en-GB"/>
              </w:rPr>
              <w:t xml:space="preserve"> </w:t>
            </w:r>
            <w:r w:rsidR="00834F29" w:rsidRPr="00581203">
              <w:rPr>
                <w:rFonts w:ascii="Times New Roman" w:eastAsia="Times New Roman" w:hAnsi="Times New Roman" w:cs="Times New Roman"/>
                <w:sz w:val="24"/>
                <w:lang w:val="en-GB"/>
              </w:rPr>
              <w:t>CC</w:t>
            </w:r>
            <w:r w:rsidR="008825AF" w:rsidRPr="00581203">
              <w:rPr>
                <w:rFonts w:ascii="Times New Roman" w:eastAsia="Times New Roman" w:hAnsi="Times New Roman" w:cs="Times New Roman"/>
                <w:sz w:val="24"/>
                <w:lang w:val="en-GB"/>
              </w:rPr>
              <w:t>y</w:t>
            </w:r>
            <w:r w:rsidR="00834F29" w:rsidRPr="00581203">
              <w:rPr>
                <w:rFonts w:ascii="Times New Roman" w:eastAsia="Times New Roman" w:hAnsi="Times New Roman" w:cs="Times New Roman"/>
                <w:sz w:val="24"/>
                <w:lang w:val="en-GB"/>
              </w:rPr>
              <w:t>B</w:t>
            </w:r>
            <w:r w:rsidRPr="00581203">
              <w:rPr>
                <w:rFonts w:ascii="Times New Roman" w:eastAsia="Times New Roman" w:hAnsi="Times New Roman" w:cs="Times New Roman"/>
                <w:sz w:val="24"/>
                <w:lang w:val="en-GB"/>
              </w:rPr>
              <w:t xml:space="preserve">1 </w:t>
            </w:r>
            <w:r w:rsidRPr="004D3597">
              <w:rPr>
                <w:rFonts w:ascii="Times New Roman" w:eastAsia="Times New Roman" w:hAnsi="Times New Roman" w:cs="Times New Roman"/>
                <w:sz w:val="24"/>
                <w:lang w:val="en-GB"/>
              </w:rPr>
              <w:t xml:space="preserve">column </w:t>
            </w:r>
            <w:r w:rsidR="004D3597">
              <w:rPr>
                <w:rFonts w:ascii="Times New Roman" w:eastAsia="Times New Roman" w:hAnsi="Times New Roman" w:cs="Times New Roman"/>
                <w:sz w:val="24"/>
                <w:lang w:val="en-GB"/>
              </w:rPr>
              <w:t>l</w:t>
            </w:r>
            <w:r w:rsidRPr="004D3597">
              <w:rPr>
                <w:rFonts w:ascii="Times New Roman" w:eastAsia="Times New Roman" w:hAnsi="Times New Roman" w:cs="Times New Roman"/>
                <w:sz w:val="24"/>
                <w:lang w:val="en-GB"/>
              </w:rPr>
              <w:t xml:space="preserve">. </w:t>
            </w:r>
          </w:p>
          <w:p w14:paraId="622A73F8" w14:textId="77777777" w:rsidR="00856FC4" w:rsidRPr="00581203" w:rsidRDefault="00856FC4" w:rsidP="00035669">
            <w:pPr>
              <w:autoSpaceDE w:val="0"/>
              <w:autoSpaceDN w:val="0"/>
              <w:adjustRightInd w:val="0"/>
              <w:spacing w:before="120" w:after="120"/>
              <w:jc w:val="both"/>
              <w:rPr>
                <w:rFonts w:ascii="Times New Roman" w:eastAsia="Times New Roman" w:hAnsi="Times New Roman" w:cs="Times New Roman"/>
                <w:sz w:val="24"/>
                <w:lang w:val="en-GB"/>
              </w:rPr>
            </w:pPr>
            <w:r w:rsidRPr="00581203">
              <w:rPr>
                <w:rFonts w:ascii="Times New Roman" w:eastAsia="Times New Roman" w:hAnsi="Times New Roman" w:cs="Times New Roman"/>
                <w:sz w:val="24"/>
                <w:lang w:val="en-GB"/>
              </w:rPr>
              <w:t>This value is disclosed as percentage with 2 decimal points.</w:t>
            </w:r>
          </w:p>
        </w:tc>
      </w:tr>
      <w:tr w:rsidR="00856FC4" w:rsidRPr="00581203" w14:paraId="7672F5EF" w14:textId="77777777" w:rsidTr="002D3077">
        <w:trPr>
          <w:trHeight w:val="316"/>
        </w:trPr>
        <w:tc>
          <w:tcPr>
            <w:tcW w:w="1384" w:type="dxa"/>
          </w:tcPr>
          <w:p w14:paraId="256CC66C" w14:textId="71B9161B" w:rsidR="00856FC4" w:rsidRPr="00581203" w:rsidRDefault="004D3597" w:rsidP="00035669">
            <w:pPr>
              <w:autoSpaceDE w:val="0"/>
              <w:autoSpaceDN w:val="0"/>
              <w:adjustRightInd w:val="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3</w:t>
            </w:r>
          </w:p>
        </w:tc>
        <w:tc>
          <w:tcPr>
            <w:tcW w:w="7655" w:type="dxa"/>
          </w:tcPr>
          <w:p w14:paraId="5904E10B" w14:textId="77777777" w:rsidR="00856FC4" w:rsidRPr="004D3597" w:rsidRDefault="00856FC4" w:rsidP="00035669">
            <w:pPr>
              <w:autoSpaceDE w:val="0"/>
              <w:autoSpaceDN w:val="0"/>
              <w:adjustRightInd w:val="0"/>
              <w:spacing w:before="120" w:after="120"/>
              <w:jc w:val="both"/>
              <w:rPr>
                <w:rFonts w:ascii="Times New Roman" w:hAnsi="Times New Roman" w:cs="Times New Roman"/>
                <w:b/>
                <w:sz w:val="24"/>
                <w:lang w:val="en-GB"/>
              </w:rPr>
            </w:pPr>
            <w:r w:rsidRPr="004D3597">
              <w:rPr>
                <w:rFonts w:ascii="Times New Roman" w:hAnsi="Times New Roman" w:cs="Times New Roman"/>
                <w:b/>
                <w:sz w:val="24"/>
                <w:lang w:val="en-GB"/>
              </w:rPr>
              <w:t>Institution specific countercyclical capital buffer requirement</w:t>
            </w:r>
          </w:p>
          <w:p w14:paraId="2B3A4B99" w14:textId="58C3F4F6" w:rsidR="00856FC4" w:rsidRPr="004D3597" w:rsidRDefault="00856FC4" w:rsidP="00035669">
            <w:pPr>
              <w:autoSpaceDE w:val="0"/>
              <w:autoSpaceDN w:val="0"/>
              <w:adjustRightInd w:val="0"/>
              <w:spacing w:before="120" w:after="120"/>
              <w:jc w:val="both"/>
              <w:rPr>
                <w:rFonts w:ascii="Times New Roman" w:hAnsi="Times New Roman" w:cs="Times New Roman"/>
                <w:b/>
                <w:sz w:val="24"/>
                <w:lang w:val="en-GB"/>
              </w:rPr>
            </w:pPr>
            <w:r w:rsidRPr="004D3597">
              <w:rPr>
                <w:rFonts w:ascii="Times New Roman" w:eastAsia="Times New Roman" w:hAnsi="Times New Roman" w:cs="Times New Roman"/>
                <w:sz w:val="24"/>
                <w:lang w:val="en-GB"/>
              </w:rPr>
              <w:t xml:space="preserve">Institution specific countercyclical capital buffer requirement, calculated as the institution specific countercyclical buffer rate, as reported in row </w:t>
            </w:r>
            <w:r w:rsidR="004D3597">
              <w:rPr>
                <w:rFonts w:ascii="Times New Roman" w:eastAsia="Times New Roman" w:hAnsi="Times New Roman" w:cs="Times New Roman"/>
                <w:sz w:val="24"/>
                <w:lang w:val="en-GB"/>
              </w:rPr>
              <w:t>2</w:t>
            </w:r>
            <w:r w:rsidR="004D3597" w:rsidRPr="004D3597">
              <w:rPr>
                <w:rFonts w:ascii="Times New Roman" w:eastAsia="Times New Roman" w:hAnsi="Times New Roman" w:cs="Times New Roman"/>
                <w:sz w:val="24"/>
                <w:lang w:val="en-GB"/>
              </w:rPr>
              <w:t xml:space="preserve"> </w:t>
            </w:r>
            <w:r w:rsidRPr="004D3597">
              <w:rPr>
                <w:rFonts w:ascii="Times New Roman" w:eastAsia="Times New Roman" w:hAnsi="Times New Roman" w:cs="Times New Roman"/>
                <w:sz w:val="24"/>
                <w:lang w:val="en-GB"/>
              </w:rPr>
              <w:t xml:space="preserve">of this </w:t>
            </w:r>
            <w:r w:rsidR="004D3597">
              <w:rPr>
                <w:rFonts w:ascii="Times New Roman" w:eastAsia="Times New Roman" w:hAnsi="Times New Roman" w:cs="Times New Roman"/>
                <w:sz w:val="24"/>
                <w:lang w:val="en-GB"/>
              </w:rPr>
              <w:t>Template</w:t>
            </w:r>
            <w:r w:rsidRPr="004D3597">
              <w:rPr>
                <w:rFonts w:ascii="Times New Roman" w:eastAsia="Times New Roman" w:hAnsi="Times New Roman" w:cs="Times New Roman"/>
                <w:sz w:val="24"/>
                <w:lang w:val="en-GB"/>
              </w:rPr>
              <w:t xml:space="preserve">, applied to the total risk exposure amount as reported in row </w:t>
            </w:r>
            <w:r w:rsidR="004D3597">
              <w:rPr>
                <w:rFonts w:ascii="Times New Roman" w:eastAsia="Times New Roman" w:hAnsi="Times New Roman" w:cs="Times New Roman"/>
                <w:sz w:val="24"/>
                <w:lang w:val="en-GB"/>
              </w:rPr>
              <w:t>1</w:t>
            </w:r>
            <w:r w:rsidR="004D3597" w:rsidRPr="004D3597">
              <w:rPr>
                <w:rFonts w:ascii="Times New Roman" w:eastAsia="Times New Roman" w:hAnsi="Times New Roman" w:cs="Times New Roman"/>
                <w:sz w:val="24"/>
                <w:lang w:val="en-GB"/>
              </w:rPr>
              <w:t xml:space="preserve"> </w:t>
            </w:r>
            <w:r w:rsidRPr="004D3597">
              <w:rPr>
                <w:rFonts w:ascii="Times New Roman" w:eastAsia="Times New Roman" w:hAnsi="Times New Roman" w:cs="Times New Roman"/>
                <w:sz w:val="24"/>
                <w:lang w:val="en-GB"/>
              </w:rPr>
              <w:t xml:space="preserve">of this </w:t>
            </w:r>
            <w:r w:rsidR="004D3597">
              <w:rPr>
                <w:rFonts w:ascii="Times New Roman" w:eastAsia="Times New Roman" w:hAnsi="Times New Roman" w:cs="Times New Roman"/>
                <w:sz w:val="24"/>
                <w:lang w:val="en-GB"/>
              </w:rPr>
              <w:t>Template</w:t>
            </w:r>
            <w:r w:rsidRPr="004D3597">
              <w:rPr>
                <w:rFonts w:ascii="Times New Roman" w:eastAsia="Times New Roman" w:hAnsi="Times New Roman" w:cs="Times New Roman"/>
                <w:sz w:val="24"/>
                <w:lang w:val="en-GB"/>
              </w:rPr>
              <w:t>.</w:t>
            </w:r>
          </w:p>
        </w:tc>
      </w:tr>
    </w:tbl>
    <w:p w14:paraId="3351CB5C" w14:textId="77777777" w:rsidR="00856FC4" w:rsidRPr="00035669" w:rsidRDefault="00856FC4" w:rsidP="00035669">
      <w:pPr>
        <w:jc w:val="both"/>
        <w:rPr>
          <w:rFonts w:ascii="Times New Roman" w:hAnsi="Times New Roman" w:cs="Times New Roman"/>
          <w:sz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856FC4" w:rsidRPr="00581203" w14:paraId="08E58ED9" w14:textId="77777777" w:rsidTr="002D3077">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353DF" w14:textId="77777777" w:rsidR="00856FC4" w:rsidRPr="00581203" w:rsidRDefault="00856FC4" w:rsidP="00035669">
            <w:pPr>
              <w:jc w:val="both"/>
              <w:rPr>
                <w:rFonts w:ascii="Times New Roman" w:hAnsi="Times New Roman" w:cs="Times New Roman"/>
                <w:b/>
                <w:sz w:val="24"/>
                <w:lang w:val="en-GB"/>
              </w:rPr>
            </w:pPr>
            <w:r w:rsidRPr="00581203">
              <w:rPr>
                <w:rFonts w:ascii="Times New Roman" w:hAnsi="Times New Roman" w:cs="Times New Roman"/>
                <w:b/>
                <w:sz w:val="24"/>
                <w:lang w:val="en-GB"/>
              </w:rPr>
              <w:lastRenderedPageBreak/>
              <w:t>Legal references and instructions</w:t>
            </w:r>
          </w:p>
        </w:tc>
      </w:tr>
      <w:tr w:rsidR="00856FC4" w:rsidRPr="00581203" w14:paraId="5FCEF58C" w14:textId="77777777" w:rsidTr="002D3077">
        <w:trPr>
          <w:trHeight w:val="238"/>
        </w:trPr>
        <w:tc>
          <w:tcPr>
            <w:tcW w:w="1384" w:type="dxa"/>
            <w:shd w:val="clear" w:color="auto" w:fill="D9D9D9" w:themeFill="background1" w:themeFillShade="D9"/>
          </w:tcPr>
          <w:p w14:paraId="69A5BF78" w14:textId="77777777" w:rsidR="00856FC4" w:rsidRPr="00581203" w:rsidRDefault="00856FC4" w:rsidP="00035669">
            <w:pPr>
              <w:autoSpaceDE w:val="0"/>
              <w:autoSpaceDN w:val="0"/>
              <w:adjustRightInd w:val="0"/>
              <w:jc w:val="both"/>
              <w:rPr>
                <w:rFonts w:ascii="Times New Roman" w:hAnsi="Times New Roman" w:cs="Times New Roman"/>
                <w:b/>
                <w:sz w:val="24"/>
                <w:lang w:val="en-GB"/>
              </w:rPr>
            </w:pPr>
            <w:r w:rsidRPr="00581203">
              <w:rPr>
                <w:rFonts w:ascii="Times New Roman" w:hAnsi="Times New Roman" w:cs="Times New Roman"/>
                <w:b/>
                <w:sz w:val="24"/>
                <w:lang w:val="en-GB"/>
              </w:rPr>
              <w:t>Column number</w:t>
            </w:r>
          </w:p>
        </w:tc>
        <w:tc>
          <w:tcPr>
            <w:tcW w:w="7655" w:type="dxa"/>
            <w:shd w:val="clear" w:color="auto" w:fill="D9D9D9" w:themeFill="background1" w:themeFillShade="D9"/>
          </w:tcPr>
          <w:p w14:paraId="16AF57FB" w14:textId="77777777" w:rsidR="00856FC4" w:rsidRPr="00035669" w:rsidRDefault="00856FC4" w:rsidP="00035669">
            <w:pPr>
              <w:autoSpaceDE w:val="0"/>
              <w:autoSpaceDN w:val="0"/>
              <w:adjustRightInd w:val="0"/>
              <w:jc w:val="both"/>
              <w:rPr>
                <w:rFonts w:ascii="Times New Roman" w:hAnsi="Times New Roman" w:cs="Times New Roman"/>
                <w:color w:val="000000"/>
                <w:sz w:val="24"/>
                <w:lang w:val="en-GB"/>
              </w:rPr>
            </w:pPr>
            <w:r w:rsidRPr="00581203">
              <w:rPr>
                <w:rFonts w:ascii="Times New Roman" w:hAnsi="Times New Roman" w:cs="Times New Roman"/>
                <w:b/>
                <w:sz w:val="24"/>
                <w:lang w:val="en-GB"/>
              </w:rPr>
              <w:t>Explanation</w:t>
            </w:r>
          </w:p>
        </w:tc>
      </w:tr>
      <w:tr w:rsidR="00856FC4" w:rsidRPr="00581203" w14:paraId="38F838AB" w14:textId="77777777" w:rsidTr="002D3077">
        <w:trPr>
          <w:trHeight w:val="703"/>
        </w:trPr>
        <w:tc>
          <w:tcPr>
            <w:tcW w:w="1384" w:type="dxa"/>
          </w:tcPr>
          <w:p w14:paraId="21AEF2FF" w14:textId="70995848" w:rsidR="00856FC4" w:rsidRPr="00581203" w:rsidRDefault="004D3597" w:rsidP="00035669">
            <w:pPr>
              <w:pStyle w:val="Applicationdirecte"/>
              <w:spacing w:before="120"/>
            </w:pPr>
            <w:r>
              <w:t>a</w:t>
            </w:r>
          </w:p>
        </w:tc>
        <w:tc>
          <w:tcPr>
            <w:tcW w:w="7655" w:type="dxa"/>
          </w:tcPr>
          <w:p w14:paraId="4FACF322" w14:textId="007F139A" w:rsidR="00856FC4" w:rsidRPr="00035669" w:rsidRDefault="00856FC4" w:rsidP="00035669">
            <w:pPr>
              <w:autoSpaceDE w:val="0"/>
              <w:autoSpaceDN w:val="0"/>
              <w:adjustRightInd w:val="0"/>
              <w:spacing w:before="120" w:after="120"/>
              <w:jc w:val="both"/>
              <w:rPr>
                <w:rFonts w:ascii="Times New Roman" w:hAnsi="Times New Roman" w:cs="Times New Roman"/>
                <w:color w:val="000000"/>
                <w:sz w:val="24"/>
              </w:rPr>
            </w:pPr>
            <w:r w:rsidRPr="004D3597">
              <w:rPr>
                <w:rFonts w:ascii="Times New Roman" w:eastAsia="Times New Roman" w:hAnsi="Times New Roman" w:cs="Times New Roman"/>
                <w:sz w:val="24"/>
                <w:lang w:val="en-GB"/>
              </w:rPr>
              <w:t xml:space="preserve">The value as described in accordance with the explanation for rows </w:t>
            </w:r>
            <w:r w:rsidR="004D3597">
              <w:rPr>
                <w:rFonts w:ascii="Times New Roman" w:eastAsia="Times New Roman" w:hAnsi="Times New Roman" w:cs="Times New Roman"/>
                <w:sz w:val="24"/>
                <w:lang w:val="en-GB"/>
              </w:rPr>
              <w:t>1</w:t>
            </w:r>
            <w:r w:rsidR="004D3597" w:rsidRPr="004D3597">
              <w:rPr>
                <w:rFonts w:ascii="Times New Roman" w:eastAsia="Times New Roman" w:hAnsi="Times New Roman" w:cs="Times New Roman"/>
                <w:sz w:val="24"/>
                <w:lang w:val="en-GB"/>
              </w:rPr>
              <w:t xml:space="preserve"> </w:t>
            </w:r>
            <w:r w:rsidRPr="004D3597">
              <w:rPr>
                <w:rFonts w:ascii="Times New Roman" w:eastAsia="Times New Roman" w:hAnsi="Times New Roman" w:cs="Times New Roman"/>
                <w:sz w:val="24"/>
                <w:lang w:val="en-GB"/>
              </w:rPr>
              <w:t xml:space="preserve">to </w:t>
            </w:r>
            <w:r w:rsidR="004D3597">
              <w:rPr>
                <w:rFonts w:ascii="Times New Roman" w:eastAsia="Times New Roman" w:hAnsi="Times New Roman" w:cs="Times New Roman"/>
                <w:sz w:val="24"/>
                <w:lang w:val="en-GB"/>
              </w:rPr>
              <w:t>3</w:t>
            </w:r>
            <w:r w:rsidR="004D3597" w:rsidRPr="004D3597">
              <w:rPr>
                <w:rFonts w:ascii="Times New Roman" w:eastAsia="Times New Roman" w:hAnsi="Times New Roman" w:cs="Times New Roman"/>
                <w:sz w:val="24"/>
                <w:lang w:val="en-GB"/>
              </w:rPr>
              <w:t xml:space="preserve"> </w:t>
            </w:r>
            <w:r w:rsidRPr="004D3597">
              <w:rPr>
                <w:rFonts w:ascii="Times New Roman" w:eastAsia="Times New Roman" w:hAnsi="Times New Roman" w:cs="Times New Roman"/>
                <w:sz w:val="24"/>
                <w:lang w:val="en-GB"/>
              </w:rPr>
              <w:t xml:space="preserve">of the current </w:t>
            </w:r>
            <w:r w:rsidR="004D3597">
              <w:rPr>
                <w:rFonts w:ascii="Times New Roman" w:eastAsia="Times New Roman" w:hAnsi="Times New Roman" w:cs="Times New Roman"/>
                <w:sz w:val="24"/>
                <w:lang w:val="en-GB"/>
              </w:rPr>
              <w:t>Template</w:t>
            </w:r>
            <w:r w:rsidRPr="004D3597">
              <w:rPr>
                <w:rFonts w:ascii="Times New Roman" w:eastAsia="Times New Roman" w:hAnsi="Times New Roman" w:cs="Times New Roman"/>
                <w:sz w:val="24"/>
                <w:lang w:val="en-GB"/>
              </w:rPr>
              <w:t>.</w:t>
            </w:r>
          </w:p>
        </w:tc>
      </w:tr>
    </w:tbl>
    <w:p w14:paraId="4B2128AA" w14:textId="3B7958C5" w:rsidR="00856FC4" w:rsidRPr="00035669" w:rsidRDefault="00856FC4" w:rsidP="00035669">
      <w:pPr>
        <w:jc w:val="both"/>
        <w:rPr>
          <w:rFonts w:ascii="Times New Roman" w:hAnsi="Times New Roman" w:cs="Times New Roman"/>
          <w:sz w:val="24"/>
        </w:rPr>
      </w:pPr>
    </w:p>
    <w:p w14:paraId="394F4473" w14:textId="551412D0" w:rsidR="00856FC4" w:rsidRPr="00035669" w:rsidRDefault="00856FC4" w:rsidP="00035669">
      <w:pPr>
        <w:jc w:val="both"/>
        <w:rPr>
          <w:rFonts w:ascii="Times New Roman" w:hAnsi="Times New Roman" w:cs="Times New Roman"/>
          <w:sz w:val="24"/>
        </w:rPr>
      </w:pPr>
    </w:p>
    <w:bookmarkEnd w:id="0"/>
    <w:bookmarkEnd w:id="1"/>
    <w:bookmarkEnd w:id="2"/>
    <w:bookmarkEnd w:id="3"/>
    <w:bookmarkEnd w:id="4"/>
    <w:bookmarkEnd w:id="5"/>
    <w:bookmarkEnd w:id="6"/>
    <w:bookmarkEnd w:id="7"/>
    <w:bookmarkEnd w:id="8"/>
    <w:bookmarkEnd w:id="9"/>
    <w:p w14:paraId="7E22A3DA" w14:textId="77777777" w:rsidR="00856FC4" w:rsidRPr="00035669" w:rsidRDefault="00856FC4" w:rsidP="00035669">
      <w:pPr>
        <w:jc w:val="both"/>
        <w:rPr>
          <w:rFonts w:ascii="Times New Roman" w:hAnsi="Times New Roman" w:cs="Times New Roman"/>
          <w:sz w:val="24"/>
        </w:rPr>
      </w:pPr>
    </w:p>
    <w:sectPr w:rsidR="00856FC4" w:rsidRPr="00035669"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218C5" w14:textId="77777777" w:rsidR="00035669" w:rsidRDefault="00035669" w:rsidP="00A00E34">
      <w:r>
        <w:separator/>
      </w:r>
    </w:p>
    <w:p w14:paraId="530D2BA3" w14:textId="77777777" w:rsidR="00035669" w:rsidRDefault="00035669"/>
  </w:endnote>
  <w:endnote w:type="continuationSeparator" w:id="0">
    <w:p w14:paraId="024243E2" w14:textId="77777777" w:rsidR="00035669" w:rsidRDefault="00035669" w:rsidP="00A00E34">
      <w:r>
        <w:continuationSeparator/>
      </w:r>
    </w:p>
    <w:p w14:paraId="4332F145" w14:textId="77777777" w:rsidR="00035669" w:rsidRDefault="00035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64A0E" w14:textId="77777777" w:rsidR="00035669" w:rsidRPr="00DB5E8F" w:rsidRDefault="00035669">
      <w:pPr>
        <w:rPr>
          <w:sz w:val="12"/>
          <w:szCs w:val="12"/>
        </w:rPr>
      </w:pPr>
      <w:r w:rsidRPr="00DB5E8F">
        <w:rPr>
          <w:sz w:val="12"/>
          <w:szCs w:val="12"/>
        </w:rPr>
        <w:separator/>
      </w:r>
    </w:p>
  </w:footnote>
  <w:footnote w:type="continuationSeparator" w:id="0">
    <w:p w14:paraId="4B350C22" w14:textId="77777777" w:rsidR="00035669" w:rsidRDefault="00035669" w:rsidP="00A00E34">
      <w:r>
        <w:continuationSeparator/>
      </w:r>
    </w:p>
    <w:p w14:paraId="4D1F5070" w14:textId="77777777" w:rsidR="00035669" w:rsidRDefault="00035669"/>
  </w:footnote>
  <w:footnote w:type="continuationNotice" w:id="1">
    <w:p w14:paraId="37F28711" w14:textId="77777777" w:rsidR="00035669" w:rsidRDefault="000356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456E4"/>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1447F"/>
    <w:multiLevelType w:val="hybridMultilevel"/>
    <w:tmpl w:val="66F88FEE"/>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203A1"/>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D48D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6367A"/>
    <w:multiLevelType w:val="hybridMultilevel"/>
    <w:tmpl w:val="2B98C612"/>
    <w:lvl w:ilvl="0" w:tplc="4C245000">
      <w:start w:val="1"/>
      <w:numFmt w:val="decimal"/>
      <w:lvlText w:val="%1."/>
      <w:lvlJc w:val="left"/>
      <w:pPr>
        <w:ind w:left="360" w:hanging="360"/>
      </w:pPr>
      <w:rPr>
        <w:rFonts w:hint="default"/>
      </w:rPr>
    </w:lvl>
    <w:lvl w:ilvl="1" w:tplc="4C04A11E">
      <w:start w:val="130"/>
      <w:numFmt w:val="bullet"/>
      <w:lvlText w:val="-"/>
      <w:lvlJc w:val="left"/>
      <w:pPr>
        <w:ind w:left="1080" w:hanging="360"/>
      </w:pPr>
      <w:rPr>
        <w:rFonts w:ascii="Calibri" w:eastAsiaTheme="minorEastAsia"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9" w15:restartNumberingAfterBreak="0">
    <w:nsid w:val="1CAA4BB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21377"/>
    <w:multiLevelType w:val="hybridMultilevel"/>
    <w:tmpl w:val="1BC4B3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F2921"/>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37D7E"/>
    <w:multiLevelType w:val="hybridMultilevel"/>
    <w:tmpl w:val="163A35E0"/>
    <w:lvl w:ilvl="0" w:tplc="4C245000">
      <w:start w:val="1"/>
      <w:numFmt w:val="decimal"/>
      <w:lvlText w:val="%1."/>
      <w:lvlJc w:val="left"/>
      <w:pPr>
        <w:ind w:left="360" w:hanging="360"/>
      </w:pPr>
      <w:rPr>
        <w:rFonts w:hint="default"/>
      </w:rPr>
    </w:lvl>
    <w:lvl w:ilvl="1" w:tplc="5DB4158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C147B8"/>
    <w:multiLevelType w:val="hybridMultilevel"/>
    <w:tmpl w:val="E9BED43A"/>
    <w:lvl w:ilvl="0" w:tplc="040C0017">
      <w:start w:val="1"/>
      <w:numFmt w:val="lowerLetter"/>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6" w15:restartNumberingAfterBreak="0">
    <w:nsid w:val="2CB606B9"/>
    <w:multiLevelType w:val="multilevel"/>
    <w:tmpl w:val="605043A2"/>
    <w:lvl w:ilvl="0">
      <w:start w:val="2"/>
      <w:numFmt w:val="lowerLetter"/>
      <w:lvlText w:val="%1)"/>
      <w:lvlJc w:val="left"/>
      <w:pPr>
        <w:ind w:left="720" w:hanging="360"/>
      </w:pPr>
      <w:rPr>
        <w:rFonts w:hint="default"/>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15:restartNumberingAfterBreak="0">
    <w:nsid w:val="2E6337AD"/>
    <w:multiLevelType w:val="multilevel"/>
    <w:tmpl w:val="6A6082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13D51"/>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C22E6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C63283"/>
    <w:multiLevelType w:val="hybridMultilevel"/>
    <w:tmpl w:val="F75E5726"/>
    <w:lvl w:ilvl="0" w:tplc="295C270C">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D70D3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B33FC"/>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595CB6"/>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595C83"/>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1B0208"/>
    <w:multiLevelType w:val="hybridMultilevel"/>
    <w:tmpl w:val="0502690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16E58"/>
    <w:multiLevelType w:val="hybridMultilevel"/>
    <w:tmpl w:val="A26EC02C"/>
    <w:lvl w:ilvl="0" w:tplc="16C85DB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F4975"/>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6A6E4D"/>
    <w:multiLevelType w:val="hybridMultilevel"/>
    <w:tmpl w:val="9D9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A650A"/>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C4D55"/>
    <w:multiLevelType w:val="hybridMultilevel"/>
    <w:tmpl w:val="1254A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E915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
  </w:num>
  <w:num w:numId="3">
    <w:abstractNumId w:val="17"/>
  </w:num>
  <w:num w:numId="4">
    <w:abstractNumId w:val="23"/>
  </w:num>
  <w:num w:numId="5">
    <w:abstractNumId w:val="35"/>
  </w:num>
  <w:num w:numId="6">
    <w:abstractNumId w:val="1"/>
  </w:num>
  <w:num w:numId="7">
    <w:abstractNumId w:val="34"/>
  </w:num>
  <w:num w:numId="8">
    <w:abstractNumId w:val="29"/>
  </w:num>
  <w:num w:numId="9">
    <w:abstractNumId w:val="0"/>
  </w:num>
  <w:num w:numId="10">
    <w:abstractNumId w:val="15"/>
  </w:num>
  <w:num w:numId="11">
    <w:abstractNumId w:val="8"/>
  </w:num>
  <w:num w:numId="12">
    <w:abstractNumId w:val="11"/>
  </w:num>
  <w:num w:numId="13">
    <w:abstractNumId w:val="30"/>
  </w:num>
  <w:num w:numId="14">
    <w:abstractNumId w:val="19"/>
  </w:num>
  <w:num w:numId="15">
    <w:abstractNumId w:val="31"/>
  </w:num>
  <w:num w:numId="16">
    <w:abstractNumId w:val="4"/>
  </w:num>
  <w:num w:numId="17">
    <w:abstractNumId w:val="7"/>
  </w:num>
  <w:num w:numId="18">
    <w:abstractNumId w:val="12"/>
  </w:num>
  <w:num w:numId="19">
    <w:abstractNumId w:val="37"/>
  </w:num>
  <w:num w:numId="20">
    <w:abstractNumId w:val="18"/>
  </w:num>
  <w:num w:numId="21">
    <w:abstractNumId w:val="36"/>
  </w:num>
  <w:num w:numId="22">
    <w:abstractNumId w:val="14"/>
  </w:num>
  <w:num w:numId="23">
    <w:abstractNumId w:val="16"/>
  </w:num>
  <w:num w:numId="24">
    <w:abstractNumId w:val="32"/>
  </w:num>
  <w:num w:numId="25">
    <w:abstractNumId w:val="10"/>
  </w:num>
  <w:num w:numId="26">
    <w:abstractNumId w:val="21"/>
  </w:num>
  <w:num w:numId="27">
    <w:abstractNumId w:val="13"/>
  </w:num>
  <w:num w:numId="28">
    <w:abstractNumId w:val="20"/>
  </w:num>
  <w:num w:numId="29">
    <w:abstractNumId w:val="27"/>
  </w:num>
  <w:num w:numId="30">
    <w:abstractNumId w:val="33"/>
  </w:num>
  <w:num w:numId="31">
    <w:abstractNumId w:val="24"/>
  </w:num>
  <w:num w:numId="32">
    <w:abstractNumId w:val="25"/>
  </w:num>
  <w:num w:numId="33">
    <w:abstractNumId w:val="9"/>
  </w:num>
  <w:num w:numId="34">
    <w:abstractNumId w:val="6"/>
  </w:num>
  <w:num w:numId="35">
    <w:abstractNumId w:val="22"/>
  </w:num>
  <w:num w:numId="36">
    <w:abstractNumId w:val="5"/>
  </w:num>
  <w:num w:numId="37">
    <w:abstractNumId w:val="2"/>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GL-REC 20XX XX (FINAL GLS-REC ON"/>
  </w:docVars>
  <w:rsids>
    <w:rsidRoot w:val="006307A5"/>
    <w:rsid w:val="00001873"/>
    <w:rsid w:val="00003F50"/>
    <w:rsid w:val="00013281"/>
    <w:rsid w:val="00015DE4"/>
    <w:rsid w:val="00015EF3"/>
    <w:rsid w:val="00017CAD"/>
    <w:rsid w:val="000231B7"/>
    <w:rsid w:val="00027CA0"/>
    <w:rsid w:val="000300B9"/>
    <w:rsid w:val="00030D65"/>
    <w:rsid w:val="00034192"/>
    <w:rsid w:val="00035669"/>
    <w:rsid w:val="00037863"/>
    <w:rsid w:val="00040129"/>
    <w:rsid w:val="00046C75"/>
    <w:rsid w:val="00060F40"/>
    <w:rsid w:val="00062830"/>
    <w:rsid w:val="00062937"/>
    <w:rsid w:val="00066A9A"/>
    <w:rsid w:val="000774B3"/>
    <w:rsid w:val="00083C33"/>
    <w:rsid w:val="000843CD"/>
    <w:rsid w:val="00093238"/>
    <w:rsid w:val="000A1C81"/>
    <w:rsid w:val="000A2565"/>
    <w:rsid w:val="000A3851"/>
    <w:rsid w:val="000A6415"/>
    <w:rsid w:val="000B1645"/>
    <w:rsid w:val="000C5A8A"/>
    <w:rsid w:val="000C7FD8"/>
    <w:rsid w:val="000D1FC3"/>
    <w:rsid w:val="000D206E"/>
    <w:rsid w:val="000D59D3"/>
    <w:rsid w:val="000D7A44"/>
    <w:rsid w:val="000E0C27"/>
    <w:rsid w:val="000E6D15"/>
    <w:rsid w:val="000F33D3"/>
    <w:rsid w:val="000F3E72"/>
    <w:rsid w:val="000F607B"/>
    <w:rsid w:val="000F6495"/>
    <w:rsid w:val="000F6FD8"/>
    <w:rsid w:val="001061FA"/>
    <w:rsid w:val="0011517F"/>
    <w:rsid w:val="0012038C"/>
    <w:rsid w:val="00121BB0"/>
    <w:rsid w:val="00121E46"/>
    <w:rsid w:val="001265AF"/>
    <w:rsid w:val="0012686C"/>
    <w:rsid w:val="0013090C"/>
    <w:rsid w:val="0013183F"/>
    <w:rsid w:val="00131C5D"/>
    <w:rsid w:val="00142DF6"/>
    <w:rsid w:val="00145D24"/>
    <w:rsid w:val="00152832"/>
    <w:rsid w:val="001537E7"/>
    <w:rsid w:val="00154596"/>
    <w:rsid w:val="001600FC"/>
    <w:rsid w:val="001624D7"/>
    <w:rsid w:val="0016737A"/>
    <w:rsid w:val="00171415"/>
    <w:rsid w:val="00172007"/>
    <w:rsid w:val="0017446F"/>
    <w:rsid w:val="00177CB9"/>
    <w:rsid w:val="001834D4"/>
    <w:rsid w:val="00192287"/>
    <w:rsid w:val="001A016C"/>
    <w:rsid w:val="001A23A0"/>
    <w:rsid w:val="001A2A81"/>
    <w:rsid w:val="001A5BD4"/>
    <w:rsid w:val="001A70A8"/>
    <w:rsid w:val="001B2C0D"/>
    <w:rsid w:val="001B6017"/>
    <w:rsid w:val="001B7A0B"/>
    <w:rsid w:val="001B7EB3"/>
    <w:rsid w:val="001C1FD9"/>
    <w:rsid w:val="001C5BC2"/>
    <w:rsid w:val="001D0179"/>
    <w:rsid w:val="001D3853"/>
    <w:rsid w:val="001E01E5"/>
    <w:rsid w:val="001E1188"/>
    <w:rsid w:val="001E1E2D"/>
    <w:rsid w:val="001E3599"/>
    <w:rsid w:val="001F1CB9"/>
    <w:rsid w:val="001F40B9"/>
    <w:rsid w:val="001F7501"/>
    <w:rsid w:val="00203C0B"/>
    <w:rsid w:val="00205878"/>
    <w:rsid w:val="00213D7B"/>
    <w:rsid w:val="00214DEC"/>
    <w:rsid w:val="00224761"/>
    <w:rsid w:val="00224A3F"/>
    <w:rsid w:val="00224D96"/>
    <w:rsid w:val="002306C7"/>
    <w:rsid w:val="00241BD8"/>
    <w:rsid w:val="002434B0"/>
    <w:rsid w:val="00254CA9"/>
    <w:rsid w:val="0026050D"/>
    <w:rsid w:val="00263A80"/>
    <w:rsid w:val="00266F94"/>
    <w:rsid w:val="0027418E"/>
    <w:rsid w:val="00276377"/>
    <w:rsid w:val="002767AA"/>
    <w:rsid w:val="00290DA3"/>
    <w:rsid w:val="00296A52"/>
    <w:rsid w:val="002A0FF0"/>
    <w:rsid w:val="002A1719"/>
    <w:rsid w:val="002A3A19"/>
    <w:rsid w:val="002B04EA"/>
    <w:rsid w:val="002C0DCF"/>
    <w:rsid w:val="002C77AE"/>
    <w:rsid w:val="002D1867"/>
    <w:rsid w:val="002D3077"/>
    <w:rsid w:val="002D43C3"/>
    <w:rsid w:val="002E58DB"/>
    <w:rsid w:val="002F2009"/>
    <w:rsid w:val="002F7ACE"/>
    <w:rsid w:val="00300924"/>
    <w:rsid w:val="003025A8"/>
    <w:rsid w:val="003129B6"/>
    <w:rsid w:val="00314D6E"/>
    <w:rsid w:val="00315C41"/>
    <w:rsid w:val="00320E57"/>
    <w:rsid w:val="003221EF"/>
    <w:rsid w:val="00322C23"/>
    <w:rsid w:val="0032466C"/>
    <w:rsid w:val="003248A2"/>
    <w:rsid w:val="00327629"/>
    <w:rsid w:val="00341A84"/>
    <w:rsid w:val="00342E0B"/>
    <w:rsid w:val="00347EC3"/>
    <w:rsid w:val="00350D0D"/>
    <w:rsid w:val="0035477B"/>
    <w:rsid w:val="003604AA"/>
    <w:rsid w:val="003623E3"/>
    <w:rsid w:val="00372BEC"/>
    <w:rsid w:val="00392385"/>
    <w:rsid w:val="003A4578"/>
    <w:rsid w:val="003B0284"/>
    <w:rsid w:val="003B6A5A"/>
    <w:rsid w:val="003D01F8"/>
    <w:rsid w:val="003D2EA6"/>
    <w:rsid w:val="003D7A72"/>
    <w:rsid w:val="003E318D"/>
    <w:rsid w:val="00401A65"/>
    <w:rsid w:val="00412567"/>
    <w:rsid w:val="004172D1"/>
    <w:rsid w:val="00424530"/>
    <w:rsid w:val="00434733"/>
    <w:rsid w:val="0043577F"/>
    <w:rsid w:val="0043675A"/>
    <w:rsid w:val="00441F85"/>
    <w:rsid w:val="00452468"/>
    <w:rsid w:val="0045301B"/>
    <w:rsid w:val="004541F3"/>
    <w:rsid w:val="00455E0E"/>
    <w:rsid w:val="004719B4"/>
    <w:rsid w:val="00471CA1"/>
    <w:rsid w:val="00471CCE"/>
    <w:rsid w:val="0047368B"/>
    <w:rsid w:val="00480E42"/>
    <w:rsid w:val="00481AC4"/>
    <w:rsid w:val="00482FB6"/>
    <w:rsid w:val="00493177"/>
    <w:rsid w:val="004955E7"/>
    <w:rsid w:val="0049781D"/>
    <w:rsid w:val="004A5D8B"/>
    <w:rsid w:val="004B2FC0"/>
    <w:rsid w:val="004B4935"/>
    <w:rsid w:val="004B7784"/>
    <w:rsid w:val="004C1B19"/>
    <w:rsid w:val="004C320A"/>
    <w:rsid w:val="004C6392"/>
    <w:rsid w:val="004D3523"/>
    <w:rsid w:val="004D3597"/>
    <w:rsid w:val="004D7668"/>
    <w:rsid w:val="004E405B"/>
    <w:rsid w:val="004F0AB6"/>
    <w:rsid w:val="004F63DB"/>
    <w:rsid w:val="004F7817"/>
    <w:rsid w:val="00505C64"/>
    <w:rsid w:val="005068F8"/>
    <w:rsid w:val="005105EF"/>
    <w:rsid w:val="00523895"/>
    <w:rsid w:val="005335A4"/>
    <w:rsid w:val="005410AB"/>
    <w:rsid w:val="00543A44"/>
    <w:rsid w:val="00563250"/>
    <w:rsid w:val="00563973"/>
    <w:rsid w:val="00565691"/>
    <w:rsid w:val="005673AC"/>
    <w:rsid w:val="00571BB6"/>
    <w:rsid w:val="00575BA7"/>
    <w:rsid w:val="00581203"/>
    <w:rsid w:val="00582AA7"/>
    <w:rsid w:val="00582C5F"/>
    <w:rsid w:val="0058477C"/>
    <w:rsid w:val="0058568F"/>
    <w:rsid w:val="00593D83"/>
    <w:rsid w:val="0059737F"/>
    <w:rsid w:val="005A312B"/>
    <w:rsid w:val="005A6911"/>
    <w:rsid w:val="005B5C09"/>
    <w:rsid w:val="005B7D63"/>
    <w:rsid w:val="005C3DFF"/>
    <w:rsid w:val="005C498B"/>
    <w:rsid w:val="005C590A"/>
    <w:rsid w:val="005D298F"/>
    <w:rsid w:val="005D4005"/>
    <w:rsid w:val="005D40D1"/>
    <w:rsid w:val="005D7532"/>
    <w:rsid w:val="005E77FF"/>
    <w:rsid w:val="006017FA"/>
    <w:rsid w:val="006025B2"/>
    <w:rsid w:val="006059B2"/>
    <w:rsid w:val="00605E90"/>
    <w:rsid w:val="00610305"/>
    <w:rsid w:val="00610419"/>
    <w:rsid w:val="00611B31"/>
    <w:rsid w:val="00611DDB"/>
    <w:rsid w:val="00612C7B"/>
    <w:rsid w:val="00615CA4"/>
    <w:rsid w:val="006209BD"/>
    <w:rsid w:val="006224C1"/>
    <w:rsid w:val="00622726"/>
    <w:rsid w:val="0062584F"/>
    <w:rsid w:val="006269B7"/>
    <w:rsid w:val="006307A5"/>
    <w:rsid w:val="00633DC7"/>
    <w:rsid w:val="00636E1D"/>
    <w:rsid w:val="00640953"/>
    <w:rsid w:val="0064208D"/>
    <w:rsid w:val="00655112"/>
    <w:rsid w:val="00663B0A"/>
    <w:rsid w:val="006641F8"/>
    <w:rsid w:val="006671A5"/>
    <w:rsid w:val="00670254"/>
    <w:rsid w:val="00680E3F"/>
    <w:rsid w:val="00687E5A"/>
    <w:rsid w:val="00692F84"/>
    <w:rsid w:val="006973AC"/>
    <w:rsid w:val="00697ACE"/>
    <w:rsid w:val="00697E26"/>
    <w:rsid w:val="006A0D6A"/>
    <w:rsid w:val="006A5D66"/>
    <w:rsid w:val="006A763B"/>
    <w:rsid w:val="006C186D"/>
    <w:rsid w:val="006D3A6A"/>
    <w:rsid w:val="006D7393"/>
    <w:rsid w:val="006E55E1"/>
    <w:rsid w:val="006F2E13"/>
    <w:rsid w:val="006F445D"/>
    <w:rsid w:val="006F72C6"/>
    <w:rsid w:val="00703E4E"/>
    <w:rsid w:val="007071C6"/>
    <w:rsid w:val="00711E1C"/>
    <w:rsid w:val="00712D2C"/>
    <w:rsid w:val="007202D7"/>
    <w:rsid w:val="00721FBA"/>
    <w:rsid w:val="00726DBC"/>
    <w:rsid w:val="00730352"/>
    <w:rsid w:val="00742839"/>
    <w:rsid w:val="00752710"/>
    <w:rsid w:val="00755505"/>
    <w:rsid w:val="0076316D"/>
    <w:rsid w:val="00772993"/>
    <w:rsid w:val="007815FB"/>
    <w:rsid w:val="00781D80"/>
    <w:rsid w:val="0078583A"/>
    <w:rsid w:val="00791DE5"/>
    <w:rsid w:val="0079325C"/>
    <w:rsid w:val="007A0054"/>
    <w:rsid w:val="007A2A87"/>
    <w:rsid w:val="007A38F2"/>
    <w:rsid w:val="007A44A6"/>
    <w:rsid w:val="007A491E"/>
    <w:rsid w:val="007A4D79"/>
    <w:rsid w:val="007A5353"/>
    <w:rsid w:val="007B3D63"/>
    <w:rsid w:val="007B69D6"/>
    <w:rsid w:val="007C55D0"/>
    <w:rsid w:val="007E17FF"/>
    <w:rsid w:val="007E57CE"/>
    <w:rsid w:val="008009AD"/>
    <w:rsid w:val="008123E1"/>
    <w:rsid w:val="00813BAC"/>
    <w:rsid w:val="00813CD4"/>
    <w:rsid w:val="00821B9D"/>
    <w:rsid w:val="00823FF9"/>
    <w:rsid w:val="00826607"/>
    <w:rsid w:val="00834F29"/>
    <w:rsid w:val="0084468C"/>
    <w:rsid w:val="00844EE2"/>
    <w:rsid w:val="0085041F"/>
    <w:rsid w:val="00851DC4"/>
    <w:rsid w:val="0085412E"/>
    <w:rsid w:val="008552A0"/>
    <w:rsid w:val="00856FC4"/>
    <w:rsid w:val="00857B2C"/>
    <w:rsid w:val="00862D23"/>
    <w:rsid w:val="00865492"/>
    <w:rsid w:val="00867CB4"/>
    <w:rsid w:val="008708AB"/>
    <w:rsid w:val="00874ED5"/>
    <w:rsid w:val="008810BC"/>
    <w:rsid w:val="008825AF"/>
    <w:rsid w:val="008B0845"/>
    <w:rsid w:val="008C17D4"/>
    <w:rsid w:val="008C1A94"/>
    <w:rsid w:val="008C5B82"/>
    <w:rsid w:val="008F3908"/>
    <w:rsid w:val="008F6A78"/>
    <w:rsid w:val="009014B6"/>
    <w:rsid w:val="0090405B"/>
    <w:rsid w:val="00912882"/>
    <w:rsid w:val="00912895"/>
    <w:rsid w:val="009210DE"/>
    <w:rsid w:val="0092311E"/>
    <w:rsid w:val="00927A1D"/>
    <w:rsid w:val="00943B87"/>
    <w:rsid w:val="00943C57"/>
    <w:rsid w:val="00950374"/>
    <w:rsid w:val="009531CB"/>
    <w:rsid w:val="0096160F"/>
    <w:rsid w:val="00965B80"/>
    <w:rsid w:val="00993B1E"/>
    <w:rsid w:val="009B1124"/>
    <w:rsid w:val="009B6FDF"/>
    <w:rsid w:val="009B766C"/>
    <w:rsid w:val="009B7766"/>
    <w:rsid w:val="009C12C9"/>
    <w:rsid w:val="009C1CE7"/>
    <w:rsid w:val="009D55F7"/>
    <w:rsid w:val="009E38A2"/>
    <w:rsid w:val="009E4107"/>
    <w:rsid w:val="009E76BE"/>
    <w:rsid w:val="009E79BF"/>
    <w:rsid w:val="009F12DA"/>
    <w:rsid w:val="009F3FE6"/>
    <w:rsid w:val="009F53AF"/>
    <w:rsid w:val="00A00793"/>
    <w:rsid w:val="00A00E34"/>
    <w:rsid w:val="00A062C7"/>
    <w:rsid w:val="00A07BDA"/>
    <w:rsid w:val="00A10257"/>
    <w:rsid w:val="00A14332"/>
    <w:rsid w:val="00A234BD"/>
    <w:rsid w:val="00A23608"/>
    <w:rsid w:val="00A27B9D"/>
    <w:rsid w:val="00A27D88"/>
    <w:rsid w:val="00A304D0"/>
    <w:rsid w:val="00A37FED"/>
    <w:rsid w:val="00A40614"/>
    <w:rsid w:val="00A41AC9"/>
    <w:rsid w:val="00A4607D"/>
    <w:rsid w:val="00A53EC9"/>
    <w:rsid w:val="00A56A46"/>
    <w:rsid w:val="00A702DC"/>
    <w:rsid w:val="00A725D6"/>
    <w:rsid w:val="00A72C7D"/>
    <w:rsid w:val="00A81586"/>
    <w:rsid w:val="00A84A32"/>
    <w:rsid w:val="00A92440"/>
    <w:rsid w:val="00AB104D"/>
    <w:rsid w:val="00AB2476"/>
    <w:rsid w:val="00AB47CC"/>
    <w:rsid w:val="00AC2C6E"/>
    <w:rsid w:val="00AC5DB4"/>
    <w:rsid w:val="00AC6932"/>
    <w:rsid w:val="00AD0C73"/>
    <w:rsid w:val="00AE1555"/>
    <w:rsid w:val="00AE1A2D"/>
    <w:rsid w:val="00AE5347"/>
    <w:rsid w:val="00AE55F6"/>
    <w:rsid w:val="00AE56DB"/>
    <w:rsid w:val="00AE5F3C"/>
    <w:rsid w:val="00AE7851"/>
    <w:rsid w:val="00AF637C"/>
    <w:rsid w:val="00AF7442"/>
    <w:rsid w:val="00B12C70"/>
    <w:rsid w:val="00B13C87"/>
    <w:rsid w:val="00B1710D"/>
    <w:rsid w:val="00B30386"/>
    <w:rsid w:val="00B32510"/>
    <w:rsid w:val="00B3595C"/>
    <w:rsid w:val="00B36D5E"/>
    <w:rsid w:val="00B43E07"/>
    <w:rsid w:val="00B526A8"/>
    <w:rsid w:val="00B55FAB"/>
    <w:rsid w:val="00B65615"/>
    <w:rsid w:val="00B6734E"/>
    <w:rsid w:val="00B76198"/>
    <w:rsid w:val="00B83D9D"/>
    <w:rsid w:val="00B84529"/>
    <w:rsid w:val="00B87DE2"/>
    <w:rsid w:val="00B95A76"/>
    <w:rsid w:val="00B96F7F"/>
    <w:rsid w:val="00BA414B"/>
    <w:rsid w:val="00BB0552"/>
    <w:rsid w:val="00BB2111"/>
    <w:rsid w:val="00BC7FD2"/>
    <w:rsid w:val="00C02D74"/>
    <w:rsid w:val="00C03AE7"/>
    <w:rsid w:val="00C05A29"/>
    <w:rsid w:val="00C05D9D"/>
    <w:rsid w:val="00C1090E"/>
    <w:rsid w:val="00C126D6"/>
    <w:rsid w:val="00C12FA8"/>
    <w:rsid w:val="00C261D1"/>
    <w:rsid w:val="00C30572"/>
    <w:rsid w:val="00C35592"/>
    <w:rsid w:val="00C356AF"/>
    <w:rsid w:val="00C41927"/>
    <w:rsid w:val="00C439D6"/>
    <w:rsid w:val="00C43FD9"/>
    <w:rsid w:val="00C44EB2"/>
    <w:rsid w:val="00C47E8F"/>
    <w:rsid w:val="00C54805"/>
    <w:rsid w:val="00C54CC8"/>
    <w:rsid w:val="00C565C2"/>
    <w:rsid w:val="00C57BC4"/>
    <w:rsid w:val="00C60915"/>
    <w:rsid w:val="00C67F49"/>
    <w:rsid w:val="00C85877"/>
    <w:rsid w:val="00C964B8"/>
    <w:rsid w:val="00CD4AF7"/>
    <w:rsid w:val="00CD4C1C"/>
    <w:rsid w:val="00CE3517"/>
    <w:rsid w:val="00D01670"/>
    <w:rsid w:val="00D05C26"/>
    <w:rsid w:val="00D062AC"/>
    <w:rsid w:val="00D120EF"/>
    <w:rsid w:val="00D152E7"/>
    <w:rsid w:val="00D21F91"/>
    <w:rsid w:val="00D2455F"/>
    <w:rsid w:val="00D33027"/>
    <w:rsid w:val="00D3796C"/>
    <w:rsid w:val="00D44360"/>
    <w:rsid w:val="00D53948"/>
    <w:rsid w:val="00D549B9"/>
    <w:rsid w:val="00D557EE"/>
    <w:rsid w:val="00D56058"/>
    <w:rsid w:val="00D567E8"/>
    <w:rsid w:val="00D57F4B"/>
    <w:rsid w:val="00D656AD"/>
    <w:rsid w:val="00D75823"/>
    <w:rsid w:val="00D76E91"/>
    <w:rsid w:val="00D849AA"/>
    <w:rsid w:val="00D872D1"/>
    <w:rsid w:val="00DA6122"/>
    <w:rsid w:val="00DA7AEF"/>
    <w:rsid w:val="00DB4809"/>
    <w:rsid w:val="00DB5E8F"/>
    <w:rsid w:val="00DC3E99"/>
    <w:rsid w:val="00DC678F"/>
    <w:rsid w:val="00DC7C3E"/>
    <w:rsid w:val="00DE30E0"/>
    <w:rsid w:val="00DF1F16"/>
    <w:rsid w:val="00E14AA0"/>
    <w:rsid w:val="00E2158C"/>
    <w:rsid w:val="00E22BCE"/>
    <w:rsid w:val="00E258D8"/>
    <w:rsid w:val="00E326FF"/>
    <w:rsid w:val="00E34B8E"/>
    <w:rsid w:val="00E361B0"/>
    <w:rsid w:val="00E41563"/>
    <w:rsid w:val="00E41CFF"/>
    <w:rsid w:val="00E54B47"/>
    <w:rsid w:val="00E574A1"/>
    <w:rsid w:val="00E615F7"/>
    <w:rsid w:val="00E62DB8"/>
    <w:rsid w:val="00E63010"/>
    <w:rsid w:val="00E666C4"/>
    <w:rsid w:val="00E677EF"/>
    <w:rsid w:val="00E7159B"/>
    <w:rsid w:val="00E859DF"/>
    <w:rsid w:val="00E87041"/>
    <w:rsid w:val="00E95201"/>
    <w:rsid w:val="00EA1807"/>
    <w:rsid w:val="00EA4947"/>
    <w:rsid w:val="00EC0C41"/>
    <w:rsid w:val="00EC11F0"/>
    <w:rsid w:val="00EC1594"/>
    <w:rsid w:val="00EC1C8C"/>
    <w:rsid w:val="00ED0F16"/>
    <w:rsid w:val="00ED2521"/>
    <w:rsid w:val="00ED2DDA"/>
    <w:rsid w:val="00ED2FB9"/>
    <w:rsid w:val="00EE0C7D"/>
    <w:rsid w:val="00EE456B"/>
    <w:rsid w:val="00EF35BF"/>
    <w:rsid w:val="00EF381C"/>
    <w:rsid w:val="00F00C37"/>
    <w:rsid w:val="00F034AC"/>
    <w:rsid w:val="00F05080"/>
    <w:rsid w:val="00F160D2"/>
    <w:rsid w:val="00F22973"/>
    <w:rsid w:val="00F27D08"/>
    <w:rsid w:val="00F4748D"/>
    <w:rsid w:val="00F5279A"/>
    <w:rsid w:val="00F53841"/>
    <w:rsid w:val="00F53B21"/>
    <w:rsid w:val="00F612B3"/>
    <w:rsid w:val="00F615AA"/>
    <w:rsid w:val="00F653FF"/>
    <w:rsid w:val="00F7064A"/>
    <w:rsid w:val="00F7227D"/>
    <w:rsid w:val="00F747AD"/>
    <w:rsid w:val="00F87F11"/>
    <w:rsid w:val="00F942CA"/>
    <w:rsid w:val="00F9452C"/>
    <w:rsid w:val="00FB7206"/>
    <w:rsid w:val="00FC1D72"/>
    <w:rsid w:val="00FC4F28"/>
    <w:rsid w:val="00FE0C92"/>
    <w:rsid w:val="00FE5577"/>
    <w:rsid w:val="00FF2B2C"/>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33EF943"/>
  <w15:docId w15:val="{405E7F56-07BD-4140-AA5E-B0BD5CE7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AA97-08D6-4B5B-A2AE-2E731B32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1EAC8232</Template>
  <TotalTime>153</TotalTime>
  <Pages>6</Pages>
  <Words>1689</Words>
  <Characters>9628</Characters>
  <Application>Microsoft Office Word</Application>
  <DocSecurity>0</DocSecurity>
  <Lines>80</Lines>
  <Paragraphs>22</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OP</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Balint Branyiczki</cp:lastModifiedBy>
  <cp:revision>24</cp:revision>
  <cp:lastPrinted>2018-09-26T17:04:00Z</cp:lastPrinted>
  <dcterms:created xsi:type="dcterms:W3CDTF">2019-03-01T16:33:00Z</dcterms:created>
  <dcterms:modified xsi:type="dcterms:W3CDTF">2019-07-16T14:50:00Z</dcterms:modified>
</cp:coreProperties>
</file>