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1F55" w14:textId="6BAE92D0" w:rsidR="005673AC" w:rsidRPr="00CF1C81" w:rsidRDefault="001B0EAB" w:rsidP="001B0EAB">
      <w:pPr>
        <w:pStyle w:val="Annexetitre"/>
        <w:rPr>
          <w:noProof/>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sidRPr="00CF1C81">
        <w:rPr>
          <w:noProof/>
        </w:rPr>
        <w:t xml:space="preserve">ANNEX </w:t>
      </w:r>
      <w:r w:rsidR="009B4CB5">
        <w:rPr>
          <w:noProof/>
        </w:rPr>
        <w:t>6</w:t>
      </w:r>
      <w:r w:rsidR="009B4CB5" w:rsidRPr="00CF1C81">
        <w:rPr>
          <w:noProof/>
        </w:rPr>
        <w:t xml:space="preserve"> </w:t>
      </w:r>
      <w:r w:rsidRPr="00CF1C81">
        <w:t>– Instructions for disclosure of i</w:t>
      </w:r>
      <w:r w:rsidR="005673AC" w:rsidRPr="00CF1C81">
        <w:rPr>
          <w:noProof/>
        </w:rPr>
        <w:t>nformation on the scope of application of the regulatory framework</w:t>
      </w:r>
    </w:p>
    <w:p w14:paraId="6BD694DF" w14:textId="77777777" w:rsidR="004A3621" w:rsidRPr="00CF1C81" w:rsidRDefault="004A3621" w:rsidP="005673AC">
      <w:pPr>
        <w:rPr>
          <w:rFonts w:ascii="Times New Roman" w:hAnsi="Times New Roman" w:cs="Times New Roman"/>
          <w:b/>
          <w:sz w:val="24"/>
        </w:rPr>
      </w:pPr>
    </w:p>
    <w:p w14:paraId="424F6BDB" w14:textId="1F553765" w:rsidR="00ED0F16" w:rsidRPr="00CF1C81" w:rsidRDefault="00AC6932" w:rsidP="001B0EAB">
      <w:pPr>
        <w:rPr>
          <w:rFonts w:ascii="Times New Roman" w:hAnsi="Times New Roman" w:cs="Times New Roman"/>
          <w:b/>
          <w:noProof/>
          <w:sz w:val="24"/>
        </w:rPr>
      </w:pPr>
      <w:r w:rsidRPr="00CF1C81">
        <w:rPr>
          <w:rFonts w:ascii="Times New Roman" w:hAnsi="Times New Roman" w:cs="Times New Roman"/>
          <w:b/>
          <w:noProof/>
          <w:sz w:val="24"/>
        </w:rPr>
        <w:t xml:space="preserve">Template </w:t>
      </w:r>
      <w:r w:rsidR="00380737" w:rsidRPr="00CF1C81">
        <w:rPr>
          <w:rFonts w:ascii="Times New Roman" w:hAnsi="Times New Roman" w:cs="Times New Roman"/>
          <w:b/>
          <w:noProof/>
          <w:sz w:val="24"/>
        </w:rPr>
        <w:t xml:space="preserve">EU </w:t>
      </w:r>
      <w:r w:rsidRPr="00CF1C81">
        <w:rPr>
          <w:rFonts w:ascii="Times New Roman" w:hAnsi="Times New Roman" w:cs="Times New Roman"/>
          <w:b/>
          <w:noProof/>
          <w:sz w:val="24"/>
        </w:rPr>
        <w:t>LI1 - Differences between accounting and regulatory scopes of consolidation and mapping of financial statement categories with regulatory risk categories</w:t>
      </w:r>
      <w:r w:rsidR="001B0EAB" w:rsidRPr="00CF1C81">
        <w:rPr>
          <w:rFonts w:ascii="Times New Roman" w:hAnsi="Times New Roman" w:cs="Times New Roman"/>
          <w:b/>
          <w:noProof/>
          <w:sz w:val="24"/>
        </w:rPr>
        <w:t>.</w:t>
      </w:r>
      <w:r w:rsidR="00F7227D" w:rsidRPr="00CF1C81">
        <w:rPr>
          <w:rFonts w:ascii="Times New Roman" w:hAnsi="Times New Roman" w:cs="Times New Roman"/>
          <w:noProof/>
          <w:sz w:val="24"/>
        </w:rPr>
        <w:t xml:space="preserve"> </w:t>
      </w:r>
      <w:r w:rsidR="00D61A8A" w:rsidRPr="00CF1C81">
        <w:rPr>
          <w:rFonts w:ascii="Times New Roman" w:hAnsi="Times New Roman" w:cs="Times New Roman"/>
          <w:noProof/>
          <w:sz w:val="24"/>
        </w:rPr>
        <w:t>Flexible format.</w:t>
      </w:r>
    </w:p>
    <w:p w14:paraId="749FE50C" w14:textId="3522F505" w:rsidR="001B0EAB" w:rsidRPr="00CF1C81" w:rsidRDefault="001B0EAB" w:rsidP="001B0EAB">
      <w:pPr>
        <w:rPr>
          <w:rFonts w:ascii="Times New Roman" w:hAnsi="Times New Roman" w:cs="Times New Roman"/>
          <w:b/>
          <w:noProof/>
          <w:sz w:val="24"/>
        </w:rPr>
      </w:pPr>
    </w:p>
    <w:p w14:paraId="191E9DCE" w14:textId="54AE1C57" w:rsidR="001B0EAB" w:rsidRPr="00F04CCC" w:rsidRDefault="001B0EAB" w:rsidP="00F9393B">
      <w:pPr>
        <w:pStyle w:val="ListParagraph"/>
        <w:numPr>
          <w:ilvl w:val="0"/>
          <w:numId w:val="38"/>
        </w:numPr>
        <w:spacing w:before="120" w:after="120"/>
        <w:ind w:left="425" w:hanging="357"/>
        <w:rPr>
          <w:rFonts w:ascii="Times New Roman" w:hAnsi="Times New Roman"/>
          <w:noProof/>
          <w:sz w:val="24"/>
        </w:rPr>
      </w:pPr>
      <w:r w:rsidRPr="00F04CCC">
        <w:rPr>
          <w:rFonts w:ascii="Times New Roman" w:hAnsi="Times New Roman"/>
          <w:noProof/>
          <w:sz w:val="24"/>
        </w:rPr>
        <w:t>Institution</w:t>
      </w:r>
      <w:r w:rsidR="009B4CB5">
        <w:rPr>
          <w:rFonts w:ascii="Times New Roman" w:hAnsi="Times New Roman"/>
          <w:noProof/>
          <w:sz w:val="24"/>
        </w:rPr>
        <w:t>s</w:t>
      </w:r>
      <w:r w:rsidRPr="00F04CCC">
        <w:rPr>
          <w:rFonts w:ascii="Times New Roman" w:hAnsi="Times New Roman"/>
          <w:noProof/>
          <w:sz w:val="24"/>
        </w:rPr>
        <w:t xml:space="preserve"> shall </w:t>
      </w:r>
      <w:r w:rsidR="009B4CB5">
        <w:rPr>
          <w:rFonts w:ascii="Times New Roman" w:hAnsi="Times New Roman"/>
          <w:noProof/>
          <w:sz w:val="24"/>
        </w:rPr>
        <w:t xml:space="preserve">apply the instructions provided below in this Annex in order to complete </w:t>
      </w:r>
      <w:r w:rsidR="00F10590">
        <w:rPr>
          <w:rFonts w:ascii="Times New Roman" w:hAnsi="Times New Roman"/>
          <w:noProof/>
          <w:sz w:val="24"/>
        </w:rPr>
        <w:t>tem</w:t>
      </w:r>
      <w:r w:rsidR="009B4CB5">
        <w:rPr>
          <w:rFonts w:ascii="Times New Roman" w:hAnsi="Times New Roman"/>
          <w:noProof/>
          <w:sz w:val="24"/>
        </w:rPr>
        <w:t>p</w:t>
      </w:r>
      <w:r w:rsidR="00F10590">
        <w:rPr>
          <w:rFonts w:ascii="Times New Roman" w:hAnsi="Times New Roman"/>
          <w:noProof/>
          <w:sz w:val="24"/>
        </w:rPr>
        <w:t>late EU LI1 as</w:t>
      </w:r>
      <w:r w:rsidR="009B4CB5">
        <w:rPr>
          <w:rFonts w:ascii="Times New Roman" w:hAnsi="Times New Roman"/>
          <w:noProof/>
          <w:sz w:val="24"/>
        </w:rPr>
        <w:t xml:space="preserve"> presented in Annex 5, </w:t>
      </w:r>
      <w:r w:rsidR="00E85027">
        <w:rPr>
          <w:rFonts w:ascii="Times New Roman" w:hAnsi="Times New Roman"/>
          <w:noProof/>
          <w:sz w:val="24"/>
        </w:rPr>
        <w:t>in application of Article 436</w:t>
      </w:r>
      <w:r w:rsidRPr="00F04CCC">
        <w:rPr>
          <w:rFonts w:ascii="Times New Roman" w:hAnsi="Times New Roman"/>
          <w:noProof/>
          <w:sz w:val="24"/>
        </w:rPr>
        <w:t xml:space="preserve">(c) of </w:t>
      </w:r>
      <w:r w:rsidR="007F7D27" w:rsidRPr="00F04CCC">
        <w:rPr>
          <w:rFonts w:ascii="Times New Roman" w:hAnsi="Times New Roman"/>
          <w:noProof/>
          <w:sz w:val="24"/>
        </w:rPr>
        <w:t>Regulation (EU</w:t>
      </w:r>
      <w:r w:rsidR="0022273E" w:rsidRPr="00F04CCC">
        <w:rPr>
          <w:rFonts w:ascii="Times New Roman" w:hAnsi="Times New Roman"/>
          <w:noProof/>
          <w:sz w:val="24"/>
        </w:rPr>
        <w:t>)</w:t>
      </w:r>
      <w:r w:rsidR="007F7D27" w:rsidRPr="00F04CCC">
        <w:rPr>
          <w:rFonts w:ascii="Times New Roman" w:hAnsi="Times New Roman"/>
          <w:noProof/>
          <w:sz w:val="24"/>
        </w:rPr>
        <w:t xml:space="preserve"> N</w:t>
      </w:r>
      <w:r w:rsidR="00E0407B">
        <w:rPr>
          <w:rFonts w:ascii="Times New Roman" w:hAnsi="Times New Roman"/>
          <w:noProof/>
          <w:sz w:val="24"/>
        </w:rPr>
        <w:t>o</w:t>
      </w:r>
      <w:r w:rsidR="007F7D27" w:rsidRPr="00F04CCC">
        <w:rPr>
          <w:rFonts w:ascii="Times New Roman" w:hAnsi="Times New Roman"/>
          <w:noProof/>
          <w:sz w:val="24"/>
        </w:rPr>
        <w:t>. 575/2013 (CRR)</w:t>
      </w:r>
      <w:r w:rsidR="009B4CB5">
        <w:rPr>
          <w:rFonts w:ascii="Times New Roman" w:hAnsi="Times New Roman"/>
          <w:noProof/>
          <w:sz w:val="24"/>
        </w:rPr>
        <w:t>.</w:t>
      </w:r>
    </w:p>
    <w:p w14:paraId="6289D43A" w14:textId="112ACC01" w:rsidR="00015EF3" w:rsidRPr="00CF1C81" w:rsidRDefault="00015EF3" w:rsidP="00ED0F16">
      <w:pPr>
        <w:spacing w:after="120"/>
        <w:ind w:left="357"/>
        <w:jc w:val="both"/>
        <w:rPr>
          <w:rFonts w:ascii="Times New Roman" w:hAnsi="Times New Roman" w:cs="Times New Roman"/>
          <w:color w:val="000000" w:themeColor="text1"/>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77429" w:rsidRPr="00CF1C81" w14:paraId="6A3D1514" w14:textId="77777777" w:rsidTr="00B77429">
        <w:trPr>
          <w:trHeight w:val="7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AFB07" w14:textId="5225A35A" w:rsidR="00B77429" w:rsidRPr="00CF1C81" w:rsidRDefault="00B77429" w:rsidP="00B77429">
            <w:pPr>
              <w:pStyle w:val="TableTitle"/>
              <w:spacing w:before="0" w:after="0"/>
              <w:jc w:val="left"/>
              <w:rPr>
                <w:rFonts w:ascii="Times New Roman" w:hAnsi="Times New Roman"/>
                <w:sz w:val="24"/>
                <w:szCs w:val="24"/>
              </w:rPr>
            </w:pPr>
            <w:r w:rsidRPr="00CF1C81">
              <w:rPr>
                <w:rFonts w:ascii="Times New Roman" w:hAnsi="Times New Roman"/>
                <w:sz w:val="24"/>
                <w:szCs w:val="24"/>
              </w:rPr>
              <w:t>Legal references and instructions</w:t>
            </w:r>
          </w:p>
        </w:tc>
      </w:tr>
      <w:tr w:rsidR="00B77429" w:rsidRPr="00CF1C81" w14:paraId="4CA7F5B4" w14:textId="77777777" w:rsidTr="00801C54">
        <w:trPr>
          <w:trHeight w:val="238"/>
        </w:trPr>
        <w:tc>
          <w:tcPr>
            <w:tcW w:w="1384" w:type="dxa"/>
            <w:tcBorders>
              <w:bottom w:val="single" w:sz="4" w:space="0" w:color="auto"/>
            </w:tcBorders>
            <w:shd w:val="clear" w:color="auto" w:fill="D9D9D9" w:themeFill="background1" w:themeFillShade="D9"/>
          </w:tcPr>
          <w:p w14:paraId="445EA2CA" w14:textId="77777777" w:rsidR="00B77429" w:rsidRPr="00CF1C81" w:rsidRDefault="00B77429" w:rsidP="00B77429">
            <w:pPr>
              <w:autoSpaceDE w:val="0"/>
              <w:autoSpaceDN w:val="0"/>
              <w:adjustRightInd w:val="0"/>
              <w:rPr>
                <w:rFonts w:ascii="Times New Roman" w:hAnsi="Times New Roman" w:cs="Times New Roman"/>
                <w:b/>
                <w:sz w:val="24"/>
                <w:lang w:val="en-GB"/>
              </w:rPr>
            </w:pPr>
            <w:r w:rsidRPr="00CF1C81">
              <w:rPr>
                <w:rFonts w:ascii="Times New Roman" w:hAnsi="Times New Roman" w:cs="Times New Roman"/>
                <w:b/>
                <w:sz w:val="24"/>
                <w:lang w:val="en-GB"/>
              </w:rPr>
              <w:t>Row number</w:t>
            </w:r>
          </w:p>
        </w:tc>
        <w:tc>
          <w:tcPr>
            <w:tcW w:w="7655" w:type="dxa"/>
            <w:tcBorders>
              <w:bottom w:val="single" w:sz="4" w:space="0" w:color="auto"/>
            </w:tcBorders>
            <w:shd w:val="clear" w:color="auto" w:fill="D9D9D9" w:themeFill="background1" w:themeFillShade="D9"/>
          </w:tcPr>
          <w:p w14:paraId="7D980941" w14:textId="77777777" w:rsidR="00B77429" w:rsidRPr="00CF1C81" w:rsidRDefault="00B77429" w:rsidP="00B77429">
            <w:pPr>
              <w:autoSpaceDE w:val="0"/>
              <w:autoSpaceDN w:val="0"/>
              <w:adjustRightInd w:val="0"/>
              <w:rPr>
                <w:rFonts w:ascii="Times New Roman" w:hAnsi="Times New Roman" w:cs="Times New Roman"/>
                <w:color w:val="000000"/>
                <w:sz w:val="24"/>
                <w:lang w:val="en-GB"/>
              </w:rPr>
            </w:pPr>
            <w:r w:rsidRPr="00CF1C81">
              <w:rPr>
                <w:rFonts w:ascii="Times New Roman" w:hAnsi="Times New Roman" w:cs="Times New Roman"/>
                <w:b/>
                <w:sz w:val="24"/>
                <w:lang w:val="en-GB"/>
              </w:rPr>
              <w:t>Explanation</w:t>
            </w:r>
          </w:p>
        </w:tc>
      </w:tr>
      <w:tr w:rsidR="00B77429" w:rsidRPr="00CF1C81" w14:paraId="0F36FD7D" w14:textId="77777777" w:rsidTr="00801C54">
        <w:trPr>
          <w:trHeight w:val="238"/>
        </w:trPr>
        <w:tc>
          <w:tcPr>
            <w:tcW w:w="1384" w:type="dxa"/>
            <w:tcBorders>
              <w:top w:val="single" w:sz="4" w:space="0" w:color="auto"/>
              <w:bottom w:val="single" w:sz="4" w:space="0" w:color="auto"/>
            </w:tcBorders>
            <w:shd w:val="clear" w:color="auto" w:fill="FFFFFF" w:themeFill="background1"/>
            <w:vAlign w:val="center"/>
          </w:tcPr>
          <w:p w14:paraId="083CCB40" w14:textId="53596AEF" w:rsidR="00B77429" w:rsidRPr="00CF1C81" w:rsidRDefault="00B77429" w:rsidP="00B77429">
            <w:pPr>
              <w:spacing w:before="60" w:after="120"/>
              <w:rPr>
                <w:rFonts w:ascii="Times New Roman" w:hAnsi="Times New Roman" w:cs="Times New Roman"/>
                <w:sz w:val="24"/>
                <w:lang w:val="en-GB"/>
              </w:rPr>
            </w:pPr>
            <w:r w:rsidRPr="00CF1C81">
              <w:rPr>
                <w:rFonts w:ascii="Times New Roman" w:hAnsi="Times New Roman" w:cs="Times New Roman"/>
                <w:sz w:val="24"/>
                <w:lang w:val="en-GB"/>
              </w:rPr>
              <w:t>1 to XXX</w:t>
            </w:r>
          </w:p>
        </w:tc>
        <w:tc>
          <w:tcPr>
            <w:tcW w:w="7655" w:type="dxa"/>
            <w:tcBorders>
              <w:top w:val="single" w:sz="4" w:space="0" w:color="auto"/>
              <w:bottom w:val="single" w:sz="4" w:space="0" w:color="auto"/>
            </w:tcBorders>
            <w:shd w:val="clear" w:color="auto" w:fill="FFFFFF" w:themeFill="background1"/>
            <w:vAlign w:val="center"/>
          </w:tcPr>
          <w:p w14:paraId="32F10C48" w14:textId="77777777" w:rsidR="00B77429" w:rsidRPr="00E85027" w:rsidRDefault="00B77429" w:rsidP="00E85027">
            <w:pPr>
              <w:spacing w:before="60" w:after="120"/>
              <w:jc w:val="both"/>
              <w:rPr>
                <w:rFonts w:ascii="Times New Roman" w:eastAsia="Times New Roman" w:hAnsi="Times New Roman" w:cs="Times New Roman"/>
                <w:b/>
                <w:sz w:val="24"/>
                <w:lang w:val="en-GB"/>
              </w:rPr>
            </w:pPr>
            <w:r w:rsidRPr="00E85027">
              <w:rPr>
                <w:rFonts w:ascii="Times New Roman" w:eastAsia="Times New Roman" w:hAnsi="Times New Roman" w:cs="Times New Roman"/>
                <w:b/>
                <w:sz w:val="24"/>
                <w:lang w:val="en-GB"/>
              </w:rPr>
              <w:t xml:space="preserve">Total Assets </w:t>
            </w:r>
          </w:p>
          <w:p w14:paraId="6470E4A5" w14:textId="77777777" w:rsidR="00B77429" w:rsidRPr="00CF1C81" w:rsidRDefault="00B77429" w:rsidP="00E0407B">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The row structure shall be the same as the row structure of the balance sheet used in the latest available financial reporting of the institution. </w:t>
            </w:r>
          </w:p>
          <w:p w14:paraId="1F4E0588" w14:textId="5BDD8443" w:rsidR="00B77429" w:rsidRPr="00CF1C81" w:rsidRDefault="00B77429" w:rsidP="005423A3">
            <w:pPr>
              <w:spacing w:after="120"/>
              <w:jc w:val="both"/>
              <w:rPr>
                <w:rFonts w:ascii="Times New Roman" w:eastAsia="Times New Roman" w:hAnsi="Times New Roman" w:cs="Times New Roman"/>
                <w:sz w:val="24"/>
                <w:lang w:val="en-GB"/>
              </w:rPr>
            </w:pPr>
            <w:r w:rsidRPr="00E85027">
              <w:rPr>
                <w:rFonts w:ascii="Times New Roman" w:eastAsia="Times New Roman" w:hAnsi="Times New Roman" w:cs="Times New Roman"/>
                <w:sz w:val="24"/>
                <w:lang w:val="en-GB"/>
              </w:rPr>
              <w:t>‘Financial reporting’</w:t>
            </w:r>
            <w:r w:rsidRPr="00CF1C81">
              <w:rPr>
                <w:rFonts w:ascii="Times New Roman" w:eastAsia="Times New Roman" w:hAnsi="Times New Roman" w:cs="Times New Roman"/>
                <w:sz w:val="24"/>
                <w:lang w:val="en-GB"/>
              </w:rPr>
              <w:t xml:space="preserve"> refers to the annual individual </w:t>
            </w:r>
            <w:r w:rsidR="005423A3">
              <w:rPr>
                <w:rFonts w:ascii="Times New Roman" w:eastAsia="Times New Roman" w:hAnsi="Times New Roman" w:cs="Times New Roman"/>
                <w:sz w:val="24"/>
                <w:lang w:val="en-GB"/>
              </w:rPr>
              <w:t>or</w:t>
            </w:r>
            <w:r w:rsidR="005423A3" w:rsidRPr="00CF1C81">
              <w:rPr>
                <w:rFonts w:ascii="Times New Roman" w:eastAsia="Times New Roman" w:hAnsi="Times New Roman" w:cs="Times New Roman"/>
                <w:sz w:val="24"/>
                <w:lang w:val="en-GB"/>
              </w:rPr>
              <w:t xml:space="preserve"> </w:t>
            </w:r>
            <w:r w:rsidRPr="00CF1C81">
              <w:rPr>
                <w:rFonts w:ascii="Times New Roman" w:eastAsia="Times New Roman" w:hAnsi="Times New Roman" w:cs="Times New Roman"/>
                <w:sz w:val="24"/>
                <w:lang w:val="en-GB"/>
              </w:rPr>
              <w:t>consolidated financial statements defined in Article 4 and Article 24 of Directive 2013/34/EU, as well as (when applicable) to the financial statements in the meaning of the international accounting standards as endorsed in the EU in the application of Regulation (EC) No 1606/2002.</w:t>
            </w:r>
          </w:p>
        </w:tc>
      </w:tr>
      <w:tr w:rsidR="00B77429" w:rsidRPr="00CF1C81" w14:paraId="4CF7CCBD" w14:textId="77777777" w:rsidTr="00801C54">
        <w:trPr>
          <w:trHeight w:val="818"/>
        </w:trPr>
        <w:tc>
          <w:tcPr>
            <w:tcW w:w="1384" w:type="dxa"/>
            <w:tcBorders>
              <w:top w:val="single" w:sz="4" w:space="0" w:color="auto"/>
              <w:bottom w:val="single" w:sz="4" w:space="0" w:color="auto"/>
            </w:tcBorders>
            <w:shd w:val="clear" w:color="auto" w:fill="FFFFFF" w:themeFill="background1"/>
            <w:vAlign w:val="center"/>
          </w:tcPr>
          <w:p w14:paraId="563295BE" w14:textId="68D2C8AE" w:rsidR="00B77429" w:rsidRPr="00CF1C81" w:rsidRDefault="00B77429" w:rsidP="00B77429">
            <w:pPr>
              <w:spacing w:before="60" w:after="120"/>
              <w:rPr>
                <w:rFonts w:ascii="Times New Roman" w:hAnsi="Times New Roman" w:cs="Times New Roman"/>
                <w:sz w:val="24"/>
                <w:lang w:val="en-GB"/>
              </w:rPr>
            </w:pPr>
            <w:r w:rsidRPr="00CF1C81">
              <w:rPr>
                <w:rFonts w:ascii="Times New Roman" w:hAnsi="Times New Roman" w:cs="Times New Roman"/>
                <w:sz w:val="24"/>
                <w:lang w:val="en-GB"/>
              </w:rPr>
              <w:t>1 to XXX</w:t>
            </w:r>
          </w:p>
        </w:tc>
        <w:tc>
          <w:tcPr>
            <w:tcW w:w="7655" w:type="dxa"/>
            <w:tcBorders>
              <w:top w:val="single" w:sz="4" w:space="0" w:color="auto"/>
              <w:bottom w:val="single" w:sz="4" w:space="0" w:color="auto"/>
            </w:tcBorders>
            <w:shd w:val="clear" w:color="auto" w:fill="FFFFFF" w:themeFill="background1"/>
            <w:vAlign w:val="center"/>
          </w:tcPr>
          <w:p w14:paraId="01C03FC6" w14:textId="77777777" w:rsidR="00B77429" w:rsidRPr="00E85027" w:rsidRDefault="00B77429" w:rsidP="00E85027">
            <w:pPr>
              <w:spacing w:before="60" w:after="120"/>
              <w:jc w:val="both"/>
              <w:rPr>
                <w:rFonts w:ascii="Times New Roman" w:eastAsia="Times New Roman" w:hAnsi="Times New Roman" w:cs="Times New Roman"/>
                <w:b/>
                <w:sz w:val="24"/>
                <w:lang w:val="en-GB"/>
              </w:rPr>
            </w:pPr>
            <w:r w:rsidRPr="00E85027">
              <w:rPr>
                <w:rFonts w:ascii="Times New Roman" w:eastAsia="Times New Roman" w:hAnsi="Times New Roman" w:cs="Times New Roman"/>
                <w:b/>
                <w:sz w:val="24"/>
                <w:lang w:val="en-GB"/>
              </w:rPr>
              <w:t>Total Liabilities</w:t>
            </w:r>
          </w:p>
          <w:p w14:paraId="475B5164" w14:textId="77777777" w:rsidR="00B77429" w:rsidRPr="00E85027" w:rsidRDefault="00B77429" w:rsidP="00E0407B">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The row </w:t>
            </w:r>
            <w:r w:rsidRPr="00E85027">
              <w:rPr>
                <w:rFonts w:ascii="Times New Roman" w:eastAsia="Times New Roman" w:hAnsi="Times New Roman" w:cs="Times New Roman"/>
                <w:sz w:val="24"/>
                <w:lang w:val="en-GB"/>
              </w:rPr>
              <w:t xml:space="preserve">structure shall be the same as the row structure of the balance sheet used in the latest available financial reporting of the institution. </w:t>
            </w:r>
          </w:p>
          <w:p w14:paraId="6DA779C8" w14:textId="5C27F46D" w:rsidR="00B77429" w:rsidRPr="00CF1C81" w:rsidRDefault="00B77429" w:rsidP="005423A3">
            <w:pPr>
              <w:spacing w:after="120"/>
              <w:jc w:val="both"/>
              <w:rPr>
                <w:rFonts w:ascii="Times New Roman" w:eastAsia="Times New Roman" w:hAnsi="Times New Roman" w:cs="Times New Roman"/>
                <w:sz w:val="24"/>
                <w:lang w:val="en-GB"/>
              </w:rPr>
            </w:pPr>
            <w:r w:rsidRPr="00E85027">
              <w:rPr>
                <w:rFonts w:ascii="Times New Roman" w:eastAsia="Times New Roman" w:hAnsi="Times New Roman" w:cs="Times New Roman"/>
                <w:sz w:val="24"/>
                <w:lang w:val="en-GB"/>
              </w:rPr>
              <w:t xml:space="preserve">‘Financial reporting’ refers to the annual individual </w:t>
            </w:r>
            <w:r w:rsidR="005423A3" w:rsidRPr="00E85027">
              <w:rPr>
                <w:rFonts w:ascii="Times New Roman" w:eastAsia="Times New Roman" w:hAnsi="Times New Roman" w:cs="Times New Roman"/>
                <w:sz w:val="24"/>
                <w:lang w:val="en-GB"/>
              </w:rPr>
              <w:t xml:space="preserve">or </w:t>
            </w:r>
            <w:r w:rsidRPr="00E85027">
              <w:rPr>
                <w:rFonts w:ascii="Times New Roman" w:eastAsia="Times New Roman" w:hAnsi="Times New Roman" w:cs="Times New Roman"/>
                <w:sz w:val="24"/>
                <w:lang w:val="en-GB"/>
              </w:rPr>
              <w:t>consolidated financial statements defined in Article 4</w:t>
            </w:r>
            <w:r w:rsidRPr="00CF1C81">
              <w:rPr>
                <w:rFonts w:ascii="Times New Roman" w:eastAsia="Times New Roman" w:hAnsi="Times New Roman" w:cs="Times New Roman"/>
                <w:sz w:val="24"/>
                <w:lang w:val="en-GB"/>
              </w:rPr>
              <w:t xml:space="preserve"> and Article 24 of Directive 2013/34/EU, as well as (when applicable) to the financial statements in the meaning of the international accounting standards as endorsed in the EU in the application of Regulation (EC) No 1606/2002.</w:t>
            </w:r>
          </w:p>
        </w:tc>
      </w:tr>
    </w:tbl>
    <w:p w14:paraId="2FE785D3" w14:textId="77777777" w:rsidR="00015EF3" w:rsidRPr="00CF1C81" w:rsidRDefault="00015EF3" w:rsidP="005673AC">
      <w:pPr>
        <w:rPr>
          <w:rFonts w:ascii="Times New Roman" w:hAnsi="Times New Roman" w:cs="Times New Roman"/>
          <w:sz w:val="24"/>
        </w:rPr>
      </w:pPr>
    </w:p>
    <w:p w14:paraId="76781438" w14:textId="77777777" w:rsidR="000A40C4" w:rsidRPr="00CF1C81" w:rsidRDefault="000A40C4" w:rsidP="00D61A8A">
      <w:pPr>
        <w:spacing w:after="120"/>
        <w:jc w:val="both"/>
        <w:rPr>
          <w:rFonts w:ascii="Times New Roman" w:hAnsi="Times New Roman" w:cs="Times New Roman"/>
          <w:b/>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0A40C4" w:rsidRPr="00CF1C81" w14:paraId="2EBB68DF" w14:textId="77777777" w:rsidTr="009B4CB5">
        <w:trPr>
          <w:trHeight w:val="7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CDB06" w14:textId="77777777" w:rsidR="000A40C4" w:rsidRPr="00CF1C81" w:rsidRDefault="000A40C4" w:rsidP="009B4CB5">
            <w:pPr>
              <w:pStyle w:val="TableTitle"/>
              <w:spacing w:before="0" w:after="0"/>
              <w:jc w:val="left"/>
              <w:rPr>
                <w:rFonts w:ascii="Times New Roman" w:hAnsi="Times New Roman"/>
                <w:sz w:val="24"/>
                <w:szCs w:val="24"/>
              </w:rPr>
            </w:pPr>
            <w:r w:rsidRPr="00CF1C81">
              <w:rPr>
                <w:rFonts w:ascii="Times New Roman" w:hAnsi="Times New Roman"/>
                <w:sz w:val="24"/>
                <w:szCs w:val="24"/>
              </w:rPr>
              <w:t>Legal references and instructions</w:t>
            </w:r>
          </w:p>
        </w:tc>
      </w:tr>
      <w:tr w:rsidR="000A40C4" w:rsidRPr="00CF1C81" w14:paraId="1D1C8A21" w14:textId="77777777" w:rsidTr="009B4CB5">
        <w:trPr>
          <w:trHeight w:val="238"/>
        </w:trPr>
        <w:tc>
          <w:tcPr>
            <w:tcW w:w="1384" w:type="dxa"/>
            <w:tcBorders>
              <w:bottom w:val="nil"/>
            </w:tcBorders>
            <w:shd w:val="clear" w:color="auto" w:fill="D9D9D9" w:themeFill="background1" w:themeFillShade="D9"/>
          </w:tcPr>
          <w:p w14:paraId="7E8D05E1" w14:textId="5A92D2FD" w:rsidR="000A40C4" w:rsidRPr="00CF1C81" w:rsidRDefault="000A40C4" w:rsidP="009B4CB5">
            <w:pPr>
              <w:autoSpaceDE w:val="0"/>
              <w:autoSpaceDN w:val="0"/>
              <w:adjustRightInd w:val="0"/>
              <w:rPr>
                <w:rFonts w:ascii="Times New Roman" w:hAnsi="Times New Roman" w:cs="Times New Roman"/>
                <w:b/>
                <w:sz w:val="24"/>
                <w:lang w:val="en-GB"/>
              </w:rPr>
            </w:pPr>
            <w:r w:rsidRPr="00CF1C81">
              <w:rPr>
                <w:rFonts w:ascii="Times New Roman" w:hAnsi="Times New Roman" w:cs="Times New Roman"/>
                <w:b/>
                <w:sz w:val="24"/>
                <w:lang w:val="en-GB"/>
              </w:rPr>
              <w:t>Column reference</w:t>
            </w:r>
          </w:p>
        </w:tc>
        <w:tc>
          <w:tcPr>
            <w:tcW w:w="7655" w:type="dxa"/>
            <w:tcBorders>
              <w:bottom w:val="nil"/>
            </w:tcBorders>
            <w:shd w:val="clear" w:color="auto" w:fill="D9D9D9" w:themeFill="background1" w:themeFillShade="D9"/>
          </w:tcPr>
          <w:p w14:paraId="03277E14" w14:textId="77777777" w:rsidR="000A40C4" w:rsidRPr="00CF1C81" w:rsidRDefault="000A40C4" w:rsidP="009B4CB5">
            <w:pPr>
              <w:autoSpaceDE w:val="0"/>
              <w:autoSpaceDN w:val="0"/>
              <w:adjustRightInd w:val="0"/>
              <w:rPr>
                <w:rFonts w:ascii="Times New Roman" w:hAnsi="Times New Roman" w:cs="Times New Roman"/>
                <w:color w:val="000000"/>
                <w:sz w:val="24"/>
                <w:lang w:val="en-GB"/>
              </w:rPr>
            </w:pPr>
            <w:r w:rsidRPr="00CF1C81">
              <w:rPr>
                <w:rFonts w:ascii="Times New Roman" w:hAnsi="Times New Roman" w:cs="Times New Roman"/>
                <w:b/>
                <w:sz w:val="24"/>
                <w:lang w:val="en-GB"/>
              </w:rPr>
              <w:t>Explanation</w:t>
            </w:r>
          </w:p>
        </w:tc>
      </w:tr>
      <w:tr w:rsidR="000A40C4" w:rsidRPr="00CF1C81" w14:paraId="601B7DEE" w14:textId="77777777" w:rsidTr="009B4CB5">
        <w:trPr>
          <w:trHeight w:val="238"/>
        </w:trPr>
        <w:tc>
          <w:tcPr>
            <w:tcW w:w="1384" w:type="dxa"/>
            <w:shd w:val="clear" w:color="auto" w:fill="FFFFFF" w:themeFill="background1"/>
          </w:tcPr>
          <w:p w14:paraId="6AEBC4B1" w14:textId="77777777" w:rsidR="000A40C4" w:rsidRPr="00CF1C81" w:rsidRDefault="000A40C4" w:rsidP="009B4CB5">
            <w:pPr>
              <w:autoSpaceDE w:val="0"/>
              <w:autoSpaceDN w:val="0"/>
              <w:adjustRightInd w:val="0"/>
              <w:spacing w:before="60"/>
              <w:jc w:val="center"/>
              <w:rPr>
                <w:rFonts w:ascii="Times New Roman" w:hAnsi="Times New Roman" w:cs="Times New Roman"/>
                <w:b/>
                <w:sz w:val="24"/>
                <w:lang w:val="en-GB"/>
              </w:rPr>
            </w:pPr>
            <w:r w:rsidRPr="00CF1C81">
              <w:rPr>
                <w:rFonts w:ascii="Times New Roman" w:hAnsi="Times New Roman" w:cs="Times New Roman"/>
                <w:b/>
                <w:sz w:val="24"/>
                <w:lang w:val="en-GB"/>
              </w:rPr>
              <w:t>a</w:t>
            </w:r>
          </w:p>
        </w:tc>
        <w:tc>
          <w:tcPr>
            <w:tcW w:w="7655" w:type="dxa"/>
            <w:shd w:val="clear" w:color="auto" w:fill="FFFFFF" w:themeFill="background1"/>
          </w:tcPr>
          <w:p w14:paraId="71E5ADB0" w14:textId="77777777" w:rsidR="000A40C4" w:rsidRPr="00CF1C81" w:rsidRDefault="000A40C4" w:rsidP="009B4CB5">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Carrying values as reported in published financial statements</w:t>
            </w:r>
          </w:p>
          <w:p w14:paraId="13452EA7" w14:textId="01512389" w:rsidR="000A40C4" w:rsidRPr="00CF1C81" w:rsidRDefault="000A40C4" w:rsidP="009B4CB5">
            <w:pPr>
              <w:spacing w:before="60" w:after="120"/>
              <w:jc w:val="both"/>
              <w:rPr>
                <w:rFonts w:ascii="Times New Roman" w:hAnsi="Times New Roman" w:cs="Times New Roman"/>
                <w:sz w:val="24"/>
                <w:lang w:val="en-GB"/>
              </w:rPr>
            </w:pPr>
            <w:r w:rsidRPr="00CF1C81">
              <w:rPr>
                <w:rFonts w:ascii="Times New Roman" w:eastAsia="Times New Roman" w:hAnsi="Times New Roman" w:cs="Times New Roman"/>
                <w:sz w:val="24"/>
                <w:lang w:val="en-GB"/>
              </w:rPr>
              <w:t>Amount reported on the asset</w:t>
            </w:r>
            <w:r w:rsidR="005423A3">
              <w:rPr>
                <w:rFonts w:ascii="Times New Roman" w:eastAsia="Times New Roman" w:hAnsi="Times New Roman" w:cs="Times New Roman"/>
                <w:sz w:val="24"/>
                <w:lang w:val="en-GB"/>
              </w:rPr>
              <w:t>s</w:t>
            </w:r>
            <w:r w:rsidRPr="00CF1C81">
              <w:rPr>
                <w:rFonts w:ascii="Times New Roman" w:eastAsia="Times New Roman" w:hAnsi="Times New Roman" w:cs="Times New Roman"/>
                <w:sz w:val="24"/>
                <w:lang w:val="en-GB"/>
              </w:rPr>
              <w:t xml:space="preserve"> side and the liabilities side of the balance sheet established following the consolidation requirements in the applicable accounting framework, including frameworks based on Directive 2013/34/EU, 86/635/EEC, or the international accounting standards as endorsed in the EU. </w:t>
            </w:r>
          </w:p>
        </w:tc>
      </w:tr>
      <w:tr w:rsidR="000A40C4" w:rsidRPr="00CF1C81" w14:paraId="24C40A0C" w14:textId="77777777" w:rsidTr="009B4CB5">
        <w:trPr>
          <w:trHeight w:val="238"/>
        </w:trPr>
        <w:tc>
          <w:tcPr>
            <w:tcW w:w="1384" w:type="dxa"/>
            <w:shd w:val="clear" w:color="auto" w:fill="FFFFFF" w:themeFill="background1"/>
          </w:tcPr>
          <w:p w14:paraId="19BAF552"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lastRenderedPageBreak/>
              <w:t>b</w:t>
            </w:r>
          </w:p>
        </w:tc>
        <w:tc>
          <w:tcPr>
            <w:tcW w:w="7655" w:type="dxa"/>
            <w:shd w:val="clear" w:color="auto" w:fill="FFFFFF" w:themeFill="background1"/>
          </w:tcPr>
          <w:p w14:paraId="346206CF" w14:textId="77777777" w:rsidR="000A40C4" w:rsidRPr="00CF1C81" w:rsidRDefault="000A40C4" w:rsidP="009B4CB5">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 xml:space="preserve">Carrying values under the scope of regulatory consolidation </w:t>
            </w:r>
          </w:p>
          <w:p w14:paraId="2FABF9A2" w14:textId="03D8DDA2" w:rsidR="000A40C4" w:rsidRPr="00CF1C81" w:rsidRDefault="000A40C4" w:rsidP="009B4CB5">
            <w:pPr>
              <w:jc w:val="both"/>
              <w:rPr>
                <w:rFonts w:ascii="Times New Roman" w:hAnsi="Times New Roman" w:cs="Times New Roman"/>
                <w:sz w:val="24"/>
              </w:rPr>
            </w:pPr>
            <w:r w:rsidRPr="00CF1C81">
              <w:rPr>
                <w:rFonts w:ascii="Times New Roman" w:eastAsia="Times New Roman" w:hAnsi="Times New Roman" w:cs="Times New Roman"/>
                <w:sz w:val="24"/>
                <w:lang w:val="en-GB"/>
              </w:rPr>
              <w:t>Amount reported on the asset</w:t>
            </w:r>
            <w:r w:rsidR="005423A3">
              <w:rPr>
                <w:rFonts w:ascii="Times New Roman" w:eastAsia="Times New Roman" w:hAnsi="Times New Roman" w:cs="Times New Roman"/>
                <w:sz w:val="24"/>
                <w:lang w:val="en-GB"/>
              </w:rPr>
              <w:t>s</w:t>
            </w:r>
            <w:r w:rsidRPr="00CF1C81">
              <w:rPr>
                <w:rFonts w:ascii="Times New Roman" w:eastAsia="Times New Roman" w:hAnsi="Times New Roman" w:cs="Times New Roman"/>
                <w:sz w:val="24"/>
                <w:lang w:val="en-GB"/>
              </w:rPr>
              <w:t xml:space="preserve"> side and the liabilities side of the balance sheet established following the regulatory consolidation requirements in Part One, Title II, Section 2 and Section 3 of </w:t>
            </w:r>
            <w:r w:rsidRPr="00CF1C81">
              <w:rPr>
                <w:rFonts w:ascii="Times New Roman" w:hAnsi="Times New Roman" w:cs="Times New Roman"/>
                <w:sz w:val="24"/>
              </w:rPr>
              <w:t>CRR.</w:t>
            </w:r>
          </w:p>
          <w:p w14:paraId="73948BCC" w14:textId="77777777" w:rsidR="000A40C4" w:rsidRPr="00CF1C81" w:rsidRDefault="000A40C4" w:rsidP="009B4CB5">
            <w:pPr>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If the scope of accounting consolidation and the scope of regulatory consolidation are exactly the same, columns (a) and (b) shall be merged.</w:t>
            </w:r>
          </w:p>
        </w:tc>
      </w:tr>
      <w:tr w:rsidR="000A40C4" w:rsidRPr="00CF1C81" w14:paraId="5D04A69F" w14:textId="77777777" w:rsidTr="009B4CB5">
        <w:trPr>
          <w:trHeight w:val="238"/>
        </w:trPr>
        <w:tc>
          <w:tcPr>
            <w:tcW w:w="1384" w:type="dxa"/>
            <w:shd w:val="clear" w:color="auto" w:fill="FFFFFF" w:themeFill="background1"/>
          </w:tcPr>
          <w:p w14:paraId="0FC2286F"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t>c</w:t>
            </w:r>
          </w:p>
        </w:tc>
        <w:tc>
          <w:tcPr>
            <w:tcW w:w="7655" w:type="dxa"/>
            <w:shd w:val="clear" w:color="auto" w:fill="FFFFFF" w:themeFill="background1"/>
          </w:tcPr>
          <w:p w14:paraId="2695D509" w14:textId="77777777" w:rsidR="000A40C4" w:rsidRPr="00CF1C81" w:rsidRDefault="000A40C4" w:rsidP="009B4CB5">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Carrying values of items subject to credit risk framework</w:t>
            </w:r>
          </w:p>
          <w:p w14:paraId="5D1A8246" w14:textId="31BB2FC6" w:rsidR="000A40C4" w:rsidRPr="00CF1C81" w:rsidRDefault="000A40C4" w:rsidP="00AF458B">
            <w:pPr>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 xml:space="preserve">Carrying amounts under the regulatory scope of consolidation of items (other than off-balance-sheet items) to which Part Three, Title II, chapters 2 and 3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applies.</w:t>
            </w:r>
          </w:p>
        </w:tc>
      </w:tr>
      <w:tr w:rsidR="000A40C4" w:rsidRPr="00CF1C81" w14:paraId="0BB16F32" w14:textId="77777777" w:rsidTr="009B4CB5">
        <w:trPr>
          <w:trHeight w:val="238"/>
        </w:trPr>
        <w:tc>
          <w:tcPr>
            <w:tcW w:w="1384" w:type="dxa"/>
            <w:shd w:val="clear" w:color="auto" w:fill="FFFFFF" w:themeFill="background1"/>
          </w:tcPr>
          <w:p w14:paraId="167910E2" w14:textId="77777777" w:rsidR="000A40C4" w:rsidRPr="00CF1C81" w:rsidRDefault="000A40C4" w:rsidP="009B4CB5">
            <w:pPr>
              <w:autoSpaceDE w:val="0"/>
              <w:autoSpaceDN w:val="0"/>
              <w:adjustRightInd w:val="0"/>
              <w:spacing w:before="60"/>
              <w:jc w:val="center"/>
              <w:rPr>
                <w:rFonts w:ascii="Times New Roman" w:hAnsi="Times New Roman" w:cs="Times New Roman"/>
                <w:b/>
                <w:sz w:val="24"/>
                <w:lang w:val="en-GB"/>
              </w:rPr>
            </w:pPr>
            <w:r w:rsidRPr="00CF1C81">
              <w:rPr>
                <w:rFonts w:ascii="Times New Roman" w:hAnsi="Times New Roman" w:cs="Times New Roman"/>
                <w:b/>
                <w:sz w:val="24"/>
                <w:lang w:val="en-GB"/>
              </w:rPr>
              <w:t>d</w:t>
            </w:r>
          </w:p>
        </w:tc>
        <w:tc>
          <w:tcPr>
            <w:tcW w:w="7655" w:type="dxa"/>
            <w:shd w:val="clear" w:color="auto" w:fill="FFFFFF" w:themeFill="background1"/>
          </w:tcPr>
          <w:p w14:paraId="3D896FE4" w14:textId="77777777" w:rsidR="000A40C4" w:rsidRPr="00CF1C81" w:rsidRDefault="000A40C4" w:rsidP="009B4CB5">
            <w:pPr>
              <w:spacing w:before="60" w:after="120"/>
              <w:ind w:left="34"/>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Carrying values of items subject to counterparty credit risk framework</w:t>
            </w:r>
          </w:p>
          <w:p w14:paraId="5C9643BC" w14:textId="752480F0" w:rsidR="000A40C4" w:rsidRPr="00CF1C81" w:rsidRDefault="000A40C4" w:rsidP="00AF458B">
            <w:pPr>
              <w:spacing w:before="60" w:after="120"/>
              <w:ind w:left="34"/>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Carrying amounts under the regulatory scope of consolidation of items (other than off-balance-sheet items) to which</w:t>
            </w:r>
            <w:r w:rsidRPr="00CF1C81">
              <w:rPr>
                <w:rFonts w:ascii="Times New Roman" w:hAnsi="Times New Roman" w:cs="Times New Roman"/>
                <w:sz w:val="24"/>
                <w:lang w:val="en-GB"/>
              </w:rPr>
              <w:t xml:space="preserve"> </w:t>
            </w:r>
            <w:r w:rsidRPr="00CF1C81">
              <w:rPr>
                <w:rFonts w:ascii="Times New Roman" w:eastAsia="Times New Roman" w:hAnsi="Times New Roman" w:cs="Times New Roman"/>
                <w:sz w:val="24"/>
                <w:lang w:val="en-GB"/>
              </w:rPr>
              <w:t xml:space="preserve">Part Three, Title II, Chapter 6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applies.</w:t>
            </w:r>
          </w:p>
        </w:tc>
      </w:tr>
      <w:tr w:rsidR="000A40C4" w:rsidRPr="00CF1C81" w14:paraId="43E52D46" w14:textId="77777777" w:rsidTr="009B4CB5">
        <w:trPr>
          <w:trHeight w:val="238"/>
        </w:trPr>
        <w:tc>
          <w:tcPr>
            <w:tcW w:w="1384" w:type="dxa"/>
            <w:shd w:val="clear" w:color="auto" w:fill="FFFFFF" w:themeFill="background1"/>
          </w:tcPr>
          <w:p w14:paraId="31039A38"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t>e</w:t>
            </w:r>
          </w:p>
        </w:tc>
        <w:tc>
          <w:tcPr>
            <w:tcW w:w="7655" w:type="dxa"/>
            <w:shd w:val="clear" w:color="auto" w:fill="FFFFFF" w:themeFill="background1"/>
          </w:tcPr>
          <w:p w14:paraId="72403400" w14:textId="77777777" w:rsidR="000A40C4" w:rsidRPr="00CF1C81" w:rsidRDefault="000A40C4" w:rsidP="009B4CB5">
            <w:pPr>
              <w:spacing w:before="60" w:after="120"/>
              <w:ind w:left="34"/>
              <w:jc w:val="both"/>
              <w:rPr>
                <w:rFonts w:ascii="Times New Roman" w:eastAsia="Times New Roman" w:hAnsi="Times New Roman" w:cs="Times New Roman"/>
                <w:sz w:val="24"/>
                <w:lang w:val="en-GB"/>
              </w:rPr>
            </w:pPr>
            <w:r w:rsidRPr="00CF1C81">
              <w:rPr>
                <w:rFonts w:ascii="Times New Roman" w:eastAsia="Times New Roman" w:hAnsi="Times New Roman" w:cs="Times New Roman"/>
                <w:b/>
                <w:sz w:val="24"/>
                <w:lang w:val="en-GB"/>
              </w:rPr>
              <w:t xml:space="preserve">Carrying values of items subject to the securitisation framework </w:t>
            </w:r>
          </w:p>
          <w:p w14:paraId="2417E627" w14:textId="1473785E" w:rsidR="000A40C4" w:rsidRPr="00CF1C81" w:rsidRDefault="000A40C4" w:rsidP="00AF458B">
            <w:pPr>
              <w:spacing w:before="60" w:after="120"/>
              <w:ind w:left="34"/>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Carrying amounts under the regulatory scope of consolidation of items (other than off-balance-sheet items) from the non-trading book to which Part Three, Title II, Chapter 5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applies.</w:t>
            </w:r>
          </w:p>
        </w:tc>
      </w:tr>
      <w:tr w:rsidR="000A40C4" w:rsidRPr="00CF1C81" w14:paraId="036C0C3C" w14:textId="77777777" w:rsidTr="009B4CB5">
        <w:trPr>
          <w:trHeight w:val="238"/>
        </w:trPr>
        <w:tc>
          <w:tcPr>
            <w:tcW w:w="1384" w:type="dxa"/>
            <w:shd w:val="clear" w:color="auto" w:fill="FFFFFF" w:themeFill="background1"/>
          </w:tcPr>
          <w:p w14:paraId="4A06BEBB"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t>f</w:t>
            </w:r>
          </w:p>
        </w:tc>
        <w:tc>
          <w:tcPr>
            <w:tcW w:w="7655" w:type="dxa"/>
            <w:shd w:val="clear" w:color="auto" w:fill="FFFFFF" w:themeFill="background1"/>
          </w:tcPr>
          <w:p w14:paraId="7FCFDFC6" w14:textId="77777777" w:rsidR="000A40C4" w:rsidRPr="00CF1C81" w:rsidRDefault="000A40C4" w:rsidP="009B4CB5">
            <w:pPr>
              <w:spacing w:before="60" w:after="120"/>
              <w:ind w:left="34"/>
              <w:jc w:val="both"/>
              <w:rPr>
                <w:rFonts w:ascii="Times New Roman" w:eastAsia="Times New Roman" w:hAnsi="Times New Roman" w:cs="Times New Roman"/>
                <w:sz w:val="24"/>
                <w:lang w:val="en-GB"/>
              </w:rPr>
            </w:pPr>
            <w:r w:rsidRPr="00CF1C81">
              <w:rPr>
                <w:rFonts w:ascii="Times New Roman" w:eastAsia="Times New Roman" w:hAnsi="Times New Roman" w:cs="Times New Roman"/>
                <w:b/>
                <w:sz w:val="24"/>
                <w:lang w:val="en-GB"/>
              </w:rPr>
              <w:t>Carrying values of items subject to the market risk framework</w:t>
            </w:r>
          </w:p>
          <w:p w14:paraId="64C8B8F2" w14:textId="44D17EF8" w:rsidR="000A40C4" w:rsidRPr="00CF1C81" w:rsidRDefault="000A40C4" w:rsidP="00AF458B">
            <w:pPr>
              <w:spacing w:before="60" w:after="120"/>
              <w:ind w:left="34"/>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Carrying amounts under the regulatory scope of consolidation of items (other than off-balance-sheet items)</w:t>
            </w:r>
            <w:r w:rsidRPr="00CF1C81">
              <w:rPr>
                <w:rFonts w:ascii="Times New Roman" w:hAnsi="Times New Roman" w:cs="Times New Roman"/>
                <w:sz w:val="24"/>
                <w:lang w:val="en-GB"/>
              </w:rPr>
              <w:t xml:space="preserve"> </w:t>
            </w:r>
            <w:r w:rsidRPr="00CF1C81">
              <w:rPr>
                <w:rFonts w:ascii="Times New Roman" w:eastAsia="Times New Roman" w:hAnsi="Times New Roman" w:cs="Times New Roman"/>
                <w:sz w:val="24"/>
                <w:lang w:val="en-GB"/>
              </w:rPr>
              <w:t xml:space="preserve">to which Part Three, Title IV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applies. Items corresponding to securitisation positions in the trading book -to which the requirements in Part Three, Title IV of </w:t>
            </w:r>
            <w:r w:rsidRPr="00CF1C81">
              <w:rPr>
                <w:rFonts w:ascii="Times New Roman" w:hAnsi="Times New Roman" w:cs="Times New Roman"/>
                <w:sz w:val="24"/>
              </w:rPr>
              <w:t xml:space="preserve">CRR- </w:t>
            </w:r>
            <w:r w:rsidRPr="00CF1C81">
              <w:rPr>
                <w:rFonts w:ascii="Times New Roman" w:eastAsia="Times New Roman" w:hAnsi="Times New Roman" w:cs="Times New Roman"/>
                <w:sz w:val="24"/>
                <w:lang w:val="en-GB"/>
              </w:rPr>
              <w:t>shall be included in this column.</w:t>
            </w:r>
          </w:p>
        </w:tc>
      </w:tr>
      <w:tr w:rsidR="000A40C4" w:rsidRPr="00CF1C81" w14:paraId="08417628" w14:textId="77777777" w:rsidTr="009B4CB5">
        <w:trPr>
          <w:trHeight w:val="238"/>
        </w:trPr>
        <w:tc>
          <w:tcPr>
            <w:tcW w:w="1384" w:type="dxa"/>
            <w:shd w:val="clear" w:color="auto" w:fill="FFFFFF" w:themeFill="background1"/>
          </w:tcPr>
          <w:p w14:paraId="631E17FC"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t>g</w:t>
            </w:r>
          </w:p>
        </w:tc>
        <w:tc>
          <w:tcPr>
            <w:tcW w:w="7655" w:type="dxa"/>
            <w:shd w:val="clear" w:color="auto" w:fill="FFFFFF" w:themeFill="background1"/>
          </w:tcPr>
          <w:p w14:paraId="148B159C" w14:textId="1C4CF323" w:rsidR="000A40C4" w:rsidRPr="00CF1C81" w:rsidRDefault="000A40C4" w:rsidP="009B4CB5">
            <w:pPr>
              <w:spacing w:before="60" w:after="120"/>
              <w:ind w:left="34"/>
              <w:jc w:val="both"/>
              <w:rPr>
                <w:rFonts w:ascii="Times New Roman" w:eastAsia="Times New Roman" w:hAnsi="Times New Roman" w:cs="Times New Roman"/>
                <w:sz w:val="24"/>
                <w:lang w:val="en-GB"/>
              </w:rPr>
            </w:pPr>
            <w:r w:rsidRPr="00CF1C81">
              <w:rPr>
                <w:rFonts w:ascii="Times New Roman" w:eastAsia="Times New Roman" w:hAnsi="Times New Roman" w:cs="Times New Roman"/>
                <w:b/>
                <w:sz w:val="24"/>
                <w:lang w:val="en-GB"/>
              </w:rPr>
              <w:t xml:space="preserve">Carrying values of items not subject to </w:t>
            </w:r>
            <w:r w:rsidR="00045C27" w:rsidRPr="00CF1C81">
              <w:rPr>
                <w:rFonts w:ascii="Times New Roman" w:eastAsia="Times New Roman" w:hAnsi="Times New Roman" w:cs="Times New Roman"/>
                <w:b/>
                <w:sz w:val="24"/>
                <w:lang w:val="en-GB"/>
              </w:rPr>
              <w:t xml:space="preserve">own funds </w:t>
            </w:r>
            <w:r w:rsidRPr="00CF1C81">
              <w:rPr>
                <w:rFonts w:ascii="Times New Roman" w:eastAsia="Times New Roman" w:hAnsi="Times New Roman" w:cs="Times New Roman"/>
                <w:b/>
                <w:sz w:val="24"/>
                <w:lang w:val="en-GB"/>
              </w:rPr>
              <w:t xml:space="preserve">requirements or subject to deduction from </w:t>
            </w:r>
            <w:r w:rsidR="00045C27" w:rsidRPr="00CF1C81">
              <w:rPr>
                <w:rFonts w:ascii="Times New Roman" w:eastAsia="Times New Roman" w:hAnsi="Times New Roman" w:cs="Times New Roman"/>
                <w:b/>
                <w:sz w:val="24"/>
                <w:lang w:val="en-GB"/>
              </w:rPr>
              <w:t>own funds</w:t>
            </w:r>
          </w:p>
          <w:p w14:paraId="36C8CD33" w14:textId="731CB304" w:rsidR="000A40C4" w:rsidRPr="00CF1C81" w:rsidRDefault="000A40C4" w:rsidP="009B4CB5">
            <w:pPr>
              <w:spacing w:before="60" w:after="120"/>
              <w:ind w:left="34"/>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Carrying amounts under the regulatory scope of consolidation of items (other than off-balance-sheet items)</w:t>
            </w:r>
            <w:r w:rsidRPr="00CF1C81">
              <w:rPr>
                <w:rFonts w:ascii="Times New Roman" w:hAnsi="Times New Roman" w:cs="Times New Roman"/>
                <w:sz w:val="24"/>
                <w:lang w:val="en-GB"/>
              </w:rPr>
              <w:t xml:space="preserve"> </w:t>
            </w:r>
            <w:r w:rsidRPr="00CF1C81">
              <w:rPr>
                <w:rFonts w:ascii="Times New Roman" w:eastAsia="Times New Roman" w:hAnsi="Times New Roman" w:cs="Times New Roman"/>
                <w:sz w:val="24"/>
                <w:lang w:val="en-GB"/>
              </w:rPr>
              <w:t xml:space="preserve">not subject to </w:t>
            </w:r>
            <w:r w:rsidR="00045C27" w:rsidRPr="00CF1C81">
              <w:rPr>
                <w:rFonts w:ascii="Times New Roman" w:eastAsia="Times New Roman" w:hAnsi="Times New Roman" w:cs="Times New Roman"/>
                <w:sz w:val="24"/>
                <w:lang w:val="en-GB"/>
              </w:rPr>
              <w:t xml:space="preserve">own funds </w:t>
            </w:r>
            <w:r w:rsidRPr="00CF1C81">
              <w:rPr>
                <w:rFonts w:ascii="Times New Roman" w:eastAsia="Times New Roman" w:hAnsi="Times New Roman" w:cs="Times New Roman"/>
                <w:sz w:val="24"/>
                <w:lang w:val="en-GB"/>
              </w:rPr>
              <w:t xml:space="preserve">requirements according to </w:t>
            </w:r>
            <w:r w:rsidRPr="00CF1C81">
              <w:rPr>
                <w:rFonts w:ascii="Times New Roman" w:hAnsi="Times New Roman" w:cs="Times New Roman"/>
                <w:sz w:val="24"/>
              </w:rPr>
              <w:t>CRR.</w:t>
            </w:r>
          </w:p>
          <w:p w14:paraId="5074FAF6" w14:textId="11E0E5C4" w:rsidR="000A40C4" w:rsidRPr="00CF1C81" w:rsidRDefault="000A40C4" w:rsidP="009B4CB5">
            <w:pPr>
              <w:spacing w:before="60" w:after="120"/>
              <w:ind w:left="34"/>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Carrying amounts under the regulatory scope of consolidation of items (other than off-balance-sheet items) that are subject to deductions from own funds in accordance with Part Two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Deducted items may include, for instance, the items listed in Article 37, Article 38, Article 39, and Article 41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w:t>
            </w:r>
          </w:p>
          <w:p w14:paraId="32CC9C9D" w14:textId="7BDB428D" w:rsidR="000A40C4" w:rsidRPr="00CF1C81" w:rsidRDefault="000A40C4" w:rsidP="009B4CB5">
            <w:pPr>
              <w:spacing w:before="60" w:after="120"/>
              <w:ind w:left="34"/>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The amounts disclosed for assets shall be the amounts actually deducted from own funds, taking into account any netting with liabilities allowed by (and any threshold for) deduction applicable as per the relevant articles in Part Two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w:t>
            </w:r>
          </w:p>
          <w:p w14:paraId="6EA1066E" w14:textId="25951DD3" w:rsidR="000A40C4" w:rsidRPr="00CF1C81" w:rsidRDefault="000A40C4" w:rsidP="009B4CB5">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 When the items listed in Article 36(1) (k) and Article 48 of the CRR are 1 250% risk-weighted instead of being deducted, they shall not be disclosed </w:t>
            </w:r>
            <w:r w:rsidRPr="00CF1C81">
              <w:rPr>
                <w:rFonts w:ascii="Times New Roman" w:eastAsia="Times New Roman" w:hAnsi="Times New Roman" w:cs="Times New Roman"/>
                <w:sz w:val="24"/>
                <w:lang w:val="en-GB"/>
              </w:rPr>
              <w:lastRenderedPageBreak/>
              <w:t xml:space="preserve">in column (g) but in the other appropriate columns of template EU LI1. This also applies to any other item that is 1 250% risk-weighted in accordance with the requirements in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w:t>
            </w:r>
          </w:p>
          <w:p w14:paraId="32808A2C" w14:textId="4D49AAD4" w:rsidR="000A40C4" w:rsidRPr="00CF1C81" w:rsidRDefault="000A40C4" w:rsidP="009B4CB5">
            <w:pPr>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 xml:space="preserve">The amounts disclosed for liabilities shall be the amount of liabilities that is taken into consideration for the determination of the amount of assets to be deducted from own funds as per the relevant articles in Part Two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In addition, all liabilities other than those that (i) are relevant for the application of requirements in Part Three, Title II, Chapter 4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or (ii) that are relevant for the application of requirements in Part Three, Title II, Chapter 6 and Title IV of the same regulation shall be disclosed in this column.</w:t>
            </w:r>
          </w:p>
        </w:tc>
      </w:tr>
      <w:tr w:rsidR="000A40C4" w:rsidRPr="00CF1C81" w14:paraId="5BCEE66D" w14:textId="77777777" w:rsidTr="009B4CB5">
        <w:trPr>
          <w:trHeight w:val="238"/>
        </w:trPr>
        <w:tc>
          <w:tcPr>
            <w:tcW w:w="1384" w:type="dxa"/>
            <w:shd w:val="clear" w:color="auto" w:fill="FFFFFF" w:themeFill="background1"/>
          </w:tcPr>
          <w:p w14:paraId="525E8A89"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lastRenderedPageBreak/>
              <w:t>all</w:t>
            </w:r>
          </w:p>
        </w:tc>
        <w:tc>
          <w:tcPr>
            <w:tcW w:w="7655" w:type="dxa"/>
            <w:shd w:val="clear" w:color="auto" w:fill="FFFFFF" w:themeFill="background1"/>
          </w:tcPr>
          <w:p w14:paraId="0FF597D8" w14:textId="1E2B5D1C" w:rsidR="000A40C4" w:rsidRPr="00CF1C81" w:rsidRDefault="000A40C4" w:rsidP="009B4CB5">
            <w:pPr>
              <w:spacing w:before="60" w:after="120"/>
              <w:ind w:left="34"/>
              <w:jc w:val="both"/>
              <w:rPr>
                <w:rFonts w:ascii="Times New Roman" w:eastAsia="Times New Roman" w:hAnsi="Times New Roman" w:cs="Times New Roman"/>
                <w:b/>
                <w:color w:val="000000" w:themeColor="text1"/>
                <w:sz w:val="24"/>
                <w:lang w:val="en-GB"/>
              </w:rPr>
            </w:pPr>
            <w:r w:rsidRPr="00CF1C81">
              <w:rPr>
                <w:rFonts w:ascii="Times New Roman" w:eastAsia="Times New Roman" w:hAnsi="Times New Roman" w:cs="Times New Roman"/>
                <w:sz w:val="24"/>
                <w:lang w:val="en-GB"/>
              </w:rPr>
              <w:t>Where a single item attracts capital requirements according to more than one risk framework, it shall be reported in all columns corresponding to the capital requirements it attracts. As a consequence, the sum of amounts in columns (c) to (g) may be greater than the amount in column (b).</w:t>
            </w:r>
            <w:r w:rsidRPr="00CF1C81">
              <w:rPr>
                <w:rFonts w:ascii="Times New Roman" w:eastAsia="Times New Roman" w:hAnsi="Times New Roman" w:cs="Times New Roman"/>
                <w:sz w:val="24"/>
                <w:lang w:val="en-GB" w:eastAsia="en-GB"/>
              </w:rPr>
              <w:t xml:space="preserve"> Institutions shall provide qualitative explanations on assets and liabilities that are subject to capital requirements for more than one risk framework listed in Part Three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eastAsia="en-GB"/>
              </w:rPr>
              <w:t>.</w:t>
            </w:r>
          </w:p>
        </w:tc>
      </w:tr>
    </w:tbl>
    <w:p w14:paraId="3474C3EC" w14:textId="77777777" w:rsidR="000A40C4" w:rsidRPr="00CF1C81" w:rsidRDefault="000A40C4" w:rsidP="00D61A8A">
      <w:pPr>
        <w:spacing w:after="120"/>
        <w:jc w:val="both"/>
        <w:rPr>
          <w:rFonts w:ascii="Times New Roman" w:hAnsi="Times New Roman" w:cs="Times New Roman"/>
          <w:b/>
          <w:sz w:val="24"/>
        </w:rPr>
      </w:pPr>
    </w:p>
    <w:p w14:paraId="6CEBD91B" w14:textId="278F5889" w:rsidR="00ED0F16" w:rsidRPr="00CF1C81" w:rsidRDefault="00A56A46" w:rsidP="00D61A8A">
      <w:pPr>
        <w:spacing w:after="120"/>
        <w:jc w:val="both"/>
        <w:rPr>
          <w:rFonts w:ascii="Times New Roman" w:hAnsi="Times New Roman" w:cs="Times New Roman"/>
          <w:b/>
          <w:sz w:val="24"/>
        </w:rPr>
      </w:pPr>
      <w:r w:rsidRPr="00CF1C81">
        <w:rPr>
          <w:rFonts w:ascii="Times New Roman" w:hAnsi="Times New Roman" w:cs="Times New Roman"/>
          <w:b/>
          <w:sz w:val="24"/>
        </w:rPr>
        <w:t xml:space="preserve">Template </w:t>
      </w:r>
      <w:r w:rsidR="00A25FA0" w:rsidRPr="00CF1C81">
        <w:rPr>
          <w:rFonts w:ascii="Times New Roman" w:hAnsi="Times New Roman" w:cs="Times New Roman"/>
          <w:b/>
          <w:sz w:val="24"/>
        </w:rPr>
        <w:t xml:space="preserve">EU </w:t>
      </w:r>
      <w:r w:rsidRPr="00CF1C81">
        <w:rPr>
          <w:rFonts w:ascii="Times New Roman" w:hAnsi="Times New Roman" w:cs="Times New Roman"/>
          <w:b/>
          <w:sz w:val="24"/>
        </w:rPr>
        <w:t xml:space="preserve">LI2 - </w:t>
      </w:r>
      <w:r w:rsidR="0078583A" w:rsidRPr="00CF1C81">
        <w:rPr>
          <w:rFonts w:ascii="Times New Roman" w:hAnsi="Times New Roman" w:cs="Times New Roman"/>
          <w:b/>
          <w:sz w:val="24"/>
        </w:rPr>
        <w:t>Main sources of differences between regulatory exposure amounts and carrying values in financial statements</w:t>
      </w:r>
      <w:r w:rsidR="00D61A8A" w:rsidRPr="00CF1C81">
        <w:rPr>
          <w:rFonts w:ascii="Times New Roman" w:hAnsi="Times New Roman" w:cs="Times New Roman"/>
          <w:b/>
          <w:sz w:val="24"/>
        </w:rPr>
        <w:t xml:space="preserve">. </w:t>
      </w:r>
      <w:r w:rsidR="00D61A8A" w:rsidRPr="00CF1C81">
        <w:rPr>
          <w:rFonts w:ascii="Times New Roman" w:hAnsi="Times New Roman" w:cs="Times New Roman"/>
          <w:sz w:val="24"/>
        </w:rPr>
        <w:t>F</w:t>
      </w:r>
      <w:r w:rsidR="000A40C4" w:rsidRPr="00CF1C81">
        <w:rPr>
          <w:rFonts w:ascii="Times New Roman" w:hAnsi="Times New Roman" w:cs="Times New Roman"/>
          <w:sz w:val="24"/>
        </w:rPr>
        <w:t>i</w:t>
      </w:r>
      <w:r w:rsidR="00D61A8A" w:rsidRPr="00CF1C81">
        <w:rPr>
          <w:rFonts w:ascii="Times New Roman" w:hAnsi="Times New Roman" w:cs="Times New Roman"/>
          <w:sz w:val="24"/>
        </w:rPr>
        <w:t>xed format.</w:t>
      </w:r>
      <w:r w:rsidRPr="00CF1C81">
        <w:rPr>
          <w:rFonts w:ascii="Times New Roman" w:hAnsi="Times New Roman" w:cs="Times New Roman"/>
          <w:b/>
          <w:sz w:val="24"/>
        </w:rPr>
        <w:t xml:space="preserve"> </w:t>
      </w:r>
    </w:p>
    <w:p w14:paraId="7E748C18" w14:textId="65FA6A05" w:rsidR="0078583A" w:rsidRPr="00CF1C81" w:rsidRDefault="00B77429" w:rsidP="00883F00">
      <w:pPr>
        <w:pStyle w:val="ListParagraph"/>
        <w:numPr>
          <w:ilvl w:val="0"/>
          <w:numId w:val="38"/>
        </w:numPr>
        <w:spacing w:before="120" w:after="120"/>
        <w:ind w:left="425" w:hanging="357"/>
        <w:jc w:val="both"/>
        <w:rPr>
          <w:rFonts w:ascii="Times New Roman" w:hAnsi="Times New Roman"/>
          <w:color w:val="000000" w:themeColor="text1"/>
          <w:sz w:val="24"/>
        </w:rPr>
      </w:pPr>
      <w:r w:rsidRPr="00F04CCC">
        <w:rPr>
          <w:rFonts w:ascii="Times New Roman" w:hAnsi="Times New Roman"/>
          <w:noProof/>
          <w:sz w:val="24"/>
        </w:rPr>
        <w:t>Institutions</w:t>
      </w:r>
      <w:r w:rsidRPr="00CF1C81">
        <w:rPr>
          <w:rFonts w:ascii="Times New Roman" w:hAnsi="Times New Roman"/>
          <w:color w:val="000000" w:themeColor="text1"/>
          <w:sz w:val="24"/>
        </w:rPr>
        <w:t xml:space="preserve"> shall </w:t>
      </w:r>
      <w:r w:rsidR="009B4CB5">
        <w:rPr>
          <w:rFonts w:ascii="Times New Roman" w:hAnsi="Times New Roman"/>
          <w:noProof/>
          <w:sz w:val="24"/>
        </w:rPr>
        <w:t>apply the instructions provided below in this Annex in order to complete temp</w:t>
      </w:r>
      <w:r w:rsidR="00330AB0">
        <w:rPr>
          <w:rFonts w:ascii="Times New Roman" w:hAnsi="Times New Roman"/>
          <w:noProof/>
          <w:sz w:val="24"/>
        </w:rPr>
        <w:t>late EU LI2 as</w:t>
      </w:r>
      <w:r w:rsidR="009B4CB5">
        <w:rPr>
          <w:rFonts w:ascii="Times New Roman" w:hAnsi="Times New Roman"/>
          <w:noProof/>
          <w:sz w:val="24"/>
        </w:rPr>
        <w:t xml:space="preserve"> presented in Annex 5, </w:t>
      </w:r>
      <w:r w:rsidR="00E85027">
        <w:rPr>
          <w:rFonts w:ascii="Times New Roman" w:hAnsi="Times New Roman"/>
          <w:color w:val="000000" w:themeColor="text1"/>
          <w:sz w:val="24"/>
        </w:rPr>
        <w:t>in application of Article 436</w:t>
      </w:r>
      <w:r w:rsidR="00FC02EB" w:rsidRPr="00CF1C81">
        <w:rPr>
          <w:rFonts w:ascii="Times New Roman" w:hAnsi="Times New Roman"/>
          <w:color w:val="000000" w:themeColor="text1"/>
          <w:sz w:val="24"/>
        </w:rPr>
        <w:t>(</w:t>
      </w:r>
      <w:r w:rsidRPr="00CF1C81">
        <w:rPr>
          <w:rFonts w:ascii="Times New Roman" w:hAnsi="Times New Roman"/>
          <w:color w:val="000000" w:themeColor="text1"/>
          <w:sz w:val="24"/>
        </w:rPr>
        <w:t>d</w:t>
      </w:r>
      <w:r w:rsidR="00FC02EB" w:rsidRPr="00CF1C81">
        <w:rPr>
          <w:rFonts w:ascii="Times New Roman" w:hAnsi="Times New Roman"/>
          <w:color w:val="000000" w:themeColor="text1"/>
          <w:sz w:val="24"/>
        </w:rPr>
        <w:t>)</w:t>
      </w:r>
      <w:r w:rsidRPr="00CF1C81">
        <w:rPr>
          <w:rFonts w:ascii="Times New Roman" w:hAnsi="Times New Roman"/>
          <w:color w:val="000000" w:themeColor="text1"/>
          <w:sz w:val="24"/>
        </w:rPr>
        <w:t xml:space="preserve"> of CRR.</w:t>
      </w:r>
    </w:p>
    <w:p w14:paraId="06C8F039" w14:textId="77777777" w:rsidR="00B77429" w:rsidRPr="00CF1C81" w:rsidRDefault="00B77429" w:rsidP="00B77429">
      <w:pPr>
        <w:spacing w:after="120"/>
        <w:jc w:val="both"/>
        <w:rPr>
          <w:rFonts w:ascii="Times New Roman" w:hAnsi="Times New Roman" w:cs="Times New Roman"/>
          <w:color w:val="000000" w:themeColor="text1"/>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B77429" w:rsidRPr="00CF1C81" w14:paraId="45FF3C1E" w14:textId="77777777" w:rsidTr="00401A65">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43983" w14:textId="52CA2232" w:rsidR="00B77429" w:rsidRPr="00CF1C81" w:rsidRDefault="00B77429" w:rsidP="00B77429">
            <w:pPr>
              <w:rPr>
                <w:rFonts w:ascii="Times New Roman" w:hAnsi="Times New Roman" w:cs="Times New Roman"/>
                <w:b/>
                <w:sz w:val="24"/>
                <w:highlight w:val="yellow"/>
                <w:lang w:val="en-GB"/>
              </w:rPr>
            </w:pPr>
            <w:r w:rsidRPr="00CF1C81">
              <w:rPr>
                <w:rFonts w:ascii="Times New Roman" w:hAnsi="Times New Roman" w:cs="Times New Roman"/>
                <w:b/>
                <w:sz w:val="24"/>
                <w:lang w:val="en-GB"/>
              </w:rPr>
              <w:t>Legal references and instructions</w:t>
            </w:r>
          </w:p>
        </w:tc>
      </w:tr>
      <w:tr w:rsidR="0078583A" w:rsidRPr="00CF1C81" w14:paraId="774678A2" w14:textId="77777777" w:rsidTr="0032466C">
        <w:trPr>
          <w:trHeight w:val="238"/>
        </w:trPr>
        <w:tc>
          <w:tcPr>
            <w:tcW w:w="1384" w:type="dxa"/>
            <w:shd w:val="clear" w:color="auto" w:fill="D9D9D9" w:themeFill="background1" w:themeFillShade="D9"/>
          </w:tcPr>
          <w:p w14:paraId="70FF4FF3" w14:textId="77777777" w:rsidR="0078583A" w:rsidRPr="00CF1C81" w:rsidRDefault="0078583A" w:rsidP="00401A65">
            <w:pPr>
              <w:autoSpaceDE w:val="0"/>
              <w:autoSpaceDN w:val="0"/>
              <w:adjustRightInd w:val="0"/>
              <w:rPr>
                <w:rFonts w:ascii="Times New Roman" w:hAnsi="Times New Roman" w:cs="Times New Roman"/>
                <w:b/>
                <w:sz w:val="24"/>
                <w:lang w:val="en-GB"/>
              </w:rPr>
            </w:pPr>
            <w:r w:rsidRPr="00CF1C81">
              <w:rPr>
                <w:rFonts w:ascii="Times New Roman" w:hAnsi="Times New Roman" w:cs="Times New Roman"/>
                <w:b/>
                <w:sz w:val="24"/>
                <w:lang w:val="en-GB"/>
              </w:rPr>
              <w:t>Row number</w:t>
            </w:r>
          </w:p>
        </w:tc>
        <w:tc>
          <w:tcPr>
            <w:tcW w:w="7655" w:type="dxa"/>
            <w:shd w:val="clear" w:color="auto" w:fill="D9D9D9" w:themeFill="background1" w:themeFillShade="D9"/>
          </w:tcPr>
          <w:p w14:paraId="0DAB14B7" w14:textId="77777777" w:rsidR="0078583A" w:rsidRPr="00CF1C81" w:rsidRDefault="0078583A" w:rsidP="00401A65">
            <w:pPr>
              <w:autoSpaceDE w:val="0"/>
              <w:autoSpaceDN w:val="0"/>
              <w:adjustRightInd w:val="0"/>
              <w:rPr>
                <w:rFonts w:ascii="Times New Roman" w:hAnsi="Times New Roman" w:cs="Times New Roman"/>
                <w:color w:val="000000"/>
                <w:sz w:val="24"/>
                <w:lang w:val="en-GB"/>
              </w:rPr>
            </w:pPr>
            <w:r w:rsidRPr="00CF1C81">
              <w:rPr>
                <w:rFonts w:ascii="Times New Roman" w:hAnsi="Times New Roman" w:cs="Times New Roman"/>
                <w:b/>
                <w:sz w:val="24"/>
                <w:lang w:val="en-GB"/>
              </w:rPr>
              <w:t>Explanation</w:t>
            </w:r>
          </w:p>
        </w:tc>
      </w:tr>
      <w:tr w:rsidR="0032466C" w:rsidRPr="00CF1C81" w14:paraId="01A4FC62" w14:textId="77777777" w:rsidTr="0032466C">
        <w:trPr>
          <w:trHeight w:val="238"/>
        </w:trPr>
        <w:tc>
          <w:tcPr>
            <w:tcW w:w="1384" w:type="dxa"/>
            <w:shd w:val="clear" w:color="auto" w:fill="FFFFFF" w:themeFill="background1"/>
          </w:tcPr>
          <w:p w14:paraId="0FCCCDA2" w14:textId="16FD70AB" w:rsidR="0032466C" w:rsidRPr="00E85027" w:rsidRDefault="00296A52" w:rsidP="00296A52">
            <w:pPr>
              <w:autoSpaceDE w:val="0"/>
              <w:autoSpaceDN w:val="0"/>
              <w:adjustRightInd w:val="0"/>
              <w:spacing w:before="60" w:after="120"/>
              <w:jc w:val="center"/>
              <w:rPr>
                <w:rFonts w:ascii="Times New Roman" w:hAnsi="Times New Roman" w:cs="Times New Roman"/>
                <w:sz w:val="24"/>
                <w:lang w:val="en-GB"/>
              </w:rPr>
            </w:pPr>
            <w:r w:rsidRPr="00CF1C81">
              <w:rPr>
                <w:rFonts w:ascii="Times New Roman" w:eastAsia="Times New Roman" w:hAnsi="Times New Roman" w:cs="Times New Roman"/>
                <w:sz w:val="24"/>
                <w:lang w:val="en-GB"/>
              </w:rPr>
              <w:t>1</w:t>
            </w:r>
          </w:p>
        </w:tc>
        <w:tc>
          <w:tcPr>
            <w:tcW w:w="7655" w:type="dxa"/>
            <w:shd w:val="clear" w:color="auto" w:fill="FFFFFF" w:themeFill="background1"/>
          </w:tcPr>
          <w:p w14:paraId="5875D240" w14:textId="77777777" w:rsidR="00296A52" w:rsidRPr="00CF1C81" w:rsidRDefault="00296A52" w:rsidP="00296A52">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Assets carrying value amount under the scope of regulatory consolidation</w:t>
            </w:r>
          </w:p>
          <w:p w14:paraId="3EF96BAF" w14:textId="165C4EF4" w:rsidR="0032466C" w:rsidRPr="00CF1C81" w:rsidRDefault="00296A52" w:rsidP="00296A52">
            <w:pPr>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 xml:space="preserve">Amounts in </w:t>
            </w:r>
            <w:r w:rsidR="0032466C" w:rsidRPr="00CF1C81">
              <w:rPr>
                <w:rFonts w:ascii="Times New Roman" w:eastAsia="Times New Roman" w:hAnsi="Times New Roman" w:cs="Times New Roman"/>
                <w:sz w:val="24"/>
                <w:lang w:val="en-GB"/>
              </w:rPr>
              <w:t>columns (b) to (e) shall be the same as the amounts in columns (c) to (f) of template</w:t>
            </w:r>
            <w:r w:rsidR="00F01259">
              <w:rPr>
                <w:rFonts w:ascii="Times New Roman" w:eastAsia="Times New Roman" w:hAnsi="Times New Roman" w:cs="Times New Roman"/>
                <w:sz w:val="24"/>
                <w:lang w:val="en-GB"/>
              </w:rPr>
              <w:t xml:space="preserve"> EU</w:t>
            </w:r>
            <w:r w:rsidR="0032466C" w:rsidRPr="00CF1C81">
              <w:rPr>
                <w:rFonts w:ascii="Times New Roman" w:eastAsia="Times New Roman" w:hAnsi="Times New Roman" w:cs="Times New Roman"/>
                <w:sz w:val="24"/>
                <w:lang w:val="en-GB"/>
              </w:rPr>
              <w:t xml:space="preserve"> LI1. </w:t>
            </w:r>
          </w:p>
        </w:tc>
      </w:tr>
      <w:tr w:rsidR="0032466C" w:rsidRPr="00CF1C81" w14:paraId="6F7B79DF" w14:textId="77777777" w:rsidTr="0032466C">
        <w:trPr>
          <w:trHeight w:val="238"/>
        </w:trPr>
        <w:tc>
          <w:tcPr>
            <w:tcW w:w="1384" w:type="dxa"/>
            <w:shd w:val="clear" w:color="auto" w:fill="FFFFFF" w:themeFill="background1"/>
          </w:tcPr>
          <w:p w14:paraId="37CC7E24" w14:textId="13D80506" w:rsidR="0032466C" w:rsidRPr="00E85027" w:rsidRDefault="00296A52" w:rsidP="00296A52">
            <w:pPr>
              <w:autoSpaceDE w:val="0"/>
              <w:autoSpaceDN w:val="0"/>
              <w:adjustRightInd w:val="0"/>
              <w:spacing w:before="60" w:after="120"/>
              <w:jc w:val="center"/>
              <w:rPr>
                <w:rFonts w:ascii="Times New Roman" w:hAnsi="Times New Roman" w:cs="Times New Roman"/>
                <w:sz w:val="24"/>
              </w:rPr>
            </w:pPr>
            <w:r w:rsidRPr="00E85027">
              <w:rPr>
                <w:rFonts w:ascii="Times New Roman" w:hAnsi="Times New Roman" w:cs="Times New Roman"/>
                <w:sz w:val="24"/>
              </w:rPr>
              <w:t>2</w:t>
            </w:r>
          </w:p>
        </w:tc>
        <w:tc>
          <w:tcPr>
            <w:tcW w:w="7655" w:type="dxa"/>
            <w:shd w:val="clear" w:color="auto" w:fill="FFFFFF" w:themeFill="background1"/>
          </w:tcPr>
          <w:p w14:paraId="1D411B1C" w14:textId="77777777" w:rsidR="0032466C" w:rsidRPr="00CF1C81" w:rsidRDefault="00296A52" w:rsidP="00296A52">
            <w:pPr>
              <w:autoSpaceDE w:val="0"/>
              <w:autoSpaceDN w:val="0"/>
              <w:adjustRightInd w:val="0"/>
              <w:spacing w:before="60" w:after="120"/>
              <w:rPr>
                <w:rFonts w:ascii="Times New Roman" w:hAnsi="Times New Roman" w:cs="Times New Roman"/>
                <w:b/>
                <w:sz w:val="24"/>
                <w:lang w:val="en-GB"/>
              </w:rPr>
            </w:pPr>
            <w:r w:rsidRPr="00CF1C81">
              <w:rPr>
                <w:rFonts w:ascii="Times New Roman" w:hAnsi="Times New Roman" w:cs="Times New Roman"/>
                <w:b/>
                <w:sz w:val="24"/>
                <w:lang w:val="en-GB"/>
              </w:rPr>
              <w:t>Liabilities carrying value amount under the regulatory scope of consolidation</w:t>
            </w:r>
          </w:p>
          <w:p w14:paraId="3B0FFD76" w14:textId="31A9E9F5" w:rsidR="00296A52" w:rsidRPr="00CF1C81" w:rsidRDefault="00296A52" w:rsidP="00296A52">
            <w:pPr>
              <w:autoSpaceDE w:val="0"/>
              <w:autoSpaceDN w:val="0"/>
              <w:adjustRightInd w:val="0"/>
              <w:spacing w:before="60" w:after="120"/>
              <w:rPr>
                <w:rFonts w:ascii="Times New Roman" w:hAnsi="Times New Roman" w:cs="Times New Roman"/>
                <w:b/>
                <w:sz w:val="24"/>
                <w:lang w:val="en-GB"/>
              </w:rPr>
            </w:pPr>
            <w:r w:rsidRPr="00CF1C81">
              <w:rPr>
                <w:rFonts w:ascii="Times New Roman" w:eastAsia="Times New Roman" w:hAnsi="Times New Roman" w:cs="Times New Roman"/>
                <w:sz w:val="24"/>
                <w:lang w:val="en-GB"/>
              </w:rPr>
              <w:t xml:space="preserve">Amounts in columns (b) to (e) shall be the same as the amounts in columns (c) to (f) of template </w:t>
            </w:r>
            <w:r w:rsidR="00F01259">
              <w:rPr>
                <w:rFonts w:ascii="Times New Roman" w:eastAsia="Times New Roman" w:hAnsi="Times New Roman" w:cs="Times New Roman"/>
                <w:sz w:val="24"/>
                <w:lang w:val="en-GB"/>
              </w:rPr>
              <w:t xml:space="preserve">EU </w:t>
            </w:r>
            <w:r w:rsidRPr="00CF1C81">
              <w:rPr>
                <w:rFonts w:ascii="Times New Roman" w:eastAsia="Times New Roman" w:hAnsi="Times New Roman" w:cs="Times New Roman"/>
                <w:sz w:val="24"/>
                <w:lang w:val="en-GB"/>
              </w:rPr>
              <w:t>LI1.</w:t>
            </w:r>
          </w:p>
        </w:tc>
      </w:tr>
      <w:tr w:rsidR="0032466C" w:rsidRPr="00CF1C81" w14:paraId="3D485C78" w14:textId="77777777" w:rsidTr="0032466C">
        <w:trPr>
          <w:trHeight w:val="238"/>
        </w:trPr>
        <w:tc>
          <w:tcPr>
            <w:tcW w:w="1384" w:type="dxa"/>
            <w:shd w:val="clear" w:color="auto" w:fill="FFFFFF" w:themeFill="background1"/>
          </w:tcPr>
          <w:p w14:paraId="101BE230" w14:textId="39CF2703" w:rsidR="0032466C" w:rsidRPr="00E85027" w:rsidRDefault="00296A52" w:rsidP="00296A52">
            <w:pPr>
              <w:autoSpaceDE w:val="0"/>
              <w:autoSpaceDN w:val="0"/>
              <w:adjustRightInd w:val="0"/>
              <w:spacing w:before="60" w:after="120"/>
              <w:jc w:val="center"/>
              <w:rPr>
                <w:rFonts w:ascii="Times New Roman" w:hAnsi="Times New Roman" w:cs="Times New Roman"/>
                <w:sz w:val="24"/>
                <w:lang w:val="en-GB"/>
              </w:rPr>
            </w:pPr>
            <w:r w:rsidRPr="00E85027">
              <w:rPr>
                <w:rFonts w:ascii="Times New Roman" w:hAnsi="Times New Roman" w:cs="Times New Roman"/>
                <w:sz w:val="24"/>
                <w:lang w:val="en-GB"/>
              </w:rPr>
              <w:t>3</w:t>
            </w:r>
          </w:p>
        </w:tc>
        <w:tc>
          <w:tcPr>
            <w:tcW w:w="7655" w:type="dxa"/>
            <w:shd w:val="clear" w:color="auto" w:fill="FFFFFF" w:themeFill="background1"/>
          </w:tcPr>
          <w:p w14:paraId="3527C2AD" w14:textId="0F6A6241" w:rsidR="00296A52" w:rsidRPr="00CF1C81" w:rsidRDefault="00296A52" w:rsidP="00296A52">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 xml:space="preserve">Total net amount under regulatory scope of consolidation </w:t>
            </w:r>
          </w:p>
          <w:p w14:paraId="18C0F374" w14:textId="743F9E9D" w:rsidR="0032466C" w:rsidRPr="00CF1C81" w:rsidRDefault="00296A52" w:rsidP="00296A52">
            <w:pPr>
              <w:spacing w:before="60" w:after="120"/>
              <w:jc w:val="both"/>
              <w:rPr>
                <w:rFonts w:ascii="Times New Roman" w:eastAsia="Times New Roman" w:hAnsi="Times New Roman" w:cs="Times New Roman"/>
                <w:color w:val="3F8BD0" w:themeColor="accent6" w:themeTint="99"/>
                <w:sz w:val="24"/>
                <w:lang w:val="en-GB"/>
              </w:rPr>
            </w:pPr>
            <w:r w:rsidRPr="00CF1C81">
              <w:rPr>
                <w:rFonts w:ascii="Times New Roman" w:eastAsia="Times New Roman" w:hAnsi="Times New Roman" w:cs="Times New Roman"/>
                <w:sz w:val="24"/>
                <w:lang w:val="en-GB"/>
              </w:rPr>
              <w:t xml:space="preserve">Amount after on-balance-sheet netting between assets and liabilities under the regulatory scope of consolidation, regardless of the eligibility of those assets and liabilities of the specific netting rules in the application of Part Three, Title II, Chapters 4 and 5, as well as of Title IV of </w:t>
            </w:r>
            <w:r w:rsidR="007F7D27" w:rsidRPr="00CF1C81">
              <w:rPr>
                <w:rFonts w:ascii="Times New Roman" w:hAnsi="Times New Roman" w:cs="Times New Roman"/>
                <w:sz w:val="24"/>
              </w:rPr>
              <w:t>CRR</w:t>
            </w:r>
            <w:r w:rsidRPr="00CF1C81">
              <w:rPr>
                <w:rFonts w:ascii="Times New Roman" w:eastAsia="Times New Roman" w:hAnsi="Times New Roman" w:cs="Times New Roman"/>
                <w:sz w:val="24"/>
                <w:lang w:val="en-GB"/>
              </w:rPr>
              <w:t>.</w:t>
            </w:r>
          </w:p>
        </w:tc>
      </w:tr>
      <w:tr w:rsidR="0032466C" w:rsidRPr="00CF1C81" w14:paraId="3DF53577" w14:textId="77777777" w:rsidTr="008009AD">
        <w:trPr>
          <w:trHeight w:val="238"/>
        </w:trPr>
        <w:tc>
          <w:tcPr>
            <w:tcW w:w="1384" w:type="dxa"/>
            <w:shd w:val="clear" w:color="auto" w:fill="FFFFFF" w:themeFill="background1"/>
          </w:tcPr>
          <w:p w14:paraId="4893DA48" w14:textId="78FF17B7" w:rsidR="0032466C" w:rsidRPr="00E85027" w:rsidRDefault="00FC4F28" w:rsidP="00C67F49">
            <w:pPr>
              <w:autoSpaceDE w:val="0"/>
              <w:autoSpaceDN w:val="0"/>
              <w:adjustRightInd w:val="0"/>
              <w:spacing w:before="60" w:after="120"/>
              <w:jc w:val="center"/>
              <w:rPr>
                <w:rFonts w:ascii="Times New Roman" w:hAnsi="Times New Roman" w:cs="Times New Roman"/>
                <w:sz w:val="24"/>
                <w:lang w:val="en-GB"/>
              </w:rPr>
            </w:pPr>
            <w:r w:rsidRPr="00E85027">
              <w:rPr>
                <w:rFonts w:ascii="Times New Roman" w:hAnsi="Times New Roman" w:cs="Times New Roman"/>
                <w:sz w:val="24"/>
                <w:lang w:val="en-GB"/>
              </w:rPr>
              <w:t>4</w:t>
            </w:r>
          </w:p>
        </w:tc>
        <w:tc>
          <w:tcPr>
            <w:tcW w:w="7655" w:type="dxa"/>
            <w:shd w:val="clear" w:color="auto" w:fill="FFFFFF" w:themeFill="background1"/>
          </w:tcPr>
          <w:p w14:paraId="3E16D5D7" w14:textId="1E12C602" w:rsidR="00FC4F28" w:rsidRPr="00CF1C81" w:rsidRDefault="00FC4F28" w:rsidP="00FC4F28">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Off-balance-sheet amounts</w:t>
            </w:r>
          </w:p>
          <w:p w14:paraId="6B29CEF3" w14:textId="47B4D410" w:rsidR="0032466C" w:rsidRPr="00CF1C81" w:rsidRDefault="00FC4F28" w:rsidP="00064535">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lastRenderedPageBreak/>
              <w:t>Include off-balance-sheet original exposures</w:t>
            </w:r>
            <w:r w:rsidRPr="00CF1C81">
              <w:rPr>
                <w:rFonts w:ascii="Times New Roman" w:eastAsia="PMingLiU" w:hAnsi="Times New Roman" w:cs="Times New Roman"/>
                <w:sz w:val="24"/>
                <w:lang w:val="en-GB" w:eastAsia="zh-TW"/>
              </w:rPr>
              <w:t>,</w:t>
            </w:r>
            <w:r w:rsidRPr="00CF1C81">
              <w:rPr>
                <w:rFonts w:ascii="Times New Roman" w:eastAsia="Times New Roman" w:hAnsi="Times New Roman" w:cs="Times New Roman"/>
                <w:sz w:val="24"/>
                <w:lang w:val="en-GB"/>
              </w:rPr>
              <w:t xml:space="preserve"> prior to the use of a conversion factor</w:t>
            </w:r>
            <w:r w:rsidRPr="00CF1C81">
              <w:rPr>
                <w:rFonts w:ascii="Times New Roman" w:eastAsia="PMingLiU" w:hAnsi="Times New Roman" w:cs="Times New Roman"/>
                <w:sz w:val="24"/>
                <w:lang w:val="en-GB" w:eastAsia="zh-TW"/>
              </w:rPr>
              <w:t>,</w:t>
            </w:r>
            <w:r w:rsidR="008009AD" w:rsidRPr="00CF1C81">
              <w:rPr>
                <w:rFonts w:ascii="Times New Roman" w:eastAsia="PMingLiU" w:hAnsi="Times New Roman" w:cs="Times New Roman"/>
                <w:sz w:val="24"/>
                <w:lang w:val="en-GB" w:eastAsia="zh-TW"/>
              </w:rPr>
              <w:t xml:space="preserve"> where relevant,</w:t>
            </w:r>
            <w:r w:rsidRPr="00CF1C81">
              <w:rPr>
                <w:rFonts w:ascii="Times New Roman" w:eastAsia="Times New Roman" w:hAnsi="Times New Roman" w:cs="Times New Roman"/>
                <w:sz w:val="24"/>
                <w:lang w:val="en-GB"/>
              </w:rPr>
              <w:t xml:space="preserve"> from the established off-balance-sheet statement</w:t>
            </w:r>
            <w:r w:rsidRPr="00CF1C81">
              <w:rPr>
                <w:rFonts w:ascii="Times New Roman" w:eastAsia="PMingLiU" w:hAnsi="Times New Roman" w:cs="Times New Roman"/>
                <w:sz w:val="24"/>
                <w:lang w:val="en-GB" w:eastAsia="zh-TW"/>
              </w:rPr>
              <w:t>,</w:t>
            </w:r>
            <w:r w:rsidRPr="00CF1C81">
              <w:rPr>
                <w:rFonts w:ascii="Times New Roman" w:eastAsia="Times New Roman" w:hAnsi="Times New Roman" w:cs="Times New Roman"/>
                <w:sz w:val="24"/>
                <w:lang w:val="en-GB"/>
              </w:rPr>
              <w:t xml:space="preserve"> following the regulatory scope of consolidation in column (a</w:t>
            </w:r>
            <w:r w:rsidR="00D94F6F" w:rsidRPr="00CF1C81">
              <w:rPr>
                <w:rFonts w:ascii="Times New Roman" w:eastAsia="Times New Roman" w:hAnsi="Times New Roman" w:cs="Times New Roman"/>
                <w:sz w:val="24"/>
                <w:lang w:val="en-GB"/>
              </w:rPr>
              <w:t>)</w:t>
            </w:r>
            <w:r w:rsidRPr="00CF1C81">
              <w:rPr>
                <w:rFonts w:ascii="Times New Roman" w:eastAsia="Times New Roman" w:hAnsi="Times New Roman" w:cs="Times New Roman"/>
                <w:sz w:val="24"/>
                <w:lang w:val="en-GB"/>
              </w:rPr>
              <w:t xml:space="preserve"> to (e). </w:t>
            </w:r>
          </w:p>
        </w:tc>
      </w:tr>
      <w:tr w:rsidR="008009AD" w:rsidRPr="00CF1C81" w14:paraId="49F8BB68" w14:textId="77777777" w:rsidTr="008009AD">
        <w:trPr>
          <w:trHeight w:val="238"/>
        </w:trPr>
        <w:tc>
          <w:tcPr>
            <w:tcW w:w="1384" w:type="dxa"/>
            <w:shd w:val="clear" w:color="auto" w:fill="FFFFFF" w:themeFill="background1"/>
          </w:tcPr>
          <w:p w14:paraId="4DDA3499" w14:textId="5A13C35E" w:rsidR="008009AD" w:rsidRPr="00CF1C81" w:rsidRDefault="008009AD" w:rsidP="00C67F49">
            <w:pPr>
              <w:autoSpaceDE w:val="0"/>
              <w:autoSpaceDN w:val="0"/>
              <w:adjustRightInd w:val="0"/>
              <w:spacing w:before="60" w:after="120"/>
              <w:jc w:val="center"/>
              <w:rPr>
                <w:rFonts w:ascii="Times New Roman" w:hAnsi="Times New Roman" w:cs="Times New Roman"/>
                <w:sz w:val="24"/>
                <w:lang w:val="en-GB"/>
              </w:rPr>
            </w:pPr>
            <w:r w:rsidRPr="00CF1C81">
              <w:rPr>
                <w:rFonts w:ascii="Times New Roman" w:hAnsi="Times New Roman" w:cs="Times New Roman"/>
                <w:sz w:val="24"/>
                <w:lang w:val="en-GB"/>
              </w:rPr>
              <w:lastRenderedPageBreak/>
              <w:t>5</w:t>
            </w:r>
          </w:p>
        </w:tc>
        <w:tc>
          <w:tcPr>
            <w:tcW w:w="7655" w:type="dxa"/>
            <w:shd w:val="clear" w:color="auto" w:fill="FFFFFF" w:themeFill="background1"/>
          </w:tcPr>
          <w:p w14:paraId="56CB5F05" w14:textId="77777777" w:rsidR="008009AD" w:rsidRPr="00CF1C81" w:rsidRDefault="008009AD" w:rsidP="008009AD">
            <w:pPr>
              <w:spacing w:before="60" w:after="120"/>
              <w:jc w:val="both"/>
              <w:rPr>
                <w:rFonts w:ascii="Times New Roman" w:eastAsia="Times New Roman" w:hAnsi="Times New Roman" w:cs="Times New Roman"/>
                <w:b/>
                <w:i/>
                <w:sz w:val="24"/>
                <w:lang w:val="en-GB"/>
              </w:rPr>
            </w:pPr>
            <w:r w:rsidRPr="00CF1C81">
              <w:rPr>
                <w:rFonts w:ascii="Times New Roman" w:eastAsia="Times New Roman" w:hAnsi="Times New Roman" w:cs="Times New Roman"/>
                <w:b/>
                <w:i/>
                <w:sz w:val="24"/>
                <w:lang w:val="en-GB"/>
              </w:rPr>
              <w:t>Differences in valuations</w:t>
            </w:r>
          </w:p>
          <w:p w14:paraId="4720A222" w14:textId="7F383A5B" w:rsidR="008009AD" w:rsidRPr="00CF1C81" w:rsidRDefault="008009AD" w:rsidP="00582C5F">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sz w:val="24"/>
                <w:lang w:val="en-GB"/>
              </w:rPr>
              <w:t xml:space="preserve">Impact of the carrying amount of value adjustments in accordance with Part Two, Title I, Chapter 2, Article 34 and Part Three, Title I, Chapter 3, Article 105 of </w:t>
            </w:r>
            <w:r w:rsidR="007F7D27" w:rsidRPr="00CF1C81">
              <w:rPr>
                <w:rFonts w:ascii="Times New Roman" w:hAnsi="Times New Roman" w:cs="Times New Roman"/>
                <w:sz w:val="24"/>
              </w:rPr>
              <w:t>CRR</w:t>
            </w:r>
            <w:r w:rsidR="00582C5F" w:rsidRPr="00CF1C81">
              <w:rPr>
                <w:rFonts w:ascii="Times New Roman" w:hAnsi="Times New Roman" w:cs="Times New Roman"/>
                <w:sz w:val="24"/>
              </w:rPr>
              <w:t xml:space="preserve"> </w:t>
            </w:r>
            <w:r w:rsidRPr="00CF1C81">
              <w:rPr>
                <w:rFonts w:ascii="Times New Roman" w:eastAsia="Times New Roman" w:hAnsi="Times New Roman" w:cs="Times New Roman"/>
                <w:sz w:val="24"/>
                <w:lang w:val="en-GB"/>
              </w:rPr>
              <w:t xml:space="preserve">on trading book and non-trading book exposures measured at fair value in accordance with the applicable accounting framework. </w:t>
            </w:r>
          </w:p>
        </w:tc>
      </w:tr>
      <w:tr w:rsidR="008009AD" w:rsidRPr="00CF1C81" w14:paraId="3354CE23" w14:textId="77777777" w:rsidTr="008009AD">
        <w:trPr>
          <w:trHeight w:val="238"/>
        </w:trPr>
        <w:tc>
          <w:tcPr>
            <w:tcW w:w="1384" w:type="dxa"/>
            <w:shd w:val="clear" w:color="auto" w:fill="FFFFFF" w:themeFill="background1"/>
          </w:tcPr>
          <w:p w14:paraId="10C17BCD" w14:textId="28F37203" w:rsidR="008009AD" w:rsidRPr="00E85027" w:rsidRDefault="008009AD" w:rsidP="00C67F49">
            <w:pPr>
              <w:autoSpaceDE w:val="0"/>
              <w:autoSpaceDN w:val="0"/>
              <w:adjustRightInd w:val="0"/>
              <w:spacing w:before="60" w:after="120"/>
              <w:jc w:val="center"/>
              <w:rPr>
                <w:rFonts w:ascii="Times New Roman" w:hAnsi="Times New Roman" w:cs="Times New Roman"/>
                <w:sz w:val="24"/>
                <w:lang w:val="en-GB"/>
              </w:rPr>
            </w:pPr>
            <w:r w:rsidRPr="00E85027">
              <w:rPr>
                <w:rFonts w:ascii="Times New Roman" w:hAnsi="Times New Roman" w:cs="Times New Roman"/>
                <w:sz w:val="24"/>
                <w:lang w:val="en-GB"/>
              </w:rPr>
              <w:t>6</w:t>
            </w:r>
          </w:p>
        </w:tc>
        <w:tc>
          <w:tcPr>
            <w:tcW w:w="7655" w:type="dxa"/>
            <w:shd w:val="clear" w:color="auto" w:fill="FFFFFF" w:themeFill="background1"/>
          </w:tcPr>
          <w:p w14:paraId="1ADC4306" w14:textId="77777777" w:rsidR="008009AD" w:rsidRPr="00CF1C81" w:rsidRDefault="008009AD" w:rsidP="008009AD">
            <w:pPr>
              <w:spacing w:before="60" w:after="120"/>
              <w:jc w:val="both"/>
              <w:rPr>
                <w:rFonts w:ascii="Times New Roman" w:eastAsia="Times New Roman" w:hAnsi="Times New Roman" w:cs="Times New Roman"/>
                <w:b/>
                <w:i/>
                <w:sz w:val="24"/>
                <w:lang w:val="en-GB"/>
              </w:rPr>
            </w:pPr>
            <w:r w:rsidRPr="00CF1C81">
              <w:rPr>
                <w:rFonts w:ascii="Times New Roman" w:eastAsia="Times New Roman" w:hAnsi="Times New Roman" w:cs="Times New Roman"/>
                <w:b/>
                <w:i/>
                <w:sz w:val="24"/>
                <w:lang w:val="en-GB"/>
              </w:rPr>
              <w:t>Differences due to different netting rules, other than those already included in row 2</w:t>
            </w:r>
          </w:p>
          <w:p w14:paraId="69B72D61" w14:textId="1571ABB5" w:rsidR="008009AD" w:rsidRPr="00CF1C81" w:rsidRDefault="008009AD" w:rsidP="00582C5F">
            <w:pPr>
              <w:spacing w:before="60" w:after="120"/>
              <w:jc w:val="both"/>
              <w:rPr>
                <w:rFonts w:ascii="Times New Roman" w:eastAsia="Times New Roman" w:hAnsi="Times New Roman" w:cs="Times New Roman"/>
                <w:i/>
                <w:sz w:val="24"/>
                <w:lang w:val="en-GB"/>
              </w:rPr>
            </w:pPr>
            <w:r w:rsidRPr="00CF1C81">
              <w:rPr>
                <w:rFonts w:ascii="Times New Roman" w:eastAsia="Times New Roman" w:hAnsi="Times New Roman" w:cs="Times New Roman"/>
                <w:sz w:val="24"/>
                <w:lang w:val="en-GB"/>
              </w:rPr>
              <w:t xml:space="preserve">Refer to the net on-balance-sheet and off-balance-sheet exposure amounts after the application of the specific netting rules in Part Three, Title II, Chapters 4 and 5 as well as of Title IV in the </w:t>
            </w:r>
            <w:r w:rsidR="007F7D27"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The impact of the application of the netting rules can be negative (in case more exposures have to be netted than the use of on-balance-sheet netting in row 2) or positive (in the case of the application of netting rules in the </w:t>
            </w:r>
            <w:r w:rsidR="007F7D27"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leading to a lower amount being netted out than on-balance-sheet netting in row 2).</w:t>
            </w:r>
          </w:p>
        </w:tc>
      </w:tr>
      <w:tr w:rsidR="008009AD" w:rsidRPr="00CF1C81" w14:paraId="6F786F53" w14:textId="77777777" w:rsidTr="008009AD">
        <w:trPr>
          <w:trHeight w:val="238"/>
        </w:trPr>
        <w:tc>
          <w:tcPr>
            <w:tcW w:w="1384" w:type="dxa"/>
            <w:shd w:val="clear" w:color="auto" w:fill="FFFFFF" w:themeFill="background1"/>
          </w:tcPr>
          <w:p w14:paraId="5D2C5323" w14:textId="3DFB7D6E" w:rsidR="008009AD" w:rsidRPr="00CF1C81" w:rsidRDefault="00582C5F" w:rsidP="00C67F49">
            <w:pPr>
              <w:autoSpaceDE w:val="0"/>
              <w:autoSpaceDN w:val="0"/>
              <w:adjustRightInd w:val="0"/>
              <w:spacing w:before="60" w:after="120"/>
              <w:jc w:val="center"/>
              <w:rPr>
                <w:rFonts w:ascii="Times New Roman" w:hAnsi="Times New Roman" w:cs="Times New Roman"/>
                <w:sz w:val="24"/>
                <w:lang w:val="en-GB"/>
              </w:rPr>
            </w:pPr>
            <w:r w:rsidRPr="00CF1C81">
              <w:rPr>
                <w:rFonts w:ascii="Times New Roman" w:hAnsi="Times New Roman" w:cs="Times New Roman"/>
                <w:sz w:val="24"/>
                <w:lang w:val="en-GB"/>
              </w:rPr>
              <w:t>7</w:t>
            </w:r>
          </w:p>
        </w:tc>
        <w:tc>
          <w:tcPr>
            <w:tcW w:w="7655" w:type="dxa"/>
            <w:shd w:val="clear" w:color="auto" w:fill="FFFFFF" w:themeFill="background1"/>
          </w:tcPr>
          <w:p w14:paraId="2995F804" w14:textId="77777777" w:rsidR="00582C5F" w:rsidRPr="00CF1C81" w:rsidRDefault="00582C5F" w:rsidP="00582C5F">
            <w:pPr>
              <w:spacing w:before="60" w:after="120"/>
              <w:jc w:val="both"/>
              <w:rPr>
                <w:rFonts w:ascii="Times New Roman" w:eastAsia="Times New Roman" w:hAnsi="Times New Roman" w:cs="Times New Roman"/>
                <w:b/>
                <w:i/>
                <w:sz w:val="24"/>
                <w:lang w:val="en-GB"/>
              </w:rPr>
            </w:pPr>
            <w:r w:rsidRPr="00CF1C81">
              <w:rPr>
                <w:rFonts w:ascii="Times New Roman" w:eastAsia="Times New Roman" w:hAnsi="Times New Roman" w:cs="Times New Roman"/>
                <w:b/>
                <w:i/>
                <w:sz w:val="24"/>
                <w:lang w:val="en-GB"/>
              </w:rPr>
              <w:t>Differences due to consideration of provisions</w:t>
            </w:r>
          </w:p>
          <w:p w14:paraId="087E470D" w14:textId="7840EF23" w:rsidR="008009AD" w:rsidRPr="00CF1C81" w:rsidRDefault="00582C5F" w:rsidP="00450691">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sz w:val="24"/>
                <w:lang w:val="en-GB"/>
              </w:rPr>
              <w:t xml:space="preserve">Re-integration in the exposure value of specific and general credit risk adjustments (as defined in the Commission Delegated Regulation (EU) No 183/2014) that have been deducted in accordance with the applicable accounting framework from the carrying amount of exposures under Part Three, </w:t>
            </w:r>
            <w:r w:rsidR="00450691">
              <w:rPr>
                <w:rFonts w:ascii="Times New Roman" w:eastAsia="Times New Roman" w:hAnsi="Times New Roman" w:cs="Times New Roman"/>
                <w:sz w:val="24"/>
                <w:lang w:val="en-GB"/>
              </w:rPr>
              <w:t xml:space="preserve">Title </w:t>
            </w:r>
            <w:r w:rsidR="00450691" w:rsidRPr="00CF1C81">
              <w:rPr>
                <w:rFonts w:ascii="Times New Roman" w:eastAsia="Times New Roman" w:hAnsi="Times New Roman" w:cs="Times New Roman"/>
                <w:sz w:val="24"/>
                <w:lang w:val="en-GB"/>
              </w:rPr>
              <w:t> </w:t>
            </w:r>
            <w:r w:rsidRPr="00CF1C81">
              <w:rPr>
                <w:rFonts w:ascii="Times New Roman" w:eastAsia="Times New Roman" w:hAnsi="Times New Roman" w:cs="Times New Roman"/>
                <w:sz w:val="24"/>
                <w:lang w:val="en-GB"/>
              </w:rPr>
              <w:t xml:space="preserve">II, Chapter 3 of </w:t>
            </w:r>
            <w:r w:rsidR="007F7D27" w:rsidRPr="00CF1C81">
              <w:rPr>
                <w:rFonts w:ascii="Times New Roman" w:hAnsi="Times New Roman" w:cs="Times New Roman"/>
                <w:sz w:val="24"/>
              </w:rPr>
              <w:t>CRR</w:t>
            </w:r>
            <w:r w:rsidRPr="00CF1C81">
              <w:rPr>
                <w:rFonts w:ascii="Times New Roman" w:hAnsi="Times New Roman" w:cs="Times New Roman"/>
                <w:sz w:val="24"/>
              </w:rPr>
              <w:t xml:space="preserve"> </w:t>
            </w:r>
            <w:r w:rsidRPr="00CF1C81">
              <w:rPr>
                <w:rFonts w:ascii="Times New Roman" w:eastAsia="Times New Roman" w:hAnsi="Times New Roman" w:cs="Times New Roman"/>
                <w:sz w:val="24"/>
                <w:lang w:val="en-GB"/>
              </w:rPr>
              <w:t xml:space="preserve">for risk-weighting purposes. Regarding exposures risk-weighted in accordance with Part Three, </w:t>
            </w:r>
            <w:r w:rsidR="00450691">
              <w:rPr>
                <w:rFonts w:ascii="Times New Roman" w:eastAsia="Times New Roman" w:hAnsi="Times New Roman" w:cs="Times New Roman"/>
                <w:sz w:val="24"/>
                <w:lang w:val="en-GB"/>
              </w:rPr>
              <w:t>Title</w:t>
            </w:r>
            <w:r w:rsidR="00450691" w:rsidRPr="00CF1C81">
              <w:rPr>
                <w:rFonts w:ascii="Times New Roman" w:eastAsia="Times New Roman" w:hAnsi="Times New Roman" w:cs="Times New Roman"/>
                <w:sz w:val="24"/>
                <w:lang w:val="en-GB"/>
              </w:rPr>
              <w:t> </w:t>
            </w:r>
            <w:r w:rsidRPr="00CF1C81">
              <w:rPr>
                <w:rFonts w:ascii="Times New Roman" w:eastAsia="Times New Roman" w:hAnsi="Times New Roman" w:cs="Times New Roman"/>
                <w:sz w:val="24"/>
                <w:lang w:val="en-GB"/>
              </w:rPr>
              <w:t xml:space="preserve">II, Chapter 2 of </w:t>
            </w:r>
            <w:r w:rsidR="007F7D27"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when the carrying amount in the financial statements under the regulatory scope of consolidation has been reduced by elements qualifying as general credit risk adjustments under the aforementioned delegated regulation, these elements have to be re-integrated in the exposure value. </w:t>
            </w:r>
          </w:p>
        </w:tc>
      </w:tr>
      <w:tr w:rsidR="00603510" w:rsidRPr="00CF1C81" w14:paraId="49E73627" w14:textId="77777777" w:rsidTr="004A3621">
        <w:trPr>
          <w:trHeight w:val="238"/>
        </w:trPr>
        <w:tc>
          <w:tcPr>
            <w:tcW w:w="1384" w:type="dxa"/>
            <w:shd w:val="clear" w:color="auto" w:fill="FFFFFF" w:themeFill="background1"/>
          </w:tcPr>
          <w:p w14:paraId="7E53035C" w14:textId="6FA4CD60" w:rsidR="00603510" w:rsidRPr="00E85027" w:rsidRDefault="00603510" w:rsidP="004A3621">
            <w:pPr>
              <w:autoSpaceDE w:val="0"/>
              <w:autoSpaceDN w:val="0"/>
              <w:adjustRightInd w:val="0"/>
              <w:spacing w:before="60" w:after="120"/>
              <w:jc w:val="center"/>
              <w:rPr>
                <w:rFonts w:ascii="Times New Roman" w:hAnsi="Times New Roman" w:cs="Times New Roman"/>
                <w:sz w:val="24"/>
              </w:rPr>
            </w:pPr>
            <w:r w:rsidRPr="00E85027">
              <w:rPr>
                <w:rFonts w:ascii="Times New Roman" w:hAnsi="Times New Roman" w:cs="Times New Roman"/>
                <w:sz w:val="24"/>
              </w:rPr>
              <w:t>8</w:t>
            </w:r>
          </w:p>
        </w:tc>
        <w:tc>
          <w:tcPr>
            <w:tcW w:w="7655" w:type="dxa"/>
            <w:shd w:val="clear" w:color="auto" w:fill="FFFFFF" w:themeFill="background1"/>
          </w:tcPr>
          <w:p w14:paraId="3C127E3C" w14:textId="77777777" w:rsidR="00603510" w:rsidRPr="00CF1C81" w:rsidRDefault="00603510" w:rsidP="004A3621">
            <w:pPr>
              <w:jc w:val="both"/>
              <w:rPr>
                <w:rFonts w:ascii="Times New Roman" w:eastAsia="Times New Roman" w:hAnsi="Times New Roman" w:cs="Times New Roman"/>
                <w:b/>
                <w:i/>
                <w:sz w:val="24"/>
                <w:lang w:val="en-GB"/>
              </w:rPr>
            </w:pPr>
            <w:r w:rsidRPr="00CF1C81">
              <w:rPr>
                <w:rFonts w:ascii="Times New Roman" w:eastAsia="Times New Roman" w:hAnsi="Times New Roman" w:cs="Times New Roman"/>
                <w:b/>
                <w:i/>
                <w:sz w:val="24"/>
                <w:lang w:val="en-GB"/>
              </w:rPr>
              <w:t>Differences due to the use of credit risk mitigation techniques</w:t>
            </w:r>
            <w:r w:rsidRPr="00CF1C81" w:rsidDel="00F84726">
              <w:rPr>
                <w:rFonts w:ascii="Times New Roman" w:eastAsia="Times New Roman" w:hAnsi="Times New Roman" w:cs="Times New Roman"/>
                <w:b/>
                <w:i/>
                <w:sz w:val="24"/>
                <w:lang w:val="en-GB"/>
              </w:rPr>
              <w:t xml:space="preserve"> </w:t>
            </w:r>
          </w:p>
          <w:p w14:paraId="010284FD" w14:textId="77777777" w:rsidR="00603510" w:rsidRPr="00CF1C81" w:rsidRDefault="00603510" w:rsidP="004A3621">
            <w:pPr>
              <w:jc w:val="both"/>
              <w:rPr>
                <w:rFonts w:ascii="Times New Roman" w:eastAsia="Times New Roman" w:hAnsi="Times New Roman" w:cs="Times New Roman"/>
                <w:b/>
                <w:i/>
                <w:sz w:val="24"/>
                <w:lang w:val="en-GB"/>
              </w:rPr>
            </w:pPr>
          </w:p>
          <w:p w14:paraId="0F51A302" w14:textId="7D7D1A7B" w:rsidR="00603510" w:rsidRPr="00E85027" w:rsidRDefault="00603510" w:rsidP="00E85027">
            <w:pPr>
              <w:spacing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Impact on the exposure value under the regulatory scope of consolidation of the application of credit risk mitigation techniques as defined in the </w:t>
            </w:r>
            <w:r w:rsidRPr="00E85027">
              <w:rPr>
                <w:rFonts w:ascii="Times New Roman" w:eastAsia="Times New Roman" w:hAnsi="Times New Roman" w:cs="Times New Roman"/>
                <w:sz w:val="24"/>
                <w:lang w:val="en-GB"/>
              </w:rPr>
              <w:t>CRR</w:t>
            </w:r>
            <w:r w:rsidRPr="00CF1C81">
              <w:rPr>
                <w:rFonts w:ascii="Times New Roman" w:eastAsia="Times New Roman" w:hAnsi="Times New Roman" w:cs="Times New Roman"/>
                <w:sz w:val="24"/>
                <w:lang w:val="en-GB"/>
              </w:rPr>
              <w:t xml:space="preserve">. </w:t>
            </w:r>
          </w:p>
        </w:tc>
      </w:tr>
      <w:tr w:rsidR="00603510" w:rsidRPr="00CF1C81" w14:paraId="5AFF6A2A" w14:textId="77777777" w:rsidTr="004A3621">
        <w:trPr>
          <w:trHeight w:val="238"/>
        </w:trPr>
        <w:tc>
          <w:tcPr>
            <w:tcW w:w="1384" w:type="dxa"/>
            <w:shd w:val="clear" w:color="auto" w:fill="FFFFFF" w:themeFill="background1"/>
          </w:tcPr>
          <w:p w14:paraId="56F153E9" w14:textId="0D0C3B5C" w:rsidR="00603510" w:rsidRPr="00E85027" w:rsidRDefault="00603510" w:rsidP="004A3621">
            <w:pPr>
              <w:autoSpaceDE w:val="0"/>
              <w:autoSpaceDN w:val="0"/>
              <w:adjustRightInd w:val="0"/>
              <w:spacing w:before="60" w:after="120"/>
              <w:jc w:val="center"/>
              <w:rPr>
                <w:rFonts w:ascii="Times New Roman" w:hAnsi="Times New Roman" w:cs="Times New Roman"/>
                <w:sz w:val="24"/>
              </w:rPr>
            </w:pPr>
            <w:r w:rsidRPr="00E85027">
              <w:rPr>
                <w:rFonts w:ascii="Times New Roman" w:hAnsi="Times New Roman" w:cs="Times New Roman"/>
                <w:sz w:val="24"/>
              </w:rPr>
              <w:t>9</w:t>
            </w:r>
          </w:p>
        </w:tc>
        <w:tc>
          <w:tcPr>
            <w:tcW w:w="7655" w:type="dxa"/>
            <w:shd w:val="clear" w:color="auto" w:fill="FFFFFF" w:themeFill="background1"/>
          </w:tcPr>
          <w:p w14:paraId="704A2973" w14:textId="6825276C" w:rsidR="006E4B0F" w:rsidRPr="00CF1C81" w:rsidRDefault="00603510" w:rsidP="004A3621">
            <w:pPr>
              <w:jc w:val="both"/>
              <w:rPr>
                <w:rFonts w:ascii="Times New Roman" w:eastAsia="Times New Roman" w:hAnsi="Times New Roman" w:cs="Times New Roman"/>
                <w:b/>
                <w:i/>
                <w:sz w:val="24"/>
                <w:lang w:val="en-GB"/>
              </w:rPr>
            </w:pPr>
            <w:r w:rsidRPr="00CF1C81">
              <w:rPr>
                <w:rFonts w:ascii="Times New Roman" w:eastAsia="Times New Roman" w:hAnsi="Times New Roman" w:cs="Times New Roman"/>
                <w:b/>
                <w:i/>
                <w:sz w:val="24"/>
                <w:lang w:val="en-GB"/>
              </w:rPr>
              <w:t>Differences due to credit conversion factors</w:t>
            </w:r>
          </w:p>
          <w:p w14:paraId="746643CE" w14:textId="77777777" w:rsidR="006E4B0F" w:rsidRPr="00CF1C81" w:rsidRDefault="006E4B0F" w:rsidP="004A3621">
            <w:pPr>
              <w:jc w:val="both"/>
              <w:rPr>
                <w:rFonts w:ascii="Times New Roman" w:eastAsia="Times New Roman" w:hAnsi="Times New Roman" w:cs="Times New Roman"/>
                <w:b/>
                <w:i/>
                <w:sz w:val="24"/>
                <w:lang w:val="en-GB"/>
              </w:rPr>
            </w:pPr>
          </w:p>
          <w:p w14:paraId="735D3D23" w14:textId="09E4A26A" w:rsidR="00603510" w:rsidRPr="00CF1C81" w:rsidRDefault="00603510" w:rsidP="00E85027">
            <w:pPr>
              <w:spacing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sz w:val="24"/>
                <w:lang w:val="en-GB"/>
              </w:rPr>
              <w:t xml:space="preserve">Impact on the exposure value of off-balance sheet exposures under the regulatory scope of consolidation of the application of the relevant conversion factors as defined in the </w:t>
            </w:r>
            <w:r w:rsidRPr="00E85027">
              <w:rPr>
                <w:rFonts w:ascii="Times New Roman" w:eastAsia="Times New Roman" w:hAnsi="Times New Roman" w:cs="Times New Roman"/>
                <w:sz w:val="24"/>
                <w:lang w:val="en-GB"/>
              </w:rPr>
              <w:t>CRR</w:t>
            </w:r>
            <w:r w:rsidRPr="00CF1C81">
              <w:rPr>
                <w:rFonts w:ascii="Times New Roman" w:eastAsia="Times New Roman" w:hAnsi="Times New Roman" w:cs="Times New Roman"/>
                <w:sz w:val="24"/>
                <w:lang w:val="en-GB"/>
              </w:rPr>
              <w:t>.</w:t>
            </w:r>
            <w:r w:rsidR="00436AFE">
              <w:rPr>
                <w:rFonts w:ascii="Times New Roman" w:eastAsia="Times New Roman" w:hAnsi="Times New Roman" w:cs="Times New Roman"/>
                <w:sz w:val="24"/>
                <w:lang w:val="en-GB"/>
              </w:rPr>
              <w:t xml:space="preserve"> </w:t>
            </w:r>
            <w:r w:rsidR="00064535" w:rsidRPr="00CF1C81">
              <w:rPr>
                <w:rFonts w:ascii="Times New Roman" w:eastAsia="Times New Roman" w:hAnsi="Times New Roman" w:cs="Times New Roman"/>
                <w:sz w:val="24"/>
                <w:lang w:val="en-GB"/>
              </w:rPr>
              <w:t xml:space="preserve">The conversion factor for off-balance-sheet items to be risk-weighted in the application of Part Three, Title II of </w:t>
            </w:r>
            <w:r w:rsidR="00064535" w:rsidRPr="00CF1C81">
              <w:rPr>
                <w:rFonts w:ascii="Times New Roman" w:hAnsi="Times New Roman" w:cs="Times New Roman"/>
                <w:sz w:val="24"/>
              </w:rPr>
              <w:t xml:space="preserve">CRR </w:t>
            </w:r>
            <w:r w:rsidR="00064535" w:rsidRPr="00CF1C81">
              <w:rPr>
                <w:rFonts w:ascii="Times New Roman" w:eastAsia="Times New Roman" w:hAnsi="Times New Roman" w:cs="Times New Roman"/>
                <w:sz w:val="24"/>
                <w:lang w:val="en-GB"/>
              </w:rPr>
              <w:t>is defined in Article 111, Article 166, Article 167 and Article 182 (as applicable for credit risk), Article 246 (as applicable for securitisation risk).</w:t>
            </w:r>
          </w:p>
        </w:tc>
      </w:tr>
      <w:tr w:rsidR="008009AD" w:rsidRPr="00CF1C81" w14:paraId="46414699" w14:textId="77777777" w:rsidTr="008009AD">
        <w:trPr>
          <w:trHeight w:val="238"/>
        </w:trPr>
        <w:tc>
          <w:tcPr>
            <w:tcW w:w="1384" w:type="dxa"/>
            <w:shd w:val="clear" w:color="auto" w:fill="FFFFFF" w:themeFill="background1"/>
          </w:tcPr>
          <w:p w14:paraId="7A8F5478" w14:textId="65922682" w:rsidR="008009AD" w:rsidRPr="00E85027" w:rsidRDefault="00603510" w:rsidP="00C67F49">
            <w:pPr>
              <w:autoSpaceDE w:val="0"/>
              <w:autoSpaceDN w:val="0"/>
              <w:adjustRightInd w:val="0"/>
              <w:spacing w:before="60" w:after="120"/>
              <w:jc w:val="center"/>
              <w:rPr>
                <w:rFonts w:ascii="Times New Roman" w:hAnsi="Times New Roman" w:cs="Times New Roman"/>
                <w:sz w:val="24"/>
              </w:rPr>
            </w:pPr>
            <w:r w:rsidRPr="00E85027">
              <w:rPr>
                <w:rFonts w:ascii="Times New Roman" w:hAnsi="Times New Roman" w:cs="Times New Roman"/>
                <w:sz w:val="24"/>
              </w:rPr>
              <w:t>10</w:t>
            </w:r>
          </w:p>
        </w:tc>
        <w:tc>
          <w:tcPr>
            <w:tcW w:w="7655" w:type="dxa"/>
            <w:shd w:val="clear" w:color="auto" w:fill="FFFFFF" w:themeFill="background1"/>
          </w:tcPr>
          <w:p w14:paraId="4DBD6D2B" w14:textId="77777777" w:rsidR="004A3342" w:rsidRPr="00CF1C81" w:rsidRDefault="00603510" w:rsidP="00582C5F">
            <w:pPr>
              <w:jc w:val="both"/>
              <w:rPr>
                <w:rFonts w:ascii="Times New Roman" w:eastAsia="Times New Roman" w:hAnsi="Times New Roman" w:cs="Times New Roman"/>
                <w:b/>
                <w:i/>
                <w:sz w:val="24"/>
                <w:lang w:val="en-GB"/>
              </w:rPr>
            </w:pPr>
            <w:r w:rsidRPr="00CF1C81">
              <w:rPr>
                <w:rFonts w:ascii="Times New Roman" w:eastAsia="Times New Roman" w:hAnsi="Times New Roman" w:cs="Times New Roman"/>
                <w:b/>
                <w:i/>
                <w:sz w:val="24"/>
                <w:lang w:val="en-GB"/>
              </w:rPr>
              <w:t>Differences due to Securitisation with risk transfer</w:t>
            </w:r>
          </w:p>
          <w:p w14:paraId="040090D9" w14:textId="77777777" w:rsidR="004A3342" w:rsidRPr="00CF1C81" w:rsidRDefault="004A3342" w:rsidP="00582C5F">
            <w:pPr>
              <w:jc w:val="both"/>
              <w:rPr>
                <w:rFonts w:ascii="Times New Roman" w:eastAsia="Times New Roman" w:hAnsi="Times New Roman" w:cs="Times New Roman"/>
                <w:b/>
                <w:i/>
                <w:sz w:val="24"/>
                <w:lang w:val="en-GB"/>
              </w:rPr>
            </w:pPr>
          </w:p>
          <w:p w14:paraId="67A87FF2" w14:textId="710F8102" w:rsidR="008009AD" w:rsidRPr="00E85027" w:rsidRDefault="00582C5F" w:rsidP="00E85027">
            <w:pPr>
              <w:spacing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lastRenderedPageBreak/>
              <w:t xml:space="preserve">Impact on the </w:t>
            </w:r>
            <w:r w:rsidR="00603510" w:rsidRPr="00CF1C81">
              <w:rPr>
                <w:rFonts w:ascii="Times New Roman" w:eastAsia="Times New Roman" w:hAnsi="Times New Roman" w:cs="Times New Roman"/>
                <w:sz w:val="24"/>
                <w:lang w:val="en-GB"/>
              </w:rPr>
              <w:t>exposure value</w:t>
            </w:r>
            <w:r w:rsidRPr="00CF1C81">
              <w:rPr>
                <w:rFonts w:ascii="Times New Roman" w:eastAsia="Times New Roman" w:hAnsi="Times New Roman" w:cs="Times New Roman"/>
                <w:sz w:val="24"/>
                <w:lang w:val="en-GB"/>
              </w:rPr>
              <w:t xml:space="preserve"> </w:t>
            </w:r>
            <w:r w:rsidR="00603510" w:rsidRPr="00CF1C81">
              <w:rPr>
                <w:rFonts w:ascii="Times New Roman" w:eastAsia="Times New Roman" w:hAnsi="Times New Roman" w:cs="Times New Roman"/>
                <w:sz w:val="24"/>
                <w:lang w:val="en-GB"/>
              </w:rPr>
              <w:t xml:space="preserve">of </w:t>
            </w:r>
            <w:r w:rsidR="00B16CF0" w:rsidRPr="00CF1C81">
              <w:rPr>
                <w:rFonts w:ascii="Times New Roman" w:eastAsia="Times New Roman" w:hAnsi="Times New Roman" w:cs="Times New Roman"/>
                <w:sz w:val="24"/>
                <w:lang w:val="en-GB"/>
              </w:rPr>
              <w:t>securitised exposures of the use of securitised transactions to transfer credit risk to third parties in accordance with</w:t>
            </w:r>
            <w:r w:rsidR="00603510" w:rsidRPr="00CF1C81">
              <w:rPr>
                <w:rFonts w:ascii="Times New Roman" w:eastAsia="Times New Roman" w:hAnsi="Times New Roman" w:cs="Times New Roman"/>
                <w:sz w:val="24"/>
                <w:lang w:val="en-GB"/>
              </w:rPr>
              <w:t xml:space="preserve"> the </w:t>
            </w:r>
            <w:r w:rsidR="00603510" w:rsidRPr="00E85027">
              <w:rPr>
                <w:rFonts w:ascii="Times New Roman" w:eastAsia="Times New Roman" w:hAnsi="Times New Roman" w:cs="Times New Roman"/>
                <w:sz w:val="24"/>
                <w:lang w:val="en-GB"/>
              </w:rPr>
              <w:t>CRR</w:t>
            </w:r>
            <w:r w:rsidR="00603510" w:rsidRPr="00CF1C81">
              <w:rPr>
                <w:rFonts w:ascii="Times New Roman" w:eastAsia="Times New Roman" w:hAnsi="Times New Roman" w:cs="Times New Roman"/>
                <w:sz w:val="24"/>
                <w:lang w:val="en-GB"/>
              </w:rPr>
              <w:t>.</w:t>
            </w:r>
          </w:p>
        </w:tc>
      </w:tr>
      <w:tr w:rsidR="00ED0F16" w:rsidRPr="00CF1C81" w14:paraId="71304308" w14:textId="77777777" w:rsidTr="008009AD">
        <w:trPr>
          <w:trHeight w:val="238"/>
        </w:trPr>
        <w:tc>
          <w:tcPr>
            <w:tcW w:w="1384" w:type="dxa"/>
            <w:shd w:val="clear" w:color="auto" w:fill="FFFFFF" w:themeFill="background1"/>
          </w:tcPr>
          <w:p w14:paraId="69D8E090" w14:textId="5C938F21" w:rsidR="00ED0F16" w:rsidRPr="00E85027" w:rsidRDefault="00F84726" w:rsidP="00603510">
            <w:pPr>
              <w:autoSpaceDE w:val="0"/>
              <w:autoSpaceDN w:val="0"/>
              <w:adjustRightInd w:val="0"/>
              <w:spacing w:before="60" w:after="120"/>
              <w:jc w:val="center"/>
              <w:rPr>
                <w:rFonts w:ascii="Times New Roman" w:hAnsi="Times New Roman" w:cs="Times New Roman"/>
                <w:sz w:val="24"/>
                <w:lang w:val="en-GB"/>
              </w:rPr>
            </w:pPr>
            <w:r w:rsidRPr="00E85027">
              <w:rPr>
                <w:rFonts w:ascii="Times New Roman" w:hAnsi="Times New Roman" w:cs="Times New Roman"/>
                <w:sz w:val="24"/>
                <w:lang w:val="en-GB"/>
              </w:rPr>
              <w:lastRenderedPageBreak/>
              <w:t>1</w:t>
            </w:r>
            <w:r w:rsidR="00603510" w:rsidRPr="00E85027">
              <w:rPr>
                <w:rFonts w:ascii="Times New Roman" w:hAnsi="Times New Roman" w:cs="Times New Roman"/>
                <w:sz w:val="24"/>
                <w:lang w:val="en-GB"/>
              </w:rPr>
              <w:t>1</w:t>
            </w:r>
          </w:p>
        </w:tc>
        <w:tc>
          <w:tcPr>
            <w:tcW w:w="7655" w:type="dxa"/>
            <w:shd w:val="clear" w:color="auto" w:fill="FFFFFF" w:themeFill="background1"/>
          </w:tcPr>
          <w:p w14:paraId="22C18012" w14:textId="48E79171" w:rsidR="00ED0F16" w:rsidRPr="00CF1C81" w:rsidRDefault="00ED0F16" w:rsidP="005E77FF">
            <w:pPr>
              <w:spacing w:before="60" w:after="120"/>
              <w:jc w:val="both"/>
              <w:rPr>
                <w:rFonts w:ascii="Times New Roman" w:eastAsia="Times New Roman" w:hAnsi="Times New Roman" w:cs="Times New Roman"/>
                <w:b/>
                <w:i/>
                <w:sz w:val="24"/>
                <w:lang w:val="en-GB" w:eastAsia="en-GB"/>
              </w:rPr>
            </w:pPr>
            <w:r w:rsidRPr="00CF1C81">
              <w:rPr>
                <w:rFonts w:ascii="Times New Roman" w:eastAsia="Times New Roman" w:hAnsi="Times New Roman" w:cs="Times New Roman"/>
                <w:b/>
                <w:i/>
                <w:sz w:val="24"/>
                <w:lang w:val="en-GB" w:eastAsia="en-GB"/>
              </w:rPr>
              <w:t xml:space="preserve">Other differences </w:t>
            </w:r>
            <w:r w:rsidRPr="00CF1C81">
              <w:rPr>
                <w:rFonts w:ascii="Times New Roman" w:eastAsia="Times New Roman" w:hAnsi="Times New Roman" w:cs="Times New Roman"/>
                <w:i/>
                <w:sz w:val="24"/>
                <w:lang w:val="en-GB" w:eastAsia="en-GB"/>
              </w:rPr>
              <w:t>(if relevant)</w:t>
            </w:r>
          </w:p>
          <w:p w14:paraId="402BF3AE" w14:textId="37A9451C" w:rsidR="00ED0F16" w:rsidRPr="00CF1C81" w:rsidRDefault="00ED0F16" w:rsidP="00F84726">
            <w:pPr>
              <w:spacing w:before="60" w:after="120"/>
              <w:jc w:val="both"/>
              <w:rPr>
                <w:rFonts w:ascii="Times New Roman" w:eastAsia="Times New Roman" w:hAnsi="Times New Roman" w:cs="Times New Roman"/>
                <w:b/>
                <w:i/>
                <w:sz w:val="24"/>
                <w:lang w:val="en-GB"/>
              </w:rPr>
            </w:pPr>
            <w:r w:rsidRPr="00CF1C81">
              <w:rPr>
                <w:rFonts w:ascii="Times New Roman" w:eastAsia="Times New Roman" w:hAnsi="Times New Roman" w:cs="Times New Roman"/>
                <w:sz w:val="24"/>
                <w:lang w:val="en-GB" w:eastAsia="en-GB"/>
              </w:rPr>
              <w:t>Other meaningful drivers for differences between financial statements’ carrying values under the regulatory scope of application and the exposure amounts considered for regulatory purposes.</w:t>
            </w:r>
            <w:r w:rsidR="00F84726" w:rsidRPr="00CF1C81">
              <w:rPr>
                <w:rFonts w:ascii="Times New Roman" w:eastAsia="Times New Roman" w:hAnsi="Times New Roman" w:cs="Times New Roman"/>
                <w:sz w:val="24"/>
                <w:lang w:val="en-GB" w:eastAsia="en-GB"/>
              </w:rPr>
              <w:t xml:space="preserve"> Institutions shall complement the quantitative disclosures included in this row with qualitative explanations on the main drivers of these differences</w:t>
            </w:r>
            <w:r w:rsidR="00F81F42" w:rsidRPr="00CF1C81">
              <w:rPr>
                <w:rFonts w:ascii="Times New Roman" w:eastAsia="Times New Roman" w:hAnsi="Times New Roman" w:cs="Times New Roman"/>
                <w:sz w:val="24"/>
                <w:lang w:val="en-GB" w:eastAsia="en-GB"/>
              </w:rPr>
              <w:t xml:space="preserve"> in table </w:t>
            </w:r>
            <w:r w:rsidR="00801C54">
              <w:rPr>
                <w:rFonts w:ascii="Times New Roman" w:eastAsia="Times New Roman" w:hAnsi="Times New Roman" w:cs="Times New Roman"/>
                <w:sz w:val="24"/>
                <w:lang w:val="en-GB" w:eastAsia="en-GB"/>
              </w:rPr>
              <w:t xml:space="preserve">EU </w:t>
            </w:r>
            <w:r w:rsidR="00F81F42" w:rsidRPr="00CF1C81">
              <w:rPr>
                <w:rFonts w:ascii="Times New Roman" w:eastAsia="Times New Roman" w:hAnsi="Times New Roman" w:cs="Times New Roman"/>
                <w:sz w:val="24"/>
                <w:lang w:val="en-GB" w:eastAsia="en-GB"/>
              </w:rPr>
              <w:t>LIA</w:t>
            </w:r>
            <w:r w:rsidR="00F84726" w:rsidRPr="00CF1C81">
              <w:rPr>
                <w:rFonts w:ascii="Times New Roman" w:eastAsia="Times New Roman" w:hAnsi="Times New Roman" w:cs="Times New Roman"/>
                <w:sz w:val="24"/>
                <w:lang w:val="en-GB" w:eastAsia="en-GB"/>
              </w:rPr>
              <w:t>.</w:t>
            </w:r>
          </w:p>
        </w:tc>
      </w:tr>
      <w:tr w:rsidR="008009AD" w:rsidRPr="00CF1C81" w14:paraId="66A90661" w14:textId="77777777" w:rsidTr="008009AD">
        <w:trPr>
          <w:trHeight w:val="238"/>
        </w:trPr>
        <w:tc>
          <w:tcPr>
            <w:tcW w:w="1384" w:type="dxa"/>
            <w:shd w:val="clear" w:color="auto" w:fill="FFFFFF" w:themeFill="background1"/>
          </w:tcPr>
          <w:p w14:paraId="1C5DB730" w14:textId="307D0607" w:rsidR="008009AD" w:rsidRPr="00E85027" w:rsidRDefault="005E77FF" w:rsidP="00C67F49">
            <w:pPr>
              <w:autoSpaceDE w:val="0"/>
              <w:autoSpaceDN w:val="0"/>
              <w:adjustRightInd w:val="0"/>
              <w:spacing w:before="60" w:after="120"/>
              <w:jc w:val="center"/>
              <w:rPr>
                <w:rFonts w:ascii="Times New Roman" w:hAnsi="Times New Roman" w:cs="Times New Roman"/>
                <w:sz w:val="24"/>
                <w:lang w:val="en-GB"/>
              </w:rPr>
            </w:pPr>
            <w:r w:rsidRPr="00E85027">
              <w:rPr>
                <w:rFonts w:ascii="Times New Roman" w:hAnsi="Times New Roman" w:cs="Times New Roman"/>
                <w:sz w:val="24"/>
                <w:lang w:val="en-GB"/>
              </w:rPr>
              <w:t>1</w:t>
            </w:r>
            <w:r w:rsidR="00603510" w:rsidRPr="00E85027">
              <w:rPr>
                <w:rFonts w:ascii="Times New Roman" w:hAnsi="Times New Roman" w:cs="Times New Roman"/>
                <w:sz w:val="24"/>
                <w:lang w:val="en-GB"/>
              </w:rPr>
              <w:t>2</w:t>
            </w:r>
          </w:p>
        </w:tc>
        <w:tc>
          <w:tcPr>
            <w:tcW w:w="7655" w:type="dxa"/>
            <w:shd w:val="clear" w:color="auto" w:fill="FFFFFF" w:themeFill="background1"/>
          </w:tcPr>
          <w:p w14:paraId="37C30B95" w14:textId="77777777" w:rsidR="005E77FF" w:rsidRPr="00E85027" w:rsidRDefault="005E77FF" w:rsidP="005E77FF">
            <w:pPr>
              <w:spacing w:before="60" w:after="120"/>
              <w:jc w:val="both"/>
              <w:rPr>
                <w:rFonts w:ascii="Times New Roman" w:eastAsia="Times New Roman" w:hAnsi="Times New Roman" w:cs="Times New Roman"/>
                <w:b/>
                <w:sz w:val="24"/>
                <w:lang w:val="en-GB"/>
              </w:rPr>
            </w:pPr>
            <w:r w:rsidRPr="00E85027">
              <w:rPr>
                <w:rFonts w:ascii="Times New Roman" w:eastAsia="Times New Roman" w:hAnsi="Times New Roman" w:cs="Times New Roman"/>
                <w:b/>
                <w:sz w:val="24"/>
                <w:lang w:val="en-GB"/>
              </w:rPr>
              <w:t>Exposure amounts considered for regulatory purposes</w:t>
            </w:r>
          </w:p>
          <w:p w14:paraId="572FF13F" w14:textId="60C9CF64" w:rsidR="008009AD" w:rsidRPr="00CF1C81" w:rsidRDefault="005E77FF" w:rsidP="00605E90">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Aggregate amount considered as a starting point of the RWA calculation </w:t>
            </w:r>
            <w:r w:rsidR="00D94F6F" w:rsidRPr="00CF1C81">
              <w:rPr>
                <w:rFonts w:ascii="Times New Roman" w:eastAsia="Times New Roman" w:hAnsi="Times New Roman" w:cs="Times New Roman"/>
                <w:sz w:val="24"/>
                <w:lang w:val="en-GB"/>
              </w:rPr>
              <w:t xml:space="preserve">after </w:t>
            </w:r>
            <w:r w:rsidRPr="00CF1C81">
              <w:rPr>
                <w:rFonts w:ascii="Times New Roman" w:eastAsia="Times New Roman" w:hAnsi="Times New Roman" w:cs="Times New Roman"/>
                <w:sz w:val="24"/>
                <w:lang w:val="en-GB"/>
              </w:rPr>
              <w:t xml:space="preserve">the application of CRM methods other than netting in Part Three, Title II, Chapter 4 of </w:t>
            </w:r>
            <w:r w:rsidR="007F7D27" w:rsidRPr="00CF1C81">
              <w:rPr>
                <w:rFonts w:ascii="Times New Roman" w:hAnsi="Times New Roman" w:cs="Times New Roman"/>
                <w:sz w:val="24"/>
              </w:rPr>
              <w:t>CRR</w:t>
            </w:r>
            <w:r w:rsidRPr="00CF1C81">
              <w:rPr>
                <w:rFonts w:ascii="Times New Roman" w:hAnsi="Times New Roman" w:cs="Times New Roman"/>
                <w:sz w:val="24"/>
              </w:rPr>
              <w:t xml:space="preserve"> </w:t>
            </w:r>
            <w:r w:rsidR="00D94F6F" w:rsidRPr="00CF1C81">
              <w:rPr>
                <w:rFonts w:ascii="Times New Roman" w:eastAsia="Times New Roman" w:hAnsi="Times New Roman" w:cs="Times New Roman"/>
                <w:sz w:val="24"/>
                <w:lang w:val="en-GB"/>
              </w:rPr>
              <w:t xml:space="preserve">and </w:t>
            </w:r>
            <w:r w:rsidRPr="00CF1C81">
              <w:rPr>
                <w:rFonts w:ascii="Times New Roman" w:eastAsia="Times New Roman" w:hAnsi="Times New Roman" w:cs="Times New Roman"/>
                <w:sz w:val="24"/>
                <w:lang w:val="en-GB"/>
              </w:rPr>
              <w:t xml:space="preserve">after the application of netting requirements in Part Three, Title II, Chapters 4 and 5 and Title IV of the same regulation for each of the risk categories. </w:t>
            </w:r>
          </w:p>
          <w:p w14:paraId="6546F52C" w14:textId="0C809EF8" w:rsidR="00DE4E42" w:rsidRPr="00CF1C81" w:rsidRDefault="00DE4E42" w:rsidP="00DE4E42">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In case the Standardised Approach (SA) is applied, this is the value after specific credit adjustments, additional value adjustments in accordance with Articles 34 and 110 of Regulation (EU) No 572/2013 (CRR) and other own funds reductions related to the asset item. For off-balance sheet items listed in Annex I, the exposure value is the nominal value after reduction of specific credit risk adjustments, multiplied with the applicable percentage mentioned in Article 111(1) (a) to (d) of the CRR.</w:t>
            </w:r>
          </w:p>
          <w:p w14:paraId="6E38796A" w14:textId="77777777" w:rsidR="00DE4E42" w:rsidRPr="00CF1C81" w:rsidRDefault="00DE4E42" w:rsidP="00DE4E42">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For the IRB approach it would be exposure value within the meaning of Articles 166, 167 and 168 of the CRR.</w:t>
            </w:r>
          </w:p>
          <w:p w14:paraId="5249720C" w14:textId="300994AA" w:rsidR="00DE4E42" w:rsidRPr="00CF1C81" w:rsidRDefault="00DE4E42" w:rsidP="00450691">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Thus, the carrying values as reported in the financial statements under the scope of regulatory consolidation should be reported in the corresponding rows 1 to 3</w:t>
            </w:r>
            <w:r w:rsidR="00450691">
              <w:rPr>
                <w:rFonts w:ascii="Times New Roman" w:eastAsia="Times New Roman" w:hAnsi="Times New Roman" w:cs="Times New Roman"/>
                <w:sz w:val="24"/>
                <w:lang w:val="en-GB"/>
              </w:rPr>
              <w:t xml:space="preserve">, while the </w:t>
            </w:r>
            <w:r w:rsidR="00450691" w:rsidRPr="00CF1C81">
              <w:rPr>
                <w:rFonts w:ascii="Times New Roman" w:eastAsia="Times New Roman" w:hAnsi="Times New Roman" w:cs="Times New Roman"/>
                <w:sz w:val="24"/>
                <w:lang w:val="en-GB"/>
              </w:rPr>
              <w:t>off-balance-sheet original exposures</w:t>
            </w:r>
            <w:r w:rsidR="00450691">
              <w:rPr>
                <w:rFonts w:ascii="Times New Roman" w:eastAsia="Times New Roman" w:hAnsi="Times New Roman" w:cs="Times New Roman"/>
                <w:sz w:val="24"/>
                <w:lang w:val="en-GB"/>
              </w:rPr>
              <w:t xml:space="preserve"> is reported in row 4</w:t>
            </w:r>
            <w:r w:rsidR="00450691" w:rsidRPr="00CF1C81">
              <w:rPr>
                <w:rFonts w:ascii="Times New Roman" w:eastAsia="Times New Roman" w:hAnsi="Times New Roman" w:cs="Times New Roman"/>
                <w:sz w:val="24"/>
                <w:lang w:val="en-GB"/>
              </w:rPr>
              <w:t xml:space="preserve">. </w:t>
            </w:r>
            <w:r w:rsidRPr="00CF1C81">
              <w:rPr>
                <w:rFonts w:ascii="Times New Roman" w:eastAsia="Times New Roman" w:hAnsi="Times New Roman" w:cs="Times New Roman"/>
                <w:sz w:val="24"/>
                <w:lang w:val="en-GB"/>
              </w:rPr>
              <w:t xml:space="preserve"> Any specific regulatory addition or reduction concerning these amounts is to be included in rows </w:t>
            </w:r>
            <w:r w:rsidR="00450691">
              <w:rPr>
                <w:rFonts w:ascii="Times New Roman" w:eastAsia="Times New Roman" w:hAnsi="Times New Roman" w:cs="Times New Roman"/>
                <w:sz w:val="24"/>
                <w:lang w:val="en-GB"/>
              </w:rPr>
              <w:t>5</w:t>
            </w:r>
            <w:r w:rsidR="00450691" w:rsidRPr="00CF1C81">
              <w:rPr>
                <w:rFonts w:ascii="Times New Roman" w:eastAsia="Times New Roman" w:hAnsi="Times New Roman" w:cs="Times New Roman"/>
                <w:sz w:val="24"/>
                <w:lang w:val="en-GB"/>
              </w:rPr>
              <w:t xml:space="preserve"> </w:t>
            </w:r>
            <w:r w:rsidRPr="00CF1C81">
              <w:rPr>
                <w:rFonts w:ascii="Times New Roman" w:eastAsia="Times New Roman" w:hAnsi="Times New Roman" w:cs="Times New Roman"/>
                <w:sz w:val="24"/>
                <w:lang w:val="en-GB"/>
              </w:rPr>
              <w:t xml:space="preserve">to </w:t>
            </w:r>
            <w:r w:rsidR="00064535">
              <w:rPr>
                <w:rFonts w:ascii="Times New Roman" w:eastAsia="Times New Roman" w:hAnsi="Times New Roman" w:cs="Times New Roman"/>
                <w:sz w:val="24"/>
                <w:lang w:val="en-GB"/>
              </w:rPr>
              <w:t>11</w:t>
            </w:r>
            <w:r w:rsidRPr="00CF1C81">
              <w:rPr>
                <w:rFonts w:ascii="Times New Roman" w:eastAsia="Times New Roman" w:hAnsi="Times New Roman" w:cs="Times New Roman"/>
                <w:sz w:val="24"/>
                <w:lang w:val="en-GB"/>
              </w:rPr>
              <w:t xml:space="preserve"> in order to explain how to reconcile these amounts with the exposure amount for the regulatory starting point of the RWA calculation according to each of the frameworks mentioned in columns (b) to (e). This means that in particular for credit risk, the exposure amounts considered for regulatory purposes to be reported in row 1</w:t>
            </w:r>
            <w:r w:rsidR="00064535">
              <w:rPr>
                <w:rFonts w:ascii="Times New Roman" w:eastAsia="Times New Roman" w:hAnsi="Times New Roman" w:cs="Times New Roman"/>
                <w:sz w:val="24"/>
                <w:lang w:val="en-GB"/>
              </w:rPr>
              <w:t>2</w:t>
            </w:r>
            <w:r w:rsidRPr="00CF1C81">
              <w:rPr>
                <w:rFonts w:ascii="Times New Roman" w:eastAsia="Times New Roman" w:hAnsi="Times New Roman" w:cs="Times New Roman"/>
                <w:sz w:val="24"/>
                <w:lang w:val="en-GB"/>
              </w:rPr>
              <w:t xml:space="preserve"> will be different from the carrying values as reported in the financial statements under the scope of regulatory consolidation, due to the particular regulatory treatment of accounting provisions for the calculation of the RWAs.</w:t>
            </w:r>
          </w:p>
        </w:tc>
      </w:tr>
    </w:tbl>
    <w:p w14:paraId="3C13CC90" w14:textId="6DCB006F" w:rsidR="000A40C4" w:rsidRPr="00CF1C81" w:rsidRDefault="000A40C4" w:rsidP="000A40C4">
      <w:pPr>
        <w:jc w:val="both"/>
        <w:rPr>
          <w:rFonts w:ascii="Times New Roman" w:hAnsi="Times New Roman" w:cs="Times New Roman"/>
          <w:sz w:val="24"/>
        </w:rPr>
      </w:pPr>
    </w:p>
    <w:p w14:paraId="1FDC9FAE" w14:textId="6DE6ABB4" w:rsidR="000A40C4" w:rsidRPr="00CF1C81" w:rsidRDefault="000A40C4" w:rsidP="000A40C4">
      <w:pPr>
        <w:jc w:val="both"/>
        <w:rPr>
          <w:rFonts w:ascii="Times New Roman" w:hAnsi="Times New Roman" w:cs="Times New Roman"/>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0A40C4" w:rsidRPr="00CF1C81" w14:paraId="2CA5A818" w14:textId="77777777" w:rsidTr="009B4CB5">
        <w:trPr>
          <w:trHeight w:val="238"/>
        </w:trPr>
        <w:tc>
          <w:tcPr>
            <w:tcW w:w="9039" w:type="dxa"/>
            <w:gridSpan w:val="2"/>
            <w:shd w:val="clear" w:color="auto" w:fill="D9D9D9" w:themeFill="background1" w:themeFillShade="D9"/>
          </w:tcPr>
          <w:p w14:paraId="0EAD626D" w14:textId="77777777" w:rsidR="000A40C4" w:rsidRPr="00CF1C81" w:rsidRDefault="000A40C4" w:rsidP="009B4CB5">
            <w:pPr>
              <w:autoSpaceDE w:val="0"/>
              <w:autoSpaceDN w:val="0"/>
              <w:adjustRightInd w:val="0"/>
              <w:rPr>
                <w:rFonts w:ascii="Times New Roman" w:hAnsi="Times New Roman" w:cs="Times New Roman"/>
                <w:b/>
                <w:sz w:val="24"/>
                <w:lang w:val="en-GB"/>
              </w:rPr>
            </w:pPr>
            <w:r w:rsidRPr="00CF1C81">
              <w:rPr>
                <w:rFonts w:ascii="Times New Roman" w:hAnsi="Times New Roman" w:cs="Times New Roman"/>
                <w:b/>
                <w:sz w:val="24"/>
                <w:lang w:val="en-GB"/>
              </w:rPr>
              <w:t>Legal references and instructions</w:t>
            </w:r>
          </w:p>
        </w:tc>
      </w:tr>
      <w:tr w:rsidR="000A40C4" w:rsidRPr="00CF1C81" w14:paraId="4672408E" w14:textId="77777777" w:rsidTr="0085747E">
        <w:trPr>
          <w:trHeight w:val="238"/>
        </w:trPr>
        <w:tc>
          <w:tcPr>
            <w:tcW w:w="1384" w:type="dxa"/>
            <w:tcBorders>
              <w:bottom w:val="single" w:sz="4" w:space="0" w:color="auto"/>
            </w:tcBorders>
            <w:shd w:val="clear" w:color="auto" w:fill="D9D9D9" w:themeFill="background1" w:themeFillShade="D9"/>
          </w:tcPr>
          <w:p w14:paraId="6A2E78E8" w14:textId="77777777" w:rsidR="000A40C4" w:rsidRPr="00CF1C81" w:rsidRDefault="000A40C4" w:rsidP="009B4CB5">
            <w:pPr>
              <w:autoSpaceDE w:val="0"/>
              <w:autoSpaceDN w:val="0"/>
              <w:adjustRightInd w:val="0"/>
              <w:spacing w:before="60" w:after="120"/>
              <w:rPr>
                <w:rFonts w:ascii="Times New Roman" w:hAnsi="Times New Roman" w:cs="Times New Roman"/>
                <w:b/>
                <w:sz w:val="24"/>
                <w:lang w:val="en-GB"/>
              </w:rPr>
            </w:pPr>
            <w:r w:rsidRPr="00CF1C81">
              <w:rPr>
                <w:rFonts w:ascii="Times New Roman" w:hAnsi="Times New Roman" w:cs="Times New Roman"/>
                <w:b/>
                <w:sz w:val="24"/>
                <w:lang w:val="en-GB"/>
              </w:rPr>
              <w:t>Column reference</w:t>
            </w:r>
          </w:p>
        </w:tc>
        <w:tc>
          <w:tcPr>
            <w:tcW w:w="7655" w:type="dxa"/>
            <w:tcBorders>
              <w:bottom w:val="single" w:sz="4" w:space="0" w:color="auto"/>
            </w:tcBorders>
            <w:shd w:val="clear" w:color="auto" w:fill="D9D9D9" w:themeFill="background1" w:themeFillShade="D9"/>
          </w:tcPr>
          <w:p w14:paraId="13E15478" w14:textId="77777777" w:rsidR="000A40C4" w:rsidRPr="00CF1C81" w:rsidRDefault="000A40C4" w:rsidP="009B4CB5">
            <w:pPr>
              <w:autoSpaceDE w:val="0"/>
              <w:autoSpaceDN w:val="0"/>
              <w:adjustRightInd w:val="0"/>
              <w:spacing w:before="60" w:after="120"/>
              <w:rPr>
                <w:rFonts w:ascii="Times New Roman" w:hAnsi="Times New Roman" w:cs="Times New Roman"/>
                <w:color w:val="000000"/>
                <w:sz w:val="24"/>
                <w:lang w:val="en-GB"/>
              </w:rPr>
            </w:pPr>
            <w:r w:rsidRPr="00CF1C81">
              <w:rPr>
                <w:rFonts w:ascii="Times New Roman" w:hAnsi="Times New Roman" w:cs="Times New Roman"/>
                <w:b/>
                <w:sz w:val="24"/>
                <w:lang w:val="en-GB"/>
              </w:rPr>
              <w:t>Explanation</w:t>
            </w:r>
          </w:p>
        </w:tc>
      </w:tr>
      <w:tr w:rsidR="000A40C4" w:rsidRPr="00CF1C81" w14:paraId="2FCCAF73" w14:textId="77777777" w:rsidTr="0085747E">
        <w:trPr>
          <w:trHeight w:val="238"/>
        </w:trPr>
        <w:tc>
          <w:tcPr>
            <w:tcW w:w="1384" w:type="dxa"/>
            <w:tcBorders>
              <w:bottom w:val="single" w:sz="4" w:space="0" w:color="auto"/>
            </w:tcBorders>
            <w:shd w:val="clear" w:color="auto" w:fill="FFFFFF" w:themeFill="background1"/>
          </w:tcPr>
          <w:p w14:paraId="282373EF" w14:textId="347FA72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p>
        </w:tc>
        <w:tc>
          <w:tcPr>
            <w:tcW w:w="7655" w:type="dxa"/>
            <w:tcBorders>
              <w:bottom w:val="single" w:sz="4" w:space="0" w:color="auto"/>
            </w:tcBorders>
            <w:shd w:val="clear" w:color="auto" w:fill="FFFFFF" w:themeFill="background1"/>
          </w:tcPr>
          <w:p w14:paraId="73236453" w14:textId="5DA6E034" w:rsidR="000A40C4" w:rsidRPr="00CF1C81" w:rsidRDefault="000A40C4" w:rsidP="00EC1D32">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The breakdown of columns in the regulatory risk categories (b) to (e) corresponds to the breakdown listed in Part Three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w:t>
            </w:r>
          </w:p>
        </w:tc>
      </w:tr>
      <w:tr w:rsidR="000A40C4" w:rsidRPr="00CF1C81" w14:paraId="1116820B" w14:textId="77777777" w:rsidTr="0085747E">
        <w:trPr>
          <w:trHeight w:val="238"/>
        </w:trPr>
        <w:tc>
          <w:tcPr>
            <w:tcW w:w="1384" w:type="dxa"/>
            <w:tcBorders>
              <w:top w:val="single" w:sz="4" w:space="0" w:color="auto"/>
              <w:bottom w:val="single" w:sz="4" w:space="0" w:color="auto"/>
            </w:tcBorders>
            <w:shd w:val="clear" w:color="auto" w:fill="FFFFFF" w:themeFill="background1"/>
          </w:tcPr>
          <w:p w14:paraId="5A73ACD0"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lastRenderedPageBreak/>
              <w:t>b</w:t>
            </w:r>
          </w:p>
        </w:tc>
        <w:tc>
          <w:tcPr>
            <w:tcW w:w="7655" w:type="dxa"/>
            <w:tcBorders>
              <w:top w:val="single" w:sz="4" w:space="0" w:color="auto"/>
              <w:bottom w:val="single" w:sz="4" w:space="0" w:color="auto"/>
            </w:tcBorders>
            <w:shd w:val="clear" w:color="auto" w:fill="FFFFFF" w:themeFill="background1"/>
          </w:tcPr>
          <w:p w14:paraId="22B97FD5" w14:textId="77777777" w:rsidR="000A40C4" w:rsidRPr="00CF1C81" w:rsidRDefault="000A40C4" w:rsidP="00883F00">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Credit risk framework</w:t>
            </w:r>
          </w:p>
          <w:p w14:paraId="4169C0CE" w14:textId="18B51F16" w:rsidR="000A40C4" w:rsidRPr="00CF1C81" w:rsidRDefault="000A40C4" w:rsidP="00450691">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Exposures in Part Three, Title II of </w:t>
            </w:r>
            <w:r w:rsidRPr="00CF1C81">
              <w:rPr>
                <w:rFonts w:ascii="Times New Roman" w:hAnsi="Times New Roman" w:cs="Times New Roman"/>
                <w:sz w:val="24"/>
              </w:rPr>
              <w:t xml:space="preserve">CRR. Exposures </w:t>
            </w:r>
            <w:r w:rsidRPr="00CF1C81">
              <w:rPr>
                <w:rFonts w:ascii="Times New Roman" w:eastAsia="Times New Roman" w:hAnsi="Times New Roman" w:cs="Times New Roman"/>
                <w:sz w:val="24"/>
                <w:lang w:val="en-GB"/>
              </w:rPr>
              <w:t xml:space="preserve">under the credit risk framework shall correspond either to the exposure amount applied in the credit risk standardised approach (see Article 111 in Part Three, Title II, Chapter 2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or to the exposures at default (EAD) in the credit risk – IRB approach (See Article 166, Article 167 and Article 168 in Part Three, Title II, Chapter 3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w:t>
            </w:r>
          </w:p>
        </w:tc>
      </w:tr>
      <w:tr w:rsidR="0085747E" w:rsidRPr="00CF1C81" w14:paraId="29B01C5F" w14:textId="77777777" w:rsidTr="0085747E">
        <w:trPr>
          <w:trHeight w:val="238"/>
        </w:trPr>
        <w:tc>
          <w:tcPr>
            <w:tcW w:w="1384" w:type="dxa"/>
            <w:tcBorders>
              <w:top w:val="single" w:sz="4" w:space="0" w:color="auto"/>
              <w:bottom w:val="single" w:sz="4" w:space="0" w:color="auto"/>
            </w:tcBorders>
            <w:shd w:val="clear" w:color="auto" w:fill="FFFFFF" w:themeFill="background1"/>
          </w:tcPr>
          <w:p w14:paraId="30769FCC" w14:textId="6A211C46" w:rsidR="0085747E" w:rsidRPr="00CF1C81" w:rsidRDefault="0085747E" w:rsidP="009B4CB5">
            <w:pPr>
              <w:autoSpaceDE w:val="0"/>
              <w:autoSpaceDN w:val="0"/>
              <w:adjustRightInd w:val="0"/>
              <w:spacing w:before="60" w:after="120"/>
              <w:jc w:val="center"/>
              <w:rPr>
                <w:rFonts w:ascii="Times New Roman" w:hAnsi="Times New Roman" w:cs="Times New Roman"/>
                <w:b/>
                <w:sz w:val="24"/>
                <w:lang w:val="en-GB"/>
              </w:rPr>
            </w:pPr>
            <w:r>
              <w:rPr>
                <w:rFonts w:ascii="Times New Roman" w:hAnsi="Times New Roman" w:cs="Times New Roman"/>
                <w:b/>
                <w:sz w:val="24"/>
                <w:lang w:val="en-GB"/>
              </w:rPr>
              <w:t>c</w:t>
            </w:r>
          </w:p>
        </w:tc>
        <w:tc>
          <w:tcPr>
            <w:tcW w:w="7655" w:type="dxa"/>
            <w:tcBorders>
              <w:top w:val="single" w:sz="4" w:space="0" w:color="auto"/>
              <w:bottom w:val="single" w:sz="4" w:space="0" w:color="auto"/>
            </w:tcBorders>
            <w:shd w:val="clear" w:color="auto" w:fill="FFFFFF" w:themeFill="background1"/>
          </w:tcPr>
          <w:p w14:paraId="5A1FCFC3" w14:textId="77777777" w:rsidR="0085747E" w:rsidRPr="00CF1C81" w:rsidRDefault="0085747E" w:rsidP="0085747E">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 xml:space="preserve">Securitisation framework </w:t>
            </w:r>
          </w:p>
          <w:p w14:paraId="51DD165F" w14:textId="11725485" w:rsidR="0085747E" w:rsidRPr="00CF1C81" w:rsidRDefault="0085747E" w:rsidP="0085747E">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sz w:val="24"/>
                <w:lang w:val="en-GB"/>
              </w:rPr>
              <w:t xml:space="preserve">Exposures from the non-trading book given in Part Three, Title II, and Chapter 5 of </w:t>
            </w:r>
            <w:r w:rsidRPr="00CF1C81">
              <w:rPr>
                <w:rFonts w:ascii="Times New Roman" w:hAnsi="Times New Roman" w:cs="Times New Roman"/>
                <w:sz w:val="24"/>
              </w:rPr>
              <w:t>CRR.</w:t>
            </w:r>
            <w:r w:rsidRPr="00CF1C81">
              <w:rPr>
                <w:rFonts w:ascii="Times New Roman" w:eastAsia="Times New Roman" w:hAnsi="Times New Roman" w:cs="Times New Roman"/>
                <w:color w:val="3F8BD0" w:themeColor="accent6" w:themeTint="99"/>
                <w:sz w:val="24"/>
                <w:lang w:val="en-GB"/>
              </w:rPr>
              <w:t xml:space="preserve"> </w:t>
            </w:r>
            <w:r w:rsidRPr="00CF1C81">
              <w:rPr>
                <w:rFonts w:ascii="Times New Roman" w:eastAsia="Times New Roman" w:hAnsi="Times New Roman" w:cs="Times New Roman"/>
                <w:sz w:val="24"/>
                <w:lang w:val="en-GB"/>
              </w:rPr>
              <w:t xml:space="preserve">Securitisation exposures shall be defined as in Article 246 in Part Three, Title II, Chapter 5 of </w:t>
            </w:r>
            <w:r w:rsidRPr="00CF1C81">
              <w:rPr>
                <w:rFonts w:ascii="Times New Roman" w:hAnsi="Times New Roman" w:cs="Times New Roman"/>
                <w:sz w:val="24"/>
              </w:rPr>
              <w:t>CRR.</w:t>
            </w:r>
          </w:p>
        </w:tc>
      </w:tr>
      <w:tr w:rsidR="000A40C4" w:rsidRPr="00CF1C81" w14:paraId="7EE3980F" w14:textId="77777777" w:rsidTr="0085747E">
        <w:trPr>
          <w:trHeight w:val="238"/>
        </w:trPr>
        <w:tc>
          <w:tcPr>
            <w:tcW w:w="1384" w:type="dxa"/>
            <w:tcBorders>
              <w:top w:val="single" w:sz="4" w:space="0" w:color="auto"/>
              <w:bottom w:val="single" w:sz="4" w:space="0" w:color="auto"/>
            </w:tcBorders>
            <w:shd w:val="clear" w:color="auto" w:fill="FFFFFF" w:themeFill="background1"/>
          </w:tcPr>
          <w:p w14:paraId="2787A65B" w14:textId="6E4DAA00" w:rsidR="000A40C4" w:rsidRPr="00CF1C81" w:rsidRDefault="0085747E" w:rsidP="009B4CB5">
            <w:pPr>
              <w:autoSpaceDE w:val="0"/>
              <w:autoSpaceDN w:val="0"/>
              <w:adjustRightInd w:val="0"/>
              <w:spacing w:before="60" w:after="120"/>
              <w:jc w:val="center"/>
              <w:rPr>
                <w:rFonts w:ascii="Times New Roman" w:hAnsi="Times New Roman" w:cs="Times New Roman"/>
                <w:b/>
                <w:sz w:val="24"/>
                <w:lang w:val="en-GB"/>
              </w:rPr>
            </w:pPr>
            <w:r>
              <w:rPr>
                <w:rFonts w:ascii="Times New Roman" w:hAnsi="Times New Roman" w:cs="Times New Roman"/>
                <w:b/>
                <w:sz w:val="24"/>
                <w:lang w:val="en-GB"/>
              </w:rPr>
              <w:t>d</w:t>
            </w:r>
          </w:p>
        </w:tc>
        <w:tc>
          <w:tcPr>
            <w:tcW w:w="7655" w:type="dxa"/>
            <w:tcBorders>
              <w:top w:val="single" w:sz="4" w:space="0" w:color="auto"/>
              <w:bottom w:val="single" w:sz="4" w:space="0" w:color="auto"/>
            </w:tcBorders>
            <w:shd w:val="clear" w:color="auto" w:fill="FFFFFF" w:themeFill="background1"/>
          </w:tcPr>
          <w:p w14:paraId="1A05BA0B" w14:textId="77777777" w:rsidR="000A40C4" w:rsidRPr="00CF1C81" w:rsidRDefault="000A40C4" w:rsidP="00883F00">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Counterparty Credit Risk framework (CCR)</w:t>
            </w:r>
          </w:p>
          <w:p w14:paraId="68BEE853" w14:textId="7776417E" w:rsidR="000A40C4" w:rsidRPr="00CF1C81" w:rsidRDefault="000A40C4" w:rsidP="00883F00">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sz w:val="24"/>
                <w:lang w:val="en-GB"/>
              </w:rPr>
              <w:t xml:space="preserve">Exposures considered in Part Three, Title II, Chapter 6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xml:space="preserve">. </w:t>
            </w:r>
          </w:p>
        </w:tc>
      </w:tr>
      <w:tr w:rsidR="000A40C4" w:rsidRPr="00CF1C81" w14:paraId="3A859DDA" w14:textId="77777777" w:rsidTr="0085747E">
        <w:trPr>
          <w:trHeight w:val="238"/>
        </w:trPr>
        <w:tc>
          <w:tcPr>
            <w:tcW w:w="1384" w:type="dxa"/>
            <w:tcBorders>
              <w:top w:val="single" w:sz="4" w:space="0" w:color="auto"/>
              <w:bottom w:val="single" w:sz="4" w:space="0" w:color="auto"/>
            </w:tcBorders>
            <w:shd w:val="clear" w:color="auto" w:fill="FFFFFF" w:themeFill="background1"/>
          </w:tcPr>
          <w:p w14:paraId="07D28AAC" w14:textId="77777777" w:rsidR="000A40C4" w:rsidRPr="00CF1C81" w:rsidRDefault="000A40C4"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t>e</w:t>
            </w:r>
          </w:p>
        </w:tc>
        <w:tc>
          <w:tcPr>
            <w:tcW w:w="7655" w:type="dxa"/>
            <w:tcBorders>
              <w:top w:val="single" w:sz="4" w:space="0" w:color="auto"/>
              <w:bottom w:val="single" w:sz="4" w:space="0" w:color="auto"/>
            </w:tcBorders>
            <w:shd w:val="clear" w:color="auto" w:fill="FFFFFF" w:themeFill="background1"/>
          </w:tcPr>
          <w:p w14:paraId="331E9E22" w14:textId="77777777" w:rsidR="000A40C4" w:rsidRPr="00CF1C81" w:rsidRDefault="000A40C4" w:rsidP="00883F00">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Market risk framework</w:t>
            </w:r>
          </w:p>
          <w:p w14:paraId="38A55A4A" w14:textId="46B5F497" w:rsidR="000A40C4" w:rsidRPr="00CF1C81" w:rsidRDefault="000A40C4" w:rsidP="00883F00">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Market risk exposures correspond to positions subject to the market risk framework in Part Three, Title IV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w:t>
            </w:r>
          </w:p>
        </w:tc>
      </w:tr>
    </w:tbl>
    <w:p w14:paraId="4555FBE5" w14:textId="77777777" w:rsidR="000A40C4" w:rsidRPr="00CF1C81" w:rsidRDefault="000A40C4" w:rsidP="000A40C4">
      <w:pPr>
        <w:jc w:val="both"/>
        <w:rPr>
          <w:rFonts w:ascii="Times New Roman" w:hAnsi="Times New Roman" w:cs="Times New Roman"/>
          <w:sz w:val="24"/>
        </w:rPr>
      </w:pPr>
    </w:p>
    <w:p w14:paraId="0C75155B" w14:textId="77777777" w:rsidR="000A40C4" w:rsidRPr="00CF1C81" w:rsidRDefault="000A40C4" w:rsidP="000A40C4">
      <w:pPr>
        <w:jc w:val="both"/>
        <w:rPr>
          <w:rFonts w:ascii="Times New Roman" w:hAnsi="Times New Roman" w:cs="Times New Roman"/>
          <w:sz w:val="24"/>
        </w:rPr>
      </w:pPr>
    </w:p>
    <w:p w14:paraId="676AD8B4" w14:textId="323493E4" w:rsidR="00401A65" w:rsidRPr="00CF1C81" w:rsidRDefault="00401A65" w:rsidP="00FC02EB">
      <w:pPr>
        <w:jc w:val="both"/>
        <w:rPr>
          <w:rFonts w:ascii="Times New Roman" w:hAnsi="Times New Roman" w:cs="Times New Roman"/>
          <w:b/>
          <w:sz w:val="24"/>
        </w:rPr>
      </w:pPr>
      <w:r w:rsidRPr="00CF1C81">
        <w:rPr>
          <w:rFonts w:ascii="Times New Roman" w:hAnsi="Times New Roman" w:cs="Times New Roman"/>
          <w:b/>
          <w:sz w:val="24"/>
        </w:rPr>
        <w:t>Template LI3 - Outline of the differences in the scopes of consolidation (entity by entity)</w:t>
      </w:r>
    </w:p>
    <w:p w14:paraId="261A5E1B" w14:textId="5C990833" w:rsidR="00FC02EB" w:rsidRPr="00CF1C81" w:rsidRDefault="00FC02EB" w:rsidP="00FC02EB">
      <w:pPr>
        <w:jc w:val="both"/>
        <w:rPr>
          <w:rFonts w:ascii="Times New Roman" w:hAnsi="Times New Roman" w:cs="Times New Roman"/>
          <w:b/>
          <w:sz w:val="24"/>
        </w:rPr>
      </w:pPr>
    </w:p>
    <w:p w14:paraId="0A81BA67" w14:textId="50F9648A" w:rsidR="00E85027" w:rsidRDefault="00FC02EB" w:rsidP="00E85027">
      <w:pPr>
        <w:pStyle w:val="ListParagraph"/>
        <w:numPr>
          <w:ilvl w:val="0"/>
          <w:numId w:val="38"/>
        </w:numPr>
        <w:spacing w:before="120" w:after="120"/>
        <w:ind w:left="432"/>
        <w:jc w:val="both"/>
        <w:rPr>
          <w:rFonts w:ascii="Times New Roman" w:hAnsi="Times New Roman"/>
          <w:color w:val="000000" w:themeColor="text1"/>
          <w:sz w:val="24"/>
        </w:rPr>
      </w:pPr>
      <w:r w:rsidRPr="00CF1C81">
        <w:rPr>
          <w:rFonts w:ascii="Times New Roman" w:hAnsi="Times New Roman"/>
          <w:color w:val="000000" w:themeColor="text1"/>
          <w:sz w:val="24"/>
        </w:rPr>
        <w:t xml:space="preserve">Institutions shall </w:t>
      </w:r>
      <w:r w:rsidR="009B4CB5">
        <w:rPr>
          <w:rFonts w:ascii="Times New Roman" w:hAnsi="Times New Roman"/>
          <w:noProof/>
          <w:sz w:val="24"/>
        </w:rPr>
        <w:t xml:space="preserve">apply the instructions provided below in this Annex in order to complete </w:t>
      </w:r>
      <w:r w:rsidR="00330AB0">
        <w:rPr>
          <w:rFonts w:ascii="Times New Roman" w:hAnsi="Times New Roman"/>
          <w:noProof/>
          <w:sz w:val="24"/>
        </w:rPr>
        <w:t>temlpate EU LI3 as</w:t>
      </w:r>
      <w:r w:rsidR="009B4CB5">
        <w:rPr>
          <w:rFonts w:ascii="Times New Roman" w:hAnsi="Times New Roman"/>
          <w:noProof/>
          <w:sz w:val="24"/>
        </w:rPr>
        <w:t xml:space="preserve"> presented in Annex 5, </w:t>
      </w:r>
      <w:r w:rsidR="00E85027">
        <w:rPr>
          <w:rFonts w:ascii="Times New Roman" w:hAnsi="Times New Roman"/>
          <w:color w:val="000000" w:themeColor="text1"/>
          <w:sz w:val="24"/>
        </w:rPr>
        <w:t>in application of Article 436</w:t>
      </w:r>
      <w:r w:rsidRPr="00CF1C81">
        <w:rPr>
          <w:rFonts w:ascii="Times New Roman" w:hAnsi="Times New Roman"/>
          <w:color w:val="000000" w:themeColor="text1"/>
          <w:sz w:val="24"/>
        </w:rPr>
        <w:t>(b) of CRR</w:t>
      </w:r>
      <w:r w:rsidR="00E85027">
        <w:rPr>
          <w:rFonts w:ascii="Times New Roman" w:hAnsi="Times New Roman"/>
          <w:color w:val="000000" w:themeColor="text1"/>
          <w:sz w:val="24"/>
        </w:rPr>
        <w:t>.</w:t>
      </w:r>
    </w:p>
    <w:p w14:paraId="0A92E591" w14:textId="77777777" w:rsidR="00E85027" w:rsidRPr="00E85027" w:rsidRDefault="00E85027" w:rsidP="00E85027">
      <w:pPr>
        <w:spacing w:before="120" w:after="120"/>
        <w:jc w:val="both"/>
        <w:rPr>
          <w:rFonts w:ascii="Times New Roman" w:hAnsi="Times New Roman"/>
          <w:color w:val="000000" w:themeColor="text1"/>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FC02EB" w:rsidRPr="00CF1C81" w14:paraId="0C1A26F0" w14:textId="77777777" w:rsidTr="00401A65">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F6171" w14:textId="3D77B6E8" w:rsidR="00FC02EB" w:rsidRPr="00CF1C81" w:rsidRDefault="00FC02EB" w:rsidP="00FC02EB">
            <w:pPr>
              <w:rPr>
                <w:rFonts w:ascii="Times New Roman" w:hAnsi="Times New Roman" w:cs="Times New Roman"/>
                <w:b/>
                <w:sz w:val="24"/>
                <w:highlight w:val="yellow"/>
                <w:lang w:val="en-GB"/>
              </w:rPr>
            </w:pPr>
            <w:r w:rsidRPr="00CF1C81">
              <w:rPr>
                <w:rFonts w:ascii="Times New Roman" w:hAnsi="Times New Roman" w:cs="Times New Roman"/>
                <w:b/>
                <w:sz w:val="24"/>
                <w:lang w:val="en-GB"/>
              </w:rPr>
              <w:t>Legal references and instructions</w:t>
            </w:r>
          </w:p>
        </w:tc>
      </w:tr>
      <w:tr w:rsidR="00B16CF0" w:rsidRPr="00CF1C81" w14:paraId="06CA94BA" w14:textId="77777777" w:rsidTr="004A3621">
        <w:trPr>
          <w:trHeight w:val="238"/>
        </w:trPr>
        <w:tc>
          <w:tcPr>
            <w:tcW w:w="1384" w:type="dxa"/>
            <w:shd w:val="clear" w:color="auto" w:fill="D9D9D9" w:themeFill="background1" w:themeFillShade="D9"/>
          </w:tcPr>
          <w:p w14:paraId="657228C4" w14:textId="5AE4174D" w:rsidR="00B16CF0" w:rsidRPr="00CF1C81" w:rsidRDefault="00B16CF0" w:rsidP="004A3621">
            <w:pPr>
              <w:autoSpaceDE w:val="0"/>
              <w:autoSpaceDN w:val="0"/>
              <w:adjustRightInd w:val="0"/>
              <w:jc w:val="center"/>
              <w:rPr>
                <w:rFonts w:ascii="Times New Roman" w:hAnsi="Times New Roman" w:cs="Times New Roman"/>
                <w:b/>
                <w:sz w:val="24"/>
                <w:lang w:val="en-GB"/>
              </w:rPr>
            </w:pPr>
            <w:r w:rsidRPr="00CF1C81">
              <w:rPr>
                <w:rFonts w:ascii="Times New Roman" w:hAnsi="Times New Roman" w:cs="Times New Roman"/>
                <w:b/>
                <w:sz w:val="24"/>
                <w:lang w:val="en-GB"/>
              </w:rPr>
              <w:t>Row</w:t>
            </w:r>
            <w:r w:rsidR="00FC02EB" w:rsidRPr="00CF1C81">
              <w:rPr>
                <w:rFonts w:ascii="Times New Roman" w:hAnsi="Times New Roman" w:cs="Times New Roman"/>
                <w:b/>
                <w:sz w:val="24"/>
                <w:lang w:val="en-GB"/>
              </w:rPr>
              <w:t xml:space="preserve"> number</w:t>
            </w:r>
          </w:p>
        </w:tc>
        <w:tc>
          <w:tcPr>
            <w:tcW w:w="7655" w:type="dxa"/>
            <w:shd w:val="clear" w:color="auto" w:fill="D9D9D9" w:themeFill="background1" w:themeFillShade="D9"/>
          </w:tcPr>
          <w:p w14:paraId="6792D38C" w14:textId="77777777" w:rsidR="00B16CF0" w:rsidRPr="00CF1C81" w:rsidRDefault="00B16CF0" w:rsidP="004A3621">
            <w:pPr>
              <w:autoSpaceDE w:val="0"/>
              <w:autoSpaceDN w:val="0"/>
              <w:adjustRightInd w:val="0"/>
              <w:rPr>
                <w:rFonts w:ascii="Times New Roman" w:hAnsi="Times New Roman" w:cs="Times New Roman"/>
                <w:color w:val="000000"/>
                <w:sz w:val="24"/>
                <w:lang w:val="en-GB"/>
              </w:rPr>
            </w:pPr>
            <w:r w:rsidRPr="00CF1C81">
              <w:rPr>
                <w:rFonts w:ascii="Times New Roman" w:hAnsi="Times New Roman" w:cs="Times New Roman"/>
                <w:b/>
                <w:sz w:val="24"/>
                <w:lang w:val="en-GB"/>
              </w:rPr>
              <w:t>Explanation</w:t>
            </w:r>
          </w:p>
        </w:tc>
      </w:tr>
      <w:tr w:rsidR="00401A65" w:rsidRPr="00CF1C81" w14:paraId="0DF31F8D" w14:textId="77777777" w:rsidTr="00401A65">
        <w:trPr>
          <w:trHeight w:val="238"/>
        </w:trPr>
        <w:tc>
          <w:tcPr>
            <w:tcW w:w="1384" w:type="dxa"/>
            <w:shd w:val="clear" w:color="auto" w:fill="FFFFFF" w:themeFill="background1"/>
          </w:tcPr>
          <w:p w14:paraId="4AE81AD3" w14:textId="39CC1F5C" w:rsidR="00401A65" w:rsidRPr="00CF1C81" w:rsidRDefault="00401A65" w:rsidP="00CF5840">
            <w:pPr>
              <w:autoSpaceDE w:val="0"/>
              <w:autoSpaceDN w:val="0"/>
              <w:adjustRightInd w:val="0"/>
              <w:spacing w:before="60" w:after="120"/>
              <w:jc w:val="both"/>
              <w:rPr>
                <w:rFonts w:ascii="Times New Roman" w:hAnsi="Times New Roman" w:cs="Times New Roman"/>
                <w:b/>
                <w:sz w:val="24"/>
                <w:lang w:val="en-GB"/>
              </w:rPr>
            </w:pPr>
          </w:p>
        </w:tc>
        <w:tc>
          <w:tcPr>
            <w:tcW w:w="7655" w:type="dxa"/>
            <w:shd w:val="clear" w:color="auto" w:fill="FFFFFF" w:themeFill="background1"/>
          </w:tcPr>
          <w:p w14:paraId="23E7C812" w14:textId="2DBD22FE" w:rsidR="00401A65" w:rsidRPr="00CF1C81" w:rsidRDefault="00611B31" w:rsidP="00CF5840">
            <w:pPr>
              <w:autoSpaceDE w:val="0"/>
              <w:autoSpaceDN w:val="0"/>
              <w:adjustRightInd w:val="0"/>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eastAsia="en-GB"/>
              </w:rPr>
              <w:t xml:space="preserve">The rows are flexible. </w:t>
            </w:r>
            <w:r w:rsidR="00FC02EB" w:rsidRPr="00CF1C81">
              <w:rPr>
                <w:rFonts w:ascii="Times New Roman" w:hAnsi="Times New Roman" w:cs="Times New Roman"/>
                <w:sz w:val="24"/>
              </w:rPr>
              <w:t>Disclosures shall be provided for entities included within the accounting and the regulatory scopes of consolidation as defined in accordance with the applicable accounting framework and Part One, Title II, Section 2 and Section 3, for which the method of the accounting consolidation is different from the method of the regulatory consolidation.</w:t>
            </w:r>
            <w:r w:rsidR="00CF5840" w:rsidRPr="00CF1C81">
              <w:rPr>
                <w:rFonts w:ascii="Times New Roman" w:hAnsi="Times New Roman" w:cs="Times New Roman"/>
                <w:sz w:val="24"/>
              </w:rPr>
              <w:t xml:space="preserve"> One row per entity.</w:t>
            </w:r>
          </w:p>
        </w:tc>
      </w:tr>
    </w:tbl>
    <w:p w14:paraId="5DEAA0BF" w14:textId="04039279" w:rsidR="00401A65" w:rsidRPr="00CF1C81" w:rsidRDefault="00401A65" w:rsidP="005673AC">
      <w:pPr>
        <w:rPr>
          <w:rFonts w:ascii="Times New Roman" w:hAnsi="Times New Roman" w:cs="Times New Roman"/>
          <w:sz w:val="24"/>
        </w:rPr>
      </w:pPr>
    </w:p>
    <w:p w14:paraId="1816DF6F" w14:textId="77777777" w:rsidR="00FC02EB" w:rsidRPr="00CF1C81" w:rsidRDefault="00FC02EB" w:rsidP="005673AC">
      <w:pPr>
        <w:rPr>
          <w:rFonts w:ascii="Times New Roman" w:hAnsi="Times New Roman" w:cs="Times New Roman"/>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FC02EB" w:rsidRPr="00CF1C81" w14:paraId="62DE44D5" w14:textId="77777777" w:rsidTr="009B4CB5">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6B6F" w14:textId="77777777" w:rsidR="00FC02EB" w:rsidRPr="00CF1C81" w:rsidRDefault="00FC02EB" w:rsidP="009B4CB5">
            <w:pPr>
              <w:rPr>
                <w:rFonts w:ascii="Times New Roman" w:hAnsi="Times New Roman" w:cs="Times New Roman"/>
                <w:b/>
                <w:sz w:val="24"/>
                <w:highlight w:val="yellow"/>
                <w:lang w:val="en-GB"/>
              </w:rPr>
            </w:pPr>
            <w:r w:rsidRPr="00CF1C81">
              <w:rPr>
                <w:rFonts w:ascii="Times New Roman" w:hAnsi="Times New Roman" w:cs="Times New Roman"/>
                <w:b/>
                <w:sz w:val="24"/>
                <w:lang w:val="en-GB"/>
              </w:rPr>
              <w:t>Legal references and instructions</w:t>
            </w:r>
          </w:p>
        </w:tc>
      </w:tr>
      <w:tr w:rsidR="00FC02EB" w:rsidRPr="00CF1C81" w14:paraId="5F0107AE" w14:textId="77777777" w:rsidTr="009B4CB5">
        <w:trPr>
          <w:trHeight w:val="238"/>
        </w:trPr>
        <w:tc>
          <w:tcPr>
            <w:tcW w:w="1384" w:type="dxa"/>
            <w:shd w:val="clear" w:color="auto" w:fill="D9D9D9" w:themeFill="background1" w:themeFillShade="D9"/>
          </w:tcPr>
          <w:p w14:paraId="7387CFF9" w14:textId="27C91F67" w:rsidR="00FC02EB" w:rsidRPr="00CF1C81" w:rsidRDefault="00FC02EB" w:rsidP="009B4CB5">
            <w:pPr>
              <w:autoSpaceDE w:val="0"/>
              <w:autoSpaceDN w:val="0"/>
              <w:adjustRightInd w:val="0"/>
              <w:jc w:val="center"/>
              <w:rPr>
                <w:rFonts w:ascii="Times New Roman" w:hAnsi="Times New Roman" w:cs="Times New Roman"/>
                <w:b/>
                <w:sz w:val="24"/>
                <w:lang w:val="en-GB"/>
              </w:rPr>
            </w:pPr>
            <w:r w:rsidRPr="00CF1C81">
              <w:rPr>
                <w:rFonts w:ascii="Times New Roman" w:hAnsi="Times New Roman" w:cs="Times New Roman"/>
                <w:b/>
                <w:sz w:val="24"/>
                <w:lang w:val="en-GB"/>
              </w:rPr>
              <w:t>Column reference</w:t>
            </w:r>
          </w:p>
        </w:tc>
        <w:tc>
          <w:tcPr>
            <w:tcW w:w="7655" w:type="dxa"/>
            <w:shd w:val="clear" w:color="auto" w:fill="D9D9D9" w:themeFill="background1" w:themeFillShade="D9"/>
          </w:tcPr>
          <w:p w14:paraId="3C42854F" w14:textId="77777777" w:rsidR="00FC02EB" w:rsidRPr="00CF1C81" w:rsidRDefault="00FC02EB" w:rsidP="009B4CB5">
            <w:pPr>
              <w:autoSpaceDE w:val="0"/>
              <w:autoSpaceDN w:val="0"/>
              <w:adjustRightInd w:val="0"/>
              <w:rPr>
                <w:rFonts w:ascii="Times New Roman" w:hAnsi="Times New Roman" w:cs="Times New Roman"/>
                <w:color w:val="000000"/>
                <w:sz w:val="24"/>
                <w:lang w:val="en-GB"/>
              </w:rPr>
            </w:pPr>
            <w:r w:rsidRPr="00CF1C81">
              <w:rPr>
                <w:rFonts w:ascii="Times New Roman" w:hAnsi="Times New Roman" w:cs="Times New Roman"/>
                <w:b/>
                <w:sz w:val="24"/>
                <w:lang w:val="en-GB"/>
              </w:rPr>
              <w:t>Explanation</w:t>
            </w:r>
          </w:p>
        </w:tc>
      </w:tr>
      <w:tr w:rsidR="00FC02EB" w:rsidRPr="00CF1C81" w14:paraId="1D8A129F" w14:textId="77777777" w:rsidTr="009B4CB5">
        <w:trPr>
          <w:trHeight w:val="238"/>
        </w:trPr>
        <w:tc>
          <w:tcPr>
            <w:tcW w:w="1384" w:type="dxa"/>
            <w:shd w:val="clear" w:color="auto" w:fill="auto"/>
          </w:tcPr>
          <w:p w14:paraId="45909233" w14:textId="77777777" w:rsidR="00FC02EB" w:rsidRPr="00CF1C81" w:rsidRDefault="00FC02EB" w:rsidP="009B4CB5">
            <w:pPr>
              <w:autoSpaceDE w:val="0"/>
              <w:autoSpaceDN w:val="0"/>
              <w:adjustRightInd w:val="0"/>
              <w:spacing w:before="60" w:after="120"/>
              <w:jc w:val="center"/>
              <w:rPr>
                <w:rFonts w:ascii="Times New Roman" w:hAnsi="Times New Roman" w:cs="Times New Roman"/>
                <w:sz w:val="24"/>
                <w:lang w:val="en-GB"/>
              </w:rPr>
            </w:pPr>
            <w:r w:rsidRPr="00CF1C81">
              <w:rPr>
                <w:rFonts w:ascii="Times New Roman" w:hAnsi="Times New Roman" w:cs="Times New Roman"/>
                <w:sz w:val="24"/>
                <w:lang w:val="en-GB"/>
              </w:rPr>
              <w:lastRenderedPageBreak/>
              <w:t>a</w:t>
            </w:r>
          </w:p>
        </w:tc>
        <w:tc>
          <w:tcPr>
            <w:tcW w:w="7655" w:type="dxa"/>
            <w:shd w:val="clear" w:color="auto" w:fill="auto"/>
          </w:tcPr>
          <w:p w14:paraId="56458F42" w14:textId="77777777" w:rsidR="00FC02EB" w:rsidRPr="00CF1C81" w:rsidRDefault="00FC02EB" w:rsidP="009B4CB5">
            <w:pPr>
              <w:keepNext/>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Name of the entity</w:t>
            </w:r>
          </w:p>
          <w:p w14:paraId="4595C3EC" w14:textId="77777777" w:rsidR="00FC02EB" w:rsidRPr="00CF1C81" w:rsidRDefault="00FC02EB" w:rsidP="009B4CB5">
            <w:pPr>
              <w:keepNext/>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Commercial name of any entity included or deducted from the regulatory and accounting scope of consolidation of an institution.</w:t>
            </w:r>
          </w:p>
        </w:tc>
      </w:tr>
      <w:tr w:rsidR="00FC02EB" w:rsidRPr="00CF1C81" w14:paraId="13B4C7CA" w14:textId="77777777" w:rsidTr="009B4CB5">
        <w:trPr>
          <w:trHeight w:val="238"/>
        </w:trPr>
        <w:tc>
          <w:tcPr>
            <w:tcW w:w="1384" w:type="dxa"/>
            <w:shd w:val="clear" w:color="auto" w:fill="auto"/>
          </w:tcPr>
          <w:p w14:paraId="54F92817" w14:textId="77777777" w:rsidR="00FC02EB" w:rsidRPr="00CF1C81" w:rsidRDefault="00FC02EB" w:rsidP="009B4CB5">
            <w:pPr>
              <w:autoSpaceDE w:val="0"/>
              <w:autoSpaceDN w:val="0"/>
              <w:adjustRightInd w:val="0"/>
              <w:spacing w:before="60" w:after="120"/>
              <w:jc w:val="center"/>
              <w:rPr>
                <w:rFonts w:ascii="Times New Roman" w:hAnsi="Times New Roman" w:cs="Times New Roman"/>
                <w:sz w:val="24"/>
                <w:lang w:val="en-GB"/>
              </w:rPr>
            </w:pPr>
            <w:r w:rsidRPr="00CF1C81">
              <w:rPr>
                <w:rFonts w:ascii="Times New Roman" w:hAnsi="Times New Roman" w:cs="Times New Roman"/>
                <w:sz w:val="24"/>
                <w:lang w:val="en-GB"/>
              </w:rPr>
              <w:t>b</w:t>
            </w:r>
          </w:p>
        </w:tc>
        <w:tc>
          <w:tcPr>
            <w:tcW w:w="7655" w:type="dxa"/>
            <w:shd w:val="clear" w:color="auto" w:fill="auto"/>
          </w:tcPr>
          <w:p w14:paraId="7583DB62" w14:textId="77777777" w:rsidR="00FC02EB" w:rsidRPr="00CF1C81" w:rsidRDefault="00FC02EB" w:rsidP="009B4CB5">
            <w:pPr>
              <w:keepNext/>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Method of accounting consolidation</w:t>
            </w:r>
          </w:p>
          <w:p w14:paraId="5E84476B" w14:textId="77777777" w:rsidR="00FC02EB" w:rsidRPr="00CF1C81" w:rsidRDefault="00FC02EB" w:rsidP="009B4CB5">
            <w:pPr>
              <w:keepNext/>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rPr>
              <w:t>Consolidation method used in accordance with the applicable accounting framework.</w:t>
            </w:r>
          </w:p>
        </w:tc>
      </w:tr>
      <w:tr w:rsidR="00FC02EB" w:rsidRPr="00CF1C81" w14:paraId="7DE961EF" w14:textId="77777777" w:rsidTr="009B4CB5">
        <w:trPr>
          <w:trHeight w:val="238"/>
        </w:trPr>
        <w:tc>
          <w:tcPr>
            <w:tcW w:w="1384" w:type="dxa"/>
            <w:shd w:val="clear" w:color="auto" w:fill="auto"/>
          </w:tcPr>
          <w:p w14:paraId="196143C9" w14:textId="77777777" w:rsidR="00FC02EB" w:rsidRPr="00CF1C81" w:rsidRDefault="00FC02EB" w:rsidP="009B4CB5">
            <w:pPr>
              <w:autoSpaceDE w:val="0"/>
              <w:autoSpaceDN w:val="0"/>
              <w:adjustRightInd w:val="0"/>
              <w:spacing w:before="60" w:after="120"/>
              <w:jc w:val="center"/>
              <w:rPr>
                <w:rFonts w:ascii="Times New Roman" w:hAnsi="Times New Roman" w:cs="Times New Roman"/>
                <w:sz w:val="24"/>
                <w:lang w:val="en-GB"/>
              </w:rPr>
            </w:pPr>
            <w:r w:rsidRPr="00CF1C81">
              <w:rPr>
                <w:rFonts w:ascii="Times New Roman" w:hAnsi="Times New Roman" w:cs="Times New Roman"/>
                <w:sz w:val="24"/>
                <w:lang w:val="en-GB"/>
              </w:rPr>
              <w:t>c to g</w:t>
            </w:r>
          </w:p>
        </w:tc>
        <w:tc>
          <w:tcPr>
            <w:tcW w:w="7655" w:type="dxa"/>
            <w:shd w:val="clear" w:color="auto" w:fill="auto"/>
          </w:tcPr>
          <w:p w14:paraId="437240B9" w14:textId="77777777" w:rsidR="00FC02EB" w:rsidRPr="00CF1C81" w:rsidRDefault="00FC02EB" w:rsidP="009B4CB5">
            <w:pPr>
              <w:keepNext/>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Method of regulatory consolidation</w:t>
            </w:r>
          </w:p>
          <w:p w14:paraId="1129D6B9" w14:textId="11C12429" w:rsidR="00FC02EB" w:rsidRPr="00CF1C81" w:rsidRDefault="00FC02EB" w:rsidP="009B4CB5">
            <w:pPr>
              <w:keepNext/>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Consolidation method implemented for the purpose of Part One, Title II, Chapter 2 of </w:t>
            </w:r>
            <w:r w:rsidRPr="00CF1C81">
              <w:rPr>
                <w:rFonts w:ascii="Times New Roman" w:hAnsi="Times New Roman" w:cs="Times New Roman"/>
                <w:sz w:val="24"/>
              </w:rPr>
              <w:t>CRR</w:t>
            </w:r>
            <w:r w:rsidRPr="00CF1C81">
              <w:rPr>
                <w:rFonts w:ascii="Times New Roman" w:eastAsia="Times New Roman" w:hAnsi="Times New Roman" w:cs="Times New Roman"/>
                <w:sz w:val="24"/>
                <w:lang w:val="en-GB"/>
              </w:rPr>
              <w:t>. At a minimum, the methods listed in Article 436(b) of the same regulation shall be disclosed.</w:t>
            </w:r>
          </w:p>
          <w:p w14:paraId="0D1F1EB3" w14:textId="773DD6C5" w:rsidR="00FC02EB" w:rsidRPr="00CF1C81" w:rsidRDefault="00FC02EB" w:rsidP="006E54A2">
            <w:pPr>
              <w:keepNext/>
              <w:spacing w:before="60" w:after="120"/>
              <w:jc w:val="both"/>
              <w:rPr>
                <w:rFonts w:ascii="Times New Roman" w:hAnsi="Times New Roman" w:cs="Times New Roman"/>
                <w:b/>
                <w:sz w:val="24"/>
                <w:lang w:val="en-GB"/>
              </w:rPr>
            </w:pPr>
            <w:r w:rsidRPr="00CF1C81">
              <w:rPr>
                <w:rFonts w:ascii="Times New Roman" w:eastAsia="Times New Roman" w:hAnsi="Times New Roman" w:cs="Times New Roman"/>
                <w:sz w:val="24"/>
                <w:lang w:val="en-GB" w:eastAsia="en-GB"/>
              </w:rPr>
              <w:t xml:space="preserve">Institutions shall tick the applicable columns in order to identify the method of consolidation of each entity under the accounting framework and whether, under the regulatory scope of consolidation, each entity is (i) fully consolidated; (ii) proportionally consolidated; (iii) </w:t>
            </w:r>
            <w:r w:rsidR="006E54A2" w:rsidRPr="00CF1C81">
              <w:rPr>
                <w:rFonts w:ascii="Times New Roman" w:eastAsia="Times New Roman" w:hAnsi="Times New Roman" w:cs="Times New Roman"/>
                <w:sz w:val="24"/>
                <w:lang w:val="en-GB" w:eastAsia="en-GB"/>
              </w:rPr>
              <w:t>recognised under the equity method</w:t>
            </w:r>
            <w:r w:rsidRPr="00CF1C81">
              <w:rPr>
                <w:rFonts w:ascii="Times New Roman" w:eastAsia="Times New Roman" w:hAnsi="Times New Roman" w:cs="Times New Roman"/>
                <w:sz w:val="24"/>
                <w:lang w:val="en-GB" w:eastAsia="en-GB"/>
              </w:rPr>
              <w:t xml:space="preserve">; (iv) </w:t>
            </w:r>
            <w:r w:rsidR="006E54A2" w:rsidRPr="00CF1C81">
              <w:rPr>
                <w:rFonts w:ascii="Times New Roman" w:eastAsia="Times New Roman" w:hAnsi="Times New Roman" w:cs="Times New Roman"/>
                <w:sz w:val="24"/>
                <w:lang w:val="en-GB" w:eastAsia="en-GB"/>
              </w:rPr>
              <w:t>neither consolidated nor deducted</w:t>
            </w:r>
            <w:r w:rsidR="006E54A2" w:rsidRPr="00CF1C81" w:rsidDel="006E54A2">
              <w:rPr>
                <w:rFonts w:ascii="Times New Roman" w:eastAsia="Times New Roman" w:hAnsi="Times New Roman" w:cs="Times New Roman"/>
                <w:sz w:val="24"/>
                <w:lang w:val="en-GB" w:eastAsia="en-GB"/>
              </w:rPr>
              <w:t xml:space="preserve"> </w:t>
            </w:r>
            <w:r w:rsidRPr="00CF1C81">
              <w:rPr>
                <w:rFonts w:ascii="Times New Roman" w:eastAsia="Times New Roman" w:hAnsi="Times New Roman" w:cs="Times New Roman"/>
                <w:sz w:val="24"/>
                <w:lang w:val="en-GB" w:eastAsia="en-GB"/>
              </w:rPr>
              <w:t>or</w:t>
            </w:r>
            <w:r w:rsidR="00883F00">
              <w:rPr>
                <w:rFonts w:ascii="Times New Roman" w:eastAsia="Times New Roman" w:hAnsi="Times New Roman" w:cs="Times New Roman"/>
                <w:sz w:val="24"/>
                <w:lang w:val="en-GB" w:eastAsia="en-GB"/>
              </w:rPr>
              <w:t>;</w:t>
            </w:r>
            <w:r w:rsidRPr="00CF1C81">
              <w:rPr>
                <w:rFonts w:ascii="Times New Roman" w:eastAsia="Times New Roman" w:hAnsi="Times New Roman" w:cs="Times New Roman"/>
                <w:sz w:val="24"/>
                <w:lang w:val="en-GB" w:eastAsia="en-GB"/>
              </w:rPr>
              <w:t xml:space="preserve"> (v) </w:t>
            </w:r>
            <w:r w:rsidR="006E54A2">
              <w:rPr>
                <w:rFonts w:ascii="Times New Roman" w:eastAsia="Times New Roman" w:hAnsi="Times New Roman" w:cs="Times New Roman"/>
                <w:sz w:val="24"/>
                <w:lang w:val="en-GB" w:eastAsia="en-GB"/>
              </w:rPr>
              <w:t>deducted</w:t>
            </w:r>
            <w:r w:rsidRPr="00CF1C81">
              <w:rPr>
                <w:rFonts w:ascii="Times New Roman" w:eastAsia="Times New Roman" w:hAnsi="Times New Roman" w:cs="Times New Roman"/>
                <w:sz w:val="24"/>
                <w:lang w:val="en-GB" w:eastAsia="en-GB"/>
              </w:rPr>
              <w:t>.</w:t>
            </w:r>
          </w:p>
        </w:tc>
      </w:tr>
      <w:tr w:rsidR="00FC02EB" w:rsidRPr="00CF1C81" w14:paraId="06E075C0" w14:textId="77777777" w:rsidTr="009B4CB5">
        <w:trPr>
          <w:trHeight w:val="238"/>
        </w:trPr>
        <w:tc>
          <w:tcPr>
            <w:tcW w:w="1384" w:type="dxa"/>
            <w:shd w:val="clear" w:color="auto" w:fill="auto"/>
          </w:tcPr>
          <w:p w14:paraId="7D5F14C4" w14:textId="77777777" w:rsidR="00FC02EB" w:rsidRPr="00CF1C81" w:rsidRDefault="00FC02EB" w:rsidP="009B4CB5">
            <w:pPr>
              <w:autoSpaceDE w:val="0"/>
              <w:autoSpaceDN w:val="0"/>
              <w:adjustRightInd w:val="0"/>
              <w:spacing w:before="60" w:after="120"/>
              <w:jc w:val="center"/>
              <w:rPr>
                <w:rFonts w:ascii="Times New Roman" w:hAnsi="Times New Roman" w:cs="Times New Roman"/>
                <w:b/>
                <w:sz w:val="24"/>
                <w:lang w:val="en-GB"/>
              </w:rPr>
            </w:pPr>
            <w:r w:rsidRPr="00CF1C81">
              <w:rPr>
                <w:rFonts w:ascii="Times New Roman" w:hAnsi="Times New Roman" w:cs="Times New Roman"/>
                <w:b/>
                <w:sz w:val="24"/>
                <w:lang w:val="en-GB"/>
              </w:rPr>
              <w:t>h</w:t>
            </w:r>
          </w:p>
        </w:tc>
        <w:tc>
          <w:tcPr>
            <w:tcW w:w="7655" w:type="dxa"/>
            <w:shd w:val="clear" w:color="auto" w:fill="auto"/>
          </w:tcPr>
          <w:p w14:paraId="43ACA8A7" w14:textId="77777777" w:rsidR="00FC02EB" w:rsidRPr="00CF1C81" w:rsidRDefault="00FC02EB" w:rsidP="009B4CB5">
            <w:pPr>
              <w:spacing w:before="60" w:after="120"/>
              <w:jc w:val="both"/>
              <w:rPr>
                <w:rFonts w:ascii="Times New Roman" w:eastAsia="Times New Roman" w:hAnsi="Times New Roman" w:cs="Times New Roman"/>
                <w:b/>
                <w:sz w:val="24"/>
                <w:lang w:val="en-GB"/>
              </w:rPr>
            </w:pPr>
            <w:r w:rsidRPr="00CF1C81">
              <w:rPr>
                <w:rFonts w:ascii="Times New Roman" w:eastAsia="Times New Roman" w:hAnsi="Times New Roman" w:cs="Times New Roman"/>
                <w:b/>
                <w:sz w:val="24"/>
                <w:lang w:val="en-GB"/>
              </w:rPr>
              <w:t>Description of the entity</w:t>
            </w:r>
          </w:p>
          <w:p w14:paraId="51CED579" w14:textId="77777777" w:rsidR="00FC02EB" w:rsidRPr="00CF1C81" w:rsidRDefault="00FC02EB" w:rsidP="009B4CB5">
            <w:pPr>
              <w:spacing w:before="60"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Brief description of the entity, with (at a minimum) disclosure of its sector of activity. </w:t>
            </w:r>
          </w:p>
        </w:tc>
      </w:tr>
    </w:tbl>
    <w:p w14:paraId="54D94A98" w14:textId="2F0F7E0A" w:rsidR="00FC02EB" w:rsidRPr="00CF1C81" w:rsidRDefault="00FC02EB" w:rsidP="005673AC">
      <w:pPr>
        <w:rPr>
          <w:rFonts w:ascii="Times New Roman" w:hAnsi="Times New Roman" w:cs="Times New Roman"/>
          <w:sz w:val="24"/>
        </w:rPr>
      </w:pPr>
    </w:p>
    <w:p w14:paraId="006310CA" w14:textId="77777777" w:rsidR="00FC02EB" w:rsidRPr="00CF1C81" w:rsidRDefault="00FC02EB" w:rsidP="005673AC">
      <w:pPr>
        <w:rPr>
          <w:rFonts w:ascii="Times New Roman" w:hAnsi="Times New Roman" w:cs="Times New Roman"/>
          <w:sz w:val="24"/>
        </w:rPr>
      </w:pPr>
    </w:p>
    <w:p w14:paraId="2ADCD94A" w14:textId="076BA7E9" w:rsidR="00605E90" w:rsidRPr="00CF1C81" w:rsidRDefault="00605E90" w:rsidP="00CF5840">
      <w:pPr>
        <w:jc w:val="both"/>
        <w:rPr>
          <w:rFonts w:ascii="Times New Roman" w:hAnsi="Times New Roman" w:cs="Times New Roman"/>
          <w:sz w:val="24"/>
        </w:rPr>
      </w:pPr>
      <w:r w:rsidRPr="00CF1C81">
        <w:rPr>
          <w:rFonts w:ascii="Times New Roman" w:hAnsi="Times New Roman" w:cs="Times New Roman"/>
          <w:b/>
          <w:sz w:val="24"/>
        </w:rPr>
        <w:t>Table</w:t>
      </w:r>
      <w:r w:rsidR="00A25FA0" w:rsidRPr="00CF1C81">
        <w:rPr>
          <w:rFonts w:ascii="Times New Roman" w:hAnsi="Times New Roman" w:cs="Times New Roman"/>
          <w:b/>
          <w:sz w:val="24"/>
        </w:rPr>
        <w:t xml:space="preserve"> EU</w:t>
      </w:r>
      <w:r w:rsidRPr="00CF1C81">
        <w:rPr>
          <w:rFonts w:ascii="Times New Roman" w:hAnsi="Times New Roman" w:cs="Times New Roman"/>
          <w:b/>
          <w:sz w:val="24"/>
        </w:rPr>
        <w:t xml:space="preserve"> LIA - Explanations of differences between accounting and regulatory exposure amounts</w:t>
      </w:r>
      <w:r w:rsidR="00CF5840" w:rsidRPr="00CF1C81">
        <w:rPr>
          <w:rFonts w:ascii="Times New Roman" w:hAnsi="Times New Roman" w:cs="Times New Roman"/>
          <w:b/>
          <w:sz w:val="24"/>
        </w:rPr>
        <w:t xml:space="preserve">. </w:t>
      </w:r>
      <w:r w:rsidR="00CF5840" w:rsidRPr="00CF1C81">
        <w:rPr>
          <w:rFonts w:ascii="Times New Roman" w:hAnsi="Times New Roman" w:cs="Times New Roman"/>
          <w:sz w:val="24"/>
        </w:rPr>
        <w:t>Free format text boxes for disclosure of qualitative information</w:t>
      </w:r>
    </w:p>
    <w:p w14:paraId="48155C74" w14:textId="76889A91" w:rsidR="00CF5840" w:rsidRPr="00CF1C81" w:rsidRDefault="00CF5840" w:rsidP="00CF5840">
      <w:pPr>
        <w:jc w:val="both"/>
        <w:rPr>
          <w:rFonts w:ascii="Times New Roman" w:hAnsi="Times New Roman" w:cs="Times New Roman"/>
          <w:sz w:val="24"/>
        </w:rPr>
      </w:pPr>
    </w:p>
    <w:p w14:paraId="719E9101" w14:textId="6DB183CF" w:rsidR="00CF5840" w:rsidRPr="00A16F39" w:rsidRDefault="00CF5840" w:rsidP="00CF5840">
      <w:pPr>
        <w:pStyle w:val="ListParagraph"/>
        <w:numPr>
          <w:ilvl w:val="0"/>
          <w:numId w:val="38"/>
        </w:numPr>
        <w:spacing w:before="120" w:after="120"/>
        <w:ind w:left="425" w:hanging="357"/>
        <w:jc w:val="both"/>
        <w:rPr>
          <w:rFonts w:ascii="Times New Roman" w:hAnsi="Times New Roman"/>
          <w:color w:val="000000" w:themeColor="text1"/>
          <w:sz w:val="24"/>
        </w:rPr>
      </w:pPr>
      <w:r w:rsidRPr="00F04CCC">
        <w:rPr>
          <w:rFonts w:ascii="Times New Roman" w:hAnsi="Times New Roman"/>
          <w:noProof/>
          <w:sz w:val="24"/>
        </w:rPr>
        <w:t>Institutions</w:t>
      </w:r>
      <w:r w:rsidRPr="00CF1C81">
        <w:rPr>
          <w:rFonts w:ascii="Times New Roman" w:hAnsi="Times New Roman"/>
          <w:color w:val="000000" w:themeColor="text1"/>
          <w:sz w:val="24"/>
        </w:rPr>
        <w:t xml:space="preserve"> shall </w:t>
      </w:r>
      <w:r w:rsidR="009B4CB5">
        <w:rPr>
          <w:rFonts w:ascii="Times New Roman" w:hAnsi="Times New Roman"/>
          <w:noProof/>
          <w:sz w:val="24"/>
        </w:rPr>
        <w:t>apply the instructions provided below in this Annex in order to complete table</w:t>
      </w:r>
      <w:r w:rsidR="00330AB0">
        <w:rPr>
          <w:rFonts w:ascii="Times New Roman" w:hAnsi="Times New Roman"/>
          <w:noProof/>
          <w:sz w:val="24"/>
        </w:rPr>
        <w:t xml:space="preserve"> EU LIA as</w:t>
      </w:r>
      <w:r w:rsidR="009B4CB5">
        <w:rPr>
          <w:rFonts w:ascii="Times New Roman" w:hAnsi="Times New Roman"/>
          <w:noProof/>
          <w:sz w:val="24"/>
        </w:rPr>
        <w:t xml:space="preserve"> presented in Annex 5,</w:t>
      </w:r>
      <w:r w:rsidR="00A16F39">
        <w:rPr>
          <w:rFonts w:ascii="Times New Roman" w:hAnsi="Times New Roman"/>
          <w:color w:val="000000" w:themeColor="text1"/>
          <w:sz w:val="24"/>
        </w:rPr>
        <w:t xml:space="preserve"> in application of Article 436</w:t>
      </w:r>
      <w:r w:rsidRPr="00CF1C81">
        <w:rPr>
          <w:rFonts w:ascii="Times New Roman" w:hAnsi="Times New Roman"/>
          <w:color w:val="000000" w:themeColor="text1"/>
          <w:sz w:val="24"/>
        </w:rPr>
        <w:t>(b) and (d) of CRR.</w:t>
      </w:r>
    </w:p>
    <w:p w14:paraId="6CD205B7" w14:textId="3E965B89" w:rsidR="00605E90" w:rsidRPr="00CF1C81" w:rsidRDefault="00605E90" w:rsidP="00B30386">
      <w:pPr>
        <w:spacing w:before="60" w:after="120"/>
        <w:ind w:left="357"/>
        <w:jc w:val="both"/>
        <w:rPr>
          <w:rFonts w:ascii="Times New Roman" w:hAnsi="Times New Roman" w:cs="Times New Roman"/>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C43F26" w:rsidRPr="00CF1C81" w14:paraId="24FA59BE" w14:textId="77777777" w:rsidTr="00C43F26">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4C445" w14:textId="459884FF" w:rsidR="00C43F26" w:rsidRPr="00CF1C81" w:rsidRDefault="00A16F39" w:rsidP="00BB3C7F">
            <w:pPr>
              <w:rPr>
                <w:rFonts w:ascii="Times New Roman" w:hAnsi="Times New Roman" w:cs="Times New Roman"/>
                <w:b/>
                <w:sz w:val="24"/>
                <w:highlight w:val="yellow"/>
                <w:lang w:val="en-GB"/>
              </w:rPr>
            </w:pPr>
            <w:r w:rsidRPr="00CF1C81">
              <w:rPr>
                <w:rFonts w:ascii="Times New Roman" w:hAnsi="Times New Roman" w:cs="Times New Roman"/>
                <w:b/>
                <w:sz w:val="24"/>
                <w:lang w:val="en-GB"/>
              </w:rPr>
              <w:t>Legal references and instructions</w:t>
            </w:r>
          </w:p>
        </w:tc>
      </w:tr>
      <w:tr w:rsidR="00C43F26" w:rsidRPr="00CF1C81" w14:paraId="3555571F" w14:textId="77777777" w:rsidTr="00C43F26">
        <w:trPr>
          <w:trHeight w:val="238"/>
        </w:trPr>
        <w:tc>
          <w:tcPr>
            <w:tcW w:w="1384" w:type="dxa"/>
            <w:tcBorders>
              <w:bottom w:val="single" w:sz="4" w:space="0" w:color="auto"/>
            </w:tcBorders>
            <w:shd w:val="clear" w:color="auto" w:fill="D9D9D9" w:themeFill="background1" w:themeFillShade="D9"/>
          </w:tcPr>
          <w:p w14:paraId="137E66E6" w14:textId="77777777" w:rsidR="00C43F26" w:rsidRPr="00CF1C81" w:rsidRDefault="00C43F26" w:rsidP="00C43F26">
            <w:pPr>
              <w:autoSpaceDE w:val="0"/>
              <w:autoSpaceDN w:val="0"/>
              <w:adjustRightInd w:val="0"/>
              <w:rPr>
                <w:rFonts w:ascii="Times New Roman" w:hAnsi="Times New Roman" w:cs="Times New Roman"/>
                <w:b/>
                <w:sz w:val="24"/>
                <w:lang w:val="en-GB"/>
              </w:rPr>
            </w:pPr>
            <w:r w:rsidRPr="00CF1C81">
              <w:rPr>
                <w:rFonts w:ascii="Times New Roman" w:hAnsi="Times New Roman" w:cs="Times New Roman"/>
                <w:b/>
                <w:sz w:val="24"/>
                <w:lang w:val="en-GB"/>
              </w:rPr>
              <w:t>Row number</w:t>
            </w:r>
          </w:p>
        </w:tc>
        <w:tc>
          <w:tcPr>
            <w:tcW w:w="7655" w:type="dxa"/>
            <w:tcBorders>
              <w:bottom w:val="single" w:sz="4" w:space="0" w:color="auto"/>
            </w:tcBorders>
            <w:shd w:val="clear" w:color="auto" w:fill="D9D9D9" w:themeFill="background1" w:themeFillShade="D9"/>
          </w:tcPr>
          <w:p w14:paraId="733E3A74" w14:textId="77777777" w:rsidR="00C43F26" w:rsidRPr="00CF1C81" w:rsidRDefault="00C43F26" w:rsidP="00C43F26">
            <w:pPr>
              <w:autoSpaceDE w:val="0"/>
              <w:autoSpaceDN w:val="0"/>
              <w:adjustRightInd w:val="0"/>
              <w:rPr>
                <w:rFonts w:ascii="Times New Roman" w:hAnsi="Times New Roman" w:cs="Times New Roman"/>
                <w:color w:val="000000"/>
                <w:sz w:val="24"/>
                <w:lang w:val="en-GB"/>
              </w:rPr>
            </w:pPr>
            <w:r w:rsidRPr="00CF1C81">
              <w:rPr>
                <w:rFonts w:ascii="Times New Roman" w:hAnsi="Times New Roman" w:cs="Times New Roman"/>
                <w:b/>
                <w:sz w:val="24"/>
                <w:lang w:val="en-GB"/>
              </w:rPr>
              <w:t>Explanation</w:t>
            </w:r>
          </w:p>
        </w:tc>
      </w:tr>
      <w:tr w:rsidR="00C43F26" w:rsidRPr="00CF1C81" w14:paraId="34A6838A" w14:textId="77777777" w:rsidTr="004A5C6E">
        <w:trPr>
          <w:trHeight w:val="238"/>
        </w:trPr>
        <w:tc>
          <w:tcPr>
            <w:tcW w:w="1384" w:type="dxa"/>
            <w:tcBorders>
              <w:top w:val="nil"/>
              <w:bottom w:val="single" w:sz="4" w:space="0" w:color="auto"/>
            </w:tcBorders>
            <w:shd w:val="clear" w:color="auto" w:fill="FFFFFF" w:themeFill="background1"/>
            <w:vAlign w:val="center"/>
          </w:tcPr>
          <w:p w14:paraId="189FB574" w14:textId="330CF5F8" w:rsidR="00C43F26" w:rsidRPr="00CF1C81" w:rsidRDefault="00CF5840" w:rsidP="004A5C6E">
            <w:pPr>
              <w:spacing w:before="60" w:after="120"/>
              <w:jc w:val="center"/>
              <w:rPr>
                <w:rFonts w:ascii="Times New Roman" w:hAnsi="Times New Roman" w:cs="Times New Roman"/>
                <w:sz w:val="24"/>
              </w:rPr>
            </w:pPr>
            <w:r w:rsidRPr="00CF1C81">
              <w:rPr>
                <w:rFonts w:ascii="Times New Roman" w:hAnsi="Times New Roman" w:cs="Times New Roman"/>
                <w:sz w:val="24"/>
              </w:rPr>
              <w:t>(a)</w:t>
            </w:r>
          </w:p>
        </w:tc>
        <w:tc>
          <w:tcPr>
            <w:tcW w:w="7655" w:type="dxa"/>
            <w:tcBorders>
              <w:top w:val="nil"/>
              <w:bottom w:val="single" w:sz="4" w:space="0" w:color="auto"/>
            </w:tcBorders>
            <w:shd w:val="clear" w:color="auto" w:fill="FFFFFF" w:themeFill="background1"/>
            <w:vAlign w:val="center"/>
          </w:tcPr>
          <w:p w14:paraId="4200D2DF" w14:textId="25A0FF4F" w:rsidR="00C43F26" w:rsidRPr="00CF1C81" w:rsidRDefault="006C3BF7" w:rsidP="006C3BF7">
            <w:pPr>
              <w:spacing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I</w:t>
            </w:r>
            <w:r w:rsidR="00C43F26" w:rsidRPr="00CF1C81">
              <w:rPr>
                <w:rFonts w:ascii="Times New Roman" w:eastAsia="Times New Roman" w:hAnsi="Times New Roman" w:cs="Times New Roman"/>
                <w:sz w:val="24"/>
                <w:lang w:val="en-GB"/>
              </w:rPr>
              <w:t>nstitutions shall explain and quantify the origins of any significant differences between the amounts in columns (a) and (b) in template</w:t>
            </w:r>
            <w:r w:rsidR="00801C54">
              <w:rPr>
                <w:rFonts w:ascii="Times New Roman" w:eastAsia="Times New Roman" w:hAnsi="Times New Roman" w:cs="Times New Roman"/>
                <w:sz w:val="24"/>
                <w:lang w:val="en-GB"/>
              </w:rPr>
              <w:t xml:space="preserve"> EU</w:t>
            </w:r>
            <w:r w:rsidR="00C43F26" w:rsidRPr="00CF1C81">
              <w:rPr>
                <w:rFonts w:ascii="Times New Roman" w:eastAsia="Times New Roman" w:hAnsi="Times New Roman" w:cs="Times New Roman"/>
                <w:sz w:val="24"/>
                <w:lang w:val="en-GB"/>
              </w:rPr>
              <w:t xml:space="preserve"> LI1, regardless of whether the differences proceed from different consolidation rules or from the use of different accounting standards between the accounting and the regulatory consolidations.</w:t>
            </w:r>
          </w:p>
        </w:tc>
      </w:tr>
      <w:tr w:rsidR="00C43F26" w:rsidRPr="00CF1C81" w14:paraId="0101F28E" w14:textId="77777777" w:rsidTr="00C43F26">
        <w:trPr>
          <w:trHeight w:val="238"/>
        </w:trPr>
        <w:tc>
          <w:tcPr>
            <w:tcW w:w="1384" w:type="dxa"/>
            <w:tcBorders>
              <w:top w:val="single" w:sz="4" w:space="0" w:color="auto"/>
              <w:bottom w:val="single" w:sz="4" w:space="0" w:color="auto"/>
            </w:tcBorders>
            <w:shd w:val="clear" w:color="auto" w:fill="FFFFFF" w:themeFill="background1"/>
            <w:vAlign w:val="center"/>
          </w:tcPr>
          <w:p w14:paraId="0C0923AD" w14:textId="134504F0" w:rsidR="00C43F26" w:rsidRPr="00CF1C81" w:rsidRDefault="00CF5840" w:rsidP="004A5C6E">
            <w:pPr>
              <w:spacing w:before="60" w:after="120"/>
              <w:jc w:val="center"/>
              <w:rPr>
                <w:rFonts w:ascii="Times New Roman" w:hAnsi="Times New Roman" w:cs="Times New Roman"/>
                <w:sz w:val="24"/>
              </w:rPr>
            </w:pPr>
            <w:r w:rsidRPr="00CF1C81">
              <w:rPr>
                <w:rFonts w:ascii="Times New Roman" w:hAnsi="Times New Roman" w:cs="Times New Roman"/>
                <w:sz w:val="24"/>
              </w:rPr>
              <w:t>(b)</w:t>
            </w:r>
          </w:p>
        </w:tc>
        <w:tc>
          <w:tcPr>
            <w:tcW w:w="7655" w:type="dxa"/>
            <w:tcBorders>
              <w:top w:val="single" w:sz="4" w:space="0" w:color="auto"/>
              <w:bottom w:val="single" w:sz="4" w:space="0" w:color="auto"/>
            </w:tcBorders>
            <w:shd w:val="clear" w:color="auto" w:fill="FFFFFF" w:themeFill="background1"/>
            <w:vAlign w:val="center"/>
          </w:tcPr>
          <w:p w14:paraId="55AA4ABC" w14:textId="4366DA1D" w:rsidR="00C43F26" w:rsidRPr="00CF1C81" w:rsidRDefault="00C43F26" w:rsidP="00C43F26">
            <w:pPr>
              <w:spacing w:after="120"/>
              <w:jc w:val="both"/>
              <w:rPr>
                <w:rFonts w:ascii="Times New Roman" w:eastAsia="Times New Roman" w:hAnsi="Times New Roman" w:cs="Times New Roman"/>
                <w:sz w:val="24"/>
                <w:lang w:val="en-GB"/>
              </w:rPr>
            </w:pPr>
            <w:r w:rsidRPr="00CF1C81">
              <w:rPr>
                <w:rFonts w:ascii="Times New Roman" w:eastAsia="Times New Roman" w:hAnsi="Times New Roman" w:cs="Times New Roman"/>
                <w:sz w:val="24"/>
                <w:lang w:val="en-GB"/>
              </w:rPr>
              <w:t xml:space="preserve">Institutions shall explain the origins of differences between carrying values under the regulatory scope of consolidation and amounts considered for regulatory purposes shown in template </w:t>
            </w:r>
            <w:r w:rsidR="00801C54">
              <w:rPr>
                <w:rFonts w:ascii="Times New Roman" w:eastAsia="Times New Roman" w:hAnsi="Times New Roman" w:cs="Times New Roman"/>
                <w:sz w:val="24"/>
                <w:lang w:val="en-GB"/>
              </w:rPr>
              <w:t xml:space="preserve">EU </w:t>
            </w:r>
            <w:r w:rsidRPr="00CF1C81">
              <w:rPr>
                <w:rFonts w:ascii="Times New Roman" w:eastAsia="Times New Roman" w:hAnsi="Times New Roman" w:cs="Times New Roman"/>
                <w:sz w:val="24"/>
                <w:lang w:val="en-GB"/>
              </w:rPr>
              <w:t>LI2.</w:t>
            </w:r>
          </w:p>
        </w:tc>
      </w:tr>
    </w:tbl>
    <w:p w14:paraId="5B668A05" w14:textId="7D155E66" w:rsidR="00C43F26" w:rsidRPr="00CF1C81" w:rsidRDefault="00C43F26" w:rsidP="00B30386">
      <w:pPr>
        <w:spacing w:before="60" w:after="120"/>
        <w:ind w:left="357"/>
        <w:jc w:val="both"/>
        <w:rPr>
          <w:rFonts w:ascii="Times New Roman" w:hAnsi="Times New Roman" w:cs="Times New Roman"/>
          <w:sz w:val="24"/>
        </w:rPr>
      </w:pPr>
    </w:p>
    <w:p w14:paraId="1CAA4292" w14:textId="6C049FEF" w:rsidR="00B30386" w:rsidRPr="00CF1C81" w:rsidRDefault="00174579" w:rsidP="00B30386">
      <w:pPr>
        <w:ind w:left="360"/>
        <w:jc w:val="both"/>
        <w:rPr>
          <w:rFonts w:ascii="Times New Roman" w:hAnsi="Times New Roman" w:cs="Times New Roman"/>
          <w:sz w:val="24"/>
          <w:lang w:val="en-GB"/>
        </w:rPr>
      </w:pPr>
      <w:r w:rsidRPr="00CF1C81">
        <w:rPr>
          <w:rFonts w:ascii="Times New Roman" w:hAnsi="Times New Roman" w:cs="Times New Roman"/>
          <w:sz w:val="24"/>
          <w:lang w:val="en-GB"/>
        </w:rPr>
        <w:t xml:space="preserve"> </w:t>
      </w:r>
    </w:p>
    <w:bookmarkEnd w:id="0"/>
    <w:bookmarkEnd w:id="1"/>
    <w:bookmarkEnd w:id="2"/>
    <w:bookmarkEnd w:id="3"/>
    <w:bookmarkEnd w:id="4"/>
    <w:bookmarkEnd w:id="5"/>
    <w:bookmarkEnd w:id="6"/>
    <w:bookmarkEnd w:id="7"/>
    <w:bookmarkEnd w:id="8"/>
    <w:bookmarkEnd w:id="9"/>
    <w:p w14:paraId="1ADDB993" w14:textId="5EDB7B77" w:rsidR="004D353E" w:rsidRPr="00CF1C81" w:rsidRDefault="004D353E" w:rsidP="00CF5840">
      <w:pPr>
        <w:spacing w:after="120"/>
        <w:rPr>
          <w:rFonts w:ascii="Times New Roman" w:hAnsi="Times New Roman" w:cs="Times New Roman"/>
          <w:sz w:val="24"/>
        </w:rPr>
      </w:pPr>
      <w:r w:rsidRPr="00CF1C81">
        <w:rPr>
          <w:rFonts w:ascii="Times New Roman" w:hAnsi="Times New Roman" w:cs="Times New Roman"/>
          <w:b/>
          <w:sz w:val="24"/>
        </w:rPr>
        <w:lastRenderedPageBreak/>
        <w:t xml:space="preserve">Table </w:t>
      </w:r>
      <w:r w:rsidR="00A25FA0" w:rsidRPr="00CF1C81">
        <w:rPr>
          <w:rFonts w:ascii="Times New Roman" w:hAnsi="Times New Roman" w:cs="Times New Roman"/>
          <w:b/>
          <w:sz w:val="24"/>
        </w:rPr>
        <w:t xml:space="preserve">EU </w:t>
      </w:r>
      <w:r w:rsidRPr="00CF1C81">
        <w:rPr>
          <w:rFonts w:ascii="Times New Roman" w:hAnsi="Times New Roman" w:cs="Times New Roman"/>
          <w:b/>
          <w:sz w:val="24"/>
        </w:rPr>
        <w:t xml:space="preserve">LIB – Other </w:t>
      </w:r>
      <w:r w:rsidR="00BB4D39">
        <w:rPr>
          <w:rFonts w:ascii="Times New Roman" w:hAnsi="Times New Roman" w:cs="Times New Roman"/>
          <w:b/>
          <w:sz w:val="24"/>
        </w:rPr>
        <w:t>qualitative information</w:t>
      </w:r>
      <w:r w:rsidRPr="00CF1C81">
        <w:rPr>
          <w:rFonts w:ascii="Times New Roman" w:hAnsi="Times New Roman" w:cs="Times New Roman"/>
          <w:b/>
          <w:sz w:val="24"/>
        </w:rPr>
        <w:t xml:space="preserve"> on the scope of application</w:t>
      </w:r>
      <w:r w:rsidR="00174579" w:rsidRPr="00CF1C81">
        <w:rPr>
          <w:rFonts w:ascii="Times New Roman" w:hAnsi="Times New Roman" w:cs="Times New Roman"/>
          <w:b/>
          <w:sz w:val="24"/>
        </w:rPr>
        <w:t>.</w:t>
      </w:r>
      <w:r w:rsidR="00174579" w:rsidRPr="00CF1C81">
        <w:rPr>
          <w:rFonts w:ascii="Times New Roman" w:hAnsi="Times New Roman" w:cs="Times New Roman"/>
          <w:sz w:val="24"/>
        </w:rPr>
        <w:t xml:space="preserve"> Free format text boxes for disclosure of qualitative information</w:t>
      </w:r>
    </w:p>
    <w:p w14:paraId="0FE73C7E" w14:textId="762777CD" w:rsidR="00174579" w:rsidRPr="00CF1C81" w:rsidRDefault="00174579" w:rsidP="00883F00">
      <w:pPr>
        <w:pStyle w:val="ListParagraph"/>
        <w:numPr>
          <w:ilvl w:val="0"/>
          <w:numId w:val="38"/>
        </w:numPr>
        <w:spacing w:before="120" w:after="120"/>
        <w:ind w:left="425" w:hanging="357"/>
        <w:jc w:val="both"/>
        <w:rPr>
          <w:rFonts w:ascii="Times New Roman" w:hAnsi="Times New Roman"/>
          <w:sz w:val="24"/>
        </w:rPr>
      </w:pPr>
      <w:r w:rsidRPr="00E85027">
        <w:rPr>
          <w:rFonts w:ascii="Times New Roman" w:hAnsi="Times New Roman"/>
          <w:noProof/>
          <w:sz w:val="24"/>
        </w:rPr>
        <w:t>Institutions</w:t>
      </w:r>
      <w:r w:rsidRPr="00E85027">
        <w:rPr>
          <w:rFonts w:ascii="Times New Roman" w:hAnsi="Times New Roman"/>
          <w:sz w:val="24"/>
        </w:rPr>
        <w:t xml:space="preserve"> shall </w:t>
      </w:r>
      <w:r w:rsidR="00BC59C6">
        <w:rPr>
          <w:rFonts w:ascii="Times New Roman" w:hAnsi="Times New Roman"/>
          <w:noProof/>
          <w:sz w:val="24"/>
        </w:rPr>
        <w:t xml:space="preserve">apply the instructions provided below in this Annex in order to complete table </w:t>
      </w:r>
      <w:r w:rsidR="00330AB0">
        <w:rPr>
          <w:rFonts w:ascii="Times New Roman" w:hAnsi="Times New Roman"/>
          <w:noProof/>
          <w:sz w:val="24"/>
        </w:rPr>
        <w:t xml:space="preserve">EU LIB as </w:t>
      </w:r>
      <w:r w:rsidR="00BC59C6">
        <w:rPr>
          <w:rFonts w:ascii="Times New Roman" w:hAnsi="Times New Roman"/>
          <w:noProof/>
          <w:sz w:val="24"/>
        </w:rPr>
        <w:t xml:space="preserve">presented in Annex 5, </w:t>
      </w:r>
      <w:r w:rsidRPr="00E85027">
        <w:rPr>
          <w:rFonts w:ascii="Times New Roman" w:hAnsi="Times New Roman"/>
          <w:sz w:val="24"/>
        </w:rPr>
        <w:t>in application of Article 4</w:t>
      </w:r>
      <w:r w:rsidR="00A16F39">
        <w:rPr>
          <w:rFonts w:ascii="Times New Roman" w:hAnsi="Times New Roman"/>
          <w:sz w:val="24"/>
        </w:rPr>
        <w:t>36</w:t>
      </w:r>
      <w:r w:rsidRPr="00CF1C81">
        <w:rPr>
          <w:rFonts w:ascii="Times New Roman" w:hAnsi="Times New Roman"/>
          <w:sz w:val="24"/>
        </w:rPr>
        <w:t>(</w:t>
      </w:r>
      <w:r w:rsidRPr="00E85027">
        <w:rPr>
          <w:rFonts w:ascii="Times New Roman" w:hAnsi="Times New Roman"/>
          <w:sz w:val="24"/>
        </w:rPr>
        <w:t>f</w:t>
      </w:r>
      <w:r w:rsidRPr="00CF1C81">
        <w:rPr>
          <w:rFonts w:ascii="Times New Roman" w:hAnsi="Times New Roman"/>
          <w:sz w:val="24"/>
        </w:rPr>
        <w:t>)</w:t>
      </w:r>
      <w:r w:rsidRPr="00E85027">
        <w:rPr>
          <w:rFonts w:ascii="Times New Roman" w:hAnsi="Times New Roman"/>
          <w:sz w:val="24"/>
        </w:rPr>
        <w:t xml:space="preserve">, </w:t>
      </w:r>
      <w:r w:rsidRPr="00CF1C81">
        <w:rPr>
          <w:rFonts w:ascii="Times New Roman" w:hAnsi="Times New Roman"/>
          <w:sz w:val="24"/>
        </w:rPr>
        <w:t>(</w:t>
      </w:r>
      <w:r w:rsidRPr="00E85027">
        <w:rPr>
          <w:rFonts w:ascii="Times New Roman" w:hAnsi="Times New Roman"/>
          <w:sz w:val="24"/>
        </w:rPr>
        <w:t>g</w:t>
      </w:r>
      <w:r w:rsidRPr="00CF1C81">
        <w:rPr>
          <w:rFonts w:ascii="Times New Roman" w:hAnsi="Times New Roman"/>
          <w:sz w:val="24"/>
        </w:rPr>
        <w:t>)</w:t>
      </w:r>
      <w:r w:rsidRPr="00E85027">
        <w:rPr>
          <w:rFonts w:ascii="Times New Roman" w:hAnsi="Times New Roman"/>
          <w:sz w:val="24"/>
        </w:rPr>
        <w:t xml:space="preserve"> and </w:t>
      </w:r>
      <w:r w:rsidRPr="00CF1C81">
        <w:rPr>
          <w:rFonts w:ascii="Times New Roman" w:hAnsi="Times New Roman"/>
          <w:sz w:val="24"/>
        </w:rPr>
        <w:t>(</w:t>
      </w:r>
      <w:r w:rsidRPr="00E85027">
        <w:rPr>
          <w:rFonts w:ascii="Times New Roman" w:hAnsi="Times New Roman"/>
          <w:sz w:val="24"/>
        </w:rPr>
        <w:t>h</w:t>
      </w:r>
      <w:r w:rsidRPr="00CF1C81">
        <w:rPr>
          <w:rFonts w:ascii="Times New Roman" w:hAnsi="Times New Roman"/>
          <w:sz w:val="24"/>
        </w:rPr>
        <w:t>)</w:t>
      </w:r>
      <w:r w:rsidRPr="00E85027">
        <w:rPr>
          <w:rFonts w:ascii="Times New Roman" w:hAnsi="Times New Roman"/>
          <w:sz w:val="24"/>
        </w:rPr>
        <w:t xml:space="preserve"> of CRR</w:t>
      </w:r>
      <w:r w:rsidR="00BC59C6">
        <w:rPr>
          <w:rFonts w:ascii="Times New Roman" w:hAnsi="Times New Roman"/>
          <w:sz w:val="24"/>
        </w:rPr>
        <w:t>.</w:t>
      </w:r>
    </w:p>
    <w:p w14:paraId="23B50CB6" w14:textId="77777777" w:rsidR="00174579" w:rsidRPr="00E85027" w:rsidRDefault="00174579" w:rsidP="00CF5840">
      <w:pPr>
        <w:spacing w:after="120"/>
        <w:rPr>
          <w:rFonts w:ascii="Times New Roman" w:hAnsi="Times New Roman" w:cs="Times New Roman"/>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4D353E" w:rsidRPr="00D42046" w14:paraId="6EE55E7A" w14:textId="77777777" w:rsidTr="004D353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4EEAE" w14:textId="70B6669A" w:rsidR="004D353E" w:rsidRPr="00D42046" w:rsidRDefault="00174579" w:rsidP="004D353E">
            <w:pPr>
              <w:rPr>
                <w:rFonts w:ascii="Times New Roman" w:hAnsi="Times New Roman" w:cs="Times New Roman"/>
                <w:b/>
                <w:sz w:val="24"/>
                <w:lang w:val="en-GB"/>
              </w:rPr>
            </w:pPr>
            <w:r w:rsidRPr="00D42046">
              <w:rPr>
                <w:rFonts w:ascii="Times New Roman" w:hAnsi="Times New Roman" w:cs="Times New Roman"/>
                <w:b/>
                <w:sz w:val="24"/>
                <w:lang w:val="en-GB"/>
              </w:rPr>
              <w:t>Legal references and instructions</w:t>
            </w:r>
          </w:p>
        </w:tc>
      </w:tr>
      <w:tr w:rsidR="004D353E" w:rsidRPr="00D42046" w14:paraId="2C95166F" w14:textId="77777777" w:rsidTr="004D353E">
        <w:trPr>
          <w:trHeight w:val="238"/>
        </w:trPr>
        <w:tc>
          <w:tcPr>
            <w:tcW w:w="1384" w:type="dxa"/>
            <w:shd w:val="clear" w:color="auto" w:fill="D9D9D9" w:themeFill="background1" w:themeFillShade="D9"/>
          </w:tcPr>
          <w:p w14:paraId="70666348" w14:textId="77777777" w:rsidR="004D353E" w:rsidRPr="00D42046" w:rsidRDefault="004D353E" w:rsidP="004D353E">
            <w:pPr>
              <w:autoSpaceDE w:val="0"/>
              <w:autoSpaceDN w:val="0"/>
              <w:adjustRightInd w:val="0"/>
              <w:rPr>
                <w:rFonts w:ascii="Times New Roman" w:hAnsi="Times New Roman" w:cs="Times New Roman"/>
                <w:b/>
                <w:sz w:val="24"/>
                <w:lang w:val="en-GB"/>
              </w:rPr>
            </w:pPr>
            <w:r w:rsidRPr="00D42046">
              <w:rPr>
                <w:rFonts w:ascii="Times New Roman" w:hAnsi="Times New Roman" w:cs="Times New Roman"/>
                <w:b/>
                <w:sz w:val="24"/>
                <w:lang w:val="en-GB"/>
              </w:rPr>
              <w:t>Row number</w:t>
            </w:r>
          </w:p>
        </w:tc>
        <w:tc>
          <w:tcPr>
            <w:tcW w:w="7655" w:type="dxa"/>
            <w:shd w:val="clear" w:color="auto" w:fill="D9D9D9" w:themeFill="background1" w:themeFillShade="D9"/>
          </w:tcPr>
          <w:p w14:paraId="22FBAFD4" w14:textId="77777777" w:rsidR="004D353E" w:rsidRPr="00D42046" w:rsidRDefault="004D353E" w:rsidP="004D353E">
            <w:pPr>
              <w:autoSpaceDE w:val="0"/>
              <w:autoSpaceDN w:val="0"/>
              <w:adjustRightInd w:val="0"/>
              <w:rPr>
                <w:rFonts w:ascii="Times New Roman" w:hAnsi="Times New Roman" w:cs="Times New Roman"/>
                <w:color w:val="000000"/>
                <w:sz w:val="24"/>
                <w:lang w:val="en-GB"/>
              </w:rPr>
            </w:pPr>
            <w:r w:rsidRPr="00D42046">
              <w:rPr>
                <w:rFonts w:ascii="Times New Roman" w:hAnsi="Times New Roman" w:cs="Times New Roman"/>
                <w:b/>
                <w:sz w:val="24"/>
                <w:lang w:val="en-GB"/>
              </w:rPr>
              <w:t>Explanation</w:t>
            </w:r>
          </w:p>
        </w:tc>
      </w:tr>
      <w:tr w:rsidR="004D353E" w:rsidRPr="00D42046" w14:paraId="6870A2BD" w14:textId="77777777" w:rsidTr="00A16F39">
        <w:trPr>
          <w:trHeight w:val="238"/>
        </w:trPr>
        <w:tc>
          <w:tcPr>
            <w:tcW w:w="1384" w:type="dxa"/>
            <w:shd w:val="clear" w:color="auto" w:fill="auto"/>
          </w:tcPr>
          <w:p w14:paraId="6E8A5F90" w14:textId="11D57E25" w:rsidR="004D353E" w:rsidRPr="00D42046" w:rsidRDefault="00174579" w:rsidP="00174579">
            <w:pPr>
              <w:autoSpaceDE w:val="0"/>
              <w:autoSpaceDN w:val="0"/>
              <w:adjustRightInd w:val="0"/>
              <w:jc w:val="center"/>
              <w:rPr>
                <w:rFonts w:ascii="Times New Roman" w:hAnsi="Times New Roman" w:cs="Times New Roman"/>
                <w:b/>
                <w:sz w:val="24"/>
                <w:lang w:val="en-GB"/>
              </w:rPr>
            </w:pPr>
            <w:r w:rsidRPr="00D42046">
              <w:rPr>
                <w:rFonts w:ascii="Times New Roman" w:hAnsi="Times New Roman" w:cs="Times New Roman"/>
                <w:sz w:val="24"/>
              </w:rPr>
              <w:t>(</w:t>
            </w:r>
            <w:r w:rsidR="004D353E" w:rsidRPr="00D42046">
              <w:rPr>
                <w:rFonts w:ascii="Times New Roman" w:hAnsi="Times New Roman" w:cs="Times New Roman"/>
                <w:sz w:val="24"/>
              </w:rPr>
              <w:t>a</w:t>
            </w:r>
            <w:r w:rsidRPr="00D42046">
              <w:rPr>
                <w:rFonts w:ascii="Times New Roman" w:hAnsi="Times New Roman" w:cs="Times New Roman"/>
                <w:sz w:val="24"/>
              </w:rPr>
              <w:t>)</w:t>
            </w:r>
          </w:p>
        </w:tc>
        <w:tc>
          <w:tcPr>
            <w:tcW w:w="7655" w:type="dxa"/>
            <w:shd w:val="clear" w:color="auto" w:fill="auto"/>
          </w:tcPr>
          <w:p w14:paraId="4D80FCD7" w14:textId="77777777" w:rsidR="004D353E" w:rsidRPr="00D42046" w:rsidRDefault="004D353E" w:rsidP="004D353E">
            <w:pPr>
              <w:autoSpaceDE w:val="0"/>
              <w:autoSpaceDN w:val="0"/>
              <w:adjustRightInd w:val="0"/>
              <w:spacing w:before="60" w:after="60"/>
              <w:jc w:val="both"/>
              <w:rPr>
                <w:rFonts w:ascii="Times New Roman" w:hAnsi="Times New Roman" w:cs="Times New Roman"/>
                <w:b/>
                <w:sz w:val="24"/>
                <w:lang w:val="en-GB"/>
              </w:rPr>
            </w:pPr>
            <w:r w:rsidRPr="00D42046">
              <w:rPr>
                <w:rFonts w:ascii="Times New Roman" w:eastAsia="Times New Roman" w:hAnsi="Times New Roman" w:cs="Times New Roman"/>
                <w:sz w:val="24"/>
                <w:lang w:eastAsia="en-GB"/>
              </w:rPr>
              <w:t>Institutions shall disclose any current or expected material practical or legal impediment to the prompt transfer of own funds or to the repayment of liabilities between the parent undertaking and its subsidiaries.</w:t>
            </w:r>
          </w:p>
        </w:tc>
      </w:tr>
      <w:tr w:rsidR="004D353E" w:rsidRPr="00D42046" w14:paraId="354F6E4E" w14:textId="77777777" w:rsidTr="00A16F39">
        <w:trPr>
          <w:trHeight w:val="238"/>
        </w:trPr>
        <w:tc>
          <w:tcPr>
            <w:tcW w:w="1384" w:type="dxa"/>
            <w:shd w:val="clear" w:color="auto" w:fill="auto"/>
          </w:tcPr>
          <w:p w14:paraId="4420164F" w14:textId="480C0D23" w:rsidR="004D353E" w:rsidRPr="00D42046" w:rsidRDefault="00174579" w:rsidP="004D353E">
            <w:pPr>
              <w:autoSpaceDE w:val="0"/>
              <w:autoSpaceDN w:val="0"/>
              <w:adjustRightInd w:val="0"/>
              <w:jc w:val="center"/>
              <w:rPr>
                <w:rFonts w:ascii="Times New Roman" w:hAnsi="Times New Roman" w:cs="Times New Roman"/>
                <w:b/>
                <w:sz w:val="24"/>
                <w:lang w:val="en-GB"/>
              </w:rPr>
            </w:pPr>
            <w:r w:rsidRPr="00D42046">
              <w:rPr>
                <w:rFonts w:ascii="Times New Roman" w:hAnsi="Times New Roman" w:cs="Times New Roman"/>
                <w:sz w:val="24"/>
              </w:rPr>
              <w:t>(</w:t>
            </w:r>
            <w:r w:rsidR="004D353E" w:rsidRPr="00D42046">
              <w:rPr>
                <w:rFonts w:ascii="Times New Roman" w:hAnsi="Times New Roman" w:cs="Times New Roman"/>
                <w:sz w:val="24"/>
              </w:rPr>
              <w:t>b</w:t>
            </w:r>
            <w:r w:rsidRPr="00D42046">
              <w:rPr>
                <w:rFonts w:ascii="Times New Roman" w:hAnsi="Times New Roman" w:cs="Times New Roman"/>
                <w:sz w:val="24"/>
              </w:rPr>
              <w:t>)</w:t>
            </w:r>
          </w:p>
        </w:tc>
        <w:tc>
          <w:tcPr>
            <w:tcW w:w="7655" w:type="dxa"/>
            <w:shd w:val="clear" w:color="auto" w:fill="auto"/>
          </w:tcPr>
          <w:p w14:paraId="1E04B2E3" w14:textId="6F11882C" w:rsidR="004D353E" w:rsidRPr="00D42046" w:rsidRDefault="00441E4E" w:rsidP="00441E4E">
            <w:pPr>
              <w:autoSpaceDE w:val="0"/>
              <w:autoSpaceDN w:val="0"/>
              <w:adjustRightInd w:val="0"/>
              <w:spacing w:before="60" w:after="60"/>
              <w:jc w:val="both"/>
              <w:rPr>
                <w:rFonts w:ascii="Times New Roman" w:hAnsi="Times New Roman" w:cs="Times New Roman"/>
                <w:b/>
                <w:sz w:val="24"/>
                <w:lang w:val="en-GB"/>
              </w:rPr>
            </w:pPr>
            <w:r w:rsidRPr="00D42046">
              <w:rPr>
                <w:rFonts w:ascii="Times New Roman" w:eastAsia="Times New Roman" w:hAnsi="Times New Roman" w:cs="Times New Roman"/>
                <w:sz w:val="24"/>
                <w:lang w:eastAsia="en-GB"/>
              </w:rPr>
              <w:t xml:space="preserve">Where applicable, </w:t>
            </w:r>
            <w:r>
              <w:rPr>
                <w:rFonts w:ascii="Times New Roman" w:eastAsia="Times New Roman" w:hAnsi="Times New Roman" w:cs="Times New Roman"/>
                <w:sz w:val="24"/>
                <w:lang w:eastAsia="en-GB"/>
              </w:rPr>
              <w:t>i</w:t>
            </w:r>
            <w:r w:rsidR="004D353E" w:rsidRPr="00D42046">
              <w:rPr>
                <w:rFonts w:ascii="Times New Roman" w:eastAsia="Times New Roman" w:hAnsi="Times New Roman" w:cs="Times New Roman"/>
                <w:sz w:val="24"/>
                <w:lang w:eastAsia="en-GB"/>
              </w:rPr>
              <w:t xml:space="preserve">nstitutions shall disclose </w:t>
            </w:r>
            <w:r>
              <w:rPr>
                <w:rFonts w:ascii="Times New Roman" w:eastAsia="Times New Roman" w:hAnsi="Times New Roman" w:cs="Times New Roman"/>
                <w:sz w:val="24"/>
                <w:lang w:eastAsia="en-GB"/>
              </w:rPr>
              <w:t xml:space="preserve">the name or names of the </w:t>
            </w:r>
            <w:r w:rsidR="004D353E" w:rsidRPr="00D42046">
              <w:rPr>
                <w:rFonts w:ascii="Times New Roman" w:eastAsia="Times New Roman" w:hAnsi="Times New Roman" w:cs="Times New Roman"/>
                <w:sz w:val="24"/>
                <w:lang w:eastAsia="en-GB"/>
              </w:rPr>
              <w:t xml:space="preserve">subsidiaries that are not </w:t>
            </w:r>
            <w:r>
              <w:rPr>
                <w:rFonts w:ascii="Times New Roman" w:eastAsia="Times New Roman" w:hAnsi="Times New Roman" w:cs="Times New Roman"/>
                <w:sz w:val="24"/>
                <w:lang w:eastAsia="en-GB"/>
              </w:rPr>
              <w:t>included in the consolidation</w:t>
            </w:r>
            <w:r w:rsidR="004D353E" w:rsidRPr="00D42046">
              <w:rPr>
                <w:rFonts w:ascii="Times New Roman" w:eastAsia="Times New Roman" w:hAnsi="Times New Roman" w:cs="Times New Roman"/>
                <w:sz w:val="24"/>
                <w:lang w:eastAsia="en-GB"/>
              </w:rPr>
              <w:t>.</w:t>
            </w:r>
          </w:p>
        </w:tc>
      </w:tr>
      <w:tr w:rsidR="004D353E" w:rsidRPr="00CF1C81" w14:paraId="0B111EC4" w14:textId="77777777" w:rsidTr="00A16F39">
        <w:trPr>
          <w:trHeight w:val="238"/>
        </w:trPr>
        <w:tc>
          <w:tcPr>
            <w:tcW w:w="1384" w:type="dxa"/>
            <w:shd w:val="clear" w:color="auto" w:fill="auto"/>
          </w:tcPr>
          <w:p w14:paraId="434776E2" w14:textId="49097521" w:rsidR="004D353E" w:rsidRPr="00D42046" w:rsidRDefault="00D42046" w:rsidP="00174579">
            <w:pPr>
              <w:autoSpaceDE w:val="0"/>
              <w:autoSpaceDN w:val="0"/>
              <w:adjustRightInd w:val="0"/>
              <w:jc w:val="center"/>
              <w:rPr>
                <w:rFonts w:ascii="Times New Roman" w:hAnsi="Times New Roman" w:cs="Times New Roman"/>
                <w:b/>
                <w:sz w:val="24"/>
                <w:lang w:val="en-GB"/>
              </w:rPr>
            </w:pPr>
            <w:r>
              <w:rPr>
                <w:rFonts w:ascii="Times New Roman" w:hAnsi="Times New Roman" w:cs="Times New Roman"/>
                <w:sz w:val="24"/>
              </w:rPr>
              <w:t>(c)</w:t>
            </w:r>
          </w:p>
        </w:tc>
        <w:tc>
          <w:tcPr>
            <w:tcW w:w="7655" w:type="dxa"/>
            <w:shd w:val="clear" w:color="auto" w:fill="auto"/>
          </w:tcPr>
          <w:p w14:paraId="27A8A00F" w14:textId="77777777" w:rsidR="004D353E" w:rsidRPr="00CF1C81" w:rsidRDefault="004D353E" w:rsidP="004D353E">
            <w:pPr>
              <w:autoSpaceDE w:val="0"/>
              <w:autoSpaceDN w:val="0"/>
              <w:adjustRightInd w:val="0"/>
              <w:spacing w:before="60" w:after="60"/>
              <w:jc w:val="both"/>
              <w:rPr>
                <w:rFonts w:ascii="Times New Roman" w:hAnsi="Times New Roman" w:cs="Times New Roman"/>
                <w:b/>
                <w:sz w:val="24"/>
                <w:lang w:val="en-GB"/>
              </w:rPr>
            </w:pPr>
            <w:r w:rsidRPr="00D42046">
              <w:rPr>
                <w:rFonts w:ascii="Times New Roman" w:eastAsia="Times New Roman" w:hAnsi="Times New Roman" w:cs="Times New Roman"/>
                <w:sz w:val="24"/>
                <w:lang w:eastAsia="en-GB"/>
              </w:rPr>
              <w:t>Where applicable, institutions shall disclose the circumstances under which use is made of the derogation referred to in Article 7 or the individual consolidation method laid down in Article 9.</w:t>
            </w:r>
          </w:p>
        </w:tc>
      </w:tr>
      <w:tr w:rsidR="00D42046" w:rsidRPr="00CF1C81" w14:paraId="001FE85A" w14:textId="77777777" w:rsidTr="00A16F39">
        <w:trPr>
          <w:trHeight w:val="238"/>
        </w:trPr>
        <w:tc>
          <w:tcPr>
            <w:tcW w:w="1384" w:type="dxa"/>
            <w:tcBorders>
              <w:bottom w:val="single" w:sz="4" w:space="0" w:color="auto"/>
            </w:tcBorders>
            <w:shd w:val="clear" w:color="auto" w:fill="auto"/>
          </w:tcPr>
          <w:p w14:paraId="18BBA5FA" w14:textId="0ADF59F1" w:rsidR="00D42046" w:rsidRPr="00D42046" w:rsidRDefault="00064535" w:rsidP="009B4CB5">
            <w:pPr>
              <w:autoSpaceDE w:val="0"/>
              <w:autoSpaceDN w:val="0"/>
              <w:adjustRightInd w:val="0"/>
              <w:jc w:val="center"/>
              <w:rPr>
                <w:rFonts w:ascii="Times New Roman" w:hAnsi="Times New Roman" w:cs="Times New Roman"/>
                <w:b/>
                <w:sz w:val="24"/>
                <w:lang w:val="en-GB"/>
              </w:rPr>
            </w:pPr>
            <w:r>
              <w:rPr>
                <w:rFonts w:ascii="Times New Roman" w:hAnsi="Times New Roman" w:cs="Times New Roman"/>
                <w:sz w:val="24"/>
              </w:rPr>
              <w:t>(d</w:t>
            </w:r>
            <w:r w:rsidR="00D42046">
              <w:rPr>
                <w:rFonts w:ascii="Times New Roman" w:hAnsi="Times New Roman" w:cs="Times New Roman"/>
                <w:sz w:val="24"/>
              </w:rPr>
              <w:t>)</w:t>
            </w:r>
          </w:p>
        </w:tc>
        <w:tc>
          <w:tcPr>
            <w:tcW w:w="7655" w:type="dxa"/>
            <w:tcBorders>
              <w:bottom w:val="single" w:sz="4" w:space="0" w:color="auto"/>
            </w:tcBorders>
            <w:shd w:val="clear" w:color="auto" w:fill="auto"/>
          </w:tcPr>
          <w:p w14:paraId="71DB2B7A" w14:textId="2852840B" w:rsidR="00D42046" w:rsidRPr="00CF1C81" w:rsidRDefault="00D42046" w:rsidP="009B4CB5">
            <w:pPr>
              <w:autoSpaceDE w:val="0"/>
              <w:autoSpaceDN w:val="0"/>
              <w:adjustRightInd w:val="0"/>
              <w:spacing w:before="60" w:after="60"/>
              <w:jc w:val="both"/>
              <w:rPr>
                <w:rFonts w:ascii="Times New Roman" w:hAnsi="Times New Roman" w:cs="Times New Roman"/>
                <w:b/>
                <w:sz w:val="24"/>
                <w:lang w:val="en-GB"/>
              </w:rPr>
            </w:pPr>
            <w:r w:rsidRPr="00D42046">
              <w:rPr>
                <w:rFonts w:ascii="Times New Roman" w:eastAsia="Times New Roman" w:hAnsi="Times New Roman" w:cs="Times New Roman"/>
                <w:sz w:val="24"/>
                <w:lang w:eastAsia="en-GB"/>
              </w:rPr>
              <w:t>Where applicable, institutions shall disclose aggregate amount by which the actual own funds are less than required in all subsidiaries that are not included in the consolidation, and the name</w:t>
            </w:r>
            <w:r w:rsidR="00A16F39">
              <w:rPr>
                <w:rFonts w:ascii="Times New Roman" w:eastAsia="Times New Roman" w:hAnsi="Times New Roman" w:cs="Times New Roman"/>
                <w:sz w:val="24"/>
                <w:lang w:eastAsia="en-GB"/>
              </w:rPr>
              <w:t xml:space="preserve"> or names of those subsidiaries</w:t>
            </w:r>
            <w:r w:rsidRPr="00D42046">
              <w:rPr>
                <w:rFonts w:ascii="Times New Roman" w:eastAsia="Times New Roman" w:hAnsi="Times New Roman" w:cs="Times New Roman"/>
                <w:sz w:val="24"/>
                <w:lang w:eastAsia="en-GB"/>
              </w:rPr>
              <w:t>.</w:t>
            </w:r>
          </w:p>
        </w:tc>
      </w:tr>
    </w:tbl>
    <w:p w14:paraId="0D25AE82" w14:textId="5036ABC0" w:rsidR="00401A65" w:rsidRDefault="00401A65" w:rsidP="006D7057">
      <w:pPr>
        <w:rPr>
          <w:rFonts w:ascii="Times New Roman" w:hAnsi="Times New Roman" w:cs="Times New Roman"/>
          <w:sz w:val="24"/>
        </w:rPr>
      </w:pPr>
    </w:p>
    <w:p w14:paraId="04A03A7F" w14:textId="77777777" w:rsidR="00DC7DF7" w:rsidRDefault="00DC7DF7" w:rsidP="00DC7DF7">
      <w:pPr>
        <w:spacing w:after="120"/>
        <w:jc w:val="both"/>
        <w:rPr>
          <w:rFonts w:ascii="Times New Roman" w:hAnsi="Times New Roman" w:cs="Times New Roman"/>
          <w:szCs w:val="22"/>
        </w:rPr>
      </w:pPr>
      <w:r w:rsidRPr="00997826">
        <w:rPr>
          <w:rFonts w:ascii="Times New Roman" w:hAnsi="Times New Roman" w:cs="Times New Roman"/>
          <w:b/>
          <w:szCs w:val="22"/>
        </w:rPr>
        <w:t xml:space="preserve">Template </w:t>
      </w:r>
      <w:r>
        <w:rPr>
          <w:rFonts w:ascii="Times New Roman" w:hAnsi="Times New Roman" w:cs="Times New Roman"/>
          <w:b/>
          <w:szCs w:val="22"/>
        </w:rPr>
        <w:t>EU PV1</w:t>
      </w:r>
      <w:r w:rsidRPr="00997826">
        <w:rPr>
          <w:rFonts w:ascii="Times New Roman" w:hAnsi="Times New Roman" w:cs="Times New Roman"/>
          <w:b/>
          <w:szCs w:val="22"/>
        </w:rPr>
        <w:t xml:space="preserve"> – </w:t>
      </w:r>
      <w:r w:rsidRPr="001A1FA1">
        <w:rPr>
          <w:rFonts w:ascii="Times New Roman" w:hAnsi="Times New Roman" w:cs="Times New Roman"/>
          <w:b/>
          <w:szCs w:val="22"/>
        </w:rPr>
        <w:t>Template EU PV1: Prudent valuation adjustments (PVA)</w:t>
      </w:r>
      <w:r w:rsidRPr="00997826">
        <w:rPr>
          <w:rFonts w:ascii="Times New Roman" w:hAnsi="Times New Roman" w:cs="Times New Roman"/>
          <w:b/>
          <w:szCs w:val="22"/>
        </w:rPr>
        <w:t xml:space="preserve">: </w:t>
      </w:r>
      <w:r w:rsidRPr="004F09DC">
        <w:rPr>
          <w:rFonts w:ascii="Times New Roman" w:hAnsi="Times New Roman" w:cs="Times New Roman"/>
          <w:szCs w:val="22"/>
        </w:rPr>
        <w:t>Fixed format</w:t>
      </w:r>
    </w:p>
    <w:p w14:paraId="11F0DD47" w14:textId="77777777" w:rsidR="00DC7DF7" w:rsidRPr="00B551DC" w:rsidRDefault="00DC7DF7" w:rsidP="00DC7DF7">
      <w:pPr>
        <w:rPr>
          <w:rFonts w:ascii="Times New Roman" w:hAnsi="Times New Roman" w:cs="Times New Roman"/>
          <w:szCs w:val="22"/>
        </w:rPr>
      </w:pPr>
      <w:r w:rsidRPr="00B551DC">
        <w:rPr>
          <w:rFonts w:ascii="Times New Roman" w:hAnsi="Times New Roman" w:cs="Times New Roman"/>
          <w:szCs w:val="22"/>
        </w:rPr>
        <w:t xml:space="preserve">Institutions applying the core approach for the determination of the additional valuation adjustment for prudent valuation in accordance with Chapter III of the </w:t>
      </w:r>
      <w:r w:rsidRPr="00B551DC">
        <w:rPr>
          <w:rFonts w:ascii="Times New Roman" w:hAnsi="Times New Roman" w:cs="Times New Roman"/>
          <w:bCs/>
          <w:szCs w:val="22"/>
        </w:rPr>
        <w:t xml:space="preserve">Commission delegated regulation (EU) 2016/101 of 26 October 2015 shall </w:t>
      </w:r>
      <w:r>
        <w:rPr>
          <w:rFonts w:ascii="Times New Roman" w:hAnsi="Times New Roman" w:cs="Times New Roman"/>
          <w:bCs/>
          <w:szCs w:val="22"/>
        </w:rPr>
        <w:t>apply the instructions provided below in this Annex to complete</w:t>
      </w:r>
      <w:r w:rsidRPr="00B551DC">
        <w:rPr>
          <w:rFonts w:ascii="Times New Roman" w:hAnsi="Times New Roman" w:cs="Times New Roman"/>
          <w:bCs/>
          <w:szCs w:val="22"/>
        </w:rPr>
        <w:t xml:space="preserve"> template </w:t>
      </w:r>
      <w:r>
        <w:rPr>
          <w:rFonts w:ascii="Times New Roman" w:hAnsi="Times New Roman" w:cs="Times New Roman"/>
          <w:bCs/>
          <w:szCs w:val="22"/>
        </w:rPr>
        <w:t xml:space="preserve">EU </w:t>
      </w:r>
      <w:r w:rsidRPr="00B551DC">
        <w:rPr>
          <w:rFonts w:ascii="Times New Roman" w:hAnsi="Times New Roman" w:cs="Times New Roman"/>
          <w:bCs/>
          <w:szCs w:val="22"/>
        </w:rPr>
        <w:t>PV1</w:t>
      </w:r>
      <w:r>
        <w:rPr>
          <w:rFonts w:ascii="Times New Roman" w:hAnsi="Times New Roman" w:cs="Times New Roman"/>
          <w:bCs/>
          <w:szCs w:val="22"/>
        </w:rPr>
        <w:t xml:space="preserve"> as presented in Annex 5</w:t>
      </w:r>
      <w:r w:rsidRPr="00B551DC">
        <w:rPr>
          <w:rFonts w:ascii="Times New Roman" w:hAnsi="Times New Roman" w:cs="Times New Roman"/>
          <w:bCs/>
          <w:szCs w:val="22"/>
        </w:rPr>
        <w:t xml:space="preserve">, in accordance with Article 436 (e) of </w:t>
      </w:r>
      <w:r w:rsidRPr="00B551DC">
        <w:rPr>
          <w:rFonts w:ascii="Times New Roman" w:hAnsi="Times New Roman" w:cs="Times New Roman"/>
          <w:szCs w:val="22"/>
        </w:rPr>
        <w:t>Regulation (EU) No 575/2013 (CRR)</w:t>
      </w:r>
      <w:r>
        <w:rPr>
          <w:rFonts w:ascii="Times New Roman" w:hAnsi="Times New Roman" w:cs="Times New Roman"/>
          <w:szCs w:val="22"/>
        </w:rPr>
        <w:t>.</w:t>
      </w:r>
      <w:r w:rsidRPr="00B551DC">
        <w:rPr>
          <w:rFonts w:ascii="Times New Roman" w:hAnsi="Times New Roman" w:cs="Times New Roman"/>
          <w:szCs w:val="22"/>
        </w:rPr>
        <w:t xml:space="preserve"> </w:t>
      </w:r>
    </w:p>
    <w:p w14:paraId="606596AD" w14:textId="77777777" w:rsidR="00DC7DF7" w:rsidRPr="00B551DC" w:rsidRDefault="00DC7DF7" w:rsidP="00DC7DF7">
      <w:pPr>
        <w:spacing w:before="60" w:after="120"/>
        <w:jc w:val="both"/>
        <w:rPr>
          <w:rFonts w:ascii="Times New Roman" w:hAnsi="Times New Roman" w:cs="Times New Roman"/>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DC7DF7" w:rsidRPr="00B551DC" w14:paraId="5638620B" w14:textId="77777777" w:rsidTr="000332B2">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2594B" w14:textId="77777777" w:rsidR="00DC7DF7" w:rsidRPr="00B551DC" w:rsidRDefault="00DC7DF7" w:rsidP="000332B2">
            <w:pPr>
              <w:rPr>
                <w:rFonts w:ascii="Times New Roman" w:hAnsi="Times New Roman" w:cs="Times New Roman"/>
                <w:b/>
                <w:szCs w:val="22"/>
                <w:lang w:val="en-GB"/>
              </w:rPr>
            </w:pPr>
            <w:r w:rsidRPr="00B551DC">
              <w:rPr>
                <w:rFonts w:ascii="Times New Roman" w:hAnsi="Times New Roman" w:cs="Times New Roman"/>
                <w:b/>
                <w:szCs w:val="22"/>
                <w:lang w:val="en-GB"/>
              </w:rPr>
              <w:t>Legal references and instructions</w:t>
            </w:r>
          </w:p>
        </w:tc>
      </w:tr>
      <w:tr w:rsidR="00DC7DF7" w:rsidRPr="00B551DC" w14:paraId="7DE88CDB" w14:textId="77777777" w:rsidTr="000332B2">
        <w:trPr>
          <w:trHeight w:val="238"/>
        </w:trPr>
        <w:tc>
          <w:tcPr>
            <w:tcW w:w="1384" w:type="dxa"/>
            <w:shd w:val="clear" w:color="auto" w:fill="D9D9D9" w:themeFill="background1" w:themeFillShade="D9"/>
          </w:tcPr>
          <w:p w14:paraId="4C162AFE" w14:textId="77777777" w:rsidR="00DC7DF7" w:rsidRPr="00B551DC" w:rsidRDefault="00DC7DF7" w:rsidP="000332B2">
            <w:pPr>
              <w:autoSpaceDE w:val="0"/>
              <w:autoSpaceDN w:val="0"/>
              <w:adjustRightInd w:val="0"/>
              <w:rPr>
                <w:rFonts w:ascii="Times New Roman" w:hAnsi="Times New Roman" w:cs="Times New Roman"/>
                <w:b/>
                <w:szCs w:val="22"/>
                <w:lang w:val="en-GB"/>
              </w:rPr>
            </w:pPr>
            <w:r w:rsidRPr="00B551DC">
              <w:rPr>
                <w:rFonts w:ascii="Times New Roman" w:hAnsi="Times New Roman" w:cs="Times New Roman"/>
                <w:b/>
                <w:szCs w:val="22"/>
                <w:lang w:val="en-GB"/>
              </w:rPr>
              <w:t>Row number</w:t>
            </w:r>
          </w:p>
        </w:tc>
        <w:tc>
          <w:tcPr>
            <w:tcW w:w="7655" w:type="dxa"/>
            <w:shd w:val="clear" w:color="auto" w:fill="D9D9D9" w:themeFill="background1" w:themeFillShade="D9"/>
          </w:tcPr>
          <w:p w14:paraId="097C3ACD" w14:textId="77777777" w:rsidR="00DC7DF7" w:rsidRPr="00B551DC" w:rsidRDefault="00DC7DF7" w:rsidP="000332B2">
            <w:pPr>
              <w:autoSpaceDE w:val="0"/>
              <w:autoSpaceDN w:val="0"/>
              <w:adjustRightInd w:val="0"/>
              <w:rPr>
                <w:rFonts w:ascii="Times New Roman" w:hAnsi="Times New Roman" w:cs="Times New Roman"/>
                <w:color w:val="000000"/>
                <w:szCs w:val="22"/>
                <w:lang w:val="en-GB"/>
              </w:rPr>
            </w:pPr>
            <w:r w:rsidRPr="00B551DC">
              <w:rPr>
                <w:rFonts w:ascii="Times New Roman" w:hAnsi="Times New Roman" w:cs="Times New Roman"/>
                <w:b/>
                <w:szCs w:val="22"/>
                <w:lang w:val="en-GB"/>
              </w:rPr>
              <w:t>Explanation</w:t>
            </w:r>
          </w:p>
        </w:tc>
      </w:tr>
      <w:tr w:rsidR="00DC7DF7" w:rsidRPr="00B551DC" w14:paraId="430B558E"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D70AB36" w14:textId="77777777" w:rsidR="00DC7DF7" w:rsidRPr="00B551DC" w:rsidRDefault="00DC7DF7" w:rsidP="000332B2">
            <w:pPr>
              <w:autoSpaceDE w:val="0"/>
              <w:autoSpaceDN w:val="0"/>
              <w:adjustRightInd w:val="0"/>
              <w:jc w:val="center"/>
              <w:rPr>
                <w:rFonts w:ascii="Times New Roman" w:hAnsi="Times New Roman" w:cs="Times New Roman"/>
                <w:szCs w:val="22"/>
                <w:lang w:val="en-GB"/>
              </w:rPr>
            </w:pPr>
            <w:r w:rsidRPr="00B551DC">
              <w:rPr>
                <w:rFonts w:ascii="Times New Roman" w:hAnsi="Times New Roman" w:cs="Times New Roman"/>
                <w:szCs w:val="22"/>
                <w:lang w:val="en-GB"/>
              </w:rPr>
              <w:t xml:space="preserve">Rows 1 to </w:t>
            </w:r>
            <w:r>
              <w:rPr>
                <w:rFonts w:ascii="Times New Roman" w:hAnsi="Times New Roman" w:cs="Times New Roman"/>
                <w:szCs w:val="22"/>
                <w:lang w:val="en-GB"/>
              </w:rPr>
              <w:t>12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6527FC" w14:textId="77777777" w:rsidR="00DC7DF7" w:rsidRPr="00B551DC" w:rsidRDefault="00DC7DF7" w:rsidP="000332B2">
            <w:pPr>
              <w:spacing w:beforeLines="60" w:before="144" w:afterLines="60" w:after="144"/>
              <w:rPr>
                <w:rStyle w:val="InstructionsTabelleberschrift"/>
                <w:rFonts w:ascii="Times New Roman" w:hAnsi="Times New Roman"/>
                <w:szCs w:val="22"/>
              </w:rPr>
            </w:pPr>
            <w:r w:rsidRPr="00B551DC">
              <w:rPr>
                <w:rStyle w:val="InstructionsTabelleberschrift"/>
                <w:rFonts w:ascii="Times New Roman" w:hAnsi="Times New Roman"/>
                <w:szCs w:val="22"/>
              </w:rPr>
              <w:t>Category level AVA</w:t>
            </w:r>
          </w:p>
          <w:p w14:paraId="31BBC192"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The category level AVAs for market price uncertainty, close-out costs, model risk, concentrated positions, future administrative costs, early termination and operational risk are calculated as described in Articles 9 to 11 and 14 to 17 of the Delegated Regulation (EU) 2016/101 on prudent valuation respectively.</w:t>
            </w:r>
          </w:p>
          <w:p w14:paraId="0AFDBB69"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For the market price uncertainty, close-out cost and model risk categories, which are subject to diversification benefit as set out under Articles 9(6), 10(7) and 11(7) of the Delegated Regulation (EU) 2016/101 on prudent valuation, respectively, category level AVAs shall be disclosed in columns a to EU e2 as the straight sum of the individual AVAs before diversification benefit. Diversification benefits are disclosed in column EU f2 in accordance with Articles 9(6), 10(7) and 11(7)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w:t>
            </w:r>
          </w:p>
        </w:tc>
      </w:tr>
      <w:tr w:rsidR="00DC7DF7" w:rsidRPr="00B551DC" w14:paraId="3F1E9265"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4DDFB15"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lastRenderedPageBreak/>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2F62DF1" w14:textId="77777777" w:rsidR="00DC7DF7" w:rsidRPr="00B551DC" w:rsidRDefault="00DC7DF7" w:rsidP="000332B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Market price uncertainty</w:t>
            </w:r>
          </w:p>
          <w:p w14:paraId="694D642B"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 xml:space="preserve">Article 105(10) CRR. </w:t>
            </w:r>
          </w:p>
          <w:p w14:paraId="5908BBEF" w14:textId="77777777" w:rsidR="00DC7DF7" w:rsidRPr="00B551DC" w:rsidRDefault="00DC7DF7" w:rsidP="000332B2">
            <w:pPr>
              <w:autoSpaceDE w:val="0"/>
              <w:autoSpaceDN w:val="0"/>
              <w:adjustRightInd w:val="0"/>
              <w:spacing w:after="120"/>
              <w:jc w:val="both"/>
              <w:rPr>
                <w:rFonts w:ascii="Times New Roman" w:hAnsi="Times New Roman" w:cs="Times New Roman"/>
                <w:szCs w:val="22"/>
                <w:lang w:val="en-GB"/>
              </w:rPr>
            </w:pPr>
            <w:r w:rsidRPr="00B551DC">
              <w:rPr>
                <w:rFonts w:ascii="Times New Roman" w:hAnsi="Times New Roman" w:cs="Times New Roman"/>
                <w:szCs w:val="22"/>
              </w:rPr>
              <w:t>Market price uncertainty AVAs computed according to Article 9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w:t>
            </w:r>
          </w:p>
        </w:tc>
      </w:tr>
      <w:tr w:rsidR="00DC7DF7" w:rsidRPr="00B551DC" w14:paraId="7255B576"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E30CFA"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w:t>
            </w:r>
            <w:r>
              <w:rPr>
                <w:rFonts w:ascii="Times New Roman" w:hAnsi="Times New Roman" w:cs="Times New Roman"/>
                <w:szCs w:val="22"/>
                <w:lang w:val="en-GB"/>
              </w:rPr>
              <w:t>3</w:t>
            </w:r>
            <w:r w:rsidRPr="00B551DC">
              <w:rPr>
                <w:rFonts w:ascii="Times New Roman" w:hAnsi="Times New Roman" w:cs="Times New Roman"/>
                <w:szCs w:val="22"/>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B7595F5" w14:textId="77777777" w:rsidR="00DC7DF7" w:rsidRPr="00B551DC" w:rsidRDefault="00DC7DF7" w:rsidP="000332B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Close-out costs</w:t>
            </w:r>
          </w:p>
          <w:p w14:paraId="5906A840"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 xml:space="preserve">Article 105(10) CRR. </w:t>
            </w:r>
          </w:p>
          <w:p w14:paraId="6F718DB1" w14:textId="77777777" w:rsidR="00DC7DF7" w:rsidRPr="00B551DC" w:rsidRDefault="00DC7DF7" w:rsidP="000332B2">
            <w:pPr>
              <w:autoSpaceDE w:val="0"/>
              <w:autoSpaceDN w:val="0"/>
              <w:adjustRightInd w:val="0"/>
              <w:spacing w:before="60" w:after="120"/>
              <w:jc w:val="both"/>
              <w:rPr>
                <w:rFonts w:ascii="Times New Roman" w:hAnsi="Times New Roman" w:cs="Times New Roman"/>
                <w:szCs w:val="22"/>
                <w:lang w:val="en-GB"/>
              </w:rPr>
            </w:pPr>
            <w:r w:rsidRPr="00B551DC">
              <w:rPr>
                <w:rFonts w:ascii="Times New Roman" w:hAnsi="Times New Roman" w:cs="Times New Roman"/>
                <w:szCs w:val="22"/>
              </w:rPr>
              <w:t>Close-out costs AVAs computed according to Article 10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w:t>
            </w:r>
          </w:p>
        </w:tc>
      </w:tr>
      <w:tr w:rsidR="00DC7DF7" w:rsidRPr="00B551DC" w14:paraId="3E751D8A"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D1F5AF0"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w:t>
            </w:r>
            <w:r>
              <w:rPr>
                <w:rFonts w:ascii="Times New Roman" w:hAnsi="Times New Roman" w:cs="Times New Roman"/>
                <w:szCs w:val="22"/>
                <w:lang w:val="en-GB"/>
              </w:rPr>
              <w:t>4</w:t>
            </w:r>
            <w:r w:rsidRPr="00B551DC">
              <w:rPr>
                <w:rFonts w:ascii="Times New Roman" w:hAnsi="Times New Roman" w:cs="Times New Roman"/>
                <w:szCs w:val="22"/>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F098C2" w14:textId="77777777" w:rsidR="00DC7DF7" w:rsidRPr="00B551DC" w:rsidRDefault="00DC7DF7" w:rsidP="000332B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Concentrated positions</w:t>
            </w:r>
          </w:p>
          <w:p w14:paraId="27210FB6"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Article 105(11) CRR</w:t>
            </w:r>
          </w:p>
          <w:p w14:paraId="3A648CAA" w14:textId="77777777" w:rsidR="00DC7DF7" w:rsidRPr="00B551DC" w:rsidRDefault="00DC7DF7" w:rsidP="000332B2">
            <w:pPr>
              <w:pStyle w:val="Default"/>
              <w:spacing w:after="120"/>
              <w:jc w:val="both"/>
              <w:rPr>
                <w:rFonts w:ascii="Times New Roman" w:hAnsi="Times New Roman" w:cs="Times New Roman"/>
                <w:sz w:val="22"/>
                <w:szCs w:val="22"/>
              </w:rPr>
            </w:pPr>
            <w:r w:rsidRPr="00B551DC">
              <w:rPr>
                <w:rFonts w:ascii="Times New Roman" w:hAnsi="Times New Roman" w:cs="Times New Roman"/>
                <w:sz w:val="22"/>
                <w:szCs w:val="22"/>
              </w:rPr>
              <w:t>Concentrated positions AVAs as computed under Article 14 of the Delegated Regulation (EU) 2016/101 on</w:t>
            </w:r>
            <w:r w:rsidRPr="00B551DC" w:rsidDel="00F811F8">
              <w:rPr>
                <w:rFonts w:ascii="Times New Roman" w:hAnsi="Times New Roman" w:cs="Times New Roman"/>
                <w:sz w:val="22"/>
                <w:szCs w:val="22"/>
              </w:rPr>
              <w:t xml:space="preserve"> </w:t>
            </w:r>
            <w:r w:rsidRPr="00B551DC">
              <w:rPr>
                <w:rFonts w:ascii="Times New Roman" w:hAnsi="Times New Roman" w:cs="Times New Roman"/>
                <w:sz w:val="22"/>
                <w:szCs w:val="22"/>
              </w:rPr>
              <w:t>prudent valuation.</w:t>
            </w:r>
          </w:p>
        </w:tc>
      </w:tr>
      <w:tr w:rsidR="00127D61" w:rsidRPr="00B551DC" w14:paraId="3D7F4FDC" w14:textId="77777777" w:rsidTr="005F36D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33AAFE7" w14:textId="77777777" w:rsidR="00127D61" w:rsidRPr="00B551DC" w:rsidRDefault="00127D61" w:rsidP="005F36D2">
            <w:pPr>
              <w:autoSpaceDE w:val="0"/>
              <w:autoSpaceDN w:val="0"/>
              <w:adjustRightInd w:val="0"/>
              <w:jc w:val="both"/>
              <w:rPr>
                <w:rFonts w:ascii="Times New Roman" w:hAnsi="Times New Roman" w:cs="Times New Roman"/>
                <w:szCs w:val="22"/>
                <w:lang w:val="en-GB"/>
              </w:rPr>
            </w:pPr>
            <w:bookmarkStart w:id="10" w:name="_GoBack"/>
            <w:r w:rsidRPr="00B551DC">
              <w:rPr>
                <w:rFonts w:ascii="Times New Roman" w:hAnsi="Times New Roman" w:cs="Times New Roman"/>
                <w:szCs w:val="22"/>
                <w:lang w:val="en-GB"/>
              </w:rPr>
              <w:t>{5}</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7AE6B7" w14:textId="77777777" w:rsidR="00127D61" w:rsidRPr="00B551DC" w:rsidRDefault="00127D61" w:rsidP="005F36D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Early termination</w:t>
            </w:r>
          </w:p>
          <w:p w14:paraId="7EF1E45A" w14:textId="77777777" w:rsidR="00127D61" w:rsidRPr="00B551DC" w:rsidRDefault="00127D61" w:rsidP="005F36D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Article 105(10) CRR</w:t>
            </w:r>
          </w:p>
          <w:p w14:paraId="20D243CA" w14:textId="77777777" w:rsidR="00127D61" w:rsidRPr="00B551DC" w:rsidRDefault="00127D61" w:rsidP="005F36D2">
            <w:pPr>
              <w:pStyle w:val="Default"/>
              <w:spacing w:before="60" w:after="120"/>
              <w:jc w:val="both"/>
              <w:rPr>
                <w:rFonts w:ascii="Times New Roman" w:hAnsi="Times New Roman" w:cs="Times New Roman"/>
                <w:sz w:val="22"/>
                <w:szCs w:val="22"/>
              </w:rPr>
            </w:pPr>
            <w:r w:rsidRPr="00B551DC">
              <w:rPr>
                <w:rFonts w:ascii="Times New Roman" w:hAnsi="Times New Roman" w:cs="Times New Roman"/>
                <w:sz w:val="22"/>
                <w:szCs w:val="22"/>
              </w:rPr>
              <w:t>Early termination AVAs as computed under Article 16 of the Delegated Regulation (EU) 2016/101 on</w:t>
            </w:r>
            <w:r w:rsidRPr="00B551DC" w:rsidDel="00F811F8">
              <w:rPr>
                <w:rFonts w:ascii="Times New Roman" w:hAnsi="Times New Roman" w:cs="Times New Roman"/>
                <w:sz w:val="22"/>
                <w:szCs w:val="22"/>
              </w:rPr>
              <w:t xml:space="preserve"> </w:t>
            </w:r>
            <w:r w:rsidRPr="00B551DC">
              <w:rPr>
                <w:rFonts w:ascii="Times New Roman" w:hAnsi="Times New Roman" w:cs="Times New Roman"/>
                <w:sz w:val="22"/>
                <w:szCs w:val="22"/>
              </w:rPr>
              <w:t>prudent valuation.</w:t>
            </w:r>
          </w:p>
        </w:tc>
      </w:tr>
      <w:tr w:rsidR="00DC7DF7" w:rsidRPr="00B551DC" w14:paraId="49866532"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DFB116C"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w:t>
            </w:r>
            <w:r>
              <w:rPr>
                <w:rFonts w:ascii="Times New Roman" w:hAnsi="Times New Roman" w:cs="Times New Roman"/>
                <w:szCs w:val="22"/>
                <w:lang w:val="en-GB"/>
              </w:rPr>
              <w:t>6</w:t>
            </w:r>
            <w:r w:rsidRPr="00B551DC">
              <w:rPr>
                <w:rFonts w:ascii="Times New Roman" w:hAnsi="Times New Roman" w:cs="Times New Roman"/>
                <w:szCs w:val="22"/>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3D8315B" w14:textId="77777777" w:rsidR="00DC7DF7" w:rsidRPr="00B551DC" w:rsidRDefault="00DC7DF7" w:rsidP="000332B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Model risk</w:t>
            </w:r>
          </w:p>
          <w:p w14:paraId="67EA30B8"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Article 105(10) CRR</w:t>
            </w:r>
          </w:p>
          <w:p w14:paraId="1E5BF9AF" w14:textId="77777777" w:rsidR="00DC7DF7" w:rsidRPr="00B551DC" w:rsidRDefault="00DC7DF7" w:rsidP="000332B2">
            <w:pPr>
              <w:pStyle w:val="Default"/>
              <w:spacing w:before="60" w:after="120"/>
              <w:jc w:val="both"/>
              <w:rPr>
                <w:rFonts w:ascii="Times New Roman" w:hAnsi="Times New Roman" w:cs="Times New Roman"/>
                <w:sz w:val="22"/>
                <w:szCs w:val="22"/>
              </w:rPr>
            </w:pPr>
            <w:r w:rsidRPr="00B551DC">
              <w:rPr>
                <w:rFonts w:ascii="Times New Roman" w:hAnsi="Times New Roman" w:cs="Times New Roman"/>
                <w:sz w:val="22"/>
                <w:szCs w:val="22"/>
              </w:rPr>
              <w:t>Model risk AVAs computed according to Article 11 of the Delegated Regulation (EU) 2016/101 on</w:t>
            </w:r>
            <w:r w:rsidRPr="00B551DC" w:rsidDel="00F811F8">
              <w:rPr>
                <w:rFonts w:ascii="Times New Roman" w:hAnsi="Times New Roman" w:cs="Times New Roman"/>
                <w:sz w:val="22"/>
                <w:szCs w:val="22"/>
              </w:rPr>
              <w:t xml:space="preserve"> </w:t>
            </w:r>
            <w:r w:rsidRPr="00B551DC">
              <w:rPr>
                <w:rFonts w:ascii="Times New Roman" w:hAnsi="Times New Roman" w:cs="Times New Roman"/>
                <w:sz w:val="22"/>
                <w:szCs w:val="22"/>
              </w:rPr>
              <w:t xml:space="preserve">prudent valuation. </w:t>
            </w:r>
          </w:p>
        </w:tc>
      </w:tr>
      <w:bookmarkEnd w:id="10"/>
      <w:tr w:rsidR="00DC7DF7" w:rsidRPr="00B551DC" w14:paraId="0844C3A2"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7C5B202"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w:t>
            </w:r>
            <w:r>
              <w:rPr>
                <w:rFonts w:ascii="Times New Roman" w:hAnsi="Times New Roman" w:cs="Times New Roman"/>
                <w:szCs w:val="22"/>
                <w:lang w:val="en-GB"/>
              </w:rPr>
              <w:t>7</w:t>
            </w:r>
            <w:r w:rsidRPr="00B551DC">
              <w:rPr>
                <w:rFonts w:ascii="Times New Roman" w:hAnsi="Times New Roman" w:cs="Times New Roman"/>
                <w:szCs w:val="22"/>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4A9A51" w14:textId="77777777" w:rsidR="00DC7DF7" w:rsidRPr="00B551DC" w:rsidRDefault="00DC7DF7" w:rsidP="000332B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Operational risk</w:t>
            </w:r>
          </w:p>
          <w:p w14:paraId="370EF9FB"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Article 105(10) CRR</w:t>
            </w:r>
          </w:p>
          <w:p w14:paraId="5498E2E1" w14:textId="77777777" w:rsidR="00DC7DF7" w:rsidRPr="00B551DC" w:rsidRDefault="00DC7DF7" w:rsidP="000332B2">
            <w:pPr>
              <w:pStyle w:val="Default"/>
              <w:spacing w:before="60" w:after="120"/>
              <w:jc w:val="both"/>
              <w:rPr>
                <w:rFonts w:ascii="Times New Roman" w:hAnsi="Times New Roman" w:cs="Times New Roman"/>
                <w:i/>
                <w:sz w:val="22"/>
                <w:szCs w:val="22"/>
              </w:rPr>
            </w:pPr>
            <w:r w:rsidRPr="00B551DC">
              <w:rPr>
                <w:rFonts w:ascii="Times New Roman" w:hAnsi="Times New Roman" w:cs="Times New Roman"/>
                <w:sz w:val="22"/>
                <w:szCs w:val="22"/>
              </w:rPr>
              <w:t>Operational risk AVAs as computed under Article 17 of the Delegated Regulation (EU) 2016/101 on</w:t>
            </w:r>
            <w:r w:rsidRPr="00B551DC" w:rsidDel="00F811F8">
              <w:rPr>
                <w:rFonts w:ascii="Times New Roman" w:hAnsi="Times New Roman" w:cs="Times New Roman"/>
                <w:sz w:val="22"/>
                <w:szCs w:val="22"/>
              </w:rPr>
              <w:t xml:space="preserve"> </w:t>
            </w:r>
            <w:r w:rsidRPr="00B551DC">
              <w:rPr>
                <w:rFonts w:ascii="Times New Roman" w:hAnsi="Times New Roman" w:cs="Times New Roman"/>
                <w:sz w:val="22"/>
                <w:szCs w:val="22"/>
              </w:rPr>
              <w:t>prudent valuation.</w:t>
            </w:r>
          </w:p>
        </w:tc>
      </w:tr>
      <w:tr w:rsidR="00DC7DF7" w:rsidRPr="00B551DC" w14:paraId="6DC161FC"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111D4EC"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w:t>
            </w:r>
            <w:r>
              <w:rPr>
                <w:rFonts w:ascii="Times New Roman" w:hAnsi="Times New Roman" w:cs="Times New Roman"/>
                <w:szCs w:val="22"/>
                <w:lang w:val="en-GB"/>
              </w:rPr>
              <w:t>10</w:t>
            </w:r>
            <w:r w:rsidRPr="00B551DC">
              <w:rPr>
                <w:rFonts w:ascii="Times New Roman" w:hAnsi="Times New Roman" w:cs="Times New Roman"/>
                <w:szCs w:val="22"/>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224EFB" w14:textId="77777777" w:rsidR="00DC7DF7" w:rsidRPr="00B551DC" w:rsidRDefault="00DC7DF7" w:rsidP="000332B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Future administrative costs</w:t>
            </w:r>
          </w:p>
          <w:p w14:paraId="233CC695"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Article 105(10) CRR</w:t>
            </w:r>
          </w:p>
          <w:p w14:paraId="6D9AFBF9" w14:textId="77777777" w:rsidR="00DC7DF7" w:rsidRPr="00B551DC" w:rsidRDefault="00DC7DF7" w:rsidP="000332B2">
            <w:pPr>
              <w:pStyle w:val="Default"/>
              <w:spacing w:after="120"/>
              <w:jc w:val="both"/>
              <w:rPr>
                <w:rFonts w:ascii="Times New Roman" w:hAnsi="Times New Roman" w:cs="Times New Roman"/>
                <w:sz w:val="22"/>
                <w:szCs w:val="22"/>
              </w:rPr>
            </w:pPr>
            <w:r w:rsidRPr="00B551DC">
              <w:rPr>
                <w:rFonts w:ascii="Times New Roman" w:hAnsi="Times New Roman" w:cs="Times New Roman"/>
                <w:sz w:val="22"/>
                <w:szCs w:val="22"/>
              </w:rPr>
              <w:t>Future administrative costs AVAs as computed under Article 15 of the Delegated Regulation (EU) 2016/101 on</w:t>
            </w:r>
            <w:r w:rsidRPr="00B551DC" w:rsidDel="00F811F8">
              <w:rPr>
                <w:rFonts w:ascii="Times New Roman" w:hAnsi="Times New Roman" w:cs="Times New Roman"/>
                <w:sz w:val="22"/>
                <w:szCs w:val="22"/>
              </w:rPr>
              <w:t xml:space="preserve"> </w:t>
            </w:r>
            <w:r w:rsidRPr="00B551DC">
              <w:rPr>
                <w:rFonts w:ascii="Times New Roman" w:hAnsi="Times New Roman" w:cs="Times New Roman"/>
                <w:sz w:val="22"/>
                <w:szCs w:val="22"/>
              </w:rPr>
              <w:t>prudent valuation.</w:t>
            </w:r>
          </w:p>
        </w:tc>
      </w:tr>
      <w:tr w:rsidR="00DC7DF7" w:rsidRPr="00B551DC" w14:paraId="68101AA4"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ED8FB5B"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w:t>
            </w:r>
            <w:r>
              <w:rPr>
                <w:rFonts w:ascii="Times New Roman" w:hAnsi="Times New Roman" w:cs="Times New Roman"/>
                <w:szCs w:val="22"/>
                <w:lang w:val="en-GB"/>
              </w:rPr>
              <w:t>12</w:t>
            </w:r>
            <w:r w:rsidRPr="00B551DC">
              <w:rPr>
                <w:rFonts w:ascii="Times New Roman" w:hAnsi="Times New Roman" w:cs="Times New Roman"/>
                <w:szCs w:val="22"/>
                <w:lang w:val="en-GB"/>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52FA0CF" w14:textId="77777777" w:rsidR="00DC7DF7" w:rsidRPr="00B551DC" w:rsidRDefault="00DC7DF7" w:rsidP="000332B2">
            <w:pPr>
              <w:spacing w:beforeLines="60" w:before="144" w:afterLines="60" w:after="144"/>
              <w:jc w:val="both"/>
              <w:rPr>
                <w:rStyle w:val="InstructionsTabelleberschrift"/>
                <w:rFonts w:ascii="Times New Roman" w:hAnsi="Times New Roman"/>
                <w:szCs w:val="22"/>
              </w:rPr>
            </w:pPr>
            <w:r w:rsidRPr="00B551DC">
              <w:rPr>
                <w:rStyle w:val="InstructionsTabelleberschrift"/>
                <w:rFonts w:ascii="Times New Roman" w:hAnsi="Times New Roman"/>
                <w:szCs w:val="22"/>
              </w:rPr>
              <w:t>Total additional valuation adjustments</w:t>
            </w:r>
          </w:p>
          <w:p w14:paraId="1F38FB5E" w14:textId="77777777" w:rsidR="00DC7DF7" w:rsidRPr="00B551DC" w:rsidRDefault="00DC7DF7" w:rsidP="000332B2">
            <w:pPr>
              <w:pStyle w:val="Default"/>
              <w:spacing w:after="120"/>
              <w:jc w:val="both"/>
              <w:rPr>
                <w:rFonts w:ascii="Times New Roman" w:hAnsi="Times New Roman" w:cs="Times New Roman"/>
                <w:sz w:val="22"/>
                <w:szCs w:val="22"/>
              </w:rPr>
            </w:pPr>
            <w:r w:rsidRPr="00B551DC">
              <w:rPr>
                <w:rFonts w:ascii="Times New Roman" w:hAnsi="Times New Roman" w:cs="Times New Roman"/>
                <w:sz w:val="22"/>
                <w:szCs w:val="22"/>
              </w:rPr>
              <w:t>Total AVA to be deducted from own funds under Articles 34 and 105 CRR The tota</w:t>
            </w:r>
            <w:r>
              <w:rPr>
                <w:rFonts w:ascii="Times New Roman" w:hAnsi="Times New Roman" w:cs="Times New Roman"/>
                <w:sz w:val="22"/>
                <w:szCs w:val="22"/>
              </w:rPr>
              <w:t>l AVA shall be the sum of rows 1</w:t>
            </w:r>
            <w:r w:rsidRPr="00B551DC">
              <w:rPr>
                <w:rFonts w:ascii="Times New Roman" w:hAnsi="Times New Roman" w:cs="Times New Roman"/>
                <w:sz w:val="22"/>
                <w:szCs w:val="22"/>
              </w:rPr>
              <w:t xml:space="preserve"> </w:t>
            </w:r>
            <w:r>
              <w:rPr>
                <w:rFonts w:ascii="Times New Roman" w:hAnsi="Times New Roman" w:cs="Times New Roman"/>
                <w:sz w:val="22"/>
                <w:szCs w:val="22"/>
              </w:rPr>
              <w:t>to</w:t>
            </w:r>
            <w:r w:rsidRPr="00B551DC">
              <w:rPr>
                <w:rFonts w:ascii="Times New Roman" w:hAnsi="Times New Roman" w:cs="Times New Roman"/>
                <w:sz w:val="22"/>
                <w:szCs w:val="22"/>
              </w:rPr>
              <w:t xml:space="preserve"> </w:t>
            </w:r>
            <w:r>
              <w:rPr>
                <w:rFonts w:ascii="Times New Roman" w:hAnsi="Times New Roman" w:cs="Times New Roman"/>
                <w:sz w:val="22"/>
                <w:szCs w:val="22"/>
              </w:rPr>
              <w:t>12</w:t>
            </w:r>
            <w:r w:rsidRPr="00B551DC">
              <w:rPr>
                <w:rFonts w:ascii="Times New Roman" w:hAnsi="Times New Roman" w:cs="Times New Roman"/>
                <w:sz w:val="22"/>
                <w:szCs w:val="22"/>
              </w:rPr>
              <w:t>.</w:t>
            </w:r>
          </w:p>
        </w:tc>
      </w:tr>
      <w:tr w:rsidR="00DC7DF7" w:rsidRPr="00B551DC" w14:paraId="1DF052C9" w14:textId="77777777" w:rsidTr="000332B2">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AE915" w14:textId="77777777" w:rsidR="00DC7DF7" w:rsidRPr="00B551DC" w:rsidRDefault="00DC7DF7" w:rsidP="000332B2">
            <w:pPr>
              <w:pStyle w:val="Applicationdirecte"/>
              <w:spacing w:before="0"/>
              <w:rPr>
                <w:b/>
                <w:sz w:val="22"/>
                <w:szCs w:val="22"/>
              </w:rPr>
            </w:pPr>
            <w:r w:rsidRPr="00B551DC">
              <w:rPr>
                <w:b/>
                <w:sz w:val="22"/>
                <w:szCs w:val="22"/>
              </w:rPr>
              <w:t>Column letter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CACDD" w14:textId="77777777" w:rsidR="00DC7DF7" w:rsidRPr="00B551DC" w:rsidRDefault="00DC7DF7" w:rsidP="000332B2">
            <w:pPr>
              <w:pStyle w:val="TableMainHeading"/>
              <w:spacing w:before="60"/>
              <w:jc w:val="both"/>
              <w:rPr>
                <w:rFonts w:ascii="Times New Roman" w:hAnsi="Times New Roman"/>
                <w:b/>
                <w:szCs w:val="22"/>
              </w:rPr>
            </w:pPr>
            <w:r w:rsidRPr="00B551DC">
              <w:rPr>
                <w:rFonts w:ascii="Times New Roman" w:hAnsi="Times New Roman"/>
                <w:b/>
                <w:szCs w:val="22"/>
              </w:rPr>
              <w:t>Explanation</w:t>
            </w:r>
          </w:p>
        </w:tc>
      </w:tr>
      <w:tr w:rsidR="00DC7DF7" w:rsidRPr="00B551DC" w14:paraId="467CC487"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7A49AD9"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{a}-{e}</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D548A7"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Breakdown by RISK CATEGORY</w:t>
            </w:r>
          </w:p>
          <w:p w14:paraId="415115FF"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lastRenderedPageBreak/>
              <w:t>Institutions shall allocate their fair-valued assets and liabilities included in the threshold computation in accordance with Article 4(1)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 xml:space="preserve">prudent valuation (trading book and non-trading book) according to the following risk categories: interest rates, foreign exchange, credit, equities, commodities. </w:t>
            </w:r>
          </w:p>
          <w:p w14:paraId="5EC59DB1" w14:textId="77777777" w:rsidR="00DC7DF7" w:rsidRPr="00B551DC" w:rsidRDefault="00DC7DF7" w:rsidP="000332B2">
            <w:pPr>
              <w:spacing w:beforeLines="60" w:before="144" w:afterLines="60" w:after="144"/>
              <w:jc w:val="both"/>
              <w:rPr>
                <w:rFonts w:ascii="Times New Roman" w:hAnsi="Times New Roman" w:cs="Times New Roman"/>
                <w:szCs w:val="22"/>
              </w:rPr>
            </w:pPr>
            <w:r w:rsidRPr="00B551DC">
              <w:rPr>
                <w:rFonts w:ascii="Times New Roman" w:hAnsi="Times New Roman" w:cs="Times New Roman"/>
                <w:szCs w:val="22"/>
              </w:rPr>
              <w:t>The breakdown in these columns excludes the AVAs computed in accordance with Articles 12 and 13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 xml:space="preserve">prudent valuation that are </w:t>
            </w:r>
            <w:r>
              <w:rPr>
                <w:rFonts w:ascii="Times New Roman" w:hAnsi="Times New Roman" w:cs="Times New Roman"/>
                <w:szCs w:val="22"/>
              </w:rPr>
              <w:t>disclosed</w:t>
            </w:r>
            <w:r w:rsidRPr="00B551DC">
              <w:rPr>
                <w:rFonts w:ascii="Times New Roman" w:hAnsi="Times New Roman" w:cs="Times New Roman"/>
                <w:szCs w:val="22"/>
              </w:rPr>
              <w:t xml:space="preserve"> in columns EU </w:t>
            </w:r>
            <w:r>
              <w:rPr>
                <w:rFonts w:ascii="Times New Roman" w:hAnsi="Times New Roman" w:cs="Times New Roman"/>
                <w:szCs w:val="22"/>
              </w:rPr>
              <w:t>e</w:t>
            </w:r>
            <w:r w:rsidRPr="00B551DC">
              <w:rPr>
                <w:rFonts w:ascii="Times New Roman" w:hAnsi="Times New Roman" w:cs="Times New Roman"/>
                <w:szCs w:val="22"/>
              </w:rPr>
              <w:t xml:space="preserve">1 and EU </w:t>
            </w:r>
            <w:r>
              <w:rPr>
                <w:rFonts w:ascii="Times New Roman" w:hAnsi="Times New Roman" w:cs="Times New Roman"/>
                <w:szCs w:val="22"/>
              </w:rPr>
              <w:t>e</w:t>
            </w:r>
            <w:r w:rsidRPr="00B551DC">
              <w:rPr>
                <w:rFonts w:ascii="Times New Roman" w:hAnsi="Times New Roman" w:cs="Times New Roman"/>
                <w:szCs w:val="22"/>
              </w:rPr>
              <w:t xml:space="preserve">2. </w:t>
            </w:r>
          </w:p>
          <w:p w14:paraId="5E3F8922"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p>
        </w:tc>
      </w:tr>
      <w:tr w:rsidR="00DC7DF7" w:rsidRPr="00B551DC" w14:paraId="0CAC25C2"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B8C4D74"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p w14:paraId="10842FE3" w14:textId="77777777" w:rsidR="00DC7DF7" w:rsidRPr="00B551DC" w:rsidRDefault="00DC7DF7" w:rsidP="000332B2">
            <w:pPr>
              <w:jc w:val="both"/>
              <w:rPr>
                <w:rFonts w:ascii="Times New Roman" w:hAnsi="Times New Roman" w:cs="Times New Roman"/>
                <w:color w:val="000000"/>
                <w:szCs w:val="22"/>
              </w:rPr>
            </w:pPr>
            <w:r w:rsidRPr="00B551DC">
              <w:rPr>
                <w:rFonts w:ascii="Times New Roman" w:hAnsi="Times New Roman" w:cs="Times New Roman"/>
                <w:color w:val="000000"/>
                <w:szCs w:val="22"/>
              </w:rPr>
              <w:t>{EU e1}</w:t>
            </w:r>
          </w:p>
          <w:p w14:paraId="3A2DDBA6"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C505463"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Category level AVA - Valuation uncertainty: Unearned credit spreads AVA</w:t>
            </w:r>
          </w:p>
          <w:p w14:paraId="00C20EB8" w14:textId="77777777" w:rsidR="00DC7DF7" w:rsidRPr="00B551DC" w:rsidRDefault="00DC7DF7" w:rsidP="000332B2">
            <w:pPr>
              <w:spacing w:beforeLines="60" w:before="144" w:afterLines="60" w:after="144"/>
              <w:rPr>
                <w:rFonts w:ascii="Times New Roman" w:hAnsi="Times New Roman" w:cs="Times New Roman"/>
                <w:szCs w:val="22"/>
              </w:rPr>
            </w:pPr>
            <w:r w:rsidRPr="00B551DC">
              <w:rPr>
                <w:rFonts w:ascii="Times New Roman" w:hAnsi="Times New Roman" w:cs="Times New Roman"/>
                <w:szCs w:val="22"/>
              </w:rPr>
              <w:t>Article 105(10) CRR, Article 12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w:t>
            </w:r>
          </w:p>
          <w:p w14:paraId="2FBB5787" w14:textId="77777777" w:rsidR="00DC7DF7" w:rsidRPr="00B551DC" w:rsidRDefault="00DC7DF7" w:rsidP="000332B2">
            <w:pPr>
              <w:spacing w:beforeLines="60" w:before="144" w:afterLines="60" w:after="144"/>
              <w:rPr>
                <w:rFonts w:ascii="Times New Roman" w:hAnsi="Times New Roman" w:cs="Times New Roman"/>
                <w:szCs w:val="22"/>
              </w:rPr>
            </w:pPr>
            <w:r w:rsidRPr="00B551DC">
              <w:rPr>
                <w:rFonts w:ascii="Times New Roman" w:hAnsi="Times New Roman" w:cs="Times New Roman"/>
                <w:szCs w:val="22"/>
              </w:rPr>
              <w:t>The total AVA calculated for unearned credit spreads (‘AVA on CVA’) and its allocation between market price uncertainty, close-out cost or model risk AVAs under Article 12 of the Delegated Regulation (EU) 2016/101 on</w:t>
            </w:r>
            <w:r w:rsidRPr="00B551DC" w:rsidDel="007466A4">
              <w:rPr>
                <w:rFonts w:ascii="Times New Roman" w:hAnsi="Times New Roman" w:cs="Times New Roman"/>
                <w:szCs w:val="22"/>
              </w:rPr>
              <w:t xml:space="preserve"> </w:t>
            </w:r>
            <w:r w:rsidRPr="00B551DC">
              <w:rPr>
                <w:rFonts w:ascii="Times New Roman" w:hAnsi="Times New Roman" w:cs="Times New Roman"/>
                <w:szCs w:val="22"/>
              </w:rPr>
              <w:t xml:space="preserve">prudent valuation. </w:t>
            </w:r>
          </w:p>
          <w:p w14:paraId="41198FBD"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p>
        </w:tc>
      </w:tr>
      <w:tr w:rsidR="00DC7DF7" w:rsidRPr="00B551DC" w14:paraId="6C335E81"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3314869"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p w14:paraId="54B3C22E" w14:textId="77777777" w:rsidR="00DC7DF7" w:rsidRPr="00B551DC" w:rsidRDefault="00DC7DF7" w:rsidP="000332B2">
            <w:pPr>
              <w:jc w:val="both"/>
              <w:rPr>
                <w:rFonts w:ascii="Times New Roman" w:hAnsi="Times New Roman" w:cs="Times New Roman"/>
                <w:color w:val="000000"/>
                <w:szCs w:val="22"/>
              </w:rPr>
            </w:pPr>
            <w:r w:rsidRPr="00B551DC">
              <w:rPr>
                <w:rFonts w:ascii="Times New Roman" w:hAnsi="Times New Roman" w:cs="Times New Roman"/>
                <w:color w:val="000000"/>
                <w:szCs w:val="22"/>
              </w:rPr>
              <w:t>{EU e2}</w:t>
            </w:r>
          </w:p>
          <w:p w14:paraId="0F2D36FB"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4A2ED9C"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Category level AVA - Investment and funding costs AVA</w:t>
            </w:r>
          </w:p>
          <w:p w14:paraId="09825CE1" w14:textId="77777777" w:rsidR="00DC7DF7" w:rsidRPr="00B551DC" w:rsidRDefault="00DC7DF7" w:rsidP="000332B2">
            <w:pPr>
              <w:spacing w:beforeLines="60" w:before="144" w:afterLines="60" w:after="144"/>
              <w:rPr>
                <w:rFonts w:ascii="Times New Roman" w:hAnsi="Times New Roman" w:cs="Times New Roman"/>
                <w:caps/>
                <w:szCs w:val="22"/>
                <w:u w:val="single"/>
              </w:rPr>
            </w:pPr>
            <w:r w:rsidRPr="00B551DC">
              <w:rPr>
                <w:rFonts w:ascii="Times New Roman" w:hAnsi="Times New Roman" w:cs="Times New Roman"/>
                <w:szCs w:val="22"/>
              </w:rPr>
              <w:t>Article 105(10) CRR, Article 1</w:t>
            </w:r>
            <w:r>
              <w:rPr>
                <w:rFonts w:ascii="Times New Roman" w:hAnsi="Times New Roman" w:cs="Times New Roman"/>
                <w:szCs w:val="22"/>
              </w:rPr>
              <w:t>3</w:t>
            </w:r>
            <w:r w:rsidRPr="00B551DC">
              <w:rPr>
                <w:rFonts w:ascii="Times New Roman" w:hAnsi="Times New Roman" w:cs="Times New Roman"/>
                <w:szCs w:val="22"/>
              </w:rPr>
              <w:t xml:space="preserve"> of the Delegated Regulation (EU) 2016/101 on</w:t>
            </w:r>
            <w:r w:rsidRPr="00B551DC" w:rsidDel="007466A4">
              <w:rPr>
                <w:rFonts w:ascii="Times New Roman" w:hAnsi="Times New Roman" w:cs="Times New Roman"/>
                <w:szCs w:val="22"/>
              </w:rPr>
              <w:t xml:space="preserve"> </w:t>
            </w:r>
            <w:r w:rsidRPr="00B551DC">
              <w:rPr>
                <w:rFonts w:ascii="Times New Roman" w:hAnsi="Times New Roman" w:cs="Times New Roman"/>
                <w:szCs w:val="22"/>
              </w:rPr>
              <w:t>prudent valuation</w:t>
            </w:r>
          </w:p>
          <w:p w14:paraId="6931EA18" w14:textId="77777777" w:rsidR="00DC7DF7" w:rsidRPr="00B551DC" w:rsidRDefault="00DC7DF7" w:rsidP="000332B2">
            <w:pPr>
              <w:spacing w:beforeLines="60" w:before="144" w:afterLines="60" w:after="144"/>
              <w:rPr>
                <w:rFonts w:ascii="Times New Roman" w:hAnsi="Times New Roman" w:cs="Times New Roman"/>
                <w:szCs w:val="22"/>
              </w:rPr>
            </w:pPr>
            <w:r w:rsidRPr="00B551DC">
              <w:rPr>
                <w:rFonts w:ascii="Times New Roman" w:hAnsi="Times New Roman" w:cs="Times New Roman"/>
                <w:szCs w:val="22"/>
              </w:rPr>
              <w:t>The total AVA calculated for investing and funding costs and its allocation between market price uncertainty, close-out cost or model risk AVAs under Article 13 of the Delegated Regulation (EU) 2016/101 on</w:t>
            </w:r>
            <w:r w:rsidRPr="00B551DC" w:rsidDel="007466A4">
              <w:rPr>
                <w:rFonts w:ascii="Times New Roman" w:hAnsi="Times New Roman" w:cs="Times New Roman"/>
                <w:szCs w:val="22"/>
              </w:rPr>
              <w:t xml:space="preserve"> </w:t>
            </w:r>
            <w:r w:rsidRPr="00B551DC">
              <w:rPr>
                <w:rFonts w:ascii="Times New Roman" w:hAnsi="Times New Roman" w:cs="Times New Roman"/>
                <w:szCs w:val="22"/>
              </w:rPr>
              <w:t xml:space="preserve">prudent valuation. </w:t>
            </w:r>
          </w:p>
          <w:p w14:paraId="3AEE8A10"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p>
        </w:tc>
      </w:tr>
      <w:tr w:rsidR="00DC7DF7" w:rsidRPr="00B551DC" w14:paraId="1A8ABB12"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BD5AC6"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p w14:paraId="40502496" w14:textId="77777777" w:rsidR="00DC7DF7" w:rsidRPr="00B551DC" w:rsidRDefault="00DC7DF7" w:rsidP="000332B2">
            <w:pPr>
              <w:jc w:val="both"/>
              <w:rPr>
                <w:rFonts w:ascii="Times New Roman" w:hAnsi="Times New Roman" w:cs="Times New Roman"/>
                <w:color w:val="000000"/>
                <w:szCs w:val="22"/>
              </w:rPr>
            </w:pPr>
            <w:r w:rsidRPr="00B551DC">
              <w:rPr>
                <w:rFonts w:ascii="Times New Roman" w:hAnsi="Times New Roman" w:cs="Times New Roman"/>
                <w:color w:val="000000"/>
                <w:szCs w:val="22"/>
              </w:rPr>
              <w:t>{EU f1}</w:t>
            </w:r>
          </w:p>
          <w:p w14:paraId="5D987358"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C8DE38A"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Total category level pre-diversification</w:t>
            </w:r>
          </w:p>
          <w:p w14:paraId="2A5F068B" w14:textId="77777777" w:rsidR="00DC7DF7" w:rsidRPr="00B551DC" w:rsidRDefault="00DC7DF7" w:rsidP="000332B2">
            <w:pPr>
              <w:autoSpaceDE w:val="0"/>
              <w:autoSpaceDN w:val="0"/>
              <w:adjustRightInd w:val="0"/>
              <w:spacing w:before="60" w:after="120"/>
              <w:jc w:val="both"/>
              <w:rPr>
                <w:rFonts w:ascii="Times New Roman" w:hAnsi="Times New Roman" w:cs="Times New Roman"/>
                <w:i/>
                <w:szCs w:val="22"/>
                <w:lang w:val="en-GB"/>
              </w:rPr>
            </w:pPr>
            <w:r w:rsidRPr="00B551DC">
              <w:rPr>
                <w:rFonts w:ascii="Times New Roman" w:hAnsi="Times New Roman" w:cs="Times New Roman"/>
                <w:szCs w:val="22"/>
                <w:lang w:val="en-GB"/>
              </w:rPr>
              <w:t xml:space="preserve">Sum of columns {a} to {EU </w:t>
            </w:r>
            <w:r>
              <w:rPr>
                <w:rFonts w:ascii="Times New Roman" w:hAnsi="Times New Roman" w:cs="Times New Roman"/>
                <w:szCs w:val="22"/>
                <w:lang w:val="en-GB"/>
              </w:rPr>
              <w:t>e2</w:t>
            </w:r>
            <w:r w:rsidRPr="00B551DC">
              <w:rPr>
                <w:rFonts w:ascii="Times New Roman" w:hAnsi="Times New Roman" w:cs="Times New Roman"/>
                <w:szCs w:val="22"/>
                <w:lang w:val="en-GB"/>
              </w:rPr>
              <w:t>}</w:t>
            </w:r>
          </w:p>
        </w:tc>
      </w:tr>
      <w:tr w:rsidR="00DC7DF7" w:rsidRPr="00B551DC" w14:paraId="20D0F45B"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7375A55" w14:textId="77777777" w:rsidR="00DC7DF7" w:rsidRPr="00B551DC" w:rsidRDefault="00DC7DF7" w:rsidP="000332B2">
            <w:pPr>
              <w:jc w:val="both"/>
              <w:rPr>
                <w:rFonts w:ascii="Times New Roman" w:hAnsi="Times New Roman" w:cs="Times New Roman"/>
                <w:color w:val="000000"/>
                <w:szCs w:val="22"/>
              </w:rPr>
            </w:pPr>
          </w:p>
          <w:p w14:paraId="019162F2" w14:textId="77777777" w:rsidR="00DC7DF7" w:rsidRPr="00B551DC" w:rsidRDefault="00DC7DF7" w:rsidP="000332B2">
            <w:pPr>
              <w:jc w:val="both"/>
              <w:rPr>
                <w:rFonts w:ascii="Times New Roman" w:hAnsi="Times New Roman" w:cs="Times New Roman"/>
                <w:color w:val="000000"/>
                <w:szCs w:val="22"/>
              </w:rPr>
            </w:pPr>
            <w:r w:rsidRPr="00B551DC">
              <w:rPr>
                <w:rFonts w:ascii="Times New Roman" w:hAnsi="Times New Roman" w:cs="Times New Roman"/>
                <w:color w:val="000000"/>
                <w:szCs w:val="22"/>
              </w:rPr>
              <w:t>{EU f2}</w:t>
            </w:r>
          </w:p>
          <w:p w14:paraId="418D9F40"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234313"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Diversification effects (-)</w:t>
            </w:r>
          </w:p>
          <w:p w14:paraId="70D119A0" w14:textId="77777777" w:rsidR="00DC7DF7" w:rsidRPr="00B551DC" w:rsidRDefault="00DC7DF7" w:rsidP="000332B2">
            <w:pPr>
              <w:autoSpaceDE w:val="0"/>
              <w:autoSpaceDN w:val="0"/>
              <w:adjustRightInd w:val="0"/>
              <w:spacing w:before="60" w:after="120"/>
              <w:jc w:val="both"/>
              <w:rPr>
                <w:rFonts w:ascii="Times New Roman" w:hAnsi="Times New Roman" w:cs="Times New Roman"/>
                <w:i/>
                <w:szCs w:val="22"/>
                <w:lang w:val="en-GB"/>
              </w:rPr>
            </w:pPr>
            <w:r w:rsidRPr="00B551DC">
              <w:rPr>
                <w:rFonts w:ascii="Times New Roman" w:hAnsi="Times New Roman" w:cs="Times New Roman"/>
                <w:szCs w:val="22"/>
              </w:rPr>
              <w:t>Diversification benefits are disclosed in column EU f2 in accordance with Articles 9(6), 10(7) and 11(7)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w:t>
            </w:r>
            <w:r>
              <w:rPr>
                <w:rFonts w:ascii="Times New Roman" w:hAnsi="Times New Roman" w:cs="Times New Roman"/>
                <w:szCs w:val="22"/>
              </w:rPr>
              <w:t>.</w:t>
            </w:r>
          </w:p>
        </w:tc>
      </w:tr>
      <w:tr w:rsidR="00DC7DF7" w:rsidRPr="00B551DC" w14:paraId="1D273F57"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B3B09D3" w14:textId="77777777" w:rsidR="00DC7DF7" w:rsidRPr="00B551DC" w:rsidRDefault="00DC7DF7" w:rsidP="000332B2">
            <w:pPr>
              <w:jc w:val="both"/>
              <w:rPr>
                <w:rFonts w:ascii="Times New Roman" w:hAnsi="Times New Roman" w:cs="Times New Roman"/>
                <w:color w:val="000000"/>
                <w:szCs w:val="22"/>
              </w:rPr>
            </w:pPr>
          </w:p>
          <w:p w14:paraId="72F4910E" w14:textId="77777777" w:rsidR="00DC7DF7" w:rsidRPr="00B551DC" w:rsidRDefault="00DC7DF7" w:rsidP="000332B2">
            <w:pPr>
              <w:jc w:val="both"/>
              <w:rPr>
                <w:rFonts w:ascii="Times New Roman" w:hAnsi="Times New Roman" w:cs="Times New Roman"/>
                <w:color w:val="000000"/>
                <w:szCs w:val="22"/>
              </w:rPr>
            </w:pPr>
            <w:r w:rsidRPr="00B551DC">
              <w:rPr>
                <w:rFonts w:ascii="Times New Roman" w:hAnsi="Times New Roman" w:cs="Times New Roman"/>
                <w:color w:val="000000"/>
                <w:szCs w:val="22"/>
              </w:rPr>
              <w:t>{f}</w:t>
            </w:r>
          </w:p>
          <w:p w14:paraId="2B6DC923"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CA11B7"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Total core approach</w:t>
            </w:r>
          </w:p>
          <w:p w14:paraId="3C1676B1" w14:textId="77777777" w:rsidR="00DC7DF7" w:rsidRPr="00B551DC" w:rsidRDefault="00DC7DF7" w:rsidP="000332B2">
            <w:pPr>
              <w:spacing w:beforeLines="60" w:before="144" w:afterLines="60" w:after="144"/>
              <w:rPr>
                <w:rFonts w:ascii="Times New Roman" w:hAnsi="Times New Roman" w:cs="Times New Roman"/>
                <w:szCs w:val="22"/>
              </w:rPr>
            </w:pPr>
            <w:r w:rsidRPr="00B551DC">
              <w:rPr>
                <w:rFonts w:ascii="Times New Roman" w:hAnsi="Times New Roman" w:cs="Times New Roman"/>
                <w:szCs w:val="22"/>
              </w:rPr>
              <w:t>Article 7(2)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w:t>
            </w:r>
          </w:p>
          <w:p w14:paraId="44D43CA4" w14:textId="77777777" w:rsidR="00DC7DF7" w:rsidRPr="00B551DC" w:rsidRDefault="00DC7DF7" w:rsidP="000332B2">
            <w:pPr>
              <w:autoSpaceDE w:val="0"/>
              <w:autoSpaceDN w:val="0"/>
              <w:adjustRightInd w:val="0"/>
              <w:spacing w:before="60" w:after="120"/>
              <w:jc w:val="both"/>
              <w:rPr>
                <w:rFonts w:ascii="Times New Roman" w:hAnsi="Times New Roman" w:cs="Times New Roman"/>
                <w:i/>
                <w:szCs w:val="22"/>
                <w:lang w:val="en-GB"/>
              </w:rPr>
            </w:pPr>
            <w:r w:rsidRPr="00B551DC">
              <w:rPr>
                <w:rFonts w:ascii="Times New Roman" w:hAnsi="Times New Roman" w:cs="Times New Roman"/>
                <w:szCs w:val="22"/>
              </w:rPr>
              <w:t>T</w:t>
            </w:r>
            <w:r>
              <w:rPr>
                <w:rFonts w:ascii="Times New Roman" w:hAnsi="Times New Roman" w:cs="Times New Roman"/>
                <w:szCs w:val="22"/>
              </w:rPr>
              <w:t>otal core approach encompasses the t</w:t>
            </w:r>
            <w:r w:rsidRPr="00B551DC">
              <w:rPr>
                <w:rFonts w:ascii="Times New Roman" w:hAnsi="Times New Roman" w:cs="Times New Roman"/>
                <w:szCs w:val="22"/>
              </w:rPr>
              <w:t xml:space="preserve">otal AVAs computed under the Core approach as set out in Chapter </w:t>
            </w:r>
            <w:r>
              <w:rPr>
                <w:rFonts w:ascii="Times New Roman" w:hAnsi="Times New Roman" w:cs="Times New Roman"/>
                <w:szCs w:val="22"/>
              </w:rPr>
              <w:t>III</w:t>
            </w:r>
            <w:r w:rsidRPr="00B551DC">
              <w:rPr>
                <w:rFonts w:ascii="Times New Roman" w:hAnsi="Times New Roman" w:cs="Times New Roman"/>
                <w:szCs w:val="22"/>
              </w:rPr>
              <w:t xml:space="preserve">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 for fair-valued assets and liabilities included in the threshold computation in accordance with Article 4(1)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 xml:space="preserve">prudent valuation. This includes the diversification benefits </w:t>
            </w:r>
            <w:r>
              <w:rPr>
                <w:rFonts w:ascii="Times New Roman" w:hAnsi="Times New Roman" w:cs="Times New Roman"/>
                <w:szCs w:val="22"/>
              </w:rPr>
              <w:t>disclosed</w:t>
            </w:r>
            <w:r w:rsidRPr="00B551DC">
              <w:rPr>
                <w:rFonts w:ascii="Times New Roman" w:hAnsi="Times New Roman" w:cs="Times New Roman"/>
                <w:szCs w:val="22"/>
              </w:rPr>
              <w:t xml:space="preserve"> in accordance with Articles 9(6), 10(7) and 11(7) of the Delegated Regulation (EU) 2016/101 on</w:t>
            </w:r>
            <w:r w:rsidRPr="00B551DC" w:rsidDel="00F811F8">
              <w:rPr>
                <w:rFonts w:ascii="Times New Roman" w:hAnsi="Times New Roman" w:cs="Times New Roman"/>
                <w:szCs w:val="22"/>
              </w:rPr>
              <w:t xml:space="preserve"> </w:t>
            </w:r>
            <w:r w:rsidRPr="00B551DC">
              <w:rPr>
                <w:rFonts w:ascii="Times New Roman" w:hAnsi="Times New Roman" w:cs="Times New Roman"/>
                <w:szCs w:val="22"/>
              </w:rPr>
              <w:t>prudent valuation</w:t>
            </w:r>
          </w:p>
        </w:tc>
      </w:tr>
      <w:tr w:rsidR="00DC7DF7" w:rsidRPr="00B551DC" w14:paraId="2BF6B235"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5B5A554"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t>{g}</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944E40"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Of which: in the trading book</w:t>
            </w:r>
          </w:p>
          <w:p w14:paraId="688AB2B5"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szCs w:val="22"/>
              </w:rPr>
              <w:t xml:space="preserve">For each relevant category of AVAs, share of AVAs stemming from positions held in the 'trading book': all positions in financial instruments and commodities held by </w:t>
            </w:r>
            <w:r w:rsidRPr="00B551DC">
              <w:rPr>
                <w:rFonts w:ascii="Times New Roman" w:hAnsi="Times New Roman" w:cs="Times New Roman"/>
                <w:szCs w:val="22"/>
              </w:rPr>
              <w:lastRenderedPageBreak/>
              <w:t>an institution either with trading intent, to hedge either positions held with trading intent in accordance with Article 104.</w:t>
            </w:r>
          </w:p>
        </w:tc>
      </w:tr>
      <w:tr w:rsidR="00DC7DF7" w:rsidRPr="00B551DC" w14:paraId="4C0612D2" w14:textId="77777777" w:rsidTr="000332B2">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21F56AC" w14:textId="77777777" w:rsidR="00DC7DF7" w:rsidRPr="00B551DC" w:rsidRDefault="00DC7DF7" w:rsidP="000332B2">
            <w:pPr>
              <w:autoSpaceDE w:val="0"/>
              <w:autoSpaceDN w:val="0"/>
              <w:adjustRightInd w:val="0"/>
              <w:jc w:val="both"/>
              <w:rPr>
                <w:rFonts w:ascii="Times New Roman" w:hAnsi="Times New Roman" w:cs="Times New Roman"/>
                <w:szCs w:val="22"/>
                <w:lang w:val="en-GB"/>
              </w:rPr>
            </w:pPr>
            <w:r w:rsidRPr="00B551DC">
              <w:rPr>
                <w:rFonts w:ascii="Times New Roman" w:hAnsi="Times New Roman" w:cs="Times New Roman"/>
                <w:szCs w:val="22"/>
                <w:lang w:val="en-GB"/>
              </w:rPr>
              <w:lastRenderedPageBreak/>
              <w:t>{h}</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74CDFE5" w14:textId="77777777" w:rsidR="00DC7DF7" w:rsidRPr="00B551DC" w:rsidRDefault="00DC7DF7" w:rsidP="000332B2">
            <w:pPr>
              <w:autoSpaceDE w:val="0"/>
              <w:autoSpaceDN w:val="0"/>
              <w:adjustRightInd w:val="0"/>
              <w:spacing w:before="60" w:after="120"/>
              <w:jc w:val="both"/>
              <w:rPr>
                <w:rFonts w:ascii="Times New Roman" w:hAnsi="Times New Roman" w:cs="Times New Roman"/>
                <w:b/>
                <w:szCs w:val="22"/>
                <w:u w:val="single"/>
                <w:lang w:val="en-GB"/>
              </w:rPr>
            </w:pPr>
            <w:r w:rsidRPr="00B551DC">
              <w:rPr>
                <w:rFonts w:ascii="Times New Roman" w:hAnsi="Times New Roman" w:cs="Times New Roman"/>
                <w:b/>
                <w:szCs w:val="22"/>
                <w:u w:val="single"/>
                <w:lang w:val="en-GB"/>
              </w:rPr>
              <w:t>Of which: in the banking book</w:t>
            </w:r>
          </w:p>
          <w:p w14:paraId="5B36451B" w14:textId="77777777" w:rsidR="00DC7DF7" w:rsidRPr="00B551DC" w:rsidRDefault="00DC7DF7" w:rsidP="000332B2">
            <w:pPr>
              <w:autoSpaceDE w:val="0"/>
              <w:autoSpaceDN w:val="0"/>
              <w:adjustRightInd w:val="0"/>
              <w:spacing w:before="60" w:after="120"/>
              <w:jc w:val="both"/>
              <w:rPr>
                <w:rFonts w:ascii="Times New Roman" w:hAnsi="Times New Roman" w:cs="Times New Roman"/>
                <w:szCs w:val="22"/>
              </w:rPr>
            </w:pPr>
            <w:r w:rsidRPr="00B551DC">
              <w:rPr>
                <w:rFonts w:ascii="Times New Roman" w:hAnsi="Times New Roman" w:cs="Times New Roman"/>
                <w:szCs w:val="22"/>
              </w:rPr>
              <w:t>For each relevant category of AVAs, share of AVAs stemming</w:t>
            </w:r>
            <w:r>
              <w:rPr>
                <w:rFonts w:ascii="Times New Roman" w:hAnsi="Times New Roman" w:cs="Times New Roman"/>
                <w:szCs w:val="22"/>
              </w:rPr>
              <w:t xml:space="preserve"> from</w:t>
            </w:r>
            <w:r w:rsidRPr="00B551DC">
              <w:rPr>
                <w:rFonts w:ascii="Times New Roman" w:hAnsi="Times New Roman" w:cs="Times New Roman"/>
                <w:szCs w:val="22"/>
              </w:rPr>
              <w:t xml:space="preserve"> </w:t>
            </w:r>
            <w:r>
              <w:rPr>
                <w:rFonts w:ascii="Times New Roman" w:hAnsi="Times New Roman" w:cs="Times New Roman"/>
                <w:color w:val="000000"/>
                <w:szCs w:val="22"/>
                <w:lang w:val="en-GB"/>
              </w:rPr>
              <w:t>f</w:t>
            </w:r>
            <w:r w:rsidRPr="00B551DC">
              <w:rPr>
                <w:rFonts w:ascii="Times New Roman" w:hAnsi="Times New Roman" w:cs="Times New Roman"/>
                <w:color w:val="000000"/>
                <w:szCs w:val="22"/>
              </w:rPr>
              <w:t xml:space="preserve">air-valued positions </w:t>
            </w:r>
            <w:r w:rsidRPr="00B551DC">
              <w:rPr>
                <w:rFonts w:ascii="Times New Roman" w:hAnsi="Times New Roman" w:cs="Times New Roman"/>
                <w:szCs w:val="22"/>
              </w:rPr>
              <w:t>in financial instruments and commodities</w:t>
            </w:r>
            <w:r w:rsidRPr="00B551DC">
              <w:rPr>
                <w:rFonts w:ascii="Times New Roman" w:hAnsi="Times New Roman" w:cs="Times New Roman"/>
                <w:color w:val="000000"/>
                <w:szCs w:val="22"/>
              </w:rPr>
              <w:t xml:space="preserve"> not held in the trading book. </w:t>
            </w:r>
          </w:p>
        </w:tc>
      </w:tr>
    </w:tbl>
    <w:p w14:paraId="200CDF5A" w14:textId="77777777" w:rsidR="00DC7DF7" w:rsidRPr="00CF1C81" w:rsidRDefault="00DC7DF7" w:rsidP="00DC7DF7">
      <w:pPr>
        <w:rPr>
          <w:rFonts w:ascii="Times New Roman" w:hAnsi="Times New Roman" w:cs="Times New Roman"/>
          <w:sz w:val="24"/>
        </w:rPr>
      </w:pPr>
    </w:p>
    <w:p w14:paraId="5C67C1F6" w14:textId="1388D2B6" w:rsidR="00F24E56" w:rsidRDefault="00F24E56" w:rsidP="006D7057">
      <w:pPr>
        <w:rPr>
          <w:rFonts w:ascii="Times New Roman" w:hAnsi="Times New Roman" w:cs="Times New Roman"/>
          <w:sz w:val="24"/>
        </w:rPr>
      </w:pPr>
    </w:p>
    <w:sectPr w:rsidR="00F24E56"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28E3" w14:textId="77777777" w:rsidR="00A742D4" w:rsidRDefault="00A742D4" w:rsidP="00A00E34">
      <w:r>
        <w:separator/>
      </w:r>
    </w:p>
    <w:p w14:paraId="76C1555E" w14:textId="77777777" w:rsidR="00A742D4" w:rsidRDefault="00A742D4"/>
  </w:endnote>
  <w:endnote w:type="continuationSeparator" w:id="0">
    <w:p w14:paraId="5C3DFAD3" w14:textId="77777777" w:rsidR="00A742D4" w:rsidRDefault="00A742D4" w:rsidP="00A00E34">
      <w:r>
        <w:continuationSeparator/>
      </w:r>
    </w:p>
    <w:p w14:paraId="50CC5D5F" w14:textId="77777777" w:rsidR="00A742D4" w:rsidRDefault="00A74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79559" w14:textId="77777777" w:rsidR="00A742D4" w:rsidRPr="00DB5E8F" w:rsidRDefault="00A742D4">
      <w:pPr>
        <w:rPr>
          <w:sz w:val="12"/>
          <w:szCs w:val="12"/>
        </w:rPr>
      </w:pPr>
      <w:r w:rsidRPr="00DB5E8F">
        <w:rPr>
          <w:sz w:val="12"/>
          <w:szCs w:val="12"/>
        </w:rPr>
        <w:separator/>
      </w:r>
    </w:p>
  </w:footnote>
  <w:footnote w:type="continuationSeparator" w:id="0">
    <w:p w14:paraId="00F9B562" w14:textId="77777777" w:rsidR="00A742D4" w:rsidRDefault="00A742D4" w:rsidP="00A00E34">
      <w:r>
        <w:continuationSeparator/>
      </w:r>
    </w:p>
    <w:p w14:paraId="06B02774" w14:textId="77777777" w:rsidR="00A742D4" w:rsidRDefault="00A742D4"/>
  </w:footnote>
  <w:footnote w:type="continuationNotice" w:id="1">
    <w:p w14:paraId="52104D28" w14:textId="77777777" w:rsidR="00A742D4" w:rsidRDefault="00A742D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456E4"/>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1447F"/>
    <w:multiLevelType w:val="hybridMultilevel"/>
    <w:tmpl w:val="66F88FEE"/>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C3F8F"/>
    <w:multiLevelType w:val="hybridMultilevel"/>
    <w:tmpl w:val="2AD46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7203A1"/>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D48D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6367A"/>
    <w:multiLevelType w:val="hybridMultilevel"/>
    <w:tmpl w:val="2B98C612"/>
    <w:lvl w:ilvl="0" w:tplc="4C245000">
      <w:start w:val="1"/>
      <w:numFmt w:val="decimal"/>
      <w:lvlText w:val="%1."/>
      <w:lvlJc w:val="left"/>
      <w:pPr>
        <w:ind w:left="360" w:hanging="360"/>
      </w:pPr>
      <w:rPr>
        <w:rFonts w:hint="default"/>
      </w:rPr>
    </w:lvl>
    <w:lvl w:ilvl="1" w:tplc="4C04A11E">
      <w:start w:val="130"/>
      <w:numFmt w:val="bullet"/>
      <w:lvlText w:val="-"/>
      <w:lvlJc w:val="left"/>
      <w:pPr>
        <w:ind w:left="1080" w:hanging="360"/>
      </w:pPr>
      <w:rPr>
        <w:rFonts w:ascii="Calibri" w:eastAsiaTheme="minorEastAsia"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10" w15:restartNumberingAfterBreak="0">
    <w:nsid w:val="1CAA4BB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21377"/>
    <w:multiLevelType w:val="hybridMultilevel"/>
    <w:tmpl w:val="1BC4B3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F2921"/>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147B8"/>
    <w:multiLevelType w:val="hybridMultilevel"/>
    <w:tmpl w:val="E9BED43A"/>
    <w:lvl w:ilvl="0" w:tplc="040C0017">
      <w:start w:val="1"/>
      <w:numFmt w:val="lowerLetter"/>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6" w15:restartNumberingAfterBreak="0">
    <w:nsid w:val="2CB606B9"/>
    <w:multiLevelType w:val="multilevel"/>
    <w:tmpl w:val="605043A2"/>
    <w:lvl w:ilvl="0">
      <w:start w:val="2"/>
      <w:numFmt w:val="lowerLetter"/>
      <w:lvlText w:val="%1)"/>
      <w:lvlJc w:val="left"/>
      <w:pPr>
        <w:ind w:left="720" w:hanging="360"/>
      </w:pPr>
      <w:rPr>
        <w:rFonts w:hint="default"/>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8" w15:restartNumberingAfterBreak="0">
    <w:nsid w:val="2E6337AD"/>
    <w:multiLevelType w:val="multilevel"/>
    <w:tmpl w:val="6A6082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13D51"/>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C22E6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C63283"/>
    <w:multiLevelType w:val="hybridMultilevel"/>
    <w:tmpl w:val="F75E5726"/>
    <w:lvl w:ilvl="0" w:tplc="295C270C">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D70D3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B33FC"/>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595CB6"/>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595C8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16E58"/>
    <w:multiLevelType w:val="hybridMultilevel"/>
    <w:tmpl w:val="A26EC02C"/>
    <w:lvl w:ilvl="0" w:tplc="16C85DB6">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F4975"/>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6A6E4D"/>
    <w:multiLevelType w:val="hybridMultilevel"/>
    <w:tmpl w:val="9D9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A650A"/>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4767C0"/>
    <w:multiLevelType w:val="hybridMultilevel"/>
    <w:tmpl w:val="06983D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34"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C4D55"/>
    <w:multiLevelType w:val="hybridMultilevel"/>
    <w:tmpl w:val="1254A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E915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
  </w:num>
  <w:num w:numId="3">
    <w:abstractNumId w:val="17"/>
  </w:num>
  <w:num w:numId="4">
    <w:abstractNumId w:val="23"/>
  </w:num>
  <w:num w:numId="5">
    <w:abstractNumId w:val="35"/>
  </w:num>
  <w:num w:numId="6">
    <w:abstractNumId w:val="1"/>
  </w:num>
  <w:num w:numId="7">
    <w:abstractNumId w:val="34"/>
  </w:num>
  <w:num w:numId="8">
    <w:abstractNumId w:val="28"/>
  </w:num>
  <w:num w:numId="9">
    <w:abstractNumId w:val="0"/>
  </w:num>
  <w:num w:numId="10">
    <w:abstractNumId w:val="15"/>
  </w:num>
  <w:num w:numId="11">
    <w:abstractNumId w:val="9"/>
  </w:num>
  <w:num w:numId="12">
    <w:abstractNumId w:val="12"/>
  </w:num>
  <w:num w:numId="13">
    <w:abstractNumId w:val="29"/>
  </w:num>
  <w:num w:numId="14">
    <w:abstractNumId w:val="19"/>
  </w:num>
  <w:num w:numId="15">
    <w:abstractNumId w:val="30"/>
  </w:num>
  <w:num w:numId="16">
    <w:abstractNumId w:val="4"/>
  </w:num>
  <w:num w:numId="17">
    <w:abstractNumId w:val="8"/>
  </w:num>
  <w:num w:numId="18">
    <w:abstractNumId w:val="13"/>
  </w:num>
  <w:num w:numId="19">
    <w:abstractNumId w:val="37"/>
  </w:num>
  <w:num w:numId="20">
    <w:abstractNumId w:val="18"/>
  </w:num>
  <w:num w:numId="21">
    <w:abstractNumId w:val="36"/>
  </w:num>
  <w:num w:numId="22">
    <w:abstractNumId w:val="14"/>
  </w:num>
  <w:num w:numId="23">
    <w:abstractNumId w:val="16"/>
  </w:num>
  <w:num w:numId="24">
    <w:abstractNumId w:val="31"/>
  </w:num>
  <w:num w:numId="25">
    <w:abstractNumId w:val="11"/>
  </w:num>
  <w:num w:numId="26">
    <w:abstractNumId w:val="21"/>
  </w:num>
  <w:num w:numId="27">
    <w:abstractNumId w:val="20"/>
  </w:num>
  <w:num w:numId="28">
    <w:abstractNumId w:val="27"/>
  </w:num>
  <w:num w:numId="29">
    <w:abstractNumId w:val="32"/>
  </w:num>
  <w:num w:numId="30">
    <w:abstractNumId w:val="24"/>
  </w:num>
  <w:num w:numId="31">
    <w:abstractNumId w:val="25"/>
  </w:num>
  <w:num w:numId="32">
    <w:abstractNumId w:val="10"/>
  </w:num>
  <w:num w:numId="33">
    <w:abstractNumId w:val="7"/>
  </w:num>
  <w:num w:numId="34">
    <w:abstractNumId w:val="22"/>
  </w:num>
  <w:num w:numId="35">
    <w:abstractNumId w:val="6"/>
  </w:num>
  <w:num w:numId="36">
    <w:abstractNumId w:val="2"/>
  </w:num>
  <w:num w:numId="37">
    <w:abstractNumId w:val="33"/>
  </w:num>
  <w:num w:numId="3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GL-REC 20XX XX (FINAL GLS-REC ON"/>
  </w:docVars>
  <w:rsids>
    <w:rsidRoot w:val="006307A5"/>
    <w:rsid w:val="00001873"/>
    <w:rsid w:val="00003F50"/>
    <w:rsid w:val="00013281"/>
    <w:rsid w:val="00015DE4"/>
    <w:rsid w:val="00015EF3"/>
    <w:rsid w:val="00017CAD"/>
    <w:rsid w:val="000231B7"/>
    <w:rsid w:val="00024B5A"/>
    <w:rsid w:val="00027CA0"/>
    <w:rsid w:val="000300B9"/>
    <w:rsid w:val="00030D65"/>
    <w:rsid w:val="00040129"/>
    <w:rsid w:val="00045C27"/>
    <w:rsid w:val="00060F40"/>
    <w:rsid w:val="00062830"/>
    <w:rsid w:val="00062937"/>
    <w:rsid w:val="00064535"/>
    <w:rsid w:val="00066A9A"/>
    <w:rsid w:val="00072226"/>
    <w:rsid w:val="000774B3"/>
    <w:rsid w:val="00083C33"/>
    <w:rsid w:val="000843CD"/>
    <w:rsid w:val="00096C57"/>
    <w:rsid w:val="000A1C81"/>
    <w:rsid w:val="000A1ECA"/>
    <w:rsid w:val="000A2565"/>
    <w:rsid w:val="000A3851"/>
    <w:rsid w:val="000A40C4"/>
    <w:rsid w:val="000B1645"/>
    <w:rsid w:val="000C5A8A"/>
    <w:rsid w:val="000C7FD8"/>
    <w:rsid w:val="000D1FC3"/>
    <w:rsid w:val="000D206E"/>
    <w:rsid w:val="000D40F4"/>
    <w:rsid w:val="000D7A44"/>
    <w:rsid w:val="000E0C27"/>
    <w:rsid w:val="000E6D15"/>
    <w:rsid w:val="000F33D3"/>
    <w:rsid w:val="000F3E72"/>
    <w:rsid w:val="000F607B"/>
    <w:rsid w:val="000F6495"/>
    <w:rsid w:val="000F6FD8"/>
    <w:rsid w:val="001061FA"/>
    <w:rsid w:val="0011517F"/>
    <w:rsid w:val="00121BB0"/>
    <w:rsid w:val="00121DAE"/>
    <w:rsid w:val="00121E46"/>
    <w:rsid w:val="00123555"/>
    <w:rsid w:val="0012686C"/>
    <w:rsid w:val="00127D61"/>
    <w:rsid w:val="0013090C"/>
    <w:rsid w:val="00131C5D"/>
    <w:rsid w:val="00134DBE"/>
    <w:rsid w:val="00142DF6"/>
    <w:rsid w:val="00145D24"/>
    <w:rsid w:val="00152832"/>
    <w:rsid w:val="001537E7"/>
    <w:rsid w:val="00154596"/>
    <w:rsid w:val="00155C49"/>
    <w:rsid w:val="001600FC"/>
    <w:rsid w:val="001624D7"/>
    <w:rsid w:val="0016737A"/>
    <w:rsid w:val="00171415"/>
    <w:rsid w:val="00172007"/>
    <w:rsid w:val="0017446F"/>
    <w:rsid w:val="00174579"/>
    <w:rsid w:val="00177CB9"/>
    <w:rsid w:val="001834D4"/>
    <w:rsid w:val="00192287"/>
    <w:rsid w:val="001A016C"/>
    <w:rsid w:val="001A23A0"/>
    <w:rsid w:val="001A2A81"/>
    <w:rsid w:val="001A5BD4"/>
    <w:rsid w:val="001A70A8"/>
    <w:rsid w:val="001B0EAB"/>
    <w:rsid w:val="001B2C0D"/>
    <w:rsid w:val="001B3A24"/>
    <w:rsid w:val="001B6017"/>
    <w:rsid w:val="001B6B7D"/>
    <w:rsid w:val="001B7A0B"/>
    <w:rsid w:val="001B7EB3"/>
    <w:rsid w:val="001C1FD9"/>
    <w:rsid w:val="001C5BC2"/>
    <w:rsid w:val="001D0179"/>
    <w:rsid w:val="001D1147"/>
    <w:rsid w:val="001D3853"/>
    <w:rsid w:val="001E01E5"/>
    <w:rsid w:val="001E1188"/>
    <w:rsid w:val="001E1E2D"/>
    <w:rsid w:val="001E3599"/>
    <w:rsid w:val="001E3671"/>
    <w:rsid w:val="001F1CB9"/>
    <w:rsid w:val="001F40B9"/>
    <w:rsid w:val="001F7501"/>
    <w:rsid w:val="00205878"/>
    <w:rsid w:val="00213D7B"/>
    <w:rsid w:val="00214DEC"/>
    <w:rsid w:val="00217C99"/>
    <w:rsid w:val="0022273E"/>
    <w:rsid w:val="00222833"/>
    <w:rsid w:val="00224761"/>
    <w:rsid w:val="00224A3F"/>
    <w:rsid w:val="00224D96"/>
    <w:rsid w:val="002306C7"/>
    <w:rsid w:val="00241BD8"/>
    <w:rsid w:val="002434B0"/>
    <w:rsid w:val="00254CA9"/>
    <w:rsid w:val="00266F94"/>
    <w:rsid w:val="0027418E"/>
    <w:rsid w:val="002767AA"/>
    <w:rsid w:val="00290DA3"/>
    <w:rsid w:val="00296A52"/>
    <w:rsid w:val="002A0FF0"/>
    <w:rsid w:val="002A3A19"/>
    <w:rsid w:val="002C0DCF"/>
    <w:rsid w:val="002C70F8"/>
    <w:rsid w:val="002C77AE"/>
    <w:rsid w:val="002D1867"/>
    <w:rsid w:val="002D43C3"/>
    <w:rsid w:val="002E58DB"/>
    <w:rsid w:val="002F2009"/>
    <w:rsid w:val="002F79B7"/>
    <w:rsid w:val="00300924"/>
    <w:rsid w:val="003025A8"/>
    <w:rsid w:val="003120E4"/>
    <w:rsid w:val="003129B6"/>
    <w:rsid w:val="00314D6E"/>
    <w:rsid w:val="00315C41"/>
    <w:rsid w:val="00320E57"/>
    <w:rsid w:val="003221EF"/>
    <w:rsid w:val="00322C23"/>
    <w:rsid w:val="0032466C"/>
    <w:rsid w:val="003248A2"/>
    <w:rsid w:val="00330AB0"/>
    <w:rsid w:val="00342E0B"/>
    <w:rsid w:val="00350D0D"/>
    <w:rsid w:val="0035477B"/>
    <w:rsid w:val="003604AA"/>
    <w:rsid w:val="003623E3"/>
    <w:rsid w:val="00372BEC"/>
    <w:rsid w:val="00380737"/>
    <w:rsid w:val="00392385"/>
    <w:rsid w:val="003A4578"/>
    <w:rsid w:val="003B6A5A"/>
    <w:rsid w:val="003D01F8"/>
    <w:rsid w:val="003D7A72"/>
    <w:rsid w:val="003E318D"/>
    <w:rsid w:val="00401A65"/>
    <w:rsid w:val="00412567"/>
    <w:rsid w:val="004172D1"/>
    <w:rsid w:val="00424530"/>
    <w:rsid w:val="00430AC5"/>
    <w:rsid w:val="00434733"/>
    <w:rsid w:val="0043577F"/>
    <w:rsid w:val="0043675A"/>
    <w:rsid w:val="00436AFE"/>
    <w:rsid w:val="00441E4E"/>
    <w:rsid w:val="00441F85"/>
    <w:rsid w:val="00447E31"/>
    <w:rsid w:val="00450691"/>
    <w:rsid w:val="00452468"/>
    <w:rsid w:val="0045301B"/>
    <w:rsid w:val="004541F3"/>
    <w:rsid w:val="00455E0E"/>
    <w:rsid w:val="004719B4"/>
    <w:rsid w:val="00471CA1"/>
    <w:rsid w:val="00471CCE"/>
    <w:rsid w:val="0047368B"/>
    <w:rsid w:val="00481AC4"/>
    <w:rsid w:val="00482FB6"/>
    <w:rsid w:val="00484760"/>
    <w:rsid w:val="00493177"/>
    <w:rsid w:val="004955E7"/>
    <w:rsid w:val="0049781D"/>
    <w:rsid w:val="004A3342"/>
    <w:rsid w:val="004A3621"/>
    <w:rsid w:val="004A5C6E"/>
    <w:rsid w:val="004A5D8B"/>
    <w:rsid w:val="004B2FC0"/>
    <w:rsid w:val="004B4935"/>
    <w:rsid w:val="004B7784"/>
    <w:rsid w:val="004C1B19"/>
    <w:rsid w:val="004C320A"/>
    <w:rsid w:val="004C6392"/>
    <w:rsid w:val="004D3523"/>
    <w:rsid w:val="004D353E"/>
    <w:rsid w:val="004D48EF"/>
    <w:rsid w:val="004D7668"/>
    <w:rsid w:val="004E405B"/>
    <w:rsid w:val="004E5646"/>
    <w:rsid w:val="004E76ED"/>
    <w:rsid w:val="004F0AB6"/>
    <w:rsid w:val="004F1352"/>
    <w:rsid w:val="004F603C"/>
    <w:rsid w:val="004F63DB"/>
    <w:rsid w:val="004F7817"/>
    <w:rsid w:val="0050179E"/>
    <w:rsid w:val="00505C64"/>
    <w:rsid w:val="005105EF"/>
    <w:rsid w:val="00523895"/>
    <w:rsid w:val="00537103"/>
    <w:rsid w:val="005410AB"/>
    <w:rsid w:val="005423A3"/>
    <w:rsid w:val="00543A44"/>
    <w:rsid w:val="00563250"/>
    <w:rsid w:val="00565691"/>
    <w:rsid w:val="005673AC"/>
    <w:rsid w:val="00571BB6"/>
    <w:rsid w:val="00575BA7"/>
    <w:rsid w:val="00582AA7"/>
    <w:rsid w:val="00582C5F"/>
    <w:rsid w:val="0058477C"/>
    <w:rsid w:val="0058568F"/>
    <w:rsid w:val="00593D83"/>
    <w:rsid w:val="0059737F"/>
    <w:rsid w:val="005A312B"/>
    <w:rsid w:val="005A6911"/>
    <w:rsid w:val="005B5C09"/>
    <w:rsid w:val="005B7D63"/>
    <w:rsid w:val="005C3DFF"/>
    <w:rsid w:val="005C498B"/>
    <w:rsid w:val="005C590A"/>
    <w:rsid w:val="005D4005"/>
    <w:rsid w:val="005D40D1"/>
    <w:rsid w:val="005D7532"/>
    <w:rsid w:val="005E21EF"/>
    <w:rsid w:val="005E77FF"/>
    <w:rsid w:val="006017FA"/>
    <w:rsid w:val="006025B2"/>
    <w:rsid w:val="00603510"/>
    <w:rsid w:val="006059B2"/>
    <w:rsid w:val="00605E90"/>
    <w:rsid w:val="00610305"/>
    <w:rsid w:val="00610419"/>
    <w:rsid w:val="00611B31"/>
    <w:rsid w:val="00611DDB"/>
    <w:rsid w:val="00612C7B"/>
    <w:rsid w:val="00615CA4"/>
    <w:rsid w:val="006209BD"/>
    <w:rsid w:val="006224C1"/>
    <w:rsid w:val="00622726"/>
    <w:rsid w:val="00625C89"/>
    <w:rsid w:val="006269B7"/>
    <w:rsid w:val="006307A5"/>
    <w:rsid w:val="00633DC7"/>
    <w:rsid w:val="00636E1D"/>
    <w:rsid w:val="0064208D"/>
    <w:rsid w:val="00655112"/>
    <w:rsid w:val="00663B0A"/>
    <w:rsid w:val="006641F8"/>
    <w:rsid w:val="006671A5"/>
    <w:rsid w:val="00670254"/>
    <w:rsid w:val="00680E3F"/>
    <w:rsid w:val="00686D8D"/>
    <w:rsid w:val="006973AC"/>
    <w:rsid w:val="00697ACE"/>
    <w:rsid w:val="00697E26"/>
    <w:rsid w:val="006A0D6A"/>
    <w:rsid w:val="006A763B"/>
    <w:rsid w:val="006C186D"/>
    <w:rsid w:val="006C3BF7"/>
    <w:rsid w:val="006D3A6A"/>
    <w:rsid w:val="006D60CD"/>
    <w:rsid w:val="006D7057"/>
    <w:rsid w:val="006D7393"/>
    <w:rsid w:val="006E4B0F"/>
    <w:rsid w:val="006E54A2"/>
    <w:rsid w:val="006E55E1"/>
    <w:rsid w:val="006F2E13"/>
    <w:rsid w:val="006F445D"/>
    <w:rsid w:val="006F72C6"/>
    <w:rsid w:val="00703E4E"/>
    <w:rsid w:val="007071C6"/>
    <w:rsid w:val="00711E1C"/>
    <w:rsid w:val="00712D2C"/>
    <w:rsid w:val="00721FBA"/>
    <w:rsid w:val="00726DBC"/>
    <w:rsid w:val="00730352"/>
    <w:rsid w:val="00742839"/>
    <w:rsid w:val="0074408E"/>
    <w:rsid w:val="00750526"/>
    <w:rsid w:val="00752710"/>
    <w:rsid w:val="00755505"/>
    <w:rsid w:val="0076316D"/>
    <w:rsid w:val="00772993"/>
    <w:rsid w:val="007815FB"/>
    <w:rsid w:val="00781D80"/>
    <w:rsid w:val="0078583A"/>
    <w:rsid w:val="00791DE5"/>
    <w:rsid w:val="0079325C"/>
    <w:rsid w:val="007A0054"/>
    <w:rsid w:val="007A2A87"/>
    <w:rsid w:val="007A38F2"/>
    <w:rsid w:val="007A44A6"/>
    <w:rsid w:val="007A5353"/>
    <w:rsid w:val="007B24A7"/>
    <w:rsid w:val="007B3D63"/>
    <w:rsid w:val="007B69D6"/>
    <w:rsid w:val="007C55D0"/>
    <w:rsid w:val="007E17FF"/>
    <w:rsid w:val="007E57CE"/>
    <w:rsid w:val="007F7D27"/>
    <w:rsid w:val="008009AD"/>
    <w:rsid w:val="00801C54"/>
    <w:rsid w:val="00803DB4"/>
    <w:rsid w:val="008123E1"/>
    <w:rsid w:val="00813BAC"/>
    <w:rsid w:val="00813CD4"/>
    <w:rsid w:val="00821B9D"/>
    <w:rsid w:val="00823FF9"/>
    <w:rsid w:val="00826607"/>
    <w:rsid w:val="0084468C"/>
    <w:rsid w:val="00844EE2"/>
    <w:rsid w:val="00847F52"/>
    <w:rsid w:val="0085041F"/>
    <w:rsid w:val="008511AC"/>
    <w:rsid w:val="00851DC4"/>
    <w:rsid w:val="008552A0"/>
    <w:rsid w:val="0085747E"/>
    <w:rsid w:val="00862D23"/>
    <w:rsid w:val="00865492"/>
    <w:rsid w:val="00867CB4"/>
    <w:rsid w:val="008708AB"/>
    <w:rsid w:val="00874ED5"/>
    <w:rsid w:val="008810BC"/>
    <w:rsid w:val="00883F00"/>
    <w:rsid w:val="008B0845"/>
    <w:rsid w:val="008C17D4"/>
    <w:rsid w:val="008C1A94"/>
    <w:rsid w:val="008C4A7D"/>
    <w:rsid w:val="008C5B82"/>
    <w:rsid w:val="008F3908"/>
    <w:rsid w:val="009014B6"/>
    <w:rsid w:val="0090405B"/>
    <w:rsid w:val="00912882"/>
    <w:rsid w:val="00912895"/>
    <w:rsid w:val="00913578"/>
    <w:rsid w:val="009210DE"/>
    <w:rsid w:val="0092311E"/>
    <w:rsid w:val="009319B6"/>
    <w:rsid w:val="00943B87"/>
    <w:rsid w:val="00943C57"/>
    <w:rsid w:val="00950374"/>
    <w:rsid w:val="009531CB"/>
    <w:rsid w:val="0096160F"/>
    <w:rsid w:val="00965B80"/>
    <w:rsid w:val="00993B1E"/>
    <w:rsid w:val="00994750"/>
    <w:rsid w:val="009B4CB5"/>
    <w:rsid w:val="009B766C"/>
    <w:rsid w:val="009B7766"/>
    <w:rsid w:val="009C12C9"/>
    <w:rsid w:val="009C1CE7"/>
    <w:rsid w:val="009D55F7"/>
    <w:rsid w:val="009D7AB7"/>
    <w:rsid w:val="009E38A2"/>
    <w:rsid w:val="009E4107"/>
    <w:rsid w:val="009E76BE"/>
    <w:rsid w:val="009E79BF"/>
    <w:rsid w:val="009F12DA"/>
    <w:rsid w:val="009F3FE6"/>
    <w:rsid w:val="009F53AF"/>
    <w:rsid w:val="00A00793"/>
    <w:rsid w:val="00A00E34"/>
    <w:rsid w:val="00A062C7"/>
    <w:rsid w:val="00A10257"/>
    <w:rsid w:val="00A14332"/>
    <w:rsid w:val="00A16F39"/>
    <w:rsid w:val="00A234BD"/>
    <w:rsid w:val="00A23608"/>
    <w:rsid w:val="00A25FA0"/>
    <w:rsid w:val="00A27B9D"/>
    <w:rsid w:val="00A27D88"/>
    <w:rsid w:val="00A304D0"/>
    <w:rsid w:val="00A37FED"/>
    <w:rsid w:val="00A40614"/>
    <w:rsid w:val="00A41AC9"/>
    <w:rsid w:val="00A4607D"/>
    <w:rsid w:val="00A53EC9"/>
    <w:rsid w:val="00A56A46"/>
    <w:rsid w:val="00A606CF"/>
    <w:rsid w:val="00A60882"/>
    <w:rsid w:val="00A702DC"/>
    <w:rsid w:val="00A725D6"/>
    <w:rsid w:val="00A72C7D"/>
    <w:rsid w:val="00A742D4"/>
    <w:rsid w:val="00A81586"/>
    <w:rsid w:val="00A84A32"/>
    <w:rsid w:val="00A92440"/>
    <w:rsid w:val="00AB0C46"/>
    <w:rsid w:val="00AB104D"/>
    <w:rsid w:val="00AB2476"/>
    <w:rsid w:val="00AB47CC"/>
    <w:rsid w:val="00AC5095"/>
    <w:rsid w:val="00AC5DB4"/>
    <w:rsid w:val="00AC6932"/>
    <w:rsid w:val="00AD0C73"/>
    <w:rsid w:val="00AE1A2D"/>
    <w:rsid w:val="00AE5347"/>
    <w:rsid w:val="00AE55F6"/>
    <w:rsid w:val="00AE56DB"/>
    <w:rsid w:val="00AE5F3C"/>
    <w:rsid w:val="00AE7851"/>
    <w:rsid w:val="00AF458B"/>
    <w:rsid w:val="00AF637C"/>
    <w:rsid w:val="00AF7442"/>
    <w:rsid w:val="00B002AA"/>
    <w:rsid w:val="00B12C70"/>
    <w:rsid w:val="00B13C87"/>
    <w:rsid w:val="00B16CF0"/>
    <w:rsid w:val="00B1710D"/>
    <w:rsid w:val="00B30386"/>
    <w:rsid w:val="00B32510"/>
    <w:rsid w:val="00B3595C"/>
    <w:rsid w:val="00B36D5E"/>
    <w:rsid w:val="00B43E07"/>
    <w:rsid w:val="00B526A8"/>
    <w:rsid w:val="00B55FAB"/>
    <w:rsid w:val="00B65615"/>
    <w:rsid w:val="00B6734E"/>
    <w:rsid w:val="00B76198"/>
    <w:rsid w:val="00B77429"/>
    <w:rsid w:val="00B83D9D"/>
    <w:rsid w:val="00B84529"/>
    <w:rsid w:val="00B87DE2"/>
    <w:rsid w:val="00B95A76"/>
    <w:rsid w:val="00B96F7F"/>
    <w:rsid w:val="00BA414B"/>
    <w:rsid w:val="00BB0552"/>
    <w:rsid w:val="00BB2111"/>
    <w:rsid w:val="00BB3C7F"/>
    <w:rsid w:val="00BB4D39"/>
    <w:rsid w:val="00BC59C6"/>
    <w:rsid w:val="00BC7FD2"/>
    <w:rsid w:val="00C03AE7"/>
    <w:rsid w:val="00C05A29"/>
    <w:rsid w:val="00C05D9D"/>
    <w:rsid w:val="00C106F3"/>
    <w:rsid w:val="00C12FA8"/>
    <w:rsid w:val="00C261D1"/>
    <w:rsid w:val="00C30572"/>
    <w:rsid w:val="00C35592"/>
    <w:rsid w:val="00C356AF"/>
    <w:rsid w:val="00C41927"/>
    <w:rsid w:val="00C439D6"/>
    <w:rsid w:val="00C43F26"/>
    <w:rsid w:val="00C43FD9"/>
    <w:rsid w:val="00C44EB2"/>
    <w:rsid w:val="00C47E8F"/>
    <w:rsid w:val="00C54CC8"/>
    <w:rsid w:val="00C565C2"/>
    <w:rsid w:val="00C57BC4"/>
    <w:rsid w:val="00C60915"/>
    <w:rsid w:val="00C67F49"/>
    <w:rsid w:val="00C964B8"/>
    <w:rsid w:val="00CD4AF7"/>
    <w:rsid w:val="00CD4C1C"/>
    <w:rsid w:val="00CE3517"/>
    <w:rsid w:val="00CF1C81"/>
    <w:rsid w:val="00CF5840"/>
    <w:rsid w:val="00D01670"/>
    <w:rsid w:val="00D05C26"/>
    <w:rsid w:val="00D062AC"/>
    <w:rsid w:val="00D120EF"/>
    <w:rsid w:val="00D152E7"/>
    <w:rsid w:val="00D21F91"/>
    <w:rsid w:val="00D33027"/>
    <w:rsid w:val="00D37389"/>
    <w:rsid w:val="00D3796C"/>
    <w:rsid w:val="00D41F69"/>
    <w:rsid w:val="00D42046"/>
    <w:rsid w:val="00D44360"/>
    <w:rsid w:val="00D51E4C"/>
    <w:rsid w:val="00D53948"/>
    <w:rsid w:val="00D549B9"/>
    <w:rsid w:val="00D557EE"/>
    <w:rsid w:val="00D56058"/>
    <w:rsid w:val="00D57F4B"/>
    <w:rsid w:val="00D6132C"/>
    <w:rsid w:val="00D61A8A"/>
    <w:rsid w:val="00D656AD"/>
    <w:rsid w:val="00D76E91"/>
    <w:rsid w:val="00D849AA"/>
    <w:rsid w:val="00D871C2"/>
    <w:rsid w:val="00D872D1"/>
    <w:rsid w:val="00D94F6F"/>
    <w:rsid w:val="00DA6122"/>
    <w:rsid w:val="00DB4809"/>
    <w:rsid w:val="00DB5E8F"/>
    <w:rsid w:val="00DC3E99"/>
    <w:rsid w:val="00DC7C3E"/>
    <w:rsid w:val="00DC7DF7"/>
    <w:rsid w:val="00DE30E0"/>
    <w:rsid w:val="00DE4E42"/>
    <w:rsid w:val="00DF1F16"/>
    <w:rsid w:val="00E0407B"/>
    <w:rsid w:val="00E14AA0"/>
    <w:rsid w:val="00E2158C"/>
    <w:rsid w:val="00E22BCE"/>
    <w:rsid w:val="00E258D8"/>
    <w:rsid w:val="00E326FF"/>
    <w:rsid w:val="00E3305A"/>
    <w:rsid w:val="00E34B8E"/>
    <w:rsid w:val="00E361B0"/>
    <w:rsid w:val="00E41563"/>
    <w:rsid w:val="00E574A1"/>
    <w:rsid w:val="00E615F7"/>
    <w:rsid w:val="00E62DB8"/>
    <w:rsid w:val="00E63010"/>
    <w:rsid w:val="00E666C4"/>
    <w:rsid w:val="00E677EF"/>
    <w:rsid w:val="00E7159B"/>
    <w:rsid w:val="00E85027"/>
    <w:rsid w:val="00E859DF"/>
    <w:rsid w:val="00E87041"/>
    <w:rsid w:val="00E95201"/>
    <w:rsid w:val="00EA1807"/>
    <w:rsid w:val="00EA4947"/>
    <w:rsid w:val="00EC0C41"/>
    <w:rsid w:val="00EC11F0"/>
    <w:rsid w:val="00EC1594"/>
    <w:rsid w:val="00EC1C8C"/>
    <w:rsid w:val="00EC1D32"/>
    <w:rsid w:val="00ED0F16"/>
    <w:rsid w:val="00ED2521"/>
    <w:rsid w:val="00ED2DDA"/>
    <w:rsid w:val="00ED2FB9"/>
    <w:rsid w:val="00EE0C7D"/>
    <w:rsid w:val="00EE456B"/>
    <w:rsid w:val="00EF35BF"/>
    <w:rsid w:val="00EF381C"/>
    <w:rsid w:val="00F00C37"/>
    <w:rsid w:val="00F01259"/>
    <w:rsid w:val="00F034AC"/>
    <w:rsid w:val="00F04CCC"/>
    <w:rsid w:val="00F10590"/>
    <w:rsid w:val="00F160D2"/>
    <w:rsid w:val="00F22973"/>
    <w:rsid w:val="00F24E56"/>
    <w:rsid w:val="00F266C4"/>
    <w:rsid w:val="00F27D08"/>
    <w:rsid w:val="00F4748D"/>
    <w:rsid w:val="00F5279A"/>
    <w:rsid w:val="00F53841"/>
    <w:rsid w:val="00F53B21"/>
    <w:rsid w:val="00F612B3"/>
    <w:rsid w:val="00F615AA"/>
    <w:rsid w:val="00F653FF"/>
    <w:rsid w:val="00F7064A"/>
    <w:rsid w:val="00F7227D"/>
    <w:rsid w:val="00F747AD"/>
    <w:rsid w:val="00F81F42"/>
    <w:rsid w:val="00F84726"/>
    <w:rsid w:val="00F87F11"/>
    <w:rsid w:val="00F9393B"/>
    <w:rsid w:val="00F942CA"/>
    <w:rsid w:val="00F9452C"/>
    <w:rsid w:val="00FB0A70"/>
    <w:rsid w:val="00FB7206"/>
    <w:rsid w:val="00FC02EB"/>
    <w:rsid w:val="00FC1D72"/>
    <w:rsid w:val="00FC4F28"/>
    <w:rsid w:val="00FE0971"/>
    <w:rsid w:val="00FE0C92"/>
    <w:rsid w:val="00FE411D"/>
    <w:rsid w:val="00FE5577"/>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33EF943"/>
  <w15:docId w15:val="{FB94B663-F237-41D2-80CD-AD841E00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 w:type="paragraph" w:customStyle="1" w:styleId="TableTitle">
    <w:name w:val="TableTitle"/>
    <w:basedOn w:val="Normal"/>
    <w:next w:val="Normal"/>
    <w:link w:val="TableTitleChar"/>
    <w:rsid w:val="00380737"/>
    <w:pPr>
      <w:keepNext/>
      <w:spacing w:before="120" w:after="240"/>
      <w:jc w:val="center"/>
    </w:pPr>
    <w:rPr>
      <w:rFonts w:ascii="Arial" w:eastAsia="MS Mincho" w:hAnsi="Arial" w:cs="Times New Roman"/>
      <w:b/>
      <w:noProof/>
      <w:szCs w:val="20"/>
      <w:lang w:val="en-GB"/>
    </w:rPr>
  </w:style>
  <w:style w:type="character" w:customStyle="1" w:styleId="TableTitleChar">
    <w:name w:val="TableTitle Char"/>
    <w:basedOn w:val="DefaultParagraphFont"/>
    <w:link w:val="TableTitle"/>
    <w:locked/>
    <w:rsid w:val="00380737"/>
    <w:rPr>
      <w:rFonts w:ascii="Arial" w:eastAsia="MS Mincho" w:hAnsi="Arial" w:cs="Times New Roman"/>
      <w:b/>
      <w:noProof/>
      <w:sz w:val="22"/>
      <w:szCs w:val="20"/>
      <w:lang w:val="en-GB"/>
    </w:rPr>
  </w:style>
  <w:style w:type="paragraph" w:customStyle="1" w:styleId="TableMainHeading">
    <w:name w:val="TableMainHeading"/>
    <w:basedOn w:val="Normal"/>
    <w:next w:val="Normal"/>
    <w:uiPriority w:val="99"/>
    <w:rsid w:val="00F24E56"/>
    <w:pPr>
      <w:spacing w:before="120" w:after="120"/>
    </w:pPr>
    <w:rPr>
      <w:rFonts w:ascii="Segoe UI" w:eastAsia="Times New Roman" w:hAnsi="Segoe UI" w:cs="Times New Roman"/>
      <w:szCs w:val="20"/>
      <w:lang w:val="en-GB"/>
    </w:rPr>
  </w:style>
  <w:style w:type="character" w:customStyle="1" w:styleId="InstructionsTabelleberschrift">
    <w:name w:val="Instructions Tabelle Überschrift"/>
    <w:qFormat/>
    <w:rsid w:val="00F24E56"/>
    <w:rPr>
      <w:rFonts w:ascii="Verdana" w:hAnsi="Verdana" w:cs="Times New Roman"/>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221D-5335-423A-8E4C-6BA78AC4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3313</Words>
  <Characters>19288</Characters>
  <Application>Microsoft Office Word</Application>
  <DocSecurity>0</DocSecurity>
  <Lines>1285</Lines>
  <Paragraphs>1255</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OP</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 Gutierrez</cp:lastModifiedBy>
  <cp:revision>5</cp:revision>
  <cp:lastPrinted>2018-03-06T14:39:00Z</cp:lastPrinted>
  <dcterms:created xsi:type="dcterms:W3CDTF">2019-09-06T13:20:00Z</dcterms:created>
  <dcterms:modified xsi:type="dcterms:W3CDTF">2019-09-30T17:41:00Z</dcterms:modified>
</cp:coreProperties>
</file>