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A83F9" w14:textId="4AB9741C" w:rsidR="00B43E07" w:rsidRPr="00943202" w:rsidRDefault="00B43E07" w:rsidP="003A08D4">
      <w:pPr>
        <w:pStyle w:val="Annexetitre"/>
        <w:spacing w:after="240"/>
        <w:rPr>
          <w:noProof/>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sidRPr="00943202">
        <w:rPr>
          <w:noProof/>
        </w:rPr>
        <w:t>ANNEX</w:t>
      </w:r>
      <w:r w:rsidR="005673AC" w:rsidRPr="00943202">
        <w:rPr>
          <w:noProof/>
        </w:rPr>
        <w:t xml:space="preserve"> </w:t>
      </w:r>
      <w:r w:rsidR="003A08D4">
        <w:rPr>
          <w:noProof/>
        </w:rPr>
        <w:t xml:space="preserve">32 </w:t>
      </w:r>
      <w:r w:rsidR="005673AC" w:rsidRPr="00943202">
        <w:t>– Instructions for</w:t>
      </w:r>
      <w:r w:rsidR="00622D58" w:rsidRPr="00943202">
        <w:t xml:space="preserve"> </w:t>
      </w:r>
      <w:r w:rsidR="005673AC" w:rsidRPr="00943202">
        <w:t>disclosure</w:t>
      </w:r>
      <w:r w:rsidR="00391044" w:rsidRPr="00943202">
        <w:t xml:space="preserve"> on </w:t>
      </w:r>
      <w:r w:rsidR="00C221C6" w:rsidRPr="00943202">
        <w:t>exposures to securitisation positions</w:t>
      </w:r>
    </w:p>
    <w:p w14:paraId="6A6800FD" w14:textId="48763D5C" w:rsidR="008570A8" w:rsidRPr="001F1F27" w:rsidRDefault="008570A8" w:rsidP="008570A8">
      <w:pPr>
        <w:rPr>
          <w:rFonts w:ascii="Times New Roman" w:hAnsi="Times New Roman" w:cs="Times New Roman"/>
          <w:b/>
          <w:noProof/>
          <w:sz w:val="24"/>
        </w:rPr>
      </w:pPr>
      <w:r w:rsidRPr="001F1F27">
        <w:rPr>
          <w:rFonts w:ascii="Times New Roman" w:hAnsi="Times New Roman" w:cs="Times New Roman"/>
          <w:b/>
          <w:noProof/>
          <w:sz w:val="24"/>
        </w:rPr>
        <w:t>Table EU-SECA - Qualitative disclosure requirements related to securitisation exposures</w:t>
      </w:r>
      <w:r w:rsidR="00F431DD">
        <w:rPr>
          <w:rFonts w:ascii="Times New Roman" w:hAnsi="Times New Roman" w:cs="Times New Roman"/>
          <w:b/>
          <w:noProof/>
          <w:sz w:val="24"/>
        </w:rPr>
        <w:t>.</w:t>
      </w:r>
      <w:r w:rsidR="00391044" w:rsidRPr="001F1F27">
        <w:rPr>
          <w:rFonts w:ascii="Times New Roman" w:hAnsi="Times New Roman" w:cs="Times New Roman"/>
          <w:b/>
          <w:noProof/>
          <w:sz w:val="24"/>
        </w:rPr>
        <w:t xml:space="preserve"> </w:t>
      </w:r>
      <w:r w:rsidR="00391044" w:rsidRPr="00943202">
        <w:rPr>
          <w:rFonts w:ascii="Times New Roman" w:hAnsi="Times New Roman" w:cs="Times New Roman"/>
          <w:sz w:val="24"/>
        </w:rPr>
        <w:t>Free format text boxes for disclosure of qualitative information</w:t>
      </w:r>
    </w:p>
    <w:p w14:paraId="6C57100A" w14:textId="4F9D18E3" w:rsidR="003A08D4" w:rsidRDefault="003A08D4" w:rsidP="003A08D4">
      <w:pPr>
        <w:pStyle w:val="ListParagraph"/>
        <w:numPr>
          <w:ilvl w:val="0"/>
          <w:numId w:val="12"/>
        </w:numPr>
        <w:spacing w:before="120" w:after="120"/>
        <w:ind w:left="432"/>
        <w:jc w:val="both"/>
        <w:rPr>
          <w:rFonts w:ascii="Times New Roman" w:hAnsi="Times New Roman"/>
          <w:bCs/>
          <w:sz w:val="24"/>
        </w:rPr>
      </w:pPr>
      <w:r w:rsidRPr="00A95602">
        <w:rPr>
          <w:rFonts w:ascii="Times New Roman" w:hAnsi="Times New Roman"/>
          <w:bCs/>
          <w:sz w:val="24"/>
        </w:rPr>
        <w:t>Institutions shall apply the instructions provided</w:t>
      </w:r>
      <w:r>
        <w:rPr>
          <w:rFonts w:ascii="Times New Roman" w:hAnsi="Times New Roman"/>
          <w:bCs/>
          <w:sz w:val="24"/>
        </w:rPr>
        <w:t xml:space="preserve"> below</w:t>
      </w:r>
      <w:r w:rsidRPr="00A95602">
        <w:rPr>
          <w:rFonts w:ascii="Times New Roman" w:hAnsi="Times New Roman"/>
          <w:bCs/>
          <w:sz w:val="24"/>
        </w:rPr>
        <w:t xml:space="preserve"> in this Annex in order to complete </w:t>
      </w:r>
      <w:r>
        <w:rPr>
          <w:rFonts w:ascii="Times New Roman" w:hAnsi="Times New Roman"/>
          <w:bCs/>
          <w:sz w:val="24"/>
        </w:rPr>
        <w:t>table EU-SECA as presented in Annex 31</w:t>
      </w:r>
      <w:r w:rsidR="00F431DD">
        <w:rPr>
          <w:rFonts w:ascii="Times New Roman" w:hAnsi="Times New Roman"/>
          <w:bCs/>
          <w:sz w:val="24"/>
        </w:rPr>
        <w:t>, in application of Article 449</w:t>
      </w:r>
      <w:r>
        <w:rPr>
          <w:rFonts w:ascii="Times New Roman" w:hAnsi="Times New Roman"/>
          <w:bCs/>
          <w:sz w:val="24"/>
        </w:rPr>
        <w:t>(a) to (</w:t>
      </w:r>
      <w:r w:rsidR="0095345C">
        <w:rPr>
          <w:rFonts w:ascii="Times New Roman" w:hAnsi="Times New Roman"/>
          <w:bCs/>
          <w:sz w:val="24"/>
        </w:rPr>
        <w:t>i</w:t>
      </w:r>
      <w:r>
        <w:rPr>
          <w:rFonts w:ascii="Times New Roman" w:hAnsi="Times New Roman"/>
          <w:bCs/>
          <w:sz w:val="24"/>
        </w:rPr>
        <w:t>)</w:t>
      </w:r>
      <w:r w:rsidRPr="00C51B2A">
        <w:rPr>
          <w:rFonts w:ascii="Times New Roman" w:hAnsi="Times New Roman"/>
          <w:bCs/>
          <w:sz w:val="24"/>
        </w:rPr>
        <w:t xml:space="preserve"> of</w:t>
      </w:r>
      <w:r>
        <w:rPr>
          <w:rFonts w:ascii="Times New Roman" w:hAnsi="Times New Roman"/>
          <w:bCs/>
          <w:sz w:val="24"/>
        </w:rPr>
        <w:t xml:space="preserve"> </w:t>
      </w:r>
      <w:r w:rsidRPr="00E27D2D">
        <w:rPr>
          <w:rFonts w:ascii="Times New Roman" w:hAnsi="Times New Roman"/>
          <w:bCs/>
          <w:sz w:val="24"/>
        </w:rPr>
        <w:t>Regulation (EU) No 575/2013 (CRR)</w:t>
      </w:r>
      <w:r w:rsidRPr="000769C4">
        <w:rPr>
          <w:rFonts w:ascii="Times New Roman" w:hAnsi="Times New Roman"/>
          <w:bCs/>
          <w:sz w:val="24"/>
        </w:rPr>
        <w:t>.</w:t>
      </w:r>
    </w:p>
    <w:p w14:paraId="56941230" w14:textId="77777777" w:rsidR="003A08D4" w:rsidRPr="003A08D4" w:rsidRDefault="003A08D4" w:rsidP="003A08D4">
      <w:pPr>
        <w:spacing w:before="120" w:after="120"/>
        <w:rPr>
          <w:rFonts w:ascii="Times New Roman" w:hAnsi="Times New Roman"/>
          <w:bCs/>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3A08D4" w:rsidRPr="00943202" w14:paraId="5B464329" w14:textId="77777777" w:rsidTr="0095345C">
        <w:trPr>
          <w:trHeight w:val="9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B292" w14:textId="77777777" w:rsidR="003A08D4" w:rsidRPr="00943202" w:rsidRDefault="003A08D4" w:rsidP="0095345C">
            <w:pPr>
              <w:rPr>
                <w:rFonts w:ascii="Times New Roman" w:hAnsi="Times New Roman" w:cs="Times New Roman"/>
                <w:b/>
                <w:sz w:val="24"/>
                <w:lang w:val="en-GB"/>
              </w:rPr>
            </w:pPr>
            <w:r w:rsidRPr="00943202">
              <w:rPr>
                <w:rFonts w:ascii="Times New Roman" w:hAnsi="Times New Roman" w:cs="Times New Roman"/>
                <w:b/>
                <w:sz w:val="24"/>
                <w:lang w:val="en-GB"/>
              </w:rPr>
              <w:t>Legal references and instructions</w:t>
            </w:r>
          </w:p>
        </w:tc>
      </w:tr>
      <w:tr w:rsidR="003A08D4" w:rsidRPr="00943202" w14:paraId="02AB00C1" w14:textId="77777777" w:rsidTr="0095345C">
        <w:trPr>
          <w:trHeight w:val="238"/>
        </w:trPr>
        <w:tc>
          <w:tcPr>
            <w:tcW w:w="1413" w:type="dxa"/>
            <w:shd w:val="clear" w:color="auto" w:fill="D9D9D9" w:themeFill="background1" w:themeFillShade="D9"/>
          </w:tcPr>
          <w:p w14:paraId="318B579C" w14:textId="77777777" w:rsidR="003A08D4" w:rsidRPr="00943202" w:rsidRDefault="003A08D4" w:rsidP="0095345C">
            <w:pPr>
              <w:autoSpaceDE w:val="0"/>
              <w:autoSpaceDN w:val="0"/>
              <w:adjustRightInd w:val="0"/>
              <w:rPr>
                <w:rFonts w:ascii="Times New Roman" w:hAnsi="Times New Roman" w:cs="Times New Roman"/>
                <w:b/>
                <w:sz w:val="24"/>
                <w:lang w:val="en-GB"/>
              </w:rPr>
            </w:pPr>
            <w:r>
              <w:rPr>
                <w:rFonts w:ascii="Times New Roman" w:hAnsi="Times New Roman" w:cs="Times New Roman"/>
                <w:b/>
                <w:sz w:val="24"/>
                <w:lang w:val="en-GB"/>
              </w:rPr>
              <w:t>Row</w:t>
            </w:r>
            <w:r w:rsidRPr="00943202">
              <w:rPr>
                <w:rFonts w:ascii="Times New Roman" w:hAnsi="Times New Roman" w:cs="Times New Roman"/>
                <w:b/>
                <w:sz w:val="24"/>
                <w:lang w:val="en-GB"/>
              </w:rPr>
              <w:t xml:space="preserve"> reference</w:t>
            </w:r>
          </w:p>
        </w:tc>
        <w:tc>
          <w:tcPr>
            <w:tcW w:w="7654" w:type="dxa"/>
            <w:shd w:val="clear" w:color="auto" w:fill="D9D9D9" w:themeFill="background1" w:themeFillShade="D9"/>
          </w:tcPr>
          <w:p w14:paraId="49ACBBBC" w14:textId="77777777" w:rsidR="003A08D4" w:rsidRPr="00943202" w:rsidRDefault="003A08D4" w:rsidP="0095345C">
            <w:pPr>
              <w:autoSpaceDE w:val="0"/>
              <w:autoSpaceDN w:val="0"/>
              <w:adjustRightInd w:val="0"/>
              <w:rPr>
                <w:rFonts w:ascii="Times New Roman" w:hAnsi="Times New Roman" w:cs="Times New Roman"/>
                <w:color w:val="000000"/>
                <w:sz w:val="24"/>
                <w:lang w:val="en-GB"/>
              </w:rPr>
            </w:pPr>
            <w:r w:rsidRPr="00943202">
              <w:rPr>
                <w:rFonts w:ascii="Times New Roman" w:hAnsi="Times New Roman" w:cs="Times New Roman"/>
                <w:b/>
                <w:sz w:val="24"/>
                <w:lang w:val="en-GB"/>
              </w:rPr>
              <w:t>Explanation</w:t>
            </w:r>
          </w:p>
        </w:tc>
      </w:tr>
      <w:tr w:rsidR="003A08D4" w:rsidRPr="00943202" w14:paraId="221503CB" w14:textId="77777777" w:rsidTr="0095345C">
        <w:trPr>
          <w:trHeight w:val="316"/>
        </w:trPr>
        <w:tc>
          <w:tcPr>
            <w:tcW w:w="1413" w:type="dxa"/>
          </w:tcPr>
          <w:p w14:paraId="75489D57"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a</w:t>
            </w:r>
          </w:p>
        </w:tc>
        <w:tc>
          <w:tcPr>
            <w:tcW w:w="7654" w:type="dxa"/>
          </w:tcPr>
          <w:p w14:paraId="7DC8F968" w14:textId="4AC8FA0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24B2">
              <w:rPr>
                <w:rFonts w:ascii="Times New Roman" w:eastAsia="Times New Roman" w:hAnsi="Times New Roman" w:cs="Times New Roman"/>
                <w:sz w:val="24"/>
                <w:lang w:val="en-GB"/>
              </w:rPr>
              <w:t>Description of securitisation and re-securitisation activities; including their risk management and investment objectives in connection with those activities, their role in securitisation and re-securitisation transactions whether they use the Simple Transparent and Standardised (STS) securitisation framework and the extent to which they use securitisation transactions to transfer the credit risk of the securitised exposures to third parties with, where applicable, a separate description of their synthetic secur</w:t>
            </w:r>
            <w:r>
              <w:rPr>
                <w:rFonts w:ascii="Times New Roman" w:eastAsia="Times New Roman" w:hAnsi="Times New Roman" w:cs="Times New Roman"/>
                <w:sz w:val="24"/>
                <w:lang w:val="en-GB"/>
              </w:rPr>
              <w:t>itisation risk transfer policy</w:t>
            </w:r>
            <w:r w:rsidR="001F6E63">
              <w:rPr>
                <w:rFonts w:ascii="Times New Roman" w:eastAsia="Times New Roman" w:hAnsi="Times New Roman" w:cs="Times New Roman"/>
                <w:sz w:val="24"/>
                <w:lang w:val="en-GB"/>
              </w:rPr>
              <w:t>, in accordance with Article 449(a) of CRR.</w:t>
            </w:r>
          </w:p>
        </w:tc>
      </w:tr>
      <w:tr w:rsidR="003A08D4" w:rsidRPr="00943202" w14:paraId="3277F0A8" w14:textId="77777777" w:rsidTr="0095345C">
        <w:trPr>
          <w:trHeight w:val="316"/>
        </w:trPr>
        <w:tc>
          <w:tcPr>
            <w:tcW w:w="1413" w:type="dxa"/>
          </w:tcPr>
          <w:p w14:paraId="1B3F43B6"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b</w:t>
            </w:r>
          </w:p>
        </w:tc>
        <w:tc>
          <w:tcPr>
            <w:tcW w:w="7654" w:type="dxa"/>
          </w:tcPr>
          <w:p w14:paraId="65156319" w14:textId="77777777" w:rsidR="003A08D4" w:rsidRPr="009424B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24B2">
              <w:rPr>
                <w:rFonts w:ascii="Times New Roman" w:eastAsia="Times New Roman" w:hAnsi="Times New Roman" w:cs="Times New Roman"/>
                <w:sz w:val="24"/>
                <w:lang w:val="en-GB"/>
              </w:rPr>
              <w:t>The type of risk they are exposed to in their securitisation and re-securitisation activities by level of seniority of the relevant securitisation positions, providi</w:t>
            </w:r>
            <w:r>
              <w:rPr>
                <w:rFonts w:ascii="Times New Roman" w:eastAsia="Times New Roman" w:hAnsi="Times New Roman" w:cs="Times New Roman"/>
                <w:sz w:val="24"/>
                <w:lang w:val="en-GB"/>
              </w:rPr>
              <w:t>ng a distinction between STS and</w:t>
            </w:r>
            <w:r w:rsidRPr="009424B2">
              <w:rPr>
                <w:rFonts w:ascii="Times New Roman" w:eastAsia="Times New Roman" w:hAnsi="Times New Roman" w:cs="Times New Roman"/>
                <w:sz w:val="24"/>
                <w:lang w:val="en-GB"/>
              </w:rPr>
              <w:t xml:space="preserve"> non-STS positions and:</w:t>
            </w:r>
          </w:p>
          <w:p w14:paraId="0087A8F4" w14:textId="77777777" w:rsidR="003A08D4" w:rsidRPr="009424B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24B2">
              <w:rPr>
                <w:rFonts w:ascii="Times New Roman" w:eastAsia="Times New Roman" w:hAnsi="Times New Roman" w:cs="Times New Roman"/>
                <w:sz w:val="24"/>
                <w:lang w:val="en-GB"/>
              </w:rPr>
              <w:t>i) risk retained in own-originated transactions;</w:t>
            </w:r>
          </w:p>
          <w:p w14:paraId="57FD9B30" w14:textId="77777777" w:rsidR="001F6E63"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24B2">
              <w:rPr>
                <w:rFonts w:ascii="Times New Roman" w:eastAsia="Times New Roman" w:hAnsi="Times New Roman" w:cs="Times New Roman"/>
                <w:sz w:val="24"/>
                <w:lang w:val="en-GB"/>
              </w:rPr>
              <w:t>ii) risk incurred in relation to transactions originated by third parties</w:t>
            </w:r>
            <w:r w:rsidR="001F6E63">
              <w:rPr>
                <w:rFonts w:ascii="Times New Roman" w:eastAsia="Times New Roman" w:hAnsi="Times New Roman" w:cs="Times New Roman"/>
                <w:sz w:val="24"/>
                <w:lang w:val="en-GB"/>
              </w:rPr>
              <w:t>,</w:t>
            </w:r>
          </w:p>
          <w:p w14:paraId="6F693735" w14:textId="69801361" w:rsidR="003A08D4" w:rsidRPr="00943202" w:rsidRDefault="001F6E63"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in accordance with Article 449(b) of CRR.</w:t>
            </w:r>
            <w:r w:rsidR="003A08D4" w:rsidRPr="009424B2">
              <w:rPr>
                <w:rFonts w:ascii="Times New Roman" w:eastAsia="Times New Roman" w:hAnsi="Times New Roman" w:cs="Times New Roman"/>
                <w:sz w:val="24"/>
                <w:lang w:val="en-GB"/>
              </w:rPr>
              <w:t> </w:t>
            </w:r>
          </w:p>
        </w:tc>
      </w:tr>
      <w:tr w:rsidR="003A08D4" w:rsidRPr="00943202" w14:paraId="6102EA4B" w14:textId="77777777" w:rsidTr="0095345C">
        <w:trPr>
          <w:trHeight w:val="316"/>
        </w:trPr>
        <w:tc>
          <w:tcPr>
            <w:tcW w:w="1413" w:type="dxa"/>
          </w:tcPr>
          <w:p w14:paraId="3E581A8C"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c</w:t>
            </w:r>
          </w:p>
        </w:tc>
        <w:tc>
          <w:tcPr>
            <w:tcW w:w="7654" w:type="dxa"/>
          </w:tcPr>
          <w:p w14:paraId="54FF4B91" w14:textId="51E63B6A"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I</w:t>
            </w:r>
            <w:r w:rsidRPr="009424B2">
              <w:rPr>
                <w:rFonts w:ascii="Times New Roman" w:eastAsia="Times New Roman" w:hAnsi="Times New Roman" w:cs="Times New Roman"/>
                <w:iCs/>
                <w:sz w:val="24"/>
                <w:lang w:val="en-GB"/>
              </w:rPr>
              <w:t>nstitutions’ approaches to calculating the risk-weighted exposure amounts that they apply to their securitisation activities, including the types of securitisation positions to which each approach applies  with a distinction between STS and non-STS positions</w:t>
            </w:r>
            <w:r w:rsidR="001F6E63">
              <w:rPr>
                <w:rFonts w:ascii="Times New Roman" w:eastAsia="Times New Roman" w:hAnsi="Times New Roman" w:cs="Times New Roman"/>
                <w:iCs/>
                <w:sz w:val="24"/>
                <w:lang w:val="en-GB"/>
              </w:rPr>
              <w:t>, in accordance with Article 449(c)</w:t>
            </w:r>
            <w:r w:rsidR="008D259E">
              <w:rPr>
                <w:rFonts w:ascii="Times New Roman" w:eastAsia="Times New Roman" w:hAnsi="Times New Roman" w:cs="Times New Roman"/>
                <w:iCs/>
                <w:sz w:val="24"/>
                <w:lang w:val="en-GB"/>
              </w:rPr>
              <w:t xml:space="preserve"> of CRR</w:t>
            </w:r>
            <w:r w:rsidR="001F6E63">
              <w:rPr>
                <w:rFonts w:ascii="Times New Roman" w:eastAsia="Times New Roman" w:hAnsi="Times New Roman" w:cs="Times New Roman"/>
                <w:iCs/>
                <w:sz w:val="24"/>
                <w:lang w:val="en-GB"/>
              </w:rPr>
              <w:t>.</w:t>
            </w:r>
          </w:p>
        </w:tc>
      </w:tr>
      <w:tr w:rsidR="003A08D4" w:rsidRPr="00943202" w14:paraId="370E9BDC" w14:textId="77777777" w:rsidTr="0095345C">
        <w:trPr>
          <w:trHeight w:val="316"/>
        </w:trPr>
        <w:tc>
          <w:tcPr>
            <w:tcW w:w="1413" w:type="dxa"/>
          </w:tcPr>
          <w:p w14:paraId="47E3194F"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d</w:t>
            </w:r>
          </w:p>
        </w:tc>
        <w:tc>
          <w:tcPr>
            <w:tcW w:w="7654" w:type="dxa"/>
          </w:tcPr>
          <w:p w14:paraId="6E4ED246" w14:textId="77777777" w:rsidR="003A08D4" w:rsidRPr="009424B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A</w:t>
            </w:r>
            <w:r w:rsidRPr="009424B2">
              <w:rPr>
                <w:rFonts w:ascii="Times New Roman" w:eastAsia="Times New Roman" w:hAnsi="Times New Roman" w:cs="Times New Roman"/>
                <w:iCs/>
                <w:sz w:val="24"/>
                <w:lang w:val="en-GB"/>
              </w:rPr>
              <w:t xml:space="preserve"> list of SSPEs falling into any of the following categories, with a des</w:t>
            </w:r>
            <w:r>
              <w:rPr>
                <w:rFonts w:ascii="Times New Roman" w:eastAsia="Times New Roman" w:hAnsi="Times New Roman" w:cs="Times New Roman"/>
                <w:iCs/>
                <w:sz w:val="24"/>
                <w:lang w:val="en-GB"/>
              </w:rPr>
              <w:t>cription of their types of expo</w:t>
            </w:r>
            <w:r w:rsidRPr="009424B2">
              <w:rPr>
                <w:rFonts w:ascii="Times New Roman" w:eastAsia="Times New Roman" w:hAnsi="Times New Roman" w:cs="Times New Roman"/>
                <w:iCs/>
                <w:sz w:val="24"/>
                <w:lang w:val="en-GB"/>
              </w:rPr>
              <w:t>sures to those SS</w:t>
            </w:r>
            <w:r>
              <w:rPr>
                <w:rFonts w:ascii="Times New Roman" w:eastAsia="Times New Roman" w:hAnsi="Times New Roman" w:cs="Times New Roman"/>
                <w:iCs/>
                <w:sz w:val="24"/>
                <w:lang w:val="en-GB"/>
              </w:rPr>
              <w:t>PEs</w:t>
            </w:r>
            <w:r w:rsidRPr="009424B2">
              <w:rPr>
                <w:rFonts w:ascii="Times New Roman" w:eastAsia="Times New Roman" w:hAnsi="Times New Roman" w:cs="Times New Roman"/>
                <w:iCs/>
                <w:sz w:val="24"/>
                <w:lang w:val="en-GB"/>
              </w:rPr>
              <w:t>, including derivatives contracts</w:t>
            </w:r>
            <w:r>
              <w:rPr>
                <w:rFonts w:ascii="Times New Roman" w:eastAsia="Times New Roman" w:hAnsi="Times New Roman" w:cs="Times New Roman"/>
                <w:iCs/>
                <w:sz w:val="24"/>
                <w:lang w:val="en-GB"/>
              </w:rPr>
              <w:t>:</w:t>
            </w:r>
          </w:p>
          <w:p w14:paraId="60E5BAD1" w14:textId="77777777" w:rsidR="003A08D4" w:rsidRPr="009424B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sidRPr="009424B2">
              <w:rPr>
                <w:rFonts w:ascii="Times New Roman" w:eastAsia="Times New Roman" w:hAnsi="Times New Roman" w:cs="Times New Roman"/>
                <w:iCs/>
                <w:sz w:val="24"/>
                <w:lang w:val="en-GB"/>
              </w:rPr>
              <w:t>(i) SSPEs which acquire exposures originated by the institutions;</w:t>
            </w:r>
          </w:p>
          <w:p w14:paraId="683CD9A3" w14:textId="77777777" w:rsidR="003A08D4" w:rsidRPr="009424B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sidRPr="009424B2">
              <w:rPr>
                <w:rFonts w:ascii="Times New Roman" w:eastAsia="Times New Roman" w:hAnsi="Times New Roman" w:cs="Times New Roman"/>
                <w:iCs/>
                <w:sz w:val="24"/>
                <w:lang w:val="en-GB"/>
              </w:rPr>
              <w:t xml:space="preserve">(ii) SSPEs sponsored by the institutions; </w:t>
            </w:r>
          </w:p>
          <w:p w14:paraId="017629C5" w14:textId="77777777" w:rsidR="003A08D4" w:rsidRPr="009424B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sidRPr="009424B2">
              <w:rPr>
                <w:rFonts w:ascii="Times New Roman" w:eastAsia="Times New Roman" w:hAnsi="Times New Roman" w:cs="Times New Roman"/>
                <w:iCs/>
                <w:sz w:val="24"/>
                <w:lang w:val="en-GB"/>
              </w:rPr>
              <w:t xml:space="preserve">(iii) SSPEs and other legal entities for which the institutions provide securitisation-related services, such as advisory, asset servicing or management services; </w:t>
            </w:r>
          </w:p>
          <w:p w14:paraId="1E7705AB" w14:textId="77777777" w:rsidR="001F6E63"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sidRPr="009424B2">
              <w:rPr>
                <w:rFonts w:ascii="Times New Roman" w:eastAsia="Times New Roman" w:hAnsi="Times New Roman" w:cs="Times New Roman"/>
                <w:iCs/>
                <w:sz w:val="24"/>
                <w:lang w:val="en-GB"/>
              </w:rPr>
              <w:t>(iv) SSPEs included in the institutions' regulatory scope of consolidation</w:t>
            </w:r>
            <w:r w:rsidR="001F6E63">
              <w:rPr>
                <w:rFonts w:ascii="Times New Roman" w:eastAsia="Times New Roman" w:hAnsi="Times New Roman" w:cs="Times New Roman"/>
                <w:iCs/>
                <w:sz w:val="24"/>
                <w:lang w:val="en-GB"/>
              </w:rPr>
              <w:t>,</w:t>
            </w:r>
          </w:p>
          <w:p w14:paraId="2D2D1F18" w14:textId="7AB52A40" w:rsidR="003A08D4" w:rsidRPr="00943202" w:rsidRDefault="001F6E63"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sz w:val="24"/>
                <w:lang w:val="en-GB"/>
              </w:rPr>
              <w:t xml:space="preserve"> </w:t>
            </w:r>
            <w:r w:rsidR="005C73EC">
              <w:rPr>
                <w:rFonts w:ascii="Times New Roman" w:eastAsia="Times New Roman" w:hAnsi="Times New Roman" w:cs="Times New Roman"/>
                <w:sz w:val="24"/>
                <w:lang w:val="en-GB"/>
              </w:rPr>
              <w:t>in accordance with Article 449(d</w:t>
            </w:r>
            <w:r>
              <w:rPr>
                <w:rFonts w:ascii="Times New Roman" w:eastAsia="Times New Roman" w:hAnsi="Times New Roman" w:cs="Times New Roman"/>
                <w:sz w:val="24"/>
                <w:lang w:val="en-GB"/>
              </w:rPr>
              <w:t>) of CRR.</w:t>
            </w:r>
            <w:r w:rsidRPr="009424B2">
              <w:rPr>
                <w:rFonts w:ascii="Times New Roman" w:eastAsia="Times New Roman" w:hAnsi="Times New Roman" w:cs="Times New Roman"/>
                <w:sz w:val="24"/>
                <w:lang w:val="en-GB"/>
              </w:rPr>
              <w:t> </w:t>
            </w:r>
          </w:p>
        </w:tc>
      </w:tr>
      <w:tr w:rsidR="003A08D4" w:rsidRPr="00943202" w14:paraId="7425F7FE" w14:textId="77777777" w:rsidTr="0095345C">
        <w:trPr>
          <w:trHeight w:val="316"/>
        </w:trPr>
        <w:tc>
          <w:tcPr>
            <w:tcW w:w="1413" w:type="dxa"/>
          </w:tcPr>
          <w:p w14:paraId="467E187B"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e</w:t>
            </w:r>
          </w:p>
        </w:tc>
        <w:tc>
          <w:tcPr>
            <w:tcW w:w="7654" w:type="dxa"/>
          </w:tcPr>
          <w:p w14:paraId="6E7E08D6" w14:textId="41922C02"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A</w:t>
            </w:r>
            <w:r w:rsidRPr="009424B2">
              <w:rPr>
                <w:rFonts w:ascii="Times New Roman" w:eastAsia="Times New Roman" w:hAnsi="Times New Roman" w:cs="Times New Roman"/>
                <w:iCs/>
                <w:sz w:val="24"/>
                <w:lang w:val="en-GB"/>
              </w:rPr>
              <w:t xml:space="preserve"> list of any legal entities in relation to which the institutions have disclosed that they have provided support in accordance with Part Three, Title II, Chapter 5</w:t>
            </w:r>
            <w:r w:rsidR="001F6E63">
              <w:rPr>
                <w:rFonts w:ascii="Times New Roman" w:eastAsia="Times New Roman" w:hAnsi="Times New Roman" w:cs="Times New Roman"/>
                <w:iCs/>
                <w:sz w:val="24"/>
                <w:lang w:val="en-GB"/>
              </w:rPr>
              <w:t>, in application of Article 449(e) of CRR.</w:t>
            </w:r>
            <w:r w:rsidRPr="009424B2">
              <w:rPr>
                <w:rFonts w:ascii="Times New Roman" w:eastAsia="Times New Roman" w:hAnsi="Times New Roman" w:cs="Times New Roman"/>
                <w:iCs/>
                <w:sz w:val="24"/>
                <w:lang w:val="en-GB"/>
              </w:rPr>
              <w:t> </w:t>
            </w:r>
          </w:p>
        </w:tc>
      </w:tr>
      <w:tr w:rsidR="003A08D4" w:rsidRPr="00943202" w14:paraId="392F51E4" w14:textId="77777777" w:rsidTr="0095345C">
        <w:trPr>
          <w:trHeight w:val="316"/>
        </w:trPr>
        <w:tc>
          <w:tcPr>
            <w:tcW w:w="1413" w:type="dxa"/>
          </w:tcPr>
          <w:p w14:paraId="6FA7CE05"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f</w:t>
            </w:r>
          </w:p>
        </w:tc>
        <w:tc>
          <w:tcPr>
            <w:tcW w:w="7654" w:type="dxa"/>
          </w:tcPr>
          <w:p w14:paraId="139794AC" w14:textId="0EE87800"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A</w:t>
            </w:r>
            <w:r w:rsidRPr="009424B2">
              <w:rPr>
                <w:rFonts w:ascii="Times New Roman" w:eastAsia="Times New Roman" w:hAnsi="Times New Roman" w:cs="Times New Roman"/>
                <w:iCs/>
                <w:sz w:val="24"/>
                <w:lang w:val="en-GB"/>
              </w:rPr>
              <w:t xml:space="preserve"> list of legal entities affiliated with the institutions and that invest in securitisations originated by the institutions or in securitisation positions issued by SSPEs sponsored by the institutions</w:t>
            </w:r>
            <w:r w:rsidR="00244A82">
              <w:rPr>
                <w:rFonts w:ascii="Times New Roman" w:eastAsia="Times New Roman" w:hAnsi="Times New Roman" w:cs="Times New Roman"/>
                <w:iCs/>
                <w:sz w:val="24"/>
                <w:lang w:val="en-GB"/>
              </w:rPr>
              <w:t>, in accordance with Article 449(f)</w:t>
            </w:r>
            <w:r w:rsidR="008D259E">
              <w:rPr>
                <w:rFonts w:ascii="Times New Roman" w:eastAsia="Times New Roman" w:hAnsi="Times New Roman" w:cs="Times New Roman"/>
                <w:iCs/>
                <w:sz w:val="24"/>
                <w:lang w:val="en-GB"/>
              </w:rPr>
              <w:t xml:space="preserve"> of CRR</w:t>
            </w:r>
            <w:r w:rsidR="00244A82">
              <w:rPr>
                <w:rFonts w:ascii="Times New Roman" w:eastAsia="Times New Roman" w:hAnsi="Times New Roman" w:cs="Times New Roman"/>
                <w:iCs/>
                <w:sz w:val="24"/>
                <w:lang w:val="en-GB"/>
              </w:rPr>
              <w:t>.</w:t>
            </w:r>
          </w:p>
        </w:tc>
      </w:tr>
      <w:tr w:rsidR="003A08D4" w:rsidRPr="00943202" w14:paraId="638EF757" w14:textId="77777777" w:rsidTr="0095345C">
        <w:trPr>
          <w:trHeight w:val="316"/>
        </w:trPr>
        <w:tc>
          <w:tcPr>
            <w:tcW w:w="1413" w:type="dxa"/>
          </w:tcPr>
          <w:p w14:paraId="676575A3"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g</w:t>
            </w:r>
          </w:p>
        </w:tc>
        <w:tc>
          <w:tcPr>
            <w:tcW w:w="7654" w:type="dxa"/>
          </w:tcPr>
          <w:p w14:paraId="3A5ED7F0" w14:textId="2841F6A8" w:rsidR="003A08D4" w:rsidRPr="00943202" w:rsidRDefault="003A08D4" w:rsidP="00244A82">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A</w:t>
            </w:r>
            <w:r w:rsidRPr="009424B2">
              <w:rPr>
                <w:rFonts w:ascii="Times New Roman" w:eastAsia="Times New Roman" w:hAnsi="Times New Roman" w:cs="Times New Roman"/>
                <w:iCs/>
                <w:sz w:val="24"/>
                <w:lang w:val="en-GB"/>
              </w:rPr>
              <w:t xml:space="preserve"> summary of their accounting policies for securitisation activity,</w:t>
            </w:r>
            <w:r>
              <w:rPr>
                <w:rFonts w:ascii="Times New Roman" w:eastAsia="Times New Roman" w:hAnsi="Times New Roman" w:cs="Times New Roman"/>
                <w:iCs/>
                <w:sz w:val="24"/>
                <w:lang w:val="en-GB"/>
              </w:rPr>
              <w:t xml:space="preserve"> including where relevant a dis</w:t>
            </w:r>
            <w:r w:rsidRPr="009424B2">
              <w:rPr>
                <w:rFonts w:ascii="Times New Roman" w:eastAsia="Times New Roman" w:hAnsi="Times New Roman" w:cs="Times New Roman"/>
                <w:iCs/>
                <w:sz w:val="24"/>
                <w:lang w:val="en-GB"/>
              </w:rPr>
              <w:t>tinction between securitisation and re-securitisation positions</w:t>
            </w:r>
            <w:r w:rsidR="00244A82">
              <w:rPr>
                <w:rFonts w:ascii="Times New Roman" w:eastAsia="Times New Roman" w:hAnsi="Times New Roman" w:cs="Times New Roman"/>
                <w:iCs/>
                <w:sz w:val="24"/>
                <w:lang w:val="en-GB"/>
              </w:rPr>
              <w:t>, in accordance with Article 449(g)</w:t>
            </w:r>
            <w:r w:rsidR="008D259E">
              <w:rPr>
                <w:rFonts w:ascii="Times New Roman" w:eastAsia="Times New Roman" w:hAnsi="Times New Roman" w:cs="Times New Roman"/>
                <w:iCs/>
                <w:sz w:val="24"/>
                <w:lang w:val="en-GB"/>
              </w:rPr>
              <w:t xml:space="preserve"> of CRR</w:t>
            </w:r>
            <w:r w:rsidR="00244A82">
              <w:rPr>
                <w:rFonts w:ascii="Times New Roman" w:eastAsia="Times New Roman" w:hAnsi="Times New Roman" w:cs="Times New Roman"/>
                <w:iCs/>
                <w:sz w:val="24"/>
                <w:lang w:val="en-GB"/>
              </w:rPr>
              <w:t>.</w:t>
            </w:r>
          </w:p>
        </w:tc>
      </w:tr>
      <w:tr w:rsidR="003A08D4" w:rsidRPr="00943202" w14:paraId="40259E5B" w14:textId="77777777" w:rsidTr="0095345C">
        <w:trPr>
          <w:trHeight w:val="316"/>
        </w:trPr>
        <w:tc>
          <w:tcPr>
            <w:tcW w:w="1413" w:type="dxa"/>
          </w:tcPr>
          <w:p w14:paraId="7EB3A6AF"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h</w:t>
            </w:r>
          </w:p>
        </w:tc>
        <w:tc>
          <w:tcPr>
            <w:tcW w:w="7654" w:type="dxa"/>
          </w:tcPr>
          <w:p w14:paraId="4D0E7EDC" w14:textId="1E4397E6"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T</w:t>
            </w:r>
            <w:r w:rsidRPr="009424B2">
              <w:rPr>
                <w:rFonts w:ascii="Times New Roman" w:eastAsia="Times New Roman" w:hAnsi="Times New Roman" w:cs="Times New Roman"/>
                <w:iCs/>
                <w:sz w:val="24"/>
                <w:lang w:val="en-GB"/>
              </w:rPr>
              <w:t>he names of the ECAIs used for securitisations and the types of exposure for which each agency is used</w:t>
            </w:r>
            <w:r w:rsidR="00244A82">
              <w:rPr>
                <w:rFonts w:ascii="Times New Roman" w:eastAsia="Times New Roman" w:hAnsi="Times New Roman" w:cs="Times New Roman"/>
                <w:iCs/>
                <w:sz w:val="24"/>
                <w:lang w:val="en-GB"/>
              </w:rPr>
              <w:t>, in accordance with Article 449(h)</w:t>
            </w:r>
            <w:r w:rsidR="008D259E">
              <w:rPr>
                <w:rFonts w:ascii="Times New Roman" w:eastAsia="Times New Roman" w:hAnsi="Times New Roman" w:cs="Times New Roman"/>
                <w:iCs/>
                <w:sz w:val="24"/>
                <w:lang w:val="en-GB"/>
              </w:rPr>
              <w:t xml:space="preserve"> of CRR</w:t>
            </w:r>
            <w:r w:rsidR="00244A82">
              <w:rPr>
                <w:rFonts w:ascii="Times New Roman" w:eastAsia="Times New Roman" w:hAnsi="Times New Roman" w:cs="Times New Roman"/>
                <w:iCs/>
                <w:sz w:val="24"/>
                <w:lang w:val="en-GB"/>
              </w:rPr>
              <w:t>.</w:t>
            </w:r>
          </w:p>
        </w:tc>
      </w:tr>
      <w:tr w:rsidR="003A08D4" w:rsidRPr="00943202" w14:paraId="516E1C54" w14:textId="77777777" w:rsidTr="0095345C">
        <w:trPr>
          <w:trHeight w:val="316"/>
        </w:trPr>
        <w:tc>
          <w:tcPr>
            <w:tcW w:w="1413" w:type="dxa"/>
          </w:tcPr>
          <w:p w14:paraId="7E38DA21"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t>i</w:t>
            </w:r>
          </w:p>
        </w:tc>
        <w:tc>
          <w:tcPr>
            <w:tcW w:w="7654" w:type="dxa"/>
          </w:tcPr>
          <w:p w14:paraId="6615125B" w14:textId="35125349"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iCs/>
                <w:sz w:val="24"/>
                <w:lang w:val="en-GB"/>
              </w:rPr>
            </w:pPr>
            <w:r>
              <w:rPr>
                <w:rFonts w:ascii="Times New Roman" w:eastAsia="Times New Roman" w:hAnsi="Times New Roman" w:cs="Times New Roman"/>
                <w:iCs/>
                <w:sz w:val="24"/>
                <w:lang w:val="en-GB"/>
              </w:rPr>
              <w:t>W</w:t>
            </w:r>
            <w:r w:rsidRPr="009424B2">
              <w:rPr>
                <w:rFonts w:ascii="Times New Roman" w:eastAsia="Times New Roman" w:hAnsi="Times New Roman" w:cs="Times New Roman"/>
                <w:iCs/>
                <w:sz w:val="24"/>
                <w:lang w:val="en-GB"/>
              </w:rPr>
              <w:t>here applicable, a description of the Internal Assessment Approach as set out in Part Three, Title II, Chapter 5, including the structure of the internal assessment process</w:t>
            </w:r>
            <w:r>
              <w:rPr>
                <w:rFonts w:ascii="Times New Roman" w:eastAsia="Times New Roman" w:hAnsi="Times New Roman" w:cs="Times New Roman"/>
                <w:iCs/>
                <w:sz w:val="24"/>
                <w:lang w:val="en-GB"/>
              </w:rPr>
              <w:t xml:space="preserve"> and the relation between inter</w:t>
            </w:r>
            <w:r w:rsidRPr="009424B2">
              <w:rPr>
                <w:rFonts w:ascii="Times New Roman" w:eastAsia="Times New Roman" w:hAnsi="Times New Roman" w:cs="Times New Roman"/>
                <w:iCs/>
                <w:sz w:val="24"/>
                <w:lang w:val="en-GB"/>
              </w:rPr>
              <w:t>nal assessment and external ratings of the relevant ECAI disclosed in accordance with point (i),  the control mechanisms for the internal assessment process including discussion of independence, accountability, and internal assessment process review , the exposure types to which the internal assessment process is applied and the stress factors used for determining credit enhancement levels</w:t>
            </w:r>
            <w:r w:rsidR="00244A82">
              <w:rPr>
                <w:rFonts w:ascii="Times New Roman" w:eastAsia="Times New Roman" w:hAnsi="Times New Roman" w:cs="Times New Roman"/>
                <w:iCs/>
                <w:sz w:val="24"/>
                <w:lang w:val="en-GB"/>
              </w:rPr>
              <w:t>, in accordance with Article 449(i) of CRR.</w:t>
            </w:r>
          </w:p>
        </w:tc>
      </w:tr>
    </w:tbl>
    <w:p w14:paraId="30B7C6CD" w14:textId="77777777" w:rsidR="008570A8" w:rsidRPr="001F1F27" w:rsidRDefault="008570A8" w:rsidP="009B6E3C">
      <w:pPr>
        <w:rPr>
          <w:rFonts w:ascii="Times New Roman" w:hAnsi="Times New Roman" w:cs="Times New Roman"/>
          <w:noProof/>
          <w:sz w:val="24"/>
        </w:rPr>
      </w:pPr>
    </w:p>
    <w:p w14:paraId="1FF19130" w14:textId="19B37B36" w:rsidR="002E4106" w:rsidRPr="001F1F27" w:rsidRDefault="00F431DD" w:rsidP="002E4106">
      <w:pPr>
        <w:rPr>
          <w:rFonts w:ascii="Times New Roman" w:hAnsi="Times New Roman" w:cs="Times New Roman"/>
          <w:b/>
          <w:noProof/>
          <w:sz w:val="24"/>
        </w:rPr>
      </w:pPr>
      <w:r>
        <w:rPr>
          <w:rFonts w:ascii="Times New Roman" w:hAnsi="Times New Roman" w:cs="Times New Roman"/>
          <w:b/>
          <w:noProof/>
          <w:sz w:val="24"/>
        </w:rPr>
        <w:t>EU-SEC1 -</w:t>
      </w:r>
      <w:r w:rsidR="00435949" w:rsidRPr="001F1F27">
        <w:rPr>
          <w:rFonts w:ascii="Times New Roman" w:hAnsi="Times New Roman" w:cs="Times New Roman"/>
          <w:b/>
          <w:noProof/>
          <w:sz w:val="24"/>
        </w:rPr>
        <w:t xml:space="preserve"> Securitisation exposures in the non-trading book</w:t>
      </w:r>
      <w:r w:rsidR="009A1A82" w:rsidRPr="001F1F27">
        <w:rPr>
          <w:rFonts w:ascii="Times New Roman" w:hAnsi="Times New Roman" w:cs="Times New Roman"/>
          <w:b/>
          <w:noProof/>
          <w:sz w:val="24"/>
        </w:rPr>
        <w:t xml:space="preserve">. </w:t>
      </w:r>
      <w:r w:rsidR="009A1A82" w:rsidRPr="001F1F27">
        <w:rPr>
          <w:rFonts w:ascii="Times New Roman" w:hAnsi="Times New Roman" w:cs="Times New Roman"/>
          <w:noProof/>
          <w:sz w:val="24"/>
        </w:rPr>
        <w:t>Fixed format.</w:t>
      </w:r>
    </w:p>
    <w:p w14:paraId="49760DA8" w14:textId="32CB3E8A" w:rsidR="003A08D4" w:rsidRPr="003A08D4" w:rsidRDefault="003A08D4" w:rsidP="003A08D4">
      <w:pPr>
        <w:pStyle w:val="ListParagraph"/>
        <w:numPr>
          <w:ilvl w:val="0"/>
          <w:numId w:val="12"/>
        </w:numPr>
        <w:spacing w:before="120" w:after="120"/>
        <w:ind w:left="432"/>
        <w:jc w:val="both"/>
        <w:rPr>
          <w:rFonts w:ascii="Times New Roman" w:hAnsi="Times New Roman"/>
          <w:bCs/>
          <w:sz w:val="24"/>
        </w:rPr>
      </w:pPr>
      <w:r w:rsidRPr="00A95602">
        <w:rPr>
          <w:rFonts w:ascii="Times New Roman" w:hAnsi="Times New Roman"/>
          <w:bCs/>
          <w:sz w:val="24"/>
        </w:rPr>
        <w:t>Institutions shall apply the instructions provided</w:t>
      </w:r>
      <w:r>
        <w:rPr>
          <w:rFonts w:ascii="Times New Roman" w:hAnsi="Times New Roman"/>
          <w:bCs/>
          <w:sz w:val="24"/>
        </w:rPr>
        <w:t xml:space="preserve"> below</w:t>
      </w:r>
      <w:r w:rsidRPr="00A95602">
        <w:rPr>
          <w:rFonts w:ascii="Times New Roman" w:hAnsi="Times New Roman"/>
          <w:bCs/>
          <w:sz w:val="24"/>
        </w:rPr>
        <w:t xml:space="preserve"> in this Annex in order to complete </w:t>
      </w:r>
      <w:r>
        <w:rPr>
          <w:rFonts w:ascii="Times New Roman" w:hAnsi="Times New Roman"/>
          <w:bCs/>
          <w:sz w:val="24"/>
        </w:rPr>
        <w:t>template EU-SEC1 as presented in Annex 31</w:t>
      </w:r>
      <w:r w:rsidR="00F431DD">
        <w:rPr>
          <w:rFonts w:ascii="Times New Roman" w:hAnsi="Times New Roman"/>
          <w:bCs/>
          <w:sz w:val="24"/>
        </w:rPr>
        <w:t>, in application of Article 449</w:t>
      </w:r>
      <w:r>
        <w:rPr>
          <w:rFonts w:ascii="Times New Roman" w:hAnsi="Times New Roman"/>
          <w:bCs/>
          <w:sz w:val="24"/>
        </w:rPr>
        <w:t xml:space="preserve">(j) </w:t>
      </w:r>
      <w:r w:rsidRPr="003A08D4">
        <w:rPr>
          <w:rFonts w:ascii="Times New Roman" w:hAnsi="Times New Roman"/>
          <w:bCs/>
          <w:sz w:val="24"/>
        </w:rPr>
        <w:t>of CRR. Institutions shall explain in the narrative accompanying the template if they have within their traditional securitisations, ABCP programmes, and, if they have, the volume of ABCP transactions.</w:t>
      </w:r>
    </w:p>
    <w:p w14:paraId="115B90DE" w14:textId="77777777" w:rsidR="002E4106" w:rsidRPr="001F1F27" w:rsidRDefault="002E4106" w:rsidP="002E4106">
      <w:pPr>
        <w:rPr>
          <w:rFonts w:ascii="Times New Roman" w:hAnsi="Times New Roman" w:cs="Times New Roman"/>
          <w:noProof/>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BD4386" w:rsidRPr="00943202" w14:paraId="44A78255" w14:textId="77777777" w:rsidTr="0095345C">
        <w:trPr>
          <w:trHeight w:val="9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01521" w14:textId="77777777" w:rsidR="00BD4386" w:rsidRPr="00943202" w:rsidRDefault="00BD4386" w:rsidP="006D77DC">
            <w:pPr>
              <w:rPr>
                <w:rFonts w:ascii="Times New Roman" w:hAnsi="Times New Roman" w:cs="Times New Roman"/>
                <w:b/>
                <w:sz w:val="24"/>
                <w:lang w:val="en-GB"/>
              </w:rPr>
            </w:pPr>
            <w:r w:rsidRPr="00943202">
              <w:rPr>
                <w:rFonts w:ascii="Times New Roman" w:hAnsi="Times New Roman" w:cs="Times New Roman"/>
                <w:b/>
                <w:sz w:val="24"/>
                <w:lang w:val="en-GB"/>
              </w:rPr>
              <w:t>Legal references and instructions</w:t>
            </w:r>
          </w:p>
        </w:tc>
      </w:tr>
      <w:tr w:rsidR="002E4106" w:rsidRPr="00943202" w14:paraId="261D9919" w14:textId="77777777" w:rsidTr="006D77DC">
        <w:trPr>
          <w:trHeight w:val="238"/>
        </w:trPr>
        <w:tc>
          <w:tcPr>
            <w:tcW w:w="1413" w:type="dxa"/>
            <w:shd w:val="clear" w:color="auto" w:fill="D9D9D9" w:themeFill="background1" w:themeFillShade="D9"/>
          </w:tcPr>
          <w:p w14:paraId="693FD91C" w14:textId="51427ED7" w:rsidR="002E4106" w:rsidRPr="00943202" w:rsidRDefault="006A47ED" w:rsidP="006D77DC">
            <w:pPr>
              <w:autoSpaceDE w:val="0"/>
              <w:autoSpaceDN w:val="0"/>
              <w:adjustRightInd w:val="0"/>
              <w:rPr>
                <w:rFonts w:ascii="Times New Roman" w:hAnsi="Times New Roman" w:cs="Times New Roman"/>
                <w:b/>
                <w:sz w:val="24"/>
                <w:lang w:val="en-GB"/>
              </w:rPr>
            </w:pPr>
            <w:r w:rsidRPr="00943202">
              <w:rPr>
                <w:rFonts w:ascii="Times New Roman" w:hAnsi="Times New Roman" w:cs="Times New Roman"/>
                <w:b/>
                <w:sz w:val="24"/>
                <w:lang w:val="en-GB"/>
              </w:rPr>
              <w:t>Column reference</w:t>
            </w:r>
          </w:p>
        </w:tc>
        <w:tc>
          <w:tcPr>
            <w:tcW w:w="7654" w:type="dxa"/>
            <w:shd w:val="clear" w:color="auto" w:fill="D9D9D9" w:themeFill="background1" w:themeFillShade="D9"/>
          </w:tcPr>
          <w:p w14:paraId="5178E608" w14:textId="77777777" w:rsidR="002E4106" w:rsidRPr="00943202" w:rsidRDefault="002E4106" w:rsidP="006D77DC">
            <w:pPr>
              <w:autoSpaceDE w:val="0"/>
              <w:autoSpaceDN w:val="0"/>
              <w:adjustRightInd w:val="0"/>
              <w:rPr>
                <w:rFonts w:ascii="Times New Roman" w:hAnsi="Times New Roman" w:cs="Times New Roman"/>
                <w:color w:val="000000"/>
                <w:sz w:val="24"/>
                <w:lang w:val="en-GB"/>
              </w:rPr>
            </w:pPr>
            <w:r w:rsidRPr="00943202">
              <w:rPr>
                <w:rFonts w:ascii="Times New Roman" w:hAnsi="Times New Roman" w:cs="Times New Roman"/>
                <w:b/>
                <w:sz w:val="24"/>
                <w:lang w:val="en-GB"/>
              </w:rPr>
              <w:t>Explanation</w:t>
            </w:r>
          </w:p>
        </w:tc>
      </w:tr>
      <w:tr w:rsidR="002E4106" w:rsidRPr="00943202" w14:paraId="0CA970B9" w14:textId="77777777" w:rsidTr="006D77DC">
        <w:trPr>
          <w:trHeight w:val="316"/>
        </w:trPr>
        <w:tc>
          <w:tcPr>
            <w:tcW w:w="1413" w:type="dxa"/>
          </w:tcPr>
          <w:p w14:paraId="0E8C5DA9" w14:textId="534BA741" w:rsidR="002E4106" w:rsidRPr="00943202" w:rsidRDefault="00435949" w:rsidP="002F4630">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a </w:t>
            </w:r>
            <w:r w:rsidR="002F4630" w:rsidRPr="00943202">
              <w:rPr>
                <w:rFonts w:ascii="Times New Roman" w:eastAsia="Times New Roman" w:hAnsi="Times New Roman" w:cs="Times New Roman"/>
                <w:sz w:val="24"/>
                <w:lang w:val="en-GB"/>
              </w:rPr>
              <w:t>-</w:t>
            </w:r>
            <w:r w:rsidRPr="00943202">
              <w:rPr>
                <w:rFonts w:ascii="Times New Roman" w:eastAsia="Times New Roman" w:hAnsi="Times New Roman" w:cs="Times New Roman"/>
                <w:sz w:val="24"/>
                <w:lang w:val="en-GB"/>
              </w:rPr>
              <w:t xml:space="preserve"> </w:t>
            </w:r>
            <w:r w:rsidR="002D1FEE" w:rsidRPr="00943202">
              <w:rPr>
                <w:rFonts w:ascii="Times New Roman" w:eastAsia="Times New Roman" w:hAnsi="Times New Roman" w:cs="Times New Roman"/>
                <w:sz w:val="24"/>
                <w:lang w:val="en-GB"/>
              </w:rPr>
              <w:t>g</w:t>
            </w:r>
          </w:p>
        </w:tc>
        <w:tc>
          <w:tcPr>
            <w:tcW w:w="7654" w:type="dxa"/>
          </w:tcPr>
          <w:p w14:paraId="70E2AB58" w14:textId="060B5B10" w:rsidR="00AA722E" w:rsidRPr="00F431DD" w:rsidRDefault="002F4630" w:rsidP="006D77DC">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Institution acts as originator</w:t>
            </w:r>
            <w:r w:rsidR="002E4106" w:rsidRPr="00F431DD">
              <w:rPr>
                <w:rFonts w:ascii="Times New Roman" w:eastAsia="Times New Roman" w:hAnsi="Times New Roman" w:cs="Times New Roman"/>
                <w:b/>
                <w:iCs/>
                <w:sz w:val="24"/>
                <w:lang w:val="en-GB"/>
              </w:rPr>
              <w:t xml:space="preserve"> </w:t>
            </w:r>
          </w:p>
          <w:p w14:paraId="479FD3A4" w14:textId="21E34E33" w:rsidR="002E4106" w:rsidRPr="00943202" w:rsidRDefault="002F4630" w:rsidP="002F4630">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When the “institution acts as originator”</w:t>
            </w:r>
            <w:r w:rsidR="00F431DD">
              <w:rPr>
                <w:rFonts w:ascii="Times New Roman" w:eastAsia="Times New Roman" w:hAnsi="Times New Roman" w:cs="Times New Roman"/>
                <w:iCs/>
                <w:sz w:val="24"/>
                <w:lang w:val="en-GB"/>
              </w:rPr>
              <w:t>, as defined by Article 4.1</w:t>
            </w:r>
            <w:r w:rsidR="0095345C">
              <w:rPr>
                <w:rFonts w:ascii="Times New Roman" w:eastAsia="Times New Roman" w:hAnsi="Times New Roman" w:cs="Times New Roman"/>
                <w:iCs/>
                <w:sz w:val="24"/>
                <w:lang w:val="en-GB"/>
              </w:rPr>
              <w:t>(13) of CRR,</w:t>
            </w:r>
            <w:r w:rsidR="0095345C" w:rsidRPr="00943202">
              <w:rPr>
                <w:rFonts w:ascii="Times New Roman" w:eastAsia="Times New Roman" w:hAnsi="Times New Roman" w:cs="Times New Roman"/>
                <w:iCs/>
                <w:sz w:val="24"/>
                <w:lang w:val="en-GB"/>
              </w:rPr>
              <w:t xml:space="preserve"> </w:t>
            </w:r>
            <w:r w:rsidRPr="00943202">
              <w:rPr>
                <w:rFonts w:ascii="Times New Roman" w:eastAsia="Times New Roman" w:hAnsi="Times New Roman" w:cs="Times New Roman"/>
                <w:iCs/>
                <w:sz w:val="24"/>
                <w:lang w:val="en-GB"/>
              </w:rPr>
              <w:t xml:space="preserve"> the securitisation exposures are the retained positions, even where not eligible for the securitisation framework due to the absence of significant risk transfer</w:t>
            </w:r>
            <w:r w:rsidR="003562C9" w:rsidRPr="00943202">
              <w:rPr>
                <w:rFonts w:ascii="Times New Roman" w:eastAsia="Times New Roman" w:hAnsi="Times New Roman" w:cs="Times New Roman"/>
                <w:iCs/>
                <w:sz w:val="24"/>
                <w:lang w:val="en-GB"/>
              </w:rPr>
              <w:t>, Securitisation exposures in transactions that have achieved significant risk transfer (SRT) shall</w:t>
            </w:r>
            <w:r w:rsidRPr="00943202">
              <w:rPr>
                <w:rFonts w:ascii="Times New Roman" w:eastAsia="Times New Roman" w:hAnsi="Times New Roman" w:cs="Times New Roman"/>
                <w:iCs/>
                <w:sz w:val="24"/>
                <w:lang w:val="en-GB"/>
              </w:rPr>
              <w:t xml:space="preserve"> be presented separately.</w:t>
            </w:r>
          </w:p>
          <w:p w14:paraId="39F1CF46" w14:textId="0FDB8B76" w:rsidR="002F4630" w:rsidRPr="00943202" w:rsidRDefault="002F4630" w:rsidP="00A50A8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Originator institutions must </w:t>
            </w:r>
            <w:r w:rsidR="00B942BA" w:rsidRPr="00943202">
              <w:rPr>
                <w:rFonts w:ascii="Times New Roman" w:eastAsia="Times New Roman" w:hAnsi="Times New Roman" w:cs="Times New Roman"/>
                <w:sz w:val="24"/>
                <w:lang w:val="en-GB"/>
              </w:rPr>
              <w:t xml:space="preserve">disclose </w:t>
            </w:r>
            <w:r w:rsidRPr="00943202">
              <w:rPr>
                <w:rFonts w:ascii="Times New Roman" w:eastAsia="Times New Roman" w:hAnsi="Times New Roman" w:cs="Times New Roman"/>
                <w:sz w:val="24"/>
                <w:lang w:val="en-GB"/>
              </w:rPr>
              <w:t xml:space="preserve">the </w:t>
            </w:r>
            <w:r w:rsidR="00A50A8C" w:rsidRPr="00943202">
              <w:rPr>
                <w:rFonts w:ascii="Times New Roman" w:eastAsia="Times New Roman" w:hAnsi="Times New Roman" w:cs="Times New Roman"/>
                <w:sz w:val="24"/>
                <w:lang w:val="en-GB"/>
              </w:rPr>
              <w:t xml:space="preserve">carrying </w:t>
            </w:r>
            <w:r w:rsidRPr="00943202">
              <w:rPr>
                <w:rFonts w:ascii="Times New Roman" w:eastAsia="Times New Roman" w:hAnsi="Times New Roman" w:cs="Times New Roman"/>
                <w:sz w:val="24"/>
                <w:lang w:val="en-GB"/>
              </w:rPr>
              <w:t>amount at the reporting date of all current securitisation exposures</w:t>
            </w:r>
            <w:r w:rsidR="003562C9" w:rsidRPr="00943202">
              <w:rPr>
                <w:rFonts w:ascii="Times New Roman" w:eastAsia="Times New Roman" w:hAnsi="Times New Roman" w:cs="Times New Roman"/>
                <w:sz w:val="24"/>
                <w:lang w:val="en-GB"/>
              </w:rPr>
              <w:t xml:space="preserve"> they hold in the securitisation transactions that they originated</w:t>
            </w:r>
            <w:r w:rsidRPr="00943202">
              <w:rPr>
                <w:rFonts w:ascii="Times New Roman" w:eastAsia="Times New Roman" w:hAnsi="Times New Roman" w:cs="Times New Roman"/>
                <w:sz w:val="24"/>
                <w:lang w:val="en-GB"/>
              </w:rPr>
              <w:t xml:space="preserve">. As such, on-balance sheet securitisation </w:t>
            </w:r>
            <w:r w:rsidRPr="00943202">
              <w:rPr>
                <w:rFonts w:ascii="Times New Roman" w:eastAsia="Times New Roman" w:hAnsi="Times New Roman" w:cs="Times New Roman"/>
                <w:sz w:val="24"/>
                <w:lang w:val="en-GB"/>
              </w:rPr>
              <w:lastRenderedPageBreak/>
              <w:t>exposures (e.g. bonds, subordinated loans) as well as off-balance sheet exposures and derivatives (e.g. subordinated credit lines, liquidity facilities, interest rate swaps, credit default swaps, etc.) in th</w:t>
            </w:r>
            <w:r w:rsidR="00690B61" w:rsidRPr="00943202">
              <w:rPr>
                <w:rFonts w:ascii="Times New Roman" w:eastAsia="Times New Roman" w:hAnsi="Times New Roman" w:cs="Times New Roman"/>
                <w:sz w:val="24"/>
                <w:lang w:val="en-GB"/>
              </w:rPr>
              <w:t>ose</w:t>
            </w:r>
            <w:r w:rsidRPr="00943202">
              <w:rPr>
                <w:rFonts w:ascii="Times New Roman" w:eastAsia="Times New Roman" w:hAnsi="Times New Roman" w:cs="Times New Roman"/>
                <w:sz w:val="24"/>
                <w:lang w:val="en-GB"/>
              </w:rPr>
              <w:t xml:space="preserve"> securitisation shall be </w:t>
            </w:r>
            <w:r w:rsidR="00B942BA" w:rsidRPr="00943202">
              <w:rPr>
                <w:rFonts w:ascii="Times New Roman" w:eastAsia="Times New Roman" w:hAnsi="Times New Roman" w:cs="Times New Roman"/>
                <w:sz w:val="24"/>
                <w:lang w:val="en-GB"/>
              </w:rPr>
              <w:t>disclosed</w:t>
            </w:r>
            <w:r w:rsidRPr="00943202">
              <w:rPr>
                <w:rFonts w:ascii="Times New Roman" w:eastAsia="Times New Roman" w:hAnsi="Times New Roman" w:cs="Times New Roman"/>
                <w:sz w:val="24"/>
                <w:lang w:val="en-GB"/>
              </w:rPr>
              <w:t>.</w:t>
            </w:r>
          </w:p>
        </w:tc>
      </w:tr>
      <w:tr w:rsidR="002E4106" w:rsidRPr="00943202" w14:paraId="3C411334" w14:textId="77777777" w:rsidTr="006D77DC">
        <w:trPr>
          <w:trHeight w:val="316"/>
        </w:trPr>
        <w:tc>
          <w:tcPr>
            <w:tcW w:w="1413" w:type="dxa"/>
          </w:tcPr>
          <w:p w14:paraId="5B5616D6" w14:textId="27DE28B9" w:rsidR="002E4106" w:rsidRPr="00943202" w:rsidRDefault="002D1FEE" w:rsidP="002D1FEE">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lastRenderedPageBreak/>
              <w:t>h</w:t>
            </w:r>
            <w:r w:rsidR="00D75774" w:rsidRPr="00943202">
              <w:rPr>
                <w:rFonts w:ascii="Times New Roman" w:eastAsia="Times New Roman" w:hAnsi="Times New Roman" w:cs="Times New Roman"/>
                <w:sz w:val="24"/>
                <w:lang w:val="en-GB"/>
              </w:rPr>
              <w:t xml:space="preserve"> - </w:t>
            </w:r>
            <w:r w:rsidRPr="00943202">
              <w:rPr>
                <w:rFonts w:ascii="Times New Roman" w:eastAsia="Times New Roman" w:hAnsi="Times New Roman" w:cs="Times New Roman"/>
                <w:sz w:val="24"/>
                <w:lang w:val="en-GB"/>
              </w:rPr>
              <w:t>k</w:t>
            </w:r>
          </w:p>
        </w:tc>
        <w:tc>
          <w:tcPr>
            <w:tcW w:w="7654" w:type="dxa"/>
          </w:tcPr>
          <w:p w14:paraId="61CC4C52" w14:textId="7CB137B8" w:rsidR="00AA722E" w:rsidRPr="00F431DD" w:rsidRDefault="00D75774" w:rsidP="006D77DC">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Institution acts as sponsor</w:t>
            </w:r>
            <w:r w:rsidR="002E4106" w:rsidRPr="00F431DD">
              <w:rPr>
                <w:rFonts w:ascii="Times New Roman" w:eastAsia="Times New Roman" w:hAnsi="Times New Roman" w:cs="Times New Roman"/>
                <w:b/>
                <w:iCs/>
                <w:sz w:val="24"/>
                <w:lang w:val="en-GB"/>
              </w:rPr>
              <w:t xml:space="preserve"> </w:t>
            </w:r>
          </w:p>
          <w:p w14:paraId="57BB01CE" w14:textId="5AF7C84C" w:rsidR="002E4106" w:rsidRPr="00943202" w:rsidRDefault="00D75774"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iCs/>
                <w:sz w:val="24"/>
                <w:lang w:val="en-GB"/>
              </w:rPr>
              <w:t>When “the institution acts as sponsor” (</w:t>
            </w:r>
            <w:r w:rsidR="00130209" w:rsidRPr="00943202">
              <w:rPr>
                <w:rFonts w:ascii="Times New Roman" w:eastAsia="Times New Roman" w:hAnsi="Times New Roman" w:cs="Times New Roman"/>
                <w:iCs/>
                <w:sz w:val="24"/>
                <w:lang w:val="en-GB"/>
              </w:rPr>
              <w:t>as defined by Article 4(1)(14) of CRR</w:t>
            </w:r>
            <w:r w:rsidRPr="00943202">
              <w:rPr>
                <w:rFonts w:ascii="Times New Roman" w:eastAsia="Times New Roman" w:hAnsi="Times New Roman" w:cs="Times New Roman"/>
                <w:iCs/>
                <w:sz w:val="24"/>
                <w:lang w:val="en-GB"/>
              </w:rPr>
              <w:t>) the securitisation exposures include exposures to commercial paper conduits to which the institution provides programme-wide enhancements, liquidity and other facilities. Where the institution acts both as originator and sponsor, it must avoid double-counting. In this regard, the institution can merge the two columns of “institution acts as originator” and “institution acts as sponsor” and use “institution acts as originator/sponsor” columns.</w:t>
            </w:r>
          </w:p>
        </w:tc>
      </w:tr>
      <w:tr w:rsidR="002E4106" w:rsidRPr="00943202" w14:paraId="69227949" w14:textId="77777777" w:rsidTr="006D77DC">
        <w:trPr>
          <w:trHeight w:val="316"/>
        </w:trPr>
        <w:tc>
          <w:tcPr>
            <w:tcW w:w="1413" w:type="dxa"/>
          </w:tcPr>
          <w:p w14:paraId="278A83CA" w14:textId="27BE8B18" w:rsidR="002E4106" w:rsidRPr="00943202" w:rsidRDefault="002D1FEE" w:rsidP="002D1FEE">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l</w:t>
            </w:r>
            <w:r w:rsidR="00130209" w:rsidRPr="00943202">
              <w:rPr>
                <w:rFonts w:ascii="Times New Roman" w:eastAsia="Times New Roman" w:hAnsi="Times New Roman" w:cs="Times New Roman"/>
                <w:sz w:val="24"/>
                <w:lang w:val="en-GB"/>
              </w:rPr>
              <w:t xml:space="preserve"> - </w:t>
            </w:r>
            <w:r w:rsidRPr="00943202">
              <w:rPr>
                <w:rFonts w:ascii="Times New Roman" w:eastAsia="Times New Roman" w:hAnsi="Times New Roman" w:cs="Times New Roman"/>
                <w:sz w:val="24"/>
                <w:lang w:val="en-GB"/>
              </w:rPr>
              <w:t>o</w:t>
            </w:r>
          </w:p>
        </w:tc>
        <w:tc>
          <w:tcPr>
            <w:tcW w:w="7654" w:type="dxa"/>
          </w:tcPr>
          <w:p w14:paraId="040446BC" w14:textId="35B395EA" w:rsidR="00AA722E" w:rsidRPr="00F431DD" w:rsidRDefault="00130209" w:rsidP="006D77DC">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Institution acts as investor</w:t>
            </w:r>
            <w:r w:rsidR="002E4106" w:rsidRPr="00F431DD">
              <w:rPr>
                <w:rFonts w:ascii="Times New Roman" w:eastAsia="Times New Roman" w:hAnsi="Times New Roman" w:cs="Times New Roman"/>
                <w:b/>
                <w:iCs/>
                <w:sz w:val="24"/>
                <w:lang w:val="en-GB"/>
              </w:rPr>
              <w:t xml:space="preserve"> </w:t>
            </w:r>
          </w:p>
          <w:p w14:paraId="63D4D1CA" w14:textId="77777777" w:rsidR="002E4106" w:rsidRPr="00943202" w:rsidRDefault="00130209" w:rsidP="00787550">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Securitisation exposures when “the institution acts as an investor” are the investment positions purchased in third-party deals</w:t>
            </w:r>
            <w:r w:rsidR="002E4106" w:rsidRPr="00943202">
              <w:rPr>
                <w:rFonts w:ascii="Times New Roman" w:eastAsia="Times New Roman" w:hAnsi="Times New Roman" w:cs="Times New Roman"/>
                <w:iCs/>
                <w:sz w:val="24"/>
                <w:lang w:val="en-GB"/>
              </w:rPr>
              <w:t>.</w:t>
            </w:r>
          </w:p>
          <w:p w14:paraId="07EEA451" w14:textId="5705C263" w:rsidR="00130209" w:rsidRPr="00943202" w:rsidRDefault="00130209" w:rsidP="003562C9">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 xml:space="preserve">The CRR does not provide an explicit definition for investor. Therefore, in this context it shall be understood as an institution that holds a securitisation position in a securitisation transaction for which it is neither </w:t>
            </w:r>
            <w:r w:rsidR="003562C9" w:rsidRPr="00943202">
              <w:rPr>
                <w:rFonts w:ascii="Times New Roman" w:eastAsia="Times New Roman" w:hAnsi="Times New Roman" w:cs="Times New Roman"/>
                <w:iCs/>
                <w:sz w:val="24"/>
                <w:lang w:val="en-GB"/>
              </w:rPr>
              <w:t xml:space="preserve">the </w:t>
            </w:r>
            <w:r w:rsidRPr="00943202">
              <w:rPr>
                <w:rFonts w:ascii="Times New Roman" w:eastAsia="Times New Roman" w:hAnsi="Times New Roman" w:cs="Times New Roman"/>
                <w:iCs/>
                <w:sz w:val="24"/>
                <w:lang w:val="en-GB"/>
              </w:rPr>
              <w:t xml:space="preserve">originator, </w:t>
            </w:r>
            <w:r w:rsidR="003562C9" w:rsidRPr="00943202">
              <w:rPr>
                <w:rFonts w:ascii="Times New Roman" w:eastAsia="Times New Roman" w:hAnsi="Times New Roman" w:cs="Times New Roman"/>
                <w:iCs/>
                <w:sz w:val="24"/>
                <w:lang w:val="en-GB"/>
              </w:rPr>
              <w:t xml:space="preserve">nor the </w:t>
            </w:r>
            <w:r w:rsidRPr="00943202">
              <w:rPr>
                <w:rFonts w:ascii="Times New Roman" w:eastAsia="Times New Roman" w:hAnsi="Times New Roman" w:cs="Times New Roman"/>
                <w:iCs/>
                <w:sz w:val="24"/>
                <w:lang w:val="en-GB"/>
              </w:rPr>
              <w:t>sponsor</w:t>
            </w:r>
            <w:r w:rsidR="003562C9" w:rsidRPr="00943202">
              <w:rPr>
                <w:rFonts w:ascii="Times New Roman" w:eastAsia="Times New Roman" w:hAnsi="Times New Roman" w:cs="Times New Roman"/>
                <w:iCs/>
                <w:sz w:val="24"/>
                <w:lang w:val="en-GB"/>
              </w:rPr>
              <w:t>.</w:t>
            </w:r>
            <w:r w:rsidR="003562C9" w:rsidRPr="00943202" w:rsidDel="003562C9">
              <w:rPr>
                <w:rFonts w:ascii="Times New Roman" w:eastAsia="Times New Roman" w:hAnsi="Times New Roman" w:cs="Times New Roman"/>
                <w:iCs/>
                <w:sz w:val="24"/>
                <w:lang w:val="en-GB"/>
              </w:rPr>
              <w:t xml:space="preserve"> </w:t>
            </w:r>
          </w:p>
        </w:tc>
      </w:tr>
      <w:tr w:rsidR="002E4106" w:rsidRPr="00943202" w14:paraId="30FEF10B" w14:textId="77777777" w:rsidTr="006D77DC">
        <w:trPr>
          <w:trHeight w:val="316"/>
        </w:trPr>
        <w:tc>
          <w:tcPr>
            <w:tcW w:w="1413" w:type="dxa"/>
          </w:tcPr>
          <w:p w14:paraId="6A93D8C2" w14:textId="3740BADD" w:rsidR="002E4106" w:rsidRPr="00943202" w:rsidRDefault="00DF0EB8" w:rsidP="002D1FEE">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a – d; </w:t>
            </w:r>
            <w:r w:rsidR="002D1FEE" w:rsidRPr="00943202">
              <w:rPr>
                <w:rFonts w:ascii="Times New Roman" w:eastAsia="Times New Roman" w:hAnsi="Times New Roman" w:cs="Times New Roman"/>
                <w:sz w:val="24"/>
                <w:lang w:val="en-GB"/>
              </w:rPr>
              <w:t>h</w:t>
            </w:r>
            <w:r w:rsidRPr="00943202">
              <w:rPr>
                <w:rFonts w:ascii="Times New Roman" w:eastAsia="Times New Roman" w:hAnsi="Times New Roman" w:cs="Times New Roman"/>
                <w:sz w:val="24"/>
                <w:lang w:val="en-GB"/>
              </w:rPr>
              <w:t xml:space="preserve">, </w:t>
            </w:r>
            <w:r w:rsidR="002D1FEE" w:rsidRPr="00943202">
              <w:rPr>
                <w:rFonts w:ascii="Times New Roman" w:eastAsia="Times New Roman" w:hAnsi="Times New Roman" w:cs="Times New Roman"/>
                <w:sz w:val="24"/>
                <w:lang w:val="en-GB"/>
              </w:rPr>
              <w:t>i</w:t>
            </w:r>
            <w:r w:rsidRPr="00943202">
              <w:rPr>
                <w:rFonts w:ascii="Times New Roman" w:eastAsia="Times New Roman" w:hAnsi="Times New Roman" w:cs="Times New Roman"/>
                <w:sz w:val="24"/>
                <w:lang w:val="en-GB"/>
              </w:rPr>
              <w:t xml:space="preserve">, </w:t>
            </w:r>
            <w:r w:rsidR="002D1FEE" w:rsidRPr="00943202">
              <w:rPr>
                <w:rFonts w:ascii="Times New Roman" w:eastAsia="Times New Roman" w:hAnsi="Times New Roman" w:cs="Times New Roman"/>
                <w:sz w:val="24"/>
                <w:lang w:val="en-GB"/>
              </w:rPr>
              <w:t>l</w:t>
            </w:r>
            <w:r w:rsidRPr="00943202">
              <w:rPr>
                <w:rFonts w:ascii="Times New Roman" w:eastAsia="Times New Roman" w:hAnsi="Times New Roman" w:cs="Times New Roman"/>
                <w:sz w:val="24"/>
                <w:lang w:val="en-GB"/>
              </w:rPr>
              <w:t xml:space="preserve">, </w:t>
            </w:r>
            <w:r w:rsidR="002D1FEE" w:rsidRPr="00943202">
              <w:rPr>
                <w:rFonts w:ascii="Times New Roman" w:eastAsia="Times New Roman" w:hAnsi="Times New Roman" w:cs="Times New Roman"/>
                <w:sz w:val="24"/>
                <w:lang w:val="en-GB"/>
              </w:rPr>
              <w:t>m</w:t>
            </w:r>
          </w:p>
        </w:tc>
        <w:tc>
          <w:tcPr>
            <w:tcW w:w="7654" w:type="dxa"/>
          </w:tcPr>
          <w:p w14:paraId="3ECFDDCA" w14:textId="458B0674" w:rsidR="00AA722E" w:rsidRPr="00F431DD" w:rsidRDefault="00DF0EB8" w:rsidP="006D77DC">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Traditional transaction</w:t>
            </w:r>
            <w:r w:rsidR="00D15DAF" w:rsidRPr="00F431DD">
              <w:rPr>
                <w:rFonts w:ascii="Times New Roman" w:eastAsia="Times New Roman" w:hAnsi="Times New Roman" w:cs="Times New Roman"/>
                <w:b/>
                <w:iCs/>
                <w:sz w:val="24"/>
                <w:lang w:val="en-GB"/>
              </w:rPr>
              <w:t>s</w:t>
            </w:r>
            <w:r w:rsidR="002E4106" w:rsidRPr="00F431DD">
              <w:rPr>
                <w:rFonts w:ascii="Times New Roman" w:eastAsia="Times New Roman" w:hAnsi="Times New Roman" w:cs="Times New Roman"/>
                <w:b/>
                <w:iCs/>
                <w:sz w:val="24"/>
                <w:lang w:val="en-GB"/>
              </w:rPr>
              <w:t xml:space="preserve"> </w:t>
            </w:r>
          </w:p>
          <w:p w14:paraId="5D0C80E8" w14:textId="15F95DBE" w:rsidR="002E4106" w:rsidRPr="00943202" w:rsidRDefault="00187CCB" w:rsidP="006D77DC">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According to Art</w:t>
            </w:r>
            <w:r w:rsidR="00F539DF">
              <w:rPr>
                <w:rFonts w:ascii="Times New Roman" w:eastAsia="Times New Roman" w:hAnsi="Times New Roman" w:cs="Times New Roman"/>
                <w:iCs/>
                <w:sz w:val="24"/>
                <w:lang w:val="en-GB"/>
              </w:rPr>
              <w:t>icle</w:t>
            </w:r>
            <w:r w:rsidR="00F431DD">
              <w:rPr>
                <w:rFonts w:ascii="Times New Roman" w:eastAsia="Times New Roman" w:hAnsi="Times New Roman" w:cs="Times New Roman"/>
                <w:iCs/>
                <w:sz w:val="24"/>
                <w:lang w:val="en-GB"/>
              </w:rPr>
              <w:t xml:space="preserve"> 242</w:t>
            </w:r>
            <w:r w:rsidRPr="00943202">
              <w:rPr>
                <w:rFonts w:ascii="Times New Roman" w:eastAsia="Times New Roman" w:hAnsi="Times New Roman" w:cs="Times New Roman"/>
                <w:iCs/>
                <w:sz w:val="24"/>
                <w:lang w:val="en-GB"/>
              </w:rPr>
              <w:t>(1</w:t>
            </w:r>
            <w:r w:rsidR="00DC7C49" w:rsidRPr="00943202">
              <w:rPr>
                <w:rFonts w:ascii="Times New Roman" w:eastAsia="Times New Roman" w:hAnsi="Times New Roman" w:cs="Times New Roman"/>
                <w:iCs/>
                <w:sz w:val="24"/>
                <w:lang w:val="en-GB"/>
              </w:rPr>
              <w:t>3</w:t>
            </w:r>
            <w:r w:rsidRPr="00943202">
              <w:rPr>
                <w:rFonts w:ascii="Times New Roman" w:eastAsia="Times New Roman" w:hAnsi="Times New Roman" w:cs="Times New Roman"/>
                <w:iCs/>
                <w:sz w:val="24"/>
                <w:lang w:val="en-GB"/>
              </w:rPr>
              <w:t xml:space="preserve">) </w:t>
            </w:r>
            <w:r w:rsidR="00F539DF">
              <w:rPr>
                <w:rFonts w:ascii="Times New Roman" w:eastAsia="Times New Roman" w:hAnsi="Times New Roman" w:cs="Times New Roman"/>
                <w:iCs/>
                <w:sz w:val="24"/>
                <w:lang w:val="en-GB"/>
              </w:rPr>
              <w:t xml:space="preserve">of </w:t>
            </w:r>
            <w:r w:rsidRPr="00943202">
              <w:rPr>
                <w:rFonts w:ascii="Times New Roman" w:eastAsia="Times New Roman" w:hAnsi="Times New Roman" w:cs="Times New Roman"/>
                <w:iCs/>
                <w:sz w:val="24"/>
                <w:lang w:val="en-GB"/>
              </w:rPr>
              <w:t>CRR</w:t>
            </w:r>
            <w:r w:rsidR="00DC7C49" w:rsidRPr="00943202">
              <w:rPr>
                <w:rFonts w:ascii="Times New Roman" w:eastAsia="Times New Roman" w:hAnsi="Times New Roman" w:cs="Times New Roman"/>
                <w:iCs/>
                <w:sz w:val="24"/>
                <w:lang w:val="en-GB"/>
              </w:rPr>
              <w:t>, in connection with Art</w:t>
            </w:r>
            <w:r w:rsidR="00F539DF">
              <w:rPr>
                <w:rFonts w:ascii="Times New Roman" w:eastAsia="Times New Roman" w:hAnsi="Times New Roman" w:cs="Times New Roman"/>
                <w:iCs/>
                <w:sz w:val="24"/>
                <w:lang w:val="en-GB"/>
              </w:rPr>
              <w:t>icle</w:t>
            </w:r>
            <w:r w:rsidR="00DC7C49" w:rsidRPr="00943202">
              <w:rPr>
                <w:rFonts w:ascii="Times New Roman" w:eastAsia="Times New Roman" w:hAnsi="Times New Roman" w:cs="Times New Roman"/>
                <w:iCs/>
                <w:sz w:val="24"/>
                <w:lang w:val="en-GB"/>
              </w:rPr>
              <w:t xml:space="preserve"> 2(9)</w:t>
            </w:r>
            <w:r w:rsidR="000F3DF2">
              <w:rPr>
                <w:rFonts w:ascii="Times New Roman" w:eastAsia="Times New Roman" w:hAnsi="Times New Roman" w:cs="Times New Roman"/>
                <w:iCs/>
                <w:sz w:val="24"/>
                <w:lang w:val="en-GB"/>
              </w:rPr>
              <w:t xml:space="preserve"> of Regulation EU 2017/2402,</w:t>
            </w:r>
            <w:r w:rsidRPr="00943202">
              <w:rPr>
                <w:rFonts w:ascii="Times New Roman" w:eastAsia="Times New Roman" w:hAnsi="Times New Roman" w:cs="Times New Roman"/>
                <w:iCs/>
                <w:sz w:val="24"/>
                <w:lang w:val="en-GB"/>
              </w:rPr>
              <w:t xml:space="preserve"> “traditional securitisation” means a</w:t>
            </w:r>
            <w:r w:rsidR="00DC7C49" w:rsidRPr="00943202">
              <w:rPr>
                <w:rFonts w:ascii="Times New Roman" w:eastAsia="Times New Roman" w:hAnsi="Times New Roman" w:cs="Times New Roman"/>
                <w:iCs/>
                <w:sz w:val="24"/>
                <w:lang w:val="en-GB"/>
              </w:rPr>
              <w:t xml:space="preserve"> </w:t>
            </w:r>
            <w:r w:rsidRPr="00943202">
              <w:rPr>
                <w:rFonts w:ascii="Times New Roman" w:eastAsia="Times New Roman" w:hAnsi="Times New Roman" w:cs="Times New Roman"/>
                <w:iCs/>
                <w:sz w:val="24"/>
                <w:lang w:val="en-GB"/>
              </w:rPr>
              <w:t xml:space="preserve">securitisation involving the transfer of </w:t>
            </w:r>
            <w:r w:rsidR="00DC7C49" w:rsidRPr="00943202">
              <w:rPr>
                <w:rFonts w:ascii="Times New Roman" w:eastAsia="Times New Roman" w:hAnsi="Times New Roman" w:cs="Times New Roman"/>
                <w:iCs/>
                <w:sz w:val="24"/>
                <w:lang w:val="en-GB"/>
              </w:rPr>
              <w:t xml:space="preserve">the economic interest in the </w:t>
            </w:r>
            <w:r w:rsidRPr="00943202">
              <w:rPr>
                <w:rFonts w:ascii="Times New Roman" w:eastAsia="Times New Roman" w:hAnsi="Times New Roman" w:cs="Times New Roman"/>
                <w:iCs/>
                <w:sz w:val="24"/>
                <w:lang w:val="en-GB"/>
              </w:rPr>
              <w:t>exposures being securitised. This shall be accomplished by the transfer of ownership of the securitised exposures from the originator institution to an SSPE or through sub-participation by an SSPE. The securities issued do not represent payment obligations of the originator institution</w:t>
            </w:r>
            <w:r w:rsidR="002E4106" w:rsidRPr="00943202">
              <w:rPr>
                <w:rFonts w:ascii="Times New Roman" w:eastAsia="Times New Roman" w:hAnsi="Times New Roman" w:cs="Times New Roman"/>
                <w:iCs/>
                <w:sz w:val="24"/>
                <w:lang w:val="en-GB"/>
              </w:rPr>
              <w:t>.</w:t>
            </w:r>
          </w:p>
          <w:p w14:paraId="44EF7241" w14:textId="416784B2" w:rsidR="00187CCB" w:rsidRPr="00943202" w:rsidRDefault="00187CCB" w:rsidP="00DC7C49">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 xml:space="preserve">In the case of traditional securitisations where the originator does not hold any position, then the originator shall not consider that securitisation in the disclosing of this template. </w:t>
            </w:r>
          </w:p>
        </w:tc>
      </w:tr>
      <w:tr w:rsidR="002E4106" w:rsidRPr="00943202" w14:paraId="549E4676" w14:textId="77777777" w:rsidTr="006D77DC">
        <w:trPr>
          <w:trHeight w:val="316"/>
        </w:trPr>
        <w:tc>
          <w:tcPr>
            <w:tcW w:w="1413" w:type="dxa"/>
          </w:tcPr>
          <w:p w14:paraId="3F720D23" w14:textId="3A940F05" w:rsidR="002E4106" w:rsidRPr="00943202" w:rsidRDefault="002E4106"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e</w:t>
            </w:r>
            <w:r w:rsidR="00CC6F6E" w:rsidRPr="00943202">
              <w:rPr>
                <w:rFonts w:ascii="Times New Roman" w:eastAsia="Times New Roman" w:hAnsi="Times New Roman" w:cs="Times New Roman"/>
                <w:sz w:val="24"/>
                <w:lang w:val="en-GB"/>
              </w:rPr>
              <w:t xml:space="preserve">, f, </w:t>
            </w:r>
            <w:r w:rsidR="002D1FEE" w:rsidRPr="00943202">
              <w:rPr>
                <w:rFonts w:ascii="Times New Roman" w:eastAsia="Times New Roman" w:hAnsi="Times New Roman" w:cs="Times New Roman"/>
                <w:sz w:val="24"/>
                <w:lang w:val="en-GB"/>
              </w:rPr>
              <w:t>j</w:t>
            </w:r>
            <w:r w:rsidR="00CC6F6E" w:rsidRPr="00943202">
              <w:rPr>
                <w:rFonts w:ascii="Times New Roman" w:eastAsia="Times New Roman" w:hAnsi="Times New Roman" w:cs="Times New Roman"/>
                <w:sz w:val="24"/>
                <w:lang w:val="en-GB"/>
              </w:rPr>
              <w:t xml:space="preserve">, </w:t>
            </w:r>
            <w:r w:rsidR="002D1FEE" w:rsidRPr="00943202">
              <w:rPr>
                <w:rFonts w:ascii="Times New Roman" w:eastAsia="Times New Roman" w:hAnsi="Times New Roman" w:cs="Times New Roman"/>
                <w:sz w:val="24"/>
                <w:lang w:val="en-GB"/>
              </w:rPr>
              <w:t>n</w:t>
            </w:r>
          </w:p>
        </w:tc>
        <w:tc>
          <w:tcPr>
            <w:tcW w:w="7654" w:type="dxa"/>
          </w:tcPr>
          <w:p w14:paraId="081F2242" w14:textId="27D94720" w:rsidR="00AA722E" w:rsidRPr="00F431DD" w:rsidRDefault="00CC6F6E" w:rsidP="006D77DC">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Synthetic transactions</w:t>
            </w:r>
            <w:r w:rsidR="002E4106" w:rsidRPr="00F431DD">
              <w:rPr>
                <w:rFonts w:ascii="Times New Roman" w:eastAsia="Times New Roman" w:hAnsi="Times New Roman" w:cs="Times New Roman"/>
                <w:b/>
                <w:iCs/>
                <w:sz w:val="24"/>
                <w:lang w:val="en-GB"/>
              </w:rPr>
              <w:t xml:space="preserve"> </w:t>
            </w:r>
          </w:p>
          <w:p w14:paraId="0E50086B" w14:textId="55AAE32B" w:rsidR="00F276BF" w:rsidRPr="00943202" w:rsidRDefault="00F276BF" w:rsidP="00F276BF">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According to Art</w:t>
            </w:r>
            <w:r w:rsidR="00F539DF">
              <w:rPr>
                <w:rFonts w:ascii="Times New Roman" w:eastAsia="Times New Roman" w:hAnsi="Times New Roman" w:cs="Times New Roman"/>
                <w:iCs/>
                <w:sz w:val="24"/>
                <w:lang w:val="en-GB"/>
              </w:rPr>
              <w:t>icle</w:t>
            </w:r>
            <w:r w:rsidR="00F431DD">
              <w:rPr>
                <w:rFonts w:ascii="Times New Roman" w:eastAsia="Times New Roman" w:hAnsi="Times New Roman" w:cs="Times New Roman"/>
                <w:iCs/>
                <w:sz w:val="24"/>
                <w:lang w:val="en-GB"/>
              </w:rPr>
              <w:t xml:space="preserve"> 242</w:t>
            </w:r>
            <w:r w:rsidRPr="00943202">
              <w:rPr>
                <w:rFonts w:ascii="Times New Roman" w:eastAsia="Times New Roman" w:hAnsi="Times New Roman" w:cs="Times New Roman"/>
                <w:iCs/>
                <w:sz w:val="24"/>
                <w:lang w:val="en-GB"/>
              </w:rPr>
              <w:t>(1</w:t>
            </w:r>
            <w:r w:rsidR="00D74C0C" w:rsidRPr="00943202">
              <w:rPr>
                <w:rFonts w:ascii="Times New Roman" w:eastAsia="Times New Roman" w:hAnsi="Times New Roman" w:cs="Times New Roman"/>
                <w:iCs/>
                <w:sz w:val="24"/>
                <w:lang w:val="en-GB"/>
              </w:rPr>
              <w:t>4</w:t>
            </w:r>
            <w:r w:rsidRPr="00943202">
              <w:rPr>
                <w:rFonts w:ascii="Times New Roman" w:eastAsia="Times New Roman" w:hAnsi="Times New Roman" w:cs="Times New Roman"/>
                <w:iCs/>
                <w:sz w:val="24"/>
                <w:lang w:val="en-GB"/>
              </w:rPr>
              <w:t xml:space="preserve">) </w:t>
            </w:r>
            <w:r w:rsidR="00F539DF">
              <w:rPr>
                <w:rFonts w:ascii="Times New Roman" w:eastAsia="Times New Roman" w:hAnsi="Times New Roman" w:cs="Times New Roman"/>
                <w:iCs/>
                <w:sz w:val="24"/>
                <w:lang w:val="en-GB"/>
              </w:rPr>
              <w:t xml:space="preserve">of </w:t>
            </w:r>
            <w:r w:rsidRPr="00943202">
              <w:rPr>
                <w:rFonts w:ascii="Times New Roman" w:eastAsia="Times New Roman" w:hAnsi="Times New Roman" w:cs="Times New Roman"/>
                <w:iCs/>
                <w:sz w:val="24"/>
                <w:lang w:val="en-GB"/>
              </w:rPr>
              <w:t>CRR</w:t>
            </w:r>
            <w:r w:rsidR="00D74C0C" w:rsidRPr="00943202">
              <w:rPr>
                <w:rFonts w:ascii="Times New Roman" w:eastAsia="Times New Roman" w:hAnsi="Times New Roman" w:cs="Times New Roman"/>
                <w:iCs/>
                <w:sz w:val="24"/>
                <w:lang w:val="en-GB"/>
              </w:rPr>
              <w:t>, in connection with Art</w:t>
            </w:r>
            <w:r w:rsidR="00F539DF">
              <w:rPr>
                <w:rFonts w:ascii="Times New Roman" w:eastAsia="Times New Roman" w:hAnsi="Times New Roman" w:cs="Times New Roman"/>
                <w:iCs/>
                <w:sz w:val="24"/>
                <w:lang w:val="en-GB"/>
              </w:rPr>
              <w:t>icle</w:t>
            </w:r>
            <w:r w:rsidR="00D74C0C" w:rsidRPr="00943202">
              <w:rPr>
                <w:rFonts w:ascii="Times New Roman" w:eastAsia="Times New Roman" w:hAnsi="Times New Roman" w:cs="Times New Roman"/>
                <w:iCs/>
                <w:sz w:val="24"/>
                <w:lang w:val="en-GB"/>
              </w:rPr>
              <w:t xml:space="preserve"> 2(10) of Regulation EU </w:t>
            </w:r>
            <w:r w:rsidR="00F539DF">
              <w:rPr>
                <w:rFonts w:ascii="Times New Roman" w:eastAsia="Times New Roman" w:hAnsi="Times New Roman" w:cs="Times New Roman"/>
                <w:iCs/>
                <w:sz w:val="24"/>
                <w:lang w:val="en-GB"/>
              </w:rPr>
              <w:t xml:space="preserve">No. </w:t>
            </w:r>
            <w:r w:rsidR="00D74C0C" w:rsidRPr="00943202">
              <w:rPr>
                <w:rFonts w:ascii="Times New Roman" w:eastAsia="Times New Roman" w:hAnsi="Times New Roman" w:cs="Times New Roman"/>
                <w:iCs/>
                <w:sz w:val="24"/>
                <w:lang w:val="en-GB"/>
              </w:rPr>
              <w:t>2017/2402,</w:t>
            </w:r>
            <w:r w:rsidRPr="00943202">
              <w:rPr>
                <w:rFonts w:ascii="Times New Roman" w:eastAsia="Times New Roman" w:hAnsi="Times New Roman" w:cs="Times New Roman"/>
                <w:iCs/>
                <w:sz w:val="24"/>
                <w:lang w:val="en-GB"/>
              </w:rPr>
              <w:t xml:space="preserve"> “synthetic securitisation” means a securitisation where the transfer of risk is achieved by the use of credit derivatives or guarantees, and the exposures being securitised remain exposures of the originator institution.</w:t>
            </w:r>
          </w:p>
          <w:p w14:paraId="156EBEE6" w14:textId="451C4BA3" w:rsidR="002E4106" w:rsidRPr="00943202" w:rsidRDefault="00CC6F6E" w:rsidP="00CC6F6E">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 xml:space="preserve">If the institution has purchased protection it must report the net exposure amounts to which it is exposed </w:t>
            </w:r>
            <w:r w:rsidR="00A50A8C" w:rsidRPr="00943202">
              <w:rPr>
                <w:rFonts w:ascii="Times New Roman" w:eastAsia="Times New Roman" w:hAnsi="Times New Roman" w:cs="Times New Roman"/>
                <w:iCs/>
                <w:sz w:val="24"/>
                <w:lang w:val="en-GB"/>
              </w:rPr>
              <w:t xml:space="preserve">and which are not subject to the purchased protection </w:t>
            </w:r>
            <w:r w:rsidRPr="00943202">
              <w:rPr>
                <w:rFonts w:ascii="Times New Roman" w:eastAsia="Times New Roman" w:hAnsi="Times New Roman" w:cs="Times New Roman"/>
                <w:iCs/>
                <w:sz w:val="24"/>
                <w:lang w:val="en-GB"/>
              </w:rPr>
              <w:t>under columns originator/sponsor (ie the amount that is not secured). If the institution has sold protection, the exposure amount of the credit protection must be reported in the “investor” column.</w:t>
            </w:r>
            <w:r w:rsidR="002E4106" w:rsidRPr="00943202">
              <w:rPr>
                <w:rFonts w:ascii="Times New Roman" w:eastAsia="Times New Roman" w:hAnsi="Times New Roman" w:cs="Times New Roman"/>
                <w:iCs/>
                <w:sz w:val="24"/>
                <w:lang w:val="en-GB"/>
              </w:rPr>
              <w:t xml:space="preserve"> </w:t>
            </w:r>
          </w:p>
        </w:tc>
      </w:tr>
      <w:tr w:rsidR="00CC6F6E" w:rsidRPr="00943202" w14:paraId="77F50745" w14:textId="77777777" w:rsidTr="006D77DC">
        <w:trPr>
          <w:trHeight w:val="316"/>
        </w:trPr>
        <w:tc>
          <w:tcPr>
            <w:tcW w:w="1413" w:type="dxa"/>
          </w:tcPr>
          <w:p w14:paraId="183216BD" w14:textId="51EDE44D" w:rsidR="00CC6F6E" w:rsidRPr="00943202" w:rsidRDefault="008C786F" w:rsidP="002D1FEE">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lastRenderedPageBreak/>
              <w:t xml:space="preserve">a, b, </w:t>
            </w:r>
            <w:r w:rsidR="002D1FEE" w:rsidRPr="00943202">
              <w:rPr>
                <w:rFonts w:ascii="Times New Roman" w:eastAsia="Times New Roman" w:hAnsi="Times New Roman" w:cs="Times New Roman"/>
                <w:sz w:val="24"/>
                <w:lang w:val="en-GB"/>
              </w:rPr>
              <w:t>h</w:t>
            </w:r>
            <w:r w:rsidRPr="00943202">
              <w:rPr>
                <w:rFonts w:ascii="Times New Roman" w:eastAsia="Times New Roman" w:hAnsi="Times New Roman" w:cs="Times New Roman"/>
                <w:sz w:val="24"/>
                <w:lang w:val="en-GB"/>
              </w:rPr>
              <w:t xml:space="preserve">,  l, </w:t>
            </w:r>
          </w:p>
        </w:tc>
        <w:tc>
          <w:tcPr>
            <w:tcW w:w="7654" w:type="dxa"/>
          </w:tcPr>
          <w:p w14:paraId="42E41986" w14:textId="3B00C2CB" w:rsidR="00CC6F6E" w:rsidRPr="00F431DD" w:rsidRDefault="008C786F" w:rsidP="00CC6F6E">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STS exposure</w:t>
            </w:r>
            <w:r w:rsidR="00CC6F6E" w:rsidRPr="00F431DD">
              <w:rPr>
                <w:rFonts w:ascii="Times New Roman" w:eastAsia="Times New Roman" w:hAnsi="Times New Roman" w:cs="Times New Roman"/>
                <w:b/>
                <w:iCs/>
                <w:sz w:val="24"/>
                <w:lang w:val="en-GB"/>
              </w:rPr>
              <w:t xml:space="preserve"> </w:t>
            </w:r>
          </w:p>
          <w:p w14:paraId="549F2255" w14:textId="797CC6CF" w:rsidR="00CC6F6E" w:rsidRPr="00943202" w:rsidRDefault="00CC6F6E" w:rsidP="00D15DAF">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Total amount of STS securit</w:t>
            </w:r>
            <w:r w:rsidR="00D74C0C" w:rsidRPr="00943202">
              <w:rPr>
                <w:rFonts w:ascii="Times New Roman" w:eastAsia="Times New Roman" w:hAnsi="Times New Roman" w:cs="Times New Roman"/>
                <w:iCs/>
                <w:sz w:val="24"/>
                <w:lang w:val="en-GB"/>
              </w:rPr>
              <w:t>i</w:t>
            </w:r>
            <w:r w:rsidRPr="00943202">
              <w:rPr>
                <w:rFonts w:ascii="Times New Roman" w:eastAsia="Times New Roman" w:hAnsi="Times New Roman" w:cs="Times New Roman"/>
                <w:iCs/>
                <w:sz w:val="24"/>
                <w:lang w:val="en-GB"/>
              </w:rPr>
              <w:t xml:space="preserve">sation positions according to the criteria set </w:t>
            </w:r>
            <w:r w:rsidR="00D74C0C" w:rsidRPr="00943202">
              <w:rPr>
                <w:rFonts w:ascii="Times New Roman" w:eastAsia="Times New Roman" w:hAnsi="Times New Roman" w:cs="Times New Roman"/>
                <w:iCs/>
                <w:sz w:val="24"/>
                <w:lang w:val="en-GB"/>
              </w:rPr>
              <w:t xml:space="preserve">out </w:t>
            </w:r>
            <w:r w:rsidRPr="00943202">
              <w:rPr>
                <w:rFonts w:ascii="Times New Roman" w:eastAsia="Times New Roman" w:hAnsi="Times New Roman" w:cs="Times New Roman"/>
                <w:iCs/>
                <w:sz w:val="24"/>
                <w:lang w:val="en-GB"/>
              </w:rPr>
              <w:t xml:space="preserve">in </w:t>
            </w:r>
            <w:r w:rsidR="00CB720E" w:rsidRPr="00943202">
              <w:rPr>
                <w:rFonts w:ascii="Times New Roman" w:eastAsia="Times New Roman" w:hAnsi="Times New Roman" w:cs="Times New Roman"/>
                <w:iCs/>
                <w:sz w:val="24"/>
                <w:lang w:val="en-GB"/>
              </w:rPr>
              <w:t xml:space="preserve">Articles 18 to 26 of the </w:t>
            </w:r>
            <w:r w:rsidR="00CB720E" w:rsidRPr="001F1F27">
              <w:rPr>
                <w:rFonts w:ascii="Times New Roman" w:hAnsi="Times New Roman" w:cs="Times New Roman"/>
                <w:sz w:val="24"/>
              </w:rPr>
              <w:t xml:space="preserve">Regulation </w:t>
            </w:r>
            <w:r w:rsidR="0051502B">
              <w:rPr>
                <w:rFonts w:ascii="Times New Roman" w:hAnsi="Times New Roman" w:cs="Times New Roman"/>
                <w:sz w:val="24"/>
              </w:rPr>
              <w:t>(</w:t>
            </w:r>
            <w:r w:rsidR="00CB720E" w:rsidRPr="001F1F27">
              <w:rPr>
                <w:rFonts w:ascii="Times New Roman" w:hAnsi="Times New Roman" w:cs="Times New Roman"/>
                <w:sz w:val="24"/>
              </w:rPr>
              <w:t>EU</w:t>
            </w:r>
            <w:r w:rsidR="0051502B">
              <w:rPr>
                <w:rFonts w:ascii="Times New Roman" w:hAnsi="Times New Roman" w:cs="Times New Roman"/>
                <w:sz w:val="24"/>
              </w:rPr>
              <w:t>)</w:t>
            </w:r>
            <w:r w:rsidR="00CB720E" w:rsidRPr="001F1F27">
              <w:rPr>
                <w:rFonts w:ascii="Times New Roman" w:hAnsi="Times New Roman" w:cs="Times New Roman"/>
                <w:sz w:val="24"/>
              </w:rPr>
              <w:t xml:space="preserve"> NO. 2017/2402</w:t>
            </w:r>
            <w:r w:rsidR="00D15DAF">
              <w:rPr>
                <w:rFonts w:ascii="Times New Roman" w:eastAsia="Times New Roman" w:hAnsi="Times New Roman" w:cs="Times New Roman"/>
                <w:iCs/>
                <w:sz w:val="24"/>
                <w:lang w:val="en-GB"/>
              </w:rPr>
              <w:t>.</w:t>
            </w:r>
          </w:p>
        </w:tc>
      </w:tr>
      <w:tr w:rsidR="008C786F" w:rsidRPr="00943202" w14:paraId="7E6FB752" w14:textId="77777777" w:rsidTr="006D77DC">
        <w:trPr>
          <w:trHeight w:val="316"/>
        </w:trPr>
        <w:tc>
          <w:tcPr>
            <w:tcW w:w="1413" w:type="dxa"/>
          </w:tcPr>
          <w:p w14:paraId="0B5F4783" w14:textId="56846134" w:rsidR="008C786F" w:rsidRPr="00943202" w:rsidRDefault="008C786F" w:rsidP="008C786F">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b, d, f</w:t>
            </w:r>
          </w:p>
        </w:tc>
        <w:tc>
          <w:tcPr>
            <w:tcW w:w="7654" w:type="dxa"/>
          </w:tcPr>
          <w:p w14:paraId="62C53E66" w14:textId="42E3F9B2" w:rsidR="008C786F" w:rsidRPr="00F431DD" w:rsidRDefault="008C786F" w:rsidP="008C786F">
            <w:pPr>
              <w:autoSpaceDE w:val="0"/>
              <w:autoSpaceDN w:val="0"/>
              <w:adjustRightInd w:val="0"/>
              <w:spacing w:before="120" w:after="120"/>
              <w:jc w:val="both"/>
              <w:rPr>
                <w:rFonts w:ascii="Times New Roman" w:eastAsia="Times New Roman" w:hAnsi="Times New Roman" w:cs="Times New Roman"/>
                <w:b/>
                <w:iCs/>
                <w:sz w:val="24"/>
                <w:lang w:val="en-GB"/>
              </w:rPr>
            </w:pPr>
            <w:r w:rsidRPr="00F431DD">
              <w:rPr>
                <w:rFonts w:ascii="Times New Roman" w:eastAsia="Times New Roman" w:hAnsi="Times New Roman" w:cs="Times New Roman"/>
                <w:b/>
                <w:iCs/>
                <w:sz w:val="24"/>
                <w:lang w:val="en-GB"/>
              </w:rPr>
              <w:t xml:space="preserve">SRT exposure </w:t>
            </w:r>
          </w:p>
          <w:p w14:paraId="6147114E" w14:textId="388BBDAA" w:rsidR="008C786F" w:rsidRPr="00943202" w:rsidRDefault="00A50A8C" w:rsidP="008C786F">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Total amount of securitisation positions in respect of which the originator institution has achieved significant risk transfer (SRT</w:t>
            </w:r>
            <w:r w:rsidR="0059750A">
              <w:rPr>
                <w:rFonts w:ascii="Times New Roman" w:eastAsia="Times New Roman" w:hAnsi="Times New Roman" w:cs="Times New Roman"/>
                <w:iCs/>
                <w:sz w:val="24"/>
                <w:lang w:val="en-GB"/>
              </w:rPr>
              <w:t>)</w:t>
            </w:r>
            <w:r w:rsidRPr="00943202">
              <w:rPr>
                <w:rFonts w:ascii="Times New Roman" w:eastAsia="Times New Roman" w:hAnsi="Times New Roman" w:cs="Times New Roman"/>
                <w:iCs/>
                <w:sz w:val="24"/>
                <w:lang w:val="en-GB"/>
              </w:rPr>
              <w:t xml:space="preserve"> i</w:t>
            </w:r>
            <w:r w:rsidR="008C786F" w:rsidRPr="00943202">
              <w:rPr>
                <w:rFonts w:ascii="Times New Roman" w:eastAsia="Times New Roman" w:hAnsi="Times New Roman" w:cs="Times New Roman"/>
                <w:iCs/>
                <w:sz w:val="24"/>
                <w:lang w:val="en-GB"/>
              </w:rPr>
              <w:t>n accordance with Article 24</w:t>
            </w:r>
            <w:r w:rsidR="00D74C0C" w:rsidRPr="00943202">
              <w:rPr>
                <w:rFonts w:ascii="Times New Roman" w:eastAsia="Times New Roman" w:hAnsi="Times New Roman" w:cs="Times New Roman"/>
                <w:iCs/>
                <w:sz w:val="24"/>
                <w:lang w:val="en-GB"/>
              </w:rPr>
              <w:t>4</w:t>
            </w:r>
            <w:r w:rsidR="008C786F" w:rsidRPr="00943202">
              <w:rPr>
                <w:rFonts w:ascii="Times New Roman" w:eastAsia="Times New Roman" w:hAnsi="Times New Roman" w:cs="Times New Roman"/>
                <w:iCs/>
                <w:sz w:val="24"/>
                <w:lang w:val="en-GB"/>
              </w:rPr>
              <w:t xml:space="preserve"> (traditional securitisation) and Article 24</w:t>
            </w:r>
            <w:r w:rsidR="00D74C0C" w:rsidRPr="00943202">
              <w:rPr>
                <w:rFonts w:ascii="Times New Roman" w:eastAsia="Times New Roman" w:hAnsi="Times New Roman" w:cs="Times New Roman"/>
                <w:iCs/>
                <w:sz w:val="24"/>
                <w:lang w:val="en-GB"/>
              </w:rPr>
              <w:t>5</w:t>
            </w:r>
            <w:r w:rsidR="008C786F" w:rsidRPr="00943202">
              <w:rPr>
                <w:rFonts w:ascii="Times New Roman" w:eastAsia="Times New Roman" w:hAnsi="Times New Roman" w:cs="Times New Roman"/>
                <w:iCs/>
                <w:sz w:val="24"/>
                <w:lang w:val="en-GB"/>
              </w:rPr>
              <w:t xml:space="preserve"> (synthetic securitisation)</w:t>
            </w:r>
            <w:r w:rsidR="00F276BF" w:rsidRPr="00943202">
              <w:rPr>
                <w:rFonts w:ascii="Times New Roman" w:eastAsia="Times New Roman" w:hAnsi="Times New Roman" w:cs="Times New Roman"/>
                <w:iCs/>
                <w:sz w:val="24"/>
                <w:lang w:val="en-GB"/>
              </w:rPr>
              <w:t xml:space="preserve"> of CRR</w:t>
            </w:r>
            <w:r w:rsidRPr="00943202">
              <w:rPr>
                <w:rFonts w:ascii="Times New Roman" w:eastAsia="Times New Roman" w:hAnsi="Times New Roman" w:cs="Times New Roman"/>
                <w:iCs/>
                <w:sz w:val="24"/>
                <w:lang w:val="en-GB"/>
              </w:rPr>
              <w:t>.</w:t>
            </w:r>
          </w:p>
        </w:tc>
      </w:tr>
    </w:tbl>
    <w:p w14:paraId="27E529EA" w14:textId="77777777" w:rsidR="002E4106" w:rsidRPr="001F1F27" w:rsidRDefault="002E4106" w:rsidP="002E4106">
      <w:pPr>
        <w:rPr>
          <w:rFonts w:ascii="Times New Roman" w:hAnsi="Times New Roman" w:cs="Times New Roman"/>
          <w:sz w:val="24"/>
          <w:lang w:val="en-GB"/>
        </w:rPr>
      </w:pPr>
    </w:p>
    <w:p w14:paraId="2C972BDB" w14:textId="77777777" w:rsidR="005A2ED8" w:rsidRPr="001F1F27" w:rsidRDefault="005A2ED8" w:rsidP="00A63654">
      <w:pPr>
        <w:rPr>
          <w:rFonts w:ascii="Times New Roman" w:hAnsi="Times New Roman" w:cs="Times New Roman"/>
          <w:noProof/>
          <w:sz w:val="24"/>
          <w:highlight w:val="yello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411BE8" w:rsidRPr="00943202" w14:paraId="10F3DF07" w14:textId="77777777" w:rsidTr="002572A1">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24953" w14:textId="77777777" w:rsidR="00411BE8" w:rsidRPr="00943202" w:rsidRDefault="00411BE8" w:rsidP="002572A1">
            <w:pPr>
              <w:rPr>
                <w:rFonts w:ascii="Times New Roman" w:hAnsi="Times New Roman" w:cs="Times New Roman"/>
                <w:b/>
                <w:sz w:val="24"/>
                <w:lang w:val="en-GB"/>
              </w:rPr>
            </w:pPr>
            <w:r w:rsidRPr="00943202">
              <w:rPr>
                <w:rFonts w:ascii="Times New Roman" w:hAnsi="Times New Roman" w:cs="Times New Roman"/>
                <w:b/>
                <w:sz w:val="24"/>
                <w:lang w:val="en-GB"/>
              </w:rPr>
              <w:t>Legal references and instructions</w:t>
            </w:r>
          </w:p>
        </w:tc>
      </w:tr>
      <w:tr w:rsidR="00411BE8" w:rsidRPr="00943202" w14:paraId="69CBC207" w14:textId="77777777" w:rsidTr="002572A1">
        <w:trPr>
          <w:trHeight w:val="238"/>
        </w:trPr>
        <w:tc>
          <w:tcPr>
            <w:tcW w:w="1384" w:type="dxa"/>
            <w:shd w:val="clear" w:color="auto" w:fill="D9D9D9" w:themeFill="background1" w:themeFillShade="D9"/>
          </w:tcPr>
          <w:p w14:paraId="76BFDC44" w14:textId="3830AE0D" w:rsidR="00411BE8" w:rsidRPr="00943202" w:rsidRDefault="00411BE8" w:rsidP="003C35BF">
            <w:pPr>
              <w:autoSpaceDE w:val="0"/>
              <w:autoSpaceDN w:val="0"/>
              <w:adjustRightInd w:val="0"/>
              <w:rPr>
                <w:rFonts w:ascii="Times New Roman" w:hAnsi="Times New Roman" w:cs="Times New Roman"/>
                <w:b/>
                <w:sz w:val="24"/>
                <w:lang w:val="en-GB"/>
              </w:rPr>
            </w:pPr>
            <w:r w:rsidRPr="00943202">
              <w:rPr>
                <w:rFonts w:ascii="Times New Roman" w:hAnsi="Times New Roman" w:cs="Times New Roman"/>
                <w:b/>
                <w:sz w:val="24"/>
                <w:lang w:val="en-GB"/>
              </w:rPr>
              <w:t xml:space="preserve">Row </w:t>
            </w:r>
            <w:r w:rsidR="003C35BF" w:rsidRPr="00943202">
              <w:rPr>
                <w:rFonts w:ascii="Times New Roman" w:hAnsi="Times New Roman" w:cs="Times New Roman"/>
                <w:b/>
                <w:sz w:val="24"/>
                <w:lang w:val="en-GB"/>
              </w:rPr>
              <w:t>number</w:t>
            </w:r>
          </w:p>
        </w:tc>
        <w:tc>
          <w:tcPr>
            <w:tcW w:w="7655" w:type="dxa"/>
            <w:shd w:val="clear" w:color="auto" w:fill="D9D9D9" w:themeFill="background1" w:themeFillShade="D9"/>
          </w:tcPr>
          <w:p w14:paraId="39721CE8" w14:textId="77777777" w:rsidR="00411BE8" w:rsidRPr="001F1F27" w:rsidRDefault="00411BE8" w:rsidP="002572A1">
            <w:pPr>
              <w:autoSpaceDE w:val="0"/>
              <w:autoSpaceDN w:val="0"/>
              <w:adjustRightInd w:val="0"/>
              <w:rPr>
                <w:rFonts w:ascii="Times New Roman" w:hAnsi="Times New Roman" w:cs="Times New Roman"/>
                <w:color w:val="000000"/>
                <w:sz w:val="24"/>
                <w:lang w:val="en-GB"/>
              </w:rPr>
            </w:pPr>
            <w:r w:rsidRPr="00943202">
              <w:rPr>
                <w:rFonts w:ascii="Times New Roman" w:hAnsi="Times New Roman" w:cs="Times New Roman"/>
                <w:b/>
                <w:sz w:val="24"/>
                <w:lang w:val="en-GB"/>
              </w:rPr>
              <w:t>Explanation</w:t>
            </w:r>
          </w:p>
        </w:tc>
      </w:tr>
      <w:tr w:rsidR="00411BE8" w:rsidRPr="00943202" w14:paraId="446B904F" w14:textId="77777777" w:rsidTr="00F431DD">
        <w:trPr>
          <w:trHeight w:val="2195"/>
        </w:trPr>
        <w:tc>
          <w:tcPr>
            <w:tcW w:w="1384" w:type="dxa"/>
          </w:tcPr>
          <w:p w14:paraId="48DF66E7" w14:textId="25E3D50F" w:rsidR="00411BE8" w:rsidRPr="00943202" w:rsidRDefault="00954A4A" w:rsidP="007551B8">
            <w:pPr>
              <w:pStyle w:val="Applicationdirecte"/>
              <w:spacing w:before="120"/>
              <w:rPr>
                <w:highlight w:val="yellow"/>
              </w:rPr>
            </w:pPr>
            <w:r w:rsidRPr="00943202">
              <w:t>0</w:t>
            </w:r>
            <w:r w:rsidR="007551B8" w:rsidRPr="00943202">
              <w:t>6</w:t>
            </w:r>
            <w:r w:rsidRPr="00943202">
              <w:t>, 1</w:t>
            </w:r>
            <w:r w:rsidR="007551B8" w:rsidRPr="00943202">
              <w:t>2</w:t>
            </w:r>
          </w:p>
        </w:tc>
        <w:tc>
          <w:tcPr>
            <w:tcW w:w="7655" w:type="dxa"/>
          </w:tcPr>
          <w:p w14:paraId="480FD336" w14:textId="0752182F" w:rsidR="008E54BB" w:rsidRPr="00F431DD" w:rsidRDefault="00954A4A" w:rsidP="002572A1">
            <w:pPr>
              <w:jc w:val="both"/>
              <w:rPr>
                <w:rFonts w:ascii="Times New Roman" w:hAnsi="Times New Roman" w:cs="Times New Roman"/>
                <w:b/>
                <w:sz w:val="24"/>
              </w:rPr>
            </w:pPr>
            <w:r w:rsidRPr="00F431DD">
              <w:rPr>
                <w:rFonts w:ascii="Times New Roman" w:hAnsi="Times New Roman" w:cs="Times New Roman"/>
                <w:b/>
                <w:sz w:val="24"/>
              </w:rPr>
              <w:t>Re-securitisation</w:t>
            </w:r>
          </w:p>
          <w:p w14:paraId="5D1DF164" w14:textId="6811CDEE" w:rsidR="00954A4A" w:rsidRPr="00943202" w:rsidRDefault="00954A4A" w:rsidP="00954A4A">
            <w:pPr>
              <w:autoSpaceDE w:val="0"/>
              <w:autoSpaceDN w:val="0"/>
              <w:adjustRightInd w:val="0"/>
              <w:spacing w:before="120" w:after="120"/>
              <w:jc w:val="both"/>
              <w:rPr>
                <w:rFonts w:ascii="Times New Roman" w:eastAsia="Times New Roman" w:hAnsi="Times New Roman" w:cs="Times New Roman"/>
                <w:iCs/>
                <w:sz w:val="24"/>
                <w:lang w:val="en-GB"/>
              </w:rPr>
            </w:pPr>
            <w:r w:rsidRPr="00943202">
              <w:rPr>
                <w:rFonts w:ascii="Times New Roman" w:eastAsia="Times New Roman" w:hAnsi="Times New Roman" w:cs="Times New Roman"/>
                <w:iCs/>
                <w:sz w:val="24"/>
                <w:lang w:val="en-GB"/>
              </w:rPr>
              <w:t>Total amount of outstanding re-securitisation</w:t>
            </w:r>
            <w:r w:rsidR="00A50A8C" w:rsidRPr="00943202">
              <w:rPr>
                <w:rFonts w:ascii="Times New Roman" w:eastAsia="Times New Roman" w:hAnsi="Times New Roman" w:cs="Times New Roman"/>
                <w:iCs/>
                <w:sz w:val="24"/>
                <w:lang w:val="en-GB"/>
              </w:rPr>
              <w:t xml:space="preserve"> position</w:t>
            </w:r>
            <w:r w:rsidRPr="00943202">
              <w:rPr>
                <w:rFonts w:ascii="Times New Roman" w:eastAsia="Times New Roman" w:hAnsi="Times New Roman" w:cs="Times New Roman"/>
                <w:iCs/>
                <w:sz w:val="24"/>
                <w:lang w:val="en-GB"/>
              </w:rPr>
              <w:t>s according to definitions in Article 4(1)(63) and (64) of CRR.</w:t>
            </w:r>
          </w:p>
          <w:p w14:paraId="3D7B7606" w14:textId="60C260C5" w:rsidR="000B4507" w:rsidRPr="00943202" w:rsidRDefault="00954A4A" w:rsidP="00954A4A">
            <w:pPr>
              <w:jc w:val="both"/>
              <w:rPr>
                <w:rFonts w:ascii="Times New Roman" w:hAnsi="Times New Roman" w:cs="Times New Roman"/>
                <w:sz w:val="24"/>
                <w:highlight w:val="yellow"/>
                <w:lang w:val="en-GB"/>
              </w:rPr>
            </w:pPr>
            <w:r w:rsidRPr="00943202">
              <w:rPr>
                <w:rFonts w:ascii="Times New Roman" w:eastAsia="Times New Roman" w:hAnsi="Times New Roman" w:cs="Times New Roman"/>
                <w:iCs/>
                <w:sz w:val="24"/>
                <w:lang w:val="en-GB"/>
              </w:rPr>
              <w:t>All securitisation exposures related to re-securitisation must be completed in rows “re-securitisation”, and not in the preceding rows (by type of underlying asset) which contain only securitisation exposures other than re-securitisation.</w:t>
            </w:r>
          </w:p>
        </w:tc>
      </w:tr>
    </w:tbl>
    <w:p w14:paraId="5060F511" w14:textId="77777777" w:rsidR="00411BE8" w:rsidRPr="001F1F27" w:rsidRDefault="00411BE8" w:rsidP="00411BE8">
      <w:pPr>
        <w:rPr>
          <w:rFonts w:ascii="Times New Roman" w:hAnsi="Times New Roman" w:cs="Times New Roman"/>
          <w:noProof/>
          <w:sz w:val="24"/>
        </w:rPr>
      </w:pPr>
    </w:p>
    <w:p w14:paraId="366BA360" w14:textId="0F5ECE3D" w:rsidR="00411BE8" w:rsidRPr="001F1F27" w:rsidRDefault="00411BE8" w:rsidP="00411BE8">
      <w:pPr>
        <w:rPr>
          <w:rFonts w:ascii="Times New Roman" w:hAnsi="Times New Roman" w:cs="Times New Roman"/>
          <w:noProof/>
          <w:sz w:val="24"/>
        </w:rPr>
      </w:pPr>
    </w:p>
    <w:p w14:paraId="16DB3936" w14:textId="4152D61C" w:rsidR="0095046E" w:rsidRPr="001F1F27" w:rsidRDefault="002F7BCD" w:rsidP="002E4106">
      <w:pPr>
        <w:rPr>
          <w:rFonts w:ascii="Times New Roman" w:hAnsi="Times New Roman" w:cs="Times New Roman"/>
          <w:noProof/>
          <w:sz w:val="24"/>
        </w:rPr>
      </w:pPr>
      <w:r w:rsidRPr="001F1F27">
        <w:rPr>
          <w:rFonts w:ascii="Times New Roman" w:hAnsi="Times New Roman" w:cs="Times New Roman"/>
          <w:b/>
          <w:noProof/>
          <w:sz w:val="24"/>
        </w:rPr>
        <w:t xml:space="preserve">Template </w:t>
      </w:r>
      <w:r w:rsidR="00F431DD">
        <w:rPr>
          <w:rFonts w:ascii="Times New Roman" w:hAnsi="Times New Roman" w:cs="Times New Roman"/>
          <w:b/>
          <w:noProof/>
          <w:sz w:val="24"/>
        </w:rPr>
        <w:t>EU-SEC2 -</w:t>
      </w:r>
      <w:r w:rsidR="00B8110C" w:rsidRPr="001F1F27">
        <w:rPr>
          <w:rFonts w:ascii="Times New Roman" w:hAnsi="Times New Roman" w:cs="Times New Roman"/>
          <w:b/>
          <w:noProof/>
          <w:sz w:val="24"/>
        </w:rPr>
        <w:t xml:space="preserve"> Securitisation exposures in the trading book</w:t>
      </w:r>
      <w:r w:rsidR="009A1A82" w:rsidRPr="001F1F27">
        <w:rPr>
          <w:rFonts w:ascii="Times New Roman" w:hAnsi="Times New Roman" w:cs="Times New Roman"/>
          <w:b/>
          <w:noProof/>
          <w:sz w:val="24"/>
        </w:rPr>
        <w:t xml:space="preserve">. </w:t>
      </w:r>
      <w:r w:rsidR="009A1A82" w:rsidRPr="001F1F27">
        <w:rPr>
          <w:rFonts w:ascii="Times New Roman" w:hAnsi="Times New Roman" w:cs="Times New Roman"/>
          <w:noProof/>
          <w:sz w:val="24"/>
        </w:rPr>
        <w:t>Fixed format.</w:t>
      </w:r>
    </w:p>
    <w:p w14:paraId="58387134" w14:textId="30D9FFDE" w:rsidR="003A08D4" w:rsidRPr="003A08D4" w:rsidRDefault="003A08D4" w:rsidP="003A08D4">
      <w:pPr>
        <w:pStyle w:val="ListParagraph"/>
        <w:numPr>
          <w:ilvl w:val="0"/>
          <w:numId w:val="12"/>
        </w:numPr>
        <w:spacing w:before="120" w:after="120"/>
        <w:ind w:left="432"/>
        <w:jc w:val="both"/>
        <w:rPr>
          <w:rFonts w:ascii="Times New Roman" w:hAnsi="Times New Roman"/>
          <w:bCs/>
          <w:sz w:val="24"/>
        </w:rPr>
      </w:pPr>
      <w:r w:rsidRPr="00A95602">
        <w:rPr>
          <w:rFonts w:ascii="Times New Roman" w:hAnsi="Times New Roman"/>
          <w:bCs/>
          <w:sz w:val="24"/>
        </w:rPr>
        <w:t>Institutions shall apply the instructions provided</w:t>
      </w:r>
      <w:r>
        <w:rPr>
          <w:rFonts w:ascii="Times New Roman" w:hAnsi="Times New Roman"/>
          <w:bCs/>
          <w:sz w:val="24"/>
        </w:rPr>
        <w:t xml:space="preserve"> below</w:t>
      </w:r>
      <w:r w:rsidRPr="00A95602">
        <w:rPr>
          <w:rFonts w:ascii="Times New Roman" w:hAnsi="Times New Roman"/>
          <w:bCs/>
          <w:sz w:val="24"/>
        </w:rPr>
        <w:t xml:space="preserve"> in this Annex in order to complete </w:t>
      </w:r>
      <w:r>
        <w:rPr>
          <w:rFonts w:ascii="Times New Roman" w:hAnsi="Times New Roman"/>
          <w:bCs/>
          <w:sz w:val="24"/>
        </w:rPr>
        <w:t>template EU-SEC2 as presented in Annex 31</w:t>
      </w:r>
      <w:r w:rsidR="00F431DD">
        <w:rPr>
          <w:rFonts w:ascii="Times New Roman" w:hAnsi="Times New Roman"/>
          <w:bCs/>
          <w:sz w:val="24"/>
        </w:rPr>
        <w:t>, in application of Article 449</w:t>
      </w:r>
      <w:r>
        <w:rPr>
          <w:rFonts w:ascii="Times New Roman" w:hAnsi="Times New Roman"/>
          <w:bCs/>
          <w:sz w:val="24"/>
        </w:rPr>
        <w:t xml:space="preserve">(j) </w:t>
      </w:r>
      <w:r w:rsidRPr="003A08D4">
        <w:rPr>
          <w:rFonts w:ascii="Times New Roman" w:hAnsi="Times New Roman"/>
          <w:bCs/>
          <w:sz w:val="24"/>
        </w:rPr>
        <w:t>of CRR.</w:t>
      </w:r>
    </w:p>
    <w:p w14:paraId="5A764492" w14:textId="3572F39F" w:rsidR="0095046E" w:rsidRPr="003A08D4" w:rsidRDefault="00803F2F" w:rsidP="003A08D4">
      <w:pPr>
        <w:pStyle w:val="ListParagraph"/>
        <w:numPr>
          <w:ilvl w:val="0"/>
          <w:numId w:val="12"/>
        </w:numPr>
        <w:spacing w:before="120" w:after="120"/>
        <w:ind w:left="432"/>
        <w:jc w:val="both"/>
        <w:rPr>
          <w:rFonts w:ascii="Times New Roman" w:hAnsi="Times New Roman"/>
          <w:bCs/>
          <w:sz w:val="24"/>
        </w:rPr>
      </w:pPr>
      <w:r w:rsidRPr="003A08D4">
        <w:rPr>
          <w:rFonts w:ascii="Times New Roman" w:hAnsi="Times New Roman"/>
          <w:bCs/>
          <w:sz w:val="24"/>
        </w:rPr>
        <w:t>Refer to</w:t>
      </w:r>
      <w:r w:rsidR="00B8110C" w:rsidRPr="003A08D4">
        <w:rPr>
          <w:rFonts w:ascii="Times New Roman" w:hAnsi="Times New Roman"/>
          <w:bCs/>
          <w:sz w:val="24"/>
        </w:rPr>
        <w:t xml:space="preserve"> instructions to</w:t>
      </w:r>
      <w:r w:rsidR="00F431DD">
        <w:rPr>
          <w:rFonts w:ascii="Times New Roman" w:hAnsi="Times New Roman"/>
          <w:bCs/>
          <w:sz w:val="24"/>
        </w:rPr>
        <w:t xml:space="preserve"> template</w:t>
      </w:r>
      <w:r w:rsidR="00B8110C" w:rsidRPr="003A08D4">
        <w:rPr>
          <w:rFonts w:ascii="Times New Roman" w:hAnsi="Times New Roman"/>
          <w:bCs/>
          <w:sz w:val="24"/>
        </w:rPr>
        <w:t xml:space="preserve"> EU-SEC1 - Securitisation exposures in the non-trading book</w:t>
      </w:r>
      <w:r w:rsidR="00D15DAF">
        <w:rPr>
          <w:rFonts w:ascii="Times New Roman" w:hAnsi="Times New Roman"/>
          <w:bCs/>
          <w:sz w:val="24"/>
        </w:rPr>
        <w:t>.</w:t>
      </w:r>
    </w:p>
    <w:p w14:paraId="2694BCDF" w14:textId="39AE570E" w:rsidR="002E4106" w:rsidRPr="001F1F27" w:rsidRDefault="002E4106" w:rsidP="002E4106">
      <w:pPr>
        <w:rPr>
          <w:rFonts w:ascii="Times New Roman" w:hAnsi="Times New Roman" w:cs="Times New Roman"/>
          <w:sz w:val="24"/>
          <w:lang w:val="en-GB"/>
        </w:rPr>
      </w:pPr>
    </w:p>
    <w:p w14:paraId="617A7BEA" w14:textId="7BF6594F" w:rsidR="00BB2EE9" w:rsidRPr="001F1F27" w:rsidRDefault="00BB2EE9" w:rsidP="002E4106">
      <w:pPr>
        <w:rPr>
          <w:rFonts w:ascii="Times New Roman" w:hAnsi="Times New Roman" w:cs="Times New Roman"/>
          <w:sz w:val="24"/>
          <w:lang w:val="en-GB"/>
        </w:rPr>
      </w:pPr>
      <w:r w:rsidRPr="001F1F27">
        <w:rPr>
          <w:rFonts w:ascii="Times New Roman" w:hAnsi="Times New Roman" w:cs="Times New Roman"/>
          <w:b/>
          <w:noProof/>
          <w:sz w:val="24"/>
        </w:rPr>
        <w:t>Template EU-</w:t>
      </w:r>
      <w:r w:rsidR="00BF1F98" w:rsidRPr="001F1F27">
        <w:rPr>
          <w:rFonts w:ascii="Times New Roman" w:hAnsi="Times New Roman" w:cs="Times New Roman"/>
          <w:b/>
          <w:noProof/>
          <w:sz w:val="24"/>
        </w:rPr>
        <w:t>SEC3</w:t>
      </w:r>
      <w:r w:rsidR="00F431DD">
        <w:rPr>
          <w:rFonts w:ascii="Times New Roman" w:hAnsi="Times New Roman" w:cs="Times New Roman"/>
          <w:b/>
          <w:noProof/>
          <w:sz w:val="24"/>
        </w:rPr>
        <w:t xml:space="preserve"> -</w:t>
      </w:r>
      <w:r w:rsidRPr="001F1F27">
        <w:rPr>
          <w:rFonts w:ascii="Times New Roman" w:hAnsi="Times New Roman" w:cs="Times New Roman"/>
          <w:b/>
          <w:noProof/>
          <w:sz w:val="24"/>
        </w:rPr>
        <w:t xml:space="preserve"> Securitisation exposures in the non-trading book and associated regulatory capital requirements - institution acting as originator or as sponsor</w:t>
      </w:r>
      <w:r w:rsidR="009A1A82" w:rsidRPr="001F1F27">
        <w:rPr>
          <w:rFonts w:ascii="Times New Roman" w:hAnsi="Times New Roman" w:cs="Times New Roman"/>
          <w:b/>
          <w:noProof/>
          <w:sz w:val="24"/>
        </w:rPr>
        <w:t xml:space="preserve">. </w:t>
      </w:r>
      <w:r w:rsidR="009A1A82" w:rsidRPr="001F1F27">
        <w:rPr>
          <w:rFonts w:ascii="Times New Roman" w:hAnsi="Times New Roman" w:cs="Times New Roman"/>
          <w:noProof/>
          <w:sz w:val="24"/>
        </w:rPr>
        <w:t>Fixed format.</w:t>
      </w:r>
    </w:p>
    <w:p w14:paraId="18776633" w14:textId="180ED9C3" w:rsidR="003A08D4" w:rsidRPr="003A08D4" w:rsidRDefault="003A08D4" w:rsidP="003A08D4">
      <w:pPr>
        <w:pStyle w:val="ListParagraph"/>
        <w:numPr>
          <w:ilvl w:val="0"/>
          <w:numId w:val="12"/>
        </w:numPr>
        <w:spacing w:before="120" w:after="120"/>
        <w:ind w:left="432"/>
        <w:jc w:val="both"/>
        <w:rPr>
          <w:rFonts w:ascii="Times New Roman" w:hAnsi="Times New Roman"/>
          <w:bCs/>
          <w:sz w:val="24"/>
        </w:rPr>
      </w:pPr>
      <w:r w:rsidRPr="00A95602">
        <w:rPr>
          <w:rFonts w:ascii="Times New Roman" w:hAnsi="Times New Roman"/>
          <w:bCs/>
          <w:sz w:val="24"/>
        </w:rPr>
        <w:t>Institutions shall apply the instructions provided</w:t>
      </w:r>
      <w:r>
        <w:rPr>
          <w:rFonts w:ascii="Times New Roman" w:hAnsi="Times New Roman"/>
          <w:bCs/>
          <w:sz w:val="24"/>
        </w:rPr>
        <w:t xml:space="preserve"> below</w:t>
      </w:r>
      <w:r w:rsidRPr="00A95602">
        <w:rPr>
          <w:rFonts w:ascii="Times New Roman" w:hAnsi="Times New Roman"/>
          <w:bCs/>
          <w:sz w:val="24"/>
        </w:rPr>
        <w:t xml:space="preserve"> in this Annex in order to complete </w:t>
      </w:r>
      <w:r>
        <w:rPr>
          <w:rFonts w:ascii="Times New Roman" w:hAnsi="Times New Roman"/>
          <w:bCs/>
          <w:sz w:val="24"/>
        </w:rPr>
        <w:t>template EU-SEC3 as presented in Annex 31, in application</w:t>
      </w:r>
      <w:r w:rsidR="00F431DD">
        <w:rPr>
          <w:rFonts w:ascii="Times New Roman" w:hAnsi="Times New Roman"/>
          <w:bCs/>
          <w:sz w:val="24"/>
        </w:rPr>
        <w:t xml:space="preserve"> of Article 449</w:t>
      </w:r>
      <w:r>
        <w:rPr>
          <w:rFonts w:ascii="Times New Roman" w:hAnsi="Times New Roman"/>
          <w:bCs/>
          <w:sz w:val="24"/>
        </w:rPr>
        <w:t>(k)</w:t>
      </w:r>
      <w:r w:rsidR="00D13AF1">
        <w:rPr>
          <w:rFonts w:ascii="Times New Roman" w:hAnsi="Times New Roman"/>
          <w:bCs/>
          <w:sz w:val="24"/>
        </w:rPr>
        <w:t>(i)</w:t>
      </w:r>
      <w:r>
        <w:rPr>
          <w:rFonts w:ascii="Times New Roman" w:hAnsi="Times New Roman"/>
          <w:bCs/>
          <w:sz w:val="24"/>
        </w:rPr>
        <w:t xml:space="preserve"> </w:t>
      </w:r>
      <w:r w:rsidRPr="003A08D4">
        <w:rPr>
          <w:rFonts w:ascii="Times New Roman" w:hAnsi="Times New Roman"/>
          <w:bCs/>
          <w:sz w:val="24"/>
        </w:rPr>
        <w:t xml:space="preserve">of CRR. </w:t>
      </w:r>
    </w:p>
    <w:p w14:paraId="5AE27D33" w14:textId="1A4DE8FF" w:rsidR="002E4106" w:rsidRPr="001F1F27" w:rsidRDefault="002E4106" w:rsidP="002E4106">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8D1BA8" w:rsidRPr="00943202" w14:paraId="7ECBABB0" w14:textId="77777777" w:rsidTr="008D1BA8">
        <w:trPr>
          <w:trHeight w:val="9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ABC6F" w14:textId="77777777" w:rsidR="008D1BA8" w:rsidRPr="00943202" w:rsidRDefault="008D1BA8" w:rsidP="008D1BA8">
            <w:pPr>
              <w:rPr>
                <w:rFonts w:ascii="Times New Roman" w:hAnsi="Times New Roman" w:cs="Times New Roman"/>
                <w:b/>
                <w:sz w:val="24"/>
                <w:lang w:val="en-GB"/>
              </w:rPr>
            </w:pPr>
            <w:r w:rsidRPr="00943202">
              <w:rPr>
                <w:rFonts w:ascii="Times New Roman" w:hAnsi="Times New Roman" w:cs="Times New Roman"/>
                <w:b/>
                <w:sz w:val="24"/>
                <w:lang w:val="en-GB"/>
              </w:rPr>
              <w:t>Legal references and instructions</w:t>
            </w:r>
          </w:p>
        </w:tc>
      </w:tr>
      <w:tr w:rsidR="008D1BA8" w:rsidRPr="00943202" w14:paraId="5053C3AC" w14:textId="77777777" w:rsidTr="008D1BA8">
        <w:trPr>
          <w:trHeight w:val="741"/>
        </w:trPr>
        <w:tc>
          <w:tcPr>
            <w:tcW w:w="1413" w:type="dxa"/>
            <w:shd w:val="clear" w:color="auto" w:fill="D9D9D9" w:themeFill="background1" w:themeFillShade="D9"/>
          </w:tcPr>
          <w:p w14:paraId="66868D13" w14:textId="77777777" w:rsidR="008D1BA8" w:rsidRPr="00943202" w:rsidRDefault="008D1BA8" w:rsidP="008D1BA8">
            <w:pPr>
              <w:autoSpaceDE w:val="0"/>
              <w:autoSpaceDN w:val="0"/>
              <w:adjustRightInd w:val="0"/>
              <w:rPr>
                <w:rFonts w:ascii="Times New Roman" w:hAnsi="Times New Roman" w:cs="Times New Roman"/>
                <w:b/>
                <w:sz w:val="24"/>
                <w:lang w:val="en-GB"/>
              </w:rPr>
            </w:pPr>
            <w:r w:rsidRPr="00943202">
              <w:rPr>
                <w:rFonts w:ascii="Times New Roman" w:hAnsi="Times New Roman" w:cs="Times New Roman"/>
                <w:b/>
                <w:sz w:val="24"/>
                <w:lang w:val="en-GB"/>
              </w:rPr>
              <w:t>Column reference</w:t>
            </w:r>
          </w:p>
        </w:tc>
        <w:tc>
          <w:tcPr>
            <w:tcW w:w="7654" w:type="dxa"/>
            <w:shd w:val="clear" w:color="auto" w:fill="D9D9D9" w:themeFill="background1" w:themeFillShade="D9"/>
          </w:tcPr>
          <w:p w14:paraId="52DF01C5" w14:textId="77777777" w:rsidR="008D1BA8" w:rsidRPr="00943202" w:rsidRDefault="008D1BA8" w:rsidP="008D1BA8">
            <w:pPr>
              <w:autoSpaceDE w:val="0"/>
              <w:autoSpaceDN w:val="0"/>
              <w:adjustRightInd w:val="0"/>
              <w:rPr>
                <w:rFonts w:ascii="Times New Roman" w:hAnsi="Times New Roman" w:cs="Times New Roman"/>
                <w:color w:val="000000"/>
                <w:sz w:val="24"/>
                <w:lang w:val="en-GB"/>
              </w:rPr>
            </w:pPr>
            <w:r w:rsidRPr="00943202">
              <w:rPr>
                <w:rFonts w:ascii="Times New Roman" w:hAnsi="Times New Roman" w:cs="Times New Roman"/>
                <w:b/>
                <w:sz w:val="24"/>
                <w:lang w:val="en-GB"/>
              </w:rPr>
              <w:t>Explanation</w:t>
            </w:r>
          </w:p>
        </w:tc>
      </w:tr>
      <w:tr w:rsidR="008D1BA8" w:rsidRPr="00943202" w14:paraId="69709265" w14:textId="77777777" w:rsidTr="008D1BA8">
        <w:trPr>
          <w:trHeight w:val="741"/>
        </w:trPr>
        <w:tc>
          <w:tcPr>
            <w:tcW w:w="1413" w:type="dxa"/>
            <w:shd w:val="clear" w:color="auto" w:fill="auto"/>
          </w:tcPr>
          <w:p w14:paraId="388686E9" w14:textId="56FF46D9" w:rsidR="008D1BA8" w:rsidRPr="00943202" w:rsidRDefault="008D1BA8" w:rsidP="00E1439B">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a to </w:t>
            </w:r>
            <w:r w:rsidR="00E1439B">
              <w:rPr>
                <w:rFonts w:ascii="Times New Roman" w:eastAsia="Times New Roman" w:hAnsi="Times New Roman" w:cs="Times New Roman"/>
                <w:sz w:val="24"/>
                <w:lang w:val="en-GB"/>
              </w:rPr>
              <w:t>d</w:t>
            </w:r>
          </w:p>
        </w:tc>
        <w:tc>
          <w:tcPr>
            <w:tcW w:w="7654" w:type="dxa"/>
            <w:shd w:val="clear" w:color="auto" w:fill="auto"/>
          </w:tcPr>
          <w:p w14:paraId="1BF261ED" w14:textId="77777777" w:rsidR="008D1BA8" w:rsidRPr="00F431DD" w:rsidRDefault="008D1BA8" w:rsidP="008D1BA8">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Exposure values (by risk weight bands /deductions)</w:t>
            </w:r>
          </w:p>
          <w:p w14:paraId="3CA38D4D" w14:textId="2A2050E1" w:rsidR="008D1BA8" w:rsidRPr="00943202" w:rsidRDefault="00E1439B" w:rsidP="008D1BA8">
            <w:pPr>
              <w:autoSpaceDE w:val="0"/>
              <w:autoSpaceDN w:val="0"/>
              <w:adjustRightInd w:val="0"/>
              <w:spacing w:before="120" w:after="120"/>
              <w:jc w:val="both"/>
              <w:rPr>
                <w:rFonts w:ascii="Times New Roman" w:eastAsia="Times New Roman" w:hAnsi="Times New Roman" w:cs="Times New Roman"/>
                <w:sz w:val="24"/>
                <w:lang w:val="en-GB"/>
              </w:rPr>
            </w:pPr>
            <w:r>
              <w:rPr>
                <w:rFonts w:ascii="Times New Roman" w:eastAsia="Times New Roman" w:hAnsi="Times New Roman" w:cs="Times New Roman"/>
                <w:sz w:val="24"/>
                <w:lang w:val="en-GB"/>
              </w:rPr>
              <w:lastRenderedPageBreak/>
              <w:t>Columns (a) to (d</w:t>
            </w:r>
            <w:r w:rsidR="008D1BA8" w:rsidRPr="00943202">
              <w:rPr>
                <w:rFonts w:ascii="Times New Roman" w:eastAsia="Times New Roman" w:hAnsi="Times New Roman" w:cs="Times New Roman"/>
                <w:sz w:val="24"/>
                <w:lang w:val="en-GB"/>
              </w:rPr>
              <w:t>) are defined in relation to regulatory risk weights</w:t>
            </w:r>
            <w:r w:rsidR="008D1BA8" w:rsidRPr="001F1F27">
              <w:rPr>
                <w:rFonts w:ascii="Times New Roman" w:hAnsi="Times New Roman" w:cs="Times New Roman"/>
                <w:sz w:val="24"/>
              </w:rPr>
              <w:t xml:space="preserve"> </w:t>
            </w:r>
            <w:r w:rsidR="008D1BA8" w:rsidRPr="00943202">
              <w:rPr>
                <w:rFonts w:ascii="Times New Roman" w:eastAsia="Times New Roman" w:hAnsi="Times New Roman" w:cs="Times New Roman"/>
                <w:sz w:val="24"/>
                <w:lang w:val="en-GB"/>
              </w:rPr>
              <w:t>in accordance with Part 3 Title II Chapter 5 of CRR.</w:t>
            </w:r>
          </w:p>
        </w:tc>
      </w:tr>
      <w:tr w:rsidR="008D1BA8" w:rsidRPr="00943202" w14:paraId="6D07144B" w14:textId="77777777" w:rsidTr="008D1BA8">
        <w:trPr>
          <w:trHeight w:val="741"/>
        </w:trPr>
        <w:tc>
          <w:tcPr>
            <w:tcW w:w="1413" w:type="dxa"/>
            <w:shd w:val="clear" w:color="auto" w:fill="auto"/>
          </w:tcPr>
          <w:p w14:paraId="1EAD1B37" w14:textId="7777777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lastRenderedPageBreak/>
              <w:t xml:space="preserve">f to </w:t>
            </w:r>
            <w:r>
              <w:rPr>
                <w:rFonts w:ascii="Times New Roman" w:eastAsia="Times New Roman" w:hAnsi="Times New Roman" w:cs="Times New Roman"/>
                <w:sz w:val="24"/>
                <w:lang w:val="en-GB"/>
              </w:rPr>
              <w:t>h</w:t>
            </w:r>
          </w:p>
        </w:tc>
        <w:tc>
          <w:tcPr>
            <w:tcW w:w="7654" w:type="dxa"/>
            <w:shd w:val="clear" w:color="auto" w:fill="auto"/>
          </w:tcPr>
          <w:p w14:paraId="71F9BD62" w14:textId="77777777" w:rsidR="008D1BA8" w:rsidRPr="00F431DD" w:rsidRDefault="008D1BA8" w:rsidP="008D1BA8">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Exposure values (by regulatory approach)</w:t>
            </w:r>
          </w:p>
          <w:p w14:paraId="14E33F7B" w14:textId="7777777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Columns (f) to (</w:t>
            </w:r>
            <w:r>
              <w:rPr>
                <w:rFonts w:ascii="Times New Roman" w:eastAsia="Times New Roman" w:hAnsi="Times New Roman" w:cs="Times New Roman"/>
                <w:sz w:val="24"/>
                <w:lang w:val="en-GB"/>
              </w:rPr>
              <w:t>h</w:t>
            </w:r>
            <w:r w:rsidRPr="00943202">
              <w:rPr>
                <w:rFonts w:ascii="Times New Roman" w:eastAsia="Times New Roman" w:hAnsi="Times New Roman" w:cs="Times New Roman"/>
                <w:sz w:val="24"/>
                <w:lang w:val="en-GB"/>
              </w:rPr>
              <w:t>) corres</w:t>
            </w:r>
            <w:bookmarkStart w:id="10" w:name="_GoBack"/>
            <w:bookmarkEnd w:id="10"/>
            <w:r w:rsidRPr="00943202">
              <w:rPr>
                <w:rFonts w:ascii="Times New Roman" w:eastAsia="Times New Roman" w:hAnsi="Times New Roman" w:cs="Times New Roman"/>
                <w:sz w:val="24"/>
                <w:lang w:val="en-GB"/>
              </w:rPr>
              <w:t>pond to the regulatory approach used in accordance with the hierarchy of approaches of Art</w:t>
            </w:r>
            <w:r>
              <w:rPr>
                <w:rFonts w:ascii="Times New Roman" w:eastAsia="Times New Roman" w:hAnsi="Times New Roman" w:cs="Times New Roman"/>
                <w:sz w:val="24"/>
                <w:lang w:val="en-GB"/>
              </w:rPr>
              <w:t>icle</w:t>
            </w:r>
            <w:r w:rsidRPr="00943202">
              <w:rPr>
                <w:rFonts w:ascii="Times New Roman" w:eastAsia="Times New Roman" w:hAnsi="Times New Roman" w:cs="Times New Roman"/>
                <w:sz w:val="24"/>
                <w:lang w:val="en-GB"/>
              </w:rPr>
              <w:t xml:space="preserve"> 254 of CRR. </w:t>
            </w:r>
          </w:p>
        </w:tc>
      </w:tr>
      <w:tr w:rsidR="008D1BA8" w:rsidRPr="00943202" w14:paraId="42ACF4B5" w14:textId="77777777" w:rsidTr="008D1BA8">
        <w:tblPrEx>
          <w:tblLook w:val="04A0" w:firstRow="1" w:lastRow="0" w:firstColumn="1" w:lastColumn="0" w:noHBand="0" w:noVBand="1"/>
        </w:tblPrEx>
        <w:trPr>
          <w:trHeight w:val="741"/>
        </w:trPr>
        <w:tc>
          <w:tcPr>
            <w:tcW w:w="1413" w:type="dxa"/>
            <w:tcBorders>
              <w:top w:val="single" w:sz="4" w:space="0" w:color="auto"/>
              <w:left w:val="single" w:sz="4" w:space="0" w:color="auto"/>
              <w:bottom w:val="single" w:sz="4" w:space="0" w:color="auto"/>
              <w:right w:val="single" w:sz="4" w:space="0" w:color="auto"/>
            </w:tcBorders>
            <w:hideMark/>
          </w:tcPr>
          <w:p w14:paraId="43A26D71" w14:textId="7777777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j, k, l</w:t>
            </w:r>
          </w:p>
        </w:tc>
        <w:tc>
          <w:tcPr>
            <w:tcW w:w="7654" w:type="dxa"/>
            <w:tcBorders>
              <w:top w:val="single" w:sz="4" w:space="0" w:color="auto"/>
              <w:left w:val="single" w:sz="4" w:space="0" w:color="auto"/>
              <w:bottom w:val="single" w:sz="4" w:space="0" w:color="auto"/>
              <w:right w:val="single" w:sz="4" w:space="0" w:color="auto"/>
            </w:tcBorders>
            <w:hideMark/>
          </w:tcPr>
          <w:p w14:paraId="494D6CFB" w14:textId="77777777" w:rsidR="008D1BA8" w:rsidRPr="00F431DD" w:rsidRDefault="008D1BA8" w:rsidP="008D1BA8">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RWEA (by regulatory approach)</w:t>
            </w:r>
          </w:p>
          <w:p w14:paraId="3A5AA65C" w14:textId="7777777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Risk weighted exposure amount (RWEA</w:t>
            </w:r>
            <w:r>
              <w:rPr>
                <w:rFonts w:ascii="Times New Roman" w:eastAsia="Times New Roman" w:hAnsi="Times New Roman" w:cs="Times New Roman"/>
                <w:sz w:val="24"/>
                <w:lang w:val="en-GB"/>
              </w:rPr>
              <w:t>)</w:t>
            </w:r>
            <w:r w:rsidRPr="00943202">
              <w:rPr>
                <w:rFonts w:ascii="Times New Roman" w:eastAsia="Times New Roman" w:hAnsi="Times New Roman" w:cs="Times New Roman"/>
                <w:sz w:val="24"/>
                <w:lang w:val="en-GB"/>
              </w:rPr>
              <w:t xml:space="preserve"> by regulatory approach according to Part 3 Title II Chapter 5 of CRR before application of cap.</w:t>
            </w:r>
          </w:p>
        </w:tc>
      </w:tr>
      <w:tr w:rsidR="008D1BA8" w:rsidRPr="00943202" w14:paraId="675DFCC1" w14:textId="77777777" w:rsidTr="008D1BA8">
        <w:trPr>
          <w:trHeight w:val="741"/>
        </w:trPr>
        <w:tc>
          <w:tcPr>
            <w:tcW w:w="1413" w:type="dxa"/>
            <w:shd w:val="clear" w:color="auto" w:fill="auto"/>
          </w:tcPr>
          <w:p w14:paraId="0034A311" w14:textId="2A32F9DD" w:rsidR="008D1BA8" w:rsidRPr="00943202" w:rsidRDefault="008D1BA8" w:rsidP="00E1439B">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n to </w:t>
            </w:r>
            <w:r>
              <w:rPr>
                <w:rFonts w:ascii="Times New Roman" w:eastAsia="Times New Roman" w:hAnsi="Times New Roman" w:cs="Times New Roman"/>
                <w:sz w:val="24"/>
                <w:lang w:val="en-GB"/>
              </w:rPr>
              <w:t xml:space="preserve">p </w:t>
            </w:r>
          </w:p>
        </w:tc>
        <w:tc>
          <w:tcPr>
            <w:tcW w:w="7654" w:type="dxa"/>
            <w:shd w:val="clear" w:color="auto" w:fill="auto"/>
          </w:tcPr>
          <w:p w14:paraId="7E607872" w14:textId="77777777" w:rsidR="008D1BA8" w:rsidRPr="00F431DD" w:rsidRDefault="008D1BA8" w:rsidP="008D1BA8">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Capital charge after cap</w:t>
            </w:r>
          </w:p>
          <w:p w14:paraId="55F9B33D" w14:textId="7777777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These columns refers to capital charge after application of the cap </w:t>
            </w:r>
            <w:r w:rsidRPr="00FE6CDE">
              <w:rPr>
                <w:rFonts w:ascii="Times New Roman" w:hAnsi="Times New Roman" w:cs="Times New Roman"/>
                <w:sz w:val="24"/>
                <w:lang w:eastAsia="de-DE"/>
              </w:rPr>
              <w:t>in accordance with Articles 267 and 268 of CRR</w:t>
            </w:r>
            <w:r>
              <w:rPr>
                <w:rFonts w:ascii="Times New Roman" w:hAnsi="Times New Roman" w:cs="Times New Roman"/>
                <w:sz w:val="24"/>
                <w:lang w:eastAsia="de-DE"/>
              </w:rPr>
              <w:t>.</w:t>
            </w:r>
          </w:p>
        </w:tc>
      </w:tr>
      <w:tr w:rsidR="008D1BA8" w:rsidRPr="00820E3B" w14:paraId="6F8E57E0" w14:textId="77777777" w:rsidTr="008D1BA8">
        <w:trPr>
          <w:trHeight w:val="741"/>
        </w:trPr>
        <w:tc>
          <w:tcPr>
            <w:tcW w:w="1413" w:type="dxa"/>
            <w:shd w:val="clear" w:color="auto" w:fill="auto"/>
          </w:tcPr>
          <w:p w14:paraId="6521D64C" w14:textId="14143B5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 </w:t>
            </w:r>
            <w:r w:rsidR="00E1439B">
              <w:rPr>
                <w:rFonts w:ascii="Times New Roman" w:eastAsia="Times New Roman" w:hAnsi="Times New Roman" w:cs="Times New Roman"/>
                <w:sz w:val="24"/>
                <w:lang w:val="en-GB"/>
              </w:rPr>
              <w:t xml:space="preserve">e, </w:t>
            </w:r>
            <w:r w:rsidRPr="00943202">
              <w:rPr>
                <w:rFonts w:ascii="Times New Roman" w:eastAsia="Times New Roman" w:hAnsi="Times New Roman" w:cs="Times New Roman"/>
                <w:sz w:val="24"/>
                <w:lang w:val="en-GB"/>
              </w:rPr>
              <w:t>i, m, q</w:t>
            </w:r>
          </w:p>
        </w:tc>
        <w:tc>
          <w:tcPr>
            <w:tcW w:w="7654" w:type="dxa"/>
            <w:shd w:val="clear" w:color="auto" w:fill="auto"/>
          </w:tcPr>
          <w:p w14:paraId="5E270B42" w14:textId="77777777" w:rsidR="008D1BA8" w:rsidRPr="00F431DD" w:rsidRDefault="008D1BA8" w:rsidP="008D1BA8">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1250% /deductions</w:t>
            </w:r>
          </w:p>
          <w:p w14:paraId="1AE7C12A" w14:textId="77777777" w:rsidR="008D1BA8" w:rsidRPr="00943202" w:rsidRDefault="008D1BA8" w:rsidP="008D1BA8">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Columns refer to items:</w:t>
            </w:r>
          </w:p>
          <w:p w14:paraId="7E984B69" w14:textId="644AF201" w:rsidR="00E1439B" w:rsidRDefault="00E1439B" w:rsidP="008D1BA8">
            <w:pPr>
              <w:pStyle w:val="ListParagraph"/>
              <w:numPr>
                <w:ilvl w:val="0"/>
                <w:numId w:val="11"/>
              </w:numPr>
              <w:autoSpaceDE w:val="0"/>
              <w:autoSpaceDN w:val="0"/>
              <w:adjustRightInd w:val="0"/>
              <w:spacing w:before="120" w:after="120"/>
              <w:jc w:val="both"/>
              <w:rPr>
                <w:rFonts w:ascii="Times New Roman" w:eastAsia="Times New Roman" w:hAnsi="Times New Roman"/>
                <w:sz w:val="24"/>
                <w:szCs w:val="24"/>
              </w:rPr>
            </w:pPr>
            <w:r>
              <w:rPr>
                <w:rFonts w:ascii="Times New Roman" w:eastAsia="Times New Roman" w:hAnsi="Times New Roman"/>
                <w:sz w:val="24"/>
                <w:szCs w:val="24"/>
              </w:rPr>
              <w:t>Subject to a 1250% risk weight or deducted in accordance with Part 3 Title II Chapter 5 of CRR</w:t>
            </w:r>
          </w:p>
          <w:p w14:paraId="47EA2819" w14:textId="673530A6" w:rsidR="008D1BA8" w:rsidRPr="00803F2F" w:rsidRDefault="008D1BA8" w:rsidP="008D1BA8">
            <w:pPr>
              <w:pStyle w:val="ListParagraph"/>
              <w:numPr>
                <w:ilvl w:val="0"/>
                <w:numId w:val="11"/>
              </w:numPr>
              <w:autoSpaceDE w:val="0"/>
              <w:autoSpaceDN w:val="0"/>
              <w:adjustRightInd w:val="0"/>
              <w:spacing w:before="120" w:after="120"/>
              <w:jc w:val="both"/>
              <w:rPr>
                <w:rFonts w:ascii="Times New Roman" w:eastAsia="Times New Roman" w:hAnsi="Times New Roman"/>
                <w:sz w:val="24"/>
                <w:szCs w:val="24"/>
              </w:rPr>
            </w:pPr>
            <w:r w:rsidRPr="00FE6CDE">
              <w:rPr>
                <w:rFonts w:ascii="Times New Roman" w:eastAsia="Times New Roman" w:hAnsi="Times New Roman"/>
                <w:sz w:val="24"/>
                <w:szCs w:val="24"/>
              </w:rPr>
              <w:t xml:space="preserve">Subject to a 1250% risk weight </w:t>
            </w:r>
            <w:r w:rsidRPr="00803F2F">
              <w:rPr>
                <w:rFonts w:ascii="Times New Roman" w:eastAsia="Times New Roman" w:hAnsi="Times New Roman"/>
                <w:sz w:val="24"/>
                <w:szCs w:val="24"/>
              </w:rPr>
              <w:t>or deducted in accordance with Articles 244(1)(b) and Article 245(1)(b) of CRR</w:t>
            </w:r>
          </w:p>
          <w:p w14:paraId="7D1117A0" w14:textId="77777777" w:rsidR="008D1BA8" w:rsidRPr="00820E3B" w:rsidRDefault="008D1BA8" w:rsidP="008D1BA8">
            <w:pPr>
              <w:pStyle w:val="ListParagraph"/>
              <w:numPr>
                <w:ilvl w:val="0"/>
                <w:numId w:val="11"/>
              </w:numPr>
              <w:autoSpaceDE w:val="0"/>
              <w:autoSpaceDN w:val="0"/>
              <w:adjustRightInd w:val="0"/>
              <w:spacing w:before="120" w:after="120"/>
              <w:jc w:val="both"/>
              <w:rPr>
                <w:rFonts w:ascii="Times New Roman" w:eastAsia="Times New Roman" w:hAnsi="Times New Roman"/>
                <w:sz w:val="24"/>
                <w:szCs w:val="24"/>
              </w:rPr>
            </w:pPr>
            <w:r w:rsidRPr="00803F2F">
              <w:rPr>
                <w:rFonts w:ascii="Times New Roman" w:eastAsia="Times New Roman" w:hAnsi="Times New Roman"/>
                <w:sz w:val="24"/>
                <w:szCs w:val="24"/>
              </w:rPr>
              <w:t>Subject to a 1250% risk weight in accordance with Article 254(7) of CRR</w:t>
            </w:r>
          </w:p>
          <w:p w14:paraId="13C45F72" w14:textId="77777777" w:rsidR="008D1BA8" w:rsidRPr="00820E3B" w:rsidRDefault="008D1BA8" w:rsidP="008D1BA8">
            <w:pPr>
              <w:pStyle w:val="ListParagraph"/>
              <w:numPr>
                <w:ilvl w:val="0"/>
                <w:numId w:val="11"/>
              </w:numPr>
              <w:autoSpaceDE w:val="0"/>
              <w:autoSpaceDN w:val="0"/>
              <w:adjustRightInd w:val="0"/>
              <w:spacing w:before="120" w:after="120"/>
              <w:jc w:val="both"/>
              <w:rPr>
                <w:rFonts w:ascii="Times New Roman" w:eastAsia="Times New Roman" w:hAnsi="Times New Roman"/>
                <w:sz w:val="24"/>
                <w:szCs w:val="24"/>
              </w:rPr>
            </w:pPr>
            <w:r w:rsidRPr="00820E3B">
              <w:rPr>
                <w:rFonts w:ascii="Times New Roman" w:eastAsia="Times New Roman" w:hAnsi="Times New Roman"/>
                <w:sz w:val="24"/>
                <w:szCs w:val="24"/>
              </w:rPr>
              <w:t xml:space="preserve">or deducted in accordance with Article 253 of CRR </w:t>
            </w:r>
          </w:p>
        </w:tc>
      </w:tr>
    </w:tbl>
    <w:p w14:paraId="3DE9E738" w14:textId="1D3D62AB" w:rsidR="002E4106" w:rsidRDefault="002E4106" w:rsidP="002E4106">
      <w:pPr>
        <w:rPr>
          <w:rFonts w:ascii="Times New Roman" w:hAnsi="Times New Roman" w:cs="Times New Roman"/>
          <w:sz w:val="24"/>
          <w:lang w:val="en-GB"/>
        </w:rPr>
      </w:pPr>
    </w:p>
    <w:p w14:paraId="56FEEC52" w14:textId="77777777" w:rsidR="008D1BA8" w:rsidRPr="001F1F27" w:rsidRDefault="008D1BA8" w:rsidP="002E4106">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BD4386" w:rsidRPr="00943202" w14:paraId="5C619007" w14:textId="77777777" w:rsidTr="0095345C">
        <w:trPr>
          <w:trHeight w:val="9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0C7E6" w14:textId="77777777" w:rsidR="00BD4386" w:rsidRPr="00943202" w:rsidRDefault="00BD4386" w:rsidP="006D77DC">
            <w:pPr>
              <w:rPr>
                <w:rFonts w:ascii="Times New Roman" w:hAnsi="Times New Roman" w:cs="Times New Roman"/>
                <w:b/>
                <w:sz w:val="24"/>
                <w:lang w:val="en-GB"/>
              </w:rPr>
            </w:pPr>
            <w:r w:rsidRPr="00943202">
              <w:rPr>
                <w:rFonts w:ascii="Times New Roman" w:hAnsi="Times New Roman" w:cs="Times New Roman"/>
                <w:b/>
                <w:sz w:val="24"/>
                <w:lang w:val="en-GB"/>
              </w:rPr>
              <w:t>Legal references and instructions</w:t>
            </w:r>
          </w:p>
        </w:tc>
      </w:tr>
      <w:tr w:rsidR="002E4106" w:rsidRPr="00943202" w14:paraId="6953801D" w14:textId="77777777" w:rsidTr="006D77DC">
        <w:trPr>
          <w:trHeight w:val="741"/>
        </w:trPr>
        <w:tc>
          <w:tcPr>
            <w:tcW w:w="1413" w:type="dxa"/>
            <w:shd w:val="clear" w:color="auto" w:fill="D9D9D9" w:themeFill="background1" w:themeFillShade="D9"/>
          </w:tcPr>
          <w:p w14:paraId="25DF55B4" w14:textId="77777777" w:rsidR="002E4106" w:rsidRPr="00943202" w:rsidRDefault="002E4106" w:rsidP="006D77DC">
            <w:pPr>
              <w:autoSpaceDE w:val="0"/>
              <w:autoSpaceDN w:val="0"/>
              <w:adjustRightInd w:val="0"/>
              <w:rPr>
                <w:rFonts w:ascii="Times New Roman" w:hAnsi="Times New Roman" w:cs="Times New Roman"/>
                <w:b/>
                <w:sz w:val="24"/>
                <w:lang w:val="en-GB"/>
              </w:rPr>
            </w:pPr>
            <w:r w:rsidRPr="00943202">
              <w:rPr>
                <w:rFonts w:ascii="Times New Roman" w:hAnsi="Times New Roman" w:cs="Times New Roman"/>
                <w:b/>
                <w:sz w:val="24"/>
                <w:lang w:val="en-GB"/>
              </w:rPr>
              <w:t>Row number</w:t>
            </w:r>
          </w:p>
        </w:tc>
        <w:tc>
          <w:tcPr>
            <w:tcW w:w="7654" w:type="dxa"/>
            <w:shd w:val="clear" w:color="auto" w:fill="D9D9D9" w:themeFill="background1" w:themeFillShade="D9"/>
          </w:tcPr>
          <w:p w14:paraId="03E7A938" w14:textId="77777777" w:rsidR="002E4106" w:rsidRPr="00943202" w:rsidRDefault="002E4106" w:rsidP="006D77DC">
            <w:pPr>
              <w:autoSpaceDE w:val="0"/>
              <w:autoSpaceDN w:val="0"/>
              <w:adjustRightInd w:val="0"/>
              <w:rPr>
                <w:rFonts w:ascii="Times New Roman" w:hAnsi="Times New Roman" w:cs="Times New Roman"/>
                <w:color w:val="000000"/>
                <w:sz w:val="24"/>
                <w:lang w:val="en-GB"/>
              </w:rPr>
            </w:pPr>
            <w:r w:rsidRPr="00943202">
              <w:rPr>
                <w:rFonts w:ascii="Times New Roman" w:hAnsi="Times New Roman" w:cs="Times New Roman"/>
                <w:b/>
                <w:sz w:val="24"/>
                <w:lang w:val="en-GB"/>
              </w:rPr>
              <w:t>Explanation</w:t>
            </w:r>
          </w:p>
        </w:tc>
      </w:tr>
      <w:tr w:rsidR="002E4106" w:rsidRPr="00943202" w14:paraId="0B9AB862" w14:textId="77777777" w:rsidTr="002B0F08">
        <w:trPr>
          <w:trHeight w:val="741"/>
        </w:trPr>
        <w:tc>
          <w:tcPr>
            <w:tcW w:w="1413" w:type="dxa"/>
            <w:shd w:val="clear" w:color="auto" w:fill="auto"/>
          </w:tcPr>
          <w:p w14:paraId="4366D045" w14:textId="332F387E" w:rsidR="002E4106" w:rsidRPr="00943202" w:rsidRDefault="000D7B09"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1</w:t>
            </w:r>
          </w:p>
        </w:tc>
        <w:tc>
          <w:tcPr>
            <w:tcW w:w="7654" w:type="dxa"/>
            <w:shd w:val="clear" w:color="auto" w:fill="auto"/>
          </w:tcPr>
          <w:p w14:paraId="32E813AD" w14:textId="32AB2496" w:rsidR="000D7B09" w:rsidRPr="00F431DD" w:rsidRDefault="000D7B09" w:rsidP="000D7B09">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 xml:space="preserve">Total Exposures </w:t>
            </w:r>
          </w:p>
          <w:p w14:paraId="6886849F" w14:textId="228F3252" w:rsidR="002E4106" w:rsidRPr="00943202" w:rsidRDefault="000D7B09" w:rsidP="008043FA">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Total exposures refer to the total amount of securitisation and re-securitisation</w:t>
            </w:r>
            <w:r w:rsidR="00A50A8C" w:rsidRPr="00943202">
              <w:rPr>
                <w:rFonts w:ascii="Times New Roman" w:eastAsia="Times New Roman" w:hAnsi="Times New Roman" w:cs="Times New Roman"/>
                <w:sz w:val="24"/>
                <w:lang w:val="en-GB"/>
              </w:rPr>
              <w:t xml:space="preserve"> positions held by the institution acting as originator or sponsor</w:t>
            </w:r>
            <w:r w:rsidRPr="00943202">
              <w:rPr>
                <w:rFonts w:ascii="Times New Roman" w:eastAsia="Times New Roman" w:hAnsi="Times New Roman" w:cs="Times New Roman"/>
                <w:sz w:val="24"/>
                <w:lang w:val="en-GB"/>
              </w:rPr>
              <w:t xml:space="preserve">. This row summarises information </w:t>
            </w:r>
            <w:r w:rsidR="008043FA" w:rsidRPr="00943202">
              <w:rPr>
                <w:rFonts w:ascii="Times New Roman" w:eastAsia="Times New Roman" w:hAnsi="Times New Roman" w:cs="Times New Roman"/>
                <w:sz w:val="24"/>
                <w:lang w:val="en-GB"/>
              </w:rPr>
              <w:t xml:space="preserve">on traditional and synthetic securitisation </w:t>
            </w:r>
            <w:r w:rsidRPr="00943202">
              <w:rPr>
                <w:rFonts w:ascii="Times New Roman" w:eastAsia="Times New Roman" w:hAnsi="Times New Roman" w:cs="Times New Roman"/>
                <w:sz w:val="24"/>
                <w:lang w:val="en-GB"/>
              </w:rPr>
              <w:t>disclosed by originators and sponsors in subsequent rows.</w:t>
            </w:r>
          </w:p>
        </w:tc>
      </w:tr>
      <w:tr w:rsidR="000D7B09" w:rsidRPr="00943202" w14:paraId="47474883" w14:textId="77777777" w:rsidTr="002B0F08">
        <w:trPr>
          <w:trHeight w:val="741"/>
        </w:trPr>
        <w:tc>
          <w:tcPr>
            <w:tcW w:w="1413" w:type="dxa"/>
            <w:shd w:val="clear" w:color="auto" w:fill="auto"/>
          </w:tcPr>
          <w:p w14:paraId="79A5844D" w14:textId="14B5B0D8" w:rsidR="000D7B09" w:rsidRPr="00943202" w:rsidRDefault="000D7B09"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2</w:t>
            </w:r>
          </w:p>
        </w:tc>
        <w:tc>
          <w:tcPr>
            <w:tcW w:w="7654" w:type="dxa"/>
            <w:shd w:val="clear" w:color="auto" w:fill="auto"/>
          </w:tcPr>
          <w:p w14:paraId="34CB003E" w14:textId="775802A2" w:rsidR="000D7B09" w:rsidRPr="00F431DD" w:rsidRDefault="000D7B09" w:rsidP="000D7B09">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Traditional transaction</w:t>
            </w:r>
            <w:r w:rsidR="00DE25BF" w:rsidRPr="00F431DD">
              <w:rPr>
                <w:rFonts w:ascii="Times New Roman" w:eastAsia="Times New Roman" w:hAnsi="Times New Roman" w:cs="Times New Roman"/>
                <w:b/>
                <w:sz w:val="24"/>
                <w:lang w:val="en-GB"/>
              </w:rPr>
              <w:t>s</w:t>
            </w:r>
            <w:r w:rsidRPr="00F431DD">
              <w:rPr>
                <w:rFonts w:ascii="Times New Roman" w:eastAsia="Times New Roman" w:hAnsi="Times New Roman" w:cs="Times New Roman"/>
                <w:b/>
                <w:sz w:val="24"/>
                <w:lang w:val="en-GB"/>
              </w:rPr>
              <w:t xml:space="preserve"> </w:t>
            </w:r>
          </w:p>
          <w:p w14:paraId="5DD17375" w14:textId="2BA88E53" w:rsidR="000D7B09" w:rsidRPr="00943202" w:rsidRDefault="000D7B09" w:rsidP="000D7B09">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See explanation for EU-SEC1</w:t>
            </w:r>
            <w:r w:rsidR="003A08D4">
              <w:rPr>
                <w:rFonts w:ascii="Times New Roman" w:eastAsia="Times New Roman" w:hAnsi="Times New Roman" w:cs="Times New Roman"/>
                <w:sz w:val="24"/>
                <w:lang w:val="en-GB"/>
              </w:rPr>
              <w:t>.</w:t>
            </w:r>
          </w:p>
        </w:tc>
      </w:tr>
      <w:tr w:rsidR="002E4106" w:rsidRPr="00943202" w14:paraId="32FFF140" w14:textId="77777777" w:rsidTr="006D77DC">
        <w:trPr>
          <w:trHeight w:val="316"/>
        </w:trPr>
        <w:tc>
          <w:tcPr>
            <w:tcW w:w="1413" w:type="dxa"/>
          </w:tcPr>
          <w:p w14:paraId="49A03B4D" w14:textId="26A29F30" w:rsidR="002E4106" w:rsidRPr="00943202" w:rsidRDefault="000D7B09"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3</w:t>
            </w:r>
            <w:r w:rsidR="00D13AF1">
              <w:rPr>
                <w:rFonts w:ascii="Times New Roman" w:eastAsia="Times New Roman" w:hAnsi="Times New Roman" w:cs="Times New Roman"/>
                <w:sz w:val="24"/>
                <w:lang w:val="en-GB"/>
              </w:rPr>
              <w:t>, 10</w:t>
            </w:r>
          </w:p>
        </w:tc>
        <w:tc>
          <w:tcPr>
            <w:tcW w:w="7654" w:type="dxa"/>
          </w:tcPr>
          <w:p w14:paraId="2F173699" w14:textId="29364499" w:rsidR="000D7B09" w:rsidRPr="00F431DD" w:rsidRDefault="00F431DD" w:rsidP="000D7B09">
            <w:pPr>
              <w:autoSpaceDE w:val="0"/>
              <w:autoSpaceDN w:val="0"/>
              <w:adjustRightInd w:val="0"/>
              <w:spacing w:before="120" w:after="120"/>
              <w:jc w:val="both"/>
              <w:rPr>
                <w:rFonts w:ascii="Times New Roman" w:eastAsia="Times New Roman" w:hAnsi="Times New Roman" w:cs="Times New Roman"/>
                <w:b/>
                <w:sz w:val="24"/>
                <w:lang w:val="en-GB"/>
              </w:rPr>
            </w:pPr>
            <w:r w:rsidRPr="00F431DD">
              <w:rPr>
                <w:rFonts w:ascii="Times New Roman" w:eastAsia="Times New Roman" w:hAnsi="Times New Roman" w:cs="Times New Roman"/>
                <w:b/>
                <w:sz w:val="24"/>
                <w:lang w:val="en-GB"/>
              </w:rPr>
              <w:t>Securitisation</w:t>
            </w:r>
            <w:r w:rsidR="000D7B09" w:rsidRPr="00F431DD">
              <w:rPr>
                <w:rFonts w:ascii="Times New Roman" w:eastAsia="Times New Roman" w:hAnsi="Times New Roman" w:cs="Times New Roman"/>
                <w:b/>
                <w:sz w:val="24"/>
                <w:lang w:val="en-GB"/>
              </w:rPr>
              <w:t xml:space="preserve"> </w:t>
            </w:r>
          </w:p>
          <w:p w14:paraId="230FDF8D" w14:textId="4E2553EC" w:rsidR="002E4106" w:rsidRPr="00943202" w:rsidRDefault="000D7B09" w:rsidP="000D7B09">
            <w:pPr>
              <w:jc w:val="both"/>
              <w:rPr>
                <w:rFonts w:ascii="Times New Roman" w:hAnsi="Times New Roman" w:cs="Times New Roman"/>
                <w:sz w:val="24"/>
                <w:lang w:val="en-GB"/>
              </w:rPr>
            </w:pPr>
            <w:r w:rsidRPr="00943202">
              <w:rPr>
                <w:rFonts w:ascii="Times New Roman" w:eastAsia="Times New Roman" w:hAnsi="Times New Roman" w:cs="Times New Roman"/>
                <w:sz w:val="24"/>
                <w:lang w:val="en-GB"/>
              </w:rPr>
              <w:t>Total amount of outstanding securitisation positions according to definition in Article 4(1)(62) of CRR which are not re-securitisation</w:t>
            </w:r>
            <w:r w:rsidR="00A50A8C" w:rsidRPr="00943202">
              <w:rPr>
                <w:rFonts w:ascii="Times New Roman" w:eastAsia="Times New Roman" w:hAnsi="Times New Roman" w:cs="Times New Roman"/>
                <w:sz w:val="24"/>
                <w:lang w:val="en-GB"/>
              </w:rPr>
              <w:t xml:space="preserve"> positions</w:t>
            </w:r>
            <w:r w:rsidRPr="00943202">
              <w:rPr>
                <w:rFonts w:ascii="Times New Roman" w:eastAsia="Times New Roman" w:hAnsi="Times New Roman" w:cs="Times New Roman"/>
                <w:sz w:val="24"/>
                <w:lang w:val="en-GB"/>
              </w:rPr>
              <w:t xml:space="preserve"> according to definition in Article 4(1)(6</w:t>
            </w:r>
            <w:r w:rsidR="00A50A8C" w:rsidRPr="00943202">
              <w:rPr>
                <w:rFonts w:ascii="Times New Roman" w:eastAsia="Times New Roman" w:hAnsi="Times New Roman" w:cs="Times New Roman"/>
                <w:sz w:val="24"/>
                <w:lang w:val="en-GB"/>
              </w:rPr>
              <w:t>4</w:t>
            </w:r>
            <w:r w:rsidRPr="00943202">
              <w:rPr>
                <w:rFonts w:ascii="Times New Roman" w:eastAsia="Times New Roman" w:hAnsi="Times New Roman" w:cs="Times New Roman"/>
                <w:sz w:val="24"/>
                <w:lang w:val="en-GB"/>
              </w:rPr>
              <w:t>) of CRR.</w:t>
            </w:r>
          </w:p>
        </w:tc>
      </w:tr>
      <w:tr w:rsidR="002E4106" w:rsidRPr="00943202" w14:paraId="46E01F3D" w14:textId="77777777" w:rsidTr="006D77DC">
        <w:trPr>
          <w:trHeight w:val="316"/>
        </w:trPr>
        <w:tc>
          <w:tcPr>
            <w:tcW w:w="1413" w:type="dxa"/>
          </w:tcPr>
          <w:p w14:paraId="1FD6F39A" w14:textId="6C2460C2" w:rsidR="002E4106" w:rsidRPr="00943202" w:rsidRDefault="00EE6BA3"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lastRenderedPageBreak/>
              <w:t>5, 7</w:t>
            </w:r>
          </w:p>
        </w:tc>
        <w:tc>
          <w:tcPr>
            <w:tcW w:w="7654" w:type="dxa"/>
          </w:tcPr>
          <w:p w14:paraId="42D43106" w14:textId="6E2253A7" w:rsidR="00EB007D" w:rsidRPr="00F431DD" w:rsidRDefault="00EE6BA3" w:rsidP="006D77DC">
            <w:pPr>
              <w:autoSpaceDE w:val="0"/>
              <w:autoSpaceDN w:val="0"/>
              <w:adjustRightInd w:val="0"/>
              <w:spacing w:before="120" w:after="120"/>
              <w:jc w:val="both"/>
              <w:rPr>
                <w:rFonts w:ascii="Times New Roman" w:hAnsi="Times New Roman" w:cs="Times New Roman"/>
                <w:b/>
                <w:sz w:val="24"/>
                <w:lang w:val="en-GB"/>
              </w:rPr>
            </w:pPr>
            <w:r w:rsidRPr="00F431DD">
              <w:rPr>
                <w:rFonts w:ascii="Times New Roman" w:hAnsi="Times New Roman" w:cs="Times New Roman"/>
                <w:b/>
                <w:sz w:val="24"/>
                <w:lang w:val="en-GB"/>
              </w:rPr>
              <w:t>STS</w:t>
            </w:r>
            <w:r w:rsidR="00EB007D" w:rsidRPr="00F431DD">
              <w:rPr>
                <w:rFonts w:ascii="Times New Roman" w:hAnsi="Times New Roman" w:cs="Times New Roman"/>
                <w:b/>
                <w:sz w:val="24"/>
                <w:lang w:val="en-GB"/>
              </w:rPr>
              <w:t xml:space="preserve"> </w:t>
            </w:r>
          </w:p>
          <w:p w14:paraId="144C1C23" w14:textId="1F7A234A" w:rsidR="002E4106" w:rsidRPr="00943202" w:rsidRDefault="00EE6BA3" w:rsidP="006D77DC">
            <w:pPr>
              <w:autoSpaceDE w:val="0"/>
              <w:autoSpaceDN w:val="0"/>
              <w:adjustRightInd w:val="0"/>
              <w:spacing w:before="120" w:after="120"/>
              <w:jc w:val="both"/>
              <w:rPr>
                <w:rFonts w:ascii="Times New Roman" w:hAnsi="Times New Roman" w:cs="Times New Roman"/>
                <w:sz w:val="24"/>
                <w:lang w:val="en-GB"/>
              </w:rPr>
            </w:pPr>
            <w:r w:rsidRPr="00943202">
              <w:rPr>
                <w:rFonts w:ascii="Times New Roman" w:hAnsi="Times New Roman" w:cs="Times New Roman"/>
                <w:sz w:val="24"/>
                <w:lang w:val="en-GB"/>
              </w:rPr>
              <w:t>See explanation for EU-SEC1</w:t>
            </w:r>
            <w:r w:rsidR="003A08D4">
              <w:rPr>
                <w:rFonts w:ascii="Times New Roman" w:hAnsi="Times New Roman" w:cs="Times New Roman"/>
                <w:sz w:val="24"/>
                <w:lang w:val="en-GB"/>
              </w:rPr>
              <w:t>.</w:t>
            </w:r>
          </w:p>
        </w:tc>
      </w:tr>
      <w:tr w:rsidR="002E4106" w:rsidRPr="00943202" w14:paraId="2CB37D66" w14:textId="77777777" w:rsidTr="006D77DC">
        <w:trPr>
          <w:trHeight w:val="316"/>
        </w:trPr>
        <w:tc>
          <w:tcPr>
            <w:tcW w:w="1413" w:type="dxa"/>
          </w:tcPr>
          <w:p w14:paraId="1F1B4DAA" w14:textId="5D370E46" w:rsidR="002E4106" w:rsidRPr="00943202" w:rsidRDefault="00EE6BA3"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8, 13</w:t>
            </w:r>
          </w:p>
        </w:tc>
        <w:tc>
          <w:tcPr>
            <w:tcW w:w="7654" w:type="dxa"/>
          </w:tcPr>
          <w:p w14:paraId="19517DE6" w14:textId="35F031D8" w:rsidR="00EB007D" w:rsidRPr="00F431DD" w:rsidRDefault="00EE6BA3" w:rsidP="006D77DC">
            <w:pPr>
              <w:autoSpaceDE w:val="0"/>
              <w:autoSpaceDN w:val="0"/>
              <w:adjustRightInd w:val="0"/>
              <w:spacing w:before="120" w:after="120"/>
              <w:jc w:val="both"/>
              <w:rPr>
                <w:rFonts w:ascii="Times New Roman" w:hAnsi="Times New Roman" w:cs="Times New Roman"/>
                <w:b/>
                <w:sz w:val="24"/>
                <w:lang w:val="en-GB"/>
              </w:rPr>
            </w:pPr>
            <w:r w:rsidRPr="00F431DD">
              <w:rPr>
                <w:rFonts w:ascii="Times New Roman" w:hAnsi="Times New Roman" w:cs="Times New Roman"/>
                <w:b/>
                <w:sz w:val="24"/>
                <w:lang w:val="en-GB"/>
              </w:rPr>
              <w:t>Re-securitisation</w:t>
            </w:r>
          </w:p>
          <w:p w14:paraId="757F38D0" w14:textId="54641B5A" w:rsidR="002E4106" w:rsidRPr="00943202" w:rsidRDefault="00EE6BA3" w:rsidP="006D77DC">
            <w:pPr>
              <w:autoSpaceDE w:val="0"/>
              <w:autoSpaceDN w:val="0"/>
              <w:adjustRightInd w:val="0"/>
              <w:spacing w:before="120" w:after="120"/>
              <w:jc w:val="both"/>
              <w:rPr>
                <w:rFonts w:ascii="Times New Roman" w:hAnsi="Times New Roman" w:cs="Times New Roman"/>
                <w:sz w:val="24"/>
                <w:lang w:val="en-GB"/>
              </w:rPr>
            </w:pPr>
            <w:r w:rsidRPr="00943202">
              <w:rPr>
                <w:rFonts w:ascii="Times New Roman" w:hAnsi="Times New Roman" w:cs="Times New Roman"/>
                <w:sz w:val="24"/>
                <w:lang w:val="en-GB"/>
              </w:rPr>
              <w:t>See explanation for EU-SEC1</w:t>
            </w:r>
            <w:r w:rsidR="003A08D4">
              <w:rPr>
                <w:rFonts w:ascii="Times New Roman" w:hAnsi="Times New Roman" w:cs="Times New Roman"/>
                <w:sz w:val="24"/>
                <w:lang w:val="en-GB"/>
              </w:rPr>
              <w:t>.</w:t>
            </w:r>
          </w:p>
        </w:tc>
      </w:tr>
      <w:tr w:rsidR="002E4106" w:rsidRPr="00943202" w14:paraId="03622121" w14:textId="77777777" w:rsidTr="006D77DC">
        <w:trPr>
          <w:trHeight w:val="316"/>
        </w:trPr>
        <w:tc>
          <w:tcPr>
            <w:tcW w:w="1413" w:type="dxa"/>
          </w:tcPr>
          <w:p w14:paraId="7CDE7304" w14:textId="59342FEE" w:rsidR="002E4106" w:rsidRPr="00943202" w:rsidRDefault="00EE6BA3" w:rsidP="006D77D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9</w:t>
            </w:r>
          </w:p>
        </w:tc>
        <w:tc>
          <w:tcPr>
            <w:tcW w:w="7654" w:type="dxa"/>
          </w:tcPr>
          <w:p w14:paraId="01CF3FCB" w14:textId="6A3B202B" w:rsidR="00EB007D" w:rsidRPr="00F431DD" w:rsidRDefault="00EE6BA3" w:rsidP="006D77DC">
            <w:pPr>
              <w:autoSpaceDE w:val="0"/>
              <w:autoSpaceDN w:val="0"/>
              <w:adjustRightInd w:val="0"/>
              <w:spacing w:before="120" w:after="120"/>
              <w:jc w:val="both"/>
              <w:rPr>
                <w:rFonts w:ascii="Times New Roman" w:hAnsi="Times New Roman" w:cs="Times New Roman"/>
                <w:b/>
                <w:sz w:val="24"/>
                <w:lang w:val="en-GB"/>
              </w:rPr>
            </w:pPr>
            <w:r w:rsidRPr="00F431DD">
              <w:rPr>
                <w:rFonts w:ascii="Times New Roman" w:hAnsi="Times New Roman" w:cs="Times New Roman"/>
                <w:b/>
                <w:sz w:val="24"/>
                <w:lang w:val="en-GB"/>
              </w:rPr>
              <w:t xml:space="preserve">Synthetic </w:t>
            </w:r>
            <w:r w:rsidR="00DE25BF" w:rsidRPr="00F431DD">
              <w:rPr>
                <w:rFonts w:ascii="Times New Roman" w:hAnsi="Times New Roman" w:cs="Times New Roman"/>
                <w:b/>
                <w:sz w:val="24"/>
                <w:lang w:val="en-GB"/>
              </w:rPr>
              <w:t>transactions</w:t>
            </w:r>
          </w:p>
          <w:p w14:paraId="7CEF4CCC" w14:textId="3D613919" w:rsidR="002E4106" w:rsidRPr="00943202" w:rsidRDefault="00EE6BA3" w:rsidP="006D77DC">
            <w:pPr>
              <w:autoSpaceDE w:val="0"/>
              <w:autoSpaceDN w:val="0"/>
              <w:adjustRightInd w:val="0"/>
              <w:spacing w:before="120" w:after="120"/>
              <w:jc w:val="both"/>
              <w:rPr>
                <w:rFonts w:ascii="Times New Roman" w:hAnsi="Times New Roman" w:cs="Times New Roman"/>
                <w:sz w:val="24"/>
                <w:lang w:val="en-GB"/>
              </w:rPr>
            </w:pPr>
            <w:r w:rsidRPr="00943202">
              <w:rPr>
                <w:rFonts w:ascii="Times New Roman" w:hAnsi="Times New Roman" w:cs="Times New Roman"/>
                <w:sz w:val="24"/>
                <w:lang w:val="en-GB"/>
              </w:rPr>
              <w:t>See explanation for EU-SEC1</w:t>
            </w:r>
            <w:r w:rsidR="002E4106" w:rsidRPr="00943202">
              <w:rPr>
                <w:rFonts w:ascii="Times New Roman" w:hAnsi="Times New Roman" w:cs="Times New Roman"/>
                <w:sz w:val="24"/>
                <w:lang w:val="en-GB"/>
              </w:rPr>
              <w:t>.</w:t>
            </w:r>
          </w:p>
        </w:tc>
      </w:tr>
    </w:tbl>
    <w:p w14:paraId="5D01DB3D" w14:textId="77777777" w:rsidR="002E4106" w:rsidRPr="001F1F27" w:rsidRDefault="002E4106" w:rsidP="002E4106">
      <w:pPr>
        <w:rPr>
          <w:rFonts w:ascii="Times New Roman" w:hAnsi="Times New Roman" w:cs="Times New Roman"/>
          <w:sz w:val="24"/>
        </w:rPr>
      </w:pPr>
    </w:p>
    <w:p w14:paraId="5A675D29" w14:textId="77777777" w:rsidR="00411BE8" w:rsidRPr="001F1F27" w:rsidRDefault="00411BE8" w:rsidP="00411BE8">
      <w:pPr>
        <w:rPr>
          <w:rFonts w:ascii="Times New Roman" w:hAnsi="Times New Roman" w:cs="Times New Roman"/>
          <w:noProof/>
          <w:sz w:val="24"/>
        </w:rPr>
      </w:pPr>
    </w:p>
    <w:p w14:paraId="6AFC69F7" w14:textId="00BB686A" w:rsidR="0097768F" w:rsidRPr="001F1F27" w:rsidRDefault="00F431DD" w:rsidP="0097768F">
      <w:pPr>
        <w:rPr>
          <w:rFonts w:ascii="Times New Roman" w:hAnsi="Times New Roman" w:cs="Times New Roman"/>
          <w:noProof/>
          <w:sz w:val="24"/>
        </w:rPr>
      </w:pPr>
      <w:r>
        <w:rPr>
          <w:rFonts w:ascii="Times New Roman" w:hAnsi="Times New Roman" w:cs="Times New Roman"/>
          <w:b/>
          <w:noProof/>
          <w:sz w:val="24"/>
        </w:rPr>
        <w:t>Template EU- SEC4 -</w:t>
      </w:r>
      <w:r w:rsidR="0097768F" w:rsidRPr="001F1F27">
        <w:rPr>
          <w:rFonts w:ascii="Times New Roman" w:hAnsi="Times New Roman" w:cs="Times New Roman"/>
          <w:b/>
          <w:noProof/>
          <w:sz w:val="24"/>
        </w:rPr>
        <w:t xml:space="preserve"> Securitisation exposures in the non-trading book and associated regulatory capital requirements - institution acting as investor</w:t>
      </w:r>
      <w:r w:rsidR="009A1A82" w:rsidRPr="001F1F27">
        <w:rPr>
          <w:rFonts w:ascii="Times New Roman" w:hAnsi="Times New Roman" w:cs="Times New Roman"/>
          <w:b/>
          <w:noProof/>
          <w:sz w:val="24"/>
        </w:rPr>
        <w:t xml:space="preserve">. </w:t>
      </w:r>
      <w:r w:rsidR="009A1A82" w:rsidRPr="001F1F27">
        <w:rPr>
          <w:rFonts w:ascii="Times New Roman" w:hAnsi="Times New Roman" w:cs="Times New Roman"/>
          <w:noProof/>
          <w:sz w:val="24"/>
        </w:rPr>
        <w:t>Fixed format.</w:t>
      </w:r>
    </w:p>
    <w:p w14:paraId="59DC9931" w14:textId="7B53F1E4" w:rsidR="003A08D4" w:rsidRPr="003A08D4" w:rsidRDefault="003A08D4" w:rsidP="003A08D4">
      <w:pPr>
        <w:pStyle w:val="ListParagraph"/>
        <w:numPr>
          <w:ilvl w:val="0"/>
          <w:numId w:val="12"/>
        </w:numPr>
        <w:spacing w:before="120" w:after="120"/>
        <w:ind w:left="432"/>
        <w:jc w:val="both"/>
        <w:rPr>
          <w:rFonts w:ascii="Times New Roman" w:hAnsi="Times New Roman"/>
          <w:bCs/>
          <w:sz w:val="24"/>
        </w:rPr>
      </w:pPr>
      <w:r w:rsidRPr="00A95602">
        <w:rPr>
          <w:rFonts w:ascii="Times New Roman" w:hAnsi="Times New Roman"/>
          <w:bCs/>
          <w:sz w:val="24"/>
        </w:rPr>
        <w:t>Institutions shall apply the instructions provided</w:t>
      </w:r>
      <w:r>
        <w:rPr>
          <w:rFonts w:ascii="Times New Roman" w:hAnsi="Times New Roman"/>
          <w:bCs/>
          <w:sz w:val="24"/>
        </w:rPr>
        <w:t xml:space="preserve"> below</w:t>
      </w:r>
      <w:r w:rsidRPr="00A95602">
        <w:rPr>
          <w:rFonts w:ascii="Times New Roman" w:hAnsi="Times New Roman"/>
          <w:bCs/>
          <w:sz w:val="24"/>
        </w:rPr>
        <w:t xml:space="preserve"> in this Annex in order to complete </w:t>
      </w:r>
      <w:r>
        <w:rPr>
          <w:rFonts w:ascii="Times New Roman" w:hAnsi="Times New Roman"/>
          <w:bCs/>
          <w:sz w:val="24"/>
        </w:rPr>
        <w:t>template EU-SEC4 as presented in Annex 31</w:t>
      </w:r>
      <w:r w:rsidR="00F431DD">
        <w:rPr>
          <w:rFonts w:ascii="Times New Roman" w:hAnsi="Times New Roman"/>
          <w:bCs/>
          <w:sz w:val="24"/>
        </w:rPr>
        <w:t>, in application of Article 449(k)</w:t>
      </w:r>
      <w:r w:rsidR="00E06BE9">
        <w:rPr>
          <w:rFonts w:ascii="Times New Roman" w:hAnsi="Times New Roman"/>
          <w:bCs/>
          <w:sz w:val="24"/>
        </w:rPr>
        <w:t xml:space="preserve">(ii) </w:t>
      </w:r>
      <w:r w:rsidRPr="003A08D4">
        <w:rPr>
          <w:rFonts w:ascii="Times New Roman" w:hAnsi="Times New Roman"/>
          <w:bCs/>
          <w:sz w:val="24"/>
        </w:rPr>
        <w:t>of CRR.</w:t>
      </w:r>
    </w:p>
    <w:p w14:paraId="7561EF0D" w14:textId="4B19C9EB" w:rsidR="0097768F" w:rsidRPr="003A08D4" w:rsidRDefault="00803F2F" w:rsidP="003A08D4">
      <w:pPr>
        <w:pStyle w:val="ListParagraph"/>
        <w:numPr>
          <w:ilvl w:val="0"/>
          <w:numId w:val="12"/>
        </w:numPr>
        <w:spacing w:before="120" w:after="120"/>
        <w:ind w:left="432"/>
        <w:jc w:val="both"/>
        <w:rPr>
          <w:rFonts w:ascii="Times New Roman" w:hAnsi="Times New Roman"/>
          <w:bCs/>
          <w:sz w:val="24"/>
        </w:rPr>
      </w:pPr>
      <w:r w:rsidRPr="003A08D4">
        <w:rPr>
          <w:rFonts w:ascii="Times New Roman" w:hAnsi="Times New Roman"/>
          <w:bCs/>
          <w:sz w:val="24"/>
        </w:rPr>
        <w:t>Refer to</w:t>
      </w:r>
      <w:r w:rsidR="0097768F" w:rsidRPr="003A08D4">
        <w:rPr>
          <w:rFonts w:ascii="Times New Roman" w:hAnsi="Times New Roman"/>
          <w:bCs/>
          <w:sz w:val="24"/>
        </w:rPr>
        <w:t xml:space="preserve"> instructions to EU-SEC3 - Securitisation exposures in the non-trading book and associated regulatory capital requirements - institution acting as originator or as sponsor</w:t>
      </w:r>
      <w:r w:rsidR="00820E3B" w:rsidRPr="003A08D4">
        <w:rPr>
          <w:rFonts w:ascii="Times New Roman" w:hAnsi="Times New Roman"/>
          <w:bCs/>
          <w:sz w:val="24"/>
        </w:rPr>
        <w:t>.</w:t>
      </w:r>
    </w:p>
    <w:bookmarkEnd w:id="0"/>
    <w:bookmarkEnd w:id="1"/>
    <w:bookmarkEnd w:id="2"/>
    <w:bookmarkEnd w:id="3"/>
    <w:bookmarkEnd w:id="4"/>
    <w:bookmarkEnd w:id="5"/>
    <w:bookmarkEnd w:id="6"/>
    <w:bookmarkEnd w:id="7"/>
    <w:bookmarkEnd w:id="8"/>
    <w:bookmarkEnd w:id="9"/>
    <w:p w14:paraId="2BC40C9F" w14:textId="326CC0D1" w:rsidR="00B43E07" w:rsidRPr="001F1F27" w:rsidRDefault="00B43E07" w:rsidP="00E258D8">
      <w:pPr>
        <w:rPr>
          <w:rFonts w:ascii="Times New Roman" w:hAnsi="Times New Roman" w:cs="Times New Roman"/>
          <w:sz w:val="24"/>
          <w:lang w:val="en-GB"/>
        </w:rPr>
      </w:pPr>
    </w:p>
    <w:p w14:paraId="1122DC36" w14:textId="7035EA44" w:rsidR="003A08D4" w:rsidRPr="00E27D2D" w:rsidRDefault="00721825" w:rsidP="003A08D4">
      <w:pPr>
        <w:rPr>
          <w:rFonts w:ascii="Times New Roman" w:hAnsi="Times New Roman" w:cs="Times New Roman"/>
          <w:b/>
          <w:noProof/>
          <w:sz w:val="24"/>
        </w:rPr>
      </w:pPr>
      <w:r>
        <w:rPr>
          <w:rFonts w:ascii="Times New Roman" w:hAnsi="Times New Roman" w:cs="Times New Roman"/>
          <w:b/>
          <w:noProof/>
          <w:sz w:val="24"/>
        </w:rPr>
        <w:t>Template EU- SEC5 -</w:t>
      </w:r>
      <w:r w:rsidR="003A08D4" w:rsidRPr="00E27D2D">
        <w:rPr>
          <w:rFonts w:ascii="Times New Roman" w:hAnsi="Times New Roman" w:cs="Times New Roman"/>
          <w:b/>
          <w:noProof/>
          <w:sz w:val="24"/>
        </w:rPr>
        <w:t xml:space="preserve"> Exposures securitised by the institution - Exposures in default and specific credit risk adjustments. </w:t>
      </w:r>
      <w:r w:rsidR="003A08D4" w:rsidRPr="00E27D2D">
        <w:rPr>
          <w:rFonts w:ascii="Times New Roman" w:hAnsi="Times New Roman" w:cs="Times New Roman"/>
          <w:noProof/>
          <w:sz w:val="24"/>
        </w:rPr>
        <w:t>Fixed format.</w:t>
      </w:r>
    </w:p>
    <w:p w14:paraId="59EC69A6" w14:textId="7513B49A" w:rsidR="003A08D4" w:rsidRPr="003A08D4" w:rsidRDefault="003A08D4" w:rsidP="003A08D4">
      <w:pPr>
        <w:pStyle w:val="ListParagraph"/>
        <w:numPr>
          <w:ilvl w:val="0"/>
          <w:numId w:val="12"/>
        </w:numPr>
        <w:spacing w:before="120" w:after="120"/>
        <w:ind w:left="432"/>
        <w:jc w:val="both"/>
        <w:rPr>
          <w:rFonts w:ascii="Times New Roman" w:hAnsi="Times New Roman"/>
          <w:bCs/>
          <w:sz w:val="24"/>
        </w:rPr>
      </w:pPr>
      <w:r w:rsidRPr="00A95602">
        <w:rPr>
          <w:rFonts w:ascii="Times New Roman" w:hAnsi="Times New Roman"/>
          <w:bCs/>
          <w:sz w:val="24"/>
        </w:rPr>
        <w:t>Institutions shall apply the instructions provided</w:t>
      </w:r>
      <w:r>
        <w:rPr>
          <w:rFonts w:ascii="Times New Roman" w:hAnsi="Times New Roman"/>
          <w:bCs/>
          <w:sz w:val="24"/>
        </w:rPr>
        <w:t xml:space="preserve"> below</w:t>
      </w:r>
      <w:r w:rsidRPr="00A95602">
        <w:rPr>
          <w:rFonts w:ascii="Times New Roman" w:hAnsi="Times New Roman"/>
          <w:bCs/>
          <w:sz w:val="24"/>
        </w:rPr>
        <w:t xml:space="preserve"> in this Annex in order to complete </w:t>
      </w:r>
      <w:r>
        <w:rPr>
          <w:rFonts w:ascii="Times New Roman" w:hAnsi="Times New Roman"/>
          <w:bCs/>
          <w:sz w:val="24"/>
        </w:rPr>
        <w:t>template EU-SEC5 as presented in Annex 31</w:t>
      </w:r>
      <w:r w:rsidR="00721825">
        <w:rPr>
          <w:rFonts w:ascii="Times New Roman" w:hAnsi="Times New Roman"/>
          <w:bCs/>
          <w:sz w:val="24"/>
        </w:rPr>
        <w:t>, in application of Article 449</w:t>
      </w:r>
      <w:r>
        <w:rPr>
          <w:rFonts w:ascii="Times New Roman" w:hAnsi="Times New Roman"/>
          <w:bCs/>
          <w:sz w:val="24"/>
        </w:rPr>
        <w:t xml:space="preserve">(l) </w:t>
      </w:r>
      <w:r w:rsidRPr="003A08D4">
        <w:rPr>
          <w:rFonts w:ascii="Times New Roman" w:hAnsi="Times New Roman"/>
          <w:bCs/>
          <w:sz w:val="24"/>
        </w:rPr>
        <w:t>of CRR, by type of securitisation exposure.</w:t>
      </w:r>
    </w:p>
    <w:p w14:paraId="5F7C0381" w14:textId="77777777" w:rsidR="003A08D4" w:rsidRPr="00E27D2D" w:rsidRDefault="003A08D4" w:rsidP="003A08D4">
      <w:pPr>
        <w:rPr>
          <w:rFonts w:ascii="Times New Roman" w:hAnsi="Times New Roman" w:cs="Times New Roman"/>
          <w:sz w:val="24"/>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54"/>
      </w:tblGrid>
      <w:tr w:rsidR="003A08D4" w:rsidRPr="00943202" w14:paraId="051BAFA9" w14:textId="77777777" w:rsidTr="0095345C">
        <w:trPr>
          <w:trHeight w:val="9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F6613" w14:textId="77777777" w:rsidR="003A08D4" w:rsidRPr="00943202" w:rsidRDefault="003A08D4" w:rsidP="0095345C">
            <w:pPr>
              <w:rPr>
                <w:rFonts w:ascii="Times New Roman" w:hAnsi="Times New Roman" w:cs="Times New Roman"/>
                <w:b/>
                <w:sz w:val="24"/>
                <w:lang w:val="en-GB"/>
              </w:rPr>
            </w:pPr>
            <w:r w:rsidRPr="00943202">
              <w:rPr>
                <w:rFonts w:ascii="Times New Roman" w:hAnsi="Times New Roman" w:cs="Times New Roman"/>
                <w:b/>
                <w:sz w:val="24"/>
                <w:lang w:val="en-GB"/>
              </w:rPr>
              <w:t>Legal references and instructions</w:t>
            </w:r>
          </w:p>
        </w:tc>
      </w:tr>
      <w:tr w:rsidR="003A08D4" w:rsidRPr="00943202" w14:paraId="72EF0114" w14:textId="77777777" w:rsidTr="0095345C">
        <w:trPr>
          <w:trHeight w:val="741"/>
        </w:trPr>
        <w:tc>
          <w:tcPr>
            <w:tcW w:w="1413" w:type="dxa"/>
            <w:shd w:val="clear" w:color="auto" w:fill="D9D9D9" w:themeFill="background1" w:themeFillShade="D9"/>
          </w:tcPr>
          <w:p w14:paraId="122EA82F" w14:textId="77777777" w:rsidR="003A08D4" w:rsidRPr="00943202" w:rsidRDefault="003A08D4" w:rsidP="0095345C">
            <w:pPr>
              <w:autoSpaceDE w:val="0"/>
              <w:autoSpaceDN w:val="0"/>
              <w:adjustRightInd w:val="0"/>
              <w:rPr>
                <w:rFonts w:ascii="Times New Roman" w:hAnsi="Times New Roman" w:cs="Times New Roman"/>
                <w:b/>
                <w:sz w:val="24"/>
                <w:lang w:val="en-GB"/>
              </w:rPr>
            </w:pPr>
            <w:r w:rsidRPr="00943202">
              <w:rPr>
                <w:rFonts w:ascii="Times New Roman" w:hAnsi="Times New Roman" w:cs="Times New Roman"/>
                <w:b/>
                <w:sz w:val="24"/>
                <w:lang w:val="en-GB"/>
              </w:rPr>
              <w:t>Column reference</w:t>
            </w:r>
          </w:p>
        </w:tc>
        <w:tc>
          <w:tcPr>
            <w:tcW w:w="7654" w:type="dxa"/>
            <w:shd w:val="clear" w:color="auto" w:fill="D9D9D9" w:themeFill="background1" w:themeFillShade="D9"/>
          </w:tcPr>
          <w:p w14:paraId="22F6D8FC" w14:textId="77777777" w:rsidR="003A08D4" w:rsidRPr="00943202" w:rsidRDefault="003A08D4" w:rsidP="0095345C">
            <w:pPr>
              <w:autoSpaceDE w:val="0"/>
              <w:autoSpaceDN w:val="0"/>
              <w:adjustRightInd w:val="0"/>
              <w:rPr>
                <w:rFonts w:ascii="Times New Roman" w:hAnsi="Times New Roman" w:cs="Times New Roman"/>
                <w:color w:val="000000"/>
                <w:sz w:val="24"/>
                <w:lang w:val="en-GB"/>
              </w:rPr>
            </w:pPr>
            <w:r w:rsidRPr="00943202">
              <w:rPr>
                <w:rFonts w:ascii="Times New Roman" w:hAnsi="Times New Roman" w:cs="Times New Roman"/>
                <w:b/>
                <w:sz w:val="24"/>
                <w:lang w:val="en-GB"/>
              </w:rPr>
              <w:t>Explanation</w:t>
            </w:r>
          </w:p>
        </w:tc>
      </w:tr>
      <w:tr w:rsidR="003A08D4" w:rsidRPr="00943202" w14:paraId="3702066A" w14:textId="77777777" w:rsidTr="0095345C">
        <w:trPr>
          <w:trHeight w:val="741"/>
        </w:trPr>
        <w:tc>
          <w:tcPr>
            <w:tcW w:w="1413" w:type="dxa"/>
            <w:shd w:val="clear" w:color="auto" w:fill="auto"/>
          </w:tcPr>
          <w:p w14:paraId="56094BAF"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a</w:t>
            </w:r>
          </w:p>
        </w:tc>
        <w:tc>
          <w:tcPr>
            <w:tcW w:w="7654" w:type="dxa"/>
            <w:shd w:val="clear" w:color="auto" w:fill="auto"/>
          </w:tcPr>
          <w:p w14:paraId="3DA9564F" w14:textId="38ADC408" w:rsidR="003A08D4" w:rsidRPr="00721825" w:rsidRDefault="003A08D4" w:rsidP="0095345C">
            <w:pPr>
              <w:autoSpaceDE w:val="0"/>
              <w:autoSpaceDN w:val="0"/>
              <w:adjustRightInd w:val="0"/>
              <w:spacing w:before="120" w:after="120"/>
              <w:jc w:val="both"/>
              <w:rPr>
                <w:rFonts w:ascii="Times New Roman" w:eastAsia="Times New Roman" w:hAnsi="Times New Roman" w:cs="Times New Roman"/>
                <w:b/>
                <w:sz w:val="24"/>
                <w:lang w:val="en-GB"/>
              </w:rPr>
            </w:pPr>
            <w:r w:rsidRPr="00721825">
              <w:rPr>
                <w:rFonts w:ascii="Times New Roman" w:eastAsia="Times New Roman" w:hAnsi="Times New Roman" w:cs="Times New Roman"/>
                <w:b/>
                <w:sz w:val="24"/>
                <w:lang w:val="en-GB"/>
              </w:rPr>
              <w:t>Total outstanding nominal amount</w:t>
            </w:r>
          </w:p>
          <w:p w14:paraId="2460F775"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 xml:space="preserve">Total outstanding </w:t>
            </w:r>
            <w:r>
              <w:rPr>
                <w:rFonts w:ascii="Times New Roman" w:eastAsia="Times New Roman" w:hAnsi="Times New Roman" w:cs="Times New Roman"/>
                <w:sz w:val="24"/>
                <w:lang w:val="en-GB"/>
              </w:rPr>
              <w:t>nominal amount</w:t>
            </w:r>
            <w:r w:rsidRPr="00943202">
              <w:rPr>
                <w:rFonts w:ascii="Times New Roman" w:eastAsia="Times New Roman" w:hAnsi="Times New Roman" w:cs="Times New Roman"/>
                <w:sz w:val="24"/>
                <w:lang w:val="en-GB"/>
              </w:rPr>
              <w:t xml:space="preserve"> of exposures securitised by the institution (institution acts as originator or as sponsor</w:t>
            </w:r>
            <w:r>
              <w:rPr>
                <w:rFonts w:ascii="Times New Roman" w:eastAsia="Times New Roman" w:hAnsi="Times New Roman" w:cs="Times New Roman"/>
                <w:sz w:val="24"/>
                <w:lang w:val="en-GB"/>
              </w:rPr>
              <w:t>)</w:t>
            </w:r>
            <w:r w:rsidRPr="00943202">
              <w:rPr>
                <w:rFonts w:ascii="Times New Roman" w:eastAsia="Times New Roman" w:hAnsi="Times New Roman" w:cs="Times New Roman"/>
                <w:sz w:val="24"/>
                <w:lang w:val="en-GB"/>
              </w:rPr>
              <w:t xml:space="preserve">, broken down by type of securitisation exposure. </w:t>
            </w:r>
          </w:p>
        </w:tc>
      </w:tr>
      <w:tr w:rsidR="003A08D4" w:rsidRPr="00943202" w14:paraId="0D9B3CA2" w14:textId="77777777" w:rsidTr="0095345C">
        <w:trPr>
          <w:trHeight w:val="741"/>
        </w:trPr>
        <w:tc>
          <w:tcPr>
            <w:tcW w:w="1413" w:type="dxa"/>
            <w:shd w:val="clear" w:color="auto" w:fill="auto"/>
          </w:tcPr>
          <w:p w14:paraId="63BCF236"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b</w:t>
            </w:r>
          </w:p>
        </w:tc>
        <w:tc>
          <w:tcPr>
            <w:tcW w:w="7654" w:type="dxa"/>
            <w:shd w:val="clear" w:color="auto" w:fill="auto"/>
          </w:tcPr>
          <w:p w14:paraId="62A4FC6C" w14:textId="7D4647A3" w:rsidR="003A08D4" w:rsidRPr="00721825" w:rsidRDefault="003A08D4" w:rsidP="0095345C">
            <w:pPr>
              <w:autoSpaceDE w:val="0"/>
              <w:autoSpaceDN w:val="0"/>
              <w:adjustRightInd w:val="0"/>
              <w:spacing w:before="120" w:after="120"/>
              <w:jc w:val="both"/>
              <w:rPr>
                <w:rFonts w:ascii="Times New Roman" w:eastAsia="Times New Roman" w:hAnsi="Times New Roman" w:cs="Times New Roman"/>
                <w:b/>
                <w:sz w:val="24"/>
                <w:lang w:val="en-GB"/>
              </w:rPr>
            </w:pPr>
            <w:r w:rsidRPr="00721825">
              <w:rPr>
                <w:rFonts w:ascii="Times New Roman" w:eastAsia="Times New Roman" w:hAnsi="Times New Roman" w:cs="Times New Roman"/>
                <w:b/>
                <w:sz w:val="24"/>
                <w:lang w:val="en-GB"/>
              </w:rPr>
              <w:t>Total outstanding nominal amount - Of which exposures in default</w:t>
            </w:r>
          </w:p>
          <w:p w14:paraId="6E74B045"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3202">
              <w:rPr>
                <w:rStyle w:val="InstructionsTabelleText"/>
                <w:rFonts w:ascii="Times New Roman" w:hAnsi="Times New Roman"/>
                <w:sz w:val="24"/>
              </w:rPr>
              <w:t xml:space="preserve">Total outstanding </w:t>
            </w:r>
            <w:r>
              <w:rPr>
                <w:rStyle w:val="InstructionsTabelleText"/>
                <w:rFonts w:ascii="Times New Roman" w:hAnsi="Times New Roman"/>
                <w:sz w:val="24"/>
              </w:rPr>
              <w:t>nominal amount</w:t>
            </w:r>
            <w:r w:rsidRPr="00943202">
              <w:rPr>
                <w:rStyle w:val="InstructionsTabelleText"/>
                <w:rFonts w:ascii="Times New Roman" w:hAnsi="Times New Roman"/>
                <w:sz w:val="24"/>
              </w:rPr>
              <w:t xml:space="preserve"> </w:t>
            </w:r>
            <w:r w:rsidRPr="00943202">
              <w:rPr>
                <w:rFonts w:ascii="Times New Roman" w:eastAsia="Times New Roman" w:hAnsi="Times New Roman" w:cs="Times New Roman"/>
                <w:sz w:val="24"/>
                <w:lang w:val="en-GB"/>
              </w:rPr>
              <w:t>of exposures securitised by the institution (institution acts as originator or as sponsor</w:t>
            </w:r>
            <w:r>
              <w:rPr>
                <w:rFonts w:ascii="Times New Roman" w:eastAsia="Times New Roman" w:hAnsi="Times New Roman" w:cs="Times New Roman"/>
                <w:sz w:val="24"/>
                <w:lang w:val="en-GB"/>
              </w:rPr>
              <w:t>)</w:t>
            </w:r>
            <w:r w:rsidRPr="00943202">
              <w:rPr>
                <w:rStyle w:val="InstructionsTabelleText"/>
                <w:rFonts w:ascii="Times New Roman" w:hAnsi="Times New Roman"/>
                <w:sz w:val="24"/>
              </w:rPr>
              <w:t xml:space="preserve"> which have been classified as “defaulted exposures” according to CRR Article 178, </w:t>
            </w:r>
            <w:r w:rsidRPr="00943202">
              <w:rPr>
                <w:rFonts w:ascii="Times New Roman" w:eastAsia="Times New Roman" w:hAnsi="Times New Roman" w:cs="Times New Roman"/>
                <w:sz w:val="24"/>
                <w:lang w:val="en-GB"/>
              </w:rPr>
              <w:t xml:space="preserve">broken down by type of securitisation exposure. </w:t>
            </w:r>
          </w:p>
        </w:tc>
      </w:tr>
      <w:tr w:rsidR="003A08D4" w:rsidRPr="00943202" w14:paraId="52416D9D" w14:textId="77777777" w:rsidTr="0095345C">
        <w:trPr>
          <w:trHeight w:val="741"/>
        </w:trPr>
        <w:tc>
          <w:tcPr>
            <w:tcW w:w="1413" w:type="dxa"/>
            <w:shd w:val="clear" w:color="auto" w:fill="auto"/>
          </w:tcPr>
          <w:p w14:paraId="1771C62E" w14:textId="77777777" w:rsidR="003A08D4" w:rsidRPr="00943202" w:rsidRDefault="003A08D4" w:rsidP="0095345C">
            <w:pPr>
              <w:autoSpaceDE w:val="0"/>
              <w:autoSpaceDN w:val="0"/>
              <w:adjustRightInd w:val="0"/>
              <w:spacing w:before="120" w:after="120"/>
              <w:jc w:val="both"/>
              <w:rPr>
                <w:rFonts w:ascii="Times New Roman" w:eastAsia="Times New Roman" w:hAnsi="Times New Roman" w:cs="Times New Roman"/>
                <w:sz w:val="24"/>
                <w:lang w:val="en-GB"/>
              </w:rPr>
            </w:pPr>
            <w:r w:rsidRPr="00943202">
              <w:rPr>
                <w:rFonts w:ascii="Times New Roman" w:eastAsia="Times New Roman" w:hAnsi="Times New Roman" w:cs="Times New Roman"/>
                <w:sz w:val="24"/>
                <w:lang w:val="en-GB"/>
              </w:rPr>
              <w:t>c</w:t>
            </w:r>
          </w:p>
        </w:tc>
        <w:tc>
          <w:tcPr>
            <w:tcW w:w="7654" w:type="dxa"/>
            <w:shd w:val="clear" w:color="auto" w:fill="auto"/>
          </w:tcPr>
          <w:p w14:paraId="7DB4750B" w14:textId="0C37252A" w:rsidR="003A08D4" w:rsidRPr="00721825" w:rsidRDefault="00A1579F" w:rsidP="0095345C">
            <w:pPr>
              <w:rPr>
                <w:rFonts w:ascii="Times New Roman" w:eastAsia="Times New Roman" w:hAnsi="Times New Roman" w:cs="Times New Roman"/>
                <w:b/>
                <w:sz w:val="24"/>
                <w:lang w:val="en-GB"/>
              </w:rPr>
            </w:pPr>
            <w:r w:rsidRPr="00721825">
              <w:rPr>
                <w:rFonts w:ascii="Times New Roman" w:eastAsia="Times New Roman" w:hAnsi="Times New Roman" w:cs="Times New Roman"/>
                <w:b/>
                <w:sz w:val="24"/>
                <w:lang w:val="en-GB"/>
              </w:rPr>
              <w:t>S</w:t>
            </w:r>
            <w:r w:rsidR="003A08D4" w:rsidRPr="00721825">
              <w:rPr>
                <w:rFonts w:ascii="Times New Roman" w:eastAsia="Times New Roman" w:hAnsi="Times New Roman" w:cs="Times New Roman"/>
                <w:b/>
                <w:sz w:val="24"/>
                <w:lang w:val="en-GB"/>
              </w:rPr>
              <w:t>pecific credit risk adjustments made during the period</w:t>
            </w:r>
          </w:p>
          <w:p w14:paraId="0EFB1AD7" w14:textId="10047FCB" w:rsidR="003A08D4" w:rsidRPr="00943202" w:rsidRDefault="003A08D4" w:rsidP="00721825">
            <w:pPr>
              <w:autoSpaceDE w:val="0"/>
              <w:autoSpaceDN w:val="0"/>
              <w:adjustRightInd w:val="0"/>
              <w:spacing w:before="120" w:after="120"/>
              <w:jc w:val="both"/>
              <w:rPr>
                <w:rFonts w:ascii="Times New Roman" w:eastAsia="Times New Roman" w:hAnsi="Times New Roman" w:cs="Times New Roman"/>
                <w:sz w:val="24"/>
                <w:lang w:val="en-GB"/>
              </w:rPr>
            </w:pPr>
            <w:r w:rsidRPr="00FE6CDE">
              <w:rPr>
                <w:rFonts w:ascii="Times New Roman" w:hAnsi="Times New Roman" w:cs="Times New Roman"/>
                <w:sz w:val="24"/>
              </w:rPr>
              <w:lastRenderedPageBreak/>
              <w:t>Amount of the specific credit risk adjustments</w:t>
            </w:r>
            <w:r w:rsidRPr="00803F2F">
              <w:rPr>
                <w:rFonts w:ascii="Times New Roman" w:hAnsi="Times New Roman" w:cs="Times New Roman"/>
                <w:sz w:val="24"/>
              </w:rPr>
              <w:t xml:space="preserve"> made during the period, in accordance with Article 110 of CRR, on the </w:t>
            </w:r>
            <w:r w:rsidRPr="00943202">
              <w:rPr>
                <w:rFonts w:ascii="Times New Roman" w:eastAsia="Times New Roman" w:hAnsi="Times New Roman" w:cs="Times New Roman"/>
                <w:sz w:val="24"/>
                <w:lang w:val="en-GB"/>
              </w:rPr>
              <w:t>exposures securitised by the institution (institution acts as originator or as sponsor</w:t>
            </w:r>
            <w:r>
              <w:rPr>
                <w:rFonts w:ascii="Times New Roman" w:eastAsia="Times New Roman" w:hAnsi="Times New Roman" w:cs="Times New Roman"/>
                <w:sz w:val="24"/>
                <w:lang w:val="en-GB"/>
              </w:rPr>
              <w:t>)</w:t>
            </w:r>
            <w:r w:rsidRPr="00943202">
              <w:rPr>
                <w:rFonts w:ascii="Times New Roman" w:eastAsia="Times New Roman" w:hAnsi="Times New Roman" w:cs="Times New Roman"/>
                <w:sz w:val="24"/>
                <w:lang w:val="en-GB"/>
              </w:rPr>
              <w:t xml:space="preserve">, broken down by type of securitisation exposure. </w:t>
            </w:r>
            <w:r w:rsidRPr="00FE6CDE">
              <w:rPr>
                <w:rFonts w:ascii="Times New Roman" w:hAnsi="Times New Roman" w:cs="Times New Roman"/>
                <w:sz w:val="24"/>
              </w:rPr>
              <w:t xml:space="preserve"> </w:t>
            </w:r>
          </w:p>
        </w:tc>
      </w:tr>
    </w:tbl>
    <w:p w14:paraId="53A17792" w14:textId="77777777" w:rsidR="00FA778E" w:rsidRPr="001F1F27" w:rsidRDefault="00FA778E" w:rsidP="003A08D4">
      <w:pPr>
        <w:rPr>
          <w:rFonts w:ascii="Times New Roman" w:hAnsi="Times New Roman" w:cs="Times New Roman"/>
          <w:sz w:val="24"/>
          <w:lang w:val="en-GB"/>
        </w:rPr>
      </w:pPr>
    </w:p>
    <w:sectPr w:rsidR="00FA778E" w:rsidRPr="001F1F27"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4F15" w14:textId="77777777" w:rsidR="008D1BA8" w:rsidRDefault="008D1BA8" w:rsidP="00A00E34">
      <w:r>
        <w:separator/>
      </w:r>
    </w:p>
    <w:p w14:paraId="4C9AD097" w14:textId="77777777" w:rsidR="008D1BA8" w:rsidRDefault="008D1BA8"/>
  </w:endnote>
  <w:endnote w:type="continuationSeparator" w:id="0">
    <w:p w14:paraId="5B2A6D02" w14:textId="77777777" w:rsidR="008D1BA8" w:rsidRDefault="008D1BA8" w:rsidP="00A00E34">
      <w:r>
        <w:continuationSeparator/>
      </w:r>
    </w:p>
    <w:p w14:paraId="05A4D35A" w14:textId="77777777" w:rsidR="008D1BA8" w:rsidRDefault="008D1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7218" w14:textId="77777777" w:rsidR="008D1BA8" w:rsidRPr="00DB5E8F" w:rsidRDefault="008D1BA8">
      <w:pPr>
        <w:rPr>
          <w:sz w:val="12"/>
          <w:szCs w:val="12"/>
        </w:rPr>
      </w:pPr>
      <w:r w:rsidRPr="00DB5E8F">
        <w:rPr>
          <w:sz w:val="12"/>
          <w:szCs w:val="12"/>
        </w:rPr>
        <w:separator/>
      </w:r>
    </w:p>
  </w:footnote>
  <w:footnote w:type="continuationSeparator" w:id="0">
    <w:p w14:paraId="75B7B66D" w14:textId="77777777" w:rsidR="008D1BA8" w:rsidRDefault="008D1BA8" w:rsidP="00A00E34">
      <w:r>
        <w:continuationSeparator/>
      </w:r>
    </w:p>
    <w:p w14:paraId="23DE6258" w14:textId="77777777" w:rsidR="008D1BA8" w:rsidRDefault="008D1BA8"/>
  </w:footnote>
  <w:footnote w:type="continuationNotice" w:id="1">
    <w:p w14:paraId="43D8714E" w14:textId="77777777" w:rsidR="008D1BA8" w:rsidRDefault="008D1B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4B1B"/>
    <w:multiLevelType w:val="hybridMultilevel"/>
    <w:tmpl w:val="1BC4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B4386"/>
    <w:multiLevelType w:val="hybridMultilevel"/>
    <w:tmpl w:val="0ED8B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379870F1"/>
    <w:multiLevelType w:val="hybridMultilevel"/>
    <w:tmpl w:val="26E0B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38547F"/>
    <w:multiLevelType w:val="hybridMultilevel"/>
    <w:tmpl w:val="437A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6280B"/>
    <w:multiLevelType w:val="hybridMultilevel"/>
    <w:tmpl w:val="F4B21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9D0E24"/>
    <w:multiLevelType w:val="hybridMultilevel"/>
    <w:tmpl w:val="95DEF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913EC"/>
    <w:multiLevelType w:val="hybridMultilevel"/>
    <w:tmpl w:val="8EFA9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C0529"/>
    <w:multiLevelType w:val="hybridMultilevel"/>
    <w:tmpl w:val="67967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8"/>
  </w:num>
  <w:num w:numId="5">
    <w:abstractNumId w:val="16"/>
  </w:num>
  <w:num w:numId="6">
    <w:abstractNumId w:val="1"/>
  </w:num>
  <w:num w:numId="7">
    <w:abstractNumId w:val="15"/>
  </w:num>
  <w:num w:numId="8">
    <w:abstractNumId w:val="11"/>
  </w:num>
  <w:num w:numId="9">
    <w:abstractNumId w:val="0"/>
  </w:num>
  <w:num w:numId="10">
    <w:abstractNumId w:val="5"/>
  </w:num>
  <w:num w:numId="11">
    <w:abstractNumId w:val="2"/>
  </w:num>
  <w:num w:numId="12">
    <w:abstractNumId w:val="10"/>
  </w:num>
  <w:num w:numId="13">
    <w:abstractNumId w:val="14"/>
  </w:num>
  <w:num w:numId="14">
    <w:abstractNumId w:val="12"/>
  </w:num>
  <w:num w:numId="15">
    <w:abstractNumId w:val="4"/>
  </w:num>
  <w:num w:numId="16">
    <w:abstractNumId w:val="7"/>
  </w:num>
  <w:num w:numId="17">
    <w:abstractNumId w:val="17"/>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48334f0-b5dc-4c02-8a48-a01624502e04"/>
    <w:docVar w:name="LW_DocType" w:val="EBA GL-REC 20XX XX (FINAL GLS-REC ON"/>
  </w:docVars>
  <w:rsids>
    <w:rsidRoot w:val="006307A5"/>
    <w:rsid w:val="00000E83"/>
    <w:rsid w:val="00001873"/>
    <w:rsid w:val="0000357D"/>
    <w:rsid w:val="00003E31"/>
    <w:rsid w:val="00003F50"/>
    <w:rsid w:val="00013281"/>
    <w:rsid w:val="00015DE4"/>
    <w:rsid w:val="000231B7"/>
    <w:rsid w:val="00027CA0"/>
    <w:rsid w:val="00030D65"/>
    <w:rsid w:val="00040129"/>
    <w:rsid w:val="00042150"/>
    <w:rsid w:val="00057496"/>
    <w:rsid w:val="00060F40"/>
    <w:rsid w:val="00062830"/>
    <w:rsid w:val="00062937"/>
    <w:rsid w:val="00063AA9"/>
    <w:rsid w:val="00066A9A"/>
    <w:rsid w:val="000774B3"/>
    <w:rsid w:val="0008096D"/>
    <w:rsid w:val="0008189F"/>
    <w:rsid w:val="00083C33"/>
    <w:rsid w:val="000843CD"/>
    <w:rsid w:val="000862C3"/>
    <w:rsid w:val="00095CFB"/>
    <w:rsid w:val="000A04DE"/>
    <w:rsid w:val="000A1C81"/>
    <w:rsid w:val="000A2565"/>
    <w:rsid w:val="000A3851"/>
    <w:rsid w:val="000A3A15"/>
    <w:rsid w:val="000A5B1B"/>
    <w:rsid w:val="000B054F"/>
    <w:rsid w:val="000B1645"/>
    <w:rsid w:val="000B16EC"/>
    <w:rsid w:val="000B4507"/>
    <w:rsid w:val="000B77BE"/>
    <w:rsid w:val="000C3124"/>
    <w:rsid w:val="000C3FF9"/>
    <w:rsid w:val="000C5A8A"/>
    <w:rsid w:val="000C7FD8"/>
    <w:rsid w:val="000D1A6E"/>
    <w:rsid w:val="000D1FC3"/>
    <w:rsid w:val="000D7A44"/>
    <w:rsid w:val="000D7B09"/>
    <w:rsid w:val="000E0C27"/>
    <w:rsid w:val="000E1DD3"/>
    <w:rsid w:val="000E2E5F"/>
    <w:rsid w:val="000E6D15"/>
    <w:rsid w:val="000F0423"/>
    <w:rsid w:val="000F33D3"/>
    <w:rsid w:val="000F3DF2"/>
    <w:rsid w:val="000F3E72"/>
    <w:rsid w:val="000F505C"/>
    <w:rsid w:val="000F607B"/>
    <w:rsid w:val="000F6495"/>
    <w:rsid w:val="000F6FD8"/>
    <w:rsid w:val="001061FA"/>
    <w:rsid w:val="00110BE4"/>
    <w:rsid w:val="0011517F"/>
    <w:rsid w:val="00121BB0"/>
    <w:rsid w:val="00121E46"/>
    <w:rsid w:val="0012686C"/>
    <w:rsid w:val="00130209"/>
    <w:rsid w:val="0013090C"/>
    <w:rsid w:val="00131C5D"/>
    <w:rsid w:val="00135822"/>
    <w:rsid w:val="00142DF6"/>
    <w:rsid w:val="00143776"/>
    <w:rsid w:val="00145D24"/>
    <w:rsid w:val="00147142"/>
    <w:rsid w:val="00147449"/>
    <w:rsid w:val="00152832"/>
    <w:rsid w:val="00154596"/>
    <w:rsid w:val="001561B9"/>
    <w:rsid w:val="001600FC"/>
    <w:rsid w:val="0016737A"/>
    <w:rsid w:val="00172007"/>
    <w:rsid w:val="0017446F"/>
    <w:rsid w:val="001777A5"/>
    <w:rsid w:val="00177CB9"/>
    <w:rsid w:val="0018026D"/>
    <w:rsid w:val="001834D4"/>
    <w:rsid w:val="00187CCB"/>
    <w:rsid w:val="00190643"/>
    <w:rsid w:val="00190A49"/>
    <w:rsid w:val="00192287"/>
    <w:rsid w:val="00192B8E"/>
    <w:rsid w:val="00196896"/>
    <w:rsid w:val="001A016C"/>
    <w:rsid w:val="001A0376"/>
    <w:rsid w:val="001A2A81"/>
    <w:rsid w:val="001A5BD4"/>
    <w:rsid w:val="001A70A8"/>
    <w:rsid w:val="001B2C0D"/>
    <w:rsid w:val="001B3E4D"/>
    <w:rsid w:val="001B452F"/>
    <w:rsid w:val="001B4D3D"/>
    <w:rsid w:val="001B5AFD"/>
    <w:rsid w:val="001B6017"/>
    <w:rsid w:val="001B7A0B"/>
    <w:rsid w:val="001B7EB3"/>
    <w:rsid w:val="001C1FD9"/>
    <w:rsid w:val="001C5137"/>
    <w:rsid w:val="001C5BC2"/>
    <w:rsid w:val="001D0179"/>
    <w:rsid w:val="001E1188"/>
    <w:rsid w:val="001E3599"/>
    <w:rsid w:val="001F1CB9"/>
    <w:rsid w:val="001F1F27"/>
    <w:rsid w:val="001F2ADD"/>
    <w:rsid w:val="001F3255"/>
    <w:rsid w:val="001F6E63"/>
    <w:rsid w:val="001F7501"/>
    <w:rsid w:val="001F76B0"/>
    <w:rsid w:val="00205878"/>
    <w:rsid w:val="00210112"/>
    <w:rsid w:val="0021112F"/>
    <w:rsid w:val="00213D7B"/>
    <w:rsid w:val="00214DEC"/>
    <w:rsid w:val="00215D50"/>
    <w:rsid w:val="00224761"/>
    <w:rsid w:val="00224A3F"/>
    <w:rsid w:val="00224D96"/>
    <w:rsid w:val="00225EA2"/>
    <w:rsid w:val="002306C7"/>
    <w:rsid w:val="00231B5D"/>
    <w:rsid w:val="002414F2"/>
    <w:rsid w:val="00241BD8"/>
    <w:rsid w:val="002434B0"/>
    <w:rsid w:val="00244A82"/>
    <w:rsid w:val="00247E1D"/>
    <w:rsid w:val="0025017D"/>
    <w:rsid w:val="00254CA9"/>
    <w:rsid w:val="00254F9D"/>
    <w:rsid w:val="00255F5B"/>
    <w:rsid w:val="002572A1"/>
    <w:rsid w:val="00263B67"/>
    <w:rsid w:val="00266F94"/>
    <w:rsid w:val="0027418E"/>
    <w:rsid w:val="00275448"/>
    <w:rsid w:val="002767AA"/>
    <w:rsid w:val="00290DA3"/>
    <w:rsid w:val="00291A75"/>
    <w:rsid w:val="002949E7"/>
    <w:rsid w:val="002A0FF0"/>
    <w:rsid w:val="002A112D"/>
    <w:rsid w:val="002A3A19"/>
    <w:rsid w:val="002A7748"/>
    <w:rsid w:val="002B0F08"/>
    <w:rsid w:val="002B74E5"/>
    <w:rsid w:val="002C0DCF"/>
    <w:rsid w:val="002D1867"/>
    <w:rsid w:val="002D1FEE"/>
    <w:rsid w:val="002D2A09"/>
    <w:rsid w:val="002D5A9E"/>
    <w:rsid w:val="002D6AB6"/>
    <w:rsid w:val="002E4106"/>
    <w:rsid w:val="002F2009"/>
    <w:rsid w:val="002F4630"/>
    <w:rsid w:val="002F7BCD"/>
    <w:rsid w:val="00300924"/>
    <w:rsid w:val="003025A8"/>
    <w:rsid w:val="003129B6"/>
    <w:rsid w:val="00314D6E"/>
    <w:rsid w:val="00320E57"/>
    <w:rsid w:val="003221EF"/>
    <w:rsid w:val="00322C23"/>
    <w:rsid w:val="003248A2"/>
    <w:rsid w:val="00337A62"/>
    <w:rsid w:val="00350D0D"/>
    <w:rsid w:val="0035477B"/>
    <w:rsid w:val="003562C9"/>
    <w:rsid w:val="003604AA"/>
    <w:rsid w:val="003616E2"/>
    <w:rsid w:val="003632C6"/>
    <w:rsid w:val="00372BEC"/>
    <w:rsid w:val="0038020E"/>
    <w:rsid w:val="00385B55"/>
    <w:rsid w:val="00391044"/>
    <w:rsid w:val="003913C0"/>
    <w:rsid w:val="00392385"/>
    <w:rsid w:val="003A08D4"/>
    <w:rsid w:val="003A4578"/>
    <w:rsid w:val="003B6A5A"/>
    <w:rsid w:val="003B6B1D"/>
    <w:rsid w:val="003B7EA0"/>
    <w:rsid w:val="003C1860"/>
    <w:rsid w:val="003C35BF"/>
    <w:rsid w:val="003D01F8"/>
    <w:rsid w:val="003D3350"/>
    <w:rsid w:val="003D7A72"/>
    <w:rsid w:val="003E086E"/>
    <w:rsid w:val="003E294A"/>
    <w:rsid w:val="003E318D"/>
    <w:rsid w:val="003E40BA"/>
    <w:rsid w:val="003E5EDA"/>
    <w:rsid w:val="003E6056"/>
    <w:rsid w:val="003E6D6A"/>
    <w:rsid w:val="00411BE8"/>
    <w:rsid w:val="00412567"/>
    <w:rsid w:val="0041462B"/>
    <w:rsid w:val="004172D1"/>
    <w:rsid w:val="00421427"/>
    <w:rsid w:val="00424530"/>
    <w:rsid w:val="0043577F"/>
    <w:rsid w:val="00435949"/>
    <w:rsid w:val="0043675A"/>
    <w:rsid w:val="004373E9"/>
    <w:rsid w:val="00441F85"/>
    <w:rsid w:val="00451372"/>
    <w:rsid w:val="00452468"/>
    <w:rsid w:val="0045301B"/>
    <w:rsid w:val="004541F3"/>
    <w:rsid w:val="0045583A"/>
    <w:rsid w:val="00455E0E"/>
    <w:rsid w:val="00462F45"/>
    <w:rsid w:val="004719B4"/>
    <w:rsid w:val="00471CA1"/>
    <w:rsid w:val="00471CCE"/>
    <w:rsid w:val="0047318B"/>
    <w:rsid w:val="0047368B"/>
    <w:rsid w:val="00474CC2"/>
    <w:rsid w:val="00481AC4"/>
    <w:rsid w:val="00482FB6"/>
    <w:rsid w:val="00491D7C"/>
    <w:rsid w:val="00492B4D"/>
    <w:rsid w:val="004955E7"/>
    <w:rsid w:val="00497791"/>
    <w:rsid w:val="0049781D"/>
    <w:rsid w:val="004A5D8B"/>
    <w:rsid w:val="004A69B7"/>
    <w:rsid w:val="004B0CDB"/>
    <w:rsid w:val="004B24E0"/>
    <w:rsid w:val="004B2FC0"/>
    <w:rsid w:val="004B7623"/>
    <w:rsid w:val="004B7784"/>
    <w:rsid w:val="004C1B19"/>
    <w:rsid w:val="004C320A"/>
    <w:rsid w:val="004C392C"/>
    <w:rsid w:val="004C5115"/>
    <w:rsid w:val="004C6392"/>
    <w:rsid w:val="004D3523"/>
    <w:rsid w:val="004D6B38"/>
    <w:rsid w:val="004D7668"/>
    <w:rsid w:val="004E405B"/>
    <w:rsid w:val="004E526A"/>
    <w:rsid w:val="004E68A9"/>
    <w:rsid w:val="004E6C6B"/>
    <w:rsid w:val="004F0AB6"/>
    <w:rsid w:val="004F1C9B"/>
    <w:rsid w:val="004F29FF"/>
    <w:rsid w:val="004F63DB"/>
    <w:rsid w:val="004F7817"/>
    <w:rsid w:val="0050144F"/>
    <w:rsid w:val="00505C64"/>
    <w:rsid w:val="00507387"/>
    <w:rsid w:val="005105EF"/>
    <w:rsid w:val="00514AB6"/>
    <w:rsid w:val="0051502B"/>
    <w:rsid w:val="0051731C"/>
    <w:rsid w:val="00520FD0"/>
    <w:rsid w:val="00523895"/>
    <w:rsid w:val="0053178E"/>
    <w:rsid w:val="005410AB"/>
    <w:rsid w:val="00543A44"/>
    <w:rsid w:val="00545E67"/>
    <w:rsid w:val="00565691"/>
    <w:rsid w:val="00565B83"/>
    <w:rsid w:val="005673AC"/>
    <w:rsid w:val="00571BB6"/>
    <w:rsid w:val="005755F6"/>
    <w:rsid w:val="00575BA7"/>
    <w:rsid w:val="00582AA7"/>
    <w:rsid w:val="00583BC2"/>
    <w:rsid w:val="0058477C"/>
    <w:rsid w:val="0058568F"/>
    <w:rsid w:val="005862BF"/>
    <w:rsid w:val="0058688B"/>
    <w:rsid w:val="00590E93"/>
    <w:rsid w:val="00593D83"/>
    <w:rsid w:val="0059750A"/>
    <w:rsid w:val="005A2ED8"/>
    <w:rsid w:val="005A4E72"/>
    <w:rsid w:val="005A6911"/>
    <w:rsid w:val="005A7F9A"/>
    <w:rsid w:val="005B5C09"/>
    <w:rsid w:val="005B7D63"/>
    <w:rsid w:val="005C12B3"/>
    <w:rsid w:val="005C2344"/>
    <w:rsid w:val="005C3DFF"/>
    <w:rsid w:val="005C498B"/>
    <w:rsid w:val="005C590A"/>
    <w:rsid w:val="005C73EC"/>
    <w:rsid w:val="005C7FBA"/>
    <w:rsid w:val="005D2406"/>
    <w:rsid w:val="005D3611"/>
    <w:rsid w:val="005D4005"/>
    <w:rsid w:val="005D40D1"/>
    <w:rsid w:val="005D46E5"/>
    <w:rsid w:val="005D7532"/>
    <w:rsid w:val="005E5ADF"/>
    <w:rsid w:val="005E6DD6"/>
    <w:rsid w:val="005F3895"/>
    <w:rsid w:val="005F745B"/>
    <w:rsid w:val="006017FA"/>
    <w:rsid w:val="006059B2"/>
    <w:rsid w:val="00610305"/>
    <w:rsid w:val="00610419"/>
    <w:rsid w:val="00611DDB"/>
    <w:rsid w:val="00612C7B"/>
    <w:rsid w:val="00615CA4"/>
    <w:rsid w:val="00616F8F"/>
    <w:rsid w:val="006209BD"/>
    <w:rsid w:val="006224C1"/>
    <w:rsid w:val="00622726"/>
    <w:rsid w:val="00622D58"/>
    <w:rsid w:val="006269B7"/>
    <w:rsid w:val="00627EA5"/>
    <w:rsid w:val="006307A5"/>
    <w:rsid w:val="00633DC7"/>
    <w:rsid w:val="00636E1D"/>
    <w:rsid w:val="00642DCD"/>
    <w:rsid w:val="0064385D"/>
    <w:rsid w:val="0065105C"/>
    <w:rsid w:val="00654B72"/>
    <w:rsid w:val="00655112"/>
    <w:rsid w:val="00655986"/>
    <w:rsid w:val="00663B0A"/>
    <w:rsid w:val="006641F8"/>
    <w:rsid w:val="0066649B"/>
    <w:rsid w:val="006671A5"/>
    <w:rsid w:val="00670254"/>
    <w:rsid w:val="006712B1"/>
    <w:rsid w:val="006759C3"/>
    <w:rsid w:val="006759CC"/>
    <w:rsid w:val="006766E1"/>
    <w:rsid w:val="00676739"/>
    <w:rsid w:val="0067683F"/>
    <w:rsid w:val="00680AAB"/>
    <w:rsid w:val="00680E3F"/>
    <w:rsid w:val="00690B61"/>
    <w:rsid w:val="0069432F"/>
    <w:rsid w:val="006973AC"/>
    <w:rsid w:val="006A0D6A"/>
    <w:rsid w:val="006A11CC"/>
    <w:rsid w:val="006A47ED"/>
    <w:rsid w:val="006B2411"/>
    <w:rsid w:val="006B4294"/>
    <w:rsid w:val="006B692A"/>
    <w:rsid w:val="006C186D"/>
    <w:rsid w:val="006D5AFF"/>
    <w:rsid w:val="006D6958"/>
    <w:rsid w:val="006D6E9A"/>
    <w:rsid w:val="006D7393"/>
    <w:rsid w:val="006D77DC"/>
    <w:rsid w:val="006E55E1"/>
    <w:rsid w:val="006E67F6"/>
    <w:rsid w:val="006F2E13"/>
    <w:rsid w:val="006F445D"/>
    <w:rsid w:val="006F72C6"/>
    <w:rsid w:val="00703E4E"/>
    <w:rsid w:val="007071C6"/>
    <w:rsid w:val="00707A72"/>
    <w:rsid w:val="00711E1C"/>
    <w:rsid w:val="00712534"/>
    <w:rsid w:val="00712D2C"/>
    <w:rsid w:val="007131B8"/>
    <w:rsid w:val="00721825"/>
    <w:rsid w:val="00721FBA"/>
    <w:rsid w:val="00723B1A"/>
    <w:rsid w:val="00730352"/>
    <w:rsid w:val="00736584"/>
    <w:rsid w:val="0073721D"/>
    <w:rsid w:val="00737968"/>
    <w:rsid w:val="00742839"/>
    <w:rsid w:val="00752710"/>
    <w:rsid w:val="007551B8"/>
    <w:rsid w:val="00755505"/>
    <w:rsid w:val="0076316D"/>
    <w:rsid w:val="00763EBC"/>
    <w:rsid w:val="00764D8B"/>
    <w:rsid w:val="00767DAB"/>
    <w:rsid w:val="00772993"/>
    <w:rsid w:val="007741C1"/>
    <w:rsid w:val="00777FE2"/>
    <w:rsid w:val="0078107C"/>
    <w:rsid w:val="007815FB"/>
    <w:rsid w:val="00781D80"/>
    <w:rsid w:val="007849A5"/>
    <w:rsid w:val="00784B83"/>
    <w:rsid w:val="00785F76"/>
    <w:rsid w:val="0078667F"/>
    <w:rsid w:val="00787550"/>
    <w:rsid w:val="00791DE5"/>
    <w:rsid w:val="007952E9"/>
    <w:rsid w:val="00797067"/>
    <w:rsid w:val="007A0054"/>
    <w:rsid w:val="007A011F"/>
    <w:rsid w:val="007A2A87"/>
    <w:rsid w:val="007A38F2"/>
    <w:rsid w:val="007A3F43"/>
    <w:rsid w:val="007A44A6"/>
    <w:rsid w:val="007A5353"/>
    <w:rsid w:val="007B367E"/>
    <w:rsid w:val="007B3D63"/>
    <w:rsid w:val="007B3D92"/>
    <w:rsid w:val="007B69D6"/>
    <w:rsid w:val="007C16A3"/>
    <w:rsid w:val="007C55D0"/>
    <w:rsid w:val="007D423D"/>
    <w:rsid w:val="007E17FF"/>
    <w:rsid w:val="007E57CE"/>
    <w:rsid w:val="008024A6"/>
    <w:rsid w:val="00803F2F"/>
    <w:rsid w:val="008043FA"/>
    <w:rsid w:val="008123E1"/>
    <w:rsid w:val="00813BAC"/>
    <w:rsid w:val="00813CD4"/>
    <w:rsid w:val="00816161"/>
    <w:rsid w:val="00820E3B"/>
    <w:rsid w:val="00821B9D"/>
    <w:rsid w:val="00823FF9"/>
    <w:rsid w:val="00830265"/>
    <w:rsid w:val="008339CE"/>
    <w:rsid w:val="00835BE0"/>
    <w:rsid w:val="0084468C"/>
    <w:rsid w:val="00844EE2"/>
    <w:rsid w:val="0085041F"/>
    <w:rsid w:val="00850A8A"/>
    <w:rsid w:val="00850AD1"/>
    <w:rsid w:val="00851866"/>
    <w:rsid w:val="00851DC4"/>
    <w:rsid w:val="00852EB4"/>
    <w:rsid w:val="008552A0"/>
    <w:rsid w:val="008570A8"/>
    <w:rsid w:val="00861A4D"/>
    <w:rsid w:val="00862D23"/>
    <w:rsid w:val="00865492"/>
    <w:rsid w:val="00867CB4"/>
    <w:rsid w:val="008708AB"/>
    <w:rsid w:val="0087160D"/>
    <w:rsid w:val="00874ED5"/>
    <w:rsid w:val="008776ED"/>
    <w:rsid w:val="008810BC"/>
    <w:rsid w:val="00890656"/>
    <w:rsid w:val="0089430C"/>
    <w:rsid w:val="00896A2F"/>
    <w:rsid w:val="00897F43"/>
    <w:rsid w:val="008B016C"/>
    <w:rsid w:val="008B0845"/>
    <w:rsid w:val="008C1A94"/>
    <w:rsid w:val="008C32B8"/>
    <w:rsid w:val="008C5B82"/>
    <w:rsid w:val="008C786F"/>
    <w:rsid w:val="008C7AC3"/>
    <w:rsid w:val="008D1BA8"/>
    <w:rsid w:val="008D259E"/>
    <w:rsid w:val="008E54BB"/>
    <w:rsid w:val="008F37A4"/>
    <w:rsid w:val="008F3908"/>
    <w:rsid w:val="008F778C"/>
    <w:rsid w:val="0090038A"/>
    <w:rsid w:val="009014B6"/>
    <w:rsid w:val="009040A4"/>
    <w:rsid w:val="00905F23"/>
    <w:rsid w:val="00912882"/>
    <w:rsid w:val="00912895"/>
    <w:rsid w:val="0092072B"/>
    <w:rsid w:val="009210DE"/>
    <w:rsid w:val="0092311E"/>
    <w:rsid w:val="00943202"/>
    <w:rsid w:val="00943B87"/>
    <w:rsid w:val="00943C57"/>
    <w:rsid w:val="00944480"/>
    <w:rsid w:val="00944C21"/>
    <w:rsid w:val="00950374"/>
    <w:rsid w:val="0095046E"/>
    <w:rsid w:val="009531CB"/>
    <w:rsid w:val="0095345C"/>
    <w:rsid w:val="00954A4A"/>
    <w:rsid w:val="00960B57"/>
    <w:rsid w:val="0096160F"/>
    <w:rsid w:val="00963FE3"/>
    <w:rsid w:val="009644C6"/>
    <w:rsid w:val="00965B80"/>
    <w:rsid w:val="00966DA9"/>
    <w:rsid w:val="009765E0"/>
    <w:rsid w:val="0097768F"/>
    <w:rsid w:val="009836E9"/>
    <w:rsid w:val="00984294"/>
    <w:rsid w:val="00993A06"/>
    <w:rsid w:val="00993B1E"/>
    <w:rsid w:val="009A1A82"/>
    <w:rsid w:val="009B6E3C"/>
    <w:rsid w:val="009B7766"/>
    <w:rsid w:val="009C12C9"/>
    <w:rsid w:val="009C1CE7"/>
    <w:rsid w:val="009D55F7"/>
    <w:rsid w:val="009E38A2"/>
    <w:rsid w:val="009E4107"/>
    <w:rsid w:val="009E50E7"/>
    <w:rsid w:val="009E76BE"/>
    <w:rsid w:val="009E79BF"/>
    <w:rsid w:val="009F12DA"/>
    <w:rsid w:val="009F13EF"/>
    <w:rsid w:val="009F2985"/>
    <w:rsid w:val="009F3FE6"/>
    <w:rsid w:val="009F53AF"/>
    <w:rsid w:val="00A00793"/>
    <w:rsid w:val="00A00E34"/>
    <w:rsid w:val="00A01888"/>
    <w:rsid w:val="00A04069"/>
    <w:rsid w:val="00A062C7"/>
    <w:rsid w:val="00A064FC"/>
    <w:rsid w:val="00A10257"/>
    <w:rsid w:val="00A14332"/>
    <w:rsid w:val="00A1579F"/>
    <w:rsid w:val="00A16E35"/>
    <w:rsid w:val="00A17252"/>
    <w:rsid w:val="00A20C0B"/>
    <w:rsid w:val="00A22696"/>
    <w:rsid w:val="00A23608"/>
    <w:rsid w:val="00A27B9D"/>
    <w:rsid w:val="00A27D88"/>
    <w:rsid w:val="00A304D0"/>
    <w:rsid w:val="00A37FED"/>
    <w:rsid w:val="00A43D59"/>
    <w:rsid w:val="00A4607D"/>
    <w:rsid w:val="00A47E33"/>
    <w:rsid w:val="00A50A8C"/>
    <w:rsid w:val="00A53EC9"/>
    <w:rsid w:val="00A567C2"/>
    <w:rsid w:val="00A62919"/>
    <w:rsid w:val="00A63654"/>
    <w:rsid w:val="00A725D6"/>
    <w:rsid w:val="00A72C7D"/>
    <w:rsid w:val="00A80A51"/>
    <w:rsid w:val="00A81586"/>
    <w:rsid w:val="00A835AB"/>
    <w:rsid w:val="00A86EC6"/>
    <w:rsid w:val="00A92440"/>
    <w:rsid w:val="00A97A78"/>
    <w:rsid w:val="00AA5954"/>
    <w:rsid w:val="00AA722E"/>
    <w:rsid w:val="00AB104D"/>
    <w:rsid w:val="00AB22C8"/>
    <w:rsid w:val="00AB2476"/>
    <w:rsid w:val="00AD0C73"/>
    <w:rsid w:val="00AD72FD"/>
    <w:rsid w:val="00AE1A2D"/>
    <w:rsid w:val="00AE531A"/>
    <w:rsid w:val="00AE5347"/>
    <w:rsid w:val="00AE55F6"/>
    <w:rsid w:val="00AE56DB"/>
    <w:rsid w:val="00AE5F3C"/>
    <w:rsid w:val="00AE6A21"/>
    <w:rsid w:val="00AF184F"/>
    <w:rsid w:val="00AF4A8F"/>
    <w:rsid w:val="00AF7442"/>
    <w:rsid w:val="00B1144E"/>
    <w:rsid w:val="00B11D05"/>
    <w:rsid w:val="00B13C87"/>
    <w:rsid w:val="00B14D00"/>
    <w:rsid w:val="00B16AC9"/>
    <w:rsid w:val="00B1710D"/>
    <w:rsid w:val="00B32510"/>
    <w:rsid w:val="00B3385E"/>
    <w:rsid w:val="00B3595C"/>
    <w:rsid w:val="00B36D5E"/>
    <w:rsid w:val="00B430EF"/>
    <w:rsid w:val="00B43E07"/>
    <w:rsid w:val="00B4463A"/>
    <w:rsid w:val="00B44F75"/>
    <w:rsid w:val="00B526A8"/>
    <w:rsid w:val="00B55FAB"/>
    <w:rsid w:val="00B6734E"/>
    <w:rsid w:val="00B74223"/>
    <w:rsid w:val="00B76198"/>
    <w:rsid w:val="00B8110C"/>
    <w:rsid w:val="00B83D9D"/>
    <w:rsid w:val="00B84529"/>
    <w:rsid w:val="00B942BA"/>
    <w:rsid w:val="00B95198"/>
    <w:rsid w:val="00B95CFF"/>
    <w:rsid w:val="00B96F7F"/>
    <w:rsid w:val="00BA414B"/>
    <w:rsid w:val="00BA45AC"/>
    <w:rsid w:val="00BA5D61"/>
    <w:rsid w:val="00BA6F3F"/>
    <w:rsid w:val="00BA7BA3"/>
    <w:rsid w:val="00BB2111"/>
    <w:rsid w:val="00BB2EE9"/>
    <w:rsid w:val="00BB488F"/>
    <w:rsid w:val="00BC2901"/>
    <w:rsid w:val="00BC542D"/>
    <w:rsid w:val="00BC7FD2"/>
    <w:rsid w:val="00BD18FA"/>
    <w:rsid w:val="00BD4386"/>
    <w:rsid w:val="00BF1F98"/>
    <w:rsid w:val="00BF7AE0"/>
    <w:rsid w:val="00C03AE7"/>
    <w:rsid w:val="00C05D9D"/>
    <w:rsid w:val="00C12FA8"/>
    <w:rsid w:val="00C1503A"/>
    <w:rsid w:val="00C221C6"/>
    <w:rsid w:val="00C261D1"/>
    <w:rsid w:val="00C35514"/>
    <w:rsid w:val="00C35592"/>
    <w:rsid w:val="00C356AF"/>
    <w:rsid w:val="00C401E9"/>
    <w:rsid w:val="00C41927"/>
    <w:rsid w:val="00C439D6"/>
    <w:rsid w:val="00C43FD9"/>
    <w:rsid w:val="00C44EB2"/>
    <w:rsid w:val="00C47E8F"/>
    <w:rsid w:val="00C54CC8"/>
    <w:rsid w:val="00C57BC4"/>
    <w:rsid w:val="00C60915"/>
    <w:rsid w:val="00C6786E"/>
    <w:rsid w:val="00C70DC0"/>
    <w:rsid w:val="00C7383C"/>
    <w:rsid w:val="00C95D98"/>
    <w:rsid w:val="00C964B8"/>
    <w:rsid w:val="00C97BCB"/>
    <w:rsid w:val="00CA3773"/>
    <w:rsid w:val="00CA5219"/>
    <w:rsid w:val="00CA606F"/>
    <w:rsid w:val="00CB4710"/>
    <w:rsid w:val="00CB720E"/>
    <w:rsid w:val="00CB7D4F"/>
    <w:rsid w:val="00CC6F6E"/>
    <w:rsid w:val="00CD4AF7"/>
    <w:rsid w:val="00CD4C1C"/>
    <w:rsid w:val="00CE018C"/>
    <w:rsid w:val="00CE3517"/>
    <w:rsid w:val="00CE4A0E"/>
    <w:rsid w:val="00CE7636"/>
    <w:rsid w:val="00CF6596"/>
    <w:rsid w:val="00D01670"/>
    <w:rsid w:val="00D05C26"/>
    <w:rsid w:val="00D062AC"/>
    <w:rsid w:val="00D120EF"/>
    <w:rsid w:val="00D1323E"/>
    <w:rsid w:val="00D13AF1"/>
    <w:rsid w:val="00D152E7"/>
    <w:rsid w:val="00D15DAF"/>
    <w:rsid w:val="00D170C5"/>
    <w:rsid w:val="00D21F91"/>
    <w:rsid w:val="00D33027"/>
    <w:rsid w:val="00D3796C"/>
    <w:rsid w:val="00D44360"/>
    <w:rsid w:val="00D53948"/>
    <w:rsid w:val="00D549B9"/>
    <w:rsid w:val="00D557EE"/>
    <w:rsid w:val="00D56058"/>
    <w:rsid w:val="00D57F4B"/>
    <w:rsid w:val="00D656AD"/>
    <w:rsid w:val="00D67F30"/>
    <w:rsid w:val="00D74C0C"/>
    <w:rsid w:val="00D74E7B"/>
    <w:rsid w:val="00D75774"/>
    <w:rsid w:val="00D75D40"/>
    <w:rsid w:val="00D76E91"/>
    <w:rsid w:val="00D77CAB"/>
    <w:rsid w:val="00D849AA"/>
    <w:rsid w:val="00D872D1"/>
    <w:rsid w:val="00DA5BEA"/>
    <w:rsid w:val="00DA5D59"/>
    <w:rsid w:val="00DA6122"/>
    <w:rsid w:val="00DB4809"/>
    <w:rsid w:val="00DB5E8F"/>
    <w:rsid w:val="00DC3E99"/>
    <w:rsid w:val="00DC7C3E"/>
    <w:rsid w:val="00DC7C49"/>
    <w:rsid w:val="00DE25BF"/>
    <w:rsid w:val="00DE30E0"/>
    <w:rsid w:val="00DE5C30"/>
    <w:rsid w:val="00DF0EB8"/>
    <w:rsid w:val="00DF35D8"/>
    <w:rsid w:val="00DF4EA4"/>
    <w:rsid w:val="00E06BE9"/>
    <w:rsid w:val="00E073CE"/>
    <w:rsid w:val="00E110C1"/>
    <w:rsid w:val="00E139F2"/>
    <w:rsid w:val="00E1439B"/>
    <w:rsid w:val="00E14AA0"/>
    <w:rsid w:val="00E17ECA"/>
    <w:rsid w:val="00E22BCE"/>
    <w:rsid w:val="00E258D8"/>
    <w:rsid w:val="00E3266A"/>
    <w:rsid w:val="00E326FF"/>
    <w:rsid w:val="00E34B8E"/>
    <w:rsid w:val="00E361B0"/>
    <w:rsid w:val="00E41563"/>
    <w:rsid w:val="00E4521B"/>
    <w:rsid w:val="00E46B8A"/>
    <w:rsid w:val="00E5181A"/>
    <w:rsid w:val="00E52BE2"/>
    <w:rsid w:val="00E574A1"/>
    <w:rsid w:val="00E62DB8"/>
    <w:rsid w:val="00E63010"/>
    <w:rsid w:val="00E677EF"/>
    <w:rsid w:val="00E7159B"/>
    <w:rsid w:val="00E859DF"/>
    <w:rsid w:val="00E86A9F"/>
    <w:rsid w:val="00E87041"/>
    <w:rsid w:val="00E91B90"/>
    <w:rsid w:val="00E95201"/>
    <w:rsid w:val="00E9522F"/>
    <w:rsid w:val="00EA1807"/>
    <w:rsid w:val="00EA4947"/>
    <w:rsid w:val="00EA7874"/>
    <w:rsid w:val="00EB007D"/>
    <w:rsid w:val="00EC0C41"/>
    <w:rsid w:val="00EC11F0"/>
    <w:rsid w:val="00EC1594"/>
    <w:rsid w:val="00EC1C8C"/>
    <w:rsid w:val="00ED22B6"/>
    <w:rsid w:val="00ED2521"/>
    <w:rsid w:val="00ED2FB9"/>
    <w:rsid w:val="00EE0C7D"/>
    <w:rsid w:val="00EE189B"/>
    <w:rsid w:val="00EE456B"/>
    <w:rsid w:val="00EE5476"/>
    <w:rsid w:val="00EE6BA3"/>
    <w:rsid w:val="00EF35BF"/>
    <w:rsid w:val="00EF36F4"/>
    <w:rsid w:val="00EF381C"/>
    <w:rsid w:val="00F004E6"/>
    <w:rsid w:val="00F00C37"/>
    <w:rsid w:val="00F034AC"/>
    <w:rsid w:val="00F079B2"/>
    <w:rsid w:val="00F1200E"/>
    <w:rsid w:val="00F15CBD"/>
    <w:rsid w:val="00F160D2"/>
    <w:rsid w:val="00F175CD"/>
    <w:rsid w:val="00F17641"/>
    <w:rsid w:val="00F264A2"/>
    <w:rsid w:val="00F276BF"/>
    <w:rsid w:val="00F352CC"/>
    <w:rsid w:val="00F4106E"/>
    <w:rsid w:val="00F41AA2"/>
    <w:rsid w:val="00F430E7"/>
    <w:rsid w:val="00F431DD"/>
    <w:rsid w:val="00F4748D"/>
    <w:rsid w:val="00F53841"/>
    <w:rsid w:val="00F539DF"/>
    <w:rsid w:val="00F53B21"/>
    <w:rsid w:val="00F53F10"/>
    <w:rsid w:val="00F563C4"/>
    <w:rsid w:val="00F578B0"/>
    <w:rsid w:val="00F612B3"/>
    <w:rsid w:val="00F653FF"/>
    <w:rsid w:val="00F7064A"/>
    <w:rsid w:val="00F71353"/>
    <w:rsid w:val="00F72DBF"/>
    <w:rsid w:val="00F747AD"/>
    <w:rsid w:val="00F754DE"/>
    <w:rsid w:val="00F773E0"/>
    <w:rsid w:val="00F86F1F"/>
    <w:rsid w:val="00F87F11"/>
    <w:rsid w:val="00F942CA"/>
    <w:rsid w:val="00F9452C"/>
    <w:rsid w:val="00F96C5B"/>
    <w:rsid w:val="00FA11C1"/>
    <w:rsid w:val="00FA1B27"/>
    <w:rsid w:val="00FA1CD4"/>
    <w:rsid w:val="00FA7331"/>
    <w:rsid w:val="00FA778E"/>
    <w:rsid w:val="00FB2EF6"/>
    <w:rsid w:val="00FB60DA"/>
    <w:rsid w:val="00FB7206"/>
    <w:rsid w:val="00FC1D72"/>
    <w:rsid w:val="00FE0C92"/>
    <w:rsid w:val="00FE5577"/>
    <w:rsid w:val="00FE6CDE"/>
    <w:rsid w:val="00FF34CA"/>
    <w:rsid w:val="00FF3C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B7E280E"/>
  <w15:docId w15:val="{C0E66ABF-084C-40C1-A822-03F503DA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30"/>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9F12DA"/>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styleId="Revision">
    <w:name w:val="Revision"/>
    <w:hidden/>
    <w:uiPriority w:val="99"/>
    <w:semiHidden/>
    <w:rsid w:val="00E4521B"/>
    <w:rPr>
      <w:sz w:val="22"/>
    </w:rPr>
  </w:style>
  <w:style w:type="character" w:customStyle="1" w:styleId="InstructionsTabelleText">
    <w:name w:val="Instructions Tabelle Text"/>
    <w:rsid w:val="00B1144E"/>
    <w:rPr>
      <w:rFonts w:ascii="Verdana"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5716">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62306716">
      <w:bodyDiv w:val="1"/>
      <w:marLeft w:val="0"/>
      <w:marRight w:val="0"/>
      <w:marTop w:val="0"/>
      <w:marBottom w:val="0"/>
      <w:divBdr>
        <w:top w:val="none" w:sz="0" w:space="0" w:color="auto"/>
        <w:left w:val="none" w:sz="0" w:space="0" w:color="auto"/>
        <w:bottom w:val="none" w:sz="0" w:space="0" w:color="auto"/>
        <w:right w:val="none" w:sz="0" w:space="0" w:color="auto"/>
      </w:divBdr>
      <w:divsChild>
        <w:div w:id="1103840718">
          <w:marLeft w:val="0"/>
          <w:marRight w:val="0"/>
          <w:marTop w:val="0"/>
          <w:marBottom w:val="0"/>
          <w:divBdr>
            <w:top w:val="none" w:sz="0" w:space="0" w:color="auto"/>
            <w:left w:val="none" w:sz="0" w:space="0" w:color="auto"/>
            <w:bottom w:val="none" w:sz="0" w:space="0" w:color="auto"/>
            <w:right w:val="none" w:sz="0" w:space="0" w:color="auto"/>
          </w:divBdr>
          <w:divsChild>
            <w:div w:id="19884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8114">
      <w:bodyDiv w:val="1"/>
      <w:marLeft w:val="0"/>
      <w:marRight w:val="0"/>
      <w:marTop w:val="0"/>
      <w:marBottom w:val="0"/>
      <w:divBdr>
        <w:top w:val="none" w:sz="0" w:space="0" w:color="auto"/>
        <w:left w:val="none" w:sz="0" w:space="0" w:color="auto"/>
        <w:bottom w:val="none" w:sz="0" w:space="0" w:color="auto"/>
        <w:right w:val="none" w:sz="0" w:space="0" w:color="auto"/>
      </w:divBdr>
    </w:div>
    <w:div w:id="743525173">
      <w:bodyDiv w:val="1"/>
      <w:marLeft w:val="0"/>
      <w:marRight w:val="0"/>
      <w:marTop w:val="0"/>
      <w:marBottom w:val="0"/>
      <w:divBdr>
        <w:top w:val="none" w:sz="0" w:space="0" w:color="auto"/>
        <w:left w:val="none" w:sz="0" w:space="0" w:color="auto"/>
        <w:bottom w:val="none" w:sz="0" w:space="0" w:color="auto"/>
        <w:right w:val="none" w:sz="0" w:space="0" w:color="auto"/>
      </w:divBdr>
    </w:div>
    <w:div w:id="880242845">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759138381">
      <w:bodyDiv w:val="1"/>
      <w:marLeft w:val="0"/>
      <w:marRight w:val="0"/>
      <w:marTop w:val="0"/>
      <w:marBottom w:val="0"/>
      <w:divBdr>
        <w:top w:val="none" w:sz="0" w:space="0" w:color="auto"/>
        <w:left w:val="none" w:sz="0" w:space="0" w:color="auto"/>
        <w:bottom w:val="none" w:sz="0" w:space="0" w:color="auto"/>
        <w:right w:val="none" w:sz="0" w:space="0" w:color="auto"/>
      </w:divBdr>
    </w:div>
    <w:div w:id="2013414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4813-9F93-43B5-A722-D794A57D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7F9ED266</Template>
  <TotalTime>166</TotalTime>
  <Pages>7</Pages>
  <Words>1931</Words>
  <Characters>11008</Characters>
  <Application>Microsoft Office Word</Application>
  <DocSecurity>0</DocSecurity>
  <Lines>91</Lines>
  <Paragraphs>25</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Rubrik</vt:lpstr>
      </vt:variant>
      <vt:variant>
        <vt:i4>1</vt:i4>
      </vt:variant>
    </vt:vector>
  </HeadingPairs>
  <TitlesOfParts>
    <vt:vector size="5" baseType="lpstr">
      <vt:lpstr/>
      <vt:lpstr/>
      <vt:lpstr/>
      <vt:lpstr/>
      <vt:lpstr/>
    </vt:vector>
  </TitlesOfParts>
  <Company>OP</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dc:creator>
  <cp:lastModifiedBy>Balint Branyiczki</cp:lastModifiedBy>
  <cp:revision>18</cp:revision>
  <cp:lastPrinted>2019-03-26T12:22:00Z</cp:lastPrinted>
  <dcterms:created xsi:type="dcterms:W3CDTF">2019-07-10T13:18:00Z</dcterms:created>
  <dcterms:modified xsi:type="dcterms:W3CDTF">2019-07-17T12:58:00Z</dcterms:modified>
</cp:coreProperties>
</file>