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Cs/>
          <w:color w:val="2F5773" w:themeColor="text2"/>
          <w:sz w:val="12"/>
          <w:szCs w:val="22"/>
          <w:lang w:val="en-US"/>
        </w:rPr>
        <w:id w:val="2126582917"/>
        <w:docPartObj>
          <w:docPartGallery w:val="Cover Pages"/>
          <w:docPartUnique/>
        </w:docPartObj>
      </w:sdtPr>
      <w:sdtEndPr>
        <w:rPr>
          <w:sz w:val="32"/>
          <w:szCs w:val="24"/>
        </w:rPr>
      </w:sdtEndPr>
      <w:sdtContent>
        <w:p w:rsidR="00E00BB5" w:rsidRPr="008C64DC" w:rsidRDefault="00E00BB5" w:rsidP="00E00BB5"/>
        <w:p w:rsidR="00E00BB5" w:rsidRPr="008C64DC" w:rsidRDefault="004E160A" w:rsidP="00E00BB5">
          <w:pPr>
            <w:pStyle w:val="Titlelevel1"/>
            <w:rPr>
              <w:lang w:val="en-GB"/>
            </w:rPr>
          </w:pPr>
          <w:r w:rsidRPr="004E160A">
            <w:rPr>
              <w:lang w:val="en-GB"/>
            </w:rPr>
            <w:t xml:space="preserve">Mapping of </w:t>
          </w:r>
          <w:r w:rsidR="00983197">
            <w:t>Axesor</w:t>
          </w:r>
          <w:r w:rsidR="000F17CD">
            <w:t xml:space="preserve"> S</w:t>
          </w:r>
          <w:r w:rsidR="00983197">
            <w:t>A</w:t>
          </w:r>
          <w:r w:rsidRPr="004E160A">
            <w:rPr>
              <w:lang w:val="en-GB"/>
            </w:rPr>
            <w:t xml:space="preserve"> credit assessments under the Standardised Approach</w:t>
          </w:r>
          <w:r w:rsidR="00E00BB5" w:rsidRPr="008C64DC">
            <w:rPr>
              <w:lang w:val="en-GB"/>
            </w:rPr>
            <w:t xml:space="preserve"> </w:t>
          </w:r>
        </w:p>
        <w:p w:rsidR="00D63A88" w:rsidRDefault="00D63A88" w:rsidP="003F60D2">
          <w:pPr>
            <w:pStyle w:val="Numberedtitlelevel2"/>
            <w:ind w:left="357" w:hanging="357"/>
            <w:outlineLvl w:val="0"/>
          </w:pPr>
          <w:r>
            <w:t>Executive summary</w:t>
          </w:r>
        </w:p>
        <w:p w:rsidR="00D63A88" w:rsidRPr="00431329" w:rsidRDefault="00D63A88" w:rsidP="003F60D2">
          <w:pPr>
            <w:pStyle w:val="numberedparagraph"/>
            <w:numPr>
              <w:ilvl w:val="0"/>
              <w:numId w:val="9"/>
            </w:numPr>
            <w:tabs>
              <w:tab w:val="clear" w:pos="2695"/>
              <w:tab w:val="num" w:pos="284"/>
            </w:tabs>
            <w:ind w:left="284"/>
          </w:pPr>
          <w:r w:rsidRPr="00431329">
            <w:t xml:space="preserve">This report describes the mapping exercise carried out by the </w:t>
          </w:r>
          <w:r w:rsidR="00873D40" w:rsidRPr="00431329">
            <w:t xml:space="preserve">Joint Committee </w:t>
          </w:r>
          <w:r w:rsidRPr="00431329">
            <w:t xml:space="preserve">to determine the </w:t>
          </w:r>
          <w:r w:rsidR="00873D40" w:rsidRPr="00431329">
            <w:t>‘</w:t>
          </w:r>
          <w:r w:rsidRPr="00431329">
            <w:t>mapping</w:t>
          </w:r>
          <w:r w:rsidR="00873D40" w:rsidRPr="00431329">
            <w:t>’</w:t>
          </w:r>
          <w:r w:rsidR="00873D40" w:rsidRPr="00431329">
            <w:rPr>
              <w:rStyle w:val="FootnoteReference"/>
            </w:rPr>
            <w:footnoteReference w:id="2"/>
          </w:r>
          <w:r w:rsidRPr="00431329">
            <w:t xml:space="preserve"> of the credit assessments of </w:t>
          </w:r>
          <w:r w:rsidR="00983197" w:rsidRPr="00431329">
            <w:t>Axesor SA</w:t>
          </w:r>
          <w:r w:rsidRPr="00431329">
            <w:t xml:space="preserve"> (</w:t>
          </w:r>
          <w:r w:rsidR="00983197" w:rsidRPr="00431329">
            <w:t>Axesor</w:t>
          </w:r>
          <w:r w:rsidRPr="00431329">
            <w:t>)</w:t>
          </w:r>
          <w:r w:rsidR="00873D40" w:rsidRPr="00431329">
            <w:t>.</w:t>
          </w:r>
        </w:p>
        <w:p w:rsidR="008C4FF1" w:rsidRDefault="0003502D" w:rsidP="0062310C">
          <w:pPr>
            <w:pStyle w:val="numberedparagraph"/>
            <w:numPr>
              <w:ilvl w:val="0"/>
              <w:numId w:val="9"/>
            </w:numPr>
            <w:tabs>
              <w:tab w:val="clear" w:pos="2695"/>
              <w:tab w:val="num" w:pos="284"/>
            </w:tabs>
            <w:ind w:left="284"/>
          </w:pPr>
          <w:r w:rsidRPr="00346D38">
            <w:t xml:space="preserve">The methodology applied to produce the mapping is the one specified in the </w:t>
          </w:r>
          <w:r w:rsidRPr="006C1BE9">
            <w:t xml:space="preserve">Commission’s Implementing Regulation (EU) 2016/1799 (‘the Implementing Regulation’) laying down Implementing Technical Standards (ITS) with regard to the mapping of credit assessments of External Credit Assessment Institutions (ECAIs) for credit risk in accordance with Articles 136(1) and (3) of the Regulation (EU) No 575/2013 of the European Parliament and the Council (‘the CRR’). This Implementing Regulation employs a combination of the provisions </w:t>
          </w:r>
          <w:r>
            <w:t>laid down in Article 136(2) CRR</w:t>
          </w:r>
          <w:r w:rsidRPr="00346D38">
            <w:t>.</w:t>
          </w:r>
        </w:p>
        <w:p w:rsidR="00DA5265" w:rsidRDefault="00DA5265" w:rsidP="008C4FF1">
          <w:pPr>
            <w:pStyle w:val="numberedparagraph"/>
          </w:pPr>
          <w:r w:rsidRPr="00540BB7">
            <w:t>The mapping</w:t>
          </w:r>
          <w:r>
            <w:t xml:space="preserve"> neither constitutes</w:t>
          </w:r>
          <w:r w:rsidRPr="00540BB7">
            <w:t xml:space="preserve"> the one which ESMA shall report on in accordance with Article 21(4b) of Regulation (EC) No </w:t>
          </w:r>
          <w:r w:rsidRPr="00F815E0">
            <w:t>1060</w:t>
          </w:r>
          <w:r w:rsidRPr="00540BB7">
            <w:t>/2009 (Credit Rating Agencies Regulation - CRA) with the objective of allowing investors to easily compare all credit ratings that exist with regard to a specific rated entity</w:t>
          </w:r>
          <w:r w:rsidR="00900F22">
            <w:rPr>
              <w:rStyle w:val="FootnoteReference"/>
            </w:rPr>
            <w:footnoteReference w:id="3"/>
          </w:r>
          <w:r w:rsidRPr="00540BB7">
            <w:t xml:space="preserve"> nor should be understood as a comparison of the rating methodologies of </w:t>
          </w:r>
          <w:r w:rsidR="00743086">
            <w:t>Axesor</w:t>
          </w:r>
          <w:r>
            <w:t xml:space="preserve"> </w:t>
          </w:r>
          <w:r w:rsidRPr="00540BB7">
            <w:t xml:space="preserve">with those of other ECAIs. This mapping should however be interpreted as the correspondence of the rating categories of </w:t>
          </w:r>
          <w:r w:rsidR="00743086">
            <w:t>Axesor</w:t>
          </w:r>
          <w:r w:rsidRPr="00540BB7">
            <w:t xml:space="preserve"> with a regulatory scale which has been defined for prudential purposes. This implies that an appropriate degree of prudence may have been applied wherever not sufficient evidence has been found with regard to the degree of risk underlying the credit assessments.</w:t>
          </w:r>
        </w:p>
        <w:p w:rsidR="00D667BC" w:rsidRDefault="0003502D" w:rsidP="00D667BC">
          <w:pPr>
            <w:pStyle w:val="numberedparagraph"/>
          </w:pPr>
          <w:r>
            <w:t xml:space="preserve">As described in Recital 12 of the Implementing Regulation, it is necessary to avoid causing undue material disadvantage on those ECAIs which, due to their more recent entrance in the market, present limited quantitative information, with the view to balancing prudential with market concerns. Therefore, the relevance of quantitative factors for deriving the mapping should be relaxed. This allows ECAIs which present limited quantitative information to enter the market and increases competition. Updates to the mapping should be made wherever this </w:t>
          </w:r>
          <w:r>
            <w:lastRenderedPageBreak/>
            <w:t>becomes necessary to reflect additional quantitative information collected after the entry into force of the revised draft ITS</w:t>
          </w:r>
          <w:r w:rsidR="00D667BC">
            <w:t xml:space="preserve">. </w:t>
          </w:r>
        </w:p>
        <w:p w:rsidR="00DA6E61" w:rsidRDefault="008C4FF1" w:rsidP="00DA6E61">
          <w:pPr>
            <w:pStyle w:val="numberedparagraph"/>
          </w:pPr>
          <w:r w:rsidRPr="008C4FF1">
            <w:t xml:space="preserve">The resulting mapping tables have been specified in Annex III of the Implementing Technical Standards on the mapping of ECAIs’ credit assessments under Article 136(1) and (3) of Regulation (EU) No 575/2013. </w:t>
          </w:r>
          <w:r w:rsidR="00A93B28">
            <w:fldChar w:fldCharType="begin"/>
          </w:r>
          <w:r w:rsidR="00A93B28">
            <w:instrText xml:space="preserve"> REF _Ref435006086 \h </w:instrText>
          </w:r>
          <w:r w:rsidR="00A93B28">
            <w:fldChar w:fldCharType="separate"/>
          </w:r>
          <w:r w:rsidR="00A93B28" w:rsidRPr="0041788D">
            <w:rPr>
              <w:szCs w:val="22"/>
            </w:rPr>
            <w:t xml:space="preserve">Figure </w:t>
          </w:r>
          <w:r w:rsidR="00A93B28">
            <w:rPr>
              <w:noProof/>
              <w:szCs w:val="22"/>
            </w:rPr>
            <w:t>1</w:t>
          </w:r>
          <w:r w:rsidR="00A93B28">
            <w:fldChar w:fldCharType="end"/>
          </w:r>
          <w:r w:rsidR="00A93B28">
            <w:t xml:space="preserve"> </w:t>
          </w:r>
          <w:r w:rsidR="00D54686">
            <w:t xml:space="preserve">below </w:t>
          </w:r>
          <w:r w:rsidR="001A690D">
            <w:t xml:space="preserve">shows the result for the </w:t>
          </w:r>
          <w:r w:rsidR="009B7D6B">
            <w:t>only</w:t>
          </w:r>
          <w:r w:rsidR="001A690D">
            <w:t xml:space="preserve"> ratings scale of </w:t>
          </w:r>
          <w:r w:rsidR="00983197">
            <w:t>Axesor</w:t>
          </w:r>
          <w:r w:rsidR="008A4E54">
            <w:t xml:space="preserve">, the </w:t>
          </w:r>
          <w:r w:rsidR="00EB6506">
            <w:t xml:space="preserve">Global rating </w:t>
          </w:r>
          <w:r w:rsidR="008A4E54">
            <w:t>scale</w:t>
          </w:r>
          <w:r w:rsidR="00DA6E61" w:rsidRPr="00DA6E61">
            <w:t xml:space="preserve">. </w:t>
          </w:r>
        </w:p>
        <w:p w:rsidR="00CD5D8E" w:rsidRDefault="00CD5D8E" w:rsidP="0003502D">
          <w:pPr>
            <w:pStyle w:val="Figuretitle"/>
          </w:pPr>
          <w:bookmarkStart w:id="0" w:name="_Ref384799510"/>
          <w:bookmarkStart w:id="1" w:name="_Ref384919272"/>
        </w:p>
        <w:p w:rsidR="0041788D" w:rsidRPr="00DF731A" w:rsidRDefault="0041788D" w:rsidP="0003502D">
          <w:pPr>
            <w:pStyle w:val="Figuretitle"/>
          </w:pPr>
          <w:bookmarkStart w:id="2" w:name="_Ref435006086"/>
          <w:r w:rsidRPr="0041788D">
            <w:t xml:space="preserve">Figure </w:t>
          </w:r>
          <w:r w:rsidRPr="00245D75">
            <w:fldChar w:fldCharType="begin"/>
          </w:r>
          <w:r w:rsidRPr="0041788D">
            <w:instrText xml:space="preserve"> SEQ Figure \* ARABIC </w:instrText>
          </w:r>
          <w:r w:rsidRPr="00245D75">
            <w:fldChar w:fldCharType="separate"/>
          </w:r>
          <w:r w:rsidR="00A93B28">
            <w:t>1</w:t>
          </w:r>
          <w:r w:rsidRPr="00245D75">
            <w:fldChar w:fldCharType="end"/>
          </w:r>
          <w:bookmarkEnd w:id="0"/>
          <w:bookmarkEnd w:id="1"/>
          <w:bookmarkEnd w:id="2"/>
          <w:r w:rsidRPr="0041788D">
            <w:t xml:space="preserve">: Mapping of </w:t>
          </w:r>
          <w:r w:rsidR="00743086">
            <w:t>Axesor</w:t>
          </w:r>
          <w:r w:rsidRPr="0041788D">
            <w:t xml:space="preserve">’s </w:t>
          </w:r>
          <w:r w:rsidR="00DD73F2" w:rsidRPr="00DD73F2">
            <w:t>Global rating scale</w:t>
          </w:r>
        </w:p>
        <w:tbl>
          <w:tblPr>
            <w:tblStyle w:val="TableGrid"/>
            <w:tblpPr w:leftFromText="181" w:rightFromText="181" w:vertAnchor="text" w:horzAnchor="margin" w:tblpY="1"/>
            <w:tblW w:w="4131" w:type="dxa"/>
            <w:tblLayout w:type="fixed"/>
            <w:tblLook w:val="04A0" w:firstRow="1" w:lastRow="0" w:firstColumn="1" w:lastColumn="0" w:noHBand="0" w:noVBand="1"/>
          </w:tblPr>
          <w:tblGrid>
            <w:gridCol w:w="1296"/>
            <w:gridCol w:w="2835"/>
          </w:tblGrid>
          <w:tr w:rsidR="0003502D" w:rsidRPr="00157D76" w:rsidTr="0062310C">
            <w:trPr>
              <w:cnfStyle w:val="100000000000" w:firstRow="1" w:lastRow="0" w:firstColumn="0" w:lastColumn="0" w:oddVBand="0" w:evenVBand="0" w:oddHBand="0" w:evenHBand="0" w:firstRowFirstColumn="0" w:firstRowLastColumn="0" w:lastRowFirstColumn="0" w:lastRowLastColumn="0"/>
              <w:trHeight w:val="567"/>
            </w:trPr>
            <w:tc>
              <w:tcPr>
                <w:tcW w:w="1296" w:type="dxa"/>
                <w:tcBorders>
                  <w:bottom w:val="single" w:sz="18" w:space="0" w:color="E98E31" w:themeColor="background2"/>
                </w:tcBorders>
              </w:tcPr>
              <w:p w:rsidR="0003502D" w:rsidRPr="00157D76" w:rsidRDefault="0003502D" w:rsidP="004136AF">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2835" w:type="dxa"/>
                <w:tcBorders>
                  <w:bottom w:val="single" w:sz="18" w:space="0" w:color="E98E31" w:themeColor="background2"/>
                </w:tcBorders>
              </w:tcPr>
              <w:p w:rsidR="0003502D" w:rsidRPr="00157D76" w:rsidRDefault="0003502D" w:rsidP="0003502D">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quality step</w:t>
                </w:r>
              </w:p>
            </w:tc>
          </w:tr>
          <w:tr w:rsidR="0003502D" w:rsidRPr="00157D76" w:rsidTr="0062310C">
            <w:trPr>
              <w:trHeight w:val="567"/>
            </w:trPr>
            <w:tc>
              <w:tcPr>
                <w:tcW w:w="1296" w:type="dxa"/>
                <w:tcBorders>
                  <w:top w:val="single" w:sz="18" w:space="0" w:color="E98E31" w:themeColor="background2"/>
                  <w:bottom w:val="dashed" w:sz="4" w:space="0" w:color="auto"/>
                </w:tcBorders>
              </w:tcPr>
              <w:p w:rsidR="0003502D" w:rsidRPr="00157D76" w:rsidRDefault="0003502D" w:rsidP="006B01D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2835" w:type="dxa"/>
                <w:tcBorders>
                  <w:top w:val="single" w:sz="18" w:space="0" w:color="E98E31" w:themeColor="background2"/>
                  <w:bottom w:val="single" w:sz="4" w:space="0" w:color="auto"/>
                </w:tcBorders>
              </w:tcPr>
              <w:p w:rsidR="0003502D" w:rsidRPr="00157D76" w:rsidRDefault="0003502D" w:rsidP="006B01D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03502D" w:rsidRPr="00157D76" w:rsidTr="0062310C">
            <w:trPr>
              <w:trHeight w:val="567"/>
            </w:trPr>
            <w:tc>
              <w:tcPr>
                <w:tcW w:w="1296" w:type="dxa"/>
                <w:tcBorders>
                  <w:bottom w:val="dashed" w:sz="4" w:space="0" w:color="auto"/>
                </w:tcBorders>
              </w:tcPr>
              <w:p w:rsidR="0003502D" w:rsidRPr="00157D76" w:rsidRDefault="0003502D" w:rsidP="006B01D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2835" w:type="dxa"/>
                <w:tcBorders>
                  <w:top w:val="single" w:sz="4" w:space="0" w:color="auto"/>
                  <w:bottom w:val="single" w:sz="4" w:space="0" w:color="auto"/>
                </w:tcBorders>
              </w:tcPr>
              <w:p w:rsidR="0003502D" w:rsidRPr="00157D76" w:rsidRDefault="0003502D" w:rsidP="006B01D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03502D" w:rsidRPr="00157D76" w:rsidTr="0062310C">
            <w:trPr>
              <w:trHeight w:val="567"/>
            </w:trPr>
            <w:tc>
              <w:tcPr>
                <w:tcW w:w="1296" w:type="dxa"/>
                <w:tcBorders>
                  <w:bottom w:val="dashed" w:sz="4" w:space="0" w:color="auto"/>
                </w:tcBorders>
              </w:tcPr>
              <w:p w:rsidR="0003502D" w:rsidRPr="00157D76" w:rsidRDefault="0003502D" w:rsidP="006B01D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2835" w:type="dxa"/>
                <w:tcBorders>
                  <w:top w:val="single" w:sz="4" w:space="0" w:color="auto"/>
                  <w:bottom w:val="single" w:sz="4" w:space="0" w:color="auto"/>
                </w:tcBorders>
              </w:tcPr>
              <w:p w:rsidR="0003502D" w:rsidRPr="00157D76" w:rsidRDefault="0003502D" w:rsidP="006B01D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2</w:t>
                </w:r>
              </w:p>
            </w:tc>
          </w:tr>
          <w:tr w:rsidR="0003502D" w:rsidRPr="00157D76" w:rsidTr="0062310C">
            <w:trPr>
              <w:trHeight w:val="567"/>
            </w:trPr>
            <w:tc>
              <w:tcPr>
                <w:tcW w:w="1296" w:type="dxa"/>
              </w:tcPr>
              <w:p w:rsidR="0003502D" w:rsidRPr="00157D76" w:rsidRDefault="0003502D" w:rsidP="006B01D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2835" w:type="dxa"/>
                <w:tcBorders>
                  <w:top w:val="single" w:sz="4" w:space="0" w:color="auto"/>
                </w:tcBorders>
              </w:tcPr>
              <w:p w:rsidR="0003502D" w:rsidRPr="00157D76" w:rsidRDefault="0003502D" w:rsidP="006B01D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w:t>
                </w:r>
              </w:p>
            </w:tc>
          </w:tr>
          <w:tr w:rsidR="0003502D" w:rsidRPr="00157D76" w:rsidTr="0062310C">
            <w:trPr>
              <w:trHeight w:val="567"/>
            </w:trPr>
            <w:tc>
              <w:tcPr>
                <w:tcW w:w="1296" w:type="dxa"/>
              </w:tcPr>
              <w:p w:rsidR="0003502D" w:rsidRPr="00157D76" w:rsidRDefault="0003502D" w:rsidP="006B01D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2835" w:type="dxa"/>
                <w:tcBorders>
                  <w:top w:val="single" w:sz="4" w:space="0" w:color="auto"/>
                </w:tcBorders>
              </w:tcPr>
              <w:p w:rsidR="0003502D" w:rsidRPr="00157D76" w:rsidRDefault="0003502D" w:rsidP="006B01D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r>
          <w:tr w:rsidR="0003502D" w:rsidRPr="00157D76" w:rsidTr="0062310C">
            <w:trPr>
              <w:trHeight w:val="567"/>
            </w:trPr>
            <w:tc>
              <w:tcPr>
                <w:tcW w:w="1296" w:type="dxa"/>
              </w:tcPr>
              <w:p w:rsidR="0003502D" w:rsidRPr="00157D76" w:rsidRDefault="0003502D" w:rsidP="006B01D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2835" w:type="dxa"/>
                <w:tcBorders>
                  <w:top w:val="single" w:sz="4" w:space="0" w:color="auto"/>
                </w:tcBorders>
              </w:tcPr>
              <w:p w:rsidR="0003502D" w:rsidRPr="00157D76" w:rsidRDefault="0003502D" w:rsidP="006B01D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5</w:t>
                </w:r>
              </w:p>
            </w:tc>
          </w:tr>
          <w:tr w:rsidR="0003502D" w:rsidRPr="00157D76" w:rsidTr="0062310C">
            <w:trPr>
              <w:trHeight w:val="567"/>
            </w:trPr>
            <w:tc>
              <w:tcPr>
                <w:tcW w:w="1296" w:type="dxa"/>
              </w:tcPr>
              <w:p w:rsidR="0003502D" w:rsidRPr="00157D76" w:rsidRDefault="0003502D" w:rsidP="006B01D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CCC</w:t>
                </w:r>
              </w:p>
            </w:tc>
            <w:tc>
              <w:tcPr>
                <w:tcW w:w="2835" w:type="dxa"/>
                <w:tcBorders>
                  <w:top w:val="single" w:sz="4" w:space="0" w:color="auto"/>
                </w:tcBorders>
              </w:tcPr>
              <w:p w:rsidR="0003502D" w:rsidRPr="00157D76" w:rsidRDefault="0003502D" w:rsidP="006B01D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03502D" w:rsidRPr="00157D76" w:rsidTr="0062310C">
            <w:trPr>
              <w:trHeight w:val="567"/>
            </w:trPr>
            <w:tc>
              <w:tcPr>
                <w:tcW w:w="1296" w:type="dxa"/>
              </w:tcPr>
              <w:p w:rsidR="0003502D" w:rsidRPr="00157D76" w:rsidRDefault="0003502D" w:rsidP="006B01D3">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CC</w:t>
                </w:r>
              </w:p>
            </w:tc>
            <w:tc>
              <w:tcPr>
                <w:tcW w:w="2835" w:type="dxa"/>
                <w:tcBorders>
                  <w:top w:val="single" w:sz="4" w:space="0" w:color="auto"/>
                </w:tcBorders>
              </w:tcPr>
              <w:p w:rsidR="0003502D" w:rsidRPr="00157D76" w:rsidRDefault="0003502D" w:rsidP="006B01D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r w:rsidR="0003502D" w:rsidRPr="00157D76" w:rsidTr="0062310C">
            <w:trPr>
              <w:trHeight w:val="567"/>
            </w:trPr>
            <w:tc>
              <w:tcPr>
                <w:tcW w:w="1296" w:type="dxa"/>
              </w:tcPr>
              <w:p w:rsidR="0003502D" w:rsidRPr="00157D76" w:rsidRDefault="0003502D" w:rsidP="006B01D3">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w:t>
                </w:r>
              </w:p>
            </w:tc>
            <w:tc>
              <w:tcPr>
                <w:tcW w:w="2835" w:type="dxa"/>
                <w:tcBorders>
                  <w:top w:val="single" w:sz="4" w:space="0" w:color="auto"/>
                  <w:bottom w:val="single" w:sz="4" w:space="0" w:color="auto"/>
                </w:tcBorders>
              </w:tcPr>
              <w:p w:rsidR="0003502D" w:rsidRPr="00157D76" w:rsidRDefault="0003502D" w:rsidP="006B01D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r w:rsidR="0003502D" w:rsidRPr="00157D76" w:rsidTr="0062310C">
            <w:trPr>
              <w:trHeight w:val="567"/>
            </w:trPr>
            <w:tc>
              <w:tcPr>
                <w:tcW w:w="1296" w:type="dxa"/>
              </w:tcPr>
              <w:p w:rsidR="0003502D" w:rsidRDefault="0003502D" w:rsidP="006B01D3">
                <w:pPr>
                  <w:pStyle w:val="BodyText1"/>
                  <w:spacing w:before="120" w:after="120"/>
                  <w:jc w:val="center"/>
                  <w:rPr>
                    <w:rFonts w:asciiTheme="majorHAnsi" w:hAnsiTheme="majorHAnsi" w:cs="Arial"/>
                    <w:b/>
                    <w:sz w:val="22"/>
                    <w:szCs w:val="22"/>
                  </w:rPr>
                </w:pPr>
                <w:r>
                  <w:rPr>
                    <w:rFonts w:asciiTheme="majorHAnsi" w:hAnsiTheme="majorHAnsi" w:cs="Arial"/>
                    <w:b/>
                    <w:sz w:val="22"/>
                    <w:szCs w:val="22"/>
                  </w:rPr>
                  <w:t>D</w:t>
                </w:r>
              </w:p>
            </w:tc>
            <w:tc>
              <w:tcPr>
                <w:tcW w:w="2835" w:type="dxa"/>
                <w:tcBorders>
                  <w:top w:val="single" w:sz="4" w:space="0" w:color="auto"/>
                  <w:bottom w:val="single" w:sz="4" w:space="0" w:color="auto"/>
                </w:tcBorders>
              </w:tcPr>
              <w:p w:rsidR="0003502D" w:rsidRPr="00157D76" w:rsidRDefault="0003502D" w:rsidP="006B01D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03502D" w:rsidRPr="00157D76" w:rsidTr="0062310C">
            <w:trPr>
              <w:trHeight w:val="567"/>
            </w:trPr>
            <w:tc>
              <w:tcPr>
                <w:tcW w:w="1296" w:type="dxa"/>
              </w:tcPr>
              <w:p w:rsidR="0003502D" w:rsidRDefault="0003502D" w:rsidP="006B01D3">
                <w:pPr>
                  <w:pStyle w:val="BodyText1"/>
                  <w:spacing w:before="120" w:after="120"/>
                  <w:jc w:val="center"/>
                  <w:rPr>
                    <w:rFonts w:asciiTheme="majorHAnsi" w:hAnsiTheme="majorHAnsi" w:cs="Arial"/>
                    <w:b/>
                    <w:sz w:val="22"/>
                    <w:szCs w:val="22"/>
                  </w:rPr>
                </w:pPr>
                <w:r>
                  <w:rPr>
                    <w:rFonts w:asciiTheme="majorHAnsi" w:hAnsiTheme="majorHAnsi" w:cs="Arial"/>
                    <w:b/>
                    <w:sz w:val="22"/>
                    <w:szCs w:val="22"/>
                  </w:rPr>
                  <w:t>E (Default)</w:t>
                </w:r>
              </w:p>
            </w:tc>
            <w:tc>
              <w:tcPr>
                <w:tcW w:w="2835" w:type="dxa"/>
                <w:tcBorders>
                  <w:top w:val="single" w:sz="4" w:space="0" w:color="auto"/>
                </w:tcBorders>
              </w:tcPr>
              <w:p w:rsidR="0003502D" w:rsidRPr="00157D76" w:rsidRDefault="0003502D" w:rsidP="006B01D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bl>
        <w:p w:rsidR="00C13158" w:rsidRDefault="00C13158">
          <w:pPr>
            <w:rPr>
              <w:rFonts w:asciiTheme="majorHAnsi" w:eastAsiaTheme="majorEastAsia" w:hAnsiTheme="majorHAnsi" w:cstheme="majorBidi"/>
              <w:bCs/>
              <w:color w:val="2F5773" w:themeColor="text2"/>
              <w:sz w:val="32"/>
              <w:lang w:val="en-US"/>
            </w:rPr>
          </w:pPr>
        </w:p>
        <w:p w:rsidR="007C4C8E" w:rsidRDefault="007C4C8E">
          <w:pPr>
            <w:rPr>
              <w:rFonts w:asciiTheme="majorHAnsi" w:eastAsiaTheme="majorEastAsia" w:hAnsiTheme="majorHAnsi" w:cstheme="majorBidi"/>
              <w:bCs/>
              <w:color w:val="2F5773" w:themeColor="text2"/>
              <w:sz w:val="32"/>
              <w:lang w:val="en-US"/>
            </w:rPr>
          </w:pPr>
          <w:r>
            <w:br w:type="page"/>
          </w:r>
        </w:p>
        <w:p w:rsidR="00057350" w:rsidRDefault="004E160A" w:rsidP="003F60D2">
          <w:pPr>
            <w:pStyle w:val="Numberedtitlelevel2"/>
            <w:ind w:left="357" w:hanging="357"/>
            <w:outlineLvl w:val="0"/>
          </w:pPr>
          <w:r w:rsidRPr="00BE6527">
            <w:lastRenderedPageBreak/>
            <w:t>Introduction</w:t>
          </w:r>
        </w:p>
      </w:sdtContent>
    </w:sdt>
    <w:p w:rsidR="00C91B21" w:rsidRPr="00DF731A" w:rsidRDefault="00C91B21">
      <w:pPr>
        <w:pStyle w:val="numberedparagraph"/>
      </w:pPr>
      <w:r w:rsidRPr="00DF731A">
        <w:t xml:space="preserve">This report </w:t>
      </w:r>
      <w:r w:rsidRPr="003C5042">
        <w:t>describes the mapping exercise carried out by the Joint Committee</w:t>
      </w:r>
      <w:r w:rsidR="00DA5265" w:rsidRPr="003C5042">
        <w:t xml:space="preserve"> (JC)</w:t>
      </w:r>
      <w:r w:rsidRPr="003C5042">
        <w:t xml:space="preserve"> to determine the ‘mapping’ of the credit assessments of </w:t>
      </w:r>
      <w:r w:rsidR="00743086" w:rsidRPr="003C5042">
        <w:t>Axesor SA</w:t>
      </w:r>
      <w:r w:rsidR="009B7D6B" w:rsidRPr="003C5042">
        <w:t xml:space="preserve"> (</w:t>
      </w:r>
      <w:r w:rsidR="00743086" w:rsidRPr="003C5042">
        <w:t>Axesor</w:t>
      </w:r>
      <w:r w:rsidR="009B7D6B" w:rsidRPr="003C5042">
        <w:t>)</w:t>
      </w:r>
      <w:r w:rsidRPr="003C5042">
        <w:t>.</w:t>
      </w:r>
      <w:r w:rsidR="004E3128" w:rsidRPr="003C5042">
        <w:t xml:space="preserve"> </w:t>
      </w:r>
    </w:p>
    <w:p w:rsidR="00F815E0" w:rsidRDefault="00743086" w:rsidP="00C66D5F">
      <w:pPr>
        <w:pStyle w:val="numberedparagraph"/>
      </w:pPr>
      <w:r>
        <w:t>Axesor</w:t>
      </w:r>
      <w:r w:rsidR="00540BB7" w:rsidRPr="00540BB7">
        <w:t xml:space="preserve"> is a credit rating agency that has been registered with ESMA in </w:t>
      </w:r>
      <w:r>
        <w:t>1</w:t>
      </w:r>
      <w:r w:rsidR="00540BB7" w:rsidRPr="00540BB7">
        <w:t xml:space="preserve"> </w:t>
      </w:r>
      <w:r>
        <w:t>October</w:t>
      </w:r>
      <w:r w:rsidR="00540BB7" w:rsidRPr="00540BB7">
        <w:t xml:space="preserve"> 201</w:t>
      </w:r>
      <w:r>
        <w:t>2</w:t>
      </w:r>
      <w:r w:rsidR="00540BB7" w:rsidRPr="00540BB7">
        <w:t xml:space="preserve"> and therefore meets the conditions to be an eligible credit assessment institution (ECAI)</w:t>
      </w:r>
      <w:r w:rsidR="008B7151">
        <w:rPr>
          <w:rStyle w:val="FootnoteReference"/>
        </w:rPr>
        <w:footnoteReference w:id="4"/>
      </w:r>
      <w:r w:rsidR="00540BB7" w:rsidRPr="00540BB7">
        <w:t>.</w:t>
      </w:r>
    </w:p>
    <w:p w:rsidR="00F815E0" w:rsidRPr="00FE0C27" w:rsidRDefault="00662AF5" w:rsidP="00C66D5F">
      <w:pPr>
        <w:pStyle w:val="numberedparagraph"/>
      </w:pPr>
      <w:r w:rsidRPr="00346D38">
        <w:t xml:space="preserve">The methodology applied to produce the mapping is the one specified in the </w:t>
      </w:r>
      <w:r w:rsidRPr="006C1BE9">
        <w:t xml:space="preserve">Commission’s Implementing Regulation (EU) 2016/1799 (‘the Implementing Regulation’) laying down Implementing Technical Standards (ITS) with regard to the mapping of credit assessments of External Credit Assessment Institutions (ECAIs) for credit risk in accordance with Articles 136(1) and (3) of the Regulation (EU) No 575/2013 of the European Parliament and the Council (‘the CRR’). This Implementing Regulation employs a combination of the provisions </w:t>
      </w:r>
      <w:r>
        <w:t>laid down in Article 136(2) CRR</w:t>
      </w:r>
      <w:r w:rsidRPr="00346D38">
        <w:t>.</w:t>
      </w:r>
      <w:r w:rsidR="00245D75">
        <w:t xml:space="preserve">. </w:t>
      </w:r>
      <w:r w:rsidR="00540BB7" w:rsidRPr="00FE0C27">
        <w:t>T</w:t>
      </w:r>
      <w:r w:rsidR="00C66D5F" w:rsidRPr="00FE0C27">
        <w:t>hree</w:t>
      </w:r>
      <w:r w:rsidR="00540BB7" w:rsidRPr="00FE0C27">
        <w:t xml:space="preserve"> sources of information have been used. </w:t>
      </w:r>
      <w:r w:rsidR="00CE70FC" w:rsidRPr="00FE0C27">
        <w:t>Firstly</w:t>
      </w:r>
      <w:r w:rsidR="00540BB7" w:rsidRPr="00FE0C27">
        <w:t xml:space="preserve">, the quantitative and qualitative information available in </w:t>
      </w:r>
      <w:r w:rsidR="008D2FB1">
        <w:t>ESMA Central Repository (</w:t>
      </w:r>
      <w:r w:rsidR="00540BB7" w:rsidRPr="00FE0C27">
        <w:t>CEREP</w:t>
      </w:r>
      <w:r w:rsidR="008D2FB1">
        <w:rPr>
          <w:rStyle w:val="FootnoteReference"/>
        </w:rPr>
        <w:footnoteReference w:id="5"/>
      </w:r>
      <w:r w:rsidR="007125C7">
        <w:t>)</w:t>
      </w:r>
      <w:r w:rsidR="00540BB7" w:rsidRPr="00FE0C27">
        <w:t xml:space="preserve"> has been used to obtain an overview of the main characteristics of this ECAI and </w:t>
      </w:r>
      <w:r w:rsidR="00CE70FC" w:rsidRPr="00FE0C27">
        <w:t xml:space="preserve">an initial estimate of the </w:t>
      </w:r>
      <w:r w:rsidR="00540BB7" w:rsidRPr="00FE0C27">
        <w:t xml:space="preserve">default rates of its credit assessments. </w:t>
      </w:r>
      <w:r w:rsidR="00CE70FC" w:rsidRPr="00FE0C27">
        <w:t xml:space="preserve">Secondly, since the available data in CEREP for </w:t>
      </w:r>
      <w:r w:rsidR="008D2E06">
        <w:t>Axesor</w:t>
      </w:r>
      <w:r w:rsidR="00CE70FC" w:rsidRPr="00FE0C27">
        <w:t xml:space="preserve"> is scarce, an additional dataset regarding a </w:t>
      </w:r>
      <w:r w:rsidR="00FA055C">
        <w:t>(financial) credit scoring</w:t>
      </w:r>
      <w:r w:rsidR="00CE70FC" w:rsidRPr="00FE0C27">
        <w:t xml:space="preserve"> has been used. </w:t>
      </w:r>
      <w:r w:rsidR="00D93B1A" w:rsidRPr="00FE0C27">
        <w:t>Finally</w:t>
      </w:r>
      <w:r w:rsidR="00540BB7" w:rsidRPr="00FE0C27">
        <w:t>, specific information has also been directly requested to the ECAI for the purpose of the mapping, especially the list of relevant credit assessments and detailed information regarding the default definition.</w:t>
      </w:r>
    </w:p>
    <w:p w:rsidR="00895174" w:rsidRDefault="00895174">
      <w:pPr>
        <w:pStyle w:val="numberedparagraph"/>
      </w:pPr>
      <w:r w:rsidRPr="00895174">
        <w:t xml:space="preserve">The following sections describe the rationale underlying the mapping exercise carried out by the Joint Committee (JC) to determine the mappings. </w:t>
      </w:r>
      <w:r w:rsidR="00166DCD">
        <w:t xml:space="preserve">Section 3 describes the relevant ratings scales of </w:t>
      </w:r>
      <w:r w:rsidR="008D2E06">
        <w:t>Axesor</w:t>
      </w:r>
      <w:r w:rsidR="00166DCD">
        <w:t xml:space="preserve"> for the purpose of the mapping. Section 4 contains the methodology applied to derive </w:t>
      </w:r>
      <w:r w:rsidR="005F56FF">
        <w:t xml:space="preserve">the mapping of </w:t>
      </w:r>
      <w:r w:rsidR="008D2E06">
        <w:t>Axesor</w:t>
      </w:r>
      <w:r w:rsidR="00166DCD">
        <w:t>’s ratings scale. The mappin</w:t>
      </w:r>
      <w:r w:rsidR="00FA055C">
        <w:t xml:space="preserve">g table </w:t>
      </w:r>
      <w:r>
        <w:t>is</w:t>
      </w:r>
      <w:r w:rsidR="00FA055C">
        <w:t xml:space="preserve"> shown in Appendix </w:t>
      </w:r>
      <w:r w:rsidR="00603AAD">
        <w:t>6</w:t>
      </w:r>
      <w:r w:rsidR="00166DCD">
        <w:t xml:space="preserve"> of this document and have been specified in Annex </w:t>
      </w:r>
      <w:r w:rsidRPr="00895174">
        <w:t>III of the Implementing Technical Standards on the mapping of ECAIs’ credit assessments under Article 136(1) and (3) of Regulation (EU) No 575/2013.</w:t>
      </w:r>
    </w:p>
    <w:p w:rsidR="001B0E86" w:rsidRDefault="001B0E86" w:rsidP="001B0E86">
      <w:pPr>
        <w:pStyle w:val="numberedparagraph"/>
        <w:numPr>
          <w:ilvl w:val="0"/>
          <w:numId w:val="0"/>
        </w:numPr>
        <w:ind w:left="284"/>
      </w:pPr>
    </w:p>
    <w:p w:rsidR="001B0E86" w:rsidRDefault="001B0E86" w:rsidP="001B0E86">
      <w:pPr>
        <w:pStyle w:val="numberedparagraph"/>
        <w:numPr>
          <w:ilvl w:val="0"/>
          <w:numId w:val="0"/>
        </w:numPr>
        <w:ind w:left="284"/>
      </w:pPr>
    </w:p>
    <w:p w:rsidR="0003502D" w:rsidRDefault="0003502D">
      <w:pPr>
        <w:rPr>
          <w:lang w:val="en-US"/>
        </w:rPr>
      </w:pPr>
      <w:r>
        <w:br w:type="page"/>
      </w:r>
    </w:p>
    <w:p w:rsidR="00E00BB5" w:rsidRDefault="008D2E06" w:rsidP="003F60D2">
      <w:pPr>
        <w:pStyle w:val="Numberedtitlelevel2"/>
        <w:ind w:left="357" w:hanging="357"/>
        <w:outlineLvl w:val="0"/>
      </w:pPr>
      <w:r>
        <w:lastRenderedPageBreak/>
        <w:t>Axesor</w:t>
      </w:r>
      <w:r w:rsidR="00AF2077" w:rsidRPr="004E160A">
        <w:t xml:space="preserve"> </w:t>
      </w:r>
      <w:r w:rsidR="00AF2077">
        <w:t>c</w:t>
      </w:r>
      <w:r w:rsidR="004E160A" w:rsidRPr="004E160A">
        <w:t>redit ratings and rating scales</w:t>
      </w:r>
    </w:p>
    <w:p w:rsidR="001A236F" w:rsidRDefault="00DD73F2" w:rsidP="001A236F">
      <w:pPr>
        <w:pStyle w:val="numberedparagraph"/>
      </w:pPr>
      <w:r>
        <w:t>Axesor</w:t>
      </w:r>
      <w:r w:rsidR="001A236F">
        <w:t xml:space="preserve"> produces</w:t>
      </w:r>
      <w:r w:rsidR="001A236F" w:rsidRPr="0036715E">
        <w:t xml:space="preserve"> </w:t>
      </w:r>
      <w:r w:rsidR="003119B2">
        <w:t xml:space="preserve">one type of credit ratings, the </w:t>
      </w:r>
      <w:r w:rsidRPr="00740863">
        <w:rPr>
          <w:b/>
        </w:rPr>
        <w:t xml:space="preserve">Long-term </w:t>
      </w:r>
      <w:r>
        <w:rPr>
          <w:b/>
        </w:rPr>
        <w:t>c</w:t>
      </w:r>
      <w:r w:rsidRPr="00740863">
        <w:rPr>
          <w:b/>
        </w:rPr>
        <w:t xml:space="preserve">orporate </w:t>
      </w:r>
      <w:r>
        <w:rPr>
          <w:b/>
        </w:rPr>
        <w:t>ra</w:t>
      </w:r>
      <w:r w:rsidRPr="00740863">
        <w:rPr>
          <w:b/>
        </w:rPr>
        <w:t>ting</w:t>
      </w:r>
      <w:r w:rsidR="003119B2">
        <w:t xml:space="preserve">, which </w:t>
      </w:r>
      <w:r w:rsidR="001A236F">
        <w:t>may be used by institutions for the calculation of risk weights under the Standardised Approach (SA)</w:t>
      </w:r>
      <w:r w:rsidR="001A236F">
        <w:rPr>
          <w:rStyle w:val="FootnoteReference"/>
        </w:rPr>
        <w:footnoteReference w:id="6"/>
      </w:r>
      <w:r w:rsidR="00B24FB5">
        <w:t>, as shown in c</w:t>
      </w:r>
      <w:r w:rsidR="003119B2">
        <w:t xml:space="preserve">olumn 2 of </w:t>
      </w:r>
      <w:r w:rsidR="003119B2">
        <w:fldChar w:fldCharType="begin"/>
      </w:r>
      <w:r w:rsidR="003119B2">
        <w:instrText xml:space="preserve"> REF _Ref384801505 \h </w:instrText>
      </w:r>
      <w:r w:rsidR="003119B2">
        <w:fldChar w:fldCharType="separate"/>
      </w:r>
      <w:r w:rsidR="00A93B28" w:rsidRPr="0041788D">
        <w:rPr>
          <w:szCs w:val="22"/>
        </w:rPr>
        <w:t xml:space="preserve">Figure </w:t>
      </w:r>
      <w:r w:rsidR="00A93B28">
        <w:rPr>
          <w:noProof/>
          <w:szCs w:val="22"/>
        </w:rPr>
        <w:t>2</w:t>
      </w:r>
      <w:r w:rsidR="003119B2">
        <w:fldChar w:fldCharType="end"/>
      </w:r>
      <w:r w:rsidR="003119B2">
        <w:t xml:space="preserve"> in Appendix 1.</w:t>
      </w:r>
    </w:p>
    <w:p w:rsidR="001A236F" w:rsidRDefault="004B3663" w:rsidP="00021CC0">
      <w:pPr>
        <w:pStyle w:val="numberedparagraph"/>
      </w:pPr>
      <w:r>
        <w:t>Axesor</w:t>
      </w:r>
      <w:r w:rsidR="001A236F">
        <w:t xml:space="preserve"> assigns </w:t>
      </w:r>
      <w:r w:rsidR="00021CC0">
        <w:t>these credit ratings</w:t>
      </w:r>
      <w:r w:rsidR="001A236F">
        <w:t xml:space="preserve"> to </w:t>
      </w:r>
      <w:r w:rsidR="00021CC0">
        <w:t xml:space="preserve">the </w:t>
      </w:r>
      <w:r w:rsidR="0006366F" w:rsidRPr="00740863">
        <w:rPr>
          <w:rFonts w:ascii="Calibri" w:hAnsi="Calibri"/>
          <w:b/>
          <w:bCs/>
          <w:color w:val="000000"/>
          <w:szCs w:val="22"/>
        </w:rPr>
        <w:t>Global rating scale</w:t>
      </w:r>
      <w:r w:rsidR="00021CC0" w:rsidRPr="00021CC0">
        <w:t xml:space="preserve"> as illustrated in column 3 of </w:t>
      </w:r>
      <w:r w:rsidR="00BB2D20">
        <w:fldChar w:fldCharType="begin"/>
      </w:r>
      <w:r w:rsidR="00BB2D20">
        <w:instrText xml:space="preserve"> REF _Ref384801505 \h </w:instrText>
      </w:r>
      <w:r w:rsidR="00BB2D20">
        <w:fldChar w:fldCharType="separate"/>
      </w:r>
      <w:r w:rsidR="00A93B28" w:rsidRPr="0041788D">
        <w:rPr>
          <w:szCs w:val="22"/>
        </w:rPr>
        <w:t xml:space="preserve">Figure </w:t>
      </w:r>
      <w:r w:rsidR="00A93B28">
        <w:rPr>
          <w:noProof/>
          <w:szCs w:val="22"/>
        </w:rPr>
        <w:t>2</w:t>
      </w:r>
      <w:r w:rsidR="00BB2D20">
        <w:fldChar w:fldCharType="end"/>
      </w:r>
      <w:r w:rsidR="00BB2D20">
        <w:t xml:space="preserve"> </w:t>
      </w:r>
      <w:r w:rsidR="00021CC0" w:rsidRPr="00021CC0">
        <w:t xml:space="preserve">in Appendix 1. Therefore, a specific mapping has been prepared for this rating scale. The specification of </w:t>
      </w:r>
      <w:r w:rsidR="00B24FB5">
        <w:t xml:space="preserve">the </w:t>
      </w:r>
      <w:r w:rsidR="00B24FB5" w:rsidRPr="00B24FB5">
        <w:t>Global rating scale</w:t>
      </w:r>
      <w:r w:rsidR="00B24FB5" w:rsidRPr="00021CC0">
        <w:t xml:space="preserve"> </w:t>
      </w:r>
      <w:r w:rsidR="00021CC0" w:rsidRPr="00021CC0">
        <w:t>is described in</w:t>
      </w:r>
      <w:r w:rsidR="00BB2D20">
        <w:t xml:space="preserve"> </w:t>
      </w:r>
      <w:r w:rsidR="00BB2D20">
        <w:fldChar w:fldCharType="begin"/>
      </w:r>
      <w:r w:rsidR="00BB2D20">
        <w:instrText xml:space="preserve"> REF _Ref384802193 \h </w:instrText>
      </w:r>
      <w:r w:rsidR="00BB2D20">
        <w:fldChar w:fldCharType="separate"/>
      </w:r>
      <w:r w:rsidR="00A93B28" w:rsidRPr="0041788D">
        <w:rPr>
          <w:szCs w:val="22"/>
        </w:rPr>
        <w:t xml:space="preserve">Figure </w:t>
      </w:r>
      <w:r w:rsidR="00A93B28">
        <w:rPr>
          <w:noProof/>
          <w:szCs w:val="22"/>
        </w:rPr>
        <w:t>3</w:t>
      </w:r>
      <w:r w:rsidR="00BB2D20">
        <w:fldChar w:fldCharType="end"/>
      </w:r>
      <w:r w:rsidR="00021CC0" w:rsidRPr="00021CC0">
        <w:t xml:space="preserve"> of Appendix 1.</w:t>
      </w:r>
      <w:r w:rsidR="00EF1680">
        <w:t xml:space="preserve"> </w:t>
      </w:r>
    </w:p>
    <w:p w:rsidR="00CC4E5F" w:rsidRPr="00F900B1" w:rsidRDefault="0006366F" w:rsidP="0048468F">
      <w:pPr>
        <w:pStyle w:val="numberedparagraph"/>
      </w:pPr>
      <w:r>
        <w:t>Axesor</w:t>
      </w:r>
      <w:r w:rsidR="00DA0961" w:rsidRPr="00FE0C27">
        <w:t xml:space="preserve"> also assigns c</w:t>
      </w:r>
      <w:r w:rsidR="00CC4E5F" w:rsidRPr="00FE0C27">
        <w:t>redit scoring</w:t>
      </w:r>
      <w:r w:rsidR="00DA0961" w:rsidRPr="00FE0C27">
        <w:t xml:space="preserve">s as part of the </w:t>
      </w:r>
      <w:r w:rsidR="00101D96">
        <w:t>statistical</w:t>
      </w:r>
      <w:r w:rsidR="00DA0961" w:rsidRPr="00FE0C27">
        <w:t xml:space="preserve"> assessment </w:t>
      </w:r>
      <w:r w:rsidR="00101D96">
        <w:t xml:space="preserve">of the creditworthiness </w:t>
      </w:r>
      <w:r w:rsidR="00DA0961" w:rsidRPr="00FE0C27">
        <w:t xml:space="preserve">that is embedded in the final credit rating. </w:t>
      </w:r>
      <w:r w:rsidR="005E64A3" w:rsidRPr="00740863">
        <w:t xml:space="preserve">The observed relationship between the credit rating and the credit scoring assigned by </w:t>
      </w:r>
      <w:r w:rsidR="005E64A3">
        <w:t>Axesor</w:t>
      </w:r>
      <w:r w:rsidR="005E64A3" w:rsidRPr="00740863">
        <w:t xml:space="preserve"> is reflected in </w:t>
      </w:r>
      <w:r w:rsidR="008F243F">
        <w:fldChar w:fldCharType="begin"/>
      </w:r>
      <w:r w:rsidR="008F243F">
        <w:instrText xml:space="preserve"> REF _Ref390424496 \h </w:instrText>
      </w:r>
      <w:r w:rsidR="008F243F">
        <w:fldChar w:fldCharType="separate"/>
      </w:r>
      <w:r w:rsidR="00A93B28" w:rsidRPr="00C16FAA">
        <w:t xml:space="preserve">Figure </w:t>
      </w:r>
      <w:r w:rsidR="00A93B28">
        <w:rPr>
          <w:noProof/>
        </w:rPr>
        <w:t>4</w:t>
      </w:r>
      <w:r w:rsidR="008F243F">
        <w:fldChar w:fldCharType="end"/>
      </w:r>
      <w:r w:rsidR="008F243F">
        <w:t xml:space="preserve"> </w:t>
      </w:r>
      <w:r w:rsidR="005E64A3" w:rsidRPr="00740863">
        <w:t>of Appendix 2.</w:t>
      </w:r>
      <w:r w:rsidR="0048468F">
        <w:t xml:space="preserve"> </w:t>
      </w:r>
      <w:r w:rsidR="0048468F" w:rsidRPr="0048468F">
        <w:t xml:space="preserve">Since it is only available for a relatively short </w:t>
      </w:r>
      <w:bookmarkStart w:id="3" w:name="_GoBack"/>
      <w:r w:rsidR="0048468F" w:rsidRPr="0048468F">
        <w:t>period</w:t>
      </w:r>
      <w:bookmarkEnd w:id="3"/>
      <w:r w:rsidR="0048468F" w:rsidRPr="0048468F">
        <w:t xml:space="preserve"> (</w:t>
      </w:r>
      <w:r w:rsidR="00291217">
        <w:t xml:space="preserve">October </w:t>
      </w:r>
      <w:r w:rsidR="00291217" w:rsidRPr="00C16FAA">
        <w:t>20</w:t>
      </w:r>
      <w:r w:rsidR="00291217">
        <w:t>12</w:t>
      </w:r>
      <w:r w:rsidR="00291217" w:rsidRPr="00C16FAA">
        <w:t xml:space="preserve"> </w:t>
      </w:r>
      <w:r w:rsidR="00291217">
        <w:t>–</w:t>
      </w:r>
      <w:r w:rsidR="00291217" w:rsidRPr="00C16FAA">
        <w:t xml:space="preserve"> </w:t>
      </w:r>
      <w:r w:rsidR="00291217">
        <w:t xml:space="preserve">July </w:t>
      </w:r>
      <w:r w:rsidR="00291217" w:rsidRPr="00C16FAA">
        <w:t>2013</w:t>
      </w:r>
      <w:r w:rsidR="0048468F" w:rsidRPr="0048468F">
        <w:t xml:space="preserve">), the theoretical relationship provided by </w:t>
      </w:r>
      <w:r w:rsidR="0048468F">
        <w:t>Axesor</w:t>
      </w:r>
      <w:r w:rsidR="0048468F" w:rsidRPr="0048468F">
        <w:t xml:space="preserve"> has also been considered</w:t>
      </w:r>
      <w:r w:rsidR="0045594A">
        <w:t xml:space="preserve"> (see</w:t>
      </w:r>
      <w:r w:rsidR="00B404E2">
        <w:t xml:space="preserve"> </w:t>
      </w:r>
      <w:r w:rsidR="00B404E2">
        <w:fldChar w:fldCharType="begin"/>
      </w:r>
      <w:r w:rsidR="00B404E2">
        <w:instrText xml:space="preserve"> REF _Ref390424498 \h </w:instrText>
      </w:r>
      <w:r w:rsidR="00B404E2">
        <w:fldChar w:fldCharType="separate"/>
      </w:r>
      <w:r w:rsidR="00A93B28" w:rsidRPr="00C16FAA">
        <w:t xml:space="preserve">Figure </w:t>
      </w:r>
      <w:r w:rsidR="00A93B28">
        <w:rPr>
          <w:noProof/>
        </w:rPr>
        <w:t>5</w:t>
      </w:r>
      <w:r w:rsidR="00B404E2">
        <w:fldChar w:fldCharType="end"/>
      </w:r>
      <w:r w:rsidR="00B404E2">
        <w:t xml:space="preserve"> </w:t>
      </w:r>
      <w:r w:rsidR="00B404E2" w:rsidRPr="00740863">
        <w:t>of Appendix 2</w:t>
      </w:r>
      <w:r w:rsidR="0045594A">
        <w:t>)</w:t>
      </w:r>
      <w:r w:rsidR="0048468F">
        <w:t>.</w:t>
      </w:r>
    </w:p>
    <w:p w:rsidR="001A236F" w:rsidRDefault="001A236F" w:rsidP="001A236F">
      <w:pPr>
        <w:pStyle w:val="numberedparagraph"/>
      </w:pPr>
      <w:r>
        <w:t xml:space="preserve">The mapping of the </w:t>
      </w:r>
      <w:r w:rsidR="00B24FB5" w:rsidRPr="00B24FB5">
        <w:t>Global rating scale</w:t>
      </w:r>
      <w:r w:rsidR="00B24FB5" w:rsidRPr="00021CC0">
        <w:t xml:space="preserve"> </w:t>
      </w:r>
      <w:r w:rsidR="0039037C">
        <w:t xml:space="preserve">is explained in Section </w:t>
      </w:r>
      <w:r w:rsidR="00B16CDE">
        <w:t>4</w:t>
      </w:r>
      <w:r w:rsidR="0039037C">
        <w:t xml:space="preserve"> and it </w:t>
      </w:r>
      <w:r>
        <w:t>has been derived in accordance with the quantitative factors</w:t>
      </w:r>
      <w:r w:rsidR="008A2942">
        <w:t>, qualitative factors</w:t>
      </w:r>
      <w:r>
        <w:t xml:space="preserve"> and benchmarks specified in the ITS. </w:t>
      </w:r>
    </w:p>
    <w:p w:rsidR="000C29A3" w:rsidRDefault="007E428E" w:rsidP="003F60D2">
      <w:pPr>
        <w:pStyle w:val="Numberedtitlelevel2"/>
        <w:ind w:left="357" w:hanging="357"/>
        <w:outlineLvl w:val="0"/>
      </w:pPr>
      <w:r w:rsidRPr="004E160A">
        <w:t xml:space="preserve">Mapping of </w:t>
      </w:r>
      <w:r w:rsidR="0006366F">
        <w:t>Axesor</w:t>
      </w:r>
      <w:r w:rsidRPr="004E160A">
        <w:t xml:space="preserve">’s </w:t>
      </w:r>
      <w:r w:rsidR="00B24FB5" w:rsidRPr="00B24FB5">
        <w:t>Global rating scale</w:t>
      </w:r>
    </w:p>
    <w:p w:rsidR="00E84370" w:rsidRDefault="00015276" w:rsidP="00015276">
      <w:pPr>
        <w:pStyle w:val="numberedparagraph"/>
      </w:pPr>
      <w:r>
        <w:t xml:space="preserve">The mapping of the </w:t>
      </w:r>
      <w:r w:rsidR="00B24FB5">
        <w:t xml:space="preserve">Global rating scale </w:t>
      </w:r>
      <w:r>
        <w:t xml:space="preserve">has consisted of </w:t>
      </w:r>
      <w:r w:rsidR="005F12D5">
        <w:t>two</w:t>
      </w:r>
      <w:r>
        <w:t xml:space="preserve"> differentiated stages</w:t>
      </w:r>
      <w:r w:rsidR="0038116B">
        <w:t xml:space="preserve"> where the quantitative and qualitative factors as well as the benchmarks specified in Article 136(2) CRR have been taken into account</w:t>
      </w:r>
      <w:r>
        <w:t>.</w:t>
      </w:r>
      <w:r w:rsidR="00E84370" w:rsidDel="00E84370">
        <w:t xml:space="preserve"> </w:t>
      </w:r>
    </w:p>
    <w:p w:rsidR="00015276" w:rsidRDefault="00015276" w:rsidP="00E84370">
      <w:pPr>
        <w:pStyle w:val="numberedparagraph"/>
      </w:pPr>
      <w:r>
        <w:t xml:space="preserve">In the first </w:t>
      </w:r>
      <w:r w:rsidR="005F12D5">
        <w:t>stage</w:t>
      </w:r>
      <w:r>
        <w:t xml:space="preserve">, </w:t>
      </w:r>
      <w:r w:rsidR="00F20607">
        <w:t xml:space="preserve">the </w:t>
      </w:r>
      <w:r>
        <w:t>quantitative factor</w:t>
      </w:r>
      <w:r w:rsidR="005F12D5">
        <w:t>s</w:t>
      </w:r>
      <w:r>
        <w:t xml:space="preserve"> </w:t>
      </w:r>
      <w:r w:rsidR="005F3ADF">
        <w:t xml:space="preserve">referred to </w:t>
      </w:r>
      <w:r w:rsidR="00F20607">
        <w:t>in Article 1</w:t>
      </w:r>
      <w:r w:rsidR="00DF731A">
        <w:t xml:space="preserve"> of the </w:t>
      </w:r>
      <w:r w:rsidR="00F20607">
        <w:t xml:space="preserve">ITS </w:t>
      </w:r>
      <w:r>
        <w:t>ha</w:t>
      </w:r>
      <w:r w:rsidR="005F12D5">
        <w:t>ve</w:t>
      </w:r>
      <w:r>
        <w:t xml:space="preserve"> been </w:t>
      </w:r>
      <w:r w:rsidR="00F20607">
        <w:t>taken into account</w:t>
      </w:r>
      <w:r>
        <w:t xml:space="preserve"> to differentiate between the levels of risk of each rating category</w:t>
      </w:r>
      <w:r w:rsidR="00E84370">
        <w:t>.</w:t>
      </w:r>
      <w:r w:rsidR="00291217">
        <w:t xml:space="preserve"> The </w:t>
      </w:r>
      <w:r w:rsidR="00291217" w:rsidRPr="00E84370">
        <w:rPr>
          <w:i/>
        </w:rPr>
        <w:t>long run default rate</w:t>
      </w:r>
      <w:r w:rsidR="00291217">
        <w:t xml:space="preserve"> of a rating category has been calculated in accordance with Article </w:t>
      </w:r>
      <w:r w:rsidR="00E75BC9">
        <w:t>6</w:t>
      </w:r>
      <w:r w:rsidR="00291217">
        <w:t xml:space="preserve"> </w:t>
      </w:r>
      <w:r w:rsidR="00DF731A">
        <w:t xml:space="preserve">of the </w:t>
      </w:r>
      <w:r w:rsidR="00291217">
        <w:t>ITS, as the number of credit ratings cannot be considered to be sufficient.</w:t>
      </w:r>
    </w:p>
    <w:p w:rsidR="00015276" w:rsidRPr="00FE0C27" w:rsidRDefault="00F20607" w:rsidP="00015276">
      <w:pPr>
        <w:pStyle w:val="numberedparagraph"/>
      </w:pPr>
      <w:r>
        <w:t>In a second stage</w:t>
      </w:r>
      <w:r w:rsidR="00015276">
        <w:t xml:space="preserve">, the qualitative factors </w:t>
      </w:r>
      <w:r w:rsidR="00B04A92">
        <w:t xml:space="preserve">proposed in Article </w:t>
      </w:r>
      <w:r w:rsidR="0090674F">
        <w:t>7</w:t>
      </w:r>
      <w:r w:rsidR="00DF731A">
        <w:t xml:space="preserve"> of the </w:t>
      </w:r>
      <w:r w:rsidR="00B04A92">
        <w:t xml:space="preserve">ITS have been considered </w:t>
      </w:r>
      <w:r w:rsidR="00B04A92" w:rsidRPr="00FE0C27">
        <w:t xml:space="preserve">to challenge </w:t>
      </w:r>
      <w:r w:rsidR="00015276" w:rsidRPr="00FE0C27">
        <w:t xml:space="preserve">the result of the previous </w:t>
      </w:r>
      <w:r w:rsidRPr="00FE0C27">
        <w:t>stage</w:t>
      </w:r>
      <w:r w:rsidR="00B04A92" w:rsidRPr="00FE0C27">
        <w:t xml:space="preserve">, especially </w:t>
      </w:r>
      <w:r w:rsidR="00B9508E" w:rsidRPr="00FE0C27">
        <w:t xml:space="preserve">the additional information that can be obtained from the default experience of </w:t>
      </w:r>
      <w:r w:rsidR="00B67852">
        <w:t>credit scorings</w:t>
      </w:r>
      <w:r w:rsidR="00B9508E" w:rsidRPr="00FE0C27">
        <w:t xml:space="preserve"> assigned by </w:t>
      </w:r>
      <w:r w:rsidR="0014753A">
        <w:t>Axesor</w:t>
      </w:r>
      <w:r w:rsidR="00015276" w:rsidRPr="00FE0C27">
        <w:t>.</w:t>
      </w:r>
    </w:p>
    <w:p w:rsidR="00532352" w:rsidRPr="00BE6527" w:rsidRDefault="00532352" w:rsidP="00BE6527">
      <w:pPr>
        <w:pStyle w:val="Numberedtitlelevel3"/>
      </w:pPr>
      <w:r w:rsidRPr="00BE6527">
        <w:t xml:space="preserve">Initial mapping based on the </w:t>
      </w:r>
      <w:r w:rsidR="00E20A17">
        <w:t>quantitative factors</w:t>
      </w:r>
    </w:p>
    <w:p w:rsidR="00532352" w:rsidRDefault="00532352" w:rsidP="00BE6527">
      <w:pPr>
        <w:pStyle w:val="Numberedtitlelevel4"/>
      </w:pPr>
      <w:r w:rsidRPr="005C569C">
        <w:t xml:space="preserve">Calculation of </w:t>
      </w:r>
      <w:r w:rsidR="00190E5E">
        <w:t xml:space="preserve">the </w:t>
      </w:r>
      <w:r w:rsidRPr="00BE6527">
        <w:t>long</w:t>
      </w:r>
      <w:r w:rsidR="00190E5E">
        <w:t>-</w:t>
      </w:r>
      <w:r w:rsidR="005527E3">
        <w:t xml:space="preserve">run </w:t>
      </w:r>
      <w:r w:rsidR="00190E5E">
        <w:t>default rate</w:t>
      </w:r>
      <w:r w:rsidR="00B9508E">
        <w:t>s</w:t>
      </w:r>
    </w:p>
    <w:p w:rsidR="00D47036" w:rsidRDefault="008F3964" w:rsidP="00E726E8">
      <w:pPr>
        <w:pStyle w:val="numberedparagraph"/>
      </w:pPr>
      <w:r>
        <w:t xml:space="preserve">The information contained in CEREP on ratings and default data, shown in </w:t>
      </w:r>
      <w:r w:rsidR="0014753A">
        <w:fldChar w:fldCharType="begin"/>
      </w:r>
      <w:r w:rsidR="0014753A">
        <w:instrText xml:space="preserve"> REF _Ref384828127 \h </w:instrText>
      </w:r>
      <w:r w:rsidR="0014753A">
        <w:fldChar w:fldCharType="separate"/>
      </w:r>
      <w:r w:rsidR="00A93B28" w:rsidRPr="0041788D">
        <w:t xml:space="preserve">Figure </w:t>
      </w:r>
      <w:r w:rsidR="00A93B28">
        <w:rPr>
          <w:noProof/>
        </w:rPr>
        <w:t>7</w:t>
      </w:r>
      <w:r w:rsidR="0014753A">
        <w:fldChar w:fldCharType="end"/>
      </w:r>
      <w:r w:rsidR="0014753A">
        <w:t xml:space="preserve"> </w:t>
      </w:r>
      <w:r>
        <w:t xml:space="preserve">in Appendix </w:t>
      </w:r>
      <w:r w:rsidR="0014753A">
        <w:t>4</w:t>
      </w:r>
      <w:r>
        <w:t xml:space="preserve">, </w:t>
      </w:r>
      <w:r w:rsidR="000E1BD9">
        <w:t xml:space="preserve">cannot be </w:t>
      </w:r>
      <w:r w:rsidR="00993B6B">
        <w:t xml:space="preserve">used </w:t>
      </w:r>
      <w:r w:rsidR="000E1BD9">
        <w:t xml:space="preserve">for the calculation of the short and long run default rates specified in the Articles </w:t>
      </w:r>
      <w:r w:rsidR="00E84370">
        <w:t xml:space="preserve">3 </w:t>
      </w:r>
      <w:r w:rsidR="000E1BD9">
        <w:t xml:space="preserve">– </w:t>
      </w:r>
      <w:r w:rsidR="00E84370">
        <w:t xml:space="preserve">5 </w:t>
      </w:r>
      <w:r w:rsidR="000E1BD9">
        <w:t xml:space="preserve">ITS since it is only available </w:t>
      </w:r>
      <w:r w:rsidR="00D47036">
        <w:t xml:space="preserve">since </w:t>
      </w:r>
      <w:r w:rsidR="0014753A">
        <w:t xml:space="preserve">2012 </w:t>
      </w:r>
      <w:r w:rsidR="001214DD">
        <w:t xml:space="preserve">(i.e. it </w:t>
      </w:r>
      <w:r w:rsidR="0014753A">
        <w:t xml:space="preserve">does not </w:t>
      </w:r>
      <w:r w:rsidR="000E1BD9">
        <w:t>allow the calculation of</w:t>
      </w:r>
      <w:r w:rsidR="00B65835" w:rsidRPr="00B65835">
        <w:t xml:space="preserve"> </w:t>
      </w:r>
      <w:r w:rsidR="00B65835">
        <w:t>3-</w:t>
      </w:r>
      <w:r w:rsidR="00B65835">
        <w:lastRenderedPageBreak/>
        <w:t>year default rates</w:t>
      </w:r>
      <w:r w:rsidR="001214DD">
        <w:t>)</w:t>
      </w:r>
      <w:r>
        <w:t xml:space="preserve">. </w:t>
      </w:r>
      <w:r w:rsidR="001214DD">
        <w:t xml:space="preserve">As a result, the allocation of the CQS has been made in accordance with Article </w:t>
      </w:r>
      <w:r w:rsidR="00362682">
        <w:t>6</w:t>
      </w:r>
      <w:r w:rsidR="00DF731A">
        <w:t xml:space="preserve"> of the </w:t>
      </w:r>
      <w:r w:rsidR="001214DD">
        <w:t xml:space="preserve">ITS, as shown in </w:t>
      </w:r>
      <w:r w:rsidR="00E726E8">
        <w:fldChar w:fldCharType="begin"/>
      </w:r>
      <w:r w:rsidR="00E726E8">
        <w:instrText xml:space="preserve"> REF _Ref390955016 \h </w:instrText>
      </w:r>
      <w:r w:rsidR="00E726E8">
        <w:fldChar w:fldCharType="separate"/>
      </w:r>
      <w:r w:rsidR="00A93B28" w:rsidRPr="0041788D">
        <w:t xml:space="preserve">Figure </w:t>
      </w:r>
      <w:r w:rsidR="00A93B28">
        <w:rPr>
          <w:noProof/>
        </w:rPr>
        <w:t>8</w:t>
      </w:r>
      <w:r w:rsidR="00E726E8">
        <w:fldChar w:fldCharType="end"/>
      </w:r>
      <w:r w:rsidR="00235AB7">
        <w:t xml:space="preserve"> and </w:t>
      </w:r>
      <w:r w:rsidR="008847EC">
        <w:fldChar w:fldCharType="begin"/>
      </w:r>
      <w:r w:rsidR="008847EC">
        <w:instrText xml:space="preserve"> REF _Ref425256407 \h </w:instrText>
      </w:r>
      <w:r w:rsidR="008847EC">
        <w:fldChar w:fldCharType="separate"/>
      </w:r>
      <w:r w:rsidR="00A93B28" w:rsidRPr="0041788D">
        <w:t xml:space="preserve">Figure </w:t>
      </w:r>
      <w:r w:rsidR="00A93B28">
        <w:rPr>
          <w:noProof/>
        </w:rPr>
        <w:t>9</w:t>
      </w:r>
      <w:r w:rsidR="008847EC">
        <w:fldChar w:fldCharType="end"/>
      </w:r>
      <w:r w:rsidR="008847EC">
        <w:t xml:space="preserve"> </w:t>
      </w:r>
      <w:r w:rsidR="001214DD">
        <w:t>of Appendix 4</w:t>
      </w:r>
      <w:r w:rsidR="001214DD" w:rsidRPr="000E1BD9">
        <w:t>.</w:t>
      </w:r>
    </w:p>
    <w:p w:rsidR="00E726E8" w:rsidRDefault="00E726E8" w:rsidP="00E726E8">
      <w:pPr>
        <w:pStyle w:val="numberedparagraph"/>
      </w:pPr>
      <w:r>
        <w:t xml:space="preserve">The long run default rate benchmark associated with the equivalent category in the international rating scale is a key qualitative factor that has been used for the mapping proposal. </w:t>
      </w:r>
    </w:p>
    <w:p w:rsidR="00E14C9C" w:rsidRDefault="007C6591" w:rsidP="008F3964">
      <w:pPr>
        <w:pStyle w:val="numberedparagraph"/>
      </w:pPr>
      <w:r>
        <w:t>For</w:t>
      </w:r>
      <w:r w:rsidR="001834DC">
        <w:t xml:space="preserve"> E </w:t>
      </w:r>
      <w:r>
        <w:t xml:space="preserve">(Default) </w:t>
      </w:r>
      <w:r w:rsidR="001834DC">
        <w:t>rating categor</w:t>
      </w:r>
      <w:r>
        <w:t>y</w:t>
      </w:r>
      <w:r w:rsidR="008F3964">
        <w:t>, no calculation of default rate has been made since it already reflects a ‘default’ situation.</w:t>
      </w:r>
      <w:r>
        <w:t xml:space="preserve"> </w:t>
      </w:r>
    </w:p>
    <w:p w:rsidR="00607FD8" w:rsidRPr="008F3964" w:rsidRDefault="00607FD8" w:rsidP="0027010A">
      <w:pPr>
        <w:pStyle w:val="numberedparagraph"/>
      </w:pPr>
      <w:r w:rsidRPr="008F3964">
        <w:t xml:space="preserve">Withdrawn ratings have been weighted by 50% as </w:t>
      </w:r>
      <w:r w:rsidR="00AD029B">
        <w:t xml:space="preserve">indicated </w:t>
      </w:r>
      <w:r w:rsidRPr="008F3964">
        <w:t xml:space="preserve">in Article </w:t>
      </w:r>
      <w:r w:rsidR="00AD029B">
        <w:t>4</w:t>
      </w:r>
      <w:r w:rsidRPr="008F3964">
        <w:t>(</w:t>
      </w:r>
      <w:r w:rsidR="00AD029B">
        <w:t>3</w:t>
      </w:r>
      <w:r w:rsidRPr="008F3964">
        <w:t>)</w:t>
      </w:r>
      <w:r w:rsidR="006C3C6B">
        <w:t xml:space="preserve"> of the ITS</w:t>
      </w:r>
      <w:r w:rsidRPr="008F3964">
        <w:t>.</w:t>
      </w:r>
    </w:p>
    <w:p w:rsidR="00C76E4C" w:rsidRDefault="00C76E4C" w:rsidP="00C76E4C">
      <w:pPr>
        <w:pStyle w:val="numberedparagraph"/>
      </w:pPr>
      <w:r w:rsidRPr="008F3964">
        <w:t xml:space="preserve">The default definition applied by </w:t>
      </w:r>
      <w:r w:rsidR="0014753A">
        <w:t>Axesor</w:t>
      </w:r>
      <w:r w:rsidR="00A3276E" w:rsidRPr="008F3964">
        <w:t>,</w:t>
      </w:r>
      <w:r w:rsidRPr="008F3964">
        <w:t xml:space="preserve"> described in </w:t>
      </w:r>
      <w:r w:rsidR="002B6F3D" w:rsidRPr="008F3964">
        <w:t>Appendix</w:t>
      </w:r>
      <w:r w:rsidRPr="008F3964">
        <w:t xml:space="preserve"> </w:t>
      </w:r>
      <w:r w:rsidR="00AB464A">
        <w:t>3</w:t>
      </w:r>
      <w:r w:rsidR="00A3276E" w:rsidRPr="008F3964">
        <w:t>,</w:t>
      </w:r>
      <w:r w:rsidRPr="008F3964">
        <w:t xml:space="preserve"> has been used for th</w:t>
      </w:r>
      <w:r w:rsidR="00607FD8" w:rsidRPr="008F3964">
        <w:t>e calculation of default rates.</w:t>
      </w:r>
    </w:p>
    <w:p w:rsidR="00532352" w:rsidRDefault="00190E5E" w:rsidP="00BE6527">
      <w:pPr>
        <w:pStyle w:val="Numberedtitlelevel4"/>
      </w:pPr>
      <w:r>
        <w:t>M</w:t>
      </w:r>
      <w:r w:rsidR="00532352">
        <w:t xml:space="preserve">apping </w:t>
      </w:r>
      <w:r>
        <w:t>proposal</w:t>
      </w:r>
      <w:r w:rsidR="00171121">
        <w:t xml:space="preserve"> based on the long run default rate</w:t>
      </w:r>
    </w:p>
    <w:p w:rsidR="00EA6F54" w:rsidRDefault="008F3964" w:rsidP="00BB2D20">
      <w:pPr>
        <w:pStyle w:val="numberedparagraph"/>
      </w:pPr>
      <w:r>
        <w:t xml:space="preserve">As illustrated in the second column of </w:t>
      </w:r>
      <w:r w:rsidR="00196A03">
        <w:fldChar w:fldCharType="begin"/>
      </w:r>
      <w:r w:rsidR="00196A03">
        <w:instrText xml:space="preserve"> REF _Ref384809626 \h </w:instrText>
      </w:r>
      <w:r w:rsidR="00196A03">
        <w:fldChar w:fldCharType="separate"/>
      </w:r>
      <w:r w:rsidR="00A93B28" w:rsidRPr="0041788D">
        <w:rPr>
          <w:szCs w:val="22"/>
        </w:rPr>
        <w:t xml:space="preserve">Figure </w:t>
      </w:r>
      <w:r w:rsidR="00A93B28">
        <w:rPr>
          <w:noProof/>
          <w:szCs w:val="22"/>
        </w:rPr>
        <w:t>15</w:t>
      </w:r>
      <w:r w:rsidR="00196A03">
        <w:fldChar w:fldCharType="end"/>
      </w:r>
      <w:r w:rsidR="00196A03">
        <w:t xml:space="preserve"> and </w:t>
      </w:r>
      <w:r w:rsidR="00196A03">
        <w:fldChar w:fldCharType="begin"/>
      </w:r>
      <w:r w:rsidR="00196A03">
        <w:instrText xml:space="preserve"> REF _Ref425256599 \h </w:instrText>
      </w:r>
      <w:r w:rsidR="00196A03">
        <w:fldChar w:fldCharType="separate"/>
      </w:r>
      <w:r w:rsidR="00A93B28" w:rsidRPr="0041788D">
        <w:rPr>
          <w:szCs w:val="22"/>
        </w:rPr>
        <w:t xml:space="preserve">Figure </w:t>
      </w:r>
      <w:r w:rsidR="00A93B28">
        <w:rPr>
          <w:noProof/>
          <w:szCs w:val="22"/>
        </w:rPr>
        <w:t>16</w:t>
      </w:r>
      <w:r w:rsidR="00196A03">
        <w:fldChar w:fldCharType="end"/>
      </w:r>
      <w:r w:rsidR="00196A03">
        <w:t xml:space="preserve"> </w:t>
      </w:r>
      <w:r>
        <w:t xml:space="preserve">in Appendix </w:t>
      </w:r>
      <w:r w:rsidR="00E776AD">
        <w:t>6</w:t>
      </w:r>
      <w:r>
        <w:t xml:space="preserve">, the assignment of the rating categories to credit quality steps has been initially made in accordance with Article </w:t>
      </w:r>
      <w:r w:rsidR="00AC03E1">
        <w:t>6</w:t>
      </w:r>
      <w:r w:rsidR="005E5EA1">
        <w:t xml:space="preserve"> </w:t>
      </w:r>
      <w:r>
        <w:t xml:space="preserve">ITS. </w:t>
      </w:r>
      <w:r w:rsidR="00AB26D1">
        <w:t xml:space="preserve">As no data on defaulted </w:t>
      </w:r>
      <w:r>
        <w:t xml:space="preserve">and non-defaulted rated items </w:t>
      </w:r>
      <w:r w:rsidR="00AB26D1">
        <w:t xml:space="preserve">is available, the number of rated items was assumed zero and </w:t>
      </w:r>
      <w:r>
        <w:t>have been used with the prior expectation of the equivalent rating category of the international rating scale.</w:t>
      </w:r>
    </w:p>
    <w:p w:rsidR="00EA6F54" w:rsidRDefault="00EA6F54" w:rsidP="00EA6F54">
      <w:pPr>
        <w:pStyle w:val="bullet2"/>
      </w:pPr>
      <w:r w:rsidRPr="00E219FB">
        <w:rPr>
          <w:b/>
        </w:rPr>
        <w:t>AAA/AA</w:t>
      </w:r>
      <w:r>
        <w:rPr>
          <w:b/>
        </w:rPr>
        <w:t>/A/BBB/</w:t>
      </w:r>
      <w:r w:rsidRPr="00E219FB">
        <w:rPr>
          <w:b/>
        </w:rPr>
        <w:t>BB</w:t>
      </w:r>
      <w:r>
        <w:rPr>
          <w:b/>
        </w:rPr>
        <w:t>/B</w:t>
      </w:r>
      <w:r>
        <w:t>: the number of rated items in each of these categories is equal or larger than the respective minimum required number of observed items given the number of defaulted items in the rating category. Thus the credit quality step associated with the AAA/AA, A, BBB, BB, B rating categories in the international rating scale (CQS 1, CQS 2, CQS 3, CQS4 and CQS 5 respectively) can be assigned.</w:t>
      </w:r>
    </w:p>
    <w:p w:rsidR="00EA6F54" w:rsidRDefault="00EA6F54" w:rsidP="00EA6F54">
      <w:pPr>
        <w:pStyle w:val="bullet2"/>
      </w:pPr>
      <w:r w:rsidRPr="00E219FB">
        <w:rPr>
          <w:b/>
        </w:rPr>
        <w:t>CCC</w:t>
      </w:r>
      <w:r>
        <w:rPr>
          <w:b/>
        </w:rPr>
        <w:t>/CC/C and D</w:t>
      </w:r>
      <w:r w:rsidRPr="00E219FB">
        <w:rPr>
          <w:b/>
        </w:rPr>
        <w:t>:</w:t>
      </w:r>
      <w:r>
        <w:t xml:space="preserve"> since the CQS associated with the equivalent rating category of the international rating scale is 6, the proposed mapping for these rating categories is also CQS 6. To be noted, D rating category does not indicate default.</w:t>
      </w:r>
    </w:p>
    <w:p w:rsidR="0003502D" w:rsidRDefault="0003502D" w:rsidP="0062310C">
      <w:pPr>
        <w:pStyle w:val="bullet2"/>
        <w:numPr>
          <w:ilvl w:val="0"/>
          <w:numId w:val="0"/>
        </w:numPr>
        <w:ind w:left="680"/>
        <w:rPr>
          <w:b/>
        </w:rPr>
      </w:pPr>
    </w:p>
    <w:p w:rsidR="0003502D" w:rsidRPr="001B70AD" w:rsidRDefault="0003502D" w:rsidP="0062310C">
      <w:pPr>
        <w:pStyle w:val="bullet2"/>
        <w:numPr>
          <w:ilvl w:val="0"/>
          <w:numId w:val="0"/>
        </w:numPr>
        <w:ind w:left="680"/>
      </w:pPr>
    </w:p>
    <w:p w:rsidR="00532352" w:rsidRDefault="00532352" w:rsidP="00BE6527">
      <w:pPr>
        <w:pStyle w:val="Numberedtitlelevel3"/>
      </w:pPr>
      <w:r>
        <w:t>Final mapping after review of the qualitative factors</w:t>
      </w:r>
    </w:p>
    <w:p w:rsidR="00240789" w:rsidRDefault="00240789" w:rsidP="001D0E99">
      <w:pPr>
        <w:pStyle w:val="numberedparagraph"/>
      </w:pPr>
      <w:r>
        <w:t xml:space="preserve">The qualitative factors </w:t>
      </w:r>
      <w:r w:rsidR="00D248E3">
        <w:t xml:space="preserve">specified in Article </w:t>
      </w:r>
      <w:r w:rsidR="00D71D24">
        <w:t>7</w:t>
      </w:r>
      <w:r w:rsidR="001D0E99">
        <w:t xml:space="preserve"> </w:t>
      </w:r>
      <w:r w:rsidR="00AF50C6">
        <w:t xml:space="preserve">of the </w:t>
      </w:r>
      <w:r w:rsidR="00D248E3">
        <w:t xml:space="preserve">ITS </w:t>
      </w:r>
      <w:r>
        <w:t xml:space="preserve">have been used to challenge the mapping proposed by the default rate calculation. Qualitative factors acquire more </w:t>
      </w:r>
      <w:r>
        <w:lastRenderedPageBreak/>
        <w:t xml:space="preserve">importance in the rating categories where quantitative evidence is not sufficient to test the default </w:t>
      </w:r>
      <w:r w:rsidR="00D248E3">
        <w:t>behavior</w:t>
      </w:r>
      <w:r w:rsidR="003A180C">
        <w:rPr>
          <w:rStyle w:val="FootnoteReference"/>
        </w:rPr>
        <w:footnoteReference w:id="7"/>
      </w:r>
      <w:r w:rsidR="001D0E99" w:rsidRPr="001D0E99">
        <w:t>,</w:t>
      </w:r>
      <w:r w:rsidR="00D248E3">
        <w:t xml:space="preserve"> </w:t>
      </w:r>
      <w:r w:rsidR="001F027E" w:rsidRPr="001F027E">
        <w:t xml:space="preserve">as it is the case for all </w:t>
      </w:r>
      <w:r w:rsidR="0014753A">
        <w:t>Axesor</w:t>
      </w:r>
      <w:r w:rsidR="001F027E" w:rsidRPr="001F027E">
        <w:t>’s rating categories</w:t>
      </w:r>
      <w:r w:rsidR="00D248E3">
        <w:t>.</w:t>
      </w:r>
    </w:p>
    <w:p w:rsidR="00F617C8" w:rsidRDefault="00F258BF" w:rsidP="00F617C8">
      <w:pPr>
        <w:pStyle w:val="Numberedtitlelevel4"/>
      </w:pPr>
      <w:r>
        <w:t>Credit s</w:t>
      </w:r>
      <w:r w:rsidR="00F617C8">
        <w:t>cor</w:t>
      </w:r>
      <w:r w:rsidR="00923132">
        <w:t>ing</w:t>
      </w:r>
      <w:r w:rsidR="00876233">
        <w:t xml:space="preserve"> </w:t>
      </w:r>
      <w:r w:rsidR="00F617C8">
        <w:t>information</w:t>
      </w:r>
    </w:p>
    <w:p w:rsidR="00995112" w:rsidRDefault="00CF1030" w:rsidP="00D10CFF">
      <w:pPr>
        <w:pStyle w:val="numberedparagraph"/>
      </w:pPr>
      <w:r>
        <w:t xml:space="preserve">As described in the previous sections, a sufficient number of credit ratings is not available for </w:t>
      </w:r>
      <w:r w:rsidR="0014753A">
        <w:t>Axesor</w:t>
      </w:r>
      <w:r>
        <w:t xml:space="preserve">’s rating categories. However, </w:t>
      </w:r>
      <w:r w:rsidR="0014753A">
        <w:t>Axesor</w:t>
      </w:r>
      <w:r w:rsidR="00F368B4">
        <w:t xml:space="preserve"> also assigns </w:t>
      </w:r>
      <w:r w:rsidR="00F368B4" w:rsidRPr="001D0E99">
        <w:rPr>
          <w:b/>
        </w:rPr>
        <w:t>credit scorings</w:t>
      </w:r>
      <w:r w:rsidR="00F368B4">
        <w:t xml:space="preserve"> </w:t>
      </w:r>
      <w:r w:rsidR="00FA1349">
        <w:t xml:space="preserve">which represent </w:t>
      </w:r>
      <w:r>
        <w:t xml:space="preserve">a different measure of creditworthiness </w:t>
      </w:r>
      <w:r w:rsidR="00573971">
        <w:t xml:space="preserve">than can </w:t>
      </w:r>
      <w:r w:rsidR="00F368B4">
        <w:t xml:space="preserve">be </w:t>
      </w:r>
      <w:r w:rsidR="001F2314">
        <w:t xml:space="preserve">used </w:t>
      </w:r>
      <w:r w:rsidR="000302B7">
        <w:t xml:space="preserve">for </w:t>
      </w:r>
      <w:r w:rsidR="00E41D4A">
        <w:t xml:space="preserve">mapping </w:t>
      </w:r>
      <w:r w:rsidR="000302B7">
        <w:t>purpose</w:t>
      </w:r>
      <w:r w:rsidR="00E41D4A">
        <w:t>s</w:t>
      </w:r>
      <w:r w:rsidR="007270D5">
        <w:t xml:space="preserve"> according to Article 11(2) of the ITS</w:t>
      </w:r>
      <w:r>
        <w:t>.</w:t>
      </w:r>
      <w:r w:rsidR="001D0E99">
        <w:t xml:space="preserve"> </w:t>
      </w:r>
      <w:r w:rsidR="00A82CA6">
        <w:t>The empirical relationship between credit scorings and credit ratings (</w:t>
      </w:r>
      <w:r w:rsidR="00EE3755">
        <w:fldChar w:fldCharType="begin"/>
      </w:r>
      <w:r w:rsidR="00EE3755">
        <w:instrText xml:space="preserve"> REF _Ref390424496 \h </w:instrText>
      </w:r>
      <w:r w:rsidR="00EE3755">
        <w:fldChar w:fldCharType="separate"/>
      </w:r>
      <w:r w:rsidR="00A93B28" w:rsidRPr="00C16FAA">
        <w:t xml:space="preserve">Figure </w:t>
      </w:r>
      <w:r w:rsidR="00A93B28">
        <w:rPr>
          <w:noProof/>
        </w:rPr>
        <w:t>4</w:t>
      </w:r>
      <w:r w:rsidR="00EE3755">
        <w:fldChar w:fldCharType="end"/>
      </w:r>
      <w:r w:rsidR="00A82CA6">
        <w:t>)</w:t>
      </w:r>
      <w:r w:rsidR="00EE3755">
        <w:t xml:space="preserve"> </w:t>
      </w:r>
      <w:r w:rsidR="00A82CA6">
        <w:t>has been applied to the distribution of credit scorings (</w:t>
      </w:r>
      <w:r w:rsidR="001D0E99">
        <w:fldChar w:fldCharType="begin"/>
      </w:r>
      <w:r w:rsidR="001D0E99">
        <w:instrText xml:space="preserve"> REF _Ref390420877 \h </w:instrText>
      </w:r>
      <w:r w:rsidR="001D0E99">
        <w:fldChar w:fldCharType="separate"/>
      </w:r>
      <w:r w:rsidR="00A93B28" w:rsidRPr="0041788D">
        <w:rPr>
          <w:szCs w:val="22"/>
        </w:rPr>
        <w:t xml:space="preserve">Figure </w:t>
      </w:r>
      <w:r w:rsidR="00A93B28">
        <w:rPr>
          <w:noProof/>
          <w:szCs w:val="22"/>
        </w:rPr>
        <w:t>10</w:t>
      </w:r>
      <w:r w:rsidR="001D0E99">
        <w:fldChar w:fldCharType="end"/>
      </w:r>
      <w:r w:rsidR="00A82CA6">
        <w:t>)</w:t>
      </w:r>
      <w:r w:rsidR="00EE3755">
        <w:t xml:space="preserve"> to estimate the distribution of </w:t>
      </w:r>
      <w:r w:rsidR="0092128B">
        <w:t xml:space="preserve">hypothetical </w:t>
      </w:r>
      <w:r w:rsidR="00EE3755">
        <w:t xml:space="preserve">ratings in the </w:t>
      </w:r>
      <w:r w:rsidR="00916BDE">
        <w:t>scoring</w:t>
      </w:r>
      <w:r w:rsidR="00EE3755">
        <w:t xml:space="preserve"> population</w:t>
      </w:r>
      <w:r w:rsidR="00D03431">
        <w:t>. The result i</w:t>
      </w:r>
      <w:r w:rsidR="0074065A">
        <w:t>s</w:t>
      </w:r>
      <w:r w:rsidR="00D03431">
        <w:t xml:space="preserve"> shown in </w:t>
      </w:r>
      <w:r w:rsidR="001D0E99">
        <w:fldChar w:fldCharType="begin"/>
      </w:r>
      <w:r w:rsidR="001D0E99">
        <w:instrText xml:space="preserve"> REF _Ref390936292 \h </w:instrText>
      </w:r>
      <w:r w:rsidR="001D0E99">
        <w:fldChar w:fldCharType="separate"/>
      </w:r>
      <w:r w:rsidR="00A93B28" w:rsidRPr="00EE3755">
        <w:t xml:space="preserve">Figure </w:t>
      </w:r>
      <w:r w:rsidR="00A93B28">
        <w:rPr>
          <w:noProof/>
        </w:rPr>
        <w:t>11</w:t>
      </w:r>
      <w:r w:rsidR="001D0E99">
        <w:fldChar w:fldCharType="end"/>
      </w:r>
      <w:r w:rsidR="001D0E99">
        <w:t xml:space="preserve">, </w:t>
      </w:r>
      <w:r w:rsidR="001D0E99">
        <w:fldChar w:fldCharType="begin"/>
      </w:r>
      <w:r w:rsidR="001D0E99">
        <w:instrText xml:space="preserve"> REF _Ref390936298 \h </w:instrText>
      </w:r>
      <w:r w:rsidR="001D0E99">
        <w:fldChar w:fldCharType="separate"/>
      </w:r>
      <w:r w:rsidR="00A93B28" w:rsidRPr="00C16FAA">
        <w:t xml:space="preserve">Figure </w:t>
      </w:r>
      <w:r w:rsidR="00A93B28">
        <w:rPr>
          <w:noProof/>
        </w:rPr>
        <w:t>12</w:t>
      </w:r>
      <w:r w:rsidR="001D0E99">
        <w:fldChar w:fldCharType="end"/>
      </w:r>
      <w:r w:rsidR="00AB26D1">
        <w:t xml:space="preserve"> </w:t>
      </w:r>
      <w:r w:rsidR="00995112">
        <w:t xml:space="preserve">and the first columns of </w:t>
      </w:r>
      <w:r w:rsidR="001D0E99">
        <w:fldChar w:fldCharType="begin"/>
      </w:r>
      <w:r w:rsidR="001D0E99">
        <w:instrText xml:space="preserve"> REF _Ref390936321 \h </w:instrText>
      </w:r>
      <w:r w:rsidR="001D0E99">
        <w:fldChar w:fldCharType="separate"/>
      </w:r>
      <w:r w:rsidR="00A93B28" w:rsidRPr="00EE3755">
        <w:t xml:space="preserve">Figure </w:t>
      </w:r>
      <w:r w:rsidR="00A93B28">
        <w:rPr>
          <w:noProof/>
        </w:rPr>
        <w:t>13</w:t>
      </w:r>
      <w:r w:rsidR="001D0E99">
        <w:fldChar w:fldCharType="end"/>
      </w:r>
      <w:r w:rsidR="001D0E99">
        <w:t xml:space="preserve"> and </w:t>
      </w:r>
      <w:r w:rsidR="001D0E99">
        <w:fldChar w:fldCharType="begin"/>
      </w:r>
      <w:r w:rsidR="001D0E99">
        <w:instrText xml:space="preserve"> REF _Ref390433480 \h </w:instrText>
      </w:r>
      <w:r w:rsidR="001D0E99">
        <w:fldChar w:fldCharType="separate"/>
      </w:r>
      <w:r w:rsidR="00A93B28" w:rsidRPr="00EE3755">
        <w:t xml:space="preserve">Figure </w:t>
      </w:r>
      <w:r w:rsidR="00A93B28">
        <w:rPr>
          <w:noProof/>
        </w:rPr>
        <w:t>14</w:t>
      </w:r>
      <w:r w:rsidR="001D0E99">
        <w:fldChar w:fldCharType="end"/>
      </w:r>
      <w:r w:rsidR="00AB26D1">
        <w:t xml:space="preserve"> </w:t>
      </w:r>
      <w:r w:rsidR="00B2057D">
        <w:t>in</w:t>
      </w:r>
      <w:r w:rsidR="00EE3755">
        <w:t xml:space="preserve"> Appendix </w:t>
      </w:r>
      <w:r w:rsidR="00C47A7A">
        <w:t>5</w:t>
      </w:r>
      <w:r w:rsidR="00EE3755">
        <w:t xml:space="preserve">. </w:t>
      </w:r>
    </w:p>
    <w:p w:rsidR="0092128B" w:rsidRDefault="00C3575F" w:rsidP="00D10CFF">
      <w:pPr>
        <w:pStyle w:val="numberedparagraph"/>
      </w:pPr>
      <w:r>
        <w:t xml:space="preserve">Once the (hypothetical) rating distribution has been calculated, the long term default rate associated with each rating category needs to be determined. The observed default rates are not available because </w:t>
      </w:r>
      <w:r w:rsidR="0072636B">
        <w:t>defaulted and non-defaulted items cannot be distinguished during the assignment process to hypothetical rating categories. Therefore, the long run default rate</w:t>
      </w:r>
      <w:r w:rsidR="00FC7466">
        <w:rPr>
          <w:rStyle w:val="FootnoteReference"/>
        </w:rPr>
        <w:footnoteReference w:id="8"/>
      </w:r>
      <w:r w:rsidR="0072636B">
        <w:t xml:space="preserve"> of each rating category has been indirectly estimated by means of </w:t>
      </w:r>
      <w:r w:rsidR="005768CB">
        <w:t xml:space="preserve">a set of </w:t>
      </w:r>
      <w:r w:rsidR="0072636B">
        <w:t>informal test</w:t>
      </w:r>
      <w:r w:rsidR="005768CB">
        <w:t>s</w:t>
      </w:r>
      <w:r w:rsidR="00DA0CB5">
        <w:t>:</w:t>
      </w:r>
    </w:p>
    <w:p w:rsidR="00DA0CB5" w:rsidRDefault="00DA0CB5" w:rsidP="00DA0CB5">
      <w:pPr>
        <w:pStyle w:val="bullet2"/>
      </w:pPr>
      <w:r>
        <w:rPr>
          <w:rFonts w:asciiTheme="majorHAnsi" w:hAnsiTheme="majorHAnsi"/>
          <w:color w:val="000000"/>
        </w:rPr>
        <w:t>The long run default rate benchmarks corresponding to the CQS of the equivalent international rating categories have been initially assumed. In this case, AAA, AA, A, BBB, BB, B</w:t>
      </w:r>
      <w:r w:rsidR="00AB26D1">
        <w:rPr>
          <w:rFonts w:asciiTheme="majorHAnsi" w:hAnsiTheme="majorHAnsi"/>
          <w:color w:val="000000"/>
        </w:rPr>
        <w:t>, CCC, CC</w:t>
      </w:r>
      <w:r w:rsidR="00EB22EB">
        <w:rPr>
          <w:rFonts w:asciiTheme="majorHAnsi" w:hAnsiTheme="majorHAnsi"/>
          <w:color w:val="000000"/>
        </w:rPr>
        <w:t>,</w:t>
      </w:r>
      <w:r w:rsidR="00AB26D1">
        <w:rPr>
          <w:rFonts w:asciiTheme="majorHAnsi" w:hAnsiTheme="majorHAnsi"/>
          <w:color w:val="000000"/>
        </w:rPr>
        <w:t xml:space="preserve"> C</w:t>
      </w:r>
      <w:r>
        <w:rPr>
          <w:rFonts w:asciiTheme="majorHAnsi" w:hAnsiTheme="majorHAnsi"/>
          <w:color w:val="000000"/>
        </w:rPr>
        <w:t xml:space="preserve"> </w:t>
      </w:r>
      <w:r w:rsidR="00EB22EB">
        <w:rPr>
          <w:rFonts w:asciiTheme="majorHAnsi" w:hAnsiTheme="majorHAnsi"/>
          <w:color w:val="000000"/>
        </w:rPr>
        <w:t xml:space="preserve">and D </w:t>
      </w:r>
      <w:r w:rsidR="007704C7">
        <w:rPr>
          <w:rFonts w:asciiTheme="majorHAnsi" w:hAnsiTheme="majorHAnsi"/>
          <w:color w:val="000000"/>
        </w:rPr>
        <w:t xml:space="preserve">have been </w:t>
      </w:r>
      <w:r>
        <w:rPr>
          <w:rFonts w:asciiTheme="majorHAnsi" w:hAnsiTheme="majorHAnsi"/>
          <w:color w:val="000000"/>
        </w:rPr>
        <w:t>associated with 0.10%, 0.10%, 0.25%, 1.00%, 7.50%, 20.00%</w:t>
      </w:r>
      <w:r w:rsidR="00AB26D1">
        <w:rPr>
          <w:rFonts w:asciiTheme="majorHAnsi" w:hAnsiTheme="majorHAnsi"/>
          <w:color w:val="000000"/>
        </w:rPr>
        <w:t>,</w:t>
      </w:r>
      <w:r>
        <w:rPr>
          <w:rFonts w:asciiTheme="majorHAnsi" w:hAnsiTheme="majorHAnsi"/>
          <w:color w:val="000000"/>
        </w:rPr>
        <w:t xml:space="preserve"> 34.00%</w:t>
      </w:r>
      <w:r w:rsidR="00AB26D1">
        <w:rPr>
          <w:rFonts w:asciiTheme="majorHAnsi" w:hAnsiTheme="majorHAnsi"/>
          <w:color w:val="000000"/>
        </w:rPr>
        <w:t>, 34.00%</w:t>
      </w:r>
      <w:r w:rsidR="00EB22EB">
        <w:rPr>
          <w:rFonts w:asciiTheme="majorHAnsi" w:hAnsiTheme="majorHAnsi"/>
          <w:color w:val="000000"/>
        </w:rPr>
        <w:t>, 34.00%</w:t>
      </w:r>
      <w:r w:rsidR="00AB26D1">
        <w:rPr>
          <w:rFonts w:asciiTheme="majorHAnsi" w:hAnsiTheme="majorHAnsi"/>
          <w:color w:val="000000"/>
        </w:rPr>
        <w:t xml:space="preserve"> and 34.00%</w:t>
      </w:r>
      <w:r>
        <w:rPr>
          <w:rFonts w:asciiTheme="majorHAnsi" w:hAnsiTheme="majorHAnsi"/>
          <w:color w:val="000000"/>
        </w:rPr>
        <w:t xml:space="preserve"> </w:t>
      </w:r>
      <w:r w:rsidR="007E4ACA">
        <w:rPr>
          <w:rFonts w:asciiTheme="majorHAnsi" w:hAnsiTheme="majorHAnsi"/>
          <w:color w:val="000000"/>
        </w:rPr>
        <w:t xml:space="preserve">hypothetical </w:t>
      </w:r>
      <w:r>
        <w:rPr>
          <w:rFonts w:asciiTheme="majorHAnsi" w:hAnsiTheme="majorHAnsi"/>
          <w:color w:val="000000"/>
        </w:rPr>
        <w:t>long run default rates respectively.</w:t>
      </w:r>
    </w:p>
    <w:p w:rsidR="00F23934" w:rsidRDefault="00F23934" w:rsidP="00F23934">
      <w:pPr>
        <w:pStyle w:val="bullet2"/>
      </w:pPr>
      <w:r>
        <w:t xml:space="preserve">An overall benchmark-implied long run default rate has been calculated for the scoring population. This number, </w:t>
      </w:r>
      <w:r w:rsidR="00C954ED">
        <w:t>1</w:t>
      </w:r>
      <w:r w:rsidR="00D52ECF">
        <w:t>6</w:t>
      </w:r>
      <w:r>
        <w:t>.</w:t>
      </w:r>
      <w:r w:rsidR="00D52ECF">
        <w:t>7</w:t>
      </w:r>
      <w:r>
        <w:t>%, has been compared to the actually observed default rate</w:t>
      </w:r>
      <w:r>
        <w:rPr>
          <w:rStyle w:val="FootnoteReference"/>
        </w:rPr>
        <w:footnoteReference w:id="9"/>
      </w:r>
      <w:r>
        <w:t xml:space="preserve"> </w:t>
      </w:r>
      <w:r w:rsidR="00C954ED">
        <w:t>2</w:t>
      </w:r>
      <w:r>
        <w:t>.7% (see for example</w:t>
      </w:r>
      <w:r w:rsidR="00862307">
        <w:t xml:space="preserve"> </w:t>
      </w:r>
      <w:r w:rsidR="00AD15C7">
        <w:fldChar w:fldCharType="begin"/>
      </w:r>
      <w:r w:rsidR="00AD15C7">
        <w:instrText xml:space="preserve"> REF _Ref390936321 \h </w:instrText>
      </w:r>
      <w:r w:rsidR="00AD15C7">
        <w:fldChar w:fldCharType="separate"/>
      </w:r>
      <w:r w:rsidR="00A93B28" w:rsidRPr="00EE3755">
        <w:t xml:space="preserve">Figure </w:t>
      </w:r>
      <w:r w:rsidR="00A93B28">
        <w:rPr>
          <w:noProof/>
        </w:rPr>
        <w:t>13</w:t>
      </w:r>
      <w:r w:rsidR="00AD15C7">
        <w:fldChar w:fldCharType="end"/>
      </w:r>
      <w:r>
        <w:t xml:space="preserve">). The result reflects that the long run benchmark could constitute a conservative estimate of </w:t>
      </w:r>
      <w:r w:rsidR="00383FCB">
        <w:t>Axesor</w:t>
      </w:r>
      <w:r>
        <w:t xml:space="preserve">’s rating categories’ long term default rates because the implied default rate is well above the observed value. This result is reinforced by the fact that </w:t>
      </w:r>
      <w:r w:rsidR="00383FCB">
        <w:t>Axesor</w:t>
      </w:r>
      <w:r>
        <w:t>’s scoring population has been observed during a recessionary period, where default rates should be expected to be higher than their long-term level.</w:t>
      </w:r>
    </w:p>
    <w:p w:rsidR="00F23934" w:rsidRDefault="00F23934" w:rsidP="00F23934">
      <w:pPr>
        <w:pStyle w:val="bullet2"/>
      </w:pPr>
      <w:r>
        <w:t>The same test has been performed at a more granular level:</w:t>
      </w:r>
    </w:p>
    <w:p w:rsidR="00F23934" w:rsidRDefault="00AD15C7" w:rsidP="00F23934">
      <w:pPr>
        <w:pStyle w:val="bullet2"/>
        <w:numPr>
          <w:ilvl w:val="1"/>
          <w:numId w:val="1"/>
        </w:numPr>
      </w:pPr>
      <w:r>
        <w:fldChar w:fldCharType="begin"/>
      </w:r>
      <w:r>
        <w:instrText xml:space="preserve"> REF _Ref390936321 \h </w:instrText>
      </w:r>
      <w:r>
        <w:fldChar w:fldCharType="separate"/>
      </w:r>
      <w:r w:rsidR="00A93B28" w:rsidRPr="00EE3755">
        <w:t xml:space="preserve">Figure </w:t>
      </w:r>
      <w:r w:rsidR="00A93B28">
        <w:rPr>
          <w:noProof/>
        </w:rPr>
        <w:t>13</w:t>
      </w:r>
      <w:r>
        <w:fldChar w:fldCharType="end"/>
      </w:r>
      <w:r>
        <w:t xml:space="preserve"> </w:t>
      </w:r>
      <w:r w:rsidR="00F23934">
        <w:t xml:space="preserve">shows the benchmark-implied default rates of the scoring population for each date within the observation period. The levels are in all cases </w:t>
      </w:r>
      <w:r w:rsidR="00383FCB">
        <w:t xml:space="preserve">(except D rating category) </w:t>
      </w:r>
      <w:r w:rsidR="00F23934">
        <w:t xml:space="preserve">significantly above the observed default rates, especially during the first years where the economic crisis had not affected yet the </w:t>
      </w:r>
      <w:r w:rsidR="00383FCB">
        <w:t>Spanish</w:t>
      </w:r>
      <w:r w:rsidR="00F23934">
        <w:t xml:space="preserve"> firms. </w:t>
      </w:r>
    </w:p>
    <w:p w:rsidR="00F23934" w:rsidRDefault="00AD15C7" w:rsidP="00F23934">
      <w:pPr>
        <w:pStyle w:val="bullet2"/>
        <w:numPr>
          <w:ilvl w:val="1"/>
          <w:numId w:val="1"/>
        </w:numPr>
      </w:pPr>
      <w:r>
        <w:lastRenderedPageBreak/>
        <w:fldChar w:fldCharType="begin"/>
      </w:r>
      <w:r>
        <w:instrText xml:space="preserve"> REF _Ref390433480 \h </w:instrText>
      </w:r>
      <w:r>
        <w:fldChar w:fldCharType="separate"/>
      </w:r>
      <w:r w:rsidR="00A93B28" w:rsidRPr="00EE3755">
        <w:t xml:space="preserve">Figure </w:t>
      </w:r>
      <w:r w:rsidR="00A93B28">
        <w:rPr>
          <w:noProof/>
        </w:rPr>
        <w:t>14</w:t>
      </w:r>
      <w:r>
        <w:fldChar w:fldCharType="end"/>
      </w:r>
      <w:r>
        <w:t xml:space="preserve"> </w:t>
      </w:r>
      <w:r w:rsidR="00F23934">
        <w:t>shows a different breakdown of the scoring population, this time by scoring category. Again, the benchmark-implied default rates are clearly above the observed default rates</w:t>
      </w:r>
      <w:r w:rsidR="00383FCB">
        <w:t xml:space="preserve"> (</w:t>
      </w:r>
      <w:r w:rsidR="00F23934">
        <w:t>except for the AAA scoring category</w:t>
      </w:r>
      <w:r w:rsidR="00383FCB">
        <w:t>, which is not populated)</w:t>
      </w:r>
      <w:r w:rsidR="00F23934">
        <w:t>.</w:t>
      </w:r>
    </w:p>
    <w:p w:rsidR="00AD15C7" w:rsidRPr="0003502D" w:rsidRDefault="00F23934" w:rsidP="0062310C">
      <w:pPr>
        <w:pStyle w:val="numberedparagraph"/>
        <w:numPr>
          <w:ilvl w:val="0"/>
          <w:numId w:val="0"/>
        </w:numPr>
        <w:ind w:left="340"/>
        <w:rPr>
          <w:b/>
        </w:rPr>
      </w:pPr>
      <w:r>
        <w:t xml:space="preserve">Although the tests described above do not address the default rate calculation for each individual rating category, they suggest that the mapping of </w:t>
      </w:r>
      <w:r w:rsidR="00383FCB">
        <w:t>Axesor</w:t>
      </w:r>
      <w:r>
        <w:t>’s rating categories to the CQS of the equivalent rating categories in the international scale could be sufficiently prudent, at least on a portfolio basis</w:t>
      </w:r>
      <w:r>
        <w:rPr>
          <w:rStyle w:val="FootnoteReference"/>
        </w:rPr>
        <w:footnoteReference w:id="10"/>
      </w:r>
      <w:r>
        <w:t>.</w:t>
      </w:r>
      <w:r w:rsidR="00AD15C7">
        <w:t xml:space="preserve"> This i</w:t>
      </w:r>
      <w:r>
        <w:t>mplies</w:t>
      </w:r>
      <w:r w:rsidR="00AD15C7">
        <w:t xml:space="preserve"> the following consideration</w:t>
      </w:r>
      <w:r w:rsidR="0003502D">
        <w:t>:</w:t>
      </w:r>
      <w:r w:rsidR="001064B4" w:rsidRPr="0003502D">
        <w:rPr>
          <w:b/>
        </w:rPr>
        <w:t xml:space="preserve"> </w:t>
      </w:r>
      <w:r w:rsidR="001064B4">
        <w:t xml:space="preserve">this factor confirms mapping based on Article </w:t>
      </w:r>
      <w:r w:rsidR="001B4E32">
        <w:t>6</w:t>
      </w:r>
      <w:r w:rsidR="001064B4">
        <w:t>, given also the consistency with the meaning and relative position of the rating categories. Thus no change is proposed to the mapping based on this factor.</w:t>
      </w:r>
    </w:p>
    <w:p w:rsidR="00D10CFF" w:rsidRDefault="00F617C8" w:rsidP="00F617C8">
      <w:pPr>
        <w:pStyle w:val="Numberedtitlelevel4"/>
      </w:pPr>
      <w:r>
        <w:t>Other qualitative factors</w:t>
      </w:r>
    </w:p>
    <w:p w:rsidR="00240789" w:rsidRDefault="00240789" w:rsidP="00240789">
      <w:pPr>
        <w:pStyle w:val="numberedparagraph"/>
      </w:pPr>
      <w:r>
        <w:t xml:space="preserve">The </w:t>
      </w:r>
      <w:r w:rsidRPr="005E21E7">
        <w:rPr>
          <w:b/>
        </w:rPr>
        <w:t>definition of default</w:t>
      </w:r>
      <w:r>
        <w:t xml:space="preserve"> applied by </w:t>
      </w:r>
      <w:r w:rsidR="00023708">
        <w:t>Axesor</w:t>
      </w:r>
      <w:r>
        <w:t xml:space="preserve"> and used for the calculation of the quantitative factors has been analysed:</w:t>
      </w:r>
    </w:p>
    <w:p w:rsidR="00240789" w:rsidRPr="005E21E7" w:rsidRDefault="00240789" w:rsidP="00240789">
      <w:pPr>
        <w:pStyle w:val="bullet2"/>
        <w:rPr>
          <w:b/>
        </w:rPr>
      </w:pPr>
      <w:r>
        <w:t xml:space="preserve">The types of default events considered are shown in </w:t>
      </w:r>
      <w:r w:rsidR="002B6F3D">
        <w:t>Appendix</w:t>
      </w:r>
      <w:r>
        <w:t xml:space="preserve"> </w:t>
      </w:r>
      <w:r w:rsidR="0087101F">
        <w:t>3</w:t>
      </w:r>
      <w:r>
        <w:t xml:space="preserve"> and are </w:t>
      </w:r>
      <w:r w:rsidR="0003593B">
        <w:t>consistent with point (a) of</w:t>
      </w:r>
      <w:r>
        <w:t xml:space="preserve"> </w:t>
      </w:r>
      <w:r w:rsidR="00DD227B">
        <w:t xml:space="preserve">Article </w:t>
      </w:r>
      <w:r w:rsidR="00920911">
        <w:t>4</w:t>
      </w:r>
      <w:r w:rsidR="00DD227B">
        <w:t>(</w:t>
      </w:r>
      <w:r w:rsidR="00920911">
        <w:t>4</w:t>
      </w:r>
      <w:r w:rsidR="00DD227B">
        <w:t>)</w:t>
      </w:r>
      <w:r w:rsidR="00CA3B58">
        <w:t xml:space="preserve"> of the </w:t>
      </w:r>
      <w:r>
        <w:t>ITS</w:t>
      </w:r>
      <w:r w:rsidR="00EB22EB">
        <w:t xml:space="preserve">, i.e. bankruptcy </w:t>
      </w:r>
      <w:r w:rsidR="0003593B">
        <w:t>filing or legal receivership</w:t>
      </w:r>
      <w:r>
        <w:t xml:space="preserve">. </w:t>
      </w:r>
      <w:r w:rsidR="0003593B">
        <w:t xml:space="preserve">Rating category </w:t>
      </w:r>
      <w:r w:rsidR="000E2E27">
        <w:t>E</w:t>
      </w:r>
      <w:r w:rsidR="00DC6EE3">
        <w:t xml:space="preserve"> </w:t>
      </w:r>
      <w:r w:rsidRPr="00DF5267">
        <w:t xml:space="preserve">is </w:t>
      </w:r>
      <w:r w:rsidR="00C27095">
        <w:t xml:space="preserve">therefore </w:t>
      </w:r>
      <w:r w:rsidRPr="00DF5267">
        <w:t xml:space="preserve">consistent with letter </w:t>
      </w:r>
      <w:r w:rsidR="000E2E27">
        <w:t xml:space="preserve">(a) </w:t>
      </w:r>
      <w:r w:rsidRPr="00DF5267">
        <w:t>of the benchmark definition</w:t>
      </w:r>
      <w:r w:rsidR="00DD227B">
        <w:t>.</w:t>
      </w:r>
    </w:p>
    <w:p w:rsidR="00DD227B" w:rsidRPr="005E21E7" w:rsidRDefault="0003593B" w:rsidP="00E74913">
      <w:pPr>
        <w:pStyle w:val="bullet2"/>
        <w:rPr>
          <w:b/>
        </w:rPr>
      </w:pPr>
      <w:r>
        <w:rPr>
          <w:szCs w:val="24"/>
        </w:rPr>
        <w:t xml:space="preserve">The information </w:t>
      </w:r>
      <w:r w:rsidR="00E726E8">
        <w:rPr>
          <w:szCs w:val="24"/>
        </w:rPr>
        <w:t>provided by</w:t>
      </w:r>
      <w:r>
        <w:rPr>
          <w:szCs w:val="24"/>
        </w:rPr>
        <w:t xml:space="preserve"> Axesor</w:t>
      </w:r>
      <w:r w:rsidR="00E726E8">
        <w:rPr>
          <w:szCs w:val="24"/>
        </w:rPr>
        <w:t xml:space="preserve"> reveals that </w:t>
      </w:r>
      <w:r>
        <w:rPr>
          <w:szCs w:val="24"/>
        </w:rPr>
        <w:t>the share of bankruptcy-related events</w:t>
      </w:r>
      <w:r w:rsidR="00E726E8">
        <w:rPr>
          <w:szCs w:val="24"/>
        </w:rPr>
        <w:t xml:space="preserve"> is equal to 90%</w:t>
      </w:r>
      <w:r w:rsidR="00DD227B">
        <w:t>.</w:t>
      </w:r>
      <w:r w:rsidR="00B9645B">
        <w:t xml:space="preserve"> </w:t>
      </w:r>
      <w:r w:rsidR="00DD227B">
        <w:t xml:space="preserve">Therefore, </w:t>
      </w:r>
      <w:r w:rsidR="00161636">
        <w:t xml:space="preserve">in accordance with </w:t>
      </w:r>
      <w:r w:rsidR="00E726E8">
        <w:t xml:space="preserve">Article </w:t>
      </w:r>
      <w:r w:rsidR="00737BB6">
        <w:t>8</w:t>
      </w:r>
      <w:r w:rsidR="00E726E8">
        <w:t xml:space="preserve"> </w:t>
      </w:r>
      <w:r w:rsidR="00161636">
        <w:t xml:space="preserve">ITS, the default rate is </w:t>
      </w:r>
      <w:r w:rsidR="00622BD9">
        <w:t>multiplied</w:t>
      </w:r>
      <w:r w:rsidR="00161636">
        <w:t xml:space="preserve"> by 1</w:t>
      </w:r>
      <w:r w:rsidR="00E726E8">
        <w:t>8</w:t>
      </w:r>
      <w:r w:rsidR="00161636">
        <w:t>0%</w:t>
      </w:r>
      <w:r w:rsidR="00622BD9">
        <w:rPr>
          <w:rStyle w:val="FootnoteReference"/>
        </w:rPr>
        <w:footnoteReference w:id="11"/>
      </w:r>
      <w:r w:rsidR="00DD227B">
        <w:t>.</w:t>
      </w:r>
      <w:r>
        <w:t xml:space="preserve"> Following the </w:t>
      </w:r>
      <w:r w:rsidR="00161636">
        <w:t>adjustment</w:t>
      </w:r>
      <w:r>
        <w:t>, the Axesor default rates are still significantly lower than the hypothetical default rates. Therefore, the initial mapping proposal is reinforced.</w:t>
      </w:r>
    </w:p>
    <w:p w:rsidR="005C40AB" w:rsidRDefault="00405671" w:rsidP="005C40AB">
      <w:pPr>
        <w:pStyle w:val="numberedparagraph"/>
      </w:pPr>
      <w:r>
        <w:t xml:space="preserve">Regarding </w:t>
      </w:r>
      <w:r w:rsidRPr="00405671">
        <w:rPr>
          <w:b/>
        </w:rPr>
        <w:t>the meaning and relative position of the credit assessments</w:t>
      </w:r>
      <w:r>
        <w:t xml:space="preserve">, its meaning is consistent with the one of CQS 6 stated in Annex II </w:t>
      </w:r>
      <w:r w:rsidR="00215452">
        <w:t>I</w:t>
      </w:r>
      <w:r>
        <w:t>TS.</w:t>
      </w:r>
    </w:p>
    <w:p w:rsidR="00240789" w:rsidRDefault="00240789" w:rsidP="00240789">
      <w:pPr>
        <w:pStyle w:val="numberedparagraph"/>
      </w:pPr>
      <w:r>
        <w:t xml:space="preserve">Regarding the </w:t>
      </w:r>
      <w:r w:rsidRPr="00164E5D">
        <w:rPr>
          <w:b/>
        </w:rPr>
        <w:t>time horizon</w:t>
      </w:r>
      <w:r>
        <w:t xml:space="preserve"> reflected by the rating category, </w:t>
      </w:r>
      <w:r w:rsidR="0003593B">
        <w:t>Axesor</w:t>
      </w:r>
      <w:r w:rsidR="001B3A5E">
        <w:t xml:space="preserve">’s rating methodology </w:t>
      </w:r>
      <w:r w:rsidR="003C70FC">
        <w:t>focuses on the long-term</w:t>
      </w:r>
      <w:r w:rsidR="00FF7BCD">
        <w:t>.</w:t>
      </w:r>
      <w:r w:rsidR="00FF7BCD" w:rsidRPr="00FF7BCD">
        <w:t xml:space="preserve"> </w:t>
      </w:r>
      <w:r w:rsidR="00FF7BCD">
        <w:t>Although this cannot be further supported by transition probabilities due to the low number of ratings, no change is proposed to the mapping</w:t>
      </w:r>
      <w:r w:rsidR="00DE79E9">
        <w:t>.</w:t>
      </w:r>
    </w:p>
    <w:p w:rsidR="00B903B8" w:rsidRDefault="00B903B8" w:rsidP="00240789">
      <w:pPr>
        <w:pStyle w:val="numberedparagraph"/>
      </w:pPr>
      <w:r>
        <w:t xml:space="preserve">Finally, </w:t>
      </w:r>
      <w:r w:rsidR="00B16CDE">
        <w:t xml:space="preserve">it should be highlighted the use of </w:t>
      </w:r>
      <w:r w:rsidR="007C05FC">
        <w:t xml:space="preserve">the long run default rate benchmark associated with the equivalent category in the international rating scale as the </w:t>
      </w:r>
      <w:r w:rsidR="00125AFF" w:rsidRPr="00125AFF">
        <w:rPr>
          <w:b/>
        </w:rPr>
        <w:t>estimate of the long run default rate</w:t>
      </w:r>
      <w:r w:rsidR="00125AFF">
        <w:t xml:space="preserve"> for </w:t>
      </w:r>
      <w:r w:rsidR="0087101F">
        <w:t xml:space="preserve">(1) </w:t>
      </w:r>
      <w:r w:rsidR="00125AFF">
        <w:t>the calculation of the quantitative factor of</w:t>
      </w:r>
      <w:r w:rsidR="007C05FC">
        <w:t xml:space="preserve"> </w:t>
      </w:r>
      <w:r w:rsidR="001A6135">
        <w:t xml:space="preserve">all </w:t>
      </w:r>
      <w:r w:rsidR="007C05FC">
        <w:t>rating categories</w:t>
      </w:r>
      <w:r w:rsidR="008A6EFA">
        <w:t xml:space="preserve"> under Article </w:t>
      </w:r>
      <w:r w:rsidR="000D2C90">
        <w:t>6</w:t>
      </w:r>
      <w:r w:rsidR="008A6EFA">
        <w:t xml:space="preserve"> ITS</w:t>
      </w:r>
      <w:r w:rsidR="0087101F">
        <w:t xml:space="preserve"> and (2) the assessment of the credit scoring </w:t>
      </w:r>
      <w:r w:rsidR="002015DD">
        <w:t>(</w:t>
      </w:r>
      <w:r w:rsidR="0087101F">
        <w:t>default</w:t>
      </w:r>
      <w:r w:rsidR="002015DD">
        <w:t>)</w:t>
      </w:r>
      <w:r w:rsidR="0087101F">
        <w:t xml:space="preserve"> information</w:t>
      </w:r>
      <w:r w:rsidR="007C05FC">
        <w:t>.</w:t>
      </w:r>
    </w:p>
    <w:p w:rsidR="00B930A4" w:rsidRDefault="00B930A4" w:rsidP="003F60D2">
      <w:pPr>
        <w:pStyle w:val="numberedparagraph"/>
        <w:numPr>
          <w:ilvl w:val="0"/>
          <w:numId w:val="0"/>
        </w:numPr>
        <w:ind w:left="284" w:hanging="284"/>
        <w:sectPr w:rsidR="00B930A4" w:rsidSect="002F6CF0">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titlePg/>
          <w:docGrid w:linePitch="299"/>
        </w:sectPr>
      </w:pPr>
      <w:r>
        <w:br w:type="page"/>
      </w:r>
    </w:p>
    <w:p w:rsidR="00F434D1" w:rsidRPr="00BE6527" w:rsidRDefault="00F434D1" w:rsidP="003F60D2">
      <w:pPr>
        <w:pStyle w:val="Titlelevel2"/>
        <w:outlineLvl w:val="0"/>
      </w:pPr>
      <w:r w:rsidRPr="00BE6527">
        <w:lastRenderedPageBreak/>
        <w:t xml:space="preserve">Appendix 1: </w:t>
      </w:r>
      <w:r w:rsidRPr="00BE6527">
        <w:tab/>
        <w:t>Credit ratings and rating scales</w:t>
      </w:r>
    </w:p>
    <w:p w:rsidR="00892B01" w:rsidRDefault="0041788D" w:rsidP="0003502D">
      <w:pPr>
        <w:pStyle w:val="Figuretitle"/>
      </w:pPr>
      <w:bookmarkStart w:id="4" w:name="_Ref384801505"/>
      <w:bookmarkStart w:id="5" w:name="_Toc239218820"/>
      <w:bookmarkStart w:id="6" w:name="_Toc239234626"/>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A93B28">
        <w:rPr>
          <w:szCs w:val="22"/>
        </w:rPr>
        <w:t>2</w:t>
      </w:r>
      <w:r w:rsidRPr="0041788D">
        <w:rPr>
          <w:szCs w:val="22"/>
        </w:rPr>
        <w:fldChar w:fldCharType="end"/>
      </w:r>
      <w:bookmarkEnd w:id="4"/>
      <w:r w:rsidRPr="0041788D">
        <w:rPr>
          <w:szCs w:val="22"/>
        </w:rPr>
        <w:t xml:space="preserve">: </w:t>
      </w:r>
      <w:bookmarkEnd w:id="5"/>
      <w:bookmarkEnd w:id="6"/>
      <w:r w:rsidR="0006366F">
        <w:rPr>
          <w:szCs w:val="22"/>
        </w:rPr>
        <w:t>Axesor</w:t>
      </w:r>
      <w:r w:rsidR="00892B01" w:rsidRPr="00892B01">
        <w:t>’s relevant credit ratings and rating scales</w:t>
      </w:r>
    </w:p>
    <w:tbl>
      <w:tblPr>
        <w:tblStyle w:val="EBAtable"/>
        <w:tblW w:w="11845" w:type="dxa"/>
        <w:tblLayout w:type="fixed"/>
        <w:tblLook w:val="04A0" w:firstRow="1" w:lastRow="0" w:firstColumn="1" w:lastColumn="0" w:noHBand="0" w:noVBand="1"/>
      </w:tblPr>
      <w:tblGrid>
        <w:gridCol w:w="4023"/>
        <w:gridCol w:w="4098"/>
        <w:gridCol w:w="3724"/>
      </w:tblGrid>
      <w:tr w:rsidR="00892B01" w:rsidRPr="00612352" w:rsidTr="00E11150">
        <w:trPr>
          <w:cnfStyle w:val="100000000000" w:firstRow="1" w:lastRow="0" w:firstColumn="0" w:lastColumn="0" w:oddVBand="0" w:evenVBand="0" w:oddHBand="0" w:evenHBand="0" w:firstRowFirstColumn="0" w:firstRowLastColumn="0" w:lastRowFirstColumn="0" w:lastRowLastColumn="0"/>
        </w:trPr>
        <w:tc>
          <w:tcPr>
            <w:tcW w:w="4023" w:type="dxa"/>
          </w:tcPr>
          <w:p w:rsidR="00892B01" w:rsidRPr="00612352" w:rsidRDefault="00892B01" w:rsidP="007036AB">
            <w:pPr>
              <w:pStyle w:val="Tableheader"/>
              <w:spacing w:before="120"/>
              <w:rPr>
                <w:lang w:val="en-GB"/>
              </w:rPr>
            </w:pPr>
            <w:r w:rsidRPr="00892B01">
              <w:t>SA exposure classes</w:t>
            </w:r>
          </w:p>
        </w:tc>
        <w:tc>
          <w:tcPr>
            <w:tcW w:w="4098" w:type="dxa"/>
          </w:tcPr>
          <w:p w:rsidR="00892B01" w:rsidRPr="00612352" w:rsidRDefault="00892B01" w:rsidP="007036AB">
            <w:pPr>
              <w:pStyle w:val="Tableheader"/>
              <w:spacing w:before="120"/>
              <w:rPr>
                <w:lang w:val="en-GB"/>
              </w:rPr>
            </w:pPr>
            <w:r w:rsidRPr="00892B01">
              <w:rPr>
                <w:lang w:val="en-GB"/>
              </w:rPr>
              <w:t>Name of credit rating</w:t>
            </w:r>
          </w:p>
        </w:tc>
        <w:tc>
          <w:tcPr>
            <w:tcW w:w="3724" w:type="dxa"/>
          </w:tcPr>
          <w:p w:rsidR="00892B01" w:rsidRPr="00612352" w:rsidRDefault="00892B01" w:rsidP="007036AB">
            <w:pPr>
              <w:pStyle w:val="Tableheader"/>
              <w:spacing w:before="120"/>
              <w:rPr>
                <w:lang w:val="en-GB"/>
              </w:rPr>
            </w:pPr>
            <w:r w:rsidRPr="00892B01">
              <w:t>Credit rating scale</w:t>
            </w:r>
          </w:p>
        </w:tc>
      </w:tr>
      <w:tr w:rsidR="00892B01" w:rsidRPr="00612352" w:rsidTr="001512D3">
        <w:tc>
          <w:tcPr>
            <w:tcW w:w="4023" w:type="dxa"/>
            <w:tcBorders>
              <w:bottom w:val="single" w:sz="2" w:space="0" w:color="000000" w:themeColor="text1"/>
            </w:tcBorders>
            <w:vAlign w:val="top"/>
          </w:tcPr>
          <w:p w:rsidR="00892B01" w:rsidRPr="00892B01" w:rsidRDefault="00892B01" w:rsidP="00245FF8">
            <w:pPr>
              <w:spacing w:before="120" w:after="120"/>
              <w:rPr>
                <w:b/>
              </w:rPr>
            </w:pPr>
            <w:r w:rsidRPr="00892B01">
              <w:rPr>
                <w:b/>
              </w:rPr>
              <w:t>Long-term ratings</w:t>
            </w:r>
          </w:p>
        </w:tc>
        <w:tc>
          <w:tcPr>
            <w:tcW w:w="4098" w:type="dxa"/>
            <w:tcBorders>
              <w:bottom w:val="single" w:sz="2" w:space="0" w:color="000000" w:themeColor="text1"/>
            </w:tcBorders>
            <w:vAlign w:val="top"/>
          </w:tcPr>
          <w:p w:rsidR="00892B01" w:rsidRPr="0002510A" w:rsidRDefault="00892B01" w:rsidP="00245FF8">
            <w:pPr>
              <w:spacing w:before="120" w:after="120"/>
            </w:pPr>
          </w:p>
        </w:tc>
        <w:tc>
          <w:tcPr>
            <w:tcW w:w="3724" w:type="dxa"/>
            <w:tcBorders>
              <w:bottom w:val="single" w:sz="2" w:space="0" w:color="000000" w:themeColor="text1"/>
            </w:tcBorders>
            <w:vAlign w:val="top"/>
          </w:tcPr>
          <w:p w:rsidR="00892B01" w:rsidRDefault="00892B01" w:rsidP="00245FF8">
            <w:pPr>
              <w:spacing w:before="120" w:after="120"/>
            </w:pPr>
          </w:p>
        </w:tc>
      </w:tr>
      <w:tr w:rsidR="00DD73F2" w:rsidRPr="00612352" w:rsidTr="00740863">
        <w:tc>
          <w:tcPr>
            <w:tcW w:w="4023" w:type="dxa"/>
            <w:tcBorders>
              <w:top w:val="single" w:sz="2" w:space="0" w:color="000000" w:themeColor="text1"/>
              <w:bottom w:val="single" w:sz="4" w:space="0" w:color="auto"/>
            </w:tcBorders>
            <w:vAlign w:val="top"/>
          </w:tcPr>
          <w:p w:rsidR="00DD73F2" w:rsidRPr="001B32F8" w:rsidRDefault="00DD73F2" w:rsidP="00245FF8">
            <w:pPr>
              <w:spacing w:before="120" w:after="120"/>
            </w:pPr>
            <w:r w:rsidRPr="001B32F8">
              <w:t>Corporates</w:t>
            </w:r>
          </w:p>
        </w:tc>
        <w:tc>
          <w:tcPr>
            <w:tcW w:w="4098" w:type="dxa"/>
            <w:tcBorders>
              <w:top w:val="single" w:sz="2" w:space="0" w:color="000000" w:themeColor="text1"/>
              <w:bottom w:val="single" w:sz="4" w:space="0" w:color="auto"/>
            </w:tcBorders>
          </w:tcPr>
          <w:p w:rsidR="00DD73F2" w:rsidRPr="001B32F8" w:rsidRDefault="00DD73F2" w:rsidP="001512D3">
            <w:pPr>
              <w:spacing w:before="120" w:after="120"/>
            </w:pPr>
            <w:r>
              <w:rPr>
                <w:rFonts w:ascii="Calibri" w:hAnsi="Calibri"/>
                <w:color w:val="000000"/>
                <w:szCs w:val="22"/>
              </w:rPr>
              <w:t>Long-term corporate rating</w:t>
            </w:r>
          </w:p>
        </w:tc>
        <w:tc>
          <w:tcPr>
            <w:tcW w:w="3724" w:type="dxa"/>
            <w:tcBorders>
              <w:top w:val="single" w:sz="2" w:space="0" w:color="000000" w:themeColor="text1"/>
              <w:bottom w:val="single" w:sz="4" w:space="0" w:color="auto"/>
            </w:tcBorders>
          </w:tcPr>
          <w:p w:rsidR="00DD73F2" w:rsidRPr="001B32F8" w:rsidRDefault="00DD73F2" w:rsidP="001512D3">
            <w:pPr>
              <w:spacing w:before="120" w:after="120"/>
            </w:pPr>
            <w:r w:rsidRPr="00740863">
              <w:rPr>
                <w:rFonts w:ascii="Calibri" w:hAnsi="Calibri"/>
                <w:bCs/>
                <w:color w:val="000000"/>
                <w:szCs w:val="22"/>
              </w:rPr>
              <w:t>Global rating scale</w:t>
            </w:r>
          </w:p>
        </w:tc>
      </w:tr>
    </w:tbl>
    <w:p w:rsidR="00175032" w:rsidRDefault="00175032" w:rsidP="0003502D">
      <w:pPr>
        <w:pStyle w:val="FootnoteText"/>
      </w:pPr>
      <w:r>
        <w:t xml:space="preserve">Source: </w:t>
      </w:r>
      <w:r w:rsidR="0006366F">
        <w:t>Axesor</w:t>
      </w:r>
    </w:p>
    <w:p w:rsidR="00245FF8" w:rsidRPr="003B1591" w:rsidRDefault="002C3E7A" w:rsidP="0003502D">
      <w:pPr>
        <w:pStyle w:val="Figuretitle"/>
      </w:pPr>
      <w:r>
        <w:br w:type="page"/>
      </w:r>
      <w:bookmarkStart w:id="7" w:name="_Ref384802193"/>
      <w:r w:rsidR="0041788D" w:rsidRPr="0041788D">
        <w:rPr>
          <w:szCs w:val="22"/>
        </w:rPr>
        <w:lastRenderedPageBreak/>
        <w:t xml:space="preserve">Figure </w:t>
      </w:r>
      <w:r w:rsidR="0041788D" w:rsidRPr="0041788D">
        <w:rPr>
          <w:szCs w:val="22"/>
        </w:rPr>
        <w:fldChar w:fldCharType="begin"/>
      </w:r>
      <w:r w:rsidR="0041788D" w:rsidRPr="0041788D">
        <w:rPr>
          <w:szCs w:val="22"/>
        </w:rPr>
        <w:instrText xml:space="preserve"> SEQ Figure \* ARABIC </w:instrText>
      </w:r>
      <w:r w:rsidR="0041788D" w:rsidRPr="0041788D">
        <w:rPr>
          <w:szCs w:val="22"/>
        </w:rPr>
        <w:fldChar w:fldCharType="separate"/>
      </w:r>
      <w:r w:rsidR="00A93B28">
        <w:rPr>
          <w:szCs w:val="22"/>
        </w:rPr>
        <w:t>3</w:t>
      </w:r>
      <w:r w:rsidR="0041788D" w:rsidRPr="0041788D">
        <w:rPr>
          <w:szCs w:val="22"/>
        </w:rPr>
        <w:fldChar w:fldCharType="end"/>
      </w:r>
      <w:bookmarkEnd w:id="7"/>
      <w:r w:rsidR="00B32405">
        <w:t>:</w:t>
      </w:r>
      <w:r w:rsidR="00245FF8" w:rsidRPr="003B1591">
        <w:t xml:space="preserve"> </w:t>
      </w:r>
      <w:r w:rsidR="008D2E06">
        <w:t>L</w:t>
      </w:r>
      <w:r w:rsidR="00B24FB5">
        <w:t xml:space="preserve">ong-term </w:t>
      </w:r>
      <w:r w:rsidR="008D2E06">
        <w:t xml:space="preserve">issuer credit </w:t>
      </w:r>
      <w:r w:rsidR="00B24FB5">
        <w:t>rating scale</w:t>
      </w:r>
    </w:p>
    <w:tbl>
      <w:tblPr>
        <w:tblStyle w:val="TableGrid"/>
        <w:tblW w:w="13750" w:type="dxa"/>
        <w:tblInd w:w="108" w:type="dxa"/>
        <w:tblLook w:val="04A0" w:firstRow="1" w:lastRow="0" w:firstColumn="1" w:lastColumn="0" w:noHBand="0" w:noVBand="1"/>
      </w:tblPr>
      <w:tblGrid>
        <w:gridCol w:w="1418"/>
        <w:gridCol w:w="12332"/>
      </w:tblGrid>
      <w:tr w:rsidR="00245FF8" w:rsidRPr="00245FF8" w:rsidTr="00245FF8">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Credit assessment</w:t>
            </w:r>
          </w:p>
        </w:tc>
        <w:tc>
          <w:tcPr>
            <w:tcW w:w="12332"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Meaning of the credit assessment</w:t>
            </w:r>
          </w:p>
        </w:tc>
      </w:tr>
      <w:tr w:rsidR="001512D3" w:rsidRPr="001512D3" w:rsidTr="00A93289">
        <w:tc>
          <w:tcPr>
            <w:tcW w:w="1418" w:type="dxa"/>
            <w:tcBorders>
              <w:top w:val="single" w:sz="18" w:space="0" w:color="E98E31" w:themeColor="background2"/>
              <w:bottom w:val="dashed" w:sz="4" w:space="0" w:color="auto"/>
            </w:tcBorders>
          </w:tcPr>
          <w:p w:rsidR="001512D3" w:rsidRPr="00245FF8" w:rsidRDefault="001512D3"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AAA</w:t>
            </w:r>
          </w:p>
        </w:tc>
        <w:tc>
          <w:tcPr>
            <w:tcW w:w="12332" w:type="dxa"/>
            <w:tcBorders>
              <w:top w:val="single" w:sz="18" w:space="0" w:color="E98E31" w:themeColor="background2"/>
              <w:bottom w:val="dashed" w:sz="4" w:space="0" w:color="auto"/>
            </w:tcBorders>
            <w:vAlign w:val="top"/>
          </w:tcPr>
          <w:p w:rsidR="001512D3" w:rsidRPr="001512D3" w:rsidRDefault="008D2E06" w:rsidP="008D2E06">
            <w:pPr>
              <w:pStyle w:val="BodyText1"/>
              <w:spacing w:before="120" w:after="120"/>
              <w:rPr>
                <w:rFonts w:asciiTheme="minorHAnsi" w:hAnsiTheme="minorHAnsi"/>
                <w:sz w:val="22"/>
                <w:szCs w:val="22"/>
              </w:rPr>
            </w:pPr>
            <w:r>
              <w:rPr>
                <w:rFonts w:asciiTheme="minorHAnsi" w:hAnsiTheme="minorHAnsi"/>
                <w:sz w:val="22"/>
                <w:szCs w:val="22"/>
              </w:rPr>
              <w:t>Maximum c</w:t>
            </w:r>
            <w:r w:rsidR="00743086" w:rsidRPr="00743086">
              <w:rPr>
                <w:rFonts w:asciiTheme="minorHAnsi" w:hAnsiTheme="minorHAnsi"/>
                <w:sz w:val="22"/>
                <w:szCs w:val="22"/>
              </w:rPr>
              <w:t xml:space="preserve">redit </w:t>
            </w:r>
            <w:r>
              <w:rPr>
                <w:rFonts w:asciiTheme="minorHAnsi" w:hAnsiTheme="minorHAnsi"/>
                <w:sz w:val="22"/>
                <w:szCs w:val="22"/>
              </w:rPr>
              <w:t>q</w:t>
            </w:r>
            <w:r w:rsidR="00743086" w:rsidRPr="00743086">
              <w:rPr>
                <w:rFonts w:asciiTheme="minorHAnsi" w:hAnsiTheme="minorHAnsi"/>
                <w:sz w:val="22"/>
                <w:szCs w:val="22"/>
              </w:rPr>
              <w:t>uality Excellent company's capacity to meet its</w:t>
            </w:r>
            <w:r w:rsidR="00743086">
              <w:rPr>
                <w:rFonts w:asciiTheme="minorHAnsi" w:hAnsiTheme="minorHAnsi"/>
                <w:sz w:val="22"/>
                <w:szCs w:val="22"/>
              </w:rPr>
              <w:t xml:space="preserve"> </w:t>
            </w:r>
            <w:r w:rsidR="00743086" w:rsidRPr="00743086">
              <w:rPr>
                <w:rFonts w:asciiTheme="minorHAnsi" w:hAnsiTheme="minorHAnsi"/>
                <w:sz w:val="22"/>
                <w:szCs w:val="22"/>
              </w:rPr>
              <w:t>payment obligations. It is reliable with regards to timely payment</w:t>
            </w:r>
            <w:r w:rsidR="00743086">
              <w:rPr>
                <w:rFonts w:asciiTheme="minorHAnsi" w:hAnsiTheme="minorHAnsi"/>
                <w:sz w:val="22"/>
                <w:szCs w:val="22"/>
              </w:rPr>
              <w:t xml:space="preserve"> </w:t>
            </w:r>
            <w:r w:rsidR="00743086" w:rsidRPr="00743086">
              <w:rPr>
                <w:rFonts w:asciiTheme="minorHAnsi" w:hAnsiTheme="minorHAnsi"/>
                <w:sz w:val="22"/>
                <w:szCs w:val="22"/>
              </w:rPr>
              <w:t>of future financial obligations.</w:t>
            </w:r>
          </w:p>
        </w:tc>
      </w:tr>
      <w:tr w:rsidR="008D2E06" w:rsidRPr="00245FF8" w:rsidTr="00740863">
        <w:tc>
          <w:tcPr>
            <w:tcW w:w="1418" w:type="dxa"/>
            <w:tcBorders>
              <w:bottom w:val="dashed" w:sz="4" w:space="0" w:color="auto"/>
            </w:tcBorders>
          </w:tcPr>
          <w:p w:rsidR="008D2E06" w:rsidRPr="00245FF8" w:rsidRDefault="008D2E06"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AA</w:t>
            </w:r>
          </w:p>
        </w:tc>
        <w:tc>
          <w:tcPr>
            <w:tcW w:w="12332" w:type="dxa"/>
            <w:tcBorders>
              <w:bottom w:val="dashed" w:sz="4" w:space="0" w:color="auto"/>
            </w:tcBorders>
          </w:tcPr>
          <w:p w:rsidR="008D2E06" w:rsidRPr="008D2E06" w:rsidRDefault="008D2E06" w:rsidP="00740863">
            <w:pPr>
              <w:pStyle w:val="BodyText1"/>
              <w:spacing w:before="120" w:after="120"/>
              <w:jc w:val="left"/>
              <w:rPr>
                <w:rFonts w:asciiTheme="minorHAnsi" w:hAnsiTheme="minorHAnsi" w:cs="Arial"/>
                <w:sz w:val="22"/>
                <w:szCs w:val="22"/>
              </w:rPr>
            </w:pPr>
            <w:r w:rsidRPr="00740863">
              <w:rPr>
                <w:rFonts w:asciiTheme="minorHAnsi" w:hAnsiTheme="minorHAnsi" w:cs="Arial"/>
                <w:sz w:val="22"/>
                <w:szCs w:val="22"/>
              </w:rPr>
              <w:t>It has a high capacity level to meet its credit obligations, even in the event of any potential changes in the financial environment.</w:t>
            </w:r>
          </w:p>
        </w:tc>
      </w:tr>
      <w:tr w:rsidR="008D2E06" w:rsidRPr="00245FF8" w:rsidTr="00740863">
        <w:tc>
          <w:tcPr>
            <w:tcW w:w="1418" w:type="dxa"/>
            <w:tcBorders>
              <w:bottom w:val="dashed" w:sz="4" w:space="0" w:color="auto"/>
            </w:tcBorders>
          </w:tcPr>
          <w:p w:rsidR="008D2E06" w:rsidRPr="00245FF8" w:rsidRDefault="008D2E06"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w:t>
            </w:r>
          </w:p>
        </w:tc>
        <w:tc>
          <w:tcPr>
            <w:tcW w:w="12332" w:type="dxa"/>
            <w:tcBorders>
              <w:bottom w:val="dashed" w:sz="4" w:space="0" w:color="auto"/>
            </w:tcBorders>
          </w:tcPr>
          <w:p w:rsidR="008D2E06" w:rsidRPr="008D2E06" w:rsidRDefault="008D2E06" w:rsidP="00F8498F">
            <w:pPr>
              <w:pStyle w:val="BodyText1"/>
              <w:spacing w:before="120" w:after="120"/>
              <w:jc w:val="left"/>
              <w:rPr>
                <w:rFonts w:asciiTheme="minorHAnsi" w:hAnsiTheme="minorHAnsi" w:cs="Arial"/>
                <w:sz w:val="22"/>
                <w:szCs w:val="22"/>
              </w:rPr>
            </w:pPr>
            <w:r w:rsidRPr="00740863">
              <w:rPr>
                <w:rFonts w:asciiTheme="minorHAnsi" w:hAnsiTheme="minorHAnsi" w:cs="Arial"/>
                <w:sz w:val="22"/>
                <w:szCs w:val="22"/>
              </w:rPr>
              <w:t>Strong capacity to meet its credit obligations. However, this rating may deteriorate in the event of moderately adverse changes in the financial.</w:t>
            </w:r>
          </w:p>
        </w:tc>
      </w:tr>
      <w:tr w:rsidR="008D2E06" w:rsidRPr="00245FF8" w:rsidTr="00740863">
        <w:tc>
          <w:tcPr>
            <w:tcW w:w="1418" w:type="dxa"/>
          </w:tcPr>
          <w:p w:rsidR="008D2E06" w:rsidRPr="00245FF8" w:rsidRDefault="008D2E06"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BBB</w:t>
            </w:r>
          </w:p>
        </w:tc>
        <w:tc>
          <w:tcPr>
            <w:tcW w:w="12332" w:type="dxa"/>
          </w:tcPr>
          <w:p w:rsidR="008D2E06" w:rsidRPr="008D2E06" w:rsidRDefault="008D2E06" w:rsidP="00740863">
            <w:pPr>
              <w:pStyle w:val="BodyText1"/>
              <w:spacing w:before="120" w:after="120"/>
              <w:jc w:val="left"/>
              <w:rPr>
                <w:rFonts w:asciiTheme="minorHAnsi" w:hAnsiTheme="minorHAnsi" w:cs="Arial"/>
                <w:sz w:val="22"/>
                <w:szCs w:val="22"/>
              </w:rPr>
            </w:pPr>
            <w:r w:rsidRPr="00740863">
              <w:rPr>
                <w:rFonts w:asciiTheme="minorHAnsi" w:hAnsiTheme="minorHAnsi" w:cs="Arial"/>
                <w:sz w:val="22"/>
                <w:szCs w:val="22"/>
              </w:rPr>
              <w:t>More than adequate capacity to meet its financial obligations. However, this capacity has a higher probability to deteriorate in the mid-long term than in higher categories.</w:t>
            </w:r>
          </w:p>
        </w:tc>
      </w:tr>
      <w:tr w:rsidR="008D2E06" w:rsidRPr="00245FF8" w:rsidTr="00740863">
        <w:tc>
          <w:tcPr>
            <w:tcW w:w="1418" w:type="dxa"/>
          </w:tcPr>
          <w:p w:rsidR="008D2E06" w:rsidRPr="00245FF8" w:rsidRDefault="008D2E06"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BB</w:t>
            </w:r>
          </w:p>
        </w:tc>
        <w:tc>
          <w:tcPr>
            <w:tcW w:w="12332" w:type="dxa"/>
          </w:tcPr>
          <w:p w:rsidR="008D2E06" w:rsidRPr="008D2E06" w:rsidRDefault="008D2E06" w:rsidP="00740863">
            <w:pPr>
              <w:pStyle w:val="BodyText1"/>
              <w:spacing w:before="120" w:after="120"/>
              <w:jc w:val="left"/>
              <w:rPr>
                <w:rFonts w:asciiTheme="minorHAnsi" w:hAnsiTheme="minorHAnsi" w:cs="Arial"/>
                <w:sz w:val="22"/>
                <w:szCs w:val="22"/>
              </w:rPr>
            </w:pPr>
            <w:r w:rsidRPr="00740863">
              <w:rPr>
                <w:rFonts w:asciiTheme="minorHAnsi" w:hAnsiTheme="minorHAnsi" w:cs="Arial"/>
                <w:sz w:val="22"/>
                <w:szCs w:val="22"/>
              </w:rPr>
              <w:t xml:space="preserve">Adequate capacity to meet its financial obligations. </w:t>
            </w:r>
          </w:p>
        </w:tc>
      </w:tr>
      <w:tr w:rsidR="008D2E06" w:rsidRPr="00245FF8" w:rsidTr="00740863">
        <w:tc>
          <w:tcPr>
            <w:tcW w:w="1418" w:type="dxa"/>
          </w:tcPr>
          <w:p w:rsidR="008D2E06" w:rsidRPr="00245FF8" w:rsidRDefault="008D2E06"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w:t>
            </w:r>
          </w:p>
        </w:tc>
        <w:tc>
          <w:tcPr>
            <w:tcW w:w="12332" w:type="dxa"/>
          </w:tcPr>
          <w:p w:rsidR="008D2E06" w:rsidRPr="008D2E06" w:rsidRDefault="008D2E06" w:rsidP="00740863">
            <w:pPr>
              <w:pStyle w:val="BodyText1"/>
              <w:spacing w:before="120" w:after="120"/>
              <w:jc w:val="left"/>
              <w:rPr>
                <w:rFonts w:asciiTheme="minorHAnsi" w:hAnsiTheme="minorHAnsi" w:cs="Arial"/>
                <w:sz w:val="22"/>
                <w:szCs w:val="22"/>
              </w:rPr>
            </w:pPr>
            <w:r w:rsidRPr="00740863">
              <w:rPr>
                <w:rFonts w:asciiTheme="minorHAnsi" w:hAnsiTheme="minorHAnsi" w:cs="Arial"/>
                <w:sz w:val="22"/>
                <w:szCs w:val="22"/>
              </w:rPr>
              <w:t>Although its capacity to meet payment obligations shows no difficulties at present, it may not last for long.</w:t>
            </w:r>
          </w:p>
        </w:tc>
      </w:tr>
      <w:tr w:rsidR="008D2E06" w:rsidRPr="00245FF8" w:rsidTr="00740863">
        <w:tc>
          <w:tcPr>
            <w:tcW w:w="1418" w:type="dxa"/>
          </w:tcPr>
          <w:p w:rsidR="008D2E06" w:rsidRPr="00245FF8" w:rsidRDefault="008D2E06"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CCC</w:t>
            </w:r>
          </w:p>
        </w:tc>
        <w:tc>
          <w:tcPr>
            <w:tcW w:w="12332" w:type="dxa"/>
          </w:tcPr>
          <w:p w:rsidR="008D2E06" w:rsidRPr="008D2E06" w:rsidRDefault="008D2E06" w:rsidP="00740863">
            <w:pPr>
              <w:pStyle w:val="BodyText1"/>
              <w:spacing w:before="120" w:after="120"/>
              <w:jc w:val="left"/>
              <w:rPr>
                <w:rFonts w:asciiTheme="minorHAnsi" w:hAnsiTheme="minorHAnsi" w:cs="Arial"/>
                <w:sz w:val="22"/>
                <w:szCs w:val="22"/>
              </w:rPr>
            </w:pPr>
            <w:r w:rsidRPr="00740863">
              <w:rPr>
                <w:rFonts w:asciiTheme="minorHAnsi" w:hAnsiTheme="minorHAnsi" w:cs="Arial"/>
                <w:sz w:val="22"/>
                <w:szCs w:val="22"/>
              </w:rPr>
              <w:t>Low capacity to meet its financial obligations. It depends on a favorable financial environment.</w:t>
            </w:r>
          </w:p>
        </w:tc>
      </w:tr>
      <w:tr w:rsidR="008D2E06" w:rsidRPr="00245FF8" w:rsidTr="00740863">
        <w:tc>
          <w:tcPr>
            <w:tcW w:w="1418" w:type="dxa"/>
          </w:tcPr>
          <w:p w:rsidR="008D2E06" w:rsidRPr="00245FF8" w:rsidRDefault="008D2E06" w:rsidP="001512D3">
            <w:pPr>
              <w:pStyle w:val="BodyText1"/>
              <w:spacing w:before="120" w:after="120"/>
              <w:jc w:val="center"/>
              <w:rPr>
                <w:rFonts w:asciiTheme="minorHAnsi" w:hAnsiTheme="minorHAnsi" w:cs="Arial"/>
                <w:sz w:val="22"/>
                <w:szCs w:val="22"/>
              </w:rPr>
            </w:pPr>
            <w:r>
              <w:rPr>
                <w:rFonts w:asciiTheme="minorHAnsi" w:hAnsiTheme="minorHAnsi" w:cs="Arial"/>
                <w:sz w:val="22"/>
                <w:szCs w:val="22"/>
              </w:rPr>
              <w:t>CC</w:t>
            </w:r>
          </w:p>
        </w:tc>
        <w:tc>
          <w:tcPr>
            <w:tcW w:w="12332" w:type="dxa"/>
          </w:tcPr>
          <w:p w:rsidR="008D2E06" w:rsidRPr="008D2E06" w:rsidRDefault="008D2E06" w:rsidP="00740863">
            <w:pPr>
              <w:pStyle w:val="BodyText1"/>
              <w:spacing w:before="120" w:after="120"/>
              <w:jc w:val="left"/>
              <w:rPr>
                <w:rFonts w:asciiTheme="minorHAnsi" w:hAnsiTheme="minorHAnsi" w:cs="Arial"/>
                <w:sz w:val="22"/>
                <w:szCs w:val="22"/>
              </w:rPr>
            </w:pPr>
            <w:r w:rsidRPr="00740863">
              <w:rPr>
                <w:rFonts w:asciiTheme="minorHAnsi" w:hAnsiTheme="minorHAnsi" w:cs="Arial"/>
                <w:sz w:val="22"/>
                <w:szCs w:val="22"/>
              </w:rPr>
              <w:t>Poor credit rating. Its capacity to repay its financial obligations is uncertain. High probability of failure to meet some of its obligations. High sensitivity to financial environment changes.</w:t>
            </w:r>
          </w:p>
        </w:tc>
      </w:tr>
      <w:tr w:rsidR="008D2E06" w:rsidRPr="00245FF8" w:rsidTr="00740863">
        <w:tc>
          <w:tcPr>
            <w:tcW w:w="1418" w:type="dxa"/>
          </w:tcPr>
          <w:p w:rsidR="008D2E06" w:rsidRPr="00245FF8" w:rsidRDefault="008D2E06" w:rsidP="001512D3">
            <w:pPr>
              <w:pStyle w:val="BodyText1"/>
              <w:spacing w:before="120" w:after="120"/>
              <w:jc w:val="center"/>
              <w:rPr>
                <w:rFonts w:asciiTheme="minorHAnsi" w:hAnsiTheme="minorHAnsi" w:cs="Arial"/>
                <w:sz w:val="22"/>
                <w:szCs w:val="22"/>
              </w:rPr>
            </w:pPr>
            <w:r>
              <w:rPr>
                <w:rFonts w:asciiTheme="minorHAnsi" w:hAnsiTheme="minorHAnsi" w:cs="Arial"/>
                <w:sz w:val="22"/>
                <w:szCs w:val="22"/>
              </w:rPr>
              <w:t>C</w:t>
            </w:r>
          </w:p>
        </w:tc>
        <w:tc>
          <w:tcPr>
            <w:tcW w:w="12332" w:type="dxa"/>
          </w:tcPr>
          <w:p w:rsidR="008D2E06" w:rsidRPr="008D2E06" w:rsidRDefault="008D2E06" w:rsidP="00740863">
            <w:pPr>
              <w:pStyle w:val="BodyText1"/>
              <w:spacing w:before="120" w:after="120"/>
              <w:jc w:val="left"/>
              <w:rPr>
                <w:rFonts w:asciiTheme="minorHAnsi" w:hAnsiTheme="minorHAnsi" w:cs="Arial"/>
                <w:sz w:val="22"/>
                <w:szCs w:val="22"/>
              </w:rPr>
            </w:pPr>
            <w:r w:rsidRPr="00740863">
              <w:rPr>
                <w:rFonts w:asciiTheme="minorHAnsi" w:hAnsiTheme="minorHAnsi" w:cs="Arial"/>
                <w:sz w:val="22"/>
                <w:szCs w:val="22"/>
              </w:rPr>
              <w:t>Very poor credit rating. High risk of stopping or interrupting payments.</w:t>
            </w:r>
          </w:p>
        </w:tc>
      </w:tr>
      <w:tr w:rsidR="008D2E06" w:rsidRPr="00245FF8" w:rsidTr="0030079E">
        <w:tc>
          <w:tcPr>
            <w:tcW w:w="1418" w:type="dxa"/>
          </w:tcPr>
          <w:p w:rsidR="008D2E06" w:rsidRDefault="008D2E06" w:rsidP="001512D3">
            <w:pPr>
              <w:pStyle w:val="BodyText1"/>
              <w:spacing w:before="120" w:after="120"/>
              <w:jc w:val="center"/>
              <w:rPr>
                <w:rFonts w:asciiTheme="minorHAnsi" w:hAnsiTheme="minorHAnsi" w:cs="Arial"/>
                <w:sz w:val="22"/>
                <w:szCs w:val="22"/>
              </w:rPr>
            </w:pPr>
            <w:r>
              <w:rPr>
                <w:rFonts w:asciiTheme="minorHAnsi" w:hAnsiTheme="minorHAnsi" w:cs="Arial"/>
                <w:sz w:val="22"/>
                <w:szCs w:val="22"/>
              </w:rPr>
              <w:t>D</w:t>
            </w:r>
          </w:p>
        </w:tc>
        <w:tc>
          <w:tcPr>
            <w:tcW w:w="12332" w:type="dxa"/>
          </w:tcPr>
          <w:p w:rsidR="008D2E06" w:rsidRPr="008D2E06" w:rsidRDefault="008D2E06" w:rsidP="008D2E06">
            <w:pPr>
              <w:pStyle w:val="BodyText1"/>
              <w:spacing w:before="120" w:after="120"/>
              <w:jc w:val="left"/>
              <w:rPr>
                <w:rFonts w:asciiTheme="minorHAnsi" w:hAnsiTheme="minorHAnsi" w:cs="Arial"/>
                <w:sz w:val="22"/>
                <w:szCs w:val="22"/>
              </w:rPr>
            </w:pPr>
            <w:r w:rsidRPr="00740863">
              <w:rPr>
                <w:rFonts w:asciiTheme="minorHAnsi" w:hAnsiTheme="minorHAnsi" w:cs="Arial"/>
                <w:sz w:val="22"/>
                <w:szCs w:val="22"/>
              </w:rPr>
              <w:t>Very close to insolvency. High risk of payment failure.</w:t>
            </w:r>
          </w:p>
        </w:tc>
      </w:tr>
      <w:tr w:rsidR="008D2E06" w:rsidRPr="00245FF8" w:rsidTr="0030079E">
        <w:tc>
          <w:tcPr>
            <w:tcW w:w="1418" w:type="dxa"/>
          </w:tcPr>
          <w:p w:rsidR="008D2E06" w:rsidRDefault="008D2E06" w:rsidP="001512D3">
            <w:pPr>
              <w:pStyle w:val="BodyText1"/>
              <w:spacing w:before="120" w:after="120"/>
              <w:jc w:val="center"/>
              <w:rPr>
                <w:rFonts w:asciiTheme="minorHAnsi" w:hAnsiTheme="minorHAnsi" w:cs="Arial"/>
                <w:sz w:val="22"/>
                <w:szCs w:val="22"/>
              </w:rPr>
            </w:pPr>
            <w:r>
              <w:rPr>
                <w:rFonts w:asciiTheme="minorHAnsi" w:hAnsiTheme="minorHAnsi" w:cs="Arial"/>
                <w:sz w:val="22"/>
                <w:szCs w:val="22"/>
              </w:rPr>
              <w:t>E (Default)</w:t>
            </w:r>
          </w:p>
        </w:tc>
        <w:tc>
          <w:tcPr>
            <w:tcW w:w="12332" w:type="dxa"/>
          </w:tcPr>
          <w:p w:rsidR="008D2E06" w:rsidRPr="008D2E06" w:rsidRDefault="008D2E06" w:rsidP="008D2E06">
            <w:pPr>
              <w:pStyle w:val="BodyText1"/>
              <w:spacing w:before="120" w:after="120"/>
              <w:jc w:val="left"/>
              <w:rPr>
                <w:rFonts w:asciiTheme="minorHAnsi" w:hAnsiTheme="minorHAnsi" w:cs="Arial"/>
                <w:sz w:val="22"/>
                <w:szCs w:val="22"/>
              </w:rPr>
            </w:pPr>
            <w:r w:rsidRPr="00740863">
              <w:rPr>
                <w:rFonts w:asciiTheme="minorHAnsi" w:hAnsiTheme="minorHAnsi" w:cs="Arial"/>
                <w:sz w:val="22"/>
                <w:szCs w:val="22"/>
              </w:rPr>
              <w:t>The company is in default, has payment delays, has been declared insolvent or is currently undergoing insolvency proceedings. There is a possibility of default on its financial obligations.</w:t>
            </w:r>
          </w:p>
        </w:tc>
      </w:tr>
    </w:tbl>
    <w:p w:rsidR="00175032" w:rsidRDefault="00175032" w:rsidP="0003502D">
      <w:pPr>
        <w:pStyle w:val="FootnoteText"/>
      </w:pPr>
      <w:r>
        <w:lastRenderedPageBreak/>
        <w:t xml:space="preserve">Source: </w:t>
      </w:r>
      <w:r w:rsidR="008D2E06">
        <w:t>Axesor</w:t>
      </w:r>
    </w:p>
    <w:p w:rsidR="008818C1" w:rsidRDefault="008818C1" w:rsidP="00740863">
      <w:pPr>
        <w:pStyle w:val="BodyText"/>
        <w:sectPr w:rsidR="008818C1" w:rsidSect="00175032">
          <w:headerReference w:type="even" r:id="rId14"/>
          <w:headerReference w:type="default" r:id="rId15"/>
          <w:footerReference w:type="even" r:id="rId16"/>
          <w:footerReference w:type="default" r:id="rId17"/>
          <w:headerReference w:type="first" r:id="rId18"/>
          <w:footerReference w:type="first" r:id="rId19"/>
          <w:pgSz w:w="16840" w:h="11900" w:orient="landscape"/>
          <w:pgMar w:top="1701" w:right="2268" w:bottom="1418" w:left="1134" w:header="709" w:footer="709" w:gutter="0"/>
          <w:cols w:space="708"/>
          <w:titlePg/>
          <w:docGrid w:linePitch="299"/>
        </w:sectPr>
      </w:pPr>
    </w:p>
    <w:p w:rsidR="00DA0961" w:rsidRPr="00BE6527" w:rsidRDefault="00DA0961" w:rsidP="003F60D2">
      <w:pPr>
        <w:pStyle w:val="Titlelevel2"/>
        <w:outlineLvl w:val="0"/>
      </w:pPr>
      <w:bookmarkStart w:id="8" w:name="_Ref389491497"/>
      <w:r w:rsidRPr="00BE6527">
        <w:lastRenderedPageBreak/>
        <w:t xml:space="preserve">Appendix </w:t>
      </w:r>
      <w:r w:rsidR="00A41F33">
        <w:t>2</w:t>
      </w:r>
      <w:r w:rsidRPr="00BE6527">
        <w:t xml:space="preserve">: </w:t>
      </w:r>
      <w:r w:rsidRPr="00716BF7">
        <w:t xml:space="preserve">Relationship between </w:t>
      </w:r>
      <w:r>
        <w:t xml:space="preserve">credit ratings and credit scorings assigned by </w:t>
      </w:r>
      <w:r w:rsidR="0006366F">
        <w:t>Axesor</w:t>
      </w:r>
    </w:p>
    <w:p w:rsidR="00CC4E5F" w:rsidRPr="00C16FAA" w:rsidRDefault="00CC4E5F" w:rsidP="0003502D">
      <w:pPr>
        <w:pStyle w:val="Figuretitle"/>
      </w:pPr>
      <w:bookmarkStart w:id="9" w:name="_Ref390424496"/>
      <w:r w:rsidRPr="00C16FAA">
        <w:t xml:space="preserve">Figure </w:t>
      </w:r>
      <w:r w:rsidRPr="00C16FAA">
        <w:fldChar w:fldCharType="begin"/>
      </w:r>
      <w:r w:rsidRPr="00C16FAA">
        <w:instrText xml:space="preserve"> SEQ Figure \* ARABIC </w:instrText>
      </w:r>
      <w:r w:rsidRPr="00C16FAA">
        <w:fldChar w:fldCharType="separate"/>
      </w:r>
      <w:r w:rsidR="00A93B28">
        <w:t>4</w:t>
      </w:r>
      <w:r w:rsidRPr="00C16FAA">
        <w:fldChar w:fldCharType="end"/>
      </w:r>
      <w:bookmarkEnd w:id="8"/>
      <w:bookmarkEnd w:id="9"/>
      <w:r w:rsidRPr="00C16FAA">
        <w:t xml:space="preserve">: Observed </w:t>
      </w:r>
      <w:r>
        <w:t>relationship</w:t>
      </w:r>
      <w:r w:rsidRPr="00C16FAA">
        <w:t xml:space="preserve"> between </w:t>
      </w:r>
      <w:r>
        <w:t xml:space="preserve">credit scorings and credit ratings assigned by </w:t>
      </w:r>
      <w:r w:rsidR="0006366F">
        <w:t>Axesor</w:t>
      </w:r>
      <w:r w:rsidRPr="00C16FAA">
        <w:t xml:space="preserve"> (</w:t>
      </w:r>
      <w:r w:rsidR="00852647">
        <w:t>October</w:t>
      </w:r>
      <w:r>
        <w:t>-</w:t>
      </w:r>
      <w:r w:rsidRPr="00C16FAA">
        <w:t>20</w:t>
      </w:r>
      <w:r>
        <w:t>1</w:t>
      </w:r>
      <w:r w:rsidR="00852647">
        <w:t>2</w:t>
      </w:r>
      <w:r w:rsidRPr="00C16FAA">
        <w:t xml:space="preserve"> </w:t>
      </w:r>
      <w:r>
        <w:t>–</w:t>
      </w:r>
      <w:r w:rsidRPr="00C16FAA">
        <w:t xml:space="preserve"> </w:t>
      </w:r>
      <w:r w:rsidR="00852647">
        <w:t xml:space="preserve">July </w:t>
      </w:r>
      <w:r w:rsidRPr="00C16FAA">
        <w:t>2013)</w:t>
      </w:r>
    </w:p>
    <w:tbl>
      <w:tblPr>
        <w:tblStyle w:val="EBAtable"/>
        <w:tblW w:w="9148" w:type="dxa"/>
        <w:tblLook w:val="04A0" w:firstRow="1" w:lastRow="0" w:firstColumn="1" w:lastColumn="0" w:noHBand="0" w:noVBand="1"/>
      </w:tblPr>
      <w:tblGrid>
        <w:gridCol w:w="1668"/>
        <w:gridCol w:w="680"/>
        <w:gridCol w:w="680"/>
        <w:gridCol w:w="680"/>
        <w:gridCol w:w="680"/>
        <w:gridCol w:w="680"/>
        <w:gridCol w:w="680"/>
        <w:gridCol w:w="680"/>
        <w:gridCol w:w="680"/>
        <w:gridCol w:w="680"/>
        <w:gridCol w:w="680"/>
        <w:gridCol w:w="680"/>
      </w:tblGrid>
      <w:tr w:rsidR="00CC0E06" w:rsidRPr="009C0F76" w:rsidTr="00740863">
        <w:trPr>
          <w:cnfStyle w:val="100000000000" w:firstRow="1" w:lastRow="0" w:firstColumn="0" w:lastColumn="0" w:oddVBand="0" w:evenVBand="0" w:oddHBand="0" w:evenHBand="0" w:firstRowFirstColumn="0" w:firstRowLastColumn="0" w:lastRowFirstColumn="0" w:lastRowLastColumn="0"/>
          <w:trHeight w:val="300"/>
        </w:trPr>
        <w:tc>
          <w:tcPr>
            <w:tcW w:w="1668" w:type="dxa"/>
            <w:noWrap/>
            <w:hideMark/>
          </w:tcPr>
          <w:p w:rsidR="00CC0E06" w:rsidRPr="006F79FA" w:rsidRDefault="00CC0E06" w:rsidP="00582256">
            <w:pPr>
              <w:spacing w:before="120" w:after="120"/>
              <w:rPr>
                <w:b/>
                <w:color w:val="000000"/>
                <w:szCs w:val="22"/>
              </w:rPr>
            </w:pPr>
            <w:r>
              <w:rPr>
                <w:b/>
                <w:color w:val="000000"/>
                <w:szCs w:val="22"/>
              </w:rPr>
              <w:t>Credit scoring Axesor</w:t>
            </w:r>
          </w:p>
        </w:tc>
        <w:tc>
          <w:tcPr>
            <w:tcW w:w="680" w:type="dxa"/>
            <w:noWrap/>
            <w:hideMark/>
          </w:tcPr>
          <w:p w:rsidR="00CC0E06" w:rsidRPr="009C0F76" w:rsidRDefault="00CC0E06" w:rsidP="007074AD">
            <w:pPr>
              <w:jc w:val="center"/>
              <w:rPr>
                <w:rFonts w:ascii="Calibri" w:hAnsi="Calibri"/>
                <w:b/>
                <w:bCs/>
                <w:color w:val="000000"/>
                <w:szCs w:val="22"/>
                <w:lang w:val="en-US" w:eastAsia="es-ES"/>
              </w:rPr>
            </w:pPr>
            <w:r>
              <w:rPr>
                <w:rFonts w:ascii="Calibri" w:hAnsi="Calibri"/>
                <w:b/>
                <w:bCs/>
                <w:color w:val="000000"/>
                <w:szCs w:val="22"/>
                <w:lang w:val="en-US" w:eastAsia="es-ES"/>
              </w:rPr>
              <w:t>AAA</w:t>
            </w:r>
          </w:p>
        </w:tc>
        <w:tc>
          <w:tcPr>
            <w:tcW w:w="680" w:type="dxa"/>
            <w:noWrap/>
            <w:hideMark/>
          </w:tcPr>
          <w:p w:rsidR="00CC0E06" w:rsidRPr="009C0F76" w:rsidRDefault="00CC0E06" w:rsidP="007074AD">
            <w:pPr>
              <w:jc w:val="center"/>
              <w:rPr>
                <w:rFonts w:ascii="Calibri" w:hAnsi="Calibri"/>
                <w:b/>
                <w:bCs/>
                <w:color w:val="000000"/>
                <w:szCs w:val="22"/>
                <w:lang w:val="en-US" w:eastAsia="es-ES"/>
              </w:rPr>
            </w:pPr>
            <w:r>
              <w:rPr>
                <w:rFonts w:ascii="Calibri" w:hAnsi="Calibri"/>
                <w:b/>
                <w:bCs/>
                <w:color w:val="000000"/>
                <w:szCs w:val="22"/>
                <w:lang w:val="en-US" w:eastAsia="es-ES"/>
              </w:rPr>
              <w:t>AA</w:t>
            </w:r>
          </w:p>
        </w:tc>
        <w:tc>
          <w:tcPr>
            <w:tcW w:w="680" w:type="dxa"/>
            <w:noWrap/>
            <w:hideMark/>
          </w:tcPr>
          <w:p w:rsidR="00CC0E06" w:rsidRPr="009C0F76" w:rsidRDefault="00CC0E06" w:rsidP="007074AD">
            <w:pPr>
              <w:jc w:val="center"/>
              <w:rPr>
                <w:rFonts w:ascii="Calibri" w:hAnsi="Calibri"/>
                <w:b/>
                <w:bCs/>
                <w:color w:val="000000"/>
                <w:szCs w:val="22"/>
                <w:lang w:val="en-US" w:eastAsia="es-ES"/>
              </w:rPr>
            </w:pPr>
            <w:r>
              <w:rPr>
                <w:rFonts w:ascii="Calibri" w:hAnsi="Calibri"/>
                <w:b/>
                <w:bCs/>
                <w:color w:val="000000"/>
                <w:szCs w:val="22"/>
                <w:lang w:val="en-US" w:eastAsia="es-ES"/>
              </w:rPr>
              <w:t>A</w:t>
            </w:r>
          </w:p>
        </w:tc>
        <w:tc>
          <w:tcPr>
            <w:tcW w:w="680" w:type="dxa"/>
            <w:noWrap/>
            <w:hideMark/>
          </w:tcPr>
          <w:p w:rsidR="00CC0E06" w:rsidRPr="009C0F76" w:rsidRDefault="00CC0E06" w:rsidP="007074AD">
            <w:pPr>
              <w:jc w:val="center"/>
              <w:rPr>
                <w:rFonts w:ascii="Calibri" w:hAnsi="Calibri"/>
                <w:b/>
                <w:bCs/>
                <w:color w:val="000000"/>
                <w:szCs w:val="22"/>
                <w:lang w:val="en-US" w:eastAsia="es-ES"/>
              </w:rPr>
            </w:pPr>
            <w:r>
              <w:rPr>
                <w:rFonts w:ascii="Calibri" w:hAnsi="Calibri"/>
                <w:b/>
                <w:bCs/>
                <w:color w:val="000000"/>
                <w:szCs w:val="22"/>
                <w:lang w:val="en-US" w:eastAsia="es-ES"/>
              </w:rPr>
              <w:t>BBB</w:t>
            </w:r>
          </w:p>
        </w:tc>
        <w:tc>
          <w:tcPr>
            <w:tcW w:w="680" w:type="dxa"/>
            <w:noWrap/>
            <w:hideMark/>
          </w:tcPr>
          <w:p w:rsidR="00CC0E06" w:rsidRPr="009C0F76" w:rsidRDefault="00CC0E06" w:rsidP="007074AD">
            <w:pPr>
              <w:jc w:val="center"/>
              <w:rPr>
                <w:rFonts w:ascii="Calibri" w:hAnsi="Calibri"/>
                <w:b/>
                <w:bCs/>
                <w:color w:val="000000"/>
                <w:szCs w:val="22"/>
                <w:lang w:val="en-US" w:eastAsia="es-ES"/>
              </w:rPr>
            </w:pPr>
            <w:r>
              <w:rPr>
                <w:rFonts w:ascii="Calibri" w:hAnsi="Calibri"/>
                <w:b/>
                <w:bCs/>
                <w:color w:val="000000"/>
                <w:szCs w:val="22"/>
                <w:lang w:val="en-US" w:eastAsia="es-ES"/>
              </w:rPr>
              <w:t>BB</w:t>
            </w:r>
          </w:p>
        </w:tc>
        <w:tc>
          <w:tcPr>
            <w:tcW w:w="680" w:type="dxa"/>
            <w:noWrap/>
            <w:hideMark/>
          </w:tcPr>
          <w:p w:rsidR="00CC0E06" w:rsidRPr="009C0F76" w:rsidRDefault="00CC0E06" w:rsidP="007074AD">
            <w:pPr>
              <w:jc w:val="center"/>
              <w:rPr>
                <w:rFonts w:ascii="Calibri" w:hAnsi="Calibri"/>
                <w:b/>
                <w:bCs/>
                <w:color w:val="000000"/>
                <w:szCs w:val="22"/>
                <w:lang w:val="en-US" w:eastAsia="es-ES"/>
              </w:rPr>
            </w:pPr>
            <w:r>
              <w:rPr>
                <w:rFonts w:ascii="Calibri" w:hAnsi="Calibri"/>
                <w:b/>
                <w:bCs/>
                <w:color w:val="000000"/>
                <w:szCs w:val="22"/>
                <w:lang w:val="en-US" w:eastAsia="es-ES"/>
              </w:rPr>
              <w:t>B</w:t>
            </w:r>
          </w:p>
        </w:tc>
        <w:tc>
          <w:tcPr>
            <w:tcW w:w="680" w:type="dxa"/>
          </w:tcPr>
          <w:p w:rsidR="00CC0E06" w:rsidRPr="009C0F76" w:rsidRDefault="00CC0E06" w:rsidP="007074AD">
            <w:pPr>
              <w:jc w:val="center"/>
              <w:rPr>
                <w:rFonts w:ascii="Calibri" w:hAnsi="Calibri"/>
                <w:b/>
                <w:bCs/>
                <w:color w:val="000000"/>
                <w:szCs w:val="22"/>
                <w:lang w:val="en-US" w:eastAsia="es-ES"/>
              </w:rPr>
            </w:pPr>
            <w:r>
              <w:rPr>
                <w:rFonts w:ascii="Calibri" w:hAnsi="Calibri"/>
                <w:b/>
                <w:bCs/>
                <w:color w:val="000000"/>
                <w:szCs w:val="22"/>
                <w:lang w:val="en-US" w:eastAsia="es-ES"/>
              </w:rPr>
              <w:t>CCC</w:t>
            </w:r>
          </w:p>
        </w:tc>
        <w:tc>
          <w:tcPr>
            <w:tcW w:w="680" w:type="dxa"/>
          </w:tcPr>
          <w:p w:rsidR="00CC0E06" w:rsidRDefault="00CC0E06" w:rsidP="007074AD">
            <w:pPr>
              <w:jc w:val="center"/>
              <w:rPr>
                <w:rFonts w:ascii="Calibri" w:hAnsi="Calibri"/>
                <w:b/>
                <w:bCs/>
                <w:color w:val="000000"/>
                <w:szCs w:val="22"/>
                <w:lang w:val="en-US" w:eastAsia="es-ES"/>
              </w:rPr>
            </w:pPr>
            <w:r>
              <w:rPr>
                <w:rFonts w:ascii="Calibri" w:hAnsi="Calibri"/>
                <w:b/>
                <w:bCs/>
                <w:color w:val="000000"/>
                <w:szCs w:val="22"/>
                <w:lang w:val="en-US" w:eastAsia="es-ES"/>
              </w:rPr>
              <w:t>CC</w:t>
            </w:r>
          </w:p>
        </w:tc>
        <w:tc>
          <w:tcPr>
            <w:tcW w:w="680" w:type="dxa"/>
          </w:tcPr>
          <w:p w:rsidR="00CC0E06" w:rsidRDefault="00CC0E06" w:rsidP="007074AD">
            <w:pPr>
              <w:jc w:val="center"/>
              <w:rPr>
                <w:rFonts w:ascii="Calibri" w:hAnsi="Calibri"/>
                <w:b/>
                <w:bCs/>
                <w:color w:val="000000"/>
                <w:szCs w:val="22"/>
                <w:lang w:val="en-US" w:eastAsia="es-ES"/>
              </w:rPr>
            </w:pPr>
            <w:r>
              <w:rPr>
                <w:rFonts w:ascii="Calibri" w:hAnsi="Calibri"/>
                <w:b/>
                <w:bCs/>
                <w:color w:val="000000"/>
                <w:szCs w:val="22"/>
                <w:lang w:val="en-US" w:eastAsia="es-ES"/>
              </w:rPr>
              <w:t>C</w:t>
            </w:r>
          </w:p>
        </w:tc>
        <w:tc>
          <w:tcPr>
            <w:tcW w:w="680" w:type="dxa"/>
          </w:tcPr>
          <w:p w:rsidR="00CC0E06" w:rsidRDefault="00CC0E06" w:rsidP="007074AD">
            <w:pPr>
              <w:jc w:val="center"/>
              <w:rPr>
                <w:rFonts w:ascii="Calibri" w:hAnsi="Calibri"/>
                <w:b/>
                <w:bCs/>
                <w:color w:val="000000"/>
                <w:szCs w:val="22"/>
                <w:lang w:val="en-US" w:eastAsia="es-ES"/>
              </w:rPr>
            </w:pPr>
            <w:r>
              <w:rPr>
                <w:rFonts w:ascii="Calibri" w:hAnsi="Calibri"/>
                <w:b/>
                <w:bCs/>
                <w:color w:val="000000"/>
                <w:szCs w:val="22"/>
                <w:lang w:val="en-US" w:eastAsia="es-ES"/>
              </w:rPr>
              <w:t>D</w:t>
            </w:r>
          </w:p>
        </w:tc>
        <w:tc>
          <w:tcPr>
            <w:tcW w:w="680" w:type="dxa"/>
          </w:tcPr>
          <w:p w:rsidR="00CC0E06" w:rsidRDefault="00CC0E06" w:rsidP="007074AD">
            <w:pPr>
              <w:jc w:val="center"/>
              <w:rPr>
                <w:rFonts w:ascii="Calibri" w:hAnsi="Calibri"/>
                <w:b/>
                <w:bCs/>
                <w:color w:val="000000"/>
                <w:szCs w:val="22"/>
                <w:lang w:val="en-US" w:eastAsia="es-ES"/>
              </w:rPr>
            </w:pPr>
            <w:r>
              <w:rPr>
                <w:rFonts w:ascii="Calibri" w:hAnsi="Calibri"/>
                <w:b/>
                <w:bCs/>
                <w:color w:val="000000"/>
                <w:szCs w:val="22"/>
                <w:lang w:val="en-US" w:eastAsia="es-ES"/>
              </w:rPr>
              <w:t>E</w:t>
            </w:r>
          </w:p>
        </w:tc>
      </w:tr>
      <w:tr w:rsidR="00CC0E06" w:rsidRPr="009C0F76" w:rsidTr="00232B0A">
        <w:trPr>
          <w:trHeight w:val="300"/>
        </w:trPr>
        <w:tc>
          <w:tcPr>
            <w:tcW w:w="1668" w:type="dxa"/>
            <w:tcBorders>
              <w:bottom w:val="nil"/>
            </w:tcBorders>
            <w:noWrap/>
          </w:tcPr>
          <w:p w:rsidR="00CC0E06" w:rsidRPr="006F79FA" w:rsidRDefault="00CC0E06" w:rsidP="00CC0E06">
            <w:pPr>
              <w:spacing w:before="120" w:after="120"/>
              <w:rPr>
                <w:b/>
                <w:color w:val="000000"/>
                <w:szCs w:val="22"/>
              </w:rPr>
            </w:pPr>
            <w:r>
              <w:rPr>
                <w:b/>
                <w:color w:val="000000"/>
                <w:szCs w:val="22"/>
              </w:rPr>
              <w:t>Credit r</w:t>
            </w:r>
            <w:r w:rsidRPr="006F79FA">
              <w:rPr>
                <w:b/>
                <w:color w:val="000000"/>
                <w:szCs w:val="22"/>
              </w:rPr>
              <w:t xml:space="preserve">ating </w:t>
            </w:r>
            <w:r>
              <w:rPr>
                <w:b/>
                <w:color w:val="000000"/>
                <w:szCs w:val="22"/>
              </w:rPr>
              <w:t>Axesor</w:t>
            </w:r>
          </w:p>
        </w:tc>
        <w:tc>
          <w:tcPr>
            <w:tcW w:w="680" w:type="dxa"/>
            <w:tcBorders>
              <w:bottom w:val="nil"/>
            </w:tcBorders>
            <w:noWrap/>
          </w:tcPr>
          <w:p w:rsidR="00CC0E06" w:rsidRPr="006576F9" w:rsidRDefault="00CC0E06" w:rsidP="00EE3755">
            <w:pPr>
              <w:jc w:val="right"/>
              <w:rPr>
                <w:rFonts w:ascii="Calibri" w:hAnsi="Calibri"/>
                <w:color w:val="000000"/>
                <w:szCs w:val="22"/>
                <w:lang w:val="en-US" w:eastAsia="es-ES"/>
              </w:rPr>
            </w:pPr>
          </w:p>
        </w:tc>
        <w:tc>
          <w:tcPr>
            <w:tcW w:w="680" w:type="dxa"/>
            <w:tcBorders>
              <w:bottom w:val="nil"/>
            </w:tcBorders>
            <w:noWrap/>
          </w:tcPr>
          <w:p w:rsidR="00CC0E06" w:rsidRPr="006576F9" w:rsidRDefault="00CC0E06" w:rsidP="00EE3755">
            <w:pPr>
              <w:jc w:val="right"/>
              <w:rPr>
                <w:rFonts w:ascii="Calibri" w:hAnsi="Calibri"/>
                <w:color w:val="000000"/>
                <w:szCs w:val="22"/>
                <w:lang w:val="en-US" w:eastAsia="es-ES"/>
              </w:rPr>
            </w:pPr>
          </w:p>
        </w:tc>
        <w:tc>
          <w:tcPr>
            <w:tcW w:w="680" w:type="dxa"/>
            <w:tcBorders>
              <w:bottom w:val="nil"/>
            </w:tcBorders>
            <w:noWrap/>
          </w:tcPr>
          <w:p w:rsidR="00CC0E06" w:rsidRPr="006576F9" w:rsidRDefault="00CC0E06" w:rsidP="00EE3755">
            <w:pPr>
              <w:jc w:val="right"/>
              <w:rPr>
                <w:rFonts w:ascii="Calibri" w:hAnsi="Calibri"/>
                <w:color w:val="000000"/>
                <w:szCs w:val="22"/>
                <w:lang w:val="en-US" w:eastAsia="es-ES"/>
              </w:rPr>
            </w:pPr>
          </w:p>
        </w:tc>
        <w:tc>
          <w:tcPr>
            <w:tcW w:w="680" w:type="dxa"/>
            <w:tcBorders>
              <w:bottom w:val="nil"/>
            </w:tcBorders>
            <w:noWrap/>
          </w:tcPr>
          <w:p w:rsidR="00CC0E06" w:rsidRPr="006576F9" w:rsidRDefault="00CC0E06" w:rsidP="00EE3755">
            <w:pPr>
              <w:jc w:val="right"/>
              <w:rPr>
                <w:rFonts w:ascii="Calibri" w:hAnsi="Calibri"/>
                <w:color w:val="000000"/>
                <w:szCs w:val="22"/>
                <w:lang w:val="en-US" w:eastAsia="es-ES"/>
              </w:rPr>
            </w:pPr>
          </w:p>
        </w:tc>
        <w:tc>
          <w:tcPr>
            <w:tcW w:w="680" w:type="dxa"/>
            <w:tcBorders>
              <w:bottom w:val="nil"/>
            </w:tcBorders>
            <w:noWrap/>
          </w:tcPr>
          <w:p w:rsidR="00CC0E06" w:rsidRPr="006576F9" w:rsidRDefault="00CC0E06" w:rsidP="00EE3755">
            <w:pPr>
              <w:jc w:val="right"/>
              <w:rPr>
                <w:rFonts w:ascii="Calibri" w:hAnsi="Calibri"/>
                <w:color w:val="000000"/>
                <w:szCs w:val="22"/>
                <w:lang w:val="en-US" w:eastAsia="es-ES"/>
              </w:rPr>
            </w:pPr>
          </w:p>
        </w:tc>
        <w:tc>
          <w:tcPr>
            <w:tcW w:w="680" w:type="dxa"/>
            <w:tcBorders>
              <w:bottom w:val="nil"/>
            </w:tcBorders>
            <w:noWrap/>
          </w:tcPr>
          <w:p w:rsidR="00CC0E06" w:rsidRPr="006576F9" w:rsidRDefault="00CC0E06" w:rsidP="00EE3755">
            <w:pPr>
              <w:jc w:val="right"/>
              <w:rPr>
                <w:rFonts w:ascii="Calibri" w:hAnsi="Calibri"/>
                <w:color w:val="000000"/>
                <w:szCs w:val="22"/>
                <w:lang w:val="en-US" w:eastAsia="es-ES"/>
              </w:rPr>
            </w:pPr>
          </w:p>
        </w:tc>
        <w:tc>
          <w:tcPr>
            <w:tcW w:w="680" w:type="dxa"/>
            <w:tcBorders>
              <w:bottom w:val="nil"/>
            </w:tcBorders>
          </w:tcPr>
          <w:p w:rsidR="00CC0E06" w:rsidRPr="006576F9" w:rsidRDefault="00CC0E06" w:rsidP="00EE3755">
            <w:pPr>
              <w:jc w:val="right"/>
              <w:rPr>
                <w:rFonts w:ascii="Calibri" w:hAnsi="Calibri"/>
                <w:color w:val="000000"/>
                <w:szCs w:val="22"/>
                <w:lang w:val="en-US" w:eastAsia="es-ES"/>
              </w:rPr>
            </w:pPr>
          </w:p>
        </w:tc>
        <w:tc>
          <w:tcPr>
            <w:tcW w:w="680" w:type="dxa"/>
            <w:tcBorders>
              <w:bottom w:val="nil"/>
            </w:tcBorders>
          </w:tcPr>
          <w:p w:rsidR="00CC0E06" w:rsidRPr="006576F9" w:rsidRDefault="00CC0E06" w:rsidP="00EE3755">
            <w:pPr>
              <w:jc w:val="right"/>
              <w:rPr>
                <w:rFonts w:ascii="Calibri" w:hAnsi="Calibri"/>
                <w:color w:val="000000"/>
                <w:szCs w:val="22"/>
                <w:lang w:val="en-US" w:eastAsia="es-ES"/>
              </w:rPr>
            </w:pPr>
          </w:p>
        </w:tc>
        <w:tc>
          <w:tcPr>
            <w:tcW w:w="680" w:type="dxa"/>
            <w:tcBorders>
              <w:bottom w:val="nil"/>
            </w:tcBorders>
          </w:tcPr>
          <w:p w:rsidR="00CC0E06" w:rsidRPr="006576F9" w:rsidRDefault="00CC0E06" w:rsidP="00EE3755">
            <w:pPr>
              <w:jc w:val="right"/>
              <w:rPr>
                <w:rFonts w:ascii="Calibri" w:hAnsi="Calibri"/>
                <w:color w:val="000000"/>
                <w:szCs w:val="22"/>
                <w:lang w:val="en-US" w:eastAsia="es-ES"/>
              </w:rPr>
            </w:pPr>
          </w:p>
        </w:tc>
        <w:tc>
          <w:tcPr>
            <w:tcW w:w="680" w:type="dxa"/>
            <w:tcBorders>
              <w:bottom w:val="nil"/>
            </w:tcBorders>
          </w:tcPr>
          <w:p w:rsidR="00CC0E06" w:rsidRPr="006576F9" w:rsidRDefault="00CC0E06" w:rsidP="00EE3755">
            <w:pPr>
              <w:jc w:val="right"/>
              <w:rPr>
                <w:rFonts w:ascii="Calibri" w:hAnsi="Calibri"/>
                <w:color w:val="000000"/>
                <w:szCs w:val="22"/>
                <w:lang w:val="en-US" w:eastAsia="es-ES"/>
              </w:rPr>
            </w:pPr>
          </w:p>
        </w:tc>
        <w:tc>
          <w:tcPr>
            <w:tcW w:w="680" w:type="dxa"/>
            <w:tcBorders>
              <w:bottom w:val="nil"/>
            </w:tcBorders>
          </w:tcPr>
          <w:p w:rsidR="00CC0E06" w:rsidRPr="006576F9" w:rsidRDefault="00CC0E06" w:rsidP="00EE3755">
            <w:pPr>
              <w:jc w:val="right"/>
              <w:rPr>
                <w:rFonts w:ascii="Calibri" w:hAnsi="Calibri"/>
                <w:color w:val="000000"/>
                <w:szCs w:val="22"/>
                <w:lang w:val="en-US" w:eastAsia="es-ES"/>
              </w:rPr>
            </w:pPr>
          </w:p>
        </w:tc>
      </w:tr>
      <w:tr w:rsidR="00CC0E06" w:rsidRPr="009C0F76" w:rsidTr="00232B0A">
        <w:trPr>
          <w:trHeight w:val="300"/>
        </w:trPr>
        <w:tc>
          <w:tcPr>
            <w:tcW w:w="1668" w:type="dxa"/>
            <w:tcBorders>
              <w:top w:val="nil"/>
              <w:bottom w:val="nil"/>
            </w:tcBorders>
            <w:noWrap/>
          </w:tcPr>
          <w:p w:rsidR="00CC0E06" w:rsidRPr="006F79FA" w:rsidRDefault="00CC0E06" w:rsidP="00EE3755">
            <w:pPr>
              <w:spacing w:before="120" w:after="120"/>
              <w:rPr>
                <w:b/>
                <w:color w:val="000000"/>
                <w:szCs w:val="22"/>
              </w:rPr>
            </w:pPr>
            <w:r w:rsidRPr="006F79FA">
              <w:rPr>
                <w:b/>
                <w:color w:val="000000"/>
                <w:szCs w:val="22"/>
              </w:rPr>
              <w:t>AAA</w:t>
            </w:r>
          </w:p>
        </w:tc>
        <w:tc>
          <w:tcPr>
            <w:tcW w:w="680" w:type="dxa"/>
            <w:tcBorders>
              <w:top w:val="nil"/>
              <w:bottom w:val="nil"/>
            </w:tcBorders>
            <w:shd w:val="clear" w:color="auto" w:fill="BFBFBF" w:themeFill="background1" w:themeFillShade="BF"/>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r>
      <w:tr w:rsidR="00CC0E06" w:rsidRPr="009C0F76" w:rsidTr="00232B0A">
        <w:trPr>
          <w:trHeight w:val="300"/>
        </w:trPr>
        <w:tc>
          <w:tcPr>
            <w:tcW w:w="1668" w:type="dxa"/>
            <w:tcBorders>
              <w:top w:val="nil"/>
              <w:bottom w:val="nil"/>
            </w:tcBorders>
            <w:noWrap/>
          </w:tcPr>
          <w:p w:rsidR="00CC0E06" w:rsidRPr="006F79FA" w:rsidRDefault="00CC0E06" w:rsidP="00EE3755">
            <w:pPr>
              <w:spacing w:before="120" w:after="120"/>
              <w:rPr>
                <w:b/>
                <w:color w:val="000000"/>
                <w:szCs w:val="22"/>
              </w:rPr>
            </w:pPr>
            <w:r w:rsidRPr="006F79FA">
              <w:rPr>
                <w:b/>
                <w:color w:val="000000"/>
                <w:szCs w:val="22"/>
              </w:rPr>
              <w:t>AA</w:t>
            </w: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shd w:val="clear" w:color="auto" w:fill="BFBFBF" w:themeFill="background1" w:themeFillShade="BF"/>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r>
      <w:tr w:rsidR="00CC0E06" w:rsidRPr="009C0F76" w:rsidTr="00232B0A">
        <w:trPr>
          <w:trHeight w:val="300"/>
        </w:trPr>
        <w:tc>
          <w:tcPr>
            <w:tcW w:w="1668" w:type="dxa"/>
            <w:tcBorders>
              <w:top w:val="nil"/>
              <w:bottom w:val="nil"/>
            </w:tcBorders>
            <w:noWrap/>
          </w:tcPr>
          <w:p w:rsidR="00CC0E06" w:rsidRPr="006F79FA" w:rsidRDefault="00CC0E06" w:rsidP="00EE3755">
            <w:pPr>
              <w:spacing w:before="120" w:after="120"/>
              <w:rPr>
                <w:b/>
                <w:color w:val="000000"/>
                <w:szCs w:val="22"/>
              </w:rPr>
            </w:pPr>
            <w:r w:rsidRPr="006F79FA">
              <w:rPr>
                <w:b/>
                <w:color w:val="000000"/>
                <w:szCs w:val="22"/>
              </w:rPr>
              <w:t>A</w:t>
            </w: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r w:rsidRPr="0045594A">
              <w:t>4</w:t>
            </w:r>
          </w:p>
        </w:tc>
        <w:tc>
          <w:tcPr>
            <w:tcW w:w="680" w:type="dxa"/>
            <w:tcBorders>
              <w:top w:val="nil"/>
              <w:bottom w:val="nil"/>
            </w:tcBorders>
            <w:shd w:val="clear" w:color="auto" w:fill="BFBFBF" w:themeFill="background1" w:themeFillShade="BF"/>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r w:rsidRPr="0045594A">
              <w:t>4</w:t>
            </w: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r w:rsidRPr="0045594A">
              <w:t>1</w:t>
            </w: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r>
      <w:tr w:rsidR="00CC0E06" w:rsidRPr="009C0F76" w:rsidTr="00232B0A">
        <w:trPr>
          <w:trHeight w:val="300"/>
        </w:trPr>
        <w:tc>
          <w:tcPr>
            <w:tcW w:w="1668" w:type="dxa"/>
            <w:tcBorders>
              <w:top w:val="nil"/>
              <w:bottom w:val="nil"/>
            </w:tcBorders>
            <w:noWrap/>
          </w:tcPr>
          <w:p w:rsidR="00CC0E06" w:rsidRPr="006F79FA" w:rsidRDefault="00CC0E06" w:rsidP="00EE3755">
            <w:pPr>
              <w:spacing w:before="120" w:after="120"/>
              <w:rPr>
                <w:b/>
                <w:color w:val="000000"/>
                <w:szCs w:val="22"/>
              </w:rPr>
            </w:pPr>
            <w:r w:rsidRPr="006F79FA">
              <w:rPr>
                <w:b/>
                <w:color w:val="000000"/>
                <w:szCs w:val="22"/>
              </w:rPr>
              <w:t>BBB</w:t>
            </w: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r w:rsidRPr="0045594A">
              <w:t>5</w:t>
            </w:r>
          </w:p>
        </w:tc>
        <w:tc>
          <w:tcPr>
            <w:tcW w:w="680" w:type="dxa"/>
            <w:tcBorders>
              <w:top w:val="nil"/>
              <w:bottom w:val="nil"/>
            </w:tcBorders>
            <w:shd w:val="clear" w:color="auto" w:fill="BFBFBF" w:themeFill="background1" w:themeFillShade="BF"/>
            <w:noWrap/>
          </w:tcPr>
          <w:p w:rsidR="00CC0E06" w:rsidRPr="0045594A" w:rsidRDefault="00CC0E06" w:rsidP="00740863">
            <w:pPr>
              <w:jc w:val="center"/>
            </w:pPr>
            <w:r w:rsidRPr="0045594A">
              <w:t>1</w:t>
            </w:r>
          </w:p>
        </w:tc>
        <w:tc>
          <w:tcPr>
            <w:tcW w:w="680" w:type="dxa"/>
            <w:tcBorders>
              <w:top w:val="nil"/>
              <w:bottom w:val="nil"/>
            </w:tcBorders>
            <w:noWrap/>
          </w:tcPr>
          <w:p w:rsidR="00CC0E06" w:rsidRPr="0045594A" w:rsidRDefault="00CC0E06" w:rsidP="00740863">
            <w:pPr>
              <w:jc w:val="center"/>
            </w:pPr>
            <w:r w:rsidRPr="0045594A">
              <w:t>3</w:t>
            </w: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r>
      <w:tr w:rsidR="00CC0E06" w:rsidRPr="009C0F76" w:rsidTr="00232B0A">
        <w:trPr>
          <w:trHeight w:val="300"/>
        </w:trPr>
        <w:tc>
          <w:tcPr>
            <w:tcW w:w="1668" w:type="dxa"/>
            <w:tcBorders>
              <w:top w:val="nil"/>
              <w:bottom w:val="nil"/>
            </w:tcBorders>
            <w:noWrap/>
          </w:tcPr>
          <w:p w:rsidR="00CC0E06" w:rsidRPr="006F79FA" w:rsidRDefault="00CC0E06" w:rsidP="00EE3755">
            <w:pPr>
              <w:spacing w:before="120" w:after="120"/>
              <w:rPr>
                <w:b/>
                <w:color w:val="000000"/>
                <w:szCs w:val="22"/>
              </w:rPr>
            </w:pPr>
            <w:r w:rsidRPr="006F79FA">
              <w:rPr>
                <w:b/>
                <w:color w:val="000000"/>
                <w:szCs w:val="22"/>
              </w:rPr>
              <w:t>BB</w:t>
            </w: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r w:rsidRPr="0045594A">
              <w:t>1</w:t>
            </w:r>
          </w:p>
        </w:tc>
        <w:tc>
          <w:tcPr>
            <w:tcW w:w="680" w:type="dxa"/>
            <w:tcBorders>
              <w:top w:val="nil"/>
              <w:bottom w:val="nil"/>
            </w:tcBorders>
            <w:noWrap/>
          </w:tcPr>
          <w:p w:rsidR="00CC0E06" w:rsidRPr="0045594A" w:rsidRDefault="00CC0E06" w:rsidP="00740863">
            <w:pPr>
              <w:jc w:val="center"/>
            </w:pPr>
            <w:r w:rsidRPr="0045594A">
              <w:t>13</w:t>
            </w:r>
          </w:p>
        </w:tc>
        <w:tc>
          <w:tcPr>
            <w:tcW w:w="680" w:type="dxa"/>
            <w:tcBorders>
              <w:top w:val="nil"/>
              <w:bottom w:val="nil"/>
            </w:tcBorders>
            <w:shd w:val="clear" w:color="auto" w:fill="BFBFBF" w:themeFill="background1" w:themeFillShade="BF"/>
            <w:noWrap/>
          </w:tcPr>
          <w:p w:rsidR="00CC0E06" w:rsidRPr="0045594A" w:rsidRDefault="00CC0E06" w:rsidP="00740863">
            <w:pPr>
              <w:jc w:val="center"/>
            </w:pPr>
            <w:r w:rsidRPr="0045594A">
              <w:t>8</w:t>
            </w:r>
          </w:p>
        </w:tc>
        <w:tc>
          <w:tcPr>
            <w:tcW w:w="680" w:type="dxa"/>
            <w:tcBorders>
              <w:top w:val="nil"/>
              <w:bottom w:val="nil"/>
            </w:tcBorders>
            <w:noWrap/>
          </w:tcPr>
          <w:p w:rsidR="00CC0E06" w:rsidRPr="0045594A" w:rsidRDefault="00CC0E06" w:rsidP="00740863">
            <w:pPr>
              <w:jc w:val="center"/>
            </w:pPr>
            <w:r w:rsidRPr="0045594A">
              <w:t>9</w:t>
            </w: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r w:rsidRPr="0045594A">
              <w:t>2</w:t>
            </w:r>
          </w:p>
        </w:tc>
        <w:tc>
          <w:tcPr>
            <w:tcW w:w="680" w:type="dxa"/>
            <w:tcBorders>
              <w:top w:val="nil"/>
              <w:bottom w:val="nil"/>
            </w:tcBorders>
          </w:tcPr>
          <w:p w:rsidR="00CC0E06" w:rsidRPr="0045594A" w:rsidRDefault="00CC0E06" w:rsidP="00740863">
            <w:pPr>
              <w:jc w:val="center"/>
            </w:pPr>
            <w:r w:rsidRPr="0045594A">
              <w:t>1</w:t>
            </w: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r>
      <w:tr w:rsidR="00CC0E06" w:rsidRPr="009C0F76" w:rsidTr="00232B0A">
        <w:trPr>
          <w:trHeight w:val="300"/>
        </w:trPr>
        <w:tc>
          <w:tcPr>
            <w:tcW w:w="1668" w:type="dxa"/>
            <w:tcBorders>
              <w:top w:val="nil"/>
              <w:bottom w:val="nil"/>
            </w:tcBorders>
            <w:noWrap/>
          </w:tcPr>
          <w:p w:rsidR="00CC0E06" w:rsidRPr="006F79FA" w:rsidRDefault="00CC0E06" w:rsidP="00EE3755">
            <w:pPr>
              <w:spacing w:before="120" w:after="120"/>
              <w:rPr>
                <w:b/>
                <w:color w:val="000000"/>
                <w:szCs w:val="22"/>
              </w:rPr>
            </w:pPr>
            <w:r w:rsidRPr="006F79FA">
              <w:rPr>
                <w:b/>
                <w:color w:val="000000"/>
                <w:szCs w:val="22"/>
              </w:rPr>
              <w:t>B</w:t>
            </w: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r w:rsidRPr="0045594A">
              <w:t>1</w:t>
            </w: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r w:rsidRPr="0045594A">
              <w:t>10</w:t>
            </w:r>
          </w:p>
        </w:tc>
        <w:tc>
          <w:tcPr>
            <w:tcW w:w="680" w:type="dxa"/>
            <w:tcBorders>
              <w:top w:val="nil"/>
              <w:bottom w:val="nil"/>
            </w:tcBorders>
            <w:shd w:val="clear" w:color="auto" w:fill="BFBFBF" w:themeFill="background1" w:themeFillShade="BF"/>
            <w:noWrap/>
          </w:tcPr>
          <w:p w:rsidR="00CC0E06" w:rsidRPr="0045594A" w:rsidRDefault="00CC0E06" w:rsidP="00740863">
            <w:pPr>
              <w:jc w:val="center"/>
            </w:pPr>
            <w:r w:rsidRPr="0045594A">
              <w:t>7</w:t>
            </w:r>
          </w:p>
        </w:tc>
        <w:tc>
          <w:tcPr>
            <w:tcW w:w="680" w:type="dxa"/>
            <w:tcBorders>
              <w:top w:val="nil"/>
              <w:bottom w:val="nil"/>
            </w:tcBorders>
          </w:tcPr>
          <w:p w:rsidR="00CC0E06" w:rsidRPr="0045594A" w:rsidRDefault="00CC0E06" w:rsidP="00740863">
            <w:pPr>
              <w:jc w:val="center"/>
            </w:pPr>
            <w:r w:rsidRPr="0045594A">
              <w:t>6</w:t>
            </w:r>
          </w:p>
        </w:tc>
        <w:tc>
          <w:tcPr>
            <w:tcW w:w="680" w:type="dxa"/>
            <w:tcBorders>
              <w:top w:val="nil"/>
              <w:bottom w:val="nil"/>
            </w:tcBorders>
          </w:tcPr>
          <w:p w:rsidR="00CC0E06" w:rsidRPr="0045594A" w:rsidRDefault="00CC0E06" w:rsidP="00740863">
            <w:pPr>
              <w:jc w:val="center"/>
            </w:pPr>
            <w:r w:rsidRPr="0045594A">
              <w:t>2</w:t>
            </w:r>
          </w:p>
        </w:tc>
        <w:tc>
          <w:tcPr>
            <w:tcW w:w="680" w:type="dxa"/>
            <w:tcBorders>
              <w:top w:val="nil"/>
              <w:bottom w:val="nil"/>
            </w:tcBorders>
          </w:tcPr>
          <w:p w:rsidR="00CC0E06" w:rsidRPr="0045594A" w:rsidRDefault="00CC0E06" w:rsidP="00740863">
            <w:pPr>
              <w:jc w:val="center"/>
            </w:pPr>
            <w:r w:rsidRPr="0045594A">
              <w:t>2</w:t>
            </w: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r>
      <w:tr w:rsidR="00CC0E06" w:rsidRPr="009C0F76" w:rsidTr="00232B0A">
        <w:trPr>
          <w:trHeight w:val="300"/>
        </w:trPr>
        <w:tc>
          <w:tcPr>
            <w:tcW w:w="1668" w:type="dxa"/>
            <w:tcBorders>
              <w:top w:val="nil"/>
              <w:bottom w:val="nil"/>
            </w:tcBorders>
            <w:noWrap/>
          </w:tcPr>
          <w:p w:rsidR="00CC0E06" w:rsidRPr="006F79FA" w:rsidRDefault="00CC0E06" w:rsidP="00EE3755">
            <w:pPr>
              <w:spacing w:before="120" w:after="120"/>
              <w:rPr>
                <w:b/>
                <w:color w:val="000000"/>
                <w:szCs w:val="22"/>
              </w:rPr>
            </w:pPr>
            <w:r>
              <w:rPr>
                <w:b/>
                <w:color w:val="000000"/>
                <w:szCs w:val="22"/>
              </w:rPr>
              <w:t>CCC</w:t>
            </w: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r w:rsidRPr="0045594A">
              <w:t>4</w:t>
            </w: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r w:rsidRPr="0045594A">
              <w:t>5</w:t>
            </w:r>
          </w:p>
        </w:tc>
        <w:tc>
          <w:tcPr>
            <w:tcW w:w="680" w:type="dxa"/>
            <w:tcBorders>
              <w:top w:val="nil"/>
              <w:bottom w:val="nil"/>
            </w:tcBorders>
            <w:shd w:val="clear" w:color="auto" w:fill="BFBFBF" w:themeFill="background1" w:themeFillShade="BF"/>
          </w:tcPr>
          <w:p w:rsidR="00CC0E06" w:rsidRPr="0045594A" w:rsidRDefault="00CC0E06" w:rsidP="00740863">
            <w:pPr>
              <w:jc w:val="center"/>
            </w:pPr>
            <w:r w:rsidRPr="0045594A">
              <w:t>10</w:t>
            </w:r>
          </w:p>
        </w:tc>
        <w:tc>
          <w:tcPr>
            <w:tcW w:w="680" w:type="dxa"/>
            <w:tcBorders>
              <w:top w:val="nil"/>
              <w:bottom w:val="nil"/>
            </w:tcBorders>
          </w:tcPr>
          <w:p w:rsidR="00CC0E06" w:rsidRPr="0045594A" w:rsidRDefault="00CC0E06" w:rsidP="00740863">
            <w:pPr>
              <w:jc w:val="center"/>
            </w:pPr>
            <w:r w:rsidRPr="0045594A">
              <w:t>9</w:t>
            </w: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r w:rsidRPr="0045594A">
              <w:t>2</w:t>
            </w:r>
          </w:p>
        </w:tc>
        <w:tc>
          <w:tcPr>
            <w:tcW w:w="680" w:type="dxa"/>
            <w:tcBorders>
              <w:top w:val="nil"/>
              <w:bottom w:val="nil"/>
            </w:tcBorders>
          </w:tcPr>
          <w:p w:rsidR="00CC0E06" w:rsidRPr="0045594A" w:rsidRDefault="00CC0E06" w:rsidP="00740863">
            <w:pPr>
              <w:jc w:val="center"/>
            </w:pPr>
          </w:p>
        </w:tc>
      </w:tr>
      <w:tr w:rsidR="00CC0E06" w:rsidRPr="009C0F76" w:rsidTr="00232B0A">
        <w:trPr>
          <w:trHeight w:val="300"/>
        </w:trPr>
        <w:tc>
          <w:tcPr>
            <w:tcW w:w="1668" w:type="dxa"/>
            <w:tcBorders>
              <w:top w:val="nil"/>
              <w:bottom w:val="nil"/>
            </w:tcBorders>
            <w:noWrap/>
          </w:tcPr>
          <w:p w:rsidR="00CC0E06" w:rsidRDefault="00CC0E06" w:rsidP="00EE3755">
            <w:pPr>
              <w:spacing w:before="120" w:after="120"/>
              <w:rPr>
                <w:b/>
                <w:color w:val="000000"/>
                <w:szCs w:val="22"/>
              </w:rPr>
            </w:pPr>
            <w:r>
              <w:rPr>
                <w:b/>
                <w:color w:val="000000"/>
                <w:szCs w:val="22"/>
              </w:rPr>
              <w:t>CC</w:t>
            </w: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r w:rsidRPr="0045594A">
              <w:t>3</w:t>
            </w:r>
          </w:p>
        </w:tc>
        <w:tc>
          <w:tcPr>
            <w:tcW w:w="680" w:type="dxa"/>
            <w:tcBorders>
              <w:top w:val="nil"/>
              <w:bottom w:val="nil"/>
            </w:tcBorders>
            <w:shd w:val="clear" w:color="auto" w:fill="BFBFBF" w:themeFill="background1" w:themeFillShade="BF"/>
          </w:tcPr>
          <w:p w:rsidR="00CC0E06" w:rsidRPr="0045594A" w:rsidRDefault="00CC0E06" w:rsidP="00740863">
            <w:pPr>
              <w:jc w:val="center"/>
            </w:pPr>
            <w:r w:rsidRPr="0045594A">
              <w:t>9</w:t>
            </w:r>
          </w:p>
        </w:tc>
        <w:tc>
          <w:tcPr>
            <w:tcW w:w="680" w:type="dxa"/>
            <w:tcBorders>
              <w:top w:val="nil"/>
              <w:bottom w:val="nil"/>
            </w:tcBorders>
          </w:tcPr>
          <w:p w:rsidR="00CC0E06" w:rsidRPr="0045594A" w:rsidRDefault="00CC0E06" w:rsidP="00740863">
            <w:pPr>
              <w:jc w:val="center"/>
            </w:pPr>
            <w:r w:rsidRPr="0045594A">
              <w:t>4</w:t>
            </w: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r>
      <w:tr w:rsidR="00CC0E06" w:rsidRPr="009C0F76" w:rsidTr="00232B0A">
        <w:trPr>
          <w:trHeight w:val="300"/>
        </w:trPr>
        <w:tc>
          <w:tcPr>
            <w:tcW w:w="1668" w:type="dxa"/>
            <w:tcBorders>
              <w:top w:val="nil"/>
              <w:bottom w:val="nil"/>
            </w:tcBorders>
            <w:noWrap/>
          </w:tcPr>
          <w:p w:rsidR="00CC0E06" w:rsidRDefault="00CC0E06" w:rsidP="00EE3755">
            <w:pPr>
              <w:spacing w:before="120" w:after="120"/>
              <w:rPr>
                <w:b/>
                <w:color w:val="000000"/>
                <w:szCs w:val="22"/>
              </w:rPr>
            </w:pPr>
            <w:r>
              <w:rPr>
                <w:b/>
                <w:color w:val="000000"/>
                <w:szCs w:val="22"/>
              </w:rPr>
              <w:t>C</w:t>
            </w: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r w:rsidRPr="0045594A">
              <w:t>2</w:t>
            </w:r>
          </w:p>
        </w:tc>
        <w:tc>
          <w:tcPr>
            <w:tcW w:w="680" w:type="dxa"/>
            <w:tcBorders>
              <w:top w:val="nil"/>
              <w:bottom w:val="nil"/>
            </w:tcBorders>
            <w:shd w:val="clear" w:color="auto" w:fill="BFBFBF" w:themeFill="background1" w:themeFillShade="BF"/>
          </w:tcPr>
          <w:p w:rsidR="00CC0E06" w:rsidRPr="0045594A" w:rsidRDefault="00CC0E06" w:rsidP="00740863">
            <w:pPr>
              <w:jc w:val="center"/>
            </w:pPr>
            <w:r w:rsidRPr="0045594A">
              <w:t>1</w:t>
            </w:r>
          </w:p>
        </w:tc>
        <w:tc>
          <w:tcPr>
            <w:tcW w:w="680" w:type="dxa"/>
            <w:tcBorders>
              <w:top w:val="nil"/>
              <w:bottom w:val="nil"/>
            </w:tcBorders>
          </w:tcPr>
          <w:p w:rsidR="00CC0E06" w:rsidRPr="0045594A" w:rsidRDefault="00CC0E06" w:rsidP="00740863">
            <w:pPr>
              <w:jc w:val="center"/>
            </w:pPr>
            <w:r w:rsidRPr="0045594A">
              <w:t>3</w:t>
            </w:r>
          </w:p>
        </w:tc>
        <w:tc>
          <w:tcPr>
            <w:tcW w:w="680" w:type="dxa"/>
            <w:tcBorders>
              <w:top w:val="nil"/>
              <w:bottom w:val="nil"/>
            </w:tcBorders>
          </w:tcPr>
          <w:p w:rsidR="00CC0E06" w:rsidRPr="0045594A" w:rsidRDefault="00CC0E06" w:rsidP="00740863">
            <w:pPr>
              <w:jc w:val="center"/>
            </w:pPr>
          </w:p>
        </w:tc>
      </w:tr>
      <w:tr w:rsidR="00CC0E06" w:rsidRPr="009C0F76" w:rsidTr="00232B0A">
        <w:trPr>
          <w:trHeight w:val="300"/>
        </w:trPr>
        <w:tc>
          <w:tcPr>
            <w:tcW w:w="1668" w:type="dxa"/>
            <w:tcBorders>
              <w:top w:val="nil"/>
              <w:bottom w:val="nil"/>
            </w:tcBorders>
            <w:noWrap/>
          </w:tcPr>
          <w:p w:rsidR="00CC0E06" w:rsidRDefault="00CC0E06" w:rsidP="00EE3755">
            <w:pPr>
              <w:spacing w:before="120" w:after="120"/>
              <w:rPr>
                <w:b/>
                <w:color w:val="000000"/>
                <w:szCs w:val="22"/>
              </w:rPr>
            </w:pPr>
            <w:r>
              <w:rPr>
                <w:b/>
                <w:color w:val="000000"/>
                <w:szCs w:val="22"/>
              </w:rPr>
              <w:t>D</w:t>
            </w: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noWrap/>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r w:rsidRPr="0045594A">
              <w:t>1</w:t>
            </w: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tcPr>
          <w:p w:rsidR="00CC0E06" w:rsidRPr="0045594A" w:rsidRDefault="00CC0E06" w:rsidP="00740863">
            <w:pPr>
              <w:jc w:val="center"/>
            </w:pPr>
          </w:p>
        </w:tc>
        <w:tc>
          <w:tcPr>
            <w:tcW w:w="680" w:type="dxa"/>
            <w:tcBorders>
              <w:top w:val="nil"/>
              <w:bottom w:val="nil"/>
            </w:tcBorders>
            <w:shd w:val="clear" w:color="auto" w:fill="BFBFBF" w:themeFill="background1" w:themeFillShade="BF"/>
          </w:tcPr>
          <w:p w:rsidR="00CC0E06" w:rsidRPr="0045594A" w:rsidRDefault="00CC0E06" w:rsidP="00740863">
            <w:pPr>
              <w:jc w:val="center"/>
            </w:pPr>
            <w:r w:rsidRPr="0045594A">
              <w:t>5</w:t>
            </w:r>
          </w:p>
        </w:tc>
        <w:tc>
          <w:tcPr>
            <w:tcW w:w="680" w:type="dxa"/>
            <w:tcBorders>
              <w:top w:val="nil"/>
              <w:bottom w:val="nil"/>
            </w:tcBorders>
          </w:tcPr>
          <w:p w:rsidR="00CC0E06" w:rsidRPr="0045594A" w:rsidRDefault="00CC0E06" w:rsidP="00740863">
            <w:pPr>
              <w:jc w:val="center"/>
            </w:pPr>
          </w:p>
        </w:tc>
      </w:tr>
      <w:tr w:rsidR="00CC0E06" w:rsidRPr="009C0F76" w:rsidTr="00232B0A">
        <w:trPr>
          <w:trHeight w:val="300"/>
        </w:trPr>
        <w:tc>
          <w:tcPr>
            <w:tcW w:w="1668" w:type="dxa"/>
            <w:tcBorders>
              <w:top w:val="nil"/>
              <w:bottom w:val="single" w:sz="4" w:space="0" w:color="auto"/>
            </w:tcBorders>
            <w:noWrap/>
          </w:tcPr>
          <w:p w:rsidR="00CC0E06" w:rsidRDefault="00CC0E06" w:rsidP="00EE3755">
            <w:pPr>
              <w:spacing w:before="120" w:after="120"/>
              <w:rPr>
                <w:b/>
                <w:color w:val="000000"/>
                <w:szCs w:val="22"/>
              </w:rPr>
            </w:pPr>
            <w:r>
              <w:rPr>
                <w:b/>
                <w:color w:val="000000"/>
                <w:szCs w:val="22"/>
              </w:rPr>
              <w:t>E</w:t>
            </w:r>
          </w:p>
        </w:tc>
        <w:tc>
          <w:tcPr>
            <w:tcW w:w="680" w:type="dxa"/>
            <w:tcBorders>
              <w:top w:val="nil"/>
              <w:bottom w:val="single" w:sz="4" w:space="0" w:color="auto"/>
            </w:tcBorders>
            <w:noWrap/>
          </w:tcPr>
          <w:p w:rsidR="00CC0E06" w:rsidRPr="0045594A" w:rsidRDefault="00CC0E06" w:rsidP="00740863">
            <w:pPr>
              <w:jc w:val="center"/>
            </w:pPr>
          </w:p>
        </w:tc>
        <w:tc>
          <w:tcPr>
            <w:tcW w:w="680" w:type="dxa"/>
            <w:tcBorders>
              <w:top w:val="nil"/>
              <w:bottom w:val="single" w:sz="4" w:space="0" w:color="auto"/>
            </w:tcBorders>
            <w:noWrap/>
          </w:tcPr>
          <w:p w:rsidR="00CC0E06" w:rsidRPr="0045594A" w:rsidRDefault="00CC0E06" w:rsidP="00740863">
            <w:pPr>
              <w:jc w:val="center"/>
            </w:pPr>
          </w:p>
        </w:tc>
        <w:tc>
          <w:tcPr>
            <w:tcW w:w="680" w:type="dxa"/>
            <w:tcBorders>
              <w:top w:val="nil"/>
              <w:bottom w:val="single" w:sz="4" w:space="0" w:color="auto"/>
            </w:tcBorders>
            <w:noWrap/>
          </w:tcPr>
          <w:p w:rsidR="00CC0E06" w:rsidRPr="0045594A" w:rsidRDefault="00CC0E06" w:rsidP="00740863">
            <w:pPr>
              <w:jc w:val="center"/>
            </w:pPr>
          </w:p>
        </w:tc>
        <w:tc>
          <w:tcPr>
            <w:tcW w:w="680" w:type="dxa"/>
            <w:tcBorders>
              <w:top w:val="nil"/>
              <w:bottom w:val="single" w:sz="4" w:space="0" w:color="auto"/>
            </w:tcBorders>
            <w:noWrap/>
          </w:tcPr>
          <w:p w:rsidR="00CC0E06" w:rsidRPr="0045594A" w:rsidRDefault="00CC0E06" w:rsidP="00740863">
            <w:pPr>
              <w:jc w:val="center"/>
            </w:pPr>
          </w:p>
        </w:tc>
        <w:tc>
          <w:tcPr>
            <w:tcW w:w="680" w:type="dxa"/>
            <w:tcBorders>
              <w:top w:val="nil"/>
              <w:bottom w:val="single" w:sz="4" w:space="0" w:color="auto"/>
            </w:tcBorders>
            <w:noWrap/>
          </w:tcPr>
          <w:p w:rsidR="00CC0E06" w:rsidRPr="0045594A" w:rsidRDefault="00CC0E06" w:rsidP="00740863">
            <w:pPr>
              <w:jc w:val="center"/>
            </w:pPr>
          </w:p>
        </w:tc>
        <w:tc>
          <w:tcPr>
            <w:tcW w:w="680" w:type="dxa"/>
            <w:tcBorders>
              <w:top w:val="nil"/>
              <w:bottom w:val="single" w:sz="4" w:space="0" w:color="auto"/>
            </w:tcBorders>
            <w:noWrap/>
          </w:tcPr>
          <w:p w:rsidR="00CC0E06" w:rsidRPr="0045594A" w:rsidRDefault="00CC0E06" w:rsidP="00740863">
            <w:pPr>
              <w:jc w:val="center"/>
            </w:pPr>
          </w:p>
        </w:tc>
        <w:tc>
          <w:tcPr>
            <w:tcW w:w="680" w:type="dxa"/>
            <w:tcBorders>
              <w:top w:val="nil"/>
              <w:bottom w:val="single" w:sz="4" w:space="0" w:color="auto"/>
            </w:tcBorders>
          </w:tcPr>
          <w:p w:rsidR="00CC0E06" w:rsidRPr="0045594A" w:rsidRDefault="00CC0E06" w:rsidP="00740863">
            <w:pPr>
              <w:jc w:val="center"/>
            </w:pPr>
          </w:p>
        </w:tc>
        <w:tc>
          <w:tcPr>
            <w:tcW w:w="680" w:type="dxa"/>
            <w:tcBorders>
              <w:top w:val="nil"/>
              <w:bottom w:val="single" w:sz="4" w:space="0" w:color="auto"/>
            </w:tcBorders>
          </w:tcPr>
          <w:p w:rsidR="00CC0E06" w:rsidRPr="0045594A" w:rsidRDefault="00CC0E06" w:rsidP="00740863">
            <w:pPr>
              <w:jc w:val="center"/>
            </w:pPr>
          </w:p>
        </w:tc>
        <w:tc>
          <w:tcPr>
            <w:tcW w:w="680" w:type="dxa"/>
            <w:tcBorders>
              <w:top w:val="nil"/>
              <w:bottom w:val="single" w:sz="4" w:space="0" w:color="auto"/>
            </w:tcBorders>
          </w:tcPr>
          <w:p w:rsidR="00CC0E06" w:rsidRPr="0045594A" w:rsidRDefault="00CC0E06" w:rsidP="00740863">
            <w:pPr>
              <w:jc w:val="center"/>
            </w:pPr>
          </w:p>
        </w:tc>
        <w:tc>
          <w:tcPr>
            <w:tcW w:w="680" w:type="dxa"/>
            <w:tcBorders>
              <w:top w:val="nil"/>
              <w:bottom w:val="single" w:sz="4" w:space="0" w:color="auto"/>
            </w:tcBorders>
          </w:tcPr>
          <w:p w:rsidR="00CC0E06" w:rsidRPr="0045594A" w:rsidRDefault="00CC0E06" w:rsidP="00740863">
            <w:pPr>
              <w:jc w:val="center"/>
            </w:pPr>
          </w:p>
        </w:tc>
        <w:tc>
          <w:tcPr>
            <w:tcW w:w="680" w:type="dxa"/>
            <w:tcBorders>
              <w:top w:val="nil"/>
              <w:bottom w:val="nil"/>
            </w:tcBorders>
            <w:shd w:val="clear" w:color="auto" w:fill="BFBFBF" w:themeFill="background1" w:themeFillShade="BF"/>
          </w:tcPr>
          <w:p w:rsidR="00CC0E06" w:rsidRPr="0045594A" w:rsidRDefault="00CC0E06" w:rsidP="00740863">
            <w:pPr>
              <w:jc w:val="center"/>
            </w:pPr>
            <w:r w:rsidRPr="0045594A">
              <w:t>8</w:t>
            </w:r>
          </w:p>
        </w:tc>
      </w:tr>
    </w:tbl>
    <w:p w:rsidR="00CC4E5F" w:rsidRDefault="00CC4E5F" w:rsidP="0003502D">
      <w:pPr>
        <w:pStyle w:val="FootnoteText"/>
        <w:rPr>
          <w:i/>
        </w:rPr>
      </w:pPr>
      <w:r>
        <w:t>Source:</w:t>
      </w:r>
      <w:r w:rsidRPr="005C1F8E">
        <w:t xml:space="preserve"> </w:t>
      </w:r>
      <w:r w:rsidR="0030079E">
        <w:t>Axeso</w:t>
      </w:r>
      <w:r w:rsidR="007D2298">
        <w:t>r</w:t>
      </w:r>
    </w:p>
    <w:p w:rsidR="00CC4E5F" w:rsidRDefault="00CC4E5F" w:rsidP="00CC4E5F"/>
    <w:p w:rsidR="00B45F2B" w:rsidRDefault="00785A6C" w:rsidP="007074AD">
      <w:pPr>
        <w:jc w:val="both"/>
      </w:pPr>
      <w:r>
        <w:fldChar w:fldCharType="begin"/>
      </w:r>
      <w:r>
        <w:instrText xml:space="preserve"> REF _Ref390424496 \h </w:instrText>
      </w:r>
      <w:r>
        <w:fldChar w:fldCharType="separate"/>
      </w:r>
      <w:r w:rsidR="00A93B28" w:rsidRPr="00C16FAA">
        <w:t xml:space="preserve">Figure </w:t>
      </w:r>
      <w:r w:rsidR="00A93B28">
        <w:rPr>
          <w:noProof/>
        </w:rPr>
        <w:t>4</w:t>
      </w:r>
      <w:r>
        <w:fldChar w:fldCharType="end"/>
      </w:r>
      <w:r>
        <w:t xml:space="preserve"> </w:t>
      </w:r>
      <w:r w:rsidR="00CC4E5F" w:rsidRPr="00F7768B">
        <w:t xml:space="preserve">shows the </w:t>
      </w:r>
      <w:r w:rsidR="00CC4E5F">
        <w:t xml:space="preserve">credit </w:t>
      </w:r>
      <w:r w:rsidR="00CC4E5F" w:rsidRPr="00F7768B">
        <w:t xml:space="preserve">ratings </w:t>
      </w:r>
      <w:r w:rsidR="00CC4E5F">
        <w:t xml:space="preserve">and credit scorings </w:t>
      </w:r>
      <w:r w:rsidR="00CC4E5F" w:rsidRPr="00F7768B">
        <w:t xml:space="preserve">assigned by </w:t>
      </w:r>
      <w:r w:rsidR="001031FC">
        <w:t>Axesor</w:t>
      </w:r>
      <w:r w:rsidR="00CC4E5F" w:rsidRPr="00F7768B">
        <w:t xml:space="preserve"> </w:t>
      </w:r>
      <w:r w:rsidR="00D8716A">
        <w:t xml:space="preserve">to a set of firms between </w:t>
      </w:r>
      <w:r w:rsidR="001031FC">
        <w:t xml:space="preserve">October 2012 </w:t>
      </w:r>
      <w:r w:rsidR="00D8716A">
        <w:t>and</w:t>
      </w:r>
      <w:r w:rsidR="00CC4E5F">
        <w:t xml:space="preserve"> </w:t>
      </w:r>
      <w:r w:rsidR="001031FC">
        <w:t xml:space="preserve">July </w:t>
      </w:r>
      <w:r w:rsidR="00CC4E5F">
        <w:t>2013</w:t>
      </w:r>
      <w:r w:rsidR="00A41F33">
        <w:t>.</w:t>
      </w:r>
      <w:r w:rsidR="00582256">
        <w:t xml:space="preserve"> </w:t>
      </w:r>
      <w:r>
        <w:t>The behaviour of rating shows that even if the final rating could diverge significantly from the credit scoring on single cases, there is empirical evidence that on average ratings are not more favourable than scorings.</w:t>
      </w:r>
    </w:p>
    <w:p w:rsidR="008C72A2" w:rsidRDefault="008C72A2">
      <w:r>
        <w:br w:type="page"/>
      </w:r>
    </w:p>
    <w:p w:rsidR="008C72A2" w:rsidRDefault="008C72A2" w:rsidP="0003502D">
      <w:pPr>
        <w:pStyle w:val="Figuretitle"/>
      </w:pPr>
      <w:bookmarkStart w:id="10" w:name="_Ref390424498"/>
      <w:r w:rsidRPr="00C16FAA">
        <w:lastRenderedPageBreak/>
        <w:t xml:space="preserve">Figure </w:t>
      </w:r>
      <w:r w:rsidRPr="00C16FAA">
        <w:fldChar w:fldCharType="begin"/>
      </w:r>
      <w:r w:rsidRPr="00C16FAA">
        <w:instrText xml:space="preserve"> SEQ Figure \* ARABIC </w:instrText>
      </w:r>
      <w:r w:rsidRPr="00C16FAA">
        <w:fldChar w:fldCharType="separate"/>
      </w:r>
      <w:r w:rsidR="00A93B28">
        <w:t>5</w:t>
      </w:r>
      <w:r w:rsidRPr="00C16FAA">
        <w:fldChar w:fldCharType="end"/>
      </w:r>
      <w:bookmarkEnd w:id="10"/>
      <w:r w:rsidRPr="00C16FAA">
        <w:t xml:space="preserve">: </w:t>
      </w:r>
      <w:r>
        <w:t>Expected relationship</w:t>
      </w:r>
      <w:r w:rsidRPr="00C16FAA">
        <w:t xml:space="preserve"> between </w:t>
      </w:r>
      <w:r>
        <w:t>credit scorings and credit ratings assigned by Axesor</w:t>
      </w:r>
    </w:p>
    <w:tbl>
      <w:tblPr>
        <w:tblStyle w:val="EBAtable"/>
        <w:tblW w:w="8188" w:type="dxa"/>
        <w:tblLook w:val="04A0" w:firstRow="1" w:lastRow="0" w:firstColumn="1" w:lastColumn="0" w:noHBand="0" w:noVBand="1"/>
      </w:tblPr>
      <w:tblGrid>
        <w:gridCol w:w="2027"/>
        <w:gridCol w:w="907"/>
        <w:gridCol w:w="907"/>
        <w:gridCol w:w="907"/>
        <w:gridCol w:w="907"/>
        <w:gridCol w:w="907"/>
        <w:gridCol w:w="907"/>
        <w:gridCol w:w="719"/>
      </w:tblGrid>
      <w:tr w:rsidR="008C72A2" w:rsidRPr="009C0F76" w:rsidTr="001A4185">
        <w:trPr>
          <w:cnfStyle w:val="100000000000" w:firstRow="1" w:lastRow="0" w:firstColumn="0" w:lastColumn="0" w:oddVBand="0" w:evenVBand="0" w:oddHBand="0" w:evenHBand="0" w:firstRowFirstColumn="0" w:firstRowLastColumn="0" w:lastRowFirstColumn="0" w:lastRowLastColumn="0"/>
          <w:trHeight w:val="300"/>
        </w:trPr>
        <w:tc>
          <w:tcPr>
            <w:tcW w:w="2027" w:type="dxa"/>
            <w:noWrap/>
            <w:hideMark/>
          </w:tcPr>
          <w:p w:rsidR="008C72A2" w:rsidRPr="006F79FA" w:rsidRDefault="008C72A2" w:rsidP="007924D2">
            <w:pPr>
              <w:spacing w:before="120" w:after="120"/>
              <w:rPr>
                <w:b/>
                <w:color w:val="000000"/>
                <w:szCs w:val="22"/>
              </w:rPr>
            </w:pPr>
            <w:r>
              <w:rPr>
                <w:b/>
                <w:color w:val="000000"/>
                <w:szCs w:val="22"/>
              </w:rPr>
              <w:t>Financial risk</w:t>
            </w:r>
          </w:p>
        </w:tc>
        <w:tc>
          <w:tcPr>
            <w:tcW w:w="907" w:type="dxa"/>
            <w:noWrap/>
            <w:hideMark/>
          </w:tcPr>
          <w:p w:rsidR="008C72A2" w:rsidRPr="009C0F76" w:rsidRDefault="008C72A2" w:rsidP="007924D2">
            <w:pPr>
              <w:jc w:val="center"/>
              <w:rPr>
                <w:rFonts w:ascii="Calibri" w:hAnsi="Calibri"/>
                <w:b/>
                <w:bCs/>
                <w:color w:val="000000"/>
                <w:szCs w:val="22"/>
                <w:lang w:val="en-US" w:eastAsia="es-ES"/>
              </w:rPr>
            </w:pPr>
            <w:r>
              <w:rPr>
                <w:rFonts w:ascii="Calibri" w:hAnsi="Calibri"/>
                <w:b/>
                <w:bCs/>
                <w:color w:val="000000"/>
                <w:szCs w:val="22"/>
                <w:lang w:val="en-US" w:eastAsia="es-ES"/>
              </w:rPr>
              <w:t>AAA</w:t>
            </w:r>
          </w:p>
        </w:tc>
        <w:tc>
          <w:tcPr>
            <w:tcW w:w="907" w:type="dxa"/>
            <w:noWrap/>
            <w:hideMark/>
          </w:tcPr>
          <w:p w:rsidR="008C72A2" w:rsidRPr="009C0F76" w:rsidRDefault="008C72A2" w:rsidP="007924D2">
            <w:pPr>
              <w:jc w:val="center"/>
              <w:rPr>
                <w:rFonts w:ascii="Calibri" w:hAnsi="Calibri"/>
                <w:b/>
                <w:bCs/>
                <w:color w:val="000000"/>
                <w:szCs w:val="22"/>
                <w:lang w:val="en-US" w:eastAsia="es-ES"/>
              </w:rPr>
            </w:pPr>
            <w:r>
              <w:rPr>
                <w:rFonts w:ascii="Calibri" w:hAnsi="Calibri"/>
                <w:b/>
                <w:bCs/>
                <w:color w:val="000000"/>
                <w:szCs w:val="22"/>
                <w:lang w:val="en-US" w:eastAsia="es-ES"/>
              </w:rPr>
              <w:t>AA</w:t>
            </w:r>
          </w:p>
        </w:tc>
        <w:tc>
          <w:tcPr>
            <w:tcW w:w="907" w:type="dxa"/>
            <w:noWrap/>
            <w:hideMark/>
          </w:tcPr>
          <w:p w:rsidR="008C72A2" w:rsidRPr="009C0F76" w:rsidRDefault="008C72A2" w:rsidP="007924D2">
            <w:pPr>
              <w:jc w:val="center"/>
              <w:rPr>
                <w:rFonts w:ascii="Calibri" w:hAnsi="Calibri"/>
                <w:b/>
                <w:bCs/>
                <w:color w:val="000000"/>
                <w:szCs w:val="22"/>
                <w:lang w:val="en-US" w:eastAsia="es-ES"/>
              </w:rPr>
            </w:pPr>
            <w:r>
              <w:rPr>
                <w:rFonts w:ascii="Calibri" w:hAnsi="Calibri"/>
                <w:b/>
                <w:bCs/>
                <w:color w:val="000000"/>
                <w:szCs w:val="22"/>
                <w:lang w:val="en-US" w:eastAsia="es-ES"/>
              </w:rPr>
              <w:t>A</w:t>
            </w:r>
          </w:p>
        </w:tc>
        <w:tc>
          <w:tcPr>
            <w:tcW w:w="907" w:type="dxa"/>
            <w:noWrap/>
            <w:hideMark/>
          </w:tcPr>
          <w:p w:rsidR="008C72A2" w:rsidRPr="009C0F76" w:rsidRDefault="008C72A2" w:rsidP="007924D2">
            <w:pPr>
              <w:jc w:val="center"/>
              <w:rPr>
                <w:rFonts w:ascii="Calibri" w:hAnsi="Calibri"/>
                <w:b/>
                <w:bCs/>
                <w:color w:val="000000"/>
                <w:szCs w:val="22"/>
                <w:lang w:val="en-US" w:eastAsia="es-ES"/>
              </w:rPr>
            </w:pPr>
            <w:r>
              <w:rPr>
                <w:rFonts w:ascii="Calibri" w:hAnsi="Calibri"/>
                <w:b/>
                <w:bCs/>
                <w:color w:val="000000"/>
                <w:szCs w:val="22"/>
                <w:lang w:val="en-US" w:eastAsia="es-ES"/>
              </w:rPr>
              <w:t>BBB</w:t>
            </w:r>
          </w:p>
        </w:tc>
        <w:tc>
          <w:tcPr>
            <w:tcW w:w="907" w:type="dxa"/>
            <w:noWrap/>
            <w:hideMark/>
          </w:tcPr>
          <w:p w:rsidR="008C72A2" w:rsidRPr="009C0F76" w:rsidRDefault="008C72A2" w:rsidP="007924D2">
            <w:pPr>
              <w:jc w:val="center"/>
              <w:rPr>
                <w:rFonts w:ascii="Calibri" w:hAnsi="Calibri"/>
                <w:b/>
                <w:bCs/>
                <w:color w:val="000000"/>
                <w:szCs w:val="22"/>
                <w:lang w:val="en-US" w:eastAsia="es-ES"/>
              </w:rPr>
            </w:pPr>
            <w:r>
              <w:rPr>
                <w:rFonts w:ascii="Calibri" w:hAnsi="Calibri"/>
                <w:b/>
                <w:bCs/>
                <w:color w:val="000000"/>
                <w:szCs w:val="22"/>
                <w:lang w:val="en-US" w:eastAsia="es-ES"/>
              </w:rPr>
              <w:t>BB</w:t>
            </w:r>
          </w:p>
        </w:tc>
        <w:tc>
          <w:tcPr>
            <w:tcW w:w="907" w:type="dxa"/>
            <w:noWrap/>
            <w:hideMark/>
          </w:tcPr>
          <w:p w:rsidR="008C72A2" w:rsidRPr="009C0F76" w:rsidRDefault="008C72A2" w:rsidP="007924D2">
            <w:pPr>
              <w:jc w:val="center"/>
              <w:rPr>
                <w:rFonts w:ascii="Calibri" w:hAnsi="Calibri"/>
                <w:b/>
                <w:bCs/>
                <w:color w:val="000000"/>
                <w:szCs w:val="22"/>
                <w:lang w:val="en-US" w:eastAsia="es-ES"/>
              </w:rPr>
            </w:pPr>
            <w:r>
              <w:rPr>
                <w:rFonts w:ascii="Calibri" w:hAnsi="Calibri"/>
                <w:b/>
                <w:bCs/>
                <w:color w:val="000000"/>
                <w:szCs w:val="22"/>
                <w:lang w:val="en-US" w:eastAsia="es-ES"/>
              </w:rPr>
              <w:t>B</w:t>
            </w:r>
          </w:p>
        </w:tc>
        <w:tc>
          <w:tcPr>
            <w:tcW w:w="719" w:type="dxa"/>
          </w:tcPr>
          <w:p w:rsidR="008C72A2" w:rsidRPr="009C0F76" w:rsidRDefault="008C72A2" w:rsidP="007924D2">
            <w:pPr>
              <w:jc w:val="center"/>
              <w:rPr>
                <w:rFonts w:ascii="Calibri" w:hAnsi="Calibri"/>
                <w:b/>
                <w:bCs/>
                <w:color w:val="000000"/>
                <w:szCs w:val="22"/>
                <w:lang w:val="en-US" w:eastAsia="es-ES"/>
              </w:rPr>
            </w:pPr>
            <w:r>
              <w:rPr>
                <w:rFonts w:ascii="Calibri" w:hAnsi="Calibri"/>
                <w:b/>
                <w:bCs/>
                <w:color w:val="000000"/>
                <w:szCs w:val="22"/>
                <w:lang w:val="en-US" w:eastAsia="es-ES"/>
              </w:rPr>
              <w:t>CCC</w:t>
            </w:r>
          </w:p>
        </w:tc>
      </w:tr>
      <w:tr w:rsidR="008C72A2" w:rsidRPr="009C0F76" w:rsidTr="001A4185">
        <w:trPr>
          <w:trHeight w:val="300"/>
        </w:trPr>
        <w:tc>
          <w:tcPr>
            <w:tcW w:w="2027" w:type="dxa"/>
            <w:tcBorders>
              <w:bottom w:val="nil"/>
            </w:tcBorders>
            <w:noWrap/>
          </w:tcPr>
          <w:p w:rsidR="008C72A2" w:rsidRPr="006F79FA" w:rsidRDefault="008C72A2" w:rsidP="007924D2">
            <w:pPr>
              <w:spacing w:before="120" w:after="120"/>
              <w:rPr>
                <w:b/>
                <w:color w:val="000000"/>
                <w:szCs w:val="22"/>
              </w:rPr>
            </w:pPr>
            <w:r>
              <w:rPr>
                <w:b/>
                <w:color w:val="000000"/>
                <w:szCs w:val="22"/>
              </w:rPr>
              <w:t>Business risk</w:t>
            </w:r>
          </w:p>
        </w:tc>
        <w:tc>
          <w:tcPr>
            <w:tcW w:w="907" w:type="dxa"/>
            <w:tcBorders>
              <w:bottom w:val="nil"/>
            </w:tcBorders>
            <w:noWrap/>
          </w:tcPr>
          <w:p w:rsidR="008C72A2" w:rsidRPr="006576F9" w:rsidRDefault="008C72A2" w:rsidP="007924D2">
            <w:pPr>
              <w:jc w:val="right"/>
              <w:rPr>
                <w:rFonts w:ascii="Calibri" w:hAnsi="Calibri"/>
                <w:color w:val="000000"/>
                <w:szCs w:val="22"/>
                <w:lang w:val="en-US" w:eastAsia="es-ES"/>
              </w:rPr>
            </w:pPr>
          </w:p>
        </w:tc>
        <w:tc>
          <w:tcPr>
            <w:tcW w:w="907" w:type="dxa"/>
            <w:tcBorders>
              <w:bottom w:val="nil"/>
            </w:tcBorders>
            <w:noWrap/>
          </w:tcPr>
          <w:p w:rsidR="008C72A2" w:rsidRPr="006576F9" w:rsidRDefault="008C72A2" w:rsidP="007924D2">
            <w:pPr>
              <w:jc w:val="right"/>
              <w:rPr>
                <w:rFonts w:ascii="Calibri" w:hAnsi="Calibri"/>
                <w:color w:val="000000"/>
                <w:szCs w:val="22"/>
                <w:lang w:val="en-US" w:eastAsia="es-ES"/>
              </w:rPr>
            </w:pPr>
          </w:p>
        </w:tc>
        <w:tc>
          <w:tcPr>
            <w:tcW w:w="907" w:type="dxa"/>
            <w:tcBorders>
              <w:bottom w:val="nil"/>
            </w:tcBorders>
            <w:noWrap/>
          </w:tcPr>
          <w:p w:rsidR="008C72A2" w:rsidRPr="006576F9" w:rsidRDefault="008C72A2" w:rsidP="007924D2">
            <w:pPr>
              <w:jc w:val="right"/>
              <w:rPr>
                <w:rFonts w:ascii="Calibri" w:hAnsi="Calibri"/>
                <w:color w:val="000000"/>
                <w:szCs w:val="22"/>
                <w:lang w:val="en-US" w:eastAsia="es-ES"/>
              </w:rPr>
            </w:pPr>
          </w:p>
        </w:tc>
        <w:tc>
          <w:tcPr>
            <w:tcW w:w="907" w:type="dxa"/>
            <w:tcBorders>
              <w:bottom w:val="nil"/>
            </w:tcBorders>
            <w:noWrap/>
          </w:tcPr>
          <w:p w:rsidR="008C72A2" w:rsidRPr="006576F9" w:rsidRDefault="008C72A2" w:rsidP="007924D2">
            <w:pPr>
              <w:jc w:val="right"/>
              <w:rPr>
                <w:rFonts w:ascii="Calibri" w:hAnsi="Calibri"/>
                <w:color w:val="000000"/>
                <w:szCs w:val="22"/>
                <w:lang w:val="en-US" w:eastAsia="es-ES"/>
              </w:rPr>
            </w:pPr>
          </w:p>
        </w:tc>
        <w:tc>
          <w:tcPr>
            <w:tcW w:w="907" w:type="dxa"/>
            <w:tcBorders>
              <w:bottom w:val="nil"/>
            </w:tcBorders>
            <w:noWrap/>
          </w:tcPr>
          <w:p w:rsidR="008C72A2" w:rsidRPr="006576F9" w:rsidRDefault="008C72A2" w:rsidP="007924D2">
            <w:pPr>
              <w:jc w:val="right"/>
              <w:rPr>
                <w:rFonts w:ascii="Calibri" w:hAnsi="Calibri"/>
                <w:color w:val="000000"/>
                <w:szCs w:val="22"/>
                <w:lang w:val="en-US" w:eastAsia="es-ES"/>
              </w:rPr>
            </w:pPr>
          </w:p>
        </w:tc>
        <w:tc>
          <w:tcPr>
            <w:tcW w:w="907" w:type="dxa"/>
            <w:tcBorders>
              <w:bottom w:val="nil"/>
            </w:tcBorders>
            <w:noWrap/>
          </w:tcPr>
          <w:p w:rsidR="008C72A2" w:rsidRPr="006576F9" w:rsidRDefault="008C72A2" w:rsidP="007924D2">
            <w:pPr>
              <w:jc w:val="right"/>
              <w:rPr>
                <w:rFonts w:ascii="Calibri" w:hAnsi="Calibri"/>
                <w:color w:val="000000"/>
                <w:szCs w:val="22"/>
                <w:lang w:val="en-US" w:eastAsia="es-ES"/>
              </w:rPr>
            </w:pPr>
          </w:p>
        </w:tc>
        <w:tc>
          <w:tcPr>
            <w:tcW w:w="719" w:type="dxa"/>
            <w:tcBorders>
              <w:bottom w:val="nil"/>
            </w:tcBorders>
          </w:tcPr>
          <w:p w:rsidR="008C72A2" w:rsidRPr="006576F9" w:rsidRDefault="008C72A2" w:rsidP="007924D2">
            <w:pPr>
              <w:jc w:val="right"/>
              <w:rPr>
                <w:rFonts w:ascii="Calibri" w:hAnsi="Calibri"/>
                <w:color w:val="000000"/>
                <w:szCs w:val="22"/>
                <w:lang w:val="en-US" w:eastAsia="es-ES"/>
              </w:rPr>
            </w:pPr>
          </w:p>
        </w:tc>
      </w:tr>
      <w:tr w:rsidR="007924D2" w:rsidRPr="009C0F76" w:rsidTr="001A4185">
        <w:trPr>
          <w:trHeight w:val="300"/>
        </w:trPr>
        <w:tc>
          <w:tcPr>
            <w:tcW w:w="2027" w:type="dxa"/>
            <w:tcBorders>
              <w:top w:val="nil"/>
              <w:bottom w:val="nil"/>
            </w:tcBorders>
            <w:noWrap/>
          </w:tcPr>
          <w:p w:rsidR="007924D2" w:rsidRPr="006F79FA" w:rsidRDefault="007924D2" w:rsidP="007924D2">
            <w:pPr>
              <w:spacing w:before="120" w:after="120"/>
              <w:rPr>
                <w:b/>
                <w:color w:val="000000"/>
                <w:szCs w:val="22"/>
              </w:rPr>
            </w:pPr>
            <w:r>
              <w:rPr>
                <w:b/>
                <w:color w:val="000000"/>
                <w:szCs w:val="22"/>
              </w:rPr>
              <w:t>AAA</w:t>
            </w:r>
          </w:p>
        </w:tc>
        <w:tc>
          <w:tcPr>
            <w:tcW w:w="907" w:type="dxa"/>
            <w:tcBorders>
              <w:top w:val="nil"/>
              <w:bottom w:val="nil"/>
            </w:tcBorders>
            <w:noWrap/>
          </w:tcPr>
          <w:p w:rsidR="007924D2" w:rsidRPr="001B0499" w:rsidRDefault="007924D2" w:rsidP="007924D2">
            <w:pPr>
              <w:jc w:val="center"/>
            </w:pPr>
            <w:r>
              <w:t>AAA</w:t>
            </w:r>
          </w:p>
        </w:tc>
        <w:tc>
          <w:tcPr>
            <w:tcW w:w="907" w:type="dxa"/>
            <w:tcBorders>
              <w:top w:val="nil"/>
              <w:bottom w:val="nil"/>
            </w:tcBorders>
            <w:noWrap/>
          </w:tcPr>
          <w:p w:rsidR="007924D2" w:rsidRPr="002F6345" w:rsidRDefault="007924D2" w:rsidP="007924D2">
            <w:pPr>
              <w:jc w:val="center"/>
            </w:pPr>
            <w:r w:rsidRPr="002F6345">
              <w:t>AA+</w:t>
            </w:r>
          </w:p>
        </w:tc>
        <w:tc>
          <w:tcPr>
            <w:tcW w:w="907" w:type="dxa"/>
            <w:tcBorders>
              <w:top w:val="nil"/>
              <w:bottom w:val="nil"/>
            </w:tcBorders>
            <w:noWrap/>
          </w:tcPr>
          <w:p w:rsidR="007924D2" w:rsidRPr="002F6345" w:rsidRDefault="007924D2" w:rsidP="007924D2">
            <w:pPr>
              <w:jc w:val="center"/>
            </w:pPr>
            <w:r w:rsidRPr="002F6345">
              <w:t>AA-</w:t>
            </w:r>
          </w:p>
        </w:tc>
        <w:tc>
          <w:tcPr>
            <w:tcW w:w="907" w:type="dxa"/>
            <w:tcBorders>
              <w:top w:val="nil"/>
              <w:bottom w:val="nil"/>
            </w:tcBorders>
            <w:noWrap/>
          </w:tcPr>
          <w:p w:rsidR="007924D2" w:rsidRPr="002F6345" w:rsidRDefault="007924D2" w:rsidP="007924D2">
            <w:pPr>
              <w:jc w:val="center"/>
            </w:pPr>
            <w:r w:rsidRPr="002F6345">
              <w:t>A+</w:t>
            </w:r>
          </w:p>
        </w:tc>
        <w:tc>
          <w:tcPr>
            <w:tcW w:w="907" w:type="dxa"/>
            <w:tcBorders>
              <w:top w:val="nil"/>
              <w:bottom w:val="nil"/>
            </w:tcBorders>
            <w:noWrap/>
          </w:tcPr>
          <w:p w:rsidR="007924D2" w:rsidRPr="002F6345" w:rsidRDefault="007924D2" w:rsidP="007924D2">
            <w:pPr>
              <w:jc w:val="center"/>
            </w:pPr>
            <w:r w:rsidRPr="002F6345">
              <w:t>A-</w:t>
            </w:r>
          </w:p>
        </w:tc>
        <w:tc>
          <w:tcPr>
            <w:tcW w:w="907" w:type="dxa"/>
            <w:tcBorders>
              <w:top w:val="nil"/>
              <w:bottom w:val="nil"/>
            </w:tcBorders>
            <w:noWrap/>
          </w:tcPr>
          <w:p w:rsidR="007924D2" w:rsidRPr="002F6345" w:rsidRDefault="007924D2" w:rsidP="007924D2">
            <w:pPr>
              <w:jc w:val="center"/>
            </w:pPr>
            <w:r w:rsidRPr="002F6345">
              <w:t>BBB</w:t>
            </w:r>
          </w:p>
        </w:tc>
        <w:tc>
          <w:tcPr>
            <w:tcW w:w="719" w:type="dxa"/>
            <w:tcBorders>
              <w:top w:val="nil"/>
              <w:bottom w:val="nil"/>
            </w:tcBorders>
          </w:tcPr>
          <w:p w:rsidR="007924D2" w:rsidRPr="002F6345" w:rsidRDefault="007924D2" w:rsidP="007924D2">
            <w:pPr>
              <w:jc w:val="center"/>
            </w:pPr>
            <w:r w:rsidRPr="002F6345">
              <w:t>BB+</w:t>
            </w:r>
          </w:p>
        </w:tc>
      </w:tr>
      <w:tr w:rsidR="007924D2" w:rsidRPr="009C0F76" w:rsidTr="001A4185">
        <w:trPr>
          <w:trHeight w:val="300"/>
        </w:trPr>
        <w:tc>
          <w:tcPr>
            <w:tcW w:w="2027" w:type="dxa"/>
            <w:tcBorders>
              <w:top w:val="nil"/>
              <w:bottom w:val="nil"/>
            </w:tcBorders>
            <w:noWrap/>
          </w:tcPr>
          <w:p w:rsidR="007924D2" w:rsidRPr="006F79FA" w:rsidRDefault="007924D2" w:rsidP="007924D2">
            <w:pPr>
              <w:spacing w:before="120" w:after="120"/>
              <w:rPr>
                <w:b/>
                <w:color w:val="000000"/>
                <w:szCs w:val="22"/>
              </w:rPr>
            </w:pPr>
            <w:r>
              <w:rPr>
                <w:b/>
                <w:color w:val="000000"/>
                <w:szCs w:val="22"/>
              </w:rPr>
              <w:t>AA</w:t>
            </w:r>
          </w:p>
        </w:tc>
        <w:tc>
          <w:tcPr>
            <w:tcW w:w="907" w:type="dxa"/>
            <w:tcBorders>
              <w:top w:val="nil"/>
              <w:bottom w:val="nil"/>
            </w:tcBorders>
            <w:noWrap/>
          </w:tcPr>
          <w:p w:rsidR="007924D2" w:rsidRPr="001B0499" w:rsidRDefault="007924D2" w:rsidP="007924D2">
            <w:pPr>
              <w:jc w:val="center"/>
            </w:pPr>
            <w:r>
              <w:t>AAA</w:t>
            </w:r>
          </w:p>
        </w:tc>
        <w:tc>
          <w:tcPr>
            <w:tcW w:w="907" w:type="dxa"/>
            <w:tcBorders>
              <w:top w:val="nil"/>
              <w:bottom w:val="nil"/>
            </w:tcBorders>
            <w:noWrap/>
          </w:tcPr>
          <w:p w:rsidR="007924D2" w:rsidRPr="002F6345" w:rsidRDefault="007924D2" w:rsidP="007924D2">
            <w:pPr>
              <w:jc w:val="center"/>
            </w:pPr>
            <w:r w:rsidRPr="002F6345">
              <w:t>AA</w:t>
            </w:r>
          </w:p>
        </w:tc>
        <w:tc>
          <w:tcPr>
            <w:tcW w:w="907" w:type="dxa"/>
            <w:tcBorders>
              <w:top w:val="nil"/>
              <w:bottom w:val="nil"/>
            </w:tcBorders>
            <w:noWrap/>
          </w:tcPr>
          <w:p w:rsidR="007924D2" w:rsidRPr="002F6345" w:rsidRDefault="007924D2" w:rsidP="007924D2">
            <w:pPr>
              <w:jc w:val="center"/>
            </w:pPr>
            <w:r w:rsidRPr="002F6345">
              <w:t>A+</w:t>
            </w:r>
          </w:p>
        </w:tc>
        <w:tc>
          <w:tcPr>
            <w:tcW w:w="907" w:type="dxa"/>
            <w:tcBorders>
              <w:top w:val="nil"/>
              <w:bottom w:val="nil"/>
            </w:tcBorders>
            <w:noWrap/>
          </w:tcPr>
          <w:p w:rsidR="007924D2" w:rsidRPr="002F6345" w:rsidRDefault="007924D2" w:rsidP="007924D2">
            <w:pPr>
              <w:jc w:val="center"/>
            </w:pPr>
            <w:r w:rsidRPr="002F6345">
              <w:t>A-</w:t>
            </w:r>
          </w:p>
        </w:tc>
        <w:tc>
          <w:tcPr>
            <w:tcW w:w="907" w:type="dxa"/>
            <w:tcBorders>
              <w:top w:val="nil"/>
              <w:bottom w:val="nil"/>
            </w:tcBorders>
            <w:noWrap/>
          </w:tcPr>
          <w:p w:rsidR="007924D2" w:rsidRPr="002F6345" w:rsidRDefault="007924D2" w:rsidP="007924D2">
            <w:pPr>
              <w:jc w:val="center"/>
            </w:pPr>
            <w:r w:rsidRPr="002F6345">
              <w:t>BBB+</w:t>
            </w:r>
          </w:p>
        </w:tc>
        <w:tc>
          <w:tcPr>
            <w:tcW w:w="907" w:type="dxa"/>
            <w:tcBorders>
              <w:top w:val="nil"/>
              <w:bottom w:val="nil"/>
            </w:tcBorders>
            <w:noWrap/>
          </w:tcPr>
          <w:p w:rsidR="007924D2" w:rsidRPr="002F6345" w:rsidRDefault="007924D2" w:rsidP="007924D2">
            <w:pPr>
              <w:jc w:val="center"/>
            </w:pPr>
            <w:r w:rsidRPr="002F6345">
              <w:t>BBB-</w:t>
            </w:r>
          </w:p>
        </w:tc>
        <w:tc>
          <w:tcPr>
            <w:tcW w:w="719" w:type="dxa"/>
            <w:tcBorders>
              <w:top w:val="nil"/>
              <w:bottom w:val="nil"/>
            </w:tcBorders>
          </w:tcPr>
          <w:p w:rsidR="007924D2" w:rsidRPr="002F6345" w:rsidRDefault="007924D2" w:rsidP="007924D2">
            <w:pPr>
              <w:jc w:val="center"/>
            </w:pPr>
            <w:r w:rsidRPr="002F6345">
              <w:t>BB</w:t>
            </w:r>
          </w:p>
        </w:tc>
      </w:tr>
      <w:tr w:rsidR="007924D2" w:rsidRPr="009C0F76" w:rsidTr="001A4185">
        <w:trPr>
          <w:trHeight w:val="300"/>
        </w:trPr>
        <w:tc>
          <w:tcPr>
            <w:tcW w:w="2027" w:type="dxa"/>
            <w:tcBorders>
              <w:top w:val="nil"/>
              <w:bottom w:val="nil"/>
            </w:tcBorders>
            <w:noWrap/>
          </w:tcPr>
          <w:p w:rsidR="007924D2" w:rsidRPr="006F79FA" w:rsidRDefault="007924D2" w:rsidP="007924D2">
            <w:pPr>
              <w:spacing w:before="120" w:after="120"/>
              <w:rPr>
                <w:b/>
                <w:color w:val="000000"/>
                <w:szCs w:val="22"/>
              </w:rPr>
            </w:pPr>
            <w:r>
              <w:rPr>
                <w:b/>
                <w:color w:val="000000"/>
                <w:szCs w:val="22"/>
              </w:rPr>
              <w:t>A</w:t>
            </w:r>
          </w:p>
        </w:tc>
        <w:tc>
          <w:tcPr>
            <w:tcW w:w="907" w:type="dxa"/>
            <w:tcBorders>
              <w:top w:val="nil"/>
              <w:bottom w:val="nil"/>
            </w:tcBorders>
            <w:noWrap/>
          </w:tcPr>
          <w:p w:rsidR="007924D2" w:rsidRPr="001B0499" w:rsidRDefault="007924D2" w:rsidP="007924D2">
            <w:pPr>
              <w:jc w:val="center"/>
            </w:pPr>
            <w:r>
              <w:t>AA+</w:t>
            </w:r>
          </w:p>
        </w:tc>
        <w:tc>
          <w:tcPr>
            <w:tcW w:w="907" w:type="dxa"/>
            <w:tcBorders>
              <w:top w:val="nil"/>
              <w:bottom w:val="nil"/>
            </w:tcBorders>
            <w:noWrap/>
          </w:tcPr>
          <w:p w:rsidR="007924D2" w:rsidRPr="002F6345" w:rsidRDefault="007924D2" w:rsidP="007924D2">
            <w:pPr>
              <w:jc w:val="center"/>
            </w:pPr>
            <w:r w:rsidRPr="002F6345">
              <w:t>AA-</w:t>
            </w:r>
          </w:p>
        </w:tc>
        <w:tc>
          <w:tcPr>
            <w:tcW w:w="907" w:type="dxa"/>
            <w:tcBorders>
              <w:top w:val="nil"/>
              <w:bottom w:val="nil"/>
            </w:tcBorders>
            <w:noWrap/>
          </w:tcPr>
          <w:p w:rsidR="007924D2" w:rsidRPr="002F6345" w:rsidRDefault="007924D2" w:rsidP="007924D2">
            <w:pPr>
              <w:jc w:val="center"/>
            </w:pPr>
            <w:r w:rsidRPr="002F6345">
              <w:t>A</w:t>
            </w:r>
          </w:p>
        </w:tc>
        <w:tc>
          <w:tcPr>
            <w:tcW w:w="907" w:type="dxa"/>
            <w:tcBorders>
              <w:top w:val="nil"/>
              <w:bottom w:val="nil"/>
            </w:tcBorders>
            <w:noWrap/>
          </w:tcPr>
          <w:p w:rsidR="007924D2" w:rsidRPr="002F6345" w:rsidRDefault="007924D2" w:rsidP="007924D2">
            <w:pPr>
              <w:jc w:val="center"/>
            </w:pPr>
            <w:r w:rsidRPr="002F6345">
              <w:t>A-</w:t>
            </w:r>
          </w:p>
        </w:tc>
        <w:tc>
          <w:tcPr>
            <w:tcW w:w="907" w:type="dxa"/>
            <w:tcBorders>
              <w:top w:val="nil"/>
              <w:bottom w:val="nil"/>
            </w:tcBorders>
            <w:noWrap/>
          </w:tcPr>
          <w:p w:rsidR="007924D2" w:rsidRPr="002F6345" w:rsidRDefault="007924D2" w:rsidP="007924D2">
            <w:pPr>
              <w:jc w:val="center"/>
            </w:pPr>
            <w:r w:rsidRPr="002F6345">
              <w:t>BBB-</w:t>
            </w:r>
          </w:p>
        </w:tc>
        <w:tc>
          <w:tcPr>
            <w:tcW w:w="907" w:type="dxa"/>
            <w:tcBorders>
              <w:top w:val="nil"/>
              <w:bottom w:val="nil"/>
            </w:tcBorders>
            <w:noWrap/>
          </w:tcPr>
          <w:p w:rsidR="007924D2" w:rsidRPr="002F6345" w:rsidRDefault="007924D2" w:rsidP="007924D2">
            <w:pPr>
              <w:jc w:val="center"/>
            </w:pPr>
            <w:r w:rsidRPr="002F6345">
              <w:t>BB+</w:t>
            </w:r>
          </w:p>
        </w:tc>
        <w:tc>
          <w:tcPr>
            <w:tcW w:w="719" w:type="dxa"/>
            <w:tcBorders>
              <w:top w:val="nil"/>
              <w:bottom w:val="nil"/>
            </w:tcBorders>
          </w:tcPr>
          <w:p w:rsidR="007924D2" w:rsidRPr="002F6345" w:rsidRDefault="007924D2" w:rsidP="007924D2">
            <w:pPr>
              <w:jc w:val="center"/>
            </w:pPr>
            <w:r w:rsidRPr="002F6345">
              <w:t>BB-</w:t>
            </w:r>
          </w:p>
        </w:tc>
      </w:tr>
      <w:tr w:rsidR="007924D2" w:rsidRPr="009C0F76" w:rsidTr="001A4185">
        <w:trPr>
          <w:trHeight w:val="300"/>
        </w:trPr>
        <w:tc>
          <w:tcPr>
            <w:tcW w:w="2027" w:type="dxa"/>
            <w:tcBorders>
              <w:top w:val="nil"/>
              <w:bottom w:val="nil"/>
            </w:tcBorders>
            <w:noWrap/>
          </w:tcPr>
          <w:p w:rsidR="007924D2" w:rsidRPr="006F79FA" w:rsidRDefault="007924D2" w:rsidP="007924D2">
            <w:pPr>
              <w:spacing w:before="120" w:after="120"/>
              <w:rPr>
                <w:b/>
                <w:color w:val="000000"/>
                <w:szCs w:val="22"/>
              </w:rPr>
            </w:pPr>
            <w:r>
              <w:rPr>
                <w:b/>
                <w:color w:val="000000"/>
                <w:szCs w:val="22"/>
              </w:rPr>
              <w:t>BBB</w:t>
            </w:r>
          </w:p>
        </w:tc>
        <w:tc>
          <w:tcPr>
            <w:tcW w:w="907" w:type="dxa"/>
            <w:tcBorders>
              <w:top w:val="nil"/>
              <w:bottom w:val="nil"/>
            </w:tcBorders>
            <w:noWrap/>
          </w:tcPr>
          <w:p w:rsidR="007924D2" w:rsidRPr="001B0499" w:rsidRDefault="007924D2" w:rsidP="007924D2">
            <w:pPr>
              <w:jc w:val="center"/>
            </w:pPr>
            <w:r>
              <w:t>AA-</w:t>
            </w:r>
          </w:p>
        </w:tc>
        <w:tc>
          <w:tcPr>
            <w:tcW w:w="907" w:type="dxa"/>
            <w:tcBorders>
              <w:top w:val="nil"/>
              <w:bottom w:val="nil"/>
            </w:tcBorders>
            <w:noWrap/>
          </w:tcPr>
          <w:p w:rsidR="007924D2" w:rsidRPr="002F6345" w:rsidRDefault="007924D2" w:rsidP="007924D2">
            <w:pPr>
              <w:jc w:val="center"/>
            </w:pPr>
            <w:r w:rsidRPr="002F6345">
              <w:t>A+</w:t>
            </w:r>
          </w:p>
        </w:tc>
        <w:tc>
          <w:tcPr>
            <w:tcW w:w="907" w:type="dxa"/>
            <w:tcBorders>
              <w:top w:val="nil"/>
              <w:bottom w:val="nil"/>
            </w:tcBorders>
            <w:noWrap/>
          </w:tcPr>
          <w:p w:rsidR="007924D2" w:rsidRPr="002F6345" w:rsidRDefault="007924D2" w:rsidP="007924D2">
            <w:pPr>
              <w:jc w:val="center"/>
            </w:pPr>
            <w:r w:rsidRPr="002F6345">
              <w:t>A-</w:t>
            </w:r>
          </w:p>
        </w:tc>
        <w:tc>
          <w:tcPr>
            <w:tcW w:w="907" w:type="dxa"/>
            <w:tcBorders>
              <w:top w:val="nil"/>
              <w:bottom w:val="nil"/>
            </w:tcBorders>
            <w:noWrap/>
          </w:tcPr>
          <w:p w:rsidR="007924D2" w:rsidRPr="002F6345" w:rsidRDefault="007924D2" w:rsidP="007924D2">
            <w:pPr>
              <w:jc w:val="center"/>
            </w:pPr>
            <w:r w:rsidRPr="002F6345">
              <w:t>BBB</w:t>
            </w:r>
          </w:p>
        </w:tc>
        <w:tc>
          <w:tcPr>
            <w:tcW w:w="907" w:type="dxa"/>
            <w:tcBorders>
              <w:top w:val="nil"/>
              <w:bottom w:val="nil"/>
            </w:tcBorders>
            <w:noWrap/>
          </w:tcPr>
          <w:p w:rsidR="007924D2" w:rsidRPr="002F6345" w:rsidRDefault="007924D2" w:rsidP="007924D2">
            <w:pPr>
              <w:jc w:val="center"/>
            </w:pPr>
            <w:r w:rsidRPr="002F6345">
              <w:t>BBB-</w:t>
            </w:r>
          </w:p>
        </w:tc>
        <w:tc>
          <w:tcPr>
            <w:tcW w:w="907" w:type="dxa"/>
            <w:tcBorders>
              <w:top w:val="nil"/>
              <w:bottom w:val="nil"/>
            </w:tcBorders>
            <w:noWrap/>
          </w:tcPr>
          <w:p w:rsidR="007924D2" w:rsidRPr="002F6345" w:rsidRDefault="007924D2" w:rsidP="007924D2">
            <w:pPr>
              <w:jc w:val="center"/>
            </w:pPr>
            <w:r w:rsidRPr="002F6345">
              <w:t>BB-</w:t>
            </w:r>
          </w:p>
        </w:tc>
        <w:tc>
          <w:tcPr>
            <w:tcW w:w="719" w:type="dxa"/>
            <w:tcBorders>
              <w:top w:val="nil"/>
              <w:bottom w:val="nil"/>
            </w:tcBorders>
          </w:tcPr>
          <w:p w:rsidR="007924D2" w:rsidRPr="002F6345" w:rsidRDefault="007924D2" w:rsidP="007924D2">
            <w:pPr>
              <w:jc w:val="center"/>
            </w:pPr>
            <w:r w:rsidRPr="002F6345">
              <w:t>B+</w:t>
            </w:r>
          </w:p>
        </w:tc>
      </w:tr>
      <w:tr w:rsidR="007924D2" w:rsidRPr="009C0F76" w:rsidTr="001A4185">
        <w:trPr>
          <w:trHeight w:val="300"/>
        </w:trPr>
        <w:tc>
          <w:tcPr>
            <w:tcW w:w="2027" w:type="dxa"/>
            <w:tcBorders>
              <w:top w:val="nil"/>
              <w:bottom w:val="nil"/>
            </w:tcBorders>
            <w:noWrap/>
          </w:tcPr>
          <w:p w:rsidR="007924D2" w:rsidRPr="006F79FA" w:rsidRDefault="007924D2" w:rsidP="007924D2">
            <w:pPr>
              <w:spacing w:before="120" w:after="120"/>
              <w:rPr>
                <w:b/>
                <w:color w:val="000000"/>
                <w:szCs w:val="22"/>
              </w:rPr>
            </w:pPr>
            <w:r>
              <w:rPr>
                <w:b/>
                <w:color w:val="000000"/>
                <w:szCs w:val="22"/>
              </w:rPr>
              <w:t>BB</w:t>
            </w:r>
          </w:p>
        </w:tc>
        <w:tc>
          <w:tcPr>
            <w:tcW w:w="907" w:type="dxa"/>
            <w:tcBorders>
              <w:top w:val="nil"/>
              <w:bottom w:val="nil"/>
            </w:tcBorders>
            <w:noWrap/>
          </w:tcPr>
          <w:p w:rsidR="007924D2" w:rsidRPr="001B0499" w:rsidRDefault="007924D2" w:rsidP="007924D2">
            <w:pPr>
              <w:jc w:val="center"/>
            </w:pPr>
            <w:r>
              <w:t>A+</w:t>
            </w:r>
          </w:p>
        </w:tc>
        <w:tc>
          <w:tcPr>
            <w:tcW w:w="907" w:type="dxa"/>
            <w:tcBorders>
              <w:top w:val="nil"/>
              <w:bottom w:val="nil"/>
            </w:tcBorders>
            <w:noWrap/>
          </w:tcPr>
          <w:p w:rsidR="007924D2" w:rsidRPr="002F6345" w:rsidRDefault="007924D2" w:rsidP="007924D2">
            <w:pPr>
              <w:jc w:val="center"/>
            </w:pPr>
            <w:r w:rsidRPr="002F6345">
              <w:t>A-</w:t>
            </w:r>
          </w:p>
        </w:tc>
        <w:tc>
          <w:tcPr>
            <w:tcW w:w="907" w:type="dxa"/>
            <w:tcBorders>
              <w:top w:val="nil"/>
              <w:bottom w:val="nil"/>
            </w:tcBorders>
            <w:noWrap/>
          </w:tcPr>
          <w:p w:rsidR="007924D2" w:rsidRPr="002F6345" w:rsidRDefault="007924D2" w:rsidP="007924D2">
            <w:pPr>
              <w:jc w:val="center"/>
            </w:pPr>
            <w:r w:rsidRPr="002F6345">
              <w:t>BBB+</w:t>
            </w:r>
          </w:p>
        </w:tc>
        <w:tc>
          <w:tcPr>
            <w:tcW w:w="907" w:type="dxa"/>
            <w:tcBorders>
              <w:top w:val="nil"/>
              <w:bottom w:val="nil"/>
            </w:tcBorders>
            <w:noWrap/>
          </w:tcPr>
          <w:p w:rsidR="007924D2" w:rsidRPr="002F6345" w:rsidRDefault="007924D2" w:rsidP="007924D2">
            <w:pPr>
              <w:jc w:val="center"/>
            </w:pPr>
            <w:r w:rsidRPr="002F6345">
              <w:t>BBB-</w:t>
            </w:r>
          </w:p>
        </w:tc>
        <w:tc>
          <w:tcPr>
            <w:tcW w:w="907" w:type="dxa"/>
            <w:tcBorders>
              <w:top w:val="nil"/>
              <w:bottom w:val="nil"/>
            </w:tcBorders>
            <w:noWrap/>
          </w:tcPr>
          <w:p w:rsidR="007924D2" w:rsidRPr="002F6345" w:rsidRDefault="007924D2" w:rsidP="007924D2">
            <w:pPr>
              <w:jc w:val="center"/>
            </w:pPr>
            <w:r w:rsidRPr="002F6345">
              <w:t>BB</w:t>
            </w:r>
          </w:p>
        </w:tc>
        <w:tc>
          <w:tcPr>
            <w:tcW w:w="907" w:type="dxa"/>
            <w:tcBorders>
              <w:top w:val="nil"/>
              <w:bottom w:val="nil"/>
            </w:tcBorders>
            <w:noWrap/>
          </w:tcPr>
          <w:p w:rsidR="007924D2" w:rsidRPr="002F6345" w:rsidRDefault="007924D2" w:rsidP="007924D2">
            <w:pPr>
              <w:jc w:val="center"/>
            </w:pPr>
            <w:r w:rsidRPr="002F6345">
              <w:t>BB-</w:t>
            </w:r>
          </w:p>
        </w:tc>
        <w:tc>
          <w:tcPr>
            <w:tcW w:w="719" w:type="dxa"/>
            <w:tcBorders>
              <w:top w:val="nil"/>
              <w:bottom w:val="nil"/>
            </w:tcBorders>
          </w:tcPr>
          <w:p w:rsidR="007924D2" w:rsidRPr="002F6345" w:rsidRDefault="007924D2" w:rsidP="007924D2">
            <w:pPr>
              <w:jc w:val="center"/>
            </w:pPr>
            <w:r w:rsidRPr="002F6345">
              <w:t>B-</w:t>
            </w:r>
          </w:p>
        </w:tc>
      </w:tr>
      <w:tr w:rsidR="007924D2" w:rsidRPr="009C0F76" w:rsidTr="001A4185">
        <w:trPr>
          <w:trHeight w:val="300"/>
        </w:trPr>
        <w:tc>
          <w:tcPr>
            <w:tcW w:w="2027" w:type="dxa"/>
            <w:tcBorders>
              <w:top w:val="nil"/>
              <w:bottom w:val="nil"/>
            </w:tcBorders>
            <w:noWrap/>
          </w:tcPr>
          <w:p w:rsidR="007924D2" w:rsidRPr="006F79FA" w:rsidRDefault="007924D2" w:rsidP="007924D2">
            <w:pPr>
              <w:spacing w:before="120" w:after="120"/>
              <w:rPr>
                <w:b/>
                <w:color w:val="000000"/>
                <w:szCs w:val="22"/>
              </w:rPr>
            </w:pPr>
            <w:r>
              <w:rPr>
                <w:b/>
                <w:color w:val="000000"/>
                <w:szCs w:val="22"/>
              </w:rPr>
              <w:t>B</w:t>
            </w:r>
          </w:p>
        </w:tc>
        <w:tc>
          <w:tcPr>
            <w:tcW w:w="907" w:type="dxa"/>
            <w:tcBorders>
              <w:top w:val="nil"/>
              <w:bottom w:val="nil"/>
            </w:tcBorders>
            <w:noWrap/>
          </w:tcPr>
          <w:p w:rsidR="007924D2" w:rsidRPr="001B0499" w:rsidRDefault="007924D2" w:rsidP="007924D2">
            <w:pPr>
              <w:jc w:val="center"/>
            </w:pPr>
            <w:r>
              <w:t>A</w:t>
            </w:r>
          </w:p>
        </w:tc>
        <w:tc>
          <w:tcPr>
            <w:tcW w:w="907" w:type="dxa"/>
            <w:tcBorders>
              <w:top w:val="nil"/>
              <w:bottom w:val="nil"/>
            </w:tcBorders>
            <w:noWrap/>
          </w:tcPr>
          <w:p w:rsidR="007924D2" w:rsidRPr="002F6345" w:rsidRDefault="007924D2" w:rsidP="007924D2">
            <w:pPr>
              <w:jc w:val="center"/>
            </w:pPr>
            <w:r w:rsidRPr="002F6345">
              <w:t>BBB+</w:t>
            </w:r>
          </w:p>
        </w:tc>
        <w:tc>
          <w:tcPr>
            <w:tcW w:w="907" w:type="dxa"/>
            <w:tcBorders>
              <w:top w:val="nil"/>
              <w:bottom w:val="nil"/>
            </w:tcBorders>
            <w:noWrap/>
          </w:tcPr>
          <w:p w:rsidR="007924D2" w:rsidRPr="002F6345" w:rsidRDefault="007924D2" w:rsidP="007924D2">
            <w:pPr>
              <w:jc w:val="center"/>
            </w:pPr>
            <w:r w:rsidRPr="002F6345">
              <w:t>BBB-</w:t>
            </w:r>
          </w:p>
        </w:tc>
        <w:tc>
          <w:tcPr>
            <w:tcW w:w="907" w:type="dxa"/>
            <w:tcBorders>
              <w:top w:val="nil"/>
              <w:bottom w:val="nil"/>
            </w:tcBorders>
            <w:noWrap/>
          </w:tcPr>
          <w:p w:rsidR="007924D2" w:rsidRPr="002F6345" w:rsidRDefault="007924D2" w:rsidP="007924D2">
            <w:pPr>
              <w:jc w:val="center"/>
            </w:pPr>
            <w:r w:rsidRPr="002F6345">
              <w:t>BB+</w:t>
            </w:r>
          </w:p>
        </w:tc>
        <w:tc>
          <w:tcPr>
            <w:tcW w:w="907" w:type="dxa"/>
            <w:tcBorders>
              <w:top w:val="nil"/>
              <w:bottom w:val="nil"/>
            </w:tcBorders>
            <w:noWrap/>
          </w:tcPr>
          <w:p w:rsidR="007924D2" w:rsidRPr="002F6345" w:rsidRDefault="007924D2" w:rsidP="007924D2">
            <w:pPr>
              <w:jc w:val="center"/>
            </w:pPr>
            <w:r w:rsidRPr="002F6345">
              <w:t>BB-</w:t>
            </w:r>
          </w:p>
        </w:tc>
        <w:tc>
          <w:tcPr>
            <w:tcW w:w="907" w:type="dxa"/>
            <w:tcBorders>
              <w:top w:val="nil"/>
              <w:bottom w:val="nil"/>
            </w:tcBorders>
            <w:noWrap/>
          </w:tcPr>
          <w:p w:rsidR="007924D2" w:rsidRPr="002F6345" w:rsidRDefault="007924D2" w:rsidP="007924D2">
            <w:pPr>
              <w:jc w:val="center"/>
            </w:pPr>
            <w:r w:rsidRPr="002F6345">
              <w:t>B</w:t>
            </w:r>
          </w:p>
        </w:tc>
        <w:tc>
          <w:tcPr>
            <w:tcW w:w="719" w:type="dxa"/>
            <w:tcBorders>
              <w:top w:val="nil"/>
              <w:bottom w:val="nil"/>
            </w:tcBorders>
          </w:tcPr>
          <w:p w:rsidR="007924D2" w:rsidRPr="002F6345" w:rsidRDefault="007924D2" w:rsidP="007924D2">
            <w:pPr>
              <w:jc w:val="center"/>
            </w:pPr>
            <w:r w:rsidRPr="002F6345">
              <w:t>B-</w:t>
            </w:r>
          </w:p>
        </w:tc>
      </w:tr>
      <w:tr w:rsidR="007924D2" w:rsidRPr="009C0F76" w:rsidTr="001A4185">
        <w:trPr>
          <w:trHeight w:val="300"/>
        </w:trPr>
        <w:tc>
          <w:tcPr>
            <w:tcW w:w="2027" w:type="dxa"/>
            <w:tcBorders>
              <w:top w:val="nil"/>
              <w:bottom w:val="single" w:sz="18" w:space="0" w:color="E98E31" w:themeColor="background2"/>
            </w:tcBorders>
            <w:noWrap/>
          </w:tcPr>
          <w:p w:rsidR="007924D2" w:rsidRPr="006F79FA" w:rsidRDefault="007924D2" w:rsidP="007924D2">
            <w:pPr>
              <w:spacing w:before="120" w:after="120"/>
              <w:rPr>
                <w:b/>
                <w:color w:val="000000"/>
                <w:szCs w:val="22"/>
              </w:rPr>
            </w:pPr>
            <w:r>
              <w:rPr>
                <w:b/>
                <w:color w:val="000000"/>
                <w:szCs w:val="22"/>
              </w:rPr>
              <w:t>CCC</w:t>
            </w:r>
          </w:p>
        </w:tc>
        <w:tc>
          <w:tcPr>
            <w:tcW w:w="907" w:type="dxa"/>
            <w:tcBorders>
              <w:top w:val="nil"/>
              <w:bottom w:val="single" w:sz="18" w:space="0" w:color="E98E31" w:themeColor="background2"/>
            </w:tcBorders>
            <w:noWrap/>
          </w:tcPr>
          <w:p w:rsidR="007924D2" w:rsidRPr="001B0499" w:rsidRDefault="007924D2" w:rsidP="007924D2">
            <w:pPr>
              <w:jc w:val="center"/>
            </w:pPr>
            <w:r>
              <w:t>A-</w:t>
            </w:r>
          </w:p>
        </w:tc>
        <w:tc>
          <w:tcPr>
            <w:tcW w:w="907" w:type="dxa"/>
            <w:tcBorders>
              <w:top w:val="nil"/>
              <w:bottom w:val="single" w:sz="18" w:space="0" w:color="E98E31" w:themeColor="background2"/>
            </w:tcBorders>
            <w:noWrap/>
          </w:tcPr>
          <w:p w:rsidR="007924D2" w:rsidRPr="002F6345" w:rsidRDefault="007924D2" w:rsidP="007924D2">
            <w:pPr>
              <w:jc w:val="center"/>
            </w:pPr>
            <w:r w:rsidRPr="002F6345">
              <w:t>BBB</w:t>
            </w:r>
          </w:p>
        </w:tc>
        <w:tc>
          <w:tcPr>
            <w:tcW w:w="907" w:type="dxa"/>
            <w:tcBorders>
              <w:top w:val="nil"/>
              <w:bottom w:val="single" w:sz="18" w:space="0" w:color="E98E31" w:themeColor="background2"/>
            </w:tcBorders>
            <w:noWrap/>
          </w:tcPr>
          <w:p w:rsidR="007924D2" w:rsidRPr="002F6345" w:rsidRDefault="007924D2" w:rsidP="007924D2">
            <w:pPr>
              <w:jc w:val="center"/>
            </w:pPr>
            <w:r w:rsidRPr="002F6345">
              <w:t>BB+</w:t>
            </w:r>
          </w:p>
        </w:tc>
        <w:tc>
          <w:tcPr>
            <w:tcW w:w="907" w:type="dxa"/>
            <w:tcBorders>
              <w:top w:val="nil"/>
              <w:bottom w:val="single" w:sz="18" w:space="0" w:color="E98E31" w:themeColor="background2"/>
            </w:tcBorders>
            <w:noWrap/>
          </w:tcPr>
          <w:p w:rsidR="007924D2" w:rsidRPr="002F6345" w:rsidRDefault="007924D2" w:rsidP="007924D2">
            <w:pPr>
              <w:jc w:val="center"/>
            </w:pPr>
            <w:r w:rsidRPr="002F6345">
              <w:t>BB-</w:t>
            </w:r>
          </w:p>
        </w:tc>
        <w:tc>
          <w:tcPr>
            <w:tcW w:w="907" w:type="dxa"/>
            <w:tcBorders>
              <w:top w:val="nil"/>
              <w:bottom w:val="single" w:sz="18" w:space="0" w:color="E98E31" w:themeColor="background2"/>
            </w:tcBorders>
            <w:noWrap/>
          </w:tcPr>
          <w:p w:rsidR="007924D2" w:rsidRPr="002F6345" w:rsidRDefault="007924D2" w:rsidP="007924D2">
            <w:pPr>
              <w:jc w:val="center"/>
            </w:pPr>
            <w:r w:rsidRPr="002F6345">
              <w:t>B+</w:t>
            </w:r>
          </w:p>
        </w:tc>
        <w:tc>
          <w:tcPr>
            <w:tcW w:w="907" w:type="dxa"/>
            <w:tcBorders>
              <w:top w:val="nil"/>
              <w:bottom w:val="single" w:sz="18" w:space="0" w:color="E98E31" w:themeColor="background2"/>
            </w:tcBorders>
            <w:noWrap/>
          </w:tcPr>
          <w:p w:rsidR="007924D2" w:rsidRPr="002F6345" w:rsidRDefault="007924D2" w:rsidP="007924D2">
            <w:pPr>
              <w:jc w:val="center"/>
            </w:pPr>
            <w:r w:rsidRPr="002F6345">
              <w:t>B-</w:t>
            </w:r>
          </w:p>
        </w:tc>
        <w:tc>
          <w:tcPr>
            <w:tcW w:w="719" w:type="dxa"/>
            <w:tcBorders>
              <w:top w:val="nil"/>
              <w:bottom w:val="single" w:sz="18" w:space="0" w:color="E98E31" w:themeColor="background2"/>
            </w:tcBorders>
          </w:tcPr>
          <w:p w:rsidR="007924D2" w:rsidRDefault="007924D2" w:rsidP="007924D2">
            <w:pPr>
              <w:jc w:val="center"/>
            </w:pPr>
            <w:r w:rsidRPr="002F6345">
              <w:t>CCC</w:t>
            </w:r>
          </w:p>
        </w:tc>
      </w:tr>
    </w:tbl>
    <w:p w:rsidR="008C72A2" w:rsidRDefault="008C72A2" w:rsidP="0003502D">
      <w:pPr>
        <w:pStyle w:val="FootnoteText"/>
        <w:rPr>
          <w:i/>
        </w:rPr>
      </w:pPr>
      <w:r>
        <w:t>Source:</w:t>
      </w:r>
      <w:r w:rsidRPr="005C1F8E">
        <w:t xml:space="preserve"> </w:t>
      </w:r>
      <w:r w:rsidR="0088294C">
        <w:t>Axesor</w:t>
      </w:r>
    </w:p>
    <w:p w:rsidR="008C72A2" w:rsidRDefault="008C72A2" w:rsidP="008C72A2"/>
    <w:p w:rsidR="00237CFE" w:rsidRDefault="008C72A2" w:rsidP="007924D2">
      <w:pPr>
        <w:jc w:val="both"/>
      </w:pPr>
      <w:r w:rsidRPr="00A75B95">
        <w:t xml:space="preserve">The credit ratings assigned by </w:t>
      </w:r>
      <w:r w:rsidR="007924D2">
        <w:t>Axesor</w:t>
      </w:r>
      <w:r w:rsidRPr="00A75B95">
        <w:t xml:space="preserve"> have a financial risk component (credit scoring) and a business risk component</w:t>
      </w:r>
      <w:r w:rsidR="00237CFE">
        <w:t xml:space="preserve">, each one weighted 60% and 40% respectively (with slight differences </w:t>
      </w:r>
      <w:r w:rsidR="00F8498F">
        <w:t>across</w:t>
      </w:r>
      <w:r w:rsidR="00237CFE">
        <w:t xml:space="preserve"> economic </w:t>
      </w:r>
      <w:r w:rsidR="00F8498F">
        <w:t>sectors</w:t>
      </w:r>
      <w:r w:rsidR="00237CFE">
        <w:t>)</w:t>
      </w:r>
      <w:r w:rsidRPr="00A75B95">
        <w:t xml:space="preserve">. </w:t>
      </w:r>
    </w:p>
    <w:p w:rsidR="00237CFE" w:rsidRDefault="00237CFE" w:rsidP="007924D2">
      <w:pPr>
        <w:jc w:val="both"/>
      </w:pPr>
    </w:p>
    <w:p w:rsidR="005D5A68" w:rsidRDefault="008C72A2" w:rsidP="007924D2">
      <w:pPr>
        <w:jc w:val="both"/>
      </w:pPr>
      <w:r w:rsidRPr="00A75B95">
        <w:fldChar w:fldCharType="begin"/>
      </w:r>
      <w:r w:rsidRPr="00A75B95">
        <w:instrText xml:space="preserve"> REF _Ref390424498 \h  \* MERGEFORMAT </w:instrText>
      </w:r>
      <w:r w:rsidRPr="00A75B95">
        <w:fldChar w:fldCharType="separate"/>
      </w:r>
      <w:r w:rsidR="00A93B28" w:rsidRPr="00C16FAA">
        <w:t xml:space="preserve">Figure </w:t>
      </w:r>
      <w:r w:rsidR="00A93B28">
        <w:rPr>
          <w:noProof/>
        </w:rPr>
        <w:t>5</w:t>
      </w:r>
      <w:r w:rsidRPr="00A75B95">
        <w:fldChar w:fldCharType="end"/>
      </w:r>
      <w:r w:rsidRPr="00A75B95">
        <w:t xml:space="preserve"> shows how each combination of these two components typically results in the final credit rating</w:t>
      </w:r>
      <w:r w:rsidR="00237CFE">
        <w:t xml:space="preserve">. </w:t>
      </w:r>
      <w:r w:rsidR="005D5A68">
        <w:t>T</w:t>
      </w:r>
      <w:r w:rsidR="009C01BC">
        <w:t>he range of variation of the final rating for a</w:t>
      </w:r>
      <w:r w:rsidR="00237CFE">
        <w:t>ny</w:t>
      </w:r>
      <w:r w:rsidR="009C01BC">
        <w:t xml:space="preserve"> given </w:t>
      </w:r>
      <w:r w:rsidR="00583086">
        <w:t xml:space="preserve">level of business risk </w:t>
      </w:r>
      <w:r w:rsidR="009C01BC">
        <w:t>is larger</w:t>
      </w:r>
      <w:r w:rsidR="00583086">
        <w:t xml:space="preserve"> than for any given level of financial</w:t>
      </w:r>
      <w:r w:rsidR="00232B0A">
        <w:t xml:space="preserve"> score</w:t>
      </w:r>
      <w:r w:rsidR="00583086">
        <w:t xml:space="preserve">. For example, whereas </w:t>
      </w:r>
      <w:r w:rsidR="008508D7">
        <w:t xml:space="preserve">a A </w:t>
      </w:r>
      <w:r w:rsidR="00583086">
        <w:t xml:space="preserve">financial </w:t>
      </w:r>
      <w:r w:rsidR="008508D7">
        <w:t xml:space="preserve">score </w:t>
      </w:r>
      <w:r w:rsidR="00583086">
        <w:t>implies</w:t>
      </w:r>
      <w:r w:rsidR="009A2C5C">
        <w:t xml:space="preserve"> a final rating within AA- and BB+</w:t>
      </w:r>
      <w:r w:rsidR="00583086">
        <w:t xml:space="preserve">, </w:t>
      </w:r>
      <w:r w:rsidR="009A2C5C">
        <w:t xml:space="preserve">the final rating associated with </w:t>
      </w:r>
      <w:r w:rsidR="008508D7">
        <w:t xml:space="preserve">a </w:t>
      </w:r>
      <w:r w:rsidR="00583086">
        <w:t>A</w:t>
      </w:r>
      <w:r w:rsidR="008508D7">
        <w:t xml:space="preserve"> business risk profile </w:t>
      </w:r>
      <w:r w:rsidR="009A2C5C">
        <w:t>range</w:t>
      </w:r>
      <w:r w:rsidR="00232B0A">
        <w:t>s</w:t>
      </w:r>
      <w:r w:rsidR="009A2C5C">
        <w:t xml:space="preserve"> between AA+ and BB-</w:t>
      </w:r>
      <w:r w:rsidR="008508D7">
        <w:t>.</w:t>
      </w:r>
      <w:r w:rsidR="005D5A68">
        <w:t xml:space="preserve"> </w:t>
      </w:r>
      <w:r w:rsidR="00237CFE">
        <w:t>Therefore, the higher relative importance of the financial score is confirmed by this table.</w:t>
      </w:r>
    </w:p>
    <w:p w:rsidR="005D5A68" w:rsidRDefault="005D5A68" w:rsidP="007924D2">
      <w:pPr>
        <w:jc w:val="both"/>
      </w:pPr>
    </w:p>
    <w:p w:rsidR="009A2C5C" w:rsidRDefault="009A2C5C" w:rsidP="007924D2">
      <w:pPr>
        <w:jc w:val="both"/>
      </w:pPr>
      <w:r w:rsidRPr="00A75B95">
        <w:fldChar w:fldCharType="begin"/>
      </w:r>
      <w:r w:rsidRPr="00A75B95">
        <w:instrText xml:space="preserve"> REF _Ref390424498 \h  \* MERGEFORMAT </w:instrText>
      </w:r>
      <w:r w:rsidRPr="00A75B95">
        <w:fldChar w:fldCharType="separate"/>
      </w:r>
      <w:r w:rsidR="00A93B28" w:rsidRPr="00C16FAA">
        <w:t xml:space="preserve">Figure </w:t>
      </w:r>
      <w:r w:rsidR="00A93B28">
        <w:rPr>
          <w:noProof/>
        </w:rPr>
        <w:t>5</w:t>
      </w:r>
      <w:r w:rsidRPr="00A75B95">
        <w:fldChar w:fldCharType="end"/>
      </w:r>
      <w:r w:rsidRPr="00A75B95">
        <w:t xml:space="preserve"> </w:t>
      </w:r>
      <w:r>
        <w:t xml:space="preserve">also </w:t>
      </w:r>
      <w:r w:rsidRPr="00A75B95">
        <w:t>shows</w:t>
      </w:r>
      <w:r w:rsidR="00987A1E">
        <w:t>, as expected,</w:t>
      </w:r>
      <w:r w:rsidRPr="00A75B95">
        <w:t xml:space="preserve"> </w:t>
      </w:r>
      <w:r>
        <w:t xml:space="preserve">that </w:t>
      </w:r>
      <w:r w:rsidR="00387B22">
        <w:t>scoring categories</w:t>
      </w:r>
      <w:r w:rsidR="00987A1E">
        <w:t xml:space="preserve"> </w:t>
      </w:r>
      <w:r w:rsidR="00387B22">
        <w:t xml:space="preserve">in the extremes of the scale </w:t>
      </w:r>
      <w:r w:rsidR="00987A1E">
        <w:t>have a potential for large</w:t>
      </w:r>
      <w:r w:rsidR="00387B22">
        <w:t>r</w:t>
      </w:r>
      <w:r w:rsidR="00987A1E">
        <w:t xml:space="preserve"> </w:t>
      </w:r>
      <w:r w:rsidR="00387B22">
        <w:t xml:space="preserve">movements (i.e. </w:t>
      </w:r>
      <w:r w:rsidR="00987A1E">
        <w:t xml:space="preserve">downgrades and </w:t>
      </w:r>
      <w:r w:rsidR="00387B22">
        <w:t>upgrades) than mid-range scoring categories</w:t>
      </w:r>
      <w:r w:rsidR="00A9428F">
        <w:t>, which show</w:t>
      </w:r>
      <w:r w:rsidR="00387B22">
        <w:t xml:space="preserve"> a smaller degree of variation</w:t>
      </w:r>
      <w:r w:rsidR="00A9428F">
        <w:t>. For example, a AA-scored firm may be upgraded only up to AA+ but downgraded down to BBB, whereas a B-scored firm may be upgraded up to BBB but downgraded only down to B-</w:t>
      </w:r>
      <w:r w:rsidR="00387B22">
        <w:t>.</w:t>
      </w:r>
      <w:r w:rsidR="00F475F3">
        <w:t xml:space="preserve"> However, it should be noted that there is frequently a high correlation between scores and ratings because, for example, good </w:t>
      </w:r>
      <w:r w:rsidR="00F475F3" w:rsidRPr="00F475F3">
        <w:t xml:space="preserve">financial ratios are </w:t>
      </w:r>
      <w:r w:rsidR="00F475F3">
        <w:t xml:space="preserve">usually </w:t>
      </w:r>
      <w:r w:rsidR="00F475F3" w:rsidRPr="00F475F3">
        <w:t>consequence of a high competitive position, adequate diversification or a conservative strategic plan (which are indicators of a strong business profile).</w:t>
      </w:r>
    </w:p>
    <w:p w:rsidR="009A2C5C" w:rsidRDefault="009A2C5C" w:rsidP="007924D2">
      <w:pPr>
        <w:jc w:val="both"/>
      </w:pPr>
    </w:p>
    <w:p w:rsidR="005F0125" w:rsidRDefault="007924D2" w:rsidP="007924D2">
      <w:pPr>
        <w:jc w:val="both"/>
      </w:pPr>
      <w:r w:rsidRPr="00A75B95">
        <w:fldChar w:fldCharType="begin"/>
      </w:r>
      <w:r w:rsidRPr="00A75B95">
        <w:instrText xml:space="preserve"> REF _Ref390424496 \h  \* MERGEFORMAT </w:instrText>
      </w:r>
      <w:r w:rsidRPr="00A75B95">
        <w:fldChar w:fldCharType="separate"/>
      </w:r>
      <w:r w:rsidR="00A93B28" w:rsidRPr="00C16FAA">
        <w:t xml:space="preserve">Figure </w:t>
      </w:r>
      <w:r w:rsidR="00A93B28">
        <w:rPr>
          <w:noProof/>
        </w:rPr>
        <w:t>4</w:t>
      </w:r>
      <w:r w:rsidRPr="00A75B95">
        <w:fldChar w:fldCharType="end"/>
      </w:r>
      <w:r w:rsidR="005B15C9">
        <w:t xml:space="preserve"> confirms the </w:t>
      </w:r>
      <w:r w:rsidR="00776130">
        <w:t xml:space="preserve">features </w:t>
      </w:r>
      <w:r w:rsidR="005B15C9">
        <w:t xml:space="preserve">described above. </w:t>
      </w:r>
      <w:r w:rsidR="002E1E6B">
        <w:t>The ratings assigned so far by Axesor</w:t>
      </w:r>
      <w:r w:rsidR="005F0125">
        <w:t>:</w:t>
      </w:r>
    </w:p>
    <w:p w:rsidR="005F0125" w:rsidRDefault="002E1E6B" w:rsidP="005F0125">
      <w:pPr>
        <w:pStyle w:val="bullet2"/>
      </w:pPr>
      <w:r>
        <w:t>are mostly contained within a narrow range of variation with respect to their financial score (</w:t>
      </w:r>
      <w:r w:rsidR="005F0125">
        <w:t xml:space="preserve">they </w:t>
      </w:r>
      <w:r>
        <w:t xml:space="preserve">typically deviate 1 category). </w:t>
      </w:r>
    </w:p>
    <w:p w:rsidR="007924D2" w:rsidRDefault="00091566" w:rsidP="005F0125">
      <w:pPr>
        <w:pStyle w:val="bullet2"/>
      </w:pPr>
      <w:r>
        <w:t xml:space="preserve">The upgrading (downgrading) frequency is relatively larger </w:t>
      </w:r>
      <w:r w:rsidR="005B15C9">
        <w:t xml:space="preserve">the high </w:t>
      </w:r>
      <w:r w:rsidR="00776130">
        <w:t xml:space="preserve">(low) </w:t>
      </w:r>
      <w:r w:rsidR="005B15C9">
        <w:t>risk scoring categories.</w:t>
      </w:r>
    </w:p>
    <w:p w:rsidR="007924D2" w:rsidRDefault="007924D2" w:rsidP="007924D2"/>
    <w:p w:rsidR="007924D2" w:rsidRDefault="007924D2" w:rsidP="007074AD">
      <w:pPr>
        <w:jc w:val="both"/>
        <w:sectPr w:rsidR="007924D2" w:rsidSect="00175032">
          <w:headerReference w:type="even" r:id="rId20"/>
          <w:headerReference w:type="default" r:id="rId21"/>
          <w:footerReference w:type="even" r:id="rId22"/>
          <w:footerReference w:type="default" r:id="rId23"/>
          <w:headerReference w:type="first" r:id="rId24"/>
          <w:footerReference w:type="first" r:id="rId25"/>
          <w:pgSz w:w="11900" w:h="16840"/>
          <w:pgMar w:top="2268" w:right="1418" w:bottom="1134" w:left="1701" w:header="709" w:footer="709" w:gutter="0"/>
          <w:cols w:space="708"/>
          <w:titlePg/>
          <w:docGrid w:linePitch="299"/>
        </w:sectPr>
      </w:pPr>
    </w:p>
    <w:p w:rsidR="004C67D3" w:rsidRDefault="004C67D3" w:rsidP="0003502D">
      <w:pPr>
        <w:pStyle w:val="Figuretitle"/>
      </w:pPr>
      <w:bookmarkStart w:id="11" w:name="_Ref384830055"/>
      <w:r w:rsidRPr="0041788D">
        <w:lastRenderedPageBreak/>
        <w:t xml:space="preserve">Figure </w:t>
      </w:r>
      <w:r w:rsidRPr="0041788D">
        <w:fldChar w:fldCharType="begin"/>
      </w:r>
      <w:r w:rsidRPr="0041788D">
        <w:instrText xml:space="preserve"> SEQ Figure \* ARABIC </w:instrText>
      </w:r>
      <w:r w:rsidRPr="0041788D">
        <w:fldChar w:fldCharType="separate"/>
      </w:r>
      <w:r w:rsidR="00A93B28">
        <w:t>6</w:t>
      </w:r>
      <w:r w:rsidRPr="0041788D">
        <w:fldChar w:fldCharType="end"/>
      </w:r>
      <w:bookmarkEnd w:id="11"/>
      <w:r>
        <w:t>:</w:t>
      </w:r>
      <w:r w:rsidRPr="00C45D4A">
        <w:t xml:space="preserve"> </w:t>
      </w:r>
      <w:r>
        <w:t>I</w:t>
      </w:r>
      <w:r w:rsidRPr="00145096">
        <w:t xml:space="preserve">ndustry sector </w:t>
      </w:r>
      <w:r>
        <w:t xml:space="preserve">distribution of scored and rated items </w:t>
      </w:r>
    </w:p>
    <w:p w:rsidR="004C67D3" w:rsidRDefault="004C67D3" w:rsidP="004C67D3">
      <w:pPr>
        <w:rPr>
          <w:lang w:eastAsia="en-GB"/>
        </w:rPr>
      </w:pPr>
      <w:r>
        <w:rPr>
          <w:noProof/>
          <w:lang w:eastAsia="en-GB"/>
        </w:rPr>
        <w:drawing>
          <wp:inline distT="0" distB="0" distL="0" distR="0" wp14:anchorId="7C17911B" wp14:editId="2F26A11C">
            <wp:extent cx="5545777" cy="36255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45296" cy="3625240"/>
                    </a:xfrm>
                    <a:prstGeom prst="rect">
                      <a:avLst/>
                    </a:prstGeom>
                    <a:noFill/>
                  </pic:spPr>
                </pic:pic>
              </a:graphicData>
            </a:graphic>
          </wp:inline>
        </w:drawing>
      </w:r>
    </w:p>
    <w:p w:rsidR="004C67D3" w:rsidRPr="007D2298" w:rsidRDefault="007D2298" w:rsidP="004C67D3">
      <w:pPr>
        <w:rPr>
          <w:sz w:val="18"/>
          <w:lang w:eastAsia="en-GB"/>
        </w:rPr>
      </w:pPr>
      <w:r w:rsidRPr="007D2298">
        <w:rPr>
          <w:sz w:val="18"/>
        </w:rPr>
        <w:t>Source: Axesor</w:t>
      </w:r>
    </w:p>
    <w:p w:rsidR="004C67D3" w:rsidRDefault="004C67D3" w:rsidP="004C67D3">
      <w:pPr>
        <w:rPr>
          <w:lang w:eastAsia="en-GB"/>
        </w:rPr>
      </w:pPr>
    </w:p>
    <w:p w:rsidR="004C67D3" w:rsidRDefault="004C67D3" w:rsidP="004C67D3">
      <w:pPr>
        <w:jc w:val="both"/>
      </w:pPr>
      <w:r>
        <w:fldChar w:fldCharType="begin"/>
      </w:r>
      <w:r>
        <w:instrText xml:space="preserve"> REF _Ref384830055 \h </w:instrText>
      </w:r>
      <w:r>
        <w:fldChar w:fldCharType="separate"/>
      </w:r>
      <w:r w:rsidR="00A93B28" w:rsidRPr="0041788D">
        <w:t xml:space="preserve">Figure </w:t>
      </w:r>
      <w:r w:rsidR="00A93B28">
        <w:rPr>
          <w:noProof/>
        </w:rPr>
        <w:t>6</w:t>
      </w:r>
      <w:r>
        <w:fldChar w:fldCharType="end"/>
      </w:r>
      <w:r>
        <w:t xml:space="preserve"> </w:t>
      </w:r>
      <w:r w:rsidRPr="00F7768B">
        <w:t xml:space="preserve">shows the </w:t>
      </w:r>
      <w:r w:rsidR="005E46CD">
        <w:t xml:space="preserve">sector </w:t>
      </w:r>
      <w:r>
        <w:t xml:space="preserve">distribution of </w:t>
      </w:r>
      <w:r w:rsidR="005E46CD">
        <w:t xml:space="preserve">firms rated by Axesor between October 2012 and June 2013 </w:t>
      </w:r>
      <w:r>
        <w:t xml:space="preserve">and </w:t>
      </w:r>
      <w:r w:rsidR="005E46CD">
        <w:t>scored between 2007</w:t>
      </w:r>
      <w:r>
        <w:t xml:space="preserve"> </w:t>
      </w:r>
      <w:r w:rsidR="005E46CD">
        <w:t>and</w:t>
      </w:r>
      <w:r>
        <w:t xml:space="preserve"> </w:t>
      </w:r>
      <w:r w:rsidR="005E46CD">
        <w:t>2009</w:t>
      </w:r>
      <w:r>
        <w:t>.</w:t>
      </w:r>
    </w:p>
    <w:p w:rsidR="004C67D3" w:rsidRDefault="004C67D3" w:rsidP="004C67D3">
      <w:pPr>
        <w:jc w:val="both"/>
      </w:pPr>
    </w:p>
    <w:p w:rsidR="004C67D3" w:rsidRPr="004C67D3" w:rsidRDefault="004C67D3" w:rsidP="005D33AB">
      <w:pPr>
        <w:jc w:val="both"/>
        <w:rPr>
          <w:lang w:eastAsia="en-GB"/>
        </w:rPr>
      </w:pPr>
      <w:r>
        <w:t xml:space="preserve">In both </w:t>
      </w:r>
      <w:r w:rsidR="00EE5110">
        <w:t xml:space="preserve">samples, </w:t>
      </w:r>
      <w:r>
        <w:t>cases the largest share</w:t>
      </w:r>
      <w:r w:rsidR="005D33AB">
        <w:t>s</w:t>
      </w:r>
      <w:r>
        <w:t xml:space="preserve"> of rated items belong to the industry sectors </w:t>
      </w:r>
      <w:r w:rsidR="005D33AB">
        <w:t xml:space="preserve">“Manufacturing”, </w:t>
      </w:r>
      <w:r w:rsidR="00EE5110">
        <w:t xml:space="preserve">“Construction”, </w:t>
      </w:r>
      <w:r>
        <w:t>“Wholesale and retail trade”</w:t>
      </w:r>
      <w:r w:rsidR="00EE5110">
        <w:t xml:space="preserve"> and “Holding activities”</w:t>
      </w:r>
      <w:r>
        <w:t xml:space="preserve">. These </w:t>
      </w:r>
      <w:r w:rsidR="005D33AB">
        <w:t>four</w:t>
      </w:r>
      <w:r>
        <w:t xml:space="preserve"> industry sectors represent more than 60% of all rated items in both pools. Small differences are observable which mostly can be explained by the small number of rated items.</w:t>
      </w:r>
    </w:p>
    <w:p w:rsidR="004C67D3" w:rsidRDefault="004C67D3" w:rsidP="004C67D3">
      <w:pPr>
        <w:rPr>
          <w:rFonts w:asciiTheme="majorHAnsi" w:eastAsiaTheme="majorEastAsia" w:hAnsiTheme="majorHAnsi" w:cstheme="majorBidi"/>
          <w:sz w:val="32"/>
          <w:lang w:val="en-US"/>
        </w:rPr>
      </w:pPr>
      <w:r>
        <w:br w:type="page"/>
      </w:r>
    </w:p>
    <w:p w:rsidR="00F434D1" w:rsidRPr="00BE6527" w:rsidRDefault="00F434D1" w:rsidP="003F60D2">
      <w:pPr>
        <w:pStyle w:val="Titlelevel2"/>
        <w:outlineLvl w:val="0"/>
      </w:pPr>
      <w:r w:rsidRPr="00BE6527">
        <w:lastRenderedPageBreak/>
        <w:t xml:space="preserve">Appendix </w:t>
      </w:r>
      <w:r w:rsidR="00DA0961">
        <w:t>3</w:t>
      </w:r>
      <w:r w:rsidRPr="00BE6527">
        <w:t xml:space="preserve">: </w:t>
      </w:r>
      <w:r w:rsidRPr="007C7B33">
        <w:t>Definition</w:t>
      </w:r>
      <w:r w:rsidRPr="00BE6527">
        <w:t xml:space="preserve"> of </w:t>
      </w:r>
      <w:r w:rsidRPr="007C7B33">
        <w:t>default</w:t>
      </w:r>
    </w:p>
    <w:p w:rsidR="00F900B1" w:rsidRDefault="00F900B1" w:rsidP="00740863">
      <w:pPr>
        <w:pStyle w:val="body"/>
      </w:pPr>
      <w:r>
        <w:t xml:space="preserve">According to Axesor, a default event happens when a company has not fulfilled an economic obligation of any kind or generates the certainty that such will occur. A company is deemed to be in a situation of default when any of the following circumstances occurs: </w:t>
      </w:r>
    </w:p>
    <w:p w:rsidR="00F900B1" w:rsidRDefault="00F900B1" w:rsidP="00740863">
      <w:pPr>
        <w:pStyle w:val="bullet2"/>
      </w:pPr>
      <w:r>
        <w:tab/>
        <w:t>The company is in a situation of default regarding any of its economic obligations.</w:t>
      </w:r>
    </w:p>
    <w:p w:rsidR="00F900B1" w:rsidRDefault="00F900B1" w:rsidP="00740863">
      <w:pPr>
        <w:pStyle w:val="bullet2"/>
      </w:pPr>
      <w:r>
        <w:tab/>
        <w:t>The company has been declared under administrative receivership or in a similar protective situation.</w:t>
      </w:r>
    </w:p>
    <w:p w:rsidR="00F900B1" w:rsidRDefault="00F900B1" w:rsidP="00740863">
      <w:pPr>
        <w:pStyle w:val="body"/>
      </w:pPr>
      <w:r>
        <w:t xml:space="preserve">Axesor’s definition of the concept includes the following actions and markers published in publicly accessible sources, referring to procedures under the Mercantile Law, as well as procedures with the Public Administration or under Civil and Social law in the following phases: </w:t>
      </w:r>
    </w:p>
    <w:p w:rsidR="00F900B1" w:rsidRDefault="00F900B1" w:rsidP="00740863">
      <w:pPr>
        <w:pStyle w:val="bullet2"/>
      </w:pPr>
      <w:r>
        <w:t>Bankruptcy proceedings</w:t>
      </w:r>
    </w:p>
    <w:p w:rsidR="00F900B1" w:rsidRDefault="00F900B1" w:rsidP="00740863">
      <w:pPr>
        <w:pStyle w:val="bullet2"/>
      </w:pPr>
      <w:r>
        <w:tab/>
        <w:t>Bankruptcy</w:t>
      </w:r>
    </w:p>
    <w:p w:rsidR="00F900B1" w:rsidRDefault="00F900B1" w:rsidP="00740863">
      <w:pPr>
        <w:pStyle w:val="bullet2"/>
      </w:pPr>
      <w:r>
        <w:tab/>
        <w:t>Suspension of payments</w:t>
      </w:r>
    </w:p>
    <w:p w:rsidR="00F900B1" w:rsidRDefault="00F900B1" w:rsidP="00740863">
      <w:pPr>
        <w:pStyle w:val="bullet2"/>
      </w:pPr>
      <w:r>
        <w:tab/>
        <w:t>Write-off</w:t>
      </w:r>
    </w:p>
    <w:p w:rsidR="00F900B1" w:rsidRDefault="00F900B1" w:rsidP="00740863">
      <w:pPr>
        <w:pStyle w:val="bullet2"/>
      </w:pPr>
      <w:r>
        <w:t>Insolvency notification</w:t>
      </w:r>
    </w:p>
    <w:p w:rsidR="00F900B1" w:rsidRDefault="00F900B1" w:rsidP="00740863">
      <w:pPr>
        <w:pStyle w:val="bullet2"/>
      </w:pPr>
      <w:r>
        <w:t>Default notification</w:t>
      </w:r>
    </w:p>
    <w:p w:rsidR="00175032" w:rsidRDefault="00F900B1" w:rsidP="0003502D">
      <w:pPr>
        <w:pStyle w:val="FootnoteText"/>
      </w:pPr>
      <w:r>
        <w:tab/>
      </w:r>
      <w:r w:rsidR="00175032">
        <w:t xml:space="preserve">Source: </w:t>
      </w:r>
      <w:r>
        <w:t>Axesor</w:t>
      </w:r>
    </w:p>
    <w:p w:rsidR="00010D71" w:rsidRDefault="002C3E7A" w:rsidP="00010D71">
      <w:pPr>
        <w:sectPr w:rsidR="00010D71" w:rsidSect="00175032">
          <w:pgSz w:w="11900" w:h="16840"/>
          <w:pgMar w:top="2268" w:right="1418" w:bottom="1134" w:left="1701" w:header="709" w:footer="709" w:gutter="0"/>
          <w:cols w:space="708"/>
          <w:titlePg/>
          <w:docGrid w:linePitch="299"/>
        </w:sectPr>
      </w:pPr>
      <w:r>
        <w:br w:type="page"/>
      </w:r>
    </w:p>
    <w:p w:rsidR="00F434D1" w:rsidRPr="00BE6527" w:rsidRDefault="00F434D1" w:rsidP="003F60D2">
      <w:pPr>
        <w:pStyle w:val="Titlelevel2"/>
        <w:outlineLvl w:val="0"/>
      </w:pPr>
      <w:r w:rsidRPr="00BE6527">
        <w:lastRenderedPageBreak/>
        <w:t xml:space="preserve">Appendix </w:t>
      </w:r>
      <w:r w:rsidR="00F900B1">
        <w:t>4</w:t>
      </w:r>
      <w:r w:rsidRPr="00BE6527">
        <w:t>: Default rates of each rating category</w:t>
      </w:r>
    </w:p>
    <w:p w:rsidR="00010D71" w:rsidRDefault="0041788D" w:rsidP="0003502D">
      <w:pPr>
        <w:pStyle w:val="Figuretitle"/>
      </w:pPr>
      <w:bookmarkStart w:id="12" w:name="_Ref384828127"/>
      <w:r w:rsidRPr="0041788D">
        <w:t xml:space="preserve">Figure </w:t>
      </w:r>
      <w:r w:rsidRPr="0041788D">
        <w:fldChar w:fldCharType="begin"/>
      </w:r>
      <w:r w:rsidRPr="0041788D">
        <w:instrText xml:space="preserve"> SEQ Figure \* ARABIC </w:instrText>
      </w:r>
      <w:r w:rsidRPr="0041788D">
        <w:fldChar w:fldCharType="separate"/>
      </w:r>
      <w:r w:rsidR="00A93B28">
        <w:t>7</w:t>
      </w:r>
      <w:r w:rsidRPr="0041788D">
        <w:fldChar w:fldCharType="end"/>
      </w:r>
      <w:bookmarkEnd w:id="12"/>
      <w:r w:rsidR="00C45D4A">
        <w:t>:</w:t>
      </w:r>
      <w:r w:rsidR="00010D71">
        <w:t xml:space="preserve"> </w:t>
      </w:r>
      <w:r w:rsidR="008A12E8">
        <w:t>Number of rated items</w:t>
      </w:r>
    </w:p>
    <w:tbl>
      <w:tblPr>
        <w:tblW w:w="8804" w:type="dxa"/>
        <w:tblInd w:w="93" w:type="dxa"/>
        <w:tblLayout w:type="fixed"/>
        <w:tblLook w:val="04A0" w:firstRow="1" w:lastRow="0" w:firstColumn="1" w:lastColumn="0" w:noHBand="0" w:noVBand="1"/>
      </w:tblPr>
      <w:tblGrid>
        <w:gridCol w:w="1575"/>
        <w:gridCol w:w="722"/>
        <w:gridCol w:w="723"/>
        <w:gridCol w:w="723"/>
        <w:gridCol w:w="723"/>
        <w:gridCol w:w="723"/>
        <w:gridCol w:w="723"/>
        <w:gridCol w:w="723"/>
        <w:gridCol w:w="723"/>
        <w:gridCol w:w="723"/>
        <w:gridCol w:w="723"/>
      </w:tblGrid>
      <w:tr w:rsidR="007074AD" w:rsidRPr="005607FD" w:rsidTr="007074AD">
        <w:trPr>
          <w:trHeight w:val="300"/>
        </w:trPr>
        <w:tc>
          <w:tcPr>
            <w:tcW w:w="1361" w:type="dxa"/>
            <w:tcBorders>
              <w:bottom w:val="single" w:sz="18" w:space="0" w:color="E98E31" w:themeColor="background2"/>
            </w:tcBorders>
            <w:shd w:val="clear" w:color="auto" w:fill="auto"/>
            <w:noWrap/>
            <w:vAlign w:val="center"/>
          </w:tcPr>
          <w:p w:rsidR="007074AD" w:rsidRPr="005607FD" w:rsidRDefault="007074AD" w:rsidP="008A12E8">
            <w:pPr>
              <w:spacing w:before="120" w:after="120"/>
              <w:jc w:val="center"/>
              <w:rPr>
                <w:b/>
                <w:bCs/>
                <w:color w:val="000000"/>
                <w:szCs w:val="22"/>
              </w:rPr>
            </w:pPr>
            <w:r w:rsidRPr="005607FD">
              <w:rPr>
                <w:b/>
                <w:bCs/>
                <w:color w:val="000000"/>
                <w:szCs w:val="22"/>
              </w:rPr>
              <w:t>Date</w:t>
            </w:r>
          </w:p>
        </w:tc>
        <w:tc>
          <w:tcPr>
            <w:tcW w:w="624" w:type="dxa"/>
            <w:tcBorders>
              <w:bottom w:val="single" w:sz="18" w:space="0" w:color="E98E31" w:themeColor="background2"/>
            </w:tcBorders>
            <w:shd w:val="clear" w:color="auto" w:fill="auto"/>
            <w:noWrap/>
            <w:vAlign w:val="center"/>
          </w:tcPr>
          <w:p w:rsidR="007074AD" w:rsidRPr="005607FD" w:rsidRDefault="007074AD" w:rsidP="008A12E8">
            <w:pPr>
              <w:spacing w:before="120" w:after="120"/>
              <w:jc w:val="center"/>
              <w:rPr>
                <w:b/>
                <w:bCs/>
                <w:color w:val="000000"/>
                <w:szCs w:val="22"/>
              </w:rPr>
            </w:pPr>
            <w:r w:rsidRPr="005607FD">
              <w:rPr>
                <w:b/>
                <w:bCs/>
                <w:color w:val="000000"/>
                <w:szCs w:val="22"/>
              </w:rPr>
              <w:t>AAA</w:t>
            </w:r>
          </w:p>
        </w:tc>
        <w:tc>
          <w:tcPr>
            <w:tcW w:w="624" w:type="dxa"/>
            <w:tcBorders>
              <w:bottom w:val="single" w:sz="18" w:space="0" w:color="E98E31" w:themeColor="background2"/>
            </w:tcBorders>
            <w:shd w:val="clear" w:color="auto" w:fill="auto"/>
            <w:noWrap/>
            <w:vAlign w:val="center"/>
          </w:tcPr>
          <w:p w:rsidR="007074AD" w:rsidRPr="005607FD" w:rsidRDefault="007074AD" w:rsidP="008A12E8">
            <w:pPr>
              <w:spacing w:before="120" w:after="120"/>
              <w:jc w:val="center"/>
              <w:rPr>
                <w:b/>
                <w:bCs/>
                <w:color w:val="000000"/>
                <w:szCs w:val="22"/>
              </w:rPr>
            </w:pPr>
            <w:r w:rsidRPr="005607FD">
              <w:rPr>
                <w:b/>
                <w:bCs/>
                <w:color w:val="000000"/>
                <w:szCs w:val="22"/>
              </w:rPr>
              <w:t>AA</w:t>
            </w:r>
          </w:p>
        </w:tc>
        <w:tc>
          <w:tcPr>
            <w:tcW w:w="624" w:type="dxa"/>
            <w:tcBorders>
              <w:bottom w:val="single" w:sz="18" w:space="0" w:color="E98E31" w:themeColor="background2"/>
            </w:tcBorders>
            <w:shd w:val="clear" w:color="auto" w:fill="auto"/>
            <w:noWrap/>
            <w:vAlign w:val="center"/>
          </w:tcPr>
          <w:p w:rsidR="007074AD" w:rsidRPr="005607FD" w:rsidRDefault="007074AD" w:rsidP="008A12E8">
            <w:pPr>
              <w:spacing w:before="120" w:after="120"/>
              <w:jc w:val="center"/>
              <w:rPr>
                <w:color w:val="000000"/>
                <w:szCs w:val="22"/>
              </w:rPr>
            </w:pPr>
            <w:r w:rsidRPr="005607FD">
              <w:rPr>
                <w:b/>
                <w:bCs/>
                <w:color w:val="000000"/>
                <w:szCs w:val="22"/>
              </w:rPr>
              <w:t>A</w:t>
            </w:r>
          </w:p>
        </w:tc>
        <w:tc>
          <w:tcPr>
            <w:tcW w:w="624" w:type="dxa"/>
            <w:tcBorders>
              <w:bottom w:val="single" w:sz="18" w:space="0" w:color="E98E31" w:themeColor="background2"/>
            </w:tcBorders>
            <w:shd w:val="clear" w:color="auto" w:fill="auto"/>
            <w:noWrap/>
            <w:vAlign w:val="center"/>
          </w:tcPr>
          <w:p w:rsidR="007074AD" w:rsidRPr="005607FD" w:rsidRDefault="007074AD" w:rsidP="008A12E8">
            <w:pPr>
              <w:spacing w:before="120" w:after="120"/>
              <w:jc w:val="center"/>
              <w:rPr>
                <w:color w:val="000000"/>
                <w:szCs w:val="22"/>
              </w:rPr>
            </w:pPr>
            <w:r w:rsidRPr="005607FD">
              <w:rPr>
                <w:b/>
                <w:bCs/>
                <w:color w:val="000000"/>
                <w:szCs w:val="22"/>
              </w:rPr>
              <w:t>BBB</w:t>
            </w:r>
          </w:p>
        </w:tc>
        <w:tc>
          <w:tcPr>
            <w:tcW w:w="624" w:type="dxa"/>
            <w:tcBorders>
              <w:bottom w:val="single" w:sz="18" w:space="0" w:color="E98E31" w:themeColor="background2"/>
            </w:tcBorders>
            <w:shd w:val="clear" w:color="auto" w:fill="auto"/>
            <w:noWrap/>
            <w:vAlign w:val="center"/>
          </w:tcPr>
          <w:p w:rsidR="007074AD" w:rsidRPr="005607FD" w:rsidRDefault="007074AD" w:rsidP="008A12E8">
            <w:pPr>
              <w:spacing w:before="120" w:after="120"/>
              <w:jc w:val="center"/>
              <w:rPr>
                <w:color w:val="000000"/>
                <w:szCs w:val="22"/>
              </w:rPr>
            </w:pPr>
            <w:r w:rsidRPr="005607FD">
              <w:rPr>
                <w:b/>
                <w:bCs/>
                <w:color w:val="000000"/>
                <w:szCs w:val="22"/>
              </w:rPr>
              <w:t>BB</w:t>
            </w:r>
          </w:p>
        </w:tc>
        <w:tc>
          <w:tcPr>
            <w:tcW w:w="624" w:type="dxa"/>
            <w:tcBorders>
              <w:bottom w:val="single" w:sz="18" w:space="0" w:color="E98E31" w:themeColor="background2"/>
            </w:tcBorders>
            <w:shd w:val="clear" w:color="auto" w:fill="auto"/>
            <w:noWrap/>
            <w:vAlign w:val="center"/>
          </w:tcPr>
          <w:p w:rsidR="007074AD" w:rsidRPr="005607FD" w:rsidRDefault="007074AD" w:rsidP="008A12E8">
            <w:pPr>
              <w:spacing w:before="120" w:after="120"/>
              <w:jc w:val="center"/>
              <w:rPr>
                <w:color w:val="000000"/>
                <w:szCs w:val="22"/>
              </w:rPr>
            </w:pPr>
            <w:r w:rsidRPr="005607FD">
              <w:rPr>
                <w:b/>
                <w:bCs/>
                <w:color w:val="000000"/>
                <w:szCs w:val="22"/>
              </w:rPr>
              <w:t>B</w:t>
            </w:r>
          </w:p>
        </w:tc>
        <w:tc>
          <w:tcPr>
            <w:tcW w:w="624" w:type="dxa"/>
            <w:tcBorders>
              <w:bottom w:val="single" w:sz="18" w:space="0" w:color="E98E31" w:themeColor="background2"/>
            </w:tcBorders>
            <w:vAlign w:val="center"/>
          </w:tcPr>
          <w:p w:rsidR="007074AD" w:rsidRPr="005607FD" w:rsidRDefault="007074AD" w:rsidP="008F3964">
            <w:pPr>
              <w:spacing w:before="120" w:after="120"/>
              <w:jc w:val="center"/>
              <w:rPr>
                <w:b/>
                <w:color w:val="000000"/>
                <w:szCs w:val="22"/>
              </w:rPr>
            </w:pPr>
            <w:r>
              <w:rPr>
                <w:b/>
                <w:color w:val="000000"/>
                <w:szCs w:val="22"/>
              </w:rPr>
              <w:t>CCC</w:t>
            </w:r>
          </w:p>
        </w:tc>
        <w:tc>
          <w:tcPr>
            <w:tcW w:w="624" w:type="dxa"/>
            <w:tcBorders>
              <w:bottom w:val="single" w:sz="18" w:space="0" w:color="E98E31" w:themeColor="background2"/>
            </w:tcBorders>
            <w:shd w:val="clear" w:color="auto" w:fill="auto"/>
            <w:noWrap/>
            <w:vAlign w:val="center"/>
          </w:tcPr>
          <w:p w:rsidR="007074AD" w:rsidRPr="005607FD" w:rsidRDefault="007074AD" w:rsidP="00B87B87">
            <w:pPr>
              <w:spacing w:before="120" w:after="120"/>
              <w:jc w:val="center"/>
              <w:rPr>
                <w:b/>
                <w:color w:val="000000"/>
                <w:szCs w:val="22"/>
              </w:rPr>
            </w:pPr>
            <w:r>
              <w:rPr>
                <w:b/>
                <w:color w:val="000000"/>
                <w:szCs w:val="22"/>
              </w:rPr>
              <w:t>CC</w:t>
            </w:r>
          </w:p>
        </w:tc>
        <w:tc>
          <w:tcPr>
            <w:tcW w:w="624" w:type="dxa"/>
            <w:tcBorders>
              <w:bottom w:val="single" w:sz="18" w:space="0" w:color="E98E31" w:themeColor="background2"/>
            </w:tcBorders>
            <w:vAlign w:val="center"/>
          </w:tcPr>
          <w:p w:rsidR="007074AD" w:rsidRDefault="007074AD" w:rsidP="00EB22EB">
            <w:pPr>
              <w:spacing w:before="120" w:after="120"/>
              <w:jc w:val="center"/>
              <w:rPr>
                <w:b/>
                <w:color w:val="000000"/>
                <w:szCs w:val="22"/>
              </w:rPr>
            </w:pPr>
            <w:r>
              <w:rPr>
                <w:b/>
                <w:color w:val="000000"/>
                <w:szCs w:val="22"/>
              </w:rPr>
              <w:t>C</w:t>
            </w:r>
          </w:p>
        </w:tc>
        <w:tc>
          <w:tcPr>
            <w:tcW w:w="624" w:type="dxa"/>
            <w:tcBorders>
              <w:bottom w:val="single" w:sz="18" w:space="0" w:color="E98E31" w:themeColor="background2"/>
            </w:tcBorders>
            <w:vAlign w:val="center"/>
          </w:tcPr>
          <w:p w:rsidR="007074AD" w:rsidRDefault="007074AD" w:rsidP="00EB22EB">
            <w:pPr>
              <w:spacing w:before="120" w:after="120"/>
              <w:jc w:val="center"/>
              <w:rPr>
                <w:b/>
                <w:color w:val="000000"/>
                <w:szCs w:val="22"/>
              </w:rPr>
            </w:pPr>
            <w:r>
              <w:rPr>
                <w:b/>
                <w:color w:val="000000"/>
                <w:szCs w:val="22"/>
              </w:rPr>
              <w:t>D</w:t>
            </w:r>
          </w:p>
        </w:tc>
      </w:tr>
      <w:tr w:rsidR="007074AD" w:rsidRPr="005607FD" w:rsidTr="007074AD">
        <w:trPr>
          <w:trHeight w:val="300"/>
        </w:trPr>
        <w:tc>
          <w:tcPr>
            <w:tcW w:w="1361" w:type="dxa"/>
            <w:shd w:val="clear" w:color="auto" w:fill="auto"/>
            <w:noWrap/>
            <w:vAlign w:val="center"/>
            <w:hideMark/>
          </w:tcPr>
          <w:p w:rsidR="007074AD" w:rsidRPr="005607FD" w:rsidRDefault="007074AD" w:rsidP="00C1155C">
            <w:pPr>
              <w:spacing w:before="120" w:after="120"/>
              <w:jc w:val="center"/>
              <w:rPr>
                <w:color w:val="000000"/>
                <w:szCs w:val="22"/>
              </w:rPr>
            </w:pPr>
            <w:r>
              <w:rPr>
                <w:color w:val="000000"/>
                <w:szCs w:val="22"/>
              </w:rPr>
              <w:t>10</w:t>
            </w:r>
            <w:r w:rsidRPr="005607FD">
              <w:rPr>
                <w:color w:val="000000"/>
                <w:szCs w:val="22"/>
              </w:rPr>
              <w:t>/201</w:t>
            </w:r>
            <w:r>
              <w:rPr>
                <w:color w:val="000000"/>
                <w:szCs w:val="22"/>
              </w:rPr>
              <w:t>2</w:t>
            </w:r>
          </w:p>
        </w:tc>
        <w:tc>
          <w:tcPr>
            <w:tcW w:w="624" w:type="dxa"/>
            <w:shd w:val="clear" w:color="auto" w:fill="auto"/>
            <w:noWrap/>
            <w:vAlign w:val="center"/>
            <w:hideMark/>
          </w:tcPr>
          <w:p w:rsidR="007074AD" w:rsidRPr="005607FD" w:rsidRDefault="007074AD" w:rsidP="008A12E8">
            <w:pPr>
              <w:spacing w:before="120" w:after="120"/>
              <w:ind w:right="113"/>
              <w:jc w:val="right"/>
              <w:rPr>
                <w:color w:val="000000"/>
                <w:szCs w:val="22"/>
              </w:rPr>
            </w:pPr>
            <w:r>
              <w:rPr>
                <w:color w:val="000000"/>
                <w:szCs w:val="22"/>
              </w:rPr>
              <w:t>0</w:t>
            </w:r>
          </w:p>
        </w:tc>
        <w:tc>
          <w:tcPr>
            <w:tcW w:w="624" w:type="dxa"/>
            <w:shd w:val="clear" w:color="auto" w:fill="auto"/>
            <w:noWrap/>
            <w:vAlign w:val="center"/>
            <w:hideMark/>
          </w:tcPr>
          <w:p w:rsidR="007074AD" w:rsidRPr="005607FD" w:rsidRDefault="007074AD" w:rsidP="008A12E8">
            <w:pPr>
              <w:spacing w:before="120" w:after="120"/>
              <w:ind w:right="113"/>
              <w:jc w:val="right"/>
              <w:rPr>
                <w:color w:val="000000"/>
                <w:szCs w:val="22"/>
              </w:rPr>
            </w:pPr>
            <w:r>
              <w:rPr>
                <w:color w:val="000000"/>
                <w:szCs w:val="22"/>
              </w:rPr>
              <w:t>2</w:t>
            </w:r>
          </w:p>
        </w:tc>
        <w:tc>
          <w:tcPr>
            <w:tcW w:w="624" w:type="dxa"/>
            <w:shd w:val="clear" w:color="auto" w:fill="auto"/>
            <w:noWrap/>
            <w:vAlign w:val="center"/>
            <w:hideMark/>
          </w:tcPr>
          <w:p w:rsidR="007074AD" w:rsidRPr="005607FD" w:rsidRDefault="007074AD" w:rsidP="008A12E8">
            <w:pPr>
              <w:spacing w:before="120" w:after="120"/>
              <w:ind w:right="113"/>
              <w:jc w:val="right"/>
              <w:rPr>
                <w:color w:val="000000"/>
                <w:szCs w:val="22"/>
              </w:rPr>
            </w:pPr>
            <w:r>
              <w:rPr>
                <w:color w:val="000000"/>
                <w:szCs w:val="22"/>
              </w:rPr>
              <w:t>4</w:t>
            </w:r>
          </w:p>
        </w:tc>
        <w:tc>
          <w:tcPr>
            <w:tcW w:w="624" w:type="dxa"/>
            <w:shd w:val="clear" w:color="auto" w:fill="auto"/>
            <w:noWrap/>
            <w:vAlign w:val="center"/>
            <w:hideMark/>
          </w:tcPr>
          <w:p w:rsidR="007074AD" w:rsidRPr="005607FD" w:rsidRDefault="007074AD" w:rsidP="008A12E8">
            <w:pPr>
              <w:spacing w:before="120" w:after="120"/>
              <w:ind w:right="113"/>
              <w:jc w:val="right"/>
              <w:rPr>
                <w:color w:val="000000"/>
                <w:szCs w:val="22"/>
              </w:rPr>
            </w:pPr>
            <w:r>
              <w:rPr>
                <w:color w:val="000000"/>
                <w:szCs w:val="22"/>
              </w:rPr>
              <w:t>10</w:t>
            </w:r>
          </w:p>
        </w:tc>
        <w:tc>
          <w:tcPr>
            <w:tcW w:w="624" w:type="dxa"/>
            <w:shd w:val="clear" w:color="auto" w:fill="auto"/>
            <w:noWrap/>
            <w:vAlign w:val="center"/>
            <w:hideMark/>
          </w:tcPr>
          <w:p w:rsidR="007074AD" w:rsidRPr="005607FD" w:rsidRDefault="007074AD" w:rsidP="00C1155C">
            <w:pPr>
              <w:spacing w:before="120" w:after="120"/>
              <w:ind w:right="113"/>
              <w:jc w:val="right"/>
              <w:rPr>
                <w:color w:val="000000"/>
                <w:szCs w:val="22"/>
              </w:rPr>
            </w:pPr>
            <w:r>
              <w:rPr>
                <w:color w:val="000000"/>
                <w:szCs w:val="22"/>
              </w:rPr>
              <w:t>11</w:t>
            </w:r>
          </w:p>
        </w:tc>
        <w:tc>
          <w:tcPr>
            <w:tcW w:w="624" w:type="dxa"/>
            <w:shd w:val="clear" w:color="auto" w:fill="auto"/>
            <w:noWrap/>
            <w:vAlign w:val="center"/>
            <w:hideMark/>
          </w:tcPr>
          <w:p w:rsidR="007074AD" w:rsidRPr="005607FD" w:rsidRDefault="007074AD" w:rsidP="008A12E8">
            <w:pPr>
              <w:spacing w:before="120" w:after="120"/>
              <w:ind w:right="113"/>
              <w:jc w:val="right"/>
              <w:rPr>
                <w:color w:val="000000"/>
                <w:szCs w:val="22"/>
              </w:rPr>
            </w:pPr>
            <w:r>
              <w:rPr>
                <w:color w:val="000000"/>
                <w:szCs w:val="22"/>
              </w:rPr>
              <w:t>12</w:t>
            </w:r>
          </w:p>
        </w:tc>
        <w:tc>
          <w:tcPr>
            <w:tcW w:w="624" w:type="dxa"/>
            <w:vAlign w:val="center"/>
          </w:tcPr>
          <w:p w:rsidR="007074AD" w:rsidRPr="005607FD" w:rsidRDefault="007074AD" w:rsidP="00BC593F">
            <w:pPr>
              <w:spacing w:before="120" w:after="120"/>
              <w:ind w:right="113"/>
              <w:jc w:val="right"/>
              <w:rPr>
                <w:color w:val="000000"/>
                <w:szCs w:val="22"/>
              </w:rPr>
            </w:pPr>
            <w:r>
              <w:rPr>
                <w:color w:val="000000"/>
                <w:szCs w:val="22"/>
              </w:rPr>
              <w:t>11</w:t>
            </w:r>
          </w:p>
        </w:tc>
        <w:tc>
          <w:tcPr>
            <w:tcW w:w="624" w:type="dxa"/>
            <w:shd w:val="clear" w:color="auto" w:fill="auto"/>
            <w:noWrap/>
            <w:vAlign w:val="center"/>
          </w:tcPr>
          <w:p w:rsidR="007074AD" w:rsidRDefault="007074AD" w:rsidP="00C1155C">
            <w:pPr>
              <w:jc w:val="center"/>
            </w:pPr>
            <w:r>
              <w:rPr>
                <w:color w:val="000000"/>
                <w:szCs w:val="22"/>
              </w:rPr>
              <w:t>10</w:t>
            </w:r>
          </w:p>
        </w:tc>
        <w:tc>
          <w:tcPr>
            <w:tcW w:w="624" w:type="dxa"/>
            <w:vAlign w:val="center"/>
          </w:tcPr>
          <w:p w:rsidR="007074AD" w:rsidRPr="00CC40D1" w:rsidRDefault="007074AD" w:rsidP="003F0267">
            <w:pPr>
              <w:jc w:val="center"/>
              <w:rPr>
                <w:color w:val="000000"/>
                <w:szCs w:val="22"/>
              </w:rPr>
            </w:pPr>
            <w:r>
              <w:rPr>
                <w:color w:val="000000"/>
                <w:szCs w:val="22"/>
              </w:rPr>
              <w:t>4</w:t>
            </w:r>
          </w:p>
        </w:tc>
        <w:tc>
          <w:tcPr>
            <w:tcW w:w="624" w:type="dxa"/>
            <w:vAlign w:val="center"/>
          </w:tcPr>
          <w:p w:rsidR="007074AD" w:rsidRPr="00CC40D1" w:rsidRDefault="007074AD" w:rsidP="003F0267">
            <w:pPr>
              <w:jc w:val="center"/>
              <w:rPr>
                <w:color w:val="000000"/>
                <w:szCs w:val="22"/>
              </w:rPr>
            </w:pPr>
            <w:r>
              <w:rPr>
                <w:color w:val="000000"/>
                <w:szCs w:val="22"/>
              </w:rPr>
              <w:t>6</w:t>
            </w:r>
          </w:p>
        </w:tc>
      </w:tr>
      <w:tr w:rsidR="007074AD" w:rsidRPr="005607FD" w:rsidTr="007074AD">
        <w:trPr>
          <w:trHeight w:val="300"/>
        </w:trPr>
        <w:tc>
          <w:tcPr>
            <w:tcW w:w="1361" w:type="dxa"/>
            <w:tcBorders>
              <w:bottom w:val="single" w:sz="2" w:space="0" w:color="auto"/>
            </w:tcBorders>
            <w:shd w:val="clear" w:color="auto" w:fill="auto"/>
            <w:noWrap/>
            <w:vAlign w:val="center"/>
          </w:tcPr>
          <w:p w:rsidR="007074AD" w:rsidRPr="005607FD" w:rsidRDefault="007074AD" w:rsidP="00C1155C">
            <w:pPr>
              <w:spacing w:before="120" w:after="120"/>
              <w:jc w:val="center"/>
              <w:rPr>
                <w:color w:val="000000"/>
                <w:szCs w:val="22"/>
              </w:rPr>
            </w:pPr>
            <w:r>
              <w:rPr>
                <w:color w:val="000000"/>
                <w:szCs w:val="22"/>
              </w:rPr>
              <w:t>07/2013</w:t>
            </w:r>
          </w:p>
        </w:tc>
        <w:tc>
          <w:tcPr>
            <w:tcW w:w="624" w:type="dxa"/>
            <w:tcBorders>
              <w:bottom w:val="single" w:sz="2" w:space="0" w:color="auto"/>
            </w:tcBorders>
            <w:shd w:val="clear" w:color="auto" w:fill="auto"/>
            <w:noWrap/>
            <w:vAlign w:val="center"/>
          </w:tcPr>
          <w:p w:rsidR="007074AD" w:rsidRDefault="007074AD" w:rsidP="008A12E8">
            <w:pPr>
              <w:spacing w:before="120" w:after="120"/>
              <w:ind w:right="113"/>
              <w:jc w:val="right"/>
              <w:rPr>
                <w:color w:val="000000"/>
                <w:szCs w:val="22"/>
              </w:rPr>
            </w:pPr>
            <w:r>
              <w:rPr>
                <w:color w:val="000000"/>
                <w:szCs w:val="22"/>
              </w:rPr>
              <w:t>0</w:t>
            </w:r>
          </w:p>
        </w:tc>
        <w:tc>
          <w:tcPr>
            <w:tcW w:w="624" w:type="dxa"/>
            <w:tcBorders>
              <w:bottom w:val="single" w:sz="2" w:space="0" w:color="auto"/>
            </w:tcBorders>
            <w:shd w:val="clear" w:color="auto" w:fill="auto"/>
            <w:noWrap/>
            <w:vAlign w:val="center"/>
          </w:tcPr>
          <w:p w:rsidR="007074AD" w:rsidRDefault="007074AD" w:rsidP="008A12E8">
            <w:pPr>
              <w:spacing w:before="120" w:after="120"/>
              <w:ind w:right="113"/>
              <w:jc w:val="right"/>
              <w:rPr>
                <w:color w:val="000000"/>
                <w:szCs w:val="22"/>
              </w:rPr>
            </w:pPr>
            <w:r>
              <w:rPr>
                <w:color w:val="000000"/>
                <w:szCs w:val="22"/>
              </w:rPr>
              <w:t>2</w:t>
            </w:r>
          </w:p>
        </w:tc>
        <w:tc>
          <w:tcPr>
            <w:tcW w:w="624" w:type="dxa"/>
            <w:tcBorders>
              <w:bottom w:val="single" w:sz="2" w:space="0" w:color="auto"/>
            </w:tcBorders>
            <w:shd w:val="clear" w:color="auto" w:fill="auto"/>
            <w:noWrap/>
            <w:vAlign w:val="center"/>
          </w:tcPr>
          <w:p w:rsidR="007074AD" w:rsidDel="00C1155C" w:rsidRDefault="007074AD" w:rsidP="008A12E8">
            <w:pPr>
              <w:spacing w:before="120" w:after="120"/>
              <w:ind w:right="113"/>
              <w:jc w:val="right"/>
              <w:rPr>
                <w:color w:val="000000"/>
                <w:szCs w:val="22"/>
              </w:rPr>
            </w:pPr>
            <w:r>
              <w:rPr>
                <w:color w:val="000000"/>
                <w:szCs w:val="22"/>
              </w:rPr>
              <w:t>3</w:t>
            </w:r>
          </w:p>
        </w:tc>
        <w:tc>
          <w:tcPr>
            <w:tcW w:w="624" w:type="dxa"/>
            <w:tcBorders>
              <w:bottom w:val="single" w:sz="2" w:space="0" w:color="auto"/>
            </w:tcBorders>
            <w:shd w:val="clear" w:color="auto" w:fill="auto"/>
            <w:noWrap/>
            <w:vAlign w:val="center"/>
          </w:tcPr>
          <w:p w:rsidR="007074AD" w:rsidDel="00C1155C" w:rsidRDefault="007074AD" w:rsidP="008A12E8">
            <w:pPr>
              <w:spacing w:before="120" w:after="120"/>
              <w:ind w:right="113"/>
              <w:jc w:val="right"/>
              <w:rPr>
                <w:color w:val="000000"/>
                <w:szCs w:val="22"/>
              </w:rPr>
            </w:pPr>
            <w:r>
              <w:rPr>
                <w:color w:val="000000"/>
                <w:szCs w:val="22"/>
              </w:rPr>
              <w:t>12</w:t>
            </w:r>
          </w:p>
        </w:tc>
        <w:tc>
          <w:tcPr>
            <w:tcW w:w="624" w:type="dxa"/>
            <w:tcBorders>
              <w:bottom w:val="single" w:sz="2" w:space="0" w:color="auto"/>
            </w:tcBorders>
            <w:shd w:val="clear" w:color="auto" w:fill="auto"/>
            <w:noWrap/>
            <w:vAlign w:val="center"/>
          </w:tcPr>
          <w:p w:rsidR="007074AD" w:rsidDel="00C1155C" w:rsidRDefault="007074AD" w:rsidP="00C1155C">
            <w:pPr>
              <w:spacing w:before="120" w:after="120"/>
              <w:ind w:right="113"/>
              <w:jc w:val="right"/>
              <w:rPr>
                <w:color w:val="000000"/>
                <w:szCs w:val="22"/>
              </w:rPr>
            </w:pPr>
            <w:r>
              <w:rPr>
                <w:color w:val="000000"/>
                <w:szCs w:val="22"/>
              </w:rPr>
              <w:t>10</w:t>
            </w:r>
          </w:p>
        </w:tc>
        <w:tc>
          <w:tcPr>
            <w:tcW w:w="624" w:type="dxa"/>
            <w:tcBorders>
              <w:bottom w:val="single" w:sz="2" w:space="0" w:color="auto"/>
            </w:tcBorders>
            <w:shd w:val="clear" w:color="auto" w:fill="auto"/>
            <w:noWrap/>
            <w:vAlign w:val="center"/>
          </w:tcPr>
          <w:p w:rsidR="007074AD" w:rsidDel="00C1155C" w:rsidRDefault="007074AD" w:rsidP="008A12E8">
            <w:pPr>
              <w:spacing w:before="120" w:after="120"/>
              <w:ind w:right="113"/>
              <w:jc w:val="right"/>
              <w:rPr>
                <w:color w:val="000000"/>
                <w:szCs w:val="22"/>
              </w:rPr>
            </w:pPr>
            <w:r>
              <w:rPr>
                <w:color w:val="000000"/>
                <w:szCs w:val="22"/>
              </w:rPr>
              <w:t>10</w:t>
            </w:r>
          </w:p>
        </w:tc>
        <w:tc>
          <w:tcPr>
            <w:tcW w:w="624" w:type="dxa"/>
            <w:tcBorders>
              <w:bottom w:val="single" w:sz="2" w:space="0" w:color="auto"/>
            </w:tcBorders>
            <w:vAlign w:val="center"/>
          </w:tcPr>
          <w:p w:rsidR="007074AD" w:rsidDel="00C1155C" w:rsidRDefault="007074AD" w:rsidP="00BC593F">
            <w:pPr>
              <w:spacing w:before="120" w:after="120"/>
              <w:ind w:right="113"/>
              <w:jc w:val="right"/>
              <w:rPr>
                <w:color w:val="000000"/>
                <w:szCs w:val="22"/>
              </w:rPr>
            </w:pPr>
            <w:r>
              <w:rPr>
                <w:color w:val="000000"/>
                <w:szCs w:val="22"/>
              </w:rPr>
              <w:t>9</w:t>
            </w:r>
          </w:p>
        </w:tc>
        <w:tc>
          <w:tcPr>
            <w:tcW w:w="624" w:type="dxa"/>
            <w:tcBorders>
              <w:bottom w:val="single" w:sz="2" w:space="0" w:color="auto"/>
            </w:tcBorders>
            <w:shd w:val="clear" w:color="auto" w:fill="auto"/>
            <w:noWrap/>
            <w:vAlign w:val="center"/>
          </w:tcPr>
          <w:p w:rsidR="007074AD" w:rsidRPr="00CC40D1" w:rsidDel="00C1155C" w:rsidRDefault="007074AD" w:rsidP="00C1155C">
            <w:pPr>
              <w:jc w:val="center"/>
              <w:rPr>
                <w:color w:val="000000"/>
                <w:szCs w:val="22"/>
              </w:rPr>
            </w:pPr>
            <w:r>
              <w:rPr>
                <w:color w:val="000000"/>
                <w:szCs w:val="22"/>
              </w:rPr>
              <w:t>14</w:t>
            </w:r>
          </w:p>
        </w:tc>
        <w:tc>
          <w:tcPr>
            <w:tcW w:w="624" w:type="dxa"/>
            <w:tcBorders>
              <w:bottom w:val="single" w:sz="2" w:space="0" w:color="auto"/>
            </w:tcBorders>
            <w:vAlign w:val="center"/>
          </w:tcPr>
          <w:p w:rsidR="007074AD" w:rsidRDefault="007074AD" w:rsidP="003F0267">
            <w:pPr>
              <w:jc w:val="center"/>
              <w:rPr>
                <w:color w:val="000000"/>
                <w:szCs w:val="22"/>
              </w:rPr>
            </w:pPr>
            <w:r>
              <w:rPr>
                <w:color w:val="000000"/>
                <w:szCs w:val="22"/>
              </w:rPr>
              <w:t>4</w:t>
            </w:r>
          </w:p>
        </w:tc>
        <w:tc>
          <w:tcPr>
            <w:tcW w:w="624" w:type="dxa"/>
            <w:tcBorders>
              <w:bottom w:val="single" w:sz="2" w:space="0" w:color="auto"/>
            </w:tcBorders>
            <w:vAlign w:val="center"/>
          </w:tcPr>
          <w:p w:rsidR="007074AD" w:rsidRDefault="007074AD" w:rsidP="003F0267">
            <w:pPr>
              <w:jc w:val="center"/>
              <w:rPr>
                <w:color w:val="000000"/>
                <w:szCs w:val="22"/>
              </w:rPr>
            </w:pPr>
            <w:r>
              <w:rPr>
                <w:color w:val="000000"/>
                <w:szCs w:val="22"/>
              </w:rPr>
              <w:t>4</w:t>
            </w:r>
          </w:p>
        </w:tc>
      </w:tr>
    </w:tbl>
    <w:p w:rsidR="00175032" w:rsidRDefault="00175032" w:rsidP="0003502D">
      <w:pPr>
        <w:pStyle w:val="FootnoteText"/>
      </w:pPr>
      <w:bookmarkStart w:id="13" w:name="_Ref384828134"/>
      <w:r>
        <w:t xml:space="preserve">Source: </w:t>
      </w:r>
      <w:r w:rsidR="00186110" w:rsidRPr="00B43366">
        <w:t xml:space="preserve">Joint Committee </w:t>
      </w:r>
      <w:r w:rsidR="00186110">
        <w:t xml:space="preserve">calculations based on CEREP data </w:t>
      </w:r>
    </w:p>
    <w:bookmarkEnd w:id="13"/>
    <w:p w:rsidR="00235AB7" w:rsidRPr="003F60D2" w:rsidRDefault="00235AB7" w:rsidP="003F60D2">
      <w:pPr>
        <w:rPr>
          <w:lang w:eastAsia="en-GB"/>
        </w:rPr>
      </w:pPr>
    </w:p>
    <w:p w:rsidR="00235AB7" w:rsidRDefault="00235AB7" w:rsidP="003F60D2">
      <w:bookmarkStart w:id="14" w:name="_Ref390262833"/>
    </w:p>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235AB7" w:rsidRDefault="00235AB7" w:rsidP="003F60D2"/>
    <w:p w:rsidR="0003502D" w:rsidRDefault="0003502D">
      <w:r>
        <w:br w:type="page"/>
      </w:r>
    </w:p>
    <w:p w:rsidR="00235AB7" w:rsidRPr="006B01D3" w:rsidRDefault="00235AB7" w:rsidP="003F60D2"/>
    <w:p w:rsidR="00EB22EB" w:rsidRDefault="00EB22EB" w:rsidP="0003502D">
      <w:pPr>
        <w:pStyle w:val="Figuretitle"/>
      </w:pPr>
      <w:bookmarkStart w:id="15" w:name="_Ref390955016"/>
      <w:r w:rsidRPr="0041788D">
        <w:t xml:space="preserve">Figure </w:t>
      </w:r>
      <w:r w:rsidRPr="0041788D">
        <w:fldChar w:fldCharType="begin"/>
      </w:r>
      <w:r w:rsidRPr="0041788D">
        <w:instrText xml:space="preserve"> SEQ Figure \* ARABIC </w:instrText>
      </w:r>
      <w:r w:rsidRPr="0041788D">
        <w:fldChar w:fldCharType="separate"/>
      </w:r>
      <w:r w:rsidR="00A93B28">
        <w:t>8</w:t>
      </w:r>
      <w:r w:rsidRPr="0041788D">
        <w:fldChar w:fldCharType="end"/>
      </w:r>
      <w:bookmarkEnd w:id="14"/>
      <w:bookmarkEnd w:id="15"/>
      <w:r w:rsidRPr="006A4A1D">
        <w:t xml:space="preserve">: </w:t>
      </w:r>
      <w:r w:rsidRPr="00BE6DB8">
        <w:t>Mapping proposal for rating categories with a non-sufficient number of credit ratings</w:t>
      </w:r>
      <w:r w:rsidR="00235AB7">
        <w:t xml:space="preserve"> </w:t>
      </w:r>
    </w:p>
    <w:tbl>
      <w:tblPr>
        <w:tblW w:w="8805" w:type="dxa"/>
        <w:tblInd w:w="108" w:type="dxa"/>
        <w:tblLayout w:type="fixed"/>
        <w:tblLook w:val="04A0" w:firstRow="1" w:lastRow="0" w:firstColumn="1" w:lastColumn="0" w:noHBand="0" w:noVBand="1"/>
      </w:tblPr>
      <w:tblGrid>
        <w:gridCol w:w="2552"/>
        <w:gridCol w:w="850"/>
        <w:gridCol w:w="859"/>
        <w:gridCol w:w="992"/>
        <w:gridCol w:w="859"/>
        <w:gridCol w:w="908"/>
        <w:gridCol w:w="926"/>
        <w:gridCol w:w="859"/>
      </w:tblGrid>
      <w:tr w:rsidR="00EB22EB" w:rsidRPr="006A4A1D" w:rsidTr="00E74913">
        <w:trPr>
          <w:trHeight w:val="435"/>
        </w:trPr>
        <w:tc>
          <w:tcPr>
            <w:tcW w:w="2552" w:type="dxa"/>
            <w:tcBorders>
              <w:bottom w:val="single" w:sz="18" w:space="0" w:color="E98E31" w:themeColor="background2"/>
            </w:tcBorders>
            <w:shd w:val="clear" w:color="auto" w:fill="auto"/>
            <w:noWrap/>
            <w:vAlign w:val="center"/>
          </w:tcPr>
          <w:p w:rsidR="00EB22EB" w:rsidRPr="006A4A1D" w:rsidRDefault="00EB22EB" w:rsidP="00EB22EB">
            <w:pPr>
              <w:spacing w:before="120" w:after="120"/>
              <w:jc w:val="center"/>
              <w:rPr>
                <w:rFonts w:asciiTheme="majorHAnsi" w:hAnsiTheme="majorHAnsi"/>
                <w:b/>
                <w:color w:val="000000"/>
                <w:szCs w:val="22"/>
              </w:rPr>
            </w:pPr>
          </w:p>
        </w:tc>
        <w:tc>
          <w:tcPr>
            <w:tcW w:w="850" w:type="dxa"/>
            <w:tcBorders>
              <w:bottom w:val="single" w:sz="18" w:space="0" w:color="E98E31" w:themeColor="background2"/>
            </w:tcBorders>
            <w:shd w:val="clear" w:color="auto" w:fill="auto"/>
            <w:noWrap/>
            <w:vAlign w:val="center"/>
          </w:tcPr>
          <w:p w:rsidR="00EB22EB" w:rsidRPr="006A4A1D" w:rsidRDefault="00EB22EB" w:rsidP="00EB22EB">
            <w:pPr>
              <w:spacing w:before="120" w:after="120"/>
              <w:jc w:val="center"/>
              <w:rPr>
                <w:rFonts w:asciiTheme="majorHAnsi" w:hAnsiTheme="majorHAnsi"/>
                <w:b/>
                <w:bCs/>
                <w:color w:val="000000"/>
                <w:szCs w:val="22"/>
              </w:rPr>
            </w:pPr>
            <w:r w:rsidRPr="006A4A1D">
              <w:rPr>
                <w:rFonts w:asciiTheme="majorHAnsi" w:hAnsiTheme="majorHAnsi"/>
                <w:b/>
                <w:bCs/>
                <w:color w:val="000000"/>
                <w:szCs w:val="22"/>
              </w:rPr>
              <w:t>AAA/</w:t>
            </w:r>
            <w:r w:rsidR="001214DD">
              <w:rPr>
                <w:rFonts w:asciiTheme="majorHAnsi" w:hAnsiTheme="majorHAnsi"/>
                <w:b/>
                <w:bCs/>
                <w:color w:val="000000"/>
                <w:szCs w:val="22"/>
              </w:rPr>
              <w:t xml:space="preserve"> </w:t>
            </w:r>
            <w:r w:rsidRPr="006A4A1D">
              <w:rPr>
                <w:rFonts w:asciiTheme="majorHAnsi" w:hAnsiTheme="majorHAnsi"/>
                <w:b/>
                <w:bCs/>
                <w:color w:val="000000"/>
                <w:szCs w:val="22"/>
              </w:rPr>
              <w:t>AA</w:t>
            </w:r>
          </w:p>
        </w:tc>
        <w:tc>
          <w:tcPr>
            <w:tcW w:w="859" w:type="dxa"/>
            <w:tcBorders>
              <w:bottom w:val="single" w:sz="18" w:space="0" w:color="E98E31" w:themeColor="background2"/>
            </w:tcBorders>
            <w:vAlign w:val="center"/>
          </w:tcPr>
          <w:p w:rsidR="00EB22EB" w:rsidRPr="006A4A1D" w:rsidRDefault="00EB22EB" w:rsidP="00EB22EB">
            <w:pPr>
              <w:spacing w:before="120" w:after="120"/>
              <w:jc w:val="center"/>
              <w:rPr>
                <w:rFonts w:asciiTheme="majorHAnsi" w:hAnsiTheme="majorHAnsi"/>
                <w:b/>
                <w:bCs/>
                <w:color w:val="000000"/>
                <w:szCs w:val="22"/>
              </w:rPr>
            </w:pPr>
            <w:r>
              <w:rPr>
                <w:rFonts w:asciiTheme="majorHAnsi" w:hAnsiTheme="majorHAnsi"/>
                <w:b/>
                <w:bCs/>
                <w:color w:val="000000"/>
                <w:szCs w:val="22"/>
              </w:rPr>
              <w:t>A</w:t>
            </w:r>
          </w:p>
        </w:tc>
        <w:tc>
          <w:tcPr>
            <w:tcW w:w="992" w:type="dxa"/>
            <w:tcBorders>
              <w:bottom w:val="single" w:sz="18" w:space="0" w:color="E98E31" w:themeColor="background2"/>
            </w:tcBorders>
            <w:vAlign w:val="center"/>
          </w:tcPr>
          <w:p w:rsidR="00EB22EB" w:rsidRPr="006A4A1D" w:rsidRDefault="00EB22EB" w:rsidP="00EB22EB">
            <w:pPr>
              <w:spacing w:before="120" w:after="120"/>
              <w:jc w:val="center"/>
              <w:rPr>
                <w:rFonts w:asciiTheme="majorHAnsi" w:hAnsiTheme="majorHAnsi"/>
                <w:b/>
                <w:bCs/>
                <w:color w:val="000000"/>
                <w:szCs w:val="22"/>
              </w:rPr>
            </w:pPr>
            <w:r>
              <w:rPr>
                <w:rFonts w:asciiTheme="majorHAnsi" w:hAnsiTheme="majorHAnsi"/>
                <w:b/>
                <w:bCs/>
                <w:color w:val="000000"/>
                <w:szCs w:val="22"/>
              </w:rPr>
              <w:t>BBB</w:t>
            </w:r>
          </w:p>
        </w:tc>
        <w:tc>
          <w:tcPr>
            <w:tcW w:w="859" w:type="dxa"/>
            <w:tcBorders>
              <w:bottom w:val="single" w:sz="18" w:space="0" w:color="E98E31" w:themeColor="background2"/>
            </w:tcBorders>
            <w:vAlign w:val="center"/>
          </w:tcPr>
          <w:p w:rsidR="00EB22EB" w:rsidRPr="006A4A1D" w:rsidRDefault="00EB22EB" w:rsidP="00EB22EB">
            <w:pPr>
              <w:spacing w:before="120" w:after="120"/>
              <w:jc w:val="center"/>
              <w:rPr>
                <w:rFonts w:asciiTheme="majorHAnsi" w:hAnsiTheme="majorHAnsi"/>
                <w:b/>
                <w:bCs/>
                <w:color w:val="000000"/>
                <w:szCs w:val="22"/>
              </w:rPr>
            </w:pPr>
            <w:r>
              <w:rPr>
                <w:rFonts w:asciiTheme="majorHAnsi" w:hAnsiTheme="majorHAnsi"/>
                <w:b/>
                <w:bCs/>
                <w:color w:val="000000"/>
                <w:szCs w:val="22"/>
              </w:rPr>
              <w:t>BB</w:t>
            </w:r>
          </w:p>
        </w:tc>
        <w:tc>
          <w:tcPr>
            <w:tcW w:w="908" w:type="dxa"/>
            <w:tcBorders>
              <w:bottom w:val="single" w:sz="18" w:space="0" w:color="E98E31" w:themeColor="background2"/>
            </w:tcBorders>
            <w:vAlign w:val="center"/>
          </w:tcPr>
          <w:p w:rsidR="00EB22EB" w:rsidRPr="006A4A1D" w:rsidRDefault="00EB22EB" w:rsidP="00EB22EB">
            <w:pPr>
              <w:spacing w:before="120" w:after="120"/>
              <w:jc w:val="center"/>
              <w:rPr>
                <w:rFonts w:asciiTheme="majorHAnsi" w:hAnsiTheme="majorHAnsi"/>
                <w:b/>
                <w:bCs/>
                <w:color w:val="000000"/>
                <w:szCs w:val="22"/>
              </w:rPr>
            </w:pPr>
            <w:r>
              <w:rPr>
                <w:rFonts w:asciiTheme="majorHAnsi" w:hAnsiTheme="majorHAnsi"/>
                <w:b/>
                <w:bCs/>
                <w:color w:val="000000"/>
                <w:szCs w:val="22"/>
              </w:rPr>
              <w:t>B</w:t>
            </w:r>
          </w:p>
        </w:tc>
        <w:tc>
          <w:tcPr>
            <w:tcW w:w="926" w:type="dxa"/>
            <w:tcBorders>
              <w:bottom w:val="single" w:sz="18" w:space="0" w:color="E98E31" w:themeColor="background2"/>
            </w:tcBorders>
            <w:vAlign w:val="center"/>
          </w:tcPr>
          <w:p w:rsidR="00EB22EB" w:rsidRPr="006A4A1D" w:rsidRDefault="00EB22EB" w:rsidP="001214DD">
            <w:pPr>
              <w:spacing w:before="120" w:after="120"/>
              <w:jc w:val="center"/>
              <w:rPr>
                <w:rFonts w:asciiTheme="majorHAnsi" w:hAnsiTheme="majorHAnsi"/>
                <w:b/>
                <w:bCs/>
                <w:color w:val="000000"/>
                <w:szCs w:val="22"/>
              </w:rPr>
            </w:pPr>
            <w:r>
              <w:rPr>
                <w:rFonts w:asciiTheme="majorHAnsi" w:hAnsiTheme="majorHAnsi"/>
                <w:b/>
                <w:bCs/>
                <w:color w:val="000000"/>
                <w:szCs w:val="22"/>
              </w:rPr>
              <w:t>CCC</w:t>
            </w:r>
            <w:r w:rsidR="001214DD">
              <w:rPr>
                <w:rFonts w:asciiTheme="majorHAnsi" w:hAnsiTheme="majorHAnsi"/>
                <w:b/>
                <w:bCs/>
                <w:color w:val="000000"/>
                <w:szCs w:val="22"/>
              </w:rPr>
              <w:t>-</w:t>
            </w:r>
            <w:r>
              <w:rPr>
                <w:rFonts w:asciiTheme="majorHAnsi" w:hAnsiTheme="majorHAnsi"/>
                <w:b/>
                <w:bCs/>
                <w:color w:val="000000"/>
                <w:szCs w:val="22"/>
              </w:rPr>
              <w:t>C</w:t>
            </w:r>
          </w:p>
        </w:tc>
        <w:tc>
          <w:tcPr>
            <w:tcW w:w="859" w:type="dxa"/>
            <w:tcBorders>
              <w:bottom w:val="single" w:sz="18" w:space="0" w:color="E98E31" w:themeColor="background2"/>
            </w:tcBorders>
            <w:vAlign w:val="center"/>
          </w:tcPr>
          <w:p w:rsidR="00EB22EB" w:rsidRDefault="00EB22EB" w:rsidP="00EB22EB">
            <w:pPr>
              <w:spacing w:before="120" w:after="120"/>
              <w:jc w:val="center"/>
              <w:rPr>
                <w:rFonts w:asciiTheme="majorHAnsi" w:hAnsiTheme="majorHAnsi"/>
                <w:b/>
                <w:bCs/>
                <w:color w:val="000000"/>
                <w:szCs w:val="22"/>
              </w:rPr>
            </w:pPr>
            <w:r>
              <w:rPr>
                <w:rFonts w:asciiTheme="majorHAnsi" w:hAnsiTheme="majorHAnsi"/>
                <w:b/>
                <w:bCs/>
                <w:color w:val="000000"/>
                <w:szCs w:val="22"/>
              </w:rPr>
              <w:t>D</w:t>
            </w:r>
          </w:p>
        </w:tc>
      </w:tr>
      <w:tr w:rsidR="00EB22EB" w:rsidRPr="006A4A1D" w:rsidTr="00E74913">
        <w:trPr>
          <w:trHeight w:val="397"/>
        </w:trPr>
        <w:tc>
          <w:tcPr>
            <w:tcW w:w="2552" w:type="dxa"/>
            <w:tcBorders>
              <w:top w:val="single" w:sz="18" w:space="0" w:color="E98E31" w:themeColor="background2"/>
            </w:tcBorders>
            <w:shd w:val="clear" w:color="auto" w:fill="auto"/>
            <w:noWrap/>
            <w:vAlign w:val="center"/>
            <w:hideMark/>
          </w:tcPr>
          <w:p w:rsidR="00EB22EB" w:rsidRPr="006A4A1D" w:rsidRDefault="00EB22EB" w:rsidP="00EB22EB">
            <w:pPr>
              <w:spacing w:before="120" w:after="120"/>
              <w:rPr>
                <w:rFonts w:asciiTheme="majorHAnsi" w:hAnsiTheme="majorHAnsi"/>
                <w:color w:val="000000"/>
                <w:szCs w:val="22"/>
              </w:rPr>
            </w:pPr>
            <w:r>
              <w:rPr>
                <w:rFonts w:asciiTheme="majorHAnsi" w:hAnsiTheme="majorHAnsi"/>
                <w:color w:val="000000"/>
                <w:szCs w:val="22"/>
              </w:rPr>
              <w:t>CQS of equivalent international rating category</w:t>
            </w:r>
          </w:p>
        </w:tc>
        <w:tc>
          <w:tcPr>
            <w:tcW w:w="850" w:type="dxa"/>
            <w:tcBorders>
              <w:top w:val="single" w:sz="18" w:space="0" w:color="E98E31" w:themeColor="background2"/>
            </w:tcBorders>
            <w:shd w:val="clear" w:color="auto" w:fill="auto"/>
            <w:noWrap/>
            <w:vAlign w:val="center"/>
          </w:tcPr>
          <w:p w:rsidR="00EB22EB" w:rsidRPr="006A4A1D" w:rsidRDefault="00EB22EB" w:rsidP="00EB22EB">
            <w:pPr>
              <w:spacing w:before="120" w:after="120"/>
              <w:jc w:val="center"/>
              <w:rPr>
                <w:rFonts w:asciiTheme="majorHAnsi" w:hAnsiTheme="majorHAnsi"/>
                <w:color w:val="000000"/>
                <w:szCs w:val="22"/>
              </w:rPr>
            </w:pPr>
            <w:r>
              <w:rPr>
                <w:rFonts w:asciiTheme="majorHAnsi" w:hAnsiTheme="majorHAnsi"/>
                <w:color w:val="000000"/>
                <w:szCs w:val="22"/>
              </w:rPr>
              <w:t>CQS 1</w:t>
            </w:r>
          </w:p>
        </w:tc>
        <w:tc>
          <w:tcPr>
            <w:tcW w:w="859" w:type="dxa"/>
            <w:tcBorders>
              <w:top w:val="single" w:sz="18" w:space="0" w:color="E98E31" w:themeColor="background2"/>
            </w:tcBorders>
            <w:vAlign w:val="center"/>
          </w:tcPr>
          <w:p w:rsidR="00EB22EB" w:rsidRDefault="00EB22EB" w:rsidP="00EB22EB">
            <w:pPr>
              <w:spacing w:before="120" w:after="120"/>
              <w:jc w:val="center"/>
              <w:rPr>
                <w:rFonts w:asciiTheme="majorHAnsi" w:hAnsiTheme="majorHAnsi"/>
                <w:color w:val="000000"/>
                <w:szCs w:val="22"/>
              </w:rPr>
            </w:pPr>
            <w:r>
              <w:rPr>
                <w:rFonts w:asciiTheme="majorHAnsi" w:hAnsiTheme="majorHAnsi"/>
                <w:color w:val="000000"/>
                <w:szCs w:val="22"/>
              </w:rPr>
              <w:t>CQS 2</w:t>
            </w:r>
          </w:p>
        </w:tc>
        <w:tc>
          <w:tcPr>
            <w:tcW w:w="992" w:type="dxa"/>
            <w:tcBorders>
              <w:top w:val="single" w:sz="18" w:space="0" w:color="E98E31" w:themeColor="background2"/>
            </w:tcBorders>
            <w:vAlign w:val="center"/>
          </w:tcPr>
          <w:p w:rsidR="00EB22EB" w:rsidRDefault="00EB22EB" w:rsidP="00EB22EB">
            <w:pPr>
              <w:spacing w:before="120" w:after="120"/>
              <w:jc w:val="center"/>
              <w:rPr>
                <w:rFonts w:asciiTheme="majorHAnsi" w:hAnsiTheme="majorHAnsi"/>
                <w:color w:val="000000"/>
                <w:szCs w:val="22"/>
              </w:rPr>
            </w:pPr>
            <w:r>
              <w:rPr>
                <w:rFonts w:asciiTheme="majorHAnsi" w:hAnsiTheme="majorHAnsi"/>
                <w:color w:val="000000"/>
                <w:szCs w:val="22"/>
              </w:rPr>
              <w:t>CQS 3</w:t>
            </w:r>
          </w:p>
        </w:tc>
        <w:tc>
          <w:tcPr>
            <w:tcW w:w="859" w:type="dxa"/>
            <w:tcBorders>
              <w:top w:val="single" w:sz="18" w:space="0" w:color="E98E31" w:themeColor="background2"/>
            </w:tcBorders>
            <w:vAlign w:val="center"/>
          </w:tcPr>
          <w:p w:rsidR="00EB22EB" w:rsidRDefault="00EB22EB" w:rsidP="00EB22EB">
            <w:pPr>
              <w:spacing w:before="120" w:after="120"/>
              <w:jc w:val="center"/>
              <w:rPr>
                <w:rFonts w:asciiTheme="majorHAnsi" w:hAnsiTheme="majorHAnsi"/>
                <w:color w:val="000000"/>
                <w:szCs w:val="22"/>
              </w:rPr>
            </w:pPr>
            <w:r>
              <w:rPr>
                <w:rFonts w:asciiTheme="majorHAnsi" w:hAnsiTheme="majorHAnsi"/>
                <w:color w:val="000000"/>
                <w:szCs w:val="22"/>
              </w:rPr>
              <w:t>CQS 4</w:t>
            </w:r>
          </w:p>
        </w:tc>
        <w:tc>
          <w:tcPr>
            <w:tcW w:w="908" w:type="dxa"/>
            <w:tcBorders>
              <w:top w:val="single" w:sz="18" w:space="0" w:color="E98E31" w:themeColor="background2"/>
            </w:tcBorders>
            <w:vAlign w:val="center"/>
          </w:tcPr>
          <w:p w:rsidR="00EB22EB" w:rsidRDefault="00EB22EB" w:rsidP="00EB22EB">
            <w:pPr>
              <w:spacing w:before="120" w:after="120"/>
              <w:jc w:val="center"/>
              <w:rPr>
                <w:rFonts w:asciiTheme="majorHAnsi" w:hAnsiTheme="majorHAnsi"/>
                <w:color w:val="000000"/>
                <w:szCs w:val="22"/>
              </w:rPr>
            </w:pPr>
            <w:r>
              <w:rPr>
                <w:rFonts w:asciiTheme="majorHAnsi" w:hAnsiTheme="majorHAnsi"/>
                <w:color w:val="000000"/>
                <w:szCs w:val="22"/>
              </w:rPr>
              <w:t>CQS5</w:t>
            </w:r>
          </w:p>
        </w:tc>
        <w:tc>
          <w:tcPr>
            <w:tcW w:w="926" w:type="dxa"/>
            <w:tcBorders>
              <w:top w:val="single" w:sz="18" w:space="0" w:color="E98E31" w:themeColor="background2"/>
            </w:tcBorders>
            <w:vAlign w:val="center"/>
          </w:tcPr>
          <w:p w:rsidR="00EB22EB" w:rsidRDefault="00EB22EB" w:rsidP="00EB22EB">
            <w:pPr>
              <w:spacing w:before="120" w:after="120"/>
              <w:jc w:val="center"/>
              <w:rPr>
                <w:rFonts w:asciiTheme="majorHAnsi" w:hAnsiTheme="majorHAnsi"/>
                <w:color w:val="000000"/>
                <w:szCs w:val="22"/>
              </w:rPr>
            </w:pPr>
            <w:r>
              <w:rPr>
                <w:rFonts w:ascii="Calibri" w:hAnsi="Calibri"/>
                <w:color w:val="000000"/>
                <w:szCs w:val="22"/>
              </w:rPr>
              <w:t>CQS 6</w:t>
            </w:r>
          </w:p>
        </w:tc>
        <w:tc>
          <w:tcPr>
            <w:tcW w:w="859" w:type="dxa"/>
            <w:tcBorders>
              <w:top w:val="single" w:sz="18" w:space="0" w:color="E98E31" w:themeColor="background2"/>
            </w:tcBorders>
            <w:vAlign w:val="center"/>
          </w:tcPr>
          <w:p w:rsidR="00EB22EB" w:rsidRDefault="00EB22EB" w:rsidP="00EB22EB">
            <w:pPr>
              <w:spacing w:before="120" w:after="120"/>
              <w:jc w:val="center"/>
              <w:rPr>
                <w:rFonts w:ascii="Calibri" w:hAnsi="Calibri"/>
                <w:color w:val="000000"/>
                <w:szCs w:val="22"/>
              </w:rPr>
            </w:pPr>
            <w:r>
              <w:rPr>
                <w:rFonts w:ascii="Calibri" w:hAnsi="Calibri"/>
                <w:color w:val="000000"/>
                <w:szCs w:val="22"/>
              </w:rPr>
              <w:t>CQS 6</w:t>
            </w:r>
          </w:p>
        </w:tc>
      </w:tr>
      <w:tr w:rsidR="00EB22EB" w:rsidRPr="006A4A1D" w:rsidTr="000233E6">
        <w:trPr>
          <w:trHeight w:val="397"/>
        </w:trPr>
        <w:tc>
          <w:tcPr>
            <w:tcW w:w="2552" w:type="dxa"/>
            <w:shd w:val="clear" w:color="auto" w:fill="auto"/>
            <w:noWrap/>
            <w:vAlign w:val="center"/>
            <w:hideMark/>
          </w:tcPr>
          <w:p w:rsidR="00EB22EB" w:rsidRPr="006A4A1D" w:rsidRDefault="00EB22EB" w:rsidP="00EB22EB">
            <w:pPr>
              <w:spacing w:before="120" w:after="120"/>
              <w:rPr>
                <w:rFonts w:asciiTheme="majorHAnsi" w:hAnsiTheme="majorHAnsi"/>
                <w:color w:val="000000"/>
                <w:szCs w:val="22"/>
              </w:rPr>
            </w:pPr>
            <w:r w:rsidRPr="006A4A1D">
              <w:rPr>
                <w:rFonts w:asciiTheme="majorHAnsi" w:hAnsiTheme="majorHAnsi"/>
                <w:color w:val="000000"/>
                <w:szCs w:val="22"/>
              </w:rPr>
              <w:t>N. observed defaulted items</w:t>
            </w:r>
          </w:p>
        </w:tc>
        <w:tc>
          <w:tcPr>
            <w:tcW w:w="850" w:type="dxa"/>
            <w:shd w:val="clear" w:color="auto" w:fill="auto"/>
            <w:noWrap/>
            <w:vAlign w:val="center"/>
          </w:tcPr>
          <w:p w:rsidR="00EB22EB" w:rsidRPr="006A4A1D" w:rsidRDefault="00EB22EB" w:rsidP="00EB22EB">
            <w:pPr>
              <w:spacing w:before="120" w:after="120"/>
              <w:jc w:val="center"/>
              <w:rPr>
                <w:rFonts w:asciiTheme="majorHAnsi" w:hAnsiTheme="majorHAnsi"/>
                <w:color w:val="000000"/>
                <w:szCs w:val="22"/>
              </w:rPr>
            </w:pPr>
            <w:r>
              <w:rPr>
                <w:rFonts w:ascii="Calibri" w:hAnsi="Calibri"/>
                <w:color w:val="000000"/>
                <w:szCs w:val="22"/>
              </w:rPr>
              <w:t>0</w:t>
            </w:r>
          </w:p>
        </w:tc>
        <w:tc>
          <w:tcPr>
            <w:tcW w:w="859" w:type="dxa"/>
            <w:vAlign w:val="center"/>
          </w:tcPr>
          <w:p w:rsidR="00EB22EB" w:rsidRDefault="00EB22EB" w:rsidP="00EB22EB">
            <w:pPr>
              <w:spacing w:before="120" w:after="120"/>
              <w:jc w:val="center"/>
              <w:rPr>
                <w:rFonts w:asciiTheme="majorHAnsi" w:hAnsiTheme="majorHAnsi"/>
                <w:color w:val="000000"/>
                <w:szCs w:val="22"/>
              </w:rPr>
            </w:pPr>
            <w:r>
              <w:rPr>
                <w:rFonts w:ascii="Calibri" w:hAnsi="Calibri"/>
                <w:color w:val="000000"/>
                <w:szCs w:val="22"/>
              </w:rPr>
              <w:t>0</w:t>
            </w:r>
          </w:p>
        </w:tc>
        <w:tc>
          <w:tcPr>
            <w:tcW w:w="992" w:type="dxa"/>
            <w:vAlign w:val="center"/>
          </w:tcPr>
          <w:p w:rsidR="00EB22EB" w:rsidRDefault="00EB22EB" w:rsidP="00EB22EB">
            <w:pPr>
              <w:spacing w:before="120" w:after="120"/>
              <w:jc w:val="center"/>
              <w:rPr>
                <w:rFonts w:asciiTheme="majorHAnsi" w:hAnsiTheme="majorHAnsi"/>
                <w:color w:val="000000"/>
                <w:szCs w:val="22"/>
              </w:rPr>
            </w:pPr>
            <w:r>
              <w:rPr>
                <w:rFonts w:ascii="Calibri" w:hAnsi="Calibri"/>
                <w:color w:val="000000"/>
                <w:szCs w:val="22"/>
              </w:rPr>
              <w:t>0</w:t>
            </w:r>
          </w:p>
        </w:tc>
        <w:tc>
          <w:tcPr>
            <w:tcW w:w="859" w:type="dxa"/>
            <w:vAlign w:val="center"/>
          </w:tcPr>
          <w:p w:rsidR="00EB22EB" w:rsidRDefault="00EB22EB" w:rsidP="00EB22EB">
            <w:pPr>
              <w:spacing w:before="120" w:after="120"/>
              <w:jc w:val="center"/>
              <w:rPr>
                <w:rFonts w:asciiTheme="majorHAnsi" w:hAnsiTheme="majorHAnsi"/>
                <w:color w:val="000000"/>
                <w:szCs w:val="22"/>
              </w:rPr>
            </w:pPr>
            <w:r>
              <w:rPr>
                <w:rFonts w:ascii="Calibri" w:hAnsi="Calibri"/>
                <w:color w:val="000000"/>
                <w:szCs w:val="22"/>
              </w:rPr>
              <w:t>0</w:t>
            </w:r>
          </w:p>
        </w:tc>
        <w:tc>
          <w:tcPr>
            <w:tcW w:w="908" w:type="dxa"/>
            <w:vAlign w:val="center"/>
          </w:tcPr>
          <w:p w:rsidR="00EB22EB" w:rsidRDefault="00EB22EB" w:rsidP="00EB22EB">
            <w:pPr>
              <w:spacing w:before="120" w:after="120"/>
              <w:jc w:val="center"/>
              <w:rPr>
                <w:rFonts w:asciiTheme="majorHAnsi" w:hAnsiTheme="majorHAnsi"/>
                <w:color w:val="000000"/>
                <w:szCs w:val="22"/>
              </w:rPr>
            </w:pPr>
            <w:r>
              <w:rPr>
                <w:rFonts w:ascii="Calibri" w:hAnsi="Calibri"/>
                <w:color w:val="000000"/>
                <w:szCs w:val="22"/>
              </w:rPr>
              <w:t>0</w:t>
            </w:r>
          </w:p>
        </w:tc>
        <w:tc>
          <w:tcPr>
            <w:tcW w:w="926" w:type="dxa"/>
            <w:vAlign w:val="center"/>
          </w:tcPr>
          <w:p w:rsidR="00EB22EB" w:rsidRDefault="00EB22EB" w:rsidP="00EB22EB">
            <w:pPr>
              <w:spacing w:before="120" w:after="120"/>
              <w:jc w:val="center"/>
              <w:rPr>
                <w:rFonts w:asciiTheme="majorHAnsi" w:hAnsiTheme="majorHAnsi"/>
                <w:color w:val="000000"/>
                <w:szCs w:val="22"/>
              </w:rPr>
            </w:pPr>
            <w:r>
              <w:rPr>
                <w:rFonts w:ascii="Calibri" w:hAnsi="Calibri"/>
                <w:color w:val="000000"/>
                <w:szCs w:val="22"/>
              </w:rPr>
              <w:t>0</w:t>
            </w:r>
          </w:p>
        </w:tc>
        <w:tc>
          <w:tcPr>
            <w:tcW w:w="859" w:type="dxa"/>
            <w:vAlign w:val="center"/>
          </w:tcPr>
          <w:p w:rsidR="00EB22EB" w:rsidRDefault="00EB22EB" w:rsidP="000233E6">
            <w:pPr>
              <w:spacing w:before="120" w:after="120"/>
              <w:jc w:val="center"/>
              <w:rPr>
                <w:rFonts w:ascii="Calibri" w:hAnsi="Calibri"/>
                <w:color w:val="000000"/>
                <w:szCs w:val="22"/>
              </w:rPr>
            </w:pPr>
            <w:r>
              <w:rPr>
                <w:rFonts w:ascii="Calibri" w:hAnsi="Calibri"/>
                <w:color w:val="000000"/>
                <w:szCs w:val="22"/>
              </w:rPr>
              <w:t>0</w:t>
            </w:r>
          </w:p>
        </w:tc>
      </w:tr>
      <w:tr w:rsidR="00EB22EB" w:rsidRPr="006A4A1D" w:rsidTr="00E74913">
        <w:trPr>
          <w:trHeight w:val="397"/>
        </w:trPr>
        <w:tc>
          <w:tcPr>
            <w:tcW w:w="2552" w:type="dxa"/>
            <w:shd w:val="clear" w:color="auto" w:fill="auto"/>
            <w:noWrap/>
            <w:vAlign w:val="center"/>
            <w:hideMark/>
          </w:tcPr>
          <w:p w:rsidR="00EB22EB" w:rsidRPr="006A4A1D" w:rsidRDefault="00EB22EB" w:rsidP="00EB22EB">
            <w:pPr>
              <w:spacing w:before="120" w:after="120"/>
              <w:rPr>
                <w:rFonts w:asciiTheme="majorHAnsi" w:hAnsiTheme="majorHAnsi"/>
                <w:color w:val="000000"/>
                <w:szCs w:val="22"/>
              </w:rPr>
            </w:pPr>
            <w:r w:rsidRPr="006A4A1D">
              <w:rPr>
                <w:rFonts w:asciiTheme="majorHAnsi" w:hAnsiTheme="majorHAnsi"/>
                <w:color w:val="000000"/>
                <w:szCs w:val="22"/>
              </w:rPr>
              <w:t>Minimum N. rated items</w:t>
            </w:r>
          </w:p>
        </w:tc>
        <w:tc>
          <w:tcPr>
            <w:tcW w:w="850" w:type="dxa"/>
            <w:shd w:val="clear" w:color="auto" w:fill="auto"/>
            <w:noWrap/>
            <w:vAlign w:val="center"/>
          </w:tcPr>
          <w:p w:rsidR="00EB22EB" w:rsidRPr="006A4A1D" w:rsidRDefault="00235AB7" w:rsidP="00EB22EB">
            <w:pPr>
              <w:spacing w:before="120" w:after="120"/>
              <w:jc w:val="center"/>
              <w:rPr>
                <w:rFonts w:asciiTheme="majorHAnsi" w:hAnsiTheme="majorHAnsi"/>
                <w:color w:val="000000"/>
                <w:szCs w:val="22"/>
              </w:rPr>
            </w:pPr>
            <w:r>
              <w:rPr>
                <w:rFonts w:ascii="Calibri" w:hAnsi="Calibri"/>
                <w:color w:val="000000"/>
                <w:szCs w:val="22"/>
              </w:rPr>
              <w:t>0</w:t>
            </w:r>
          </w:p>
        </w:tc>
        <w:tc>
          <w:tcPr>
            <w:tcW w:w="859" w:type="dxa"/>
            <w:vAlign w:val="center"/>
          </w:tcPr>
          <w:p w:rsidR="00EB22EB" w:rsidRPr="006A4A1D" w:rsidRDefault="00EB22EB" w:rsidP="00EB22EB">
            <w:pPr>
              <w:spacing w:before="120" w:after="120"/>
              <w:jc w:val="center"/>
              <w:rPr>
                <w:rFonts w:asciiTheme="majorHAnsi" w:hAnsiTheme="majorHAnsi"/>
                <w:color w:val="000000"/>
                <w:szCs w:val="22"/>
              </w:rPr>
            </w:pPr>
            <w:r>
              <w:rPr>
                <w:rFonts w:ascii="Calibri" w:hAnsi="Calibri"/>
                <w:color w:val="000000"/>
                <w:szCs w:val="22"/>
              </w:rPr>
              <w:t>0</w:t>
            </w:r>
          </w:p>
        </w:tc>
        <w:tc>
          <w:tcPr>
            <w:tcW w:w="992" w:type="dxa"/>
            <w:vAlign w:val="center"/>
          </w:tcPr>
          <w:p w:rsidR="00EB22EB" w:rsidRPr="006A4A1D" w:rsidRDefault="00EB22EB" w:rsidP="00EB22EB">
            <w:pPr>
              <w:spacing w:before="120" w:after="120"/>
              <w:jc w:val="center"/>
              <w:rPr>
                <w:rFonts w:asciiTheme="majorHAnsi" w:hAnsiTheme="majorHAnsi"/>
                <w:color w:val="000000"/>
                <w:szCs w:val="22"/>
              </w:rPr>
            </w:pPr>
            <w:r>
              <w:rPr>
                <w:rFonts w:ascii="Calibri" w:hAnsi="Calibri"/>
                <w:color w:val="000000"/>
                <w:szCs w:val="22"/>
              </w:rPr>
              <w:t>0</w:t>
            </w:r>
          </w:p>
        </w:tc>
        <w:tc>
          <w:tcPr>
            <w:tcW w:w="859" w:type="dxa"/>
            <w:vAlign w:val="center"/>
          </w:tcPr>
          <w:p w:rsidR="00EB22EB" w:rsidRPr="006A4A1D" w:rsidRDefault="00235AB7" w:rsidP="00EB22EB">
            <w:pPr>
              <w:spacing w:before="120" w:after="120"/>
              <w:jc w:val="center"/>
              <w:rPr>
                <w:rFonts w:asciiTheme="majorHAnsi" w:hAnsiTheme="majorHAnsi"/>
                <w:color w:val="000000"/>
                <w:szCs w:val="22"/>
              </w:rPr>
            </w:pPr>
            <w:r>
              <w:rPr>
                <w:rFonts w:ascii="Calibri" w:hAnsi="Calibri"/>
                <w:color w:val="000000"/>
                <w:szCs w:val="22"/>
              </w:rPr>
              <w:t>0</w:t>
            </w:r>
          </w:p>
        </w:tc>
        <w:tc>
          <w:tcPr>
            <w:tcW w:w="908" w:type="dxa"/>
            <w:vAlign w:val="center"/>
          </w:tcPr>
          <w:p w:rsidR="00EB22EB" w:rsidRPr="006A4A1D" w:rsidRDefault="00235AB7" w:rsidP="00EB22EB">
            <w:pPr>
              <w:spacing w:before="120" w:after="120"/>
              <w:jc w:val="center"/>
              <w:rPr>
                <w:rFonts w:asciiTheme="majorHAnsi" w:hAnsiTheme="majorHAnsi"/>
                <w:color w:val="000000"/>
                <w:szCs w:val="22"/>
              </w:rPr>
            </w:pPr>
            <w:r>
              <w:rPr>
                <w:rFonts w:ascii="Calibri" w:hAnsi="Calibri"/>
                <w:color w:val="000000"/>
                <w:szCs w:val="22"/>
              </w:rPr>
              <w:t>0</w:t>
            </w:r>
          </w:p>
        </w:tc>
        <w:tc>
          <w:tcPr>
            <w:tcW w:w="926" w:type="dxa"/>
            <w:vAlign w:val="center"/>
          </w:tcPr>
          <w:p w:rsidR="00EB22EB" w:rsidRPr="006A4A1D" w:rsidRDefault="00EB22EB" w:rsidP="00EB22EB">
            <w:pPr>
              <w:spacing w:before="120" w:after="120"/>
              <w:jc w:val="center"/>
              <w:rPr>
                <w:rFonts w:asciiTheme="majorHAnsi" w:hAnsiTheme="majorHAnsi"/>
                <w:color w:val="000000"/>
                <w:szCs w:val="22"/>
              </w:rPr>
            </w:pPr>
            <w:r>
              <w:rPr>
                <w:rFonts w:ascii="Calibri" w:hAnsi="Calibri"/>
                <w:color w:val="000000"/>
                <w:szCs w:val="22"/>
              </w:rPr>
              <w:t>n.a.</w:t>
            </w:r>
          </w:p>
        </w:tc>
        <w:tc>
          <w:tcPr>
            <w:tcW w:w="859" w:type="dxa"/>
          </w:tcPr>
          <w:p w:rsidR="00EB22EB" w:rsidRDefault="00EB22EB" w:rsidP="00EB22EB">
            <w:pPr>
              <w:spacing w:before="120" w:after="120"/>
              <w:jc w:val="center"/>
              <w:rPr>
                <w:rFonts w:ascii="Calibri" w:hAnsi="Calibri"/>
                <w:color w:val="000000"/>
                <w:szCs w:val="22"/>
              </w:rPr>
            </w:pPr>
            <w:r>
              <w:rPr>
                <w:rFonts w:ascii="Calibri" w:hAnsi="Calibri"/>
                <w:color w:val="000000"/>
                <w:szCs w:val="22"/>
              </w:rPr>
              <w:t>n.a.</w:t>
            </w:r>
          </w:p>
        </w:tc>
      </w:tr>
      <w:tr w:rsidR="00EB22EB" w:rsidRPr="006A4A1D" w:rsidTr="00E74913">
        <w:trPr>
          <w:trHeight w:val="397"/>
        </w:trPr>
        <w:tc>
          <w:tcPr>
            <w:tcW w:w="2552" w:type="dxa"/>
            <w:tcBorders>
              <w:bottom w:val="single" w:sz="2" w:space="0" w:color="auto"/>
            </w:tcBorders>
            <w:shd w:val="clear" w:color="auto" w:fill="auto"/>
            <w:noWrap/>
            <w:vAlign w:val="center"/>
            <w:hideMark/>
          </w:tcPr>
          <w:p w:rsidR="00EB22EB" w:rsidRPr="006A4A1D" w:rsidRDefault="00EB22EB" w:rsidP="00EB22EB">
            <w:pPr>
              <w:spacing w:before="120" w:after="120"/>
              <w:rPr>
                <w:rFonts w:asciiTheme="majorHAnsi" w:hAnsiTheme="majorHAnsi"/>
                <w:color w:val="000000"/>
                <w:szCs w:val="22"/>
              </w:rPr>
            </w:pPr>
            <w:r w:rsidRPr="006A4A1D">
              <w:rPr>
                <w:rFonts w:asciiTheme="majorHAnsi" w:hAnsiTheme="majorHAnsi"/>
                <w:color w:val="000000"/>
                <w:szCs w:val="22"/>
              </w:rPr>
              <w:t>Observed N. rated items</w:t>
            </w:r>
          </w:p>
        </w:tc>
        <w:tc>
          <w:tcPr>
            <w:tcW w:w="850" w:type="dxa"/>
            <w:tcBorders>
              <w:bottom w:val="single" w:sz="2" w:space="0" w:color="auto"/>
            </w:tcBorders>
            <w:shd w:val="clear" w:color="auto" w:fill="auto"/>
            <w:noWrap/>
            <w:vAlign w:val="center"/>
          </w:tcPr>
          <w:p w:rsidR="00EB22EB" w:rsidRPr="006A4A1D" w:rsidRDefault="00EB22EB" w:rsidP="00EB22EB">
            <w:pPr>
              <w:spacing w:before="120" w:after="120"/>
              <w:jc w:val="center"/>
              <w:rPr>
                <w:rFonts w:asciiTheme="majorHAnsi" w:hAnsiTheme="majorHAnsi"/>
                <w:color w:val="000000"/>
                <w:szCs w:val="22"/>
              </w:rPr>
            </w:pPr>
            <w:r>
              <w:rPr>
                <w:rFonts w:ascii="Calibri" w:hAnsi="Calibri"/>
                <w:color w:val="000000"/>
                <w:szCs w:val="22"/>
              </w:rPr>
              <w:t>0</w:t>
            </w:r>
          </w:p>
        </w:tc>
        <w:tc>
          <w:tcPr>
            <w:tcW w:w="859" w:type="dxa"/>
            <w:tcBorders>
              <w:bottom w:val="single" w:sz="2" w:space="0" w:color="auto"/>
            </w:tcBorders>
            <w:vAlign w:val="center"/>
          </w:tcPr>
          <w:p w:rsidR="00EB22EB" w:rsidRDefault="00EB22EB" w:rsidP="00EB22EB">
            <w:pPr>
              <w:spacing w:before="120" w:after="120"/>
              <w:jc w:val="center"/>
              <w:rPr>
                <w:rFonts w:asciiTheme="majorHAnsi" w:hAnsiTheme="majorHAnsi"/>
                <w:color w:val="000000"/>
                <w:szCs w:val="22"/>
              </w:rPr>
            </w:pPr>
            <w:r>
              <w:rPr>
                <w:rFonts w:asciiTheme="majorHAnsi" w:hAnsiTheme="majorHAnsi"/>
                <w:color w:val="000000"/>
                <w:szCs w:val="22"/>
              </w:rPr>
              <w:t>0</w:t>
            </w:r>
          </w:p>
        </w:tc>
        <w:tc>
          <w:tcPr>
            <w:tcW w:w="992" w:type="dxa"/>
            <w:tcBorders>
              <w:bottom w:val="single" w:sz="2" w:space="0" w:color="auto"/>
            </w:tcBorders>
            <w:vAlign w:val="center"/>
          </w:tcPr>
          <w:p w:rsidR="00EB22EB" w:rsidRDefault="00EB22EB" w:rsidP="00EB22EB">
            <w:pPr>
              <w:spacing w:before="120" w:after="120"/>
              <w:jc w:val="center"/>
              <w:rPr>
                <w:rFonts w:asciiTheme="majorHAnsi" w:hAnsiTheme="majorHAnsi"/>
                <w:color w:val="000000"/>
                <w:szCs w:val="22"/>
              </w:rPr>
            </w:pPr>
            <w:r>
              <w:rPr>
                <w:rFonts w:asciiTheme="majorHAnsi" w:hAnsiTheme="majorHAnsi"/>
                <w:color w:val="000000"/>
                <w:szCs w:val="22"/>
              </w:rPr>
              <w:t>0</w:t>
            </w:r>
          </w:p>
        </w:tc>
        <w:tc>
          <w:tcPr>
            <w:tcW w:w="859" w:type="dxa"/>
            <w:tcBorders>
              <w:bottom w:val="single" w:sz="2" w:space="0" w:color="auto"/>
            </w:tcBorders>
            <w:vAlign w:val="center"/>
          </w:tcPr>
          <w:p w:rsidR="00EB22EB" w:rsidRDefault="00EB22EB" w:rsidP="00EB22EB">
            <w:pPr>
              <w:spacing w:before="120" w:after="120"/>
              <w:jc w:val="center"/>
              <w:rPr>
                <w:rFonts w:asciiTheme="majorHAnsi" w:hAnsiTheme="majorHAnsi"/>
                <w:color w:val="000000"/>
                <w:szCs w:val="22"/>
              </w:rPr>
            </w:pPr>
            <w:r>
              <w:rPr>
                <w:rFonts w:asciiTheme="majorHAnsi" w:hAnsiTheme="majorHAnsi"/>
                <w:color w:val="000000"/>
                <w:szCs w:val="22"/>
              </w:rPr>
              <w:t>0</w:t>
            </w:r>
          </w:p>
        </w:tc>
        <w:tc>
          <w:tcPr>
            <w:tcW w:w="908" w:type="dxa"/>
            <w:tcBorders>
              <w:bottom w:val="single" w:sz="2" w:space="0" w:color="auto"/>
            </w:tcBorders>
            <w:vAlign w:val="center"/>
          </w:tcPr>
          <w:p w:rsidR="00EB22EB" w:rsidRDefault="00EB22EB" w:rsidP="00EB22EB">
            <w:pPr>
              <w:spacing w:before="120" w:after="120"/>
              <w:jc w:val="center"/>
              <w:rPr>
                <w:rFonts w:asciiTheme="majorHAnsi" w:hAnsiTheme="majorHAnsi"/>
                <w:color w:val="000000"/>
                <w:szCs w:val="22"/>
              </w:rPr>
            </w:pPr>
            <w:r>
              <w:rPr>
                <w:rFonts w:asciiTheme="majorHAnsi" w:hAnsiTheme="majorHAnsi"/>
                <w:color w:val="000000"/>
                <w:szCs w:val="22"/>
              </w:rPr>
              <w:t>0</w:t>
            </w:r>
          </w:p>
        </w:tc>
        <w:tc>
          <w:tcPr>
            <w:tcW w:w="926" w:type="dxa"/>
            <w:tcBorders>
              <w:bottom w:val="single" w:sz="2" w:space="0" w:color="auto"/>
            </w:tcBorders>
            <w:vAlign w:val="center"/>
          </w:tcPr>
          <w:p w:rsidR="00EB22EB" w:rsidRDefault="00EB22EB" w:rsidP="00EB22EB">
            <w:pPr>
              <w:spacing w:before="120" w:after="120"/>
              <w:jc w:val="center"/>
              <w:rPr>
                <w:rFonts w:asciiTheme="majorHAnsi" w:hAnsiTheme="majorHAnsi"/>
                <w:color w:val="000000"/>
                <w:szCs w:val="22"/>
              </w:rPr>
            </w:pPr>
            <w:r>
              <w:rPr>
                <w:rFonts w:ascii="Calibri" w:hAnsi="Calibri"/>
                <w:color w:val="000000"/>
                <w:szCs w:val="22"/>
              </w:rPr>
              <w:t>0</w:t>
            </w:r>
          </w:p>
        </w:tc>
        <w:tc>
          <w:tcPr>
            <w:tcW w:w="859" w:type="dxa"/>
            <w:tcBorders>
              <w:bottom w:val="single" w:sz="2" w:space="0" w:color="auto"/>
            </w:tcBorders>
          </w:tcPr>
          <w:p w:rsidR="00EB22EB" w:rsidRDefault="00EB22EB" w:rsidP="00EB22EB">
            <w:pPr>
              <w:spacing w:before="120" w:after="120"/>
              <w:jc w:val="center"/>
              <w:rPr>
                <w:rFonts w:ascii="Calibri" w:hAnsi="Calibri"/>
                <w:color w:val="000000"/>
                <w:szCs w:val="22"/>
              </w:rPr>
            </w:pPr>
            <w:r>
              <w:rPr>
                <w:rFonts w:ascii="Calibri" w:hAnsi="Calibri"/>
                <w:color w:val="000000"/>
                <w:szCs w:val="22"/>
              </w:rPr>
              <w:t>0</w:t>
            </w:r>
          </w:p>
        </w:tc>
      </w:tr>
      <w:tr w:rsidR="00EB22EB" w:rsidRPr="00D2291E" w:rsidTr="00E74913">
        <w:trPr>
          <w:trHeight w:val="397"/>
        </w:trPr>
        <w:tc>
          <w:tcPr>
            <w:tcW w:w="2552" w:type="dxa"/>
            <w:tcBorders>
              <w:top w:val="single" w:sz="2" w:space="0" w:color="auto"/>
              <w:bottom w:val="single" w:sz="2" w:space="0" w:color="auto"/>
            </w:tcBorders>
            <w:shd w:val="clear" w:color="auto" w:fill="auto"/>
            <w:noWrap/>
            <w:vAlign w:val="center"/>
            <w:hideMark/>
          </w:tcPr>
          <w:p w:rsidR="00EB22EB" w:rsidRPr="00D2291E" w:rsidRDefault="00EB22EB" w:rsidP="00EB22EB">
            <w:pPr>
              <w:spacing w:before="120" w:after="120"/>
              <w:rPr>
                <w:rFonts w:asciiTheme="majorHAnsi" w:hAnsiTheme="majorHAnsi"/>
                <w:b/>
                <w:bCs/>
                <w:color w:val="000000"/>
                <w:szCs w:val="22"/>
              </w:rPr>
            </w:pPr>
            <w:r w:rsidRPr="00D2291E">
              <w:rPr>
                <w:rFonts w:asciiTheme="majorHAnsi" w:hAnsiTheme="majorHAnsi"/>
                <w:b/>
                <w:bCs/>
                <w:color w:val="000000"/>
                <w:szCs w:val="22"/>
              </w:rPr>
              <w:t>Mapping proposal</w:t>
            </w:r>
          </w:p>
        </w:tc>
        <w:tc>
          <w:tcPr>
            <w:tcW w:w="850" w:type="dxa"/>
            <w:tcBorders>
              <w:top w:val="single" w:sz="2" w:space="0" w:color="auto"/>
              <w:bottom w:val="single" w:sz="2" w:space="0" w:color="auto"/>
            </w:tcBorders>
            <w:shd w:val="clear" w:color="auto" w:fill="auto"/>
            <w:noWrap/>
            <w:vAlign w:val="center"/>
          </w:tcPr>
          <w:p w:rsidR="00EB22EB" w:rsidRPr="00D2291E" w:rsidRDefault="00EB22EB" w:rsidP="00235AB7">
            <w:pPr>
              <w:spacing w:before="120" w:after="120"/>
              <w:jc w:val="center"/>
              <w:rPr>
                <w:rFonts w:asciiTheme="majorHAnsi" w:hAnsiTheme="majorHAnsi"/>
                <w:b/>
                <w:bCs/>
                <w:color w:val="000000"/>
                <w:szCs w:val="22"/>
              </w:rPr>
            </w:pPr>
            <w:r>
              <w:rPr>
                <w:rFonts w:asciiTheme="majorHAnsi" w:hAnsiTheme="majorHAnsi"/>
                <w:b/>
                <w:bCs/>
                <w:color w:val="000000"/>
                <w:szCs w:val="22"/>
              </w:rPr>
              <w:t xml:space="preserve">CQS </w:t>
            </w:r>
            <w:r w:rsidR="00235AB7">
              <w:rPr>
                <w:rFonts w:asciiTheme="majorHAnsi" w:hAnsiTheme="majorHAnsi"/>
                <w:b/>
                <w:bCs/>
                <w:color w:val="000000"/>
                <w:szCs w:val="22"/>
              </w:rPr>
              <w:t>1</w:t>
            </w:r>
          </w:p>
        </w:tc>
        <w:tc>
          <w:tcPr>
            <w:tcW w:w="859" w:type="dxa"/>
            <w:tcBorders>
              <w:top w:val="single" w:sz="2" w:space="0" w:color="auto"/>
              <w:bottom w:val="single" w:sz="2" w:space="0" w:color="auto"/>
            </w:tcBorders>
            <w:vAlign w:val="center"/>
          </w:tcPr>
          <w:p w:rsidR="00EB22EB" w:rsidRPr="00E5783C" w:rsidRDefault="00EB22EB" w:rsidP="00EB22EB">
            <w:pPr>
              <w:spacing w:before="120" w:after="120"/>
              <w:jc w:val="center"/>
              <w:rPr>
                <w:rFonts w:asciiTheme="majorHAnsi" w:hAnsiTheme="majorHAnsi"/>
                <w:b/>
                <w:bCs/>
                <w:color w:val="000000"/>
                <w:szCs w:val="22"/>
              </w:rPr>
            </w:pPr>
            <w:r w:rsidRPr="00E219FB">
              <w:rPr>
                <w:rFonts w:ascii="Calibri" w:hAnsi="Calibri"/>
                <w:b/>
                <w:bCs/>
                <w:color w:val="000000"/>
                <w:szCs w:val="22"/>
              </w:rPr>
              <w:t>CQS 2</w:t>
            </w:r>
          </w:p>
        </w:tc>
        <w:tc>
          <w:tcPr>
            <w:tcW w:w="992" w:type="dxa"/>
            <w:tcBorders>
              <w:top w:val="single" w:sz="2" w:space="0" w:color="auto"/>
              <w:bottom w:val="single" w:sz="2" w:space="0" w:color="auto"/>
            </w:tcBorders>
            <w:vAlign w:val="center"/>
          </w:tcPr>
          <w:p w:rsidR="00EB22EB" w:rsidRPr="00E5783C" w:rsidRDefault="00EB22EB" w:rsidP="00EB22EB">
            <w:pPr>
              <w:spacing w:before="120" w:after="120"/>
              <w:jc w:val="center"/>
              <w:rPr>
                <w:rFonts w:asciiTheme="majorHAnsi" w:hAnsiTheme="majorHAnsi"/>
                <w:b/>
                <w:bCs/>
                <w:color w:val="000000"/>
                <w:szCs w:val="22"/>
              </w:rPr>
            </w:pPr>
            <w:r w:rsidRPr="00E219FB">
              <w:rPr>
                <w:rFonts w:ascii="Calibri" w:hAnsi="Calibri"/>
                <w:b/>
                <w:color w:val="000000"/>
                <w:szCs w:val="22"/>
              </w:rPr>
              <w:t xml:space="preserve">CQS </w:t>
            </w:r>
            <w:r>
              <w:rPr>
                <w:rFonts w:ascii="Calibri" w:hAnsi="Calibri"/>
                <w:b/>
                <w:color w:val="000000"/>
                <w:szCs w:val="22"/>
              </w:rPr>
              <w:t>3</w:t>
            </w:r>
          </w:p>
        </w:tc>
        <w:tc>
          <w:tcPr>
            <w:tcW w:w="859" w:type="dxa"/>
            <w:tcBorders>
              <w:top w:val="single" w:sz="2" w:space="0" w:color="auto"/>
              <w:bottom w:val="single" w:sz="2" w:space="0" w:color="auto"/>
            </w:tcBorders>
            <w:vAlign w:val="center"/>
          </w:tcPr>
          <w:p w:rsidR="00EB22EB" w:rsidRPr="00E5783C" w:rsidRDefault="00EB22EB" w:rsidP="00235AB7">
            <w:pPr>
              <w:spacing w:before="120" w:after="120"/>
              <w:jc w:val="center"/>
              <w:rPr>
                <w:rFonts w:asciiTheme="majorHAnsi" w:hAnsiTheme="majorHAnsi"/>
                <w:b/>
                <w:bCs/>
                <w:color w:val="000000"/>
                <w:szCs w:val="22"/>
              </w:rPr>
            </w:pPr>
            <w:r w:rsidRPr="00E219FB">
              <w:rPr>
                <w:rFonts w:ascii="Calibri" w:hAnsi="Calibri"/>
                <w:b/>
                <w:bCs/>
                <w:color w:val="000000"/>
                <w:szCs w:val="22"/>
              </w:rPr>
              <w:t xml:space="preserve">CQS </w:t>
            </w:r>
            <w:r w:rsidR="00235AB7">
              <w:rPr>
                <w:rFonts w:ascii="Calibri" w:hAnsi="Calibri"/>
                <w:b/>
                <w:bCs/>
                <w:color w:val="000000"/>
                <w:szCs w:val="22"/>
              </w:rPr>
              <w:t>4</w:t>
            </w:r>
          </w:p>
        </w:tc>
        <w:tc>
          <w:tcPr>
            <w:tcW w:w="908" w:type="dxa"/>
            <w:tcBorders>
              <w:top w:val="single" w:sz="2" w:space="0" w:color="auto"/>
              <w:bottom w:val="single" w:sz="2" w:space="0" w:color="auto"/>
            </w:tcBorders>
            <w:vAlign w:val="center"/>
          </w:tcPr>
          <w:p w:rsidR="00EB22EB" w:rsidRPr="00E5783C" w:rsidRDefault="00EB22EB" w:rsidP="00235AB7">
            <w:pPr>
              <w:spacing w:before="120" w:after="120"/>
              <w:jc w:val="center"/>
              <w:rPr>
                <w:rFonts w:asciiTheme="majorHAnsi" w:hAnsiTheme="majorHAnsi"/>
                <w:b/>
                <w:bCs/>
                <w:color w:val="000000"/>
                <w:szCs w:val="22"/>
              </w:rPr>
            </w:pPr>
            <w:r w:rsidRPr="00E219FB">
              <w:rPr>
                <w:rFonts w:ascii="Calibri" w:hAnsi="Calibri"/>
                <w:b/>
                <w:bCs/>
                <w:color w:val="000000"/>
                <w:szCs w:val="22"/>
              </w:rPr>
              <w:t xml:space="preserve">CQS </w:t>
            </w:r>
            <w:r w:rsidR="00235AB7">
              <w:rPr>
                <w:rFonts w:ascii="Calibri" w:hAnsi="Calibri"/>
                <w:b/>
                <w:bCs/>
                <w:color w:val="000000"/>
                <w:szCs w:val="22"/>
              </w:rPr>
              <w:t>5</w:t>
            </w:r>
            <w:r w:rsidR="00235AB7" w:rsidRPr="00E219FB">
              <w:rPr>
                <w:rFonts w:ascii="Calibri" w:hAnsi="Calibri"/>
                <w:b/>
                <w:bCs/>
                <w:color w:val="000000"/>
                <w:szCs w:val="22"/>
              </w:rPr>
              <w:t xml:space="preserve"> </w:t>
            </w:r>
          </w:p>
        </w:tc>
        <w:tc>
          <w:tcPr>
            <w:tcW w:w="926" w:type="dxa"/>
            <w:tcBorders>
              <w:top w:val="single" w:sz="2" w:space="0" w:color="auto"/>
              <w:bottom w:val="single" w:sz="2" w:space="0" w:color="auto"/>
            </w:tcBorders>
            <w:vAlign w:val="center"/>
          </w:tcPr>
          <w:p w:rsidR="00EB22EB" w:rsidRPr="00E5783C" w:rsidRDefault="00EB22EB" w:rsidP="00EB22EB">
            <w:pPr>
              <w:spacing w:before="120" w:after="120"/>
              <w:jc w:val="center"/>
              <w:rPr>
                <w:rFonts w:asciiTheme="majorHAnsi" w:hAnsiTheme="majorHAnsi"/>
                <w:b/>
                <w:bCs/>
                <w:color w:val="000000"/>
                <w:szCs w:val="22"/>
              </w:rPr>
            </w:pPr>
            <w:r w:rsidRPr="00E219FB">
              <w:rPr>
                <w:rFonts w:ascii="Calibri" w:hAnsi="Calibri"/>
                <w:b/>
                <w:bCs/>
                <w:color w:val="000000"/>
                <w:szCs w:val="22"/>
              </w:rPr>
              <w:t>CQS 6</w:t>
            </w:r>
          </w:p>
        </w:tc>
        <w:tc>
          <w:tcPr>
            <w:tcW w:w="859" w:type="dxa"/>
            <w:tcBorders>
              <w:top w:val="single" w:sz="2" w:space="0" w:color="auto"/>
              <w:bottom w:val="single" w:sz="2" w:space="0" w:color="auto"/>
            </w:tcBorders>
          </w:tcPr>
          <w:p w:rsidR="00EB22EB" w:rsidRPr="00E219FB" w:rsidRDefault="00EB22EB" w:rsidP="00EB22EB">
            <w:pPr>
              <w:spacing w:before="120" w:after="120"/>
              <w:jc w:val="center"/>
              <w:rPr>
                <w:rFonts w:ascii="Calibri" w:hAnsi="Calibri"/>
                <w:b/>
                <w:bCs/>
                <w:color w:val="000000"/>
                <w:szCs w:val="22"/>
              </w:rPr>
            </w:pPr>
            <w:r w:rsidRPr="00E219FB">
              <w:rPr>
                <w:rFonts w:ascii="Calibri" w:hAnsi="Calibri"/>
                <w:b/>
                <w:bCs/>
                <w:color w:val="000000"/>
                <w:szCs w:val="22"/>
              </w:rPr>
              <w:t>CQS 6</w:t>
            </w:r>
          </w:p>
        </w:tc>
      </w:tr>
    </w:tbl>
    <w:p w:rsidR="00EB22EB" w:rsidRDefault="00EB22EB" w:rsidP="0003502D">
      <w:pPr>
        <w:pStyle w:val="FootnoteText"/>
      </w:pPr>
      <w:r>
        <w:t xml:space="preserve">Source: </w:t>
      </w:r>
      <w:r w:rsidRPr="00B43366">
        <w:t xml:space="preserve">Joint Committee </w:t>
      </w:r>
      <w:r>
        <w:t>calculations based on CEREP data</w:t>
      </w:r>
    </w:p>
    <w:p w:rsidR="00235AB7" w:rsidRPr="003F60D2" w:rsidRDefault="00235AB7" w:rsidP="003F60D2">
      <w:pPr>
        <w:rPr>
          <w:lang w:eastAsia="en-GB"/>
        </w:rPr>
      </w:pPr>
    </w:p>
    <w:p w:rsidR="00235AB7" w:rsidRDefault="00235AB7" w:rsidP="0003502D">
      <w:pPr>
        <w:pStyle w:val="Figuretitle"/>
      </w:pPr>
      <w:bookmarkStart w:id="16" w:name="_Ref384827792"/>
    </w:p>
    <w:p w:rsidR="00235AB7" w:rsidRDefault="00235AB7" w:rsidP="0003502D">
      <w:pPr>
        <w:pStyle w:val="FootnoteText"/>
      </w:pPr>
    </w:p>
    <w:p w:rsidR="00FF191E" w:rsidRPr="003F60D2" w:rsidRDefault="001512D3" w:rsidP="003F60D2">
      <w:pPr>
        <w:pStyle w:val="Titlelevel2"/>
        <w:outlineLvl w:val="0"/>
      </w:pPr>
      <w:r>
        <w:rPr>
          <w:szCs w:val="22"/>
        </w:rPr>
        <w:br w:type="page"/>
      </w:r>
      <w:r w:rsidR="00FF191E" w:rsidRPr="00BE6527">
        <w:lastRenderedPageBreak/>
        <w:t xml:space="preserve">Appendix </w:t>
      </w:r>
      <w:r w:rsidR="00DA0961">
        <w:t>5</w:t>
      </w:r>
      <w:r w:rsidR="00FF191E" w:rsidRPr="00BE6527">
        <w:t xml:space="preserve">: </w:t>
      </w:r>
      <w:r w:rsidR="0030079E">
        <w:t>Calculation of the hypothetical credit rating distribution</w:t>
      </w:r>
    </w:p>
    <w:p w:rsidR="00D31A73" w:rsidRDefault="00D31A73" w:rsidP="0003502D">
      <w:pPr>
        <w:pStyle w:val="Figuretitle"/>
      </w:pPr>
      <w:bookmarkStart w:id="17" w:name="_Ref390420877"/>
      <w:bookmarkEnd w:id="16"/>
      <w:r w:rsidRPr="0041788D">
        <w:rPr>
          <w:szCs w:val="22"/>
        </w:rPr>
        <w:t xml:space="preserve">Figure </w:t>
      </w:r>
      <w:r w:rsidR="0003502D">
        <w:rPr>
          <w:szCs w:val="22"/>
        </w:rPr>
        <w:t>9</w:t>
      </w:r>
      <w:bookmarkEnd w:id="17"/>
      <w:r>
        <w:t xml:space="preserve">: </w:t>
      </w:r>
      <w:r w:rsidR="0030079E">
        <w:t>Distribution of scoring categories</w:t>
      </w:r>
    </w:p>
    <w:tbl>
      <w:tblPr>
        <w:tblW w:w="9616" w:type="dxa"/>
        <w:tblInd w:w="93" w:type="dxa"/>
        <w:tblLayout w:type="fixed"/>
        <w:tblLook w:val="04A0" w:firstRow="1" w:lastRow="0" w:firstColumn="1" w:lastColumn="0" w:noHBand="0" w:noVBand="1"/>
      </w:tblPr>
      <w:tblGrid>
        <w:gridCol w:w="772"/>
        <w:gridCol w:w="737"/>
        <w:gridCol w:w="737"/>
        <w:gridCol w:w="737"/>
        <w:gridCol w:w="737"/>
        <w:gridCol w:w="737"/>
        <w:gridCol w:w="737"/>
        <w:gridCol w:w="737"/>
        <w:gridCol w:w="737"/>
        <w:gridCol w:w="737"/>
        <w:gridCol w:w="737"/>
        <w:gridCol w:w="737"/>
        <w:gridCol w:w="737"/>
      </w:tblGrid>
      <w:tr w:rsidR="0003502D" w:rsidRPr="005607FD" w:rsidTr="0062310C">
        <w:trPr>
          <w:trHeight w:val="300"/>
        </w:trPr>
        <w:tc>
          <w:tcPr>
            <w:tcW w:w="772" w:type="dxa"/>
            <w:tcBorders>
              <w:bottom w:val="single" w:sz="18" w:space="0" w:color="E98E31" w:themeColor="background2"/>
            </w:tcBorders>
            <w:shd w:val="clear" w:color="auto" w:fill="auto"/>
            <w:noWrap/>
            <w:vAlign w:val="center"/>
          </w:tcPr>
          <w:p w:rsidR="0003502D" w:rsidRPr="005607FD" w:rsidRDefault="0003502D" w:rsidP="00D31A73">
            <w:pPr>
              <w:spacing w:before="120" w:after="120"/>
              <w:jc w:val="center"/>
              <w:rPr>
                <w:b/>
                <w:bCs/>
                <w:color w:val="000000"/>
                <w:szCs w:val="22"/>
              </w:rPr>
            </w:pPr>
            <w:r w:rsidRPr="005607FD">
              <w:rPr>
                <w:b/>
                <w:bCs/>
                <w:color w:val="000000"/>
                <w:szCs w:val="22"/>
              </w:rPr>
              <w:t>Date</w:t>
            </w:r>
          </w:p>
        </w:tc>
        <w:tc>
          <w:tcPr>
            <w:tcW w:w="737" w:type="dxa"/>
            <w:tcBorders>
              <w:bottom w:val="single" w:sz="18" w:space="0" w:color="E98E31" w:themeColor="background2"/>
            </w:tcBorders>
          </w:tcPr>
          <w:p w:rsidR="0003502D" w:rsidRPr="005607FD" w:rsidRDefault="0003502D" w:rsidP="00D31A73">
            <w:pPr>
              <w:spacing w:before="120" w:after="120"/>
              <w:jc w:val="center"/>
              <w:rPr>
                <w:b/>
                <w:bCs/>
                <w:color w:val="000000"/>
                <w:szCs w:val="22"/>
              </w:rPr>
            </w:pPr>
          </w:p>
        </w:tc>
        <w:tc>
          <w:tcPr>
            <w:tcW w:w="737" w:type="dxa"/>
            <w:tcBorders>
              <w:bottom w:val="single" w:sz="18" w:space="0" w:color="E98E31" w:themeColor="background2"/>
            </w:tcBorders>
            <w:shd w:val="clear" w:color="auto" w:fill="auto"/>
            <w:noWrap/>
            <w:vAlign w:val="center"/>
          </w:tcPr>
          <w:p w:rsidR="0003502D" w:rsidRPr="005607FD" w:rsidRDefault="0003502D" w:rsidP="00D31A73">
            <w:pPr>
              <w:spacing w:before="120" w:after="120"/>
              <w:jc w:val="center"/>
              <w:rPr>
                <w:b/>
                <w:bCs/>
                <w:color w:val="000000"/>
                <w:szCs w:val="22"/>
              </w:rPr>
            </w:pPr>
            <w:r w:rsidRPr="005607FD">
              <w:rPr>
                <w:b/>
                <w:bCs/>
                <w:color w:val="000000"/>
                <w:szCs w:val="22"/>
              </w:rPr>
              <w:t>AAA</w:t>
            </w:r>
          </w:p>
        </w:tc>
        <w:tc>
          <w:tcPr>
            <w:tcW w:w="737" w:type="dxa"/>
            <w:tcBorders>
              <w:bottom w:val="single" w:sz="18" w:space="0" w:color="E98E31" w:themeColor="background2"/>
            </w:tcBorders>
            <w:shd w:val="clear" w:color="auto" w:fill="auto"/>
            <w:noWrap/>
            <w:vAlign w:val="center"/>
          </w:tcPr>
          <w:p w:rsidR="0003502D" w:rsidRPr="005607FD" w:rsidRDefault="0003502D" w:rsidP="00D31A73">
            <w:pPr>
              <w:spacing w:before="120" w:after="120"/>
              <w:jc w:val="center"/>
              <w:rPr>
                <w:b/>
                <w:bCs/>
                <w:color w:val="000000"/>
                <w:szCs w:val="22"/>
              </w:rPr>
            </w:pPr>
            <w:r w:rsidRPr="005607FD">
              <w:rPr>
                <w:b/>
                <w:bCs/>
                <w:color w:val="000000"/>
                <w:szCs w:val="22"/>
              </w:rPr>
              <w:t>AA</w:t>
            </w:r>
          </w:p>
        </w:tc>
        <w:tc>
          <w:tcPr>
            <w:tcW w:w="737" w:type="dxa"/>
            <w:tcBorders>
              <w:bottom w:val="single" w:sz="18" w:space="0" w:color="E98E31" w:themeColor="background2"/>
            </w:tcBorders>
            <w:shd w:val="clear" w:color="auto" w:fill="auto"/>
            <w:noWrap/>
            <w:vAlign w:val="center"/>
          </w:tcPr>
          <w:p w:rsidR="0003502D" w:rsidRPr="005607FD" w:rsidRDefault="0003502D" w:rsidP="00D31A73">
            <w:pPr>
              <w:spacing w:before="120" w:after="120"/>
              <w:jc w:val="center"/>
              <w:rPr>
                <w:color w:val="000000"/>
                <w:szCs w:val="22"/>
              </w:rPr>
            </w:pPr>
            <w:r w:rsidRPr="005607FD">
              <w:rPr>
                <w:b/>
                <w:bCs/>
                <w:color w:val="000000"/>
                <w:szCs w:val="22"/>
              </w:rPr>
              <w:t>A</w:t>
            </w:r>
          </w:p>
        </w:tc>
        <w:tc>
          <w:tcPr>
            <w:tcW w:w="737" w:type="dxa"/>
            <w:tcBorders>
              <w:bottom w:val="single" w:sz="18" w:space="0" w:color="E98E31" w:themeColor="background2"/>
            </w:tcBorders>
            <w:shd w:val="clear" w:color="auto" w:fill="auto"/>
            <w:noWrap/>
            <w:vAlign w:val="center"/>
          </w:tcPr>
          <w:p w:rsidR="0003502D" w:rsidRPr="005607FD" w:rsidRDefault="0003502D" w:rsidP="00D31A73">
            <w:pPr>
              <w:spacing w:before="120" w:after="120"/>
              <w:jc w:val="center"/>
              <w:rPr>
                <w:color w:val="000000"/>
                <w:szCs w:val="22"/>
              </w:rPr>
            </w:pPr>
            <w:r w:rsidRPr="005607FD">
              <w:rPr>
                <w:b/>
                <w:bCs/>
                <w:color w:val="000000"/>
                <w:szCs w:val="22"/>
              </w:rPr>
              <w:t>BBB</w:t>
            </w:r>
          </w:p>
        </w:tc>
        <w:tc>
          <w:tcPr>
            <w:tcW w:w="737" w:type="dxa"/>
            <w:tcBorders>
              <w:bottom w:val="single" w:sz="18" w:space="0" w:color="E98E31" w:themeColor="background2"/>
            </w:tcBorders>
            <w:shd w:val="clear" w:color="auto" w:fill="auto"/>
            <w:noWrap/>
            <w:vAlign w:val="center"/>
          </w:tcPr>
          <w:p w:rsidR="0003502D" w:rsidRPr="005607FD" w:rsidRDefault="0003502D" w:rsidP="00D31A73">
            <w:pPr>
              <w:spacing w:before="120" w:after="120"/>
              <w:jc w:val="center"/>
              <w:rPr>
                <w:color w:val="000000"/>
                <w:szCs w:val="22"/>
              </w:rPr>
            </w:pPr>
            <w:r w:rsidRPr="005607FD">
              <w:rPr>
                <w:b/>
                <w:bCs/>
                <w:color w:val="000000"/>
                <w:szCs w:val="22"/>
              </w:rPr>
              <w:t>BB</w:t>
            </w:r>
          </w:p>
        </w:tc>
        <w:tc>
          <w:tcPr>
            <w:tcW w:w="737" w:type="dxa"/>
            <w:tcBorders>
              <w:bottom w:val="single" w:sz="18" w:space="0" w:color="E98E31" w:themeColor="background2"/>
            </w:tcBorders>
            <w:shd w:val="clear" w:color="auto" w:fill="auto"/>
            <w:noWrap/>
            <w:vAlign w:val="center"/>
          </w:tcPr>
          <w:p w:rsidR="0003502D" w:rsidRPr="005607FD" w:rsidRDefault="0003502D" w:rsidP="00D31A73">
            <w:pPr>
              <w:spacing w:before="120" w:after="120"/>
              <w:jc w:val="center"/>
              <w:rPr>
                <w:color w:val="000000"/>
                <w:szCs w:val="22"/>
              </w:rPr>
            </w:pPr>
            <w:r w:rsidRPr="005607FD">
              <w:rPr>
                <w:b/>
                <w:bCs/>
                <w:color w:val="000000"/>
                <w:szCs w:val="22"/>
              </w:rPr>
              <w:t>B</w:t>
            </w:r>
          </w:p>
        </w:tc>
        <w:tc>
          <w:tcPr>
            <w:tcW w:w="737" w:type="dxa"/>
            <w:tcBorders>
              <w:bottom w:val="single" w:sz="18" w:space="0" w:color="E98E31" w:themeColor="background2"/>
            </w:tcBorders>
            <w:vAlign w:val="center"/>
          </w:tcPr>
          <w:p w:rsidR="0003502D" w:rsidRPr="005607FD" w:rsidRDefault="0003502D" w:rsidP="00D31A73">
            <w:pPr>
              <w:spacing w:before="120" w:after="120"/>
              <w:jc w:val="center"/>
              <w:rPr>
                <w:b/>
                <w:color w:val="000000"/>
                <w:szCs w:val="22"/>
              </w:rPr>
            </w:pPr>
            <w:r>
              <w:rPr>
                <w:b/>
                <w:color w:val="000000"/>
                <w:szCs w:val="22"/>
              </w:rPr>
              <w:t>CCC</w:t>
            </w:r>
          </w:p>
        </w:tc>
        <w:tc>
          <w:tcPr>
            <w:tcW w:w="737" w:type="dxa"/>
            <w:tcBorders>
              <w:bottom w:val="single" w:sz="18" w:space="0" w:color="E98E31" w:themeColor="background2"/>
            </w:tcBorders>
          </w:tcPr>
          <w:p w:rsidR="0003502D" w:rsidRDefault="0003502D" w:rsidP="00D31A73">
            <w:pPr>
              <w:spacing w:before="120" w:after="120"/>
              <w:jc w:val="center"/>
              <w:rPr>
                <w:b/>
                <w:color w:val="000000"/>
                <w:szCs w:val="22"/>
              </w:rPr>
            </w:pPr>
            <w:r>
              <w:rPr>
                <w:b/>
                <w:color w:val="000000"/>
                <w:szCs w:val="22"/>
              </w:rPr>
              <w:t>CC</w:t>
            </w:r>
          </w:p>
        </w:tc>
        <w:tc>
          <w:tcPr>
            <w:tcW w:w="737" w:type="dxa"/>
            <w:tcBorders>
              <w:bottom w:val="single" w:sz="18" w:space="0" w:color="E98E31" w:themeColor="background2"/>
            </w:tcBorders>
            <w:shd w:val="clear" w:color="auto" w:fill="auto"/>
            <w:noWrap/>
            <w:vAlign w:val="center"/>
          </w:tcPr>
          <w:p w:rsidR="0003502D" w:rsidRPr="005607FD" w:rsidRDefault="0003502D" w:rsidP="00D31A73">
            <w:pPr>
              <w:spacing w:before="120" w:after="120"/>
              <w:jc w:val="center"/>
              <w:rPr>
                <w:b/>
                <w:color w:val="000000"/>
                <w:szCs w:val="22"/>
              </w:rPr>
            </w:pPr>
            <w:r>
              <w:rPr>
                <w:b/>
                <w:color w:val="000000"/>
                <w:szCs w:val="22"/>
              </w:rPr>
              <w:t>C</w:t>
            </w:r>
          </w:p>
        </w:tc>
        <w:tc>
          <w:tcPr>
            <w:tcW w:w="737" w:type="dxa"/>
            <w:tcBorders>
              <w:bottom w:val="single" w:sz="18" w:space="0" w:color="E98E31" w:themeColor="background2"/>
            </w:tcBorders>
          </w:tcPr>
          <w:p w:rsidR="0003502D" w:rsidRDefault="0003502D" w:rsidP="00D31A73">
            <w:pPr>
              <w:spacing w:before="120" w:after="120"/>
              <w:jc w:val="center"/>
              <w:rPr>
                <w:b/>
                <w:color w:val="000000"/>
                <w:szCs w:val="22"/>
              </w:rPr>
            </w:pPr>
            <w:r>
              <w:rPr>
                <w:b/>
                <w:color w:val="000000"/>
                <w:szCs w:val="22"/>
              </w:rPr>
              <w:t>D</w:t>
            </w:r>
          </w:p>
        </w:tc>
        <w:tc>
          <w:tcPr>
            <w:tcW w:w="737" w:type="dxa"/>
            <w:tcBorders>
              <w:bottom w:val="single" w:sz="18" w:space="0" w:color="E98E31" w:themeColor="background2"/>
            </w:tcBorders>
          </w:tcPr>
          <w:p w:rsidR="0003502D" w:rsidRDefault="0003502D" w:rsidP="00D31A73">
            <w:pPr>
              <w:spacing w:before="120" w:after="120"/>
              <w:jc w:val="center"/>
              <w:rPr>
                <w:b/>
                <w:color w:val="000000"/>
                <w:szCs w:val="22"/>
              </w:rPr>
            </w:pPr>
            <w:r>
              <w:rPr>
                <w:b/>
                <w:color w:val="000000"/>
                <w:szCs w:val="22"/>
              </w:rPr>
              <w:t>E</w:t>
            </w:r>
          </w:p>
        </w:tc>
      </w:tr>
      <w:tr w:rsidR="0003502D" w:rsidRPr="006379F0" w:rsidTr="0062310C">
        <w:trPr>
          <w:trHeight w:val="300"/>
        </w:trPr>
        <w:tc>
          <w:tcPr>
            <w:tcW w:w="772" w:type="dxa"/>
            <w:tcBorders>
              <w:top w:val="single" w:sz="18" w:space="0" w:color="E98E31" w:themeColor="background2"/>
            </w:tcBorders>
            <w:shd w:val="clear" w:color="auto" w:fill="auto"/>
            <w:noWrap/>
          </w:tcPr>
          <w:p w:rsidR="0003502D" w:rsidRPr="006379F0" w:rsidRDefault="0003502D" w:rsidP="00F900B1">
            <w:pPr>
              <w:spacing w:before="120" w:after="120"/>
              <w:jc w:val="center"/>
              <w:rPr>
                <w:color w:val="000000"/>
                <w:szCs w:val="22"/>
              </w:rPr>
            </w:pPr>
            <w:r>
              <w:rPr>
                <w:color w:val="000000"/>
                <w:szCs w:val="22"/>
              </w:rPr>
              <w:t>2007</w:t>
            </w:r>
          </w:p>
        </w:tc>
        <w:tc>
          <w:tcPr>
            <w:tcW w:w="737" w:type="dxa"/>
            <w:tcBorders>
              <w:top w:val="single" w:sz="18" w:space="0" w:color="E98E31" w:themeColor="background2"/>
            </w:tcBorders>
          </w:tcPr>
          <w:p w:rsidR="0003502D" w:rsidRDefault="0003502D" w:rsidP="00E4752B">
            <w:pPr>
              <w:jc w:val="center"/>
              <w:rPr>
                <w:rFonts w:ascii="Calibri" w:hAnsi="Calibri"/>
                <w:color w:val="000000"/>
                <w:szCs w:val="22"/>
              </w:rPr>
            </w:pPr>
          </w:p>
        </w:tc>
        <w:tc>
          <w:tcPr>
            <w:tcW w:w="737" w:type="dxa"/>
            <w:tcBorders>
              <w:top w:val="single" w:sz="18" w:space="0" w:color="E98E31" w:themeColor="background2"/>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7</w:t>
            </w:r>
          </w:p>
        </w:tc>
        <w:tc>
          <w:tcPr>
            <w:tcW w:w="737" w:type="dxa"/>
            <w:tcBorders>
              <w:top w:val="single" w:sz="18" w:space="0" w:color="E98E31" w:themeColor="background2"/>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19</w:t>
            </w:r>
          </w:p>
        </w:tc>
        <w:tc>
          <w:tcPr>
            <w:tcW w:w="737" w:type="dxa"/>
            <w:tcBorders>
              <w:top w:val="single" w:sz="18" w:space="0" w:color="E98E31" w:themeColor="background2"/>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52</w:t>
            </w:r>
          </w:p>
        </w:tc>
        <w:tc>
          <w:tcPr>
            <w:tcW w:w="737" w:type="dxa"/>
            <w:tcBorders>
              <w:top w:val="single" w:sz="18" w:space="0" w:color="E98E31" w:themeColor="background2"/>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139</w:t>
            </w:r>
          </w:p>
        </w:tc>
        <w:tc>
          <w:tcPr>
            <w:tcW w:w="737" w:type="dxa"/>
            <w:tcBorders>
              <w:top w:val="single" w:sz="18" w:space="0" w:color="E98E31" w:themeColor="background2"/>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203</w:t>
            </w:r>
          </w:p>
        </w:tc>
        <w:tc>
          <w:tcPr>
            <w:tcW w:w="737" w:type="dxa"/>
            <w:tcBorders>
              <w:top w:val="single" w:sz="18" w:space="0" w:color="E98E31" w:themeColor="background2"/>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178</w:t>
            </w:r>
          </w:p>
        </w:tc>
        <w:tc>
          <w:tcPr>
            <w:tcW w:w="737" w:type="dxa"/>
            <w:tcBorders>
              <w:top w:val="single" w:sz="18" w:space="0" w:color="E98E31" w:themeColor="background2"/>
            </w:tcBorders>
            <w:shd w:val="clear" w:color="auto" w:fill="auto"/>
            <w:vAlign w:val="center"/>
          </w:tcPr>
          <w:p w:rsidR="0003502D" w:rsidRDefault="0003502D" w:rsidP="00E4752B">
            <w:pPr>
              <w:jc w:val="center"/>
              <w:rPr>
                <w:rFonts w:ascii="Calibri" w:hAnsi="Calibri"/>
                <w:color w:val="000000"/>
                <w:szCs w:val="22"/>
              </w:rPr>
            </w:pPr>
            <w:r>
              <w:rPr>
                <w:rFonts w:ascii="Calibri" w:hAnsi="Calibri"/>
                <w:color w:val="000000"/>
                <w:szCs w:val="22"/>
              </w:rPr>
              <w:t>73</w:t>
            </w:r>
          </w:p>
        </w:tc>
        <w:tc>
          <w:tcPr>
            <w:tcW w:w="737" w:type="dxa"/>
            <w:tcBorders>
              <w:top w:val="single" w:sz="18" w:space="0" w:color="E98E31" w:themeColor="background2"/>
            </w:tcBorders>
            <w:vAlign w:val="center"/>
          </w:tcPr>
          <w:p w:rsidR="0003502D" w:rsidRDefault="0003502D" w:rsidP="00E4752B">
            <w:pPr>
              <w:jc w:val="center"/>
              <w:rPr>
                <w:rFonts w:ascii="Calibri" w:hAnsi="Calibri"/>
                <w:color w:val="000000"/>
                <w:szCs w:val="22"/>
              </w:rPr>
            </w:pPr>
            <w:r>
              <w:rPr>
                <w:rFonts w:ascii="Calibri" w:hAnsi="Calibri"/>
                <w:color w:val="000000"/>
                <w:szCs w:val="22"/>
              </w:rPr>
              <w:t>26</w:t>
            </w:r>
          </w:p>
        </w:tc>
        <w:tc>
          <w:tcPr>
            <w:tcW w:w="737" w:type="dxa"/>
            <w:tcBorders>
              <w:top w:val="single" w:sz="18" w:space="0" w:color="E98E31" w:themeColor="background2"/>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4</w:t>
            </w:r>
          </w:p>
        </w:tc>
        <w:tc>
          <w:tcPr>
            <w:tcW w:w="737" w:type="dxa"/>
            <w:tcBorders>
              <w:top w:val="single" w:sz="18" w:space="0" w:color="E98E31" w:themeColor="background2"/>
            </w:tcBorders>
            <w:vAlign w:val="center"/>
          </w:tcPr>
          <w:p w:rsidR="0003502D" w:rsidRDefault="0003502D" w:rsidP="00E4752B">
            <w:pPr>
              <w:jc w:val="center"/>
              <w:rPr>
                <w:rFonts w:ascii="Calibri" w:hAnsi="Calibri"/>
                <w:color w:val="000000"/>
                <w:szCs w:val="22"/>
              </w:rPr>
            </w:pPr>
            <w:r>
              <w:rPr>
                <w:rFonts w:ascii="Calibri" w:hAnsi="Calibri"/>
                <w:color w:val="000000"/>
                <w:szCs w:val="22"/>
              </w:rPr>
              <w:t>1</w:t>
            </w:r>
          </w:p>
        </w:tc>
        <w:tc>
          <w:tcPr>
            <w:tcW w:w="737" w:type="dxa"/>
            <w:tcBorders>
              <w:top w:val="single" w:sz="18" w:space="0" w:color="E98E31" w:themeColor="background2"/>
            </w:tcBorders>
            <w:vAlign w:val="center"/>
          </w:tcPr>
          <w:p w:rsidR="0003502D" w:rsidRDefault="0003502D" w:rsidP="00E4752B">
            <w:pPr>
              <w:jc w:val="center"/>
              <w:rPr>
                <w:rFonts w:ascii="Calibri" w:hAnsi="Calibri"/>
                <w:color w:val="000000"/>
                <w:szCs w:val="22"/>
              </w:rPr>
            </w:pPr>
            <w:r>
              <w:rPr>
                <w:rFonts w:ascii="Calibri" w:hAnsi="Calibri"/>
                <w:color w:val="000000"/>
                <w:szCs w:val="22"/>
              </w:rPr>
              <w:t>n.a.</w:t>
            </w:r>
          </w:p>
        </w:tc>
      </w:tr>
      <w:tr w:rsidR="0003502D" w:rsidRPr="006379F0" w:rsidTr="0062310C">
        <w:trPr>
          <w:trHeight w:val="300"/>
        </w:trPr>
        <w:tc>
          <w:tcPr>
            <w:tcW w:w="772" w:type="dxa"/>
            <w:shd w:val="clear" w:color="auto" w:fill="auto"/>
            <w:noWrap/>
          </w:tcPr>
          <w:p w:rsidR="0003502D" w:rsidRPr="006379F0" w:rsidRDefault="0003502D" w:rsidP="006379F0">
            <w:pPr>
              <w:spacing w:before="120" w:after="120"/>
              <w:jc w:val="center"/>
              <w:rPr>
                <w:color w:val="000000"/>
                <w:szCs w:val="22"/>
              </w:rPr>
            </w:pPr>
            <w:r>
              <w:rPr>
                <w:color w:val="000000"/>
                <w:szCs w:val="22"/>
              </w:rPr>
              <w:t>2008</w:t>
            </w:r>
          </w:p>
        </w:tc>
        <w:tc>
          <w:tcPr>
            <w:tcW w:w="737" w:type="dxa"/>
          </w:tcPr>
          <w:p w:rsidR="0003502D" w:rsidRDefault="0003502D" w:rsidP="00E4752B">
            <w:pPr>
              <w:jc w:val="center"/>
              <w:rPr>
                <w:rFonts w:ascii="Calibri" w:hAnsi="Calibri"/>
                <w:color w:val="000000"/>
                <w:szCs w:val="22"/>
              </w:rPr>
            </w:pPr>
          </w:p>
        </w:tc>
        <w:tc>
          <w:tcPr>
            <w:tcW w:w="737" w:type="dxa"/>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0</w:t>
            </w:r>
          </w:p>
        </w:tc>
        <w:tc>
          <w:tcPr>
            <w:tcW w:w="737" w:type="dxa"/>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10</w:t>
            </w:r>
          </w:p>
        </w:tc>
        <w:tc>
          <w:tcPr>
            <w:tcW w:w="737" w:type="dxa"/>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25</w:t>
            </w:r>
          </w:p>
        </w:tc>
        <w:tc>
          <w:tcPr>
            <w:tcW w:w="737" w:type="dxa"/>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91</w:t>
            </w:r>
          </w:p>
        </w:tc>
        <w:tc>
          <w:tcPr>
            <w:tcW w:w="737" w:type="dxa"/>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185</w:t>
            </w:r>
          </w:p>
        </w:tc>
        <w:tc>
          <w:tcPr>
            <w:tcW w:w="737" w:type="dxa"/>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167</w:t>
            </w:r>
          </w:p>
        </w:tc>
        <w:tc>
          <w:tcPr>
            <w:tcW w:w="737" w:type="dxa"/>
            <w:shd w:val="clear" w:color="auto" w:fill="auto"/>
            <w:vAlign w:val="center"/>
          </w:tcPr>
          <w:p w:rsidR="0003502D" w:rsidRDefault="0003502D" w:rsidP="00E4752B">
            <w:pPr>
              <w:jc w:val="center"/>
              <w:rPr>
                <w:rFonts w:ascii="Calibri" w:hAnsi="Calibri"/>
                <w:color w:val="000000"/>
                <w:szCs w:val="22"/>
              </w:rPr>
            </w:pPr>
            <w:r>
              <w:rPr>
                <w:rFonts w:ascii="Calibri" w:hAnsi="Calibri"/>
                <w:color w:val="000000"/>
                <w:szCs w:val="22"/>
              </w:rPr>
              <w:t>107</w:t>
            </w:r>
          </w:p>
        </w:tc>
        <w:tc>
          <w:tcPr>
            <w:tcW w:w="737" w:type="dxa"/>
            <w:vAlign w:val="center"/>
          </w:tcPr>
          <w:p w:rsidR="0003502D" w:rsidRDefault="0003502D" w:rsidP="00E4752B">
            <w:pPr>
              <w:jc w:val="center"/>
              <w:rPr>
                <w:rFonts w:ascii="Calibri" w:hAnsi="Calibri"/>
                <w:color w:val="000000"/>
                <w:szCs w:val="22"/>
              </w:rPr>
            </w:pPr>
            <w:r>
              <w:rPr>
                <w:rFonts w:ascii="Calibri" w:hAnsi="Calibri"/>
                <w:color w:val="000000"/>
                <w:szCs w:val="22"/>
              </w:rPr>
              <w:t>50</w:t>
            </w:r>
          </w:p>
        </w:tc>
        <w:tc>
          <w:tcPr>
            <w:tcW w:w="737" w:type="dxa"/>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15</w:t>
            </w:r>
          </w:p>
        </w:tc>
        <w:tc>
          <w:tcPr>
            <w:tcW w:w="737" w:type="dxa"/>
            <w:vAlign w:val="center"/>
          </w:tcPr>
          <w:p w:rsidR="0003502D" w:rsidRDefault="0003502D" w:rsidP="00E4752B">
            <w:pPr>
              <w:jc w:val="center"/>
              <w:rPr>
                <w:rFonts w:ascii="Calibri" w:hAnsi="Calibri"/>
                <w:color w:val="000000"/>
                <w:szCs w:val="22"/>
              </w:rPr>
            </w:pPr>
            <w:r>
              <w:rPr>
                <w:rFonts w:ascii="Calibri" w:hAnsi="Calibri"/>
                <w:color w:val="000000"/>
                <w:szCs w:val="22"/>
              </w:rPr>
              <w:t>3</w:t>
            </w:r>
          </w:p>
        </w:tc>
        <w:tc>
          <w:tcPr>
            <w:tcW w:w="737" w:type="dxa"/>
            <w:vAlign w:val="center"/>
          </w:tcPr>
          <w:p w:rsidR="0003502D" w:rsidRDefault="0003502D" w:rsidP="00682485">
            <w:pPr>
              <w:jc w:val="center"/>
            </w:pPr>
            <w:r w:rsidRPr="006842E2">
              <w:rPr>
                <w:rFonts w:ascii="Calibri" w:hAnsi="Calibri"/>
                <w:color w:val="000000"/>
                <w:szCs w:val="22"/>
              </w:rPr>
              <w:t>n.a.</w:t>
            </w:r>
          </w:p>
        </w:tc>
      </w:tr>
      <w:tr w:rsidR="0003502D" w:rsidRPr="006379F0" w:rsidTr="0062310C">
        <w:trPr>
          <w:trHeight w:val="300"/>
        </w:trPr>
        <w:tc>
          <w:tcPr>
            <w:tcW w:w="772" w:type="dxa"/>
            <w:tcBorders>
              <w:bottom w:val="single" w:sz="4" w:space="0" w:color="auto"/>
            </w:tcBorders>
            <w:shd w:val="clear" w:color="auto" w:fill="auto"/>
            <w:noWrap/>
          </w:tcPr>
          <w:p w:rsidR="0003502D" w:rsidRPr="006379F0" w:rsidRDefault="0003502D" w:rsidP="006379F0">
            <w:pPr>
              <w:spacing w:before="120" w:after="120"/>
              <w:jc w:val="center"/>
              <w:rPr>
                <w:color w:val="000000"/>
                <w:szCs w:val="22"/>
              </w:rPr>
            </w:pPr>
            <w:r>
              <w:rPr>
                <w:color w:val="000000"/>
                <w:szCs w:val="22"/>
              </w:rPr>
              <w:t>2009</w:t>
            </w:r>
          </w:p>
        </w:tc>
        <w:tc>
          <w:tcPr>
            <w:tcW w:w="737" w:type="dxa"/>
            <w:tcBorders>
              <w:bottom w:val="single" w:sz="4" w:space="0" w:color="auto"/>
            </w:tcBorders>
          </w:tcPr>
          <w:p w:rsidR="0003502D" w:rsidRDefault="0003502D" w:rsidP="00E4752B">
            <w:pPr>
              <w:jc w:val="center"/>
              <w:rPr>
                <w:rFonts w:ascii="Calibri" w:hAnsi="Calibri"/>
                <w:color w:val="000000"/>
                <w:szCs w:val="22"/>
              </w:rPr>
            </w:pPr>
          </w:p>
        </w:tc>
        <w:tc>
          <w:tcPr>
            <w:tcW w:w="737" w:type="dxa"/>
            <w:tcBorders>
              <w:bottom w:val="single" w:sz="4" w:space="0" w:color="auto"/>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0</w:t>
            </w:r>
          </w:p>
        </w:tc>
        <w:tc>
          <w:tcPr>
            <w:tcW w:w="737" w:type="dxa"/>
            <w:tcBorders>
              <w:bottom w:val="single" w:sz="4" w:space="0" w:color="auto"/>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11</w:t>
            </w:r>
          </w:p>
        </w:tc>
        <w:tc>
          <w:tcPr>
            <w:tcW w:w="737" w:type="dxa"/>
            <w:tcBorders>
              <w:bottom w:val="single" w:sz="4" w:space="0" w:color="auto"/>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63</w:t>
            </w:r>
          </w:p>
        </w:tc>
        <w:tc>
          <w:tcPr>
            <w:tcW w:w="737" w:type="dxa"/>
            <w:tcBorders>
              <w:bottom w:val="single" w:sz="4" w:space="0" w:color="auto"/>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201</w:t>
            </w:r>
          </w:p>
        </w:tc>
        <w:tc>
          <w:tcPr>
            <w:tcW w:w="737" w:type="dxa"/>
            <w:tcBorders>
              <w:bottom w:val="single" w:sz="4" w:space="0" w:color="auto"/>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350</w:t>
            </w:r>
          </w:p>
        </w:tc>
        <w:tc>
          <w:tcPr>
            <w:tcW w:w="737" w:type="dxa"/>
            <w:tcBorders>
              <w:bottom w:val="single" w:sz="4" w:space="0" w:color="auto"/>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349</w:t>
            </w:r>
          </w:p>
        </w:tc>
        <w:tc>
          <w:tcPr>
            <w:tcW w:w="737" w:type="dxa"/>
            <w:tcBorders>
              <w:bottom w:val="single" w:sz="4" w:space="0" w:color="auto"/>
            </w:tcBorders>
            <w:shd w:val="clear" w:color="auto" w:fill="auto"/>
            <w:vAlign w:val="center"/>
          </w:tcPr>
          <w:p w:rsidR="0003502D" w:rsidRDefault="0003502D" w:rsidP="00E4752B">
            <w:pPr>
              <w:jc w:val="center"/>
              <w:rPr>
                <w:rFonts w:ascii="Calibri" w:hAnsi="Calibri"/>
                <w:color w:val="000000"/>
                <w:szCs w:val="22"/>
              </w:rPr>
            </w:pPr>
            <w:r>
              <w:rPr>
                <w:rFonts w:ascii="Calibri" w:hAnsi="Calibri"/>
                <w:color w:val="000000"/>
                <w:szCs w:val="22"/>
              </w:rPr>
              <w:t>190</w:t>
            </w:r>
          </w:p>
        </w:tc>
        <w:tc>
          <w:tcPr>
            <w:tcW w:w="737" w:type="dxa"/>
            <w:tcBorders>
              <w:bottom w:val="single" w:sz="4" w:space="0" w:color="auto"/>
            </w:tcBorders>
            <w:vAlign w:val="center"/>
          </w:tcPr>
          <w:p w:rsidR="0003502D" w:rsidRDefault="0003502D" w:rsidP="00E4752B">
            <w:pPr>
              <w:jc w:val="center"/>
              <w:rPr>
                <w:rFonts w:ascii="Calibri" w:hAnsi="Calibri"/>
                <w:color w:val="000000"/>
                <w:szCs w:val="22"/>
              </w:rPr>
            </w:pPr>
            <w:r>
              <w:rPr>
                <w:rFonts w:ascii="Calibri" w:hAnsi="Calibri"/>
                <w:color w:val="000000"/>
                <w:szCs w:val="22"/>
              </w:rPr>
              <w:t>94</w:t>
            </w:r>
          </w:p>
        </w:tc>
        <w:tc>
          <w:tcPr>
            <w:tcW w:w="737" w:type="dxa"/>
            <w:tcBorders>
              <w:bottom w:val="single" w:sz="4" w:space="0" w:color="auto"/>
            </w:tcBorders>
            <w:shd w:val="clear" w:color="auto" w:fill="auto"/>
            <w:noWrap/>
            <w:vAlign w:val="center"/>
          </w:tcPr>
          <w:p w:rsidR="0003502D" w:rsidRDefault="0003502D" w:rsidP="00E4752B">
            <w:pPr>
              <w:jc w:val="center"/>
              <w:rPr>
                <w:rFonts w:ascii="Calibri" w:hAnsi="Calibri"/>
                <w:color w:val="000000"/>
                <w:szCs w:val="22"/>
              </w:rPr>
            </w:pPr>
            <w:r>
              <w:rPr>
                <w:rFonts w:ascii="Calibri" w:hAnsi="Calibri"/>
                <w:color w:val="000000"/>
                <w:szCs w:val="22"/>
              </w:rPr>
              <w:t>16</w:t>
            </w:r>
          </w:p>
        </w:tc>
        <w:tc>
          <w:tcPr>
            <w:tcW w:w="737" w:type="dxa"/>
            <w:tcBorders>
              <w:bottom w:val="single" w:sz="4" w:space="0" w:color="auto"/>
            </w:tcBorders>
            <w:vAlign w:val="center"/>
          </w:tcPr>
          <w:p w:rsidR="0003502D" w:rsidRDefault="0003502D" w:rsidP="00E4752B">
            <w:pPr>
              <w:jc w:val="center"/>
              <w:rPr>
                <w:rFonts w:ascii="Calibri" w:hAnsi="Calibri"/>
                <w:color w:val="000000"/>
                <w:szCs w:val="22"/>
              </w:rPr>
            </w:pPr>
            <w:r>
              <w:rPr>
                <w:rFonts w:ascii="Calibri" w:hAnsi="Calibri"/>
                <w:color w:val="000000"/>
                <w:szCs w:val="22"/>
              </w:rPr>
              <w:t>9</w:t>
            </w:r>
          </w:p>
        </w:tc>
        <w:tc>
          <w:tcPr>
            <w:tcW w:w="737" w:type="dxa"/>
            <w:tcBorders>
              <w:bottom w:val="single" w:sz="4" w:space="0" w:color="auto"/>
            </w:tcBorders>
            <w:vAlign w:val="center"/>
          </w:tcPr>
          <w:p w:rsidR="0003502D" w:rsidRDefault="0003502D" w:rsidP="00682485">
            <w:pPr>
              <w:jc w:val="center"/>
            </w:pPr>
            <w:r w:rsidRPr="006842E2">
              <w:rPr>
                <w:rFonts w:ascii="Calibri" w:hAnsi="Calibri"/>
                <w:color w:val="000000"/>
                <w:szCs w:val="22"/>
              </w:rPr>
              <w:t>n.a.</w:t>
            </w:r>
          </w:p>
        </w:tc>
      </w:tr>
    </w:tbl>
    <w:p w:rsidR="00D31A73" w:rsidRDefault="00D31A73" w:rsidP="0003502D">
      <w:pPr>
        <w:pStyle w:val="FootnoteText"/>
      </w:pPr>
      <w:r>
        <w:t xml:space="preserve">Source: </w:t>
      </w:r>
      <w:r w:rsidRPr="00B43366">
        <w:t xml:space="preserve">Joint Committee </w:t>
      </w:r>
      <w:r>
        <w:t xml:space="preserve">calculations based on </w:t>
      </w:r>
      <w:r w:rsidR="0030079E">
        <w:t>Axesor</w:t>
      </w:r>
      <w:r>
        <w:t xml:space="preserve"> data </w:t>
      </w:r>
    </w:p>
    <w:p w:rsidR="00DC13AA" w:rsidRDefault="00DC13AA" w:rsidP="00F23934">
      <w:bookmarkStart w:id="18" w:name="_Ref390432137"/>
    </w:p>
    <w:p w:rsidR="006A36AC" w:rsidRDefault="006A36AC" w:rsidP="00DC13AA">
      <w:pPr>
        <w:jc w:val="both"/>
      </w:pPr>
    </w:p>
    <w:p w:rsidR="00DC13AA" w:rsidRDefault="006A36AC" w:rsidP="00DC13AA">
      <w:pPr>
        <w:jc w:val="both"/>
      </w:pPr>
      <w:r>
        <w:t>In order to include a firm in the scoring sample, Axesor requires the following criteria</w:t>
      </w:r>
      <w:r w:rsidR="00DC13AA">
        <w:t>:</w:t>
      </w:r>
    </w:p>
    <w:p w:rsidR="00DC13AA" w:rsidRDefault="00DC13AA" w:rsidP="00DC13AA">
      <w:pPr>
        <w:pStyle w:val="bullet2"/>
      </w:pPr>
      <w:r>
        <w:tab/>
        <w:t xml:space="preserve">The </w:t>
      </w:r>
      <w:r w:rsidR="006A36AC">
        <w:t xml:space="preserve">firm should </w:t>
      </w:r>
      <w:r>
        <w:t>be Spanish</w:t>
      </w:r>
      <w:r w:rsidR="006A36AC">
        <w:t>;</w:t>
      </w:r>
    </w:p>
    <w:p w:rsidR="00DC13AA" w:rsidRDefault="00DC13AA" w:rsidP="00DC13AA">
      <w:pPr>
        <w:pStyle w:val="bullet2"/>
      </w:pPr>
      <w:r>
        <w:tab/>
        <w:t xml:space="preserve">The </w:t>
      </w:r>
      <w:r w:rsidR="006A36AC">
        <w:t xml:space="preserve">firm should have an annual </w:t>
      </w:r>
      <w:r>
        <w:t>turnover between 10 million and 1,500 million €</w:t>
      </w:r>
      <w:r w:rsidR="006A36AC">
        <w:t>;</w:t>
      </w:r>
    </w:p>
    <w:p w:rsidR="00DC13AA" w:rsidRDefault="00DC13AA" w:rsidP="00DC13AA">
      <w:pPr>
        <w:pStyle w:val="bullet2"/>
      </w:pPr>
      <w:r>
        <w:tab/>
        <w:t xml:space="preserve">The </w:t>
      </w:r>
      <w:r w:rsidR="00D3085E">
        <w:t xml:space="preserve">firm should have audited </w:t>
      </w:r>
      <w:r w:rsidR="006A36AC">
        <w:t>financial accounts;</w:t>
      </w:r>
    </w:p>
    <w:p w:rsidR="00DC13AA" w:rsidRDefault="00D3085E" w:rsidP="00DC13AA">
      <w:pPr>
        <w:pStyle w:val="bullet2"/>
      </w:pPr>
      <w:r>
        <w:t>The firm should have publicly available c</w:t>
      </w:r>
      <w:r w:rsidR="006A36AC">
        <w:t>omplete</w:t>
      </w:r>
      <w:r w:rsidR="00DC13AA">
        <w:t xml:space="preserve"> financial reports</w:t>
      </w:r>
      <w:r>
        <w:t>.</w:t>
      </w:r>
    </w:p>
    <w:p w:rsidR="006A36AC" w:rsidRDefault="006A36AC" w:rsidP="006A36AC">
      <w:pPr>
        <w:jc w:val="both"/>
      </w:pPr>
    </w:p>
    <w:p w:rsidR="00DC13AA" w:rsidRDefault="00DC13AA" w:rsidP="006A36AC">
      <w:pPr>
        <w:jc w:val="both"/>
      </w:pPr>
      <w:r>
        <w:t>In addition to the selection</w:t>
      </w:r>
      <w:r w:rsidR="006A36AC">
        <w:t xml:space="preserve"> criteria</w:t>
      </w:r>
      <w:r>
        <w:t xml:space="preserve">, the sample includes all the companies that are available in Axesor’s database. In that sense, in 2009 the Axesor’s database increased significantly due to the </w:t>
      </w:r>
      <w:r w:rsidR="006A36AC">
        <w:t xml:space="preserve">acquisition of additional financial accounts after the </w:t>
      </w:r>
      <w:r>
        <w:t xml:space="preserve">entry in force of new </w:t>
      </w:r>
      <w:r w:rsidR="006A36AC">
        <w:t>S</w:t>
      </w:r>
      <w:r>
        <w:t>panish accounting law (Plan General Contable) which represented a higher quality standard and greater commercial interest for financial information.</w:t>
      </w:r>
    </w:p>
    <w:p w:rsidR="001834DC" w:rsidRDefault="00F23934" w:rsidP="00DC13AA">
      <w:pPr>
        <w:jc w:val="both"/>
        <w:sectPr w:rsidR="001834DC" w:rsidSect="00863721">
          <w:headerReference w:type="even" r:id="rId27"/>
          <w:headerReference w:type="default" r:id="rId28"/>
          <w:footerReference w:type="even" r:id="rId29"/>
          <w:footerReference w:type="default" r:id="rId30"/>
          <w:headerReference w:type="first" r:id="rId31"/>
          <w:footerReference w:type="first" r:id="rId32"/>
          <w:type w:val="continuous"/>
          <w:pgSz w:w="11900" w:h="16840"/>
          <w:pgMar w:top="2268" w:right="1418" w:bottom="1134" w:left="1701" w:header="709" w:footer="709" w:gutter="0"/>
          <w:cols w:space="708"/>
          <w:titlePg/>
          <w:docGrid w:linePitch="299"/>
        </w:sectPr>
      </w:pPr>
      <w:r>
        <w:br w:type="page"/>
      </w:r>
    </w:p>
    <w:p w:rsidR="00EE3755" w:rsidRPr="00EE3755" w:rsidRDefault="00EE3755" w:rsidP="0003502D">
      <w:pPr>
        <w:pStyle w:val="Figuretitle"/>
      </w:pPr>
      <w:bookmarkStart w:id="19" w:name="_Ref390936292"/>
      <w:bookmarkStart w:id="20" w:name="_Ref390955730"/>
      <w:r w:rsidRPr="00EE3755">
        <w:lastRenderedPageBreak/>
        <w:t xml:space="preserve">Figure </w:t>
      </w:r>
      <w:bookmarkEnd w:id="18"/>
      <w:bookmarkEnd w:id="19"/>
      <w:bookmarkEnd w:id="20"/>
      <w:r w:rsidR="0003502D">
        <w:t>10</w:t>
      </w:r>
      <w:r w:rsidRPr="00EE3755">
        <w:t xml:space="preserve">: </w:t>
      </w:r>
      <w:r w:rsidR="0030079E">
        <w:t>D</w:t>
      </w:r>
      <w:r>
        <w:t xml:space="preserve">istribution of </w:t>
      </w:r>
      <w:r w:rsidR="0092128B">
        <w:t xml:space="preserve">hypothetical </w:t>
      </w:r>
      <w:r>
        <w:t xml:space="preserve">credit ratings </w:t>
      </w:r>
      <w:r w:rsidR="0030079E">
        <w:t xml:space="preserve">(observation year </w:t>
      </w:r>
      <w:r w:rsidR="001031FC">
        <w:t>2007</w:t>
      </w:r>
      <w:r w:rsidR="0030079E">
        <w:t>)</w:t>
      </w:r>
    </w:p>
    <w:tbl>
      <w:tblPr>
        <w:tblStyle w:val="EBAtable"/>
        <w:tblW w:w="8921" w:type="dxa"/>
        <w:tblLayout w:type="fixed"/>
        <w:tblLook w:val="04A0" w:firstRow="1" w:lastRow="0" w:firstColumn="1" w:lastColumn="0" w:noHBand="0" w:noVBand="1"/>
      </w:tblPr>
      <w:tblGrid>
        <w:gridCol w:w="1386"/>
        <w:gridCol w:w="685"/>
        <w:gridCol w:w="685"/>
        <w:gridCol w:w="685"/>
        <w:gridCol w:w="685"/>
        <w:gridCol w:w="685"/>
        <w:gridCol w:w="685"/>
        <w:gridCol w:w="685"/>
        <w:gridCol w:w="685"/>
        <w:gridCol w:w="685"/>
        <w:gridCol w:w="685"/>
        <w:gridCol w:w="685"/>
      </w:tblGrid>
      <w:tr w:rsidR="00530DDB" w:rsidRPr="009C0F76" w:rsidTr="00530DDB">
        <w:trPr>
          <w:cnfStyle w:val="100000000000" w:firstRow="1" w:lastRow="0" w:firstColumn="0" w:lastColumn="0" w:oddVBand="0" w:evenVBand="0" w:oddHBand="0" w:evenHBand="0" w:firstRowFirstColumn="0" w:firstRowLastColumn="0" w:lastRowFirstColumn="0" w:lastRowLastColumn="0"/>
          <w:trHeight w:val="300"/>
        </w:trPr>
        <w:tc>
          <w:tcPr>
            <w:tcW w:w="1386" w:type="dxa"/>
            <w:noWrap/>
            <w:hideMark/>
          </w:tcPr>
          <w:p w:rsidR="00530DDB" w:rsidRPr="006F79FA" w:rsidRDefault="00530DDB" w:rsidP="00F900B1">
            <w:pPr>
              <w:spacing w:before="120" w:after="120"/>
              <w:rPr>
                <w:b/>
                <w:color w:val="000000"/>
                <w:szCs w:val="22"/>
              </w:rPr>
            </w:pPr>
            <w:r>
              <w:rPr>
                <w:b/>
                <w:color w:val="000000"/>
                <w:szCs w:val="22"/>
              </w:rPr>
              <w:t>Credit scoring Axesor</w:t>
            </w:r>
          </w:p>
        </w:tc>
        <w:tc>
          <w:tcPr>
            <w:tcW w:w="685" w:type="dxa"/>
            <w:noWrap/>
            <w:hideMark/>
          </w:tcPr>
          <w:p w:rsidR="00530DDB" w:rsidRPr="009C0F76" w:rsidRDefault="00530DDB" w:rsidP="00EE3755">
            <w:pPr>
              <w:jc w:val="right"/>
              <w:rPr>
                <w:rFonts w:ascii="Calibri" w:hAnsi="Calibri"/>
                <w:b/>
                <w:bCs/>
                <w:color w:val="000000"/>
                <w:szCs w:val="22"/>
                <w:lang w:val="en-US" w:eastAsia="es-ES"/>
              </w:rPr>
            </w:pPr>
            <w:r>
              <w:rPr>
                <w:rFonts w:ascii="Calibri" w:hAnsi="Calibri"/>
                <w:b/>
                <w:bCs/>
                <w:color w:val="000000"/>
                <w:szCs w:val="22"/>
                <w:lang w:val="en-US" w:eastAsia="es-ES"/>
              </w:rPr>
              <w:t>AAA</w:t>
            </w:r>
          </w:p>
        </w:tc>
        <w:tc>
          <w:tcPr>
            <w:tcW w:w="685" w:type="dxa"/>
            <w:noWrap/>
            <w:hideMark/>
          </w:tcPr>
          <w:p w:rsidR="00530DDB" w:rsidRPr="009C0F76" w:rsidRDefault="00530DDB" w:rsidP="00EE3755">
            <w:pPr>
              <w:jc w:val="right"/>
              <w:rPr>
                <w:rFonts w:ascii="Calibri" w:hAnsi="Calibri"/>
                <w:b/>
                <w:bCs/>
                <w:color w:val="000000"/>
                <w:szCs w:val="22"/>
                <w:lang w:val="en-US" w:eastAsia="es-ES"/>
              </w:rPr>
            </w:pPr>
            <w:r>
              <w:rPr>
                <w:rFonts w:ascii="Calibri" w:hAnsi="Calibri"/>
                <w:b/>
                <w:bCs/>
                <w:color w:val="000000"/>
                <w:szCs w:val="22"/>
                <w:lang w:val="en-US" w:eastAsia="es-ES"/>
              </w:rPr>
              <w:t>AA</w:t>
            </w:r>
          </w:p>
        </w:tc>
        <w:tc>
          <w:tcPr>
            <w:tcW w:w="685" w:type="dxa"/>
            <w:noWrap/>
            <w:hideMark/>
          </w:tcPr>
          <w:p w:rsidR="00530DDB" w:rsidRPr="009C0F76" w:rsidRDefault="00530DDB" w:rsidP="00EE3755">
            <w:pPr>
              <w:jc w:val="right"/>
              <w:rPr>
                <w:rFonts w:ascii="Calibri" w:hAnsi="Calibri"/>
                <w:b/>
                <w:bCs/>
                <w:color w:val="000000"/>
                <w:szCs w:val="22"/>
                <w:lang w:val="en-US" w:eastAsia="es-ES"/>
              </w:rPr>
            </w:pPr>
            <w:r>
              <w:rPr>
                <w:rFonts w:ascii="Calibri" w:hAnsi="Calibri"/>
                <w:b/>
                <w:bCs/>
                <w:color w:val="000000"/>
                <w:szCs w:val="22"/>
                <w:lang w:val="en-US" w:eastAsia="es-ES"/>
              </w:rPr>
              <w:t>A</w:t>
            </w:r>
          </w:p>
        </w:tc>
        <w:tc>
          <w:tcPr>
            <w:tcW w:w="685" w:type="dxa"/>
            <w:noWrap/>
            <w:hideMark/>
          </w:tcPr>
          <w:p w:rsidR="00530DDB" w:rsidRPr="009C0F76" w:rsidRDefault="00530DDB" w:rsidP="00EE3755">
            <w:pPr>
              <w:jc w:val="right"/>
              <w:rPr>
                <w:rFonts w:ascii="Calibri" w:hAnsi="Calibri"/>
                <w:b/>
                <w:bCs/>
                <w:color w:val="000000"/>
                <w:szCs w:val="22"/>
                <w:lang w:val="en-US" w:eastAsia="es-ES"/>
              </w:rPr>
            </w:pPr>
            <w:r>
              <w:rPr>
                <w:rFonts w:ascii="Calibri" w:hAnsi="Calibri"/>
                <w:b/>
                <w:bCs/>
                <w:color w:val="000000"/>
                <w:szCs w:val="22"/>
                <w:lang w:val="en-US" w:eastAsia="es-ES"/>
              </w:rPr>
              <w:t>BBB</w:t>
            </w:r>
          </w:p>
        </w:tc>
        <w:tc>
          <w:tcPr>
            <w:tcW w:w="685" w:type="dxa"/>
            <w:noWrap/>
            <w:hideMark/>
          </w:tcPr>
          <w:p w:rsidR="00530DDB" w:rsidRPr="009C0F76" w:rsidRDefault="00530DDB" w:rsidP="00EE3755">
            <w:pPr>
              <w:jc w:val="right"/>
              <w:rPr>
                <w:rFonts w:ascii="Calibri" w:hAnsi="Calibri"/>
                <w:b/>
                <w:bCs/>
                <w:color w:val="000000"/>
                <w:szCs w:val="22"/>
                <w:lang w:val="en-US" w:eastAsia="es-ES"/>
              </w:rPr>
            </w:pPr>
            <w:r>
              <w:rPr>
                <w:rFonts w:ascii="Calibri" w:hAnsi="Calibri"/>
                <w:b/>
                <w:bCs/>
                <w:color w:val="000000"/>
                <w:szCs w:val="22"/>
                <w:lang w:val="en-US" w:eastAsia="es-ES"/>
              </w:rPr>
              <w:t>BB</w:t>
            </w:r>
          </w:p>
        </w:tc>
        <w:tc>
          <w:tcPr>
            <w:tcW w:w="685" w:type="dxa"/>
            <w:noWrap/>
            <w:hideMark/>
          </w:tcPr>
          <w:p w:rsidR="00530DDB" w:rsidRPr="009C0F76" w:rsidRDefault="00530DDB" w:rsidP="00EE3755">
            <w:pPr>
              <w:jc w:val="right"/>
              <w:rPr>
                <w:rFonts w:ascii="Calibri" w:hAnsi="Calibri"/>
                <w:b/>
                <w:bCs/>
                <w:color w:val="000000"/>
                <w:szCs w:val="22"/>
                <w:lang w:val="en-US" w:eastAsia="es-ES"/>
              </w:rPr>
            </w:pPr>
            <w:r>
              <w:rPr>
                <w:rFonts w:ascii="Calibri" w:hAnsi="Calibri"/>
                <w:b/>
                <w:bCs/>
                <w:color w:val="000000"/>
                <w:szCs w:val="22"/>
                <w:lang w:val="en-US" w:eastAsia="es-ES"/>
              </w:rPr>
              <w:t>B</w:t>
            </w:r>
          </w:p>
        </w:tc>
        <w:tc>
          <w:tcPr>
            <w:tcW w:w="685" w:type="dxa"/>
          </w:tcPr>
          <w:p w:rsidR="00530DDB" w:rsidRPr="009C0F76" w:rsidRDefault="00530DDB" w:rsidP="00EE3755">
            <w:pPr>
              <w:jc w:val="right"/>
              <w:rPr>
                <w:rFonts w:ascii="Calibri" w:hAnsi="Calibri"/>
                <w:b/>
                <w:bCs/>
                <w:color w:val="000000"/>
                <w:szCs w:val="22"/>
                <w:lang w:val="en-US" w:eastAsia="es-ES"/>
              </w:rPr>
            </w:pPr>
            <w:r>
              <w:rPr>
                <w:rFonts w:ascii="Calibri" w:hAnsi="Calibri"/>
                <w:b/>
                <w:bCs/>
                <w:color w:val="000000"/>
                <w:szCs w:val="22"/>
                <w:lang w:val="en-US" w:eastAsia="es-ES"/>
              </w:rPr>
              <w:t>CCC</w:t>
            </w:r>
          </w:p>
        </w:tc>
        <w:tc>
          <w:tcPr>
            <w:tcW w:w="685" w:type="dxa"/>
            <w:shd w:val="clear" w:color="auto" w:fill="auto"/>
          </w:tcPr>
          <w:p w:rsidR="00530DDB" w:rsidRDefault="00530DDB" w:rsidP="00F900B1">
            <w:pPr>
              <w:jc w:val="right"/>
              <w:rPr>
                <w:rFonts w:ascii="Calibri" w:hAnsi="Calibri"/>
                <w:b/>
                <w:bCs/>
                <w:color w:val="000000"/>
                <w:szCs w:val="22"/>
                <w:lang w:val="en-US" w:eastAsia="es-ES"/>
              </w:rPr>
            </w:pPr>
            <w:r>
              <w:rPr>
                <w:rFonts w:ascii="Calibri" w:hAnsi="Calibri"/>
                <w:b/>
                <w:bCs/>
                <w:color w:val="000000"/>
                <w:szCs w:val="22"/>
                <w:lang w:val="en-US" w:eastAsia="es-ES"/>
              </w:rPr>
              <w:t>CC</w:t>
            </w:r>
          </w:p>
        </w:tc>
        <w:tc>
          <w:tcPr>
            <w:tcW w:w="685" w:type="dxa"/>
            <w:shd w:val="clear" w:color="auto" w:fill="auto"/>
          </w:tcPr>
          <w:p w:rsidR="00530DDB" w:rsidRDefault="00530DDB" w:rsidP="00EE3755">
            <w:pPr>
              <w:jc w:val="right"/>
              <w:rPr>
                <w:rFonts w:ascii="Calibri" w:hAnsi="Calibri"/>
                <w:b/>
                <w:bCs/>
                <w:color w:val="000000"/>
                <w:szCs w:val="22"/>
                <w:lang w:val="en-US" w:eastAsia="es-ES"/>
              </w:rPr>
            </w:pPr>
            <w:r>
              <w:rPr>
                <w:rFonts w:ascii="Calibri" w:hAnsi="Calibri"/>
                <w:b/>
                <w:bCs/>
                <w:color w:val="000000"/>
                <w:szCs w:val="22"/>
                <w:lang w:val="en-US" w:eastAsia="es-ES"/>
              </w:rPr>
              <w:t>C</w:t>
            </w:r>
          </w:p>
        </w:tc>
        <w:tc>
          <w:tcPr>
            <w:tcW w:w="685" w:type="dxa"/>
          </w:tcPr>
          <w:p w:rsidR="00530DDB" w:rsidRDefault="00530DDB" w:rsidP="00EE3755">
            <w:pPr>
              <w:jc w:val="right"/>
              <w:rPr>
                <w:rFonts w:ascii="Calibri" w:hAnsi="Calibri"/>
                <w:b/>
                <w:bCs/>
                <w:color w:val="000000"/>
                <w:szCs w:val="22"/>
                <w:lang w:val="en-US" w:eastAsia="es-ES"/>
              </w:rPr>
            </w:pPr>
            <w:r>
              <w:rPr>
                <w:rFonts w:ascii="Calibri" w:hAnsi="Calibri"/>
                <w:b/>
                <w:bCs/>
                <w:color w:val="000000"/>
                <w:szCs w:val="22"/>
                <w:lang w:val="en-US" w:eastAsia="es-ES"/>
              </w:rPr>
              <w:t>D</w:t>
            </w:r>
          </w:p>
        </w:tc>
        <w:tc>
          <w:tcPr>
            <w:tcW w:w="685" w:type="dxa"/>
            <w:shd w:val="clear" w:color="auto" w:fill="D9D9D9" w:themeFill="background1" w:themeFillShade="D9"/>
          </w:tcPr>
          <w:p w:rsidR="00530DDB" w:rsidRPr="00F23934" w:rsidRDefault="00530DDB" w:rsidP="00EE3755">
            <w:pPr>
              <w:jc w:val="right"/>
              <w:rPr>
                <w:rFonts w:ascii="Calibri" w:hAnsi="Calibri"/>
                <w:b/>
                <w:bCs/>
                <w:color w:val="000000"/>
                <w:szCs w:val="22"/>
                <w:lang w:val="en-US" w:eastAsia="es-ES"/>
              </w:rPr>
            </w:pPr>
            <w:r w:rsidRPr="00F23934">
              <w:rPr>
                <w:rFonts w:ascii="Calibri" w:hAnsi="Calibri"/>
                <w:b/>
                <w:bCs/>
                <w:color w:val="000000"/>
                <w:szCs w:val="22"/>
                <w:lang w:val="en-US" w:eastAsia="es-ES"/>
              </w:rPr>
              <w:t>Total</w:t>
            </w:r>
          </w:p>
        </w:tc>
      </w:tr>
      <w:tr w:rsidR="00530DDB" w:rsidRPr="009C0F76" w:rsidTr="00530DDB">
        <w:trPr>
          <w:trHeight w:val="300"/>
        </w:trPr>
        <w:tc>
          <w:tcPr>
            <w:tcW w:w="1386" w:type="dxa"/>
            <w:tcBorders>
              <w:bottom w:val="nil"/>
            </w:tcBorders>
            <w:noWrap/>
          </w:tcPr>
          <w:p w:rsidR="00530DDB" w:rsidRPr="006F79FA" w:rsidRDefault="00530DDB" w:rsidP="00F900B1">
            <w:pPr>
              <w:spacing w:before="120" w:after="120"/>
              <w:rPr>
                <w:b/>
                <w:color w:val="000000"/>
                <w:szCs w:val="22"/>
              </w:rPr>
            </w:pPr>
            <w:r>
              <w:rPr>
                <w:b/>
                <w:color w:val="000000"/>
                <w:szCs w:val="22"/>
              </w:rPr>
              <w:t>Hypothetical credit r</w:t>
            </w:r>
            <w:r w:rsidRPr="006F79FA">
              <w:rPr>
                <w:b/>
                <w:color w:val="000000"/>
                <w:szCs w:val="22"/>
              </w:rPr>
              <w:t xml:space="preserve">ating </w:t>
            </w:r>
            <w:r>
              <w:rPr>
                <w:b/>
                <w:color w:val="000000"/>
                <w:szCs w:val="22"/>
              </w:rPr>
              <w:t>Axesor</w:t>
            </w:r>
          </w:p>
        </w:tc>
        <w:tc>
          <w:tcPr>
            <w:tcW w:w="685" w:type="dxa"/>
            <w:tcBorders>
              <w:bottom w:val="nil"/>
            </w:tcBorders>
            <w:noWrap/>
          </w:tcPr>
          <w:p w:rsidR="00530DDB" w:rsidRPr="006576F9" w:rsidRDefault="00530DDB" w:rsidP="00EE3755">
            <w:pPr>
              <w:jc w:val="right"/>
              <w:rPr>
                <w:rFonts w:ascii="Calibri" w:hAnsi="Calibri"/>
                <w:color w:val="000000"/>
                <w:szCs w:val="22"/>
                <w:lang w:val="en-US" w:eastAsia="es-ES"/>
              </w:rPr>
            </w:pPr>
          </w:p>
        </w:tc>
        <w:tc>
          <w:tcPr>
            <w:tcW w:w="685" w:type="dxa"/>
            <w:tcBorders>
              <w:bottom w:val="nil"/>
            </w:tcBorders>
            <w:noWrap/>
          </w:tcPr>
          <w:p w:rsidR="00530DDB" w:rsidRPr="006576F9" w:rsidRDefault="00530DDB" w:rsidP="00EE3755">
            <w:pPr>
              <w:jc w:val="right"/>
              <w:rPr>
                <w:rFonts w:ascii="Calibri" w:hAnsi="Calibri"/>
                <w:color w:val="000000"/>
                <w:szCs w:val="22"/>
                <w:lang w:val="en-US" w:eastAsia="es-ES"/>
              </w:rPr>
            </w:pPr>
          </w:p>
        </w:tc>
        <w:tc>
          <w:tcPr>
            <w:tcW w:w="685" w:type="dxa"/>
            <w:tcBorders>
              <w:bottom w:val="nil"/>
            </w:tcBorders>
            <w:noWrap/>
          </w:tcPr>
          <w:p w:rsidR="00530DDB" w:rsidRPr="006576F9" w:rsidRDefault="00530DDB" w:rsidP="00EE3755">
            <w:pPr>
              <w:jc w:val="right"/>
              <w:rPr>
                <w:rFonts w:ascii="Calibri" w:hAnsi="Calibri"/>
                <w:color w:val="000000"/>
                <w:szCs w:val="22"/>
                <w:lang w:val="en-US" w:eastAsia="es-ES"/>
              </w:rPr>
            </w:pPr>
          </w:p>
        </w:tc>
        <w:tc>
          <w:tcPr>
            <w:tcW w:w="685" w:type="dxa"/>
            <w:tcBorders>
              <w:bottom w:val="nil"/>
            </w:tcBorders>
            <w:noWrap/>
          </w:tcPr>
          <w:p w:rsidR="00530DDB" w:rsidRPr="006576F9" w:rsidRDefault="00530DDB" w:rsidP="00EE3755">
            <w:pPr>
              <w:jc w:val="right"/>
              <w:rPr>
                <w:rFonts w:ascii="Calibri" w:hAnsi="Calibri"/>
                <w:color w:val="000000"/>
                <w:szCs w:val="22"/>
                <w:lang w:val="en-US" w:eastAsia="es-ES"/>
              </w:rPr>
            </w:pPr>
          </w:p>
        </w:tc>
        <w:tc>
          <w:tcPr>
            <w:tcW w:w="685" w:type="dxa"/>
            <w:tcBorders>
              <w:bottom w:val="nil"/>
            </w:tcBorders>
            <w:noWrap/>
          </w:tcPr>
          <w:p w:rsidR="00530DDB" w:rsidRPr="006576F9" w:rsidRDefault="00530DDB" w:rsidP="00EE3755">
            <w:pPr>
              <w:jc w:val="right"/>
              <w:rPr>
                <w:rFonts w:ascii="Calibri" w:hAnsi="Calibri"/>
                <w:color w:val="000000"/>
                <w:szCs w:val="22"/>
                <w:lang w:val="en-US" w:eastAsia="es-ES"/>
              </w:rPr>
            </w:pPr>
          </w:p>
        </w:tc>
        <w:tc>
          <w:tcPr>
            <w:tcW w:w="685" w:type="dxa"/>
            <w:tcBorders>
              <w:bottom w:val="nil"/>
            </w:tcBorders>
            <w:noWrap/>
          </w:tcPr>
          <w:p w:rsidR="00530DDB" w:rsidRPr="006576F9" w:rsidRDefault="00530DDB" w:rsidP="00EE3755">
            <w:pPr>
              <w:jc w:val="right"/>
              <w:rPr>
                <w:rFonts w:ascii="Calibri" w:hAnsi="Calibri"/>
                <w:color w:val="000000"/>
                <w:szCs w:val="22"/>
                <w:lang w:val="en-US" w:eastAsia="es-ES"/>
              </w:rPr>
            </w:pPr>
          </w:p>
        </w:tc>
        <w:tc>
          <w:tcPr>
            <w:tcW w:w="685" w:type="dxa"/>
            <w:tcBorders>
              <w:bottom w:val="nil"/>
            </w:tcBorders>
          </w:tcPr>
          <w:p w:rsidR="00530DDB" w:rsidRPr="006576F9" w:rsidRDefault="00530DDB" w:rsidP="00EE3755">
            <w:pPr>
              <w:jc w:val="right"/>
              <w:rPr>
                <w:rFonts w:ascii="Calibri" w:hAnsi="Calibri"/>
                <w:color w:val="000000"/>
                <w:szCs w:val="22"/>
                <w:lang w:val="en-US" w:eastAsia="es-ES"/>
              </w:rPr>
            </w:pPr>
          </w:p>
        </w:tc>
        <w:tc>
          <w:tcPr>
            <w:tcW w:w="685" w:type="dxa"/>
            <w:tcBorders>
              <w:bottom w:val="nil"/>
            </w:tcBorders>
            <w:shd w:val="clear" w:color="auto" w:fill="auto"/>
          </w:tcPr>
          <w:p w:rsidR="00530DDB" w:rsidRPr="006576F9" w:rsidRDefault="00530DDB" w:rsidP="00EE3755">
            <w:pPr>
              <w:jc w:val="right"/>
              <w:rPr>
                <w:rFonts w:ascii="Calibri" w:hAnsi="Calibri"/>
                <w:color w:val="000000"/>
                <w:szCs w:val="22"/>
                <w:lang w:val="en-US" w:eastAsia="es-ES"/>
              </w:rPr>
            </w:pPr>
          </w:p>
        </w:tc>
        <w:tc>
          <w:tcPr>
            <w:tcW w:w="685" w:type="dxa"/>
            <w:tcBorders>
              <w:bottom w:val="nil"/>
            </w:tcBorders>
            <w:shd w:val="clear" w:color="auto" w:fill="auto"/>
          </w:tcPr>
          <w:p w:rsidR="00530DDB" w:rsidRPr="006576F9" w:rsidRDefault="00530DDB" w:rsidP="00EE3755">
            <w:pPr>
              <w:jc w:val="right"/>
              <w:rPr>
                <w:rFonts w:ascii="Calibri" w:hAnsi="Calibri"/>
                <w:color w:val="000000"/>
                <w:szCs w:val="22"/>
                <w:lang w:val="en-US" w:eastAsia="es-ES"/>
              </w:rPr>
            </w:pPr>
          </w:p>
        </w:tc>
        <w:tc>
          <w:tcPr>
            <w:tcW w:w="685" w:type="dxa"/>
            <w:tcBorders>
              <w:bottom w:val="nil"/>
            </w:tcBorders>
          </w:tcPr>
          <w:p w:rsidR="00530DDB" w:rsidRPr="006576F9" w:rsidRDefault="00530DDB" w:rsidP="00EE3755">
            <w:pPr>
              <w:jc w:val="right"/>
              <w:rPr>
                <w:rFonts w:ascii="Calibri" w:hAnsi="Calibri"/>
                <w:color w:val="000000"/>
                <w:szCs w:val="22"/>
                <w:lang w:val="en-US" w:eastAsia="es-ES"/>
              </w:rPr>
            </w:pPr>
          </w:p>
        </w:tc>
        <w:tc>
          <w:tcPr>
            <w:tcW w:w="685" w:type="dxa"/>
            <w:tcBorders>
              <w:bottom w:val="nil"/>
            </w:tcBorders>
            <w:shd w:val="clear" w:color="auto" w:fill="D9D9D9" w:themeFill="background1" w:themeFillShade="D9"/>
          </w:tcPr>
          <w:p w:rsidR="00530DDB" w:rsidRPr="00F23934" w:rsidRDefault="00530DDB" w:rsidP="00EE3755">
            <w:pPr>
              <w:jc w:val="right"/>
              <w:rPr>
                <w:rFonts w:ascii="Calibri" w:hAnsi="Calibri"/>
                <w:b/>
                <w:color w:val="000000"/>
                <w:szCs w:val="22"/>
                <w:lang w:val="en-US" w:eastAsia="es-ES"/>
              </w:rPr>
            </w:pPr>
          </w:p>
        </w:tc>
      </w:tr>
      <w:tr w:rsidR="00604EF3" w:rsidRPr="009C0F76" w:rsidTr="00604EF3">
        <w:trPr>
          <w:trHeight w:val="300"/>
        </w:trPr>
        <w:tc>
          <w:tcPr>
            <w:tcW w:w="1386" w:type="dxa"/>
            <w:tcBorders>
              <w:top w:val="nil"/>
              <w:bottom w:val="nil"/>
            </w:tcBorders>
            <w:noWrap/>
          </w:tcPr>
          <w:p w:rsidR="00604EF3" w:rsidRPr="006F79FA" w:rsidRDefault="00604EF3" w:rsidP="00EE3755">
            <w:pPr>
              <w:spacing w:before="120" w:after="120"/>
              <w:rPr>
                <w:b/>
                <w:color w:val="000000"/>
                <w:szCs w:val="22"/>
              </w:rPr>
            </w:pPr>
            <w:r w:rsidRPr="006F79FA">
              <w:rPr>
                <w:b/>
                <w:color w:val="000000"/>
                <w:szCs w:val="22"/>
              </w:rPr>
              <w:t>AAA</w:t>
            </w:r>
          </w:p>
        </w:tc>
        <w:tc>
          <w:tcPr>
            <w:tcW w:w="685" w:type="dxa"/>
            <w:tcBorders>
              <w:top w:val="nil"/>
              <w:bottom w:val="nil"/>
            </w:tcBorders>
            <w:noWrap/>
          </w:tcPr>
          <w:p w:rsidR="00604EF3" w:rsidRPr="00824D54" w:rsidRDefault="00604EF3" w:rsidP="00F900B1">
            <w:pPr>
              <w:jc w:val="right"/>
            </w:pPr>
            <w:r w:rsidRPr="009E3988">
              <w:t>0</w:t>
            </w:r>
          </w:p>
        </w:tc>
        <w:tc>
          <w:tcPr>
            <w:tcW w:w="685" w:type="dxa"/>
            <w:tcBorders>
              <w:top w:val="nil"/>
              <w:bottom w:val="nil"/>
            </w:tcBorders>
            <w:noWrap/>
          </w:tcPr>
          <w:p w:rsidR="00604EF3" w:rsidRPr="00824D54" w:rsidRDefault="00604EF3" w:rsidP="00F900B1">
            <w:pPr>
              <w:jc w:val="right"/>
            </w:pPr>
            <w:r w:rsidRPr="00740863">
              <w:t>0</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tcPr>
          <w:p w:rsidR="00604EF3" w:rsidRPr="00824D54" w:rsidRDefault="00604EF3">
            <w:pPr>
              <w:jc w:val="right"/>
            </w:pPr>
            <w:r w:rsidRPr="00740863">
              <w:t>0</w:t>
            </w:r>
          </w:p>
        </w:tc>
        <w:tc>
          <w:tcPr>
            <w:tcW w:w="685" w:type="dxa"/>
            <w:tcBorders>
              <w:top w:val="nil"/>
              <w:bottom w:val="nil"/>
            </w:tcBorders>
            <w:shd w:val="clear" w:color="auto" w:fill="auto"/>
          </w:tcPr>
          <w:p w:rsidR="00604EF3" w:rsidRPr="00740863" w:rsidRDefault="00604EF3">
            <w:pPr>
              <w:jc w:val="right"/>
            </w:pPr>
            <w:r w:rsidRPr="00740863">
              <w:t>0</w:t>
            </w:r>
          </w:p>
        </w:tc>
        <w:tc>
          <w:tcPr>
            <w:tcW w:w="685" w:type="dxa"/>
            <w:tcBorders>
              <w:top w:val="nil"/>
              <w:bottom w:val="nil"/>
            </w:tcBorders>
            <w:shd w:val="clear" w:color="auto" w:fill="auto"/>
          </w:tcPr>
          <w:p w:rsidR="00604EF3" w:rsidRPr="00740863" w:rsidRDefault="00604EF3">
            <w:pPr>
              <w:jc w:val="right"/>
            </w:pPr>
            <w:r w:rsidRPr="00740863">
              <w:t>0</w:t>
            </w:r>
          </w:p>
        </w:tc>
        <w:tc>
          <w:tcPr>
            <w:tcW w:w="685" w:type="dxa"/>
            <w:tcBorders>
              <w:top w:val="nil"/>
              <w:bottom w:val="nil"/>
            </w:tcBorders>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D9D9D9" w:themeFill="background1" w:themeFillShade="D9"/>
          </w:tcPr>
          <w:p w:rsidR="00604EF3" w:rsidRPr="00F23934" w:rsidRDefault="00604EF3">
            <w:pPr>
              <w:jc w:val="right"/>
              <w:rPr>
                <w:b/>
              </w:rPr>
            </w:pPr>
            <w:r w:rsidRPr="00F23934">
              <w:rPr>
                <w:rFonts w:ascii="Calibri" w:hAnsi="Calibri"/>
                <w:b/>
                <w:color w:val="000000"/>
                <w:szCs w:val="22"/>
              </w:rPr>
              <w:t>0</w:t>
            </w:r>
          </w:p>
        </w:tc>
      </w:tr>
      <w:tr w:rsidR="00604EF3" w:rsidRPr="009C0F76" w:rsidTr="00604EF3">
        <w:trPr>
          <w:trHeight w:val="300"/>
        </w:trPr>
        <w:tc>
          <w:tcPr>
            <w:tcW w:w="1386" w:type="dxa"/>
            <w:tcBorders>
              <w:top w:val="nil"/>
              <w:bottom w:val="nil"/>
            </w:tcBorders>
            <w:noWrap/>
          </w:tcPr>
          <w:p w:rsidR="00604EF3" w:rsidRPr="006F79FA" w:rsidRDefault="00604EF3" w:rsidP="00EE3755">
            <w:pPr>
              <w:spacing w:before="120" w:after="120"/>
              <w:rPr>
                <w:b/>
                <w:color w:val="000000"/>
                <w:szCs w:val="22"/>
              </w:rPr>
            </w:pPr>
            <w:r w:rsidRPr="006F79FA">
              <w:rPr>
                <w:b/>
                <w:color w:val="000000"/>
                <w:szCs w:val="22"/>
              </w:rPr>
              <w:t>AA</w:t>
            </w:r>
          </w:p>
        </w:tc>
        <w:tc>
          <w:tcPr>
            <w:tcW w:w="685" w:type="dxa"/>
            <w:tcBorders>
              <w:top w:val="nil"/>
              <w:bottom w:val="nil"/>
            </w:tcBorders>
            <w:noWrap/>
          </w:tcPr>
          <w:p w:rsidR="00604EF3" w:rsidRPr="00824D54" w:rsidRDefault="00604EF3" w:rsidP="00F900B1">
            <w:pPr>
              <w:jc w:val="right"/>
            </w:pPr>
            <w:r w:rsidRPr="009E3988">
              <w:t>0</w:t>
            </w:r>
          </w:p>
        </w:tc>
        <w:tc>
          <w:tcPr>
            <w:tcW w:w="685" w:type="dxa"/>
            <w:tcBorders>
              <w:top w:val="nil"/>
              <w:bottom w:val="nil"/>
            </w:tcBorders>
            <w:noWrap/>
          </w:tcPr>
          <w:p w:rsidR="00604EF3" w:rsidRPr="00824D54" w:rsidRDefault="00604EF3" w:rsidP="00F900B1">
            <w:pPr>
              <w:jc w:val="right"/>
            </w:pPr>
            <w:r w:rsidRPr="00740863">
              <w:t>0</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tcPr>
          <w:p w:rsidR="00604EF3" w:rsidRPr="00824D54" w:rsidRDefault="00604EF3">
            <w:pPr>
              <w:jc w:val="right"/>
            </w:pPr>
            <w:r w:rsidRPr="00740863">
              <w:t>0</w:t>
            </w:r>
          </w:p>
        </w:tc>
        <w:tc>
          <w:tcPr>
            <w:tcW w:w="685" w:type="dxa"/>
            <w:tcBorders>
              <w:top w:val="nil"/>
              <w:bottom w:val="nil"/>
            </w:tcBorders>
            <w:shd w:val="clear" w:color="auto" w:fill="auto"/>
          </w:tcPr>
          <w:p w:rsidR="00604EF3" w:rsidRPr="00740863" w:rsidRDefault="00604EF3">
            <w:pPr>
              <w:jc w:val="right"/>
            </w:pPr>
            <w:r w:rsidRPr="00740863">
              <w:t>0</w:t>
            </w:r>
          </w:p>
        </w:tc>
        <w:tc>
          <w:tcPr>
            <w:tcW w:w="685" w:type="dxa"/>
            <w:tcBorders>
              <w:top w:val="nil"/>
              <w:bottom w:val="nil"/>
            </w:tcBorders>
            <w:shd w:val="clear" w:color="auto" w:fill="auto"/>
          </w:tcPr>
          <w:p w:rsidR="00604EF3" w:rsidRPr="00740863" w:rsidRDefault="00604EF3">
            <w:pPr>
              <w:jc w:val="right"/>
            </w:pPr>
            <w:r w:rsidRPr="00740863">
              <w:t>0</w:t>
            </w:r>
          </w:p>
        </w:tc>
        <w:tc>
          <w:tcPr>
            <w:tcW w:w="685" w:type="dxa"/>
            <w:tcBorders>
              <w:top w:val="nil"/>
              <w:bottom w:val="nil"/>
            </w:tcBorders>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D9D9D9" w:themeFill="background1" w:themeFillShade="D9"/>
          </w:tcPr>
          <w:p w:rsidR="00604EF3" w:rsidRPr="00F23934" w:rsidRDefault="00604EF3">
            <w:pPr>
              <w:jc w:val="right"/>
              <w:rPr>
                <w:b/>
              </w:rPr>
            </w:pPr>
            <w:r w:rsidRPr="00F23934">
              <w:rPr>
                <w:rFonts w:ascii="Calibri" w:hAnsi="Calibri"/>
                <w:b/>
                <w:color w:val="000000"/>
                <w:szCs w:val="22"/>
              </w:rPr>
              <w:t>0</w:t>
            </w:r>
          </w:p>
        </w:tc>
      </w:tr>
      <w:tr w:rsidR="00604EF3" w:rsidRPr="009C0F76" w:rsidTr="00604EF3">
        <w:trPr>
          <w:trHeight w:val="300"/>
        </w:trPr>
        <w:tc>
          <w:tcPr>
            <w:tcW w:w="1386" w:type="dxa"/>
            <w:tcBorders>
              <w:top w:val="nil"/>
              <w:bottom w:val="nil"/>
            </w:tcBorders>
            <w:noWrap/>
          </w:tcPr>
          <w:p w:rsidR="00604EF3" w:rsidRPr="006F79FA" w:rsidRDefault="00604EF3" w:rsidP="00EE3755">
            <w:pPr>
              <w:spacing w:before="120" w:after="120"/>
              <w:rPr>
                <w:b/>
                <w:color w:val="000000"/>
                <w:szCs w:val="22"/>
              </w:rPr>
            </w:pPr>
            <w:r w:rsidRPr="006F79FA">
              <w:rPr>
                <w:b/>
                <w:color w:val="000000"/>
                <w:szCs w:val="22"/>
              </w:rPr>
              <w:t>A</w:t>
            </w:r>
          </w:p>
        </w:tc>
        <w:tc>
          <w:tcPr>
            <w:tcW w:w="685" w:type="dxa"/>
            <w:tcBorders>
              <w:top w:val="nil"/>
              <w:bottom w:val="nil"/>
            </w:tcBorders>
            <w:noWrap/>
          </w:tcPr>
          <w:p w:rsidR="00604EF3" w:rsidRPr="00824D54" w:rsidRDefault="00604EF3" w:rsidP="00F900B1">
            <w:pPr>
              <w:jc w:val="right"/>
            </w:pPr>
            <w:r w:rsidRPr="009E3988">
              <w:t>0</w:t>
            </w:r>
          </w:p>
        </w:tc>
        <w:tc>
          <w:tcPr>
            <w:tcW w:w="685" w:type="dxa"/>
            <w:tcBorders>
              <w:top w:val="nil"/>
              <w:bottom w:val="nil"/>
            </w:tcBorders>
            <w:noWrap/>
          </w:tcPr>
          <w:p w:rsidR="00604EF3" w:rsidRPr="00824D54" w:rsidRDefault="00604EF3" w:rsidP="00F900B1">
            <w:pPr>
              <w:jc w:val="right"/>
            </w:pPr>
            <w:r w:rsidRPr="00740863">
              <w:t>19</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noWrap/>
          </w:tcPr>
          <w:p w:rsidR="00604EF3" w:rsidRPr="00824D54" w:rsidRDefault="00604EF3">
            <w:pPr>
              <w:jc w:val="right"/>
            </w:pPr>
            <w:r w:rsidRPr="00740863">
              <w:t>25</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noWrap/>
          </w:tcPr>
          <w:p w:rsidR="00604EF3" w:rsidRPr="00824D54" w:rsidRDefault="00604EF3">
            <w:pPr>
              <w:jc w:val="right"/>
            </w:pPr>
            <w:r w:rsidRPr="00740863">
              <w:t>8</w:t>
            </w:r>
          </w:p>
        </w:tc>
        <w:tc>
          <w:tcPr>
            <w:tcW w:w="685" w:type="dxa"/>
            <w:tcBorders>
              <w:top w:val="nil"/>
              <w:bottom w:val="nil"/>
            </w:tcBorders>
          </w:tcPr>
          <w:p w:rsidR="00604EF3" w:rsidRPr="00824D54" w:rsidRDefault="00604EF3">
            <w:pPr>
              <w:jc w:val="right"/>
            </w:pPr>
            <w:r w:rsidRPr="00740863">
              <w:t>0</w:t>
            </w:r>
          </w:p>
        </w:tc>
        <w:tc>
          <w:tcPr>
            <w:tcW w:w="685" w:type="dxa"/>
            <w:tcBorders>
              <w:top w:val="nil"/>
              <w:bottom w:val="nil"/>
            </w:tcBorders>
            <w:shd w:val="clear" w:color="auto" w:fill="auto"/>
          </w:tcPr>
          <w:p w:rsidR="00604EF3" w:rsidRPr="00740863" w:rsidRDefault="00604EF3">
            <w:pPr>
              <w:jc w:val="right"/>
            </w:pPr>
            <w:r w:rsidRPr="00740863">
              <w:t>0</w:t>
            </w:r>
          </w:p>
        </w:tc>
        <w:tc>
          <w:tcPr>
            <w:tcW w:w="685" w:type="dxa"/>
            <w:tcBorders>
              <w:top w:val="nil"/>
              <w:bottom w:val="nil"/>
            </w:tcBorders>
            <w:shd w:val="clear" w:color="auto" w:fill="auto"/>
          </w:tcPr>
          <w:p w:rsidR="00604EF3" w:rsidRPr="00740863" w:rsidRDefault="00604EF3">
            <w:pPr>
              <w:jc w:val="right"/>
            </w:pPr>
            <w:r w:rsidRPr="00740863">
              <w:t>0</w:t>
            </w:r>
          </w:p>
        </w:tc>
        <w:tc>
          <w:tcPr>
            <w:tcW w:w="685" w:type="dxa"/>
            <w:tcBorders>
              <w:top w:val="nil"/>
              <w:bottom w:val="nil"/>
            </w:tcBorders>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D9D9D9" w:themeFill="background1" w:themeFillShade="D9"/>
          </w:tcPr>
          <w:p w:rsidR="00604EF3" w:rsidRPr="00F23934" w:rsidRDefault="00604EF3">
            <w:pPr>
              <w:jc w:val="right"/>
              <w:rPr>
                <w:b/>
              </w:rPr>
            </w:pPr>
            <w:r w:rsidRPr="00F23934">
              <w:rPr>
                <w:rFonts w:ascii="Calibri" w:hAnsi="Calibri"/>
                <w:b/>
                <w:color w:val="000000"/>
                <w:szCs w:val="22"/>
              </w:rPr>
              <w:t>52</w:t>
            </w:r>
          </w:p>
        </w:tc>
      </w:tr>
      <w:tr w:rsidR="00604EF3" w:rsidRPr="009C0F76" w:rsidTr="00604EF3">
        <w:trPr>
          <w:trHeight w:val="300"/>
        </w:trPr>
        <w:tc>
          <w:tcPr>
            <w:tcW w:w="1386" w:type="dxa"/>
            <w:tcBorders>
              <w:top w:val="nil"/>
              <w:bottom w:val="nil"/>
            </w:tcBorders>
            <w:noWrap/>
          </w:tcPr>
          <w:p w:rsidR="00604EF3" w:rsidRPr="006F79FA" w:rsidRDefault="00604EF3" w:rsidP="00EE3755">
            <w:pPr>
              <w:spacing w:before="120" w:after="120"/>
              <w:rPr>
                <w:b/>
                <w:color w:val="000000"/>
                <w:szCs w:val="22"/>
              </w:rPr>
            </w:pPr>
            <w:r w:rsidRPr="006F79FA">
              <w:rPr>
                <w:b/>
                <w:color w:val="000000"/>
                <w:szCs w:val="22"/>
              </w:rPr>
              <w:t>BBB</w:t>
            </w:r>
          </w:p>
        </w:tc>
        <w:tc>
          <w:tcPr>
            <w:tcW w:w="685" w:type="dxa"/>
            <w:tcBorders>
              <w:top w:val="nil"/>
              <w:bottom w:val="nil"/>
            </w:tcBorders>
            <w:noWrap/>
          </w:tcPr>
          <w:p w:rsidR="00604EF3" w:rsidRPr="00824D54" w:rsidRDefault="00604EF3" w:rsidP="00F900B1">
            <w:pPr>
              <w:jc w:val="right"/>
            </w:pPr>
            <w:r w:rsidRPr="009E3988">
              <w:t>0</w:t>
            </w:r>
          </w:p>
        </w:tc>
        <w:tc>
          <w:tcPr>
            <w:tcW w:w="685" w:type="dxa"/>
            <w:tcBorders>
              <w:top w:val="nil"/>
              <w:bottom w:val="nil"/>
            </w:tcBorders>
            <w:noWrap/>
          </w:tcPr>
          <w:p w:rsidR="00604EF3" w:rsidRPr="00824D54" w:rsidRDefault="00604EF3" w:rsidP="00F900B1">
            <w:pPr>
              <w:jc w:val="right"/>
            </w:pPr>
            <w:r w:rsidRPr="00740863">
              <w:t>0</w:t>
            </w:r>
          </w:p>
        </w:tc>
        <w:tc>
          <w:tcPr>
            <w:tcW w:w="685" w:type="dxa"/>
            <w:tcBorders>
              <w:top w:val="nil"/>
              <w:bottom w:val="nil"/>
            </w:tcBorders>
            <w:noWrap/>
          </w:tcPr>
          <w:p w:rsidR="00604EF3" w:rsidRPr="00824D54" w:rsidRDefault="00604EF3">
            <w:pPr>
              <w:jc w:val="right"/>
            </w:pPr>
            <w:r w:rsidRPr="00740863">
              <w:t>37</w:t>
            </w:r>
          </w:p>
        </w:tc>
        <w:tc>
          <w:tcPr>
            <w:tcW w:w="685" w:type="dxa"/>
            <w:tcBorders>
              <w:top w:val="nil"/>
              <w:bottom w:val="nil"/>
            </w:tcBorders>
            <w:noWrap/>
          </w:tcPr>
          <w:p w:rsidR="00604EF3" w:rsidRPr="00824D54" w:rsidRDefault="00604EF3">
            <w:pPr>
              <w:jc w:val="right"/>
            </w:pPr>
            <w:r w:rsidRPr="00740863">
              <w:t>6</w:t>
            </w:r>
          </w:p>
        </w:tc>
        <w:tc>
          <w:tcPr>
            <w:tcW w:w="685" w:type="dxa"/>
            <w:tcBorders>
              <w:top w:val="nil"/>
              <w:bottom w:val="nil"/>
            </w:tcBorders>
            <w:noWrap/>
          </w:tcPr>
          <w:p w:rsidR="00604EF3" w:rsidRPr="00824D54" w:rsidRDefault="00604EF3">
            <w:pPr>
              <w:jc w:val="right"/>
            </w:pPr>
            <w:r w:rsidRPr="00740863">
              <w:t>29</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tcPr>
          <w:p w:rsidR="00604EF3" w:rsidRPr="00824D54" w:rsidRDefault="00604EF3">
            <w:pPr>
              <w:jc w:val="right"/>
            </w:pPr>
            <w:r w:rsidRPr="00740863">
              <w:t>0</w:t>
            </w:r>
          </w:p>
        </w:tc>
        <w:tc>
          <w:tcPr>
            <w:tcW w:w="685" w:type="dxa"/>
            <w:tcBorders>
              <w:top w:val="nil"/>
              <w:bottom w:val="nil"/>
            </w:tcBorders>
            <w:shd w:val="clear" w:color="auto" w:fill="auto"/>
          </w:tcPr>
          <w:p w:rsidR="00604EF3" w:rsidRPr="00740863" w:rsidRDefault="00604EF3">
            <w:pPr>
              <w:jc w:val="right"/>
            </w:pPr>
            <w:r w:rsidRPr="00740863">
              <w:t>0</w:t>
            </w:r>
          </w:p>
        </w:tc>
        <w:tc>
          <w:tcPr>
            <w:tcW w:w="685" w:type="dxa"/>
            <w:tcBorders>
              <w:top w:val="nil"/>
              <w:bottom w:val="nil"/>
            </w:tcBorders>
            <w:shd w:val="clear" w:color="auto" w:fill="auto"/>
          </w:tcPr>
          <w:p w:rsidR="00604EF3" w:rsidRPr="00740863" w:rsidRDefault="00604EF3">
            <w:pPr>
              <w:jc w:val="right"/>
            </w:pPr>
            <w:r w:rsidRPr="00740863">
              <w:t>0</w:t>
            </w:r>
          </w:p>
        </w:tc>
        <w:tc>
          <w:tcPr>
            <w:tcW w:w="685" w:type="dxa"/>
            <w:tcBorders>
              <w:top w:val="nil"/>
              <w:bottom w:val="nil"/>
            </w:tcBorders>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D9D9D9" w:themeFill="background1" w:themeFillShade="D9"/>
          </w:tcPr>
          <w:p w:rsidR="00604EF3" w:rsidRPr="00F23934" w:rsidRDefault="00604EF3">
            <w:pPr>
              <w:jc w:val="right"/>
              <w:rPr>
                <w:b/>
              </w:rPr>
            </w:pPr>
            <w:r w:rsidRPr="00F23934">
              <w:rPr>
                <w:rFonts w:ascii="Calibri" w:hAnsi="Calibri"/>
                <w:b/>
                <w:color w:val="000000"/>
                <w:szCs w:val="22"/>
              </w:rPr>
              <w:t>72</w:t>
            </w:r>
          </w:p>
        </w:tc>
      </w:tr>
      <w:tr w:rsidR="00604EF3" w:rsidRPr="009C0F76" w:rsidTr="00604EF3">
        <w:trPr>
          <w:trHeight w:val="300"/>
        </w:trPr>
        <w:tc>
          <w:tcPr>
            <w:tcW w:w="1386" w:type="dxa"/>
            <w:tcBorders>
              <w:top w:val="nil"/>
              <w:bottom w:val="nil"/>
            </w:tcBorders>
            <w:noWrap/>
          </w:tcPr>
          <w:p w:rsidR="00604EF3" w:rsidRPr="006F79FA" w:rsidRDefault="00604EF3" w:rsidP="00EE3755">
            <w:pPr>
              <w:spacing w:before="120" w:after="120"/>
              <w:rPr>
                <w:b/>
                <w:color w:val="000000"/>
                <w:szCs w:val="22"/>
              </w:rPr>
            </w:pPr>
            <w:r w:rsidRPr="006F79FA">
              <w:rPr>
                <w:b/>
                <w:color w:val="000000"/>
                <w:szCs w:val="22"/>
              </w:rPr>
              <w:t>BB</w:t>
            </w:r>
          </w:p>
        </w:tc>
        <w:tc>
          <w:tcPr>
            <w:tcW w:w="685" w:type="dxa"/>
            <w:tcBorders>
              <w:top w:val="nil"/>
              <w:bottom w:val="nil"/>
            </w:tcBorders>
            <w:noWrap/>
          </w:tcPr>
          <w:p w:rsidR="00604EF3" w:rsidRPr="00824D54" w:rsidRDefault="00604EF3" w:rsidP="00F900B1">
            <w:pPr>
              <w:jc w:val="right"/>
            </w:pPr>
            <w:r w:rsidRPr="009E3988">
              <w:t>0</w:t>
            </w:r>
          </w:p>
        </w:tc>
        <w:tc>
          <w:tcPr>
            <w:tcW w:w="685" w:type="dxa"/>
            <w:tcBorders>
              <w:top w:val="nil"/>
              <w:bottom w:val="nil"/>
            </w:tcBorders>
            <w:noWrap/>
          </w:tcPr>
          <w:p w:rsidR="00604EF3" w:rsidRPr="00824D54" w:rsidRDefault="00604EF3" w:rsidP="00F900B1">
            <w:pPr>
              <w:jc w:val="right"/>
            </w:pPr>
            <w:r w:rsidRPr="00740863">
              <w:t>0</w:t>
            </w:r>
          </w:p>
        </w:tc>
        <w:tc>
          <w:tcPr>
            <w:tcW w:w="685" w:type="dxa"/>
            <w:tcBorders>
              <w:top w:val="nil"/>
              <w:bottom w:val="nil"/>
            </w:tcBorders>
            <w:noWrap/>
          </w:tcPr>
          <w:p w:rsidR="00604EF3" w:rsidRPr="00824D54" w:rsidRDefault="00604EF3">
            <w:pPr>
              <w:jc w:val="right"/>
            </w:pPr>
            <w:r w:rsidRPr="00740863">
              <w:t>7</w:t>
            </w:r>
          </w:p>
        </w:tc>
        <w:tc>
          <w:tcPr>
            <w:tcW w:w="685" w:type="dxa"/>
            <w:tcBorders>
              <w:top w:val="nil"/>
              <w:bottom w:val="nil"/>
            </w:tcBorders>
            <w:noWrap/>
          </w:tcPr>
          <w:p w:rsidR="00604EF3" w:rsidRPr="00824D54" w:rsidRDefault="00604EF3">
            <w:pPr>
              <w:jc w:val="right"/>
            </w:pPr>
            <w:r w:rsidRPr="00740863">
              <w:t>82</w:t>
            </w:r>
          </w:p>
        </w:tc>
        <w:tc>
          <w:tcPr>
            <w:tcW w:w="685" w:type="dxa"/>
            <w:tcBorders>
              <w:top w:val="nil"/>
              <w:bottom w:val="nil"/>
            </w:tcBorders>
            <w:noWrap/>
          </w:tcPr>
          <w:p w:rsidR="00604EF3" w:rsidRPr="00824D54" w:rsidRDefault="00604EF3">
            <w:pPr>
              <w:jc w:val="right"/>
            </w:pPr>
            <w:r w:rsidRPr="00740863">
              <w:t>77</w:t>
            </w:r>
          </w:p>
        </w:tc>
        <w:tc>
          <w:tcPr>
            <w:tcW w:w="685" w:type="dxa"/>
            <w:tcBorders>
              <w:top w:val="nil"/>
              <w:bottom w:val="nil"/>
            </w:tcBorders>
            <w:noWrap/>
          </w:tcPr>
          <w:p w:rsidR="00604EF3" w:rsidRPr="00824D54" w:rsidRDefault="00604EF3">
            <w:pPr>
              <w:jc w:val="right"/>
            </w:pPr>
            <w:r w:rsidRPr="00740863">
              <w:t>73</w:t>
            </w:r>
          </w:p>
        </w:tc>
        <w:tc>
          <w:tcPr>
            <w:tcW w:w="685" w:type="dxa"/>
            <w:tcBorders>
              <w:top w:val="nil"/>
              <w:bottom w:val="nil"/>
            </w:tcBorders>
          </w:tcPr>
          <w:p w:rsidR="00604EF3" w:rsidRPr="00824D54" w:rsidRDefault="00604EF3">
            <w:pPr>
              <w:jc w:val="right"/>
            </w:pPr>
            <w:r w:rsidRPr="00740863">
              <w:t>0</w:t>
            </w:r>
          </w:p>
        </w:tc>
        <w:tc>
          <w:tcPr>
            <w:tcW w:w="685" w:type="dxa"/>
            <w:tcBorders>
              <w:top w:val="nil"/>
              <w:bottom w:val="nil"/>
            </w:tcBorders>
            <w:shd w:val="clear" w:color="auto" w:fill="auto"/>
          </w:tcPr>
          <w:p w:rsidR="00604EF3" w:rsidRPr="00740863" w:rsidRDefault="00604EF3">
            <w:pPr>
              <w:jc w:val="right"/>
            </w:pPr>
            <w:r w:rsidRPr="00740863">
              <w:t>2</w:t>
            </w:r>
          </w:p>
        </w:tc>
        <w:tc>
          <w:tcPr>
            <w:tcW w:w="685" w:type="dxa"/>
            <w:tcBorders>
              <w:top w:val="nil"/>
              <w:bottom w:val="nil"/>
            </w:tcBorders>
            <w:shd w:val="clear" w:color="auto" w:fill="auto"/>
          </w:tcPr>
          <w:p w:rsidR="00604EF3" w:rsidRPr="00740863" w:rsidRDefault="00604EF3">
            <w:pPr>
              <w:jc w:val="right"/>
            </w:pPr>
            <w:r w:rsidRPr="00740863">
              <w:t>1</w:t>
            </w:r>
          </w:p>
        </w:tc>
        <w:tc>
          <w:tcPr>
            <w:tcW w:w="685" w:type="dxa"/>
            <w:tcBorders>
              <w:top w:val="nil"/>
              <w:bottom w:val="nil"/>
            </w:tcBorders>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D9D9D9" w:themeFill="background1" w:themeFillShade="D9"/>
          </w:tcPr>
          <w:p w:rsidR="00604EF3" w:rsidRPr="00F23934" w:rsidRDefault="00604EF3">
            <w:pPr>
              <w:jc w:val="right"/>
              <w:rPr>
                <w:b/>
              </w:rPr>
            </w:pPr>
            <w:r w:rsidRPr="00F23934">
              <w:rPr>
                <w:rFonts w:ascii="Calibri" w:hAnsi="Calibri"/>
                <w:b/>
                <w:color w:val="000000"/>
                <w:szCs w:val="22"/>
              </w:rPr>
              <w:t>242</w:t>
            </w:r>
          </w:p>
        </w:tc>
      </w:tr>
      <w:tr w:rsidR="00604EF3" w:rsidRPr="009C0F76" w:rsidTr="00604EF3">
        <w:trPr>
          <w:trHeight w:val="300"/>
        </w:trPr>
        <w:tc>
          <w:tcPr>
            <w:tcW w:w="1386" w:type="dxa"/>
            <w:tcBorders>
              <w:top w:val="nil"/>
              <w:bottom w:val="nil"/>
            </w:tcBorders>
            <w:noWrap/>
          </w:tcPr>
          <w:p w:rsidR="00604EF3" w:rsidRPr="006F79FA" w:rsidRDefault="00604EF3" w:rsidP="00EE3755">
            <w:pPr>
              <w:spacing w:before="120" w:after="120"/>
              <w:rPr>
                <w:b/>
                <w:color w:val="000000"/>
                <w:szCs w:val="22"/>
              </w:rPr>
            </w:pPr>
            <w:r w:rsidRPr="006F79FA">
              <w:rPr>
                <w:b/>
                <w:color w:val="000000"/>
                <w:szCs w:val="22"/>
              </w:rPr>
              <w:t>B</w:t>
            </w:r>
          </w:p>
        </w:tc>
        <w:tc>
          <w:tcPr>
            <w:tcW w:w="685" w:type="dxa"/>
            <w:tcBorders>
              <w:top w:val="nil"/>
              <w:bottom w:val="nil"/>
            </w:tcBorders>
            <w:noWrap/>
          </w:tcPr>
          <w:p w:rsidR="00604EF3" w:rsidRPr="00824D54" w:rsidRDefault="00604EF3" w:rsidP="00F900B1">
            <w:pPr>
              <w:jc w:val="right"/>
            </w:pPr>
            <w:r w:rsidRPr="009E3988">
              <w:t>0</w:t>
            </w:r>
          </w:p>
        </w:tc>
        <w:tc>
          <w:tcPr>
            <w:tcW w:w="685" w:type="dxa"/>
            <w:tcBorders>
              <w:top w:val="nil"/>
              <w:bottom w:val="nil"/>
            </w:tcBorders>
            <w:noWrap/>
          </w:tcPr>
          <w:p w:rsidR="00604EF3" w:rsidRPr="00824D54" w:rsidRDefault="00604EF3" w:rsidP="00F900B1">
            <w:pPr>
              <w:jc w:val="right"/>
            </w:pPr>
            <w:r w:rsidRPr="00740863">
              <w:t>0</w:t>
            </w:r>
          </w:p>
        </w:tc>
        <w:tc>
          <w:tcPr>
            <w:tcW w:w="685" w:type="dxa"/>
            <w:tcBorders>
              <w:top w:val="nil"/>
              <w:bottom w:val="nil"/>
            </w:tcBorders>
            <w:noWrap/>
          </w:tcPr>
          <w:p w:rsidR="00604EF3" w:rsidRPr="00824D54" w:rsidRDefault="00604EF3">
            <w:pPr>
              <w:jc w:val="right"/>
            </w:pPr>
            <w:r w:rsidRPr="00740863">
              <w:t>7</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noWrap/>
          </w:tcPr>
          <w:p w:rsidR="00604EF3" w:rsidRPr="00824D54" w:rsidRDefault="00604EF3">
            <w:pPr>
              <w:jc w:val="right"/>
            </w:pPr>
            <w:r w:rsidRPr="00740863">
              <w:t>97</w:t>
            </w:r>
          </w:p>
        </w:tc>
        <w:tc>
          <w:tcPr>
            <w:tcW w:w="685" w:type="dxa"/>
            <w:tcBorders>
              <w:top w:val="nil"/>
              <w:bottom w:val="nil"/>
            </w:tcBorders>
            <w:noWrap/>
          </w:tcPr>
          <w:p w:rsidR="00604EF3" w:rsidRPr="00824D54" w:rsidRDefault="00604EF3">
            <w:pPr>
              <w:jc w:val="right"/>
            </w:pPr>
            <w:r w:rsidRPr="00740863">
              <w:t>57</w:t>
            </w:r>
          </w:p>
        </w:tc>
        <w:tc>
          <w:tcPr>
            <w:tcW w:w="685" w:type="dxa"/>
            <w:tcBorders>
              <w:top w:val="nil"/>
              <w:bottom w:val="nil"/>
            </w:tcBorders>
          </w:tcPr>
          <w:p w:rsidR="00604EF3" w:rsidRPr="00824D54" w:rsidRDefault="00604EF3">
            <w:pPr>
              <w:jc w:val="right"/>
            </w:pPr>
            <w:r w:rsidRPr="00740863">
              <w:t>22</w:t>
            </w:r>
          </w:p>
        </w:tc>
        <w:tc>
          <w:tcPr>
            <w:tcW w:w="685" w:type="dxa"/>
            <w:tcBorders>
              <w:top w:val="nil"/>
              <w:bottom w:val="nil"/>
            </w:tcBorders>
            <w:shd w:val="clear" w:color="auto" w:fill="auto"/>
          </w:tcPr>
          <w:p w:rsidR="00604EF3" w:rsidRPr="00740863" w:rsidRDefault="00604EF3">
            <w:pPr>
              <w:jc w:val="right"/>
            </w:pPr>
            <w:r w:rsidRPr="00740863">
              <w:t>2</w:t>
            </w:r>
          </w:p>
        </w:tc>
        <w:tc>
          <w:tcPr>
            <w:tcW w:w="685" w:type="dxa"/>
            <w:tcBorders>
              <w:top w:val="nil"/>
              <w:bottom w:val="nil"/>
            </w:tcBorders>
            <w:shd w:val="clear" w:color="auto" w:fill="auto"/>
          </w:tcPr>
          <w:p w:rsidR="00604EF3" w:rsidRPr="00740863" w:rsidRDefault="00604EF3">
            <w:pPr>
              <w:jc w:val="right"/>
            </w:pPr>
            <w:r w:rsidRPr="00740863">
              <w:t>1</w:t>
            </w:r>
          </w:p>
        </w:tc>
        <w:tc>
          <w:tcPr>
            <w:tcW w:w="685" w:type="dxa"/>
            <w:tcBorders>
              <w:top w:val="nil"/>
              <w:bottom w:val="nil"/>
            </w:tcBorders>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D9D9D9" w:themeFill="background1" w:themeFillShade="D9"/>
          </w:tcPr>
          <w:p w:rsidR="00604EF3" w:rsidRPr="00F23934" w:rsidRDefault="00604EF3">
            <w:pPr>
              <w:jc w:val="right"/>
              <w:rPr>
                <w:b/>
              </w:rPr>
            </w:pPr>
            <w:r w:rsidRPr="00F23934">
              <w:rPr>
                <w:rFonts w:ascii="Calibri" w:hAnsi="Calibri"/>
                <w:b/>
                <w:color w:val="000000"/>
                <w:szCs w:val="22"/>
              </w:rPr>
              <w:t>186</w:t>
            </w:r>
          </w:p>
        </w:tc>
      </w:tr>
      <w:tr w:rsidR="00604EF3" w:rsidRPr="009C0F76" w:rsidTr="00604EF3">
        <w:trPr>
          <w:trHeight w:val="300"/>
        </w:trPr>
        <w:tc>
          <w:tcPr>
            <w:tcW w:w="1386" w:type="dxa"/>
            <w:tcBorders>
              <w:top w:val="nil"/>
              <w:bottom w:val="nil"/>
            </w:tcBorders>
            <w:noWrap/>
          </w:tcPr>
          <w:p w:rsidR="00604EF3" w:rsidRPr="006F79FA" w:rsidRDefault="00604EF3" w:rsidP="00EE3755">
            <w:pPr>
              <w:spacing w:before="120" w:after="120"/>
              <w:rPr>
                <w:b/>
                <w:color w:val="000000"/>
                <w:szCs w:val="22"/>
              </w:rPr>
            </w:pPr>
            <w:r>
              <w:rPr>
                <w:b/>
                <w:color w:val="000000"/>
                <w:szCs w:val="22"/>
              </w:rPr>
              <w:t>CCC</w:t>
            </w:r>
          </w:p>
        </w:tc>
        <w:tc>
          <w:tcPr>
            <w:tcW w:w="685" w:type="dxa"/>
            <w:tcBorders>
              <w:top w:val="nil"/>
              <w:bottom w:val="nil"/>
            </w:tcBorders>
            <w:noWrap/>
          </w:tcPr>
          <w:p w:rsidR="00604EF3" w:rsidRPr="00824D54" w:rsidRDefault="00604EF3" w:rsidP="00F900B1">
            <w:pPr>
              <w:jc w:val="right"/>
            </w:pPr>
            <w:r w:rsidRPr="009E3988">
              <w:t>0</w:t>
            </w:r>
          </w:p>
        </w:tc>
        <w:tc>
          <w:tcPr>
            <w:tcW w:w="685" w:type="dxa"/>
            <w:tcBorders>
              <w:top w:val="nil"/>
              <w:bottom w:val="nil"/>
            </w:tcBorders>
            <w:noWrap/>
          </w:tcPr>
          <w:p w:rsidR="00604EF3" w:rsidRPr="00824D54" w:rsidRDefault="00604EF3" w:rsidP="00F900B1">
            <w:pPr>
              <w:jc w:val="right"/>
            </w:pPr>
            <w:r w:rsidRPr="00740863">
              <w:t>0</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noWrap/>
          </w:tcPr>
          <w:p w:rsidR="00604EF3" w:rsidRPr="00824D54" w:rsidRDefault="00604EF3">
            <w:pPr>
              <w:jc w:val="right"/>
            </w:pPr>
            <w:r w:rsidRPr="00740863">
              <w:t>25</w:t>
            </w:r>
          </w:p>
        </w:tc>
        <w:tc>
          <w:tcPr>
            <w:tcW w:w="685" w:type="dxa"/>
            <w:tcBorders>
              <w:top w:val="nil"/>
              <w:bottom w:val="nil"/>
            </w:tcBorders>
            <w:noWrap/>
          </w:tcPr>
          <w:p w:rsidR="00604EF3" w:rsidRPr="00824D54" w:rsidRDefault="00604EF3">
            <w:pPr>
              <w:jc w:val="right"/>
            </w:pPr>
            <w:r w:rsidRPr="00740863">
              <w:t>0</w:t>
            </w:r>
          </w:p>
        </w:tc>
        <w:tc>
          <w:tcPr>
            <w:tcW w:w="685" w:type="dxa"/>
            <w:tcBorders>
              <w:top w:val="nil"/>
              <w:bottom w:val="nil"/>
            </w:tcBorders>
            <w:noWrap/>
          </w:tcPr>
          <w:p w:rsidR="00604EF3" w:rsidRPr="00824D54" w:rsidRDefault="00604EF3">
            <w:pPr>
              <w:jc w:val="right"/>
            </w:pPr>
            <w:r w:rsidRPr="00740863">
              <w:t>40</w:t>
            </w:r>
          </w:p>
        </w:tc>
        <w:tc>
          <w:tcPr>
            <w:tcW w:w="685" w:type="dxa"/>
            <w:tcBorders>
              <w:top w:val="nil"/>
              <w:bottom w:val="nil"/>
            </w:tcBorders>
          </w:tcPr>
          <w:p w:rsidR="00604EF3" w:rsidRPr="00824D54" w:rsidRDefault="00604EF3">
            <w:pPr>
              <w:jc w:val="right"/>
            </w:pPr>
            <w:r w:rsidRPr="00740863">
              <w:t>37</w:t>
            </w:r>
          </w:p>
        </w:tc>
        <w:tc>
          <w:tcPr>
            <w:tcW w:w="685" w:type="dxa"/>
            <w:tcBorders>
              <w:top w:val="nil"/>
              <w:bottom w:val="nil"/>
            </w:tcBorders>
            <w:shd w:val="clear" w:color="auto" w:fill="auto"/>
          </w:tcPr>
          <w:p w:rsidR="00604EF3" w:rsidRPr="00740863" w:rsidRDefault="00604EF3">
            <w:pPr>
              <w:jc w:val="right"/>
            </w:pPr>
            <w:r w:rsidRPr="00740863">
              <w:t>10</w:t>
            </w:r>
          </w:p>
        </w:tc>
        <w:tc>
          <w:tcPr>
            <w:tcW w:w="685" w:type="dxa"/>
            <w:tcBorders>
              <w:top w:val="nil"/>
              <w:bottom w:val="nil"/>
            </w:tcBorders>
            <w:shd w:val="clear" w:color="auto" w:fill="auto"/>
          </w:tcPr>
          <w:p w:rsidR="00604EF3" w:rsidRPr="00740863" w:rsidRDefault="00604EF3">
            <w:pPr>
              <w:jc w:val="right"/>
            </w:pPr>
            <w:r w:rsidRPr="00740863">
              <w:t>0</w:t>
            </w:r>
          </w:p>
        </w:tc>
        <w:tc>
          <w:tcPr>
            <w:tcW w:w="685" w:type="dxa"/>
            <w:tcBorders>
              <w:top w:val="nil"/>
              <w:bottom w:val="nil"/>
            </w:tcBorders>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D9D9D9" w:themeFill="background1" w:themeFillShade="D9"/>
          </w:tcPr>
          <w:p w:rsidR="00604EF3" w:rsidRPr="00F23934" w:rsidRDefault="00604EF3">
            <w:pPr>
              <w:jc w:val="right"/>
              <w:rPr>
                <w:b/>
              </w:rPr>
            </w:pPr>
            <w:r w:rsidRPr="00F23934">
              <w:rPr>
                <w:rFonts w:ascii="Calibri" w:hAnsi="Calibri"/>
                <w:b/>
                <w:color w:val="000000"/>
                <w:szCs w:val="22"/>
              </w:rPr>
              <w:t>112</w:t>
            </w:r>
          </w:p>
        </w:tc>
      </w:tr>
      <w:tr w:rsidR="00604EF3" w:rsidRPr="009C0F76" w:rsidTr="00604EF3">
        <w:trPr>
          <w:trHeight w:val="300"/>
        </w:trPr>
        <w:tc>
          <w:tcPr>
            <w:tcW w:w="1386" w:type="dxa"/>
            <w:tcBorders>
              <w:top w:val="nil"/>
              <w:bottom w:val="nil"/>
            </w:tcBorders>
            <w:shd w:val="clear" w:color="auto" w:fill="auto"/>
            <w:noWrap/>
          </w:tcPr>
          <w:p w:rsidR="00604EF3" w:rsidRDefault="00604EF3" w:rsidP="00EE3755">
            <w:pPr>
              <w:spacing w:before="120" w:after="120"/>
              <w:rPr>
                <w:b/>
                <w:color w:val="000000"/>
                <w:szCs w:val="22"/>
              </w:rPr>
            </w:pPr>
            <w:r>
              <w:rPr>
                <w:b/>
                <w:color w:val="000000"/>
                <w:szCs w:val="22"/>
              </w:rPr>
              <w:t>CC</w:t>
            </w:r>
          </w:p>
        </w:tc>
        <w:tc>
          <w:tcPr>
            <w:tcW w:w="685" w:type="dxa"/>
            <w:tcBorders>
              <w:top w:val="nil"/>
              <w:bottom w:val="nil"/>
            </w:tcBorders>
            <w:shd w:val="clear" w:color="auto" w:fill="auto"/>
            <w:noWrap/>
          </w:tcPr>
          <w:p w:rsidR="00604EF3" w:rsidRPr="00824D54" w:rsidRDefault="00604EF3" w:rsidP="00F900B1">
            <w:pPr>
              <w:jc w:val="right"/>
            </w:pPr>
            <w:r w:rsidRPr="009E3988">
              <w:t>0</w:t>
            </w:r>
          </w:p>
        </w:tc>
        <w:tc>
          <w:tcPr>
            <w:tcW w:w="685" w:type="dxa"/>
            <w:tcBorders>
              <w:top w:val="nil"/>
              <w:bottom w:val="nil"/>
            </w:tcBorders>
            <w:shd w:val="clear" w:color="auto" w:fill="auto"/>
            <w:noWrap/>
          </w:tcPr>
          <w:p w:rsidR="00604EF3" w:rsidRPr="00824D54" w:rsidRDefault="00604EF3" w:rsidP="00F900B1">
            <w:pPr>
              <w:jc w:val="right"/>
            </w:pPr>
            <w:r w:rsidRPr="00740863">
              <w:t>0</w:t>
            </w:r>
          </w:p>
        </w:tc>
        <w:tc>
          <w:tcPr>
            <w:tcW w:w="685" w:type="dxa"/>
            <w:tcBorders>
              <w:top w:val="nil"/>
              <w:bottom w:val="nil"/>
            </w:tcBorders>
            <w:shd w:val="clear" w:color="auto" w:fill="auto"/>
            <w:noWrap/>
          </w:tcPr>
          <w:p w:rsidR="00604EF3" w:rsidRPr="00824D54" w:rsidRDefault="00604EF3">
            <w:pPr>
              <w:jc w:val="right"/>
            </w:pPr>
            <w:r w:rsidRPr="00740863">
              <w:t>0</w:t>
            </w:r>
          </w:p>
        </w:tc>
        <w:tc>
          <w:tcPr>
            <w:tcW w:w="685" w:type="dxa"/>
            <w:tcBorders>
              <w:top w:val="nil"/>
              <w:bottom w:val="nil"/>
            </w:tcBorders>
            <w:shd w:val="clear" w:color="auto" w:fill="auto"/>
            <w:noWrap/>
          </w:tcPr>
          <w:p w:rsidR="00604EF3" w:rsidRPr="00824D54" w:rsidRDefault="00604EF3">
            <w:pPr>
              <w:jc w:val="right"/>
            </w:pPr>
            <w:r w:rsidRPr="00740863">
              <w:t>0</w:t>
            </w:r>
          </w:p>
        </w:tc>
        <w:tc>
          <w:tcPr>
            <w:tcW w:w="685" w:type="dxa"/>
            <w:tcBorders>
              <w:top w:val="nil"/>
              <w:bottom w:val="nil"/>
            </w:tcBorders>
            <w:shd w:val="clear" w:color="auto" w:fill="auto"/>
            <w:noWrap/>
          </w:tcPr>
          <w:p w:rsidR="00604EF3" w:rsidRPr="00824D54" w:rsidRDefault="00604EF3">
            <w:pPr>
              <w:jc w:val="right"/>
            </w:pPr>
            <w:r w:rsidRPr="00740863">
              <w:t>0</w:t>
            </w:r>
          </w:p>
        </w:tc>
        <w:tc>
          <w:tcPr>
            <w:tcW w:w="685" w:type="dxa"/>
            <w:tcBorders>
              <w:top w:val="nil"/>
              <w:bottom w:val="nil"/>
            </w:tcBorders>
            <w:shd w:val="clear" w:color="auto" w:fill="auto"/>
            <w:noWrap/>
          </w:tcPr>
          <w:p w:rsidR="00604EF3" w:rsidRPr="00824D54" w:rsidRDefault="00604EF3">
            <w:pPr>
              <w:jc w:val="right"/>
            </w:pPr>
            <w:r w:rsidRPr="00740863">
              <w:t>0</w:t>
            </w:r>
          </w:p>
        </w:tc>
        <w:tc>
          <w:tcPr>
            <w:tcW w:w="685" w:type="dxa"/>
            <w:tcBorders>
              <w:top w:val="nil"/>
              <w:bottom w:val="nil"/>
            </w:tcBorders>
            <w:shd w:val="clear" w:color="auto" w:fill="auto"/>
          </w:tcPr>
          <w:p w:rsidR="00604EF3" w:rsidRPr="00824D54" w:rsidRDefault="00604EF3">
            <w:pPr>
              <w:jc w:val="right"/>
            </w:pPr>
            <w:r w:rsidRPr="00740863">
              <w:t>11</w:t>
            </w:r>
          </w:p>
        </w:tc>
        <w:tc>
          <w:tcPr>
            <w:tcW w:w="685" w:type="dxa"/>
            <w:tcBorders>
              <w:top w:val="nil"/>
              <w:bottom w:val="nil"/>
            </w:tcBorders>
            <w:shd w:val="clear" w:color="auto" w:fill="auto"/>
          </w:tcPr>
          <w:p w:rsidR="00604EF3" w:rsidRPr="00740863" w:rsidRDefault="00604EF3">
            <w:pPr>
              <w:jc w:val="right"/>
            </w:pPr>
            <w:r w:rsidRPr="00740863">
              <w:t>10</w:t>
            </w:r>
          </w:p>
        </w:tc>
        <w:tc>
          <w:tcPr>
            <w:tcW w:w="685" w:type="dxa"/>
            <w:tcBorders>
              <w:top w:val="nil"/>
              <w:bottom w:val="nil"/>
            </w:tcBorders>
            <w:shd w:val="clear" w:color="auto" w:fill="auto"/>
          </w:tcPr>
          <w:p w:rsidR="00604EF3" w:rsidRPr="00740863" w:rsidRDefault="00604EF3">
            <w:pPr>
              <w:jc w:val="right"/>
            </w:pPr>
            <w:r w:rsidRPr="00740863">
              <w:t>2</w:t>
            </w:r>
          </w:p>
        </w:tc>
        <w:tc>
          <w:tcPr>
            <w:tcW w:w="685" w:type="dxa"/>
            <w:tcBorders>
              <w:top w:val="nil"/>
              <w:bottom w:val="nil"/>
            </w:tcBorders>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D9D9D9" w:themeFill="background1" w:themeFillShade="D9"/>
          </w:tcPr>
          <w:p w:rsidR="00604EF3" w:rsidRPr="00F23934" w:rsidRDefault="00604EF3">
            <w:pPr>
              <w:jc w:val="right"/>
              <w:rPr>
                <w:b/>
              </w:rPr>
            </w:pPr>
            <w:r w:rsidRPr="00F23934">
              <w:rPr>
                <w:rFonts w:ascii="Calibri" w:hAnsi="Calibri"/>
                <w:b/>
                <w:color w:val="000000"/>
                <w:szCs w:val="22"/>
              </w:rPr>
              <w:t>23</w:t>
            </w:r>
          </w:p>
        </w:tc>
      </w:tr>
      <w:tr w:rsidR="00604EF3" w:rsidRPr="009C0F76" w:rsidTr="00604EF3">
        <w:trPr>
          <w:trHeight w:val="300"/>
        </w:trPr>
        <w:tc>
          <w:tcPr>
            <w:tcW w:w="1386" w:type="dxa"/>
            <w:tcBorders>
              <w:top w:val="nil"/>
              <w:bottom w:val="nil"/>
            </w:tcBorders>
            <w:shd w:val="clear" w:color="auto" w:fill="auto"/>
            <w:noWrap/>
          </w:tcPr>
          <w:p w:rsidR="00604EF3" w:rsidRDefault="00604EF3" w:rsidP="00EE3755">
            <w:pPr>
              <w:spacing w:before="120" w:after="120"/>
              <w:rPr>
                <w:b/>
                <w:color w:val="000000"/>
                <w:szCs w:val="22"/>
              </w:rPr>
            </w:pPr>
            <w:r>
              <w:rPr>
                <w:b/>
                <w:color w:val="000000"/>
                <w:szCs w:val="22"/>
              </w:rPr>
              <w:t>C</w:t>
            </w:r>
          </w:p>
        </w:tc>
        <w:tc>
          <w:tcPr>
            <w:tcW w:w="685" w:type="dxa"/>
            <w:tcBorders>
              <w:top w:val="nil"/>
              <w:bottom w:val="nil"/>
            </w:tcBorders>
            <w:shd w:val="clear" w:color="auto" w:fill="auto"/>
            <w:noWrap/>
          </w:tcPr>
          <w:p w:rsidR="00604EF3" w:rsidRPr="00824D54" w:rsidRDefault="00604EF3" w:rsidP="00F900B1">
            <w:pPr>
              <w:jc w:val="right"/>
            </w:pPr>
            <w:r w:rsidRPr="009E3988">
              <w:t>0</w:t>
            </w:r>
          </w:p>
        </w:tc>
        <w:tc>
          <w:tcPr>
            <w:tcW w:w="685" w:type="dxa"/>
            <w:tcBorders>
              <w:top w:val="nil"/>
              <w:bottom w:val="nil"/>
            </w:tcBorders>
            <w:shd w:val="clear" w:color="auto" w:fill="auto"/>
            <w:noWrap/>
          </w:tcPr>
          <w:p w:rsidR="00604EF3" w:rsidRPr="00824D54" w:rsidRDefault="00604EF3" w:rsidP="00F900B1">
            <w:pPr>
              <w:jc w:val="right"/>
            </w:pPr>
            <w:r w:rsidRPr="00740863">
              <w:t>0</w:t>
            </w:r>
          </w:p>
        </w:tc>
        <w:tc>
          <w:tcPr>
            <w:tcW w:w="685" w:type="dxa"/>
            <w:tcBorders>
              <w:top w:val="nil"/>
              <w:bottom w:val="nil"/>
            </w:tcBorders>
            <w:shd w:val="clear" w:color="auto" w:fill="auto"/>
            <w:noWrap/>
          </w:tcPr>
          <w:p w:rsidR="00604EF3" w:rsidRPr="00824D54" w:rsidRDefault="00604EF3">
            <w:pPr>
              <w:jc w:val="right"/>
            </w:pPr>
            <w:r w:rsidRPr="00740863">
              <w:t>0</w:t>
            </w:r>
          </w:p>
        </w:tc>
        <w:tc>
          <w:tcPr>
            <w:tcW w:w="685" w:type="dxa"/>
            <w:tcBorders>
              <w:top w:val="nil"/>
              <w:bottom w:val="nil"/>
            </w:tcBorders>
            <w:shd w:val="clear" w:color="auto" w:fill="auto"/>
            <w:noWrap/>
          </w:tcPr>
          <w:p w:rsidR="00604EF3" w:rsidRPr="00824D54" w:rsidRDefault="00604EF3">
            <w:pPr>
              <w:jc w:val="right"/>
            </w:pPr>
            <w:r w:rsidRPr="00740863">
              <w:t>0</w:t>
            </w:r>
          </w:p>
        </w:tc>
        <w:tc>
          <w:tcPr>
            <w:tcW w:w="685" w:type="dxa"/>
            <w:tcBorders>
              <w:top w:val="nil"/>
              <w:bottom w:val="nil"/>
            </w:tcBorders>
            <w:shd w:val="clear" w:color="auto" w:fill="auto"/>
            <w:noWrap/>
          </w:tcPr>
          <w:p w:rsidR="00604EF3" w:rsidRPr="00824D54" w:rsidRDefault="00604EF3">
            <w:pPr>
              <w:jc w:val="right"/>
            </w:pPr>
            <w:r w:rsidRPr="00740863">
              <w:t>0</w:t>
            </w:r>
          </w:p>
        </w:tc>
        <w:tc>
          <w:tcPr>
            <w:tcW w:w="685" w:type="dxa"/>
            <w:tcBorders>
              <w:top w:val="nil"/>
              <w:bottom w:val="nil"/>
            </w:tcBorders>
            <w:shd w:val="clear" w:color="auto" w:fill="auto"/>
            <w:noWrap/>
          </w:tcPr>
          <w:p w:rsidR="00604EF3" w:rsidRPr="00824D54" w:rsidRDefault="00604EF3">
            <w:pPr>
              <w:jc w:val="right"/>
            </w:pPr>
            <w:r w:rsidRPr="00740863">
              <w:t>0</w:t>
            </w:r>
          </w:p>
        </w:tc>
        <w:tc>
          <w:tcPr>
            <w:tcW w:w="685" w:type="dxa"/>
            <w:tcBorders>
              <w:top w:val="nil"/>
              <w:bottom w:val="nil"/>
            </w:tcBorders>
            <w:shd w:val="clear" w:color="auto" w:fill="auto"/>
          </w:tcPr>
          <w:p w:rsidR="00604EF3" w:rsidRPr="00824D54" w:rsidRDefault="00604EF3">
            <w:pPr>
              <w:jc w:val="right"/>
            </w:pPr>
            <w:r w:rsidRPr="00740863">
              <w:t>0</w:t>
            </w:r>
          </w:p>
        </w:tc>
        <w:tc>
          <w:tcPr>
            <w:tcW w:w="685" w:type="dxa"/>
            <w:tcBorders>
              <w:top w:val="nil"/>
              <w:bottom w:val="nil"/>
            </w:tcBorders>
            <w:shd w:val="clear" w:color="auto" w:fill="auto"/>
          </w:tcPr>
          <w:p w:rsidR="00604EF3" w:rsidRPr="00740863" w:rsidRDefault="00604EF3">
            <w:pPr>
              <w:jc w:val="right"/>
            </w:pPr>
            <w:r w:rsidRPr="00740863">
              <w:t>2</w:t>
            </w:r>
          </w:p>
        </w:tc>
        <w:tc>
          <w:tcPr>
            <w:tcW w:w="685" w:type="dxa"/>
            <w:tcBorders>
              <w:top w:val="nil"/>
              <w:bottom w:val="nil"/>
            </w:tcBorders>
            <w:shd w:val="clear" w:color="auto" w:fill="auto"/>
          </w:tcPr>
          <w:p w:rsidR="00604EF3" w:rsidRPr="00740863" w:rsidRDefault="00604EF3">
            <w:pPr>
              <w:jc w:val="right"/>
            </w:pPr>
            <w:r w:rsidRPr="00740863">
              <w:t>1</w:t>
            </w:r>
          </w:p>
        </w:tc>
        <w:tc>
          <w:tcPr>
            <w:tcW w:w="685" w:type="dxa"/>
            <w:tcBorders>
              <w:top w:val="nil"/>
              <w:bottom w:val="nil"/>
            </w:tcBorders>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D9D9D9" w:themeFill="background1" w:themeFillShade="D9"/>
          </w:tcPr>
          <w:p w:rsidR="00604EF3" w:rsidRPr="00F23934" w:rsidRDefault="00604EF3">
            <w:pPr>
              <w:jc w:val="right"/>
              <w:rPr>
                <w:b/>
              </w:rPr>
            </w:pPr>
            <w:r w:rsidRPr="00F23934">
              <w:rPr>
                <w:rFonts w:ascii="Calibri" w:hAnsi="Calibri"/>
                <w:b/>
                <w:color w:val="000000"/>
                <w:szCs w:val="22"/>
              </w:rPr>
              <w:t>3</w:t>
            </w:r>
          </w:p>
        </w:tc>
      </w:tr>
      <w:tr w:rsidR="00604EF3" w:rsidRPr="009C0F76" w:rsidTr="00604EF3">
        <w:trPr>
          <w:trHeight w:val="300"/>
        </w:trPr>
        <w:tc>
          <w:tcPr>
            <w:tcW w:w="1386" w:type="dxa"/>
            <w:tcBorders>
              <w:top w:val="nil"/>
              <w:bottom w:val="nil"/>
            </w:tcBorders>
            <w:shd w:val="clear" w:color="auto" w:fill="auto"/>
            <w:noWrap/>
          </w:tcPr>
          <w:p w:rsidR="00604EF3" w:rsidRDefault="00604EF3" w:rsidP="00EE3755">
            <w:pPr>
              <w:spacing w:before="120" w:after="120"/>
              <w:rPr>
                <w:b/>
                <w:color w:val="000000"/>
                <w:szCs w:val="22"/>
              </w:rPr>
            </w:pPr>
            <w:r>
              <w:rPr>
                <w:b/>
                <w:color w:val="000000"/>
                <w:szCs w:val="22"/>
              </w:rPr>
              <w:t>D</w:t>
            </w:r>
          </w:p>
        </w:tc>
        <w:tc>
          <w:tcPr>
            <w:tcW w:w="685" w:type="dxa"/>
            <w:tcBorders>
              <w:top w:val="nil"/>
              <w:bottom w:val="nil"/>
            </w:tcBorders>
            <w:shd w:val="clear" w:color="auto" w:fill="auto"/>
            <w:noWrap/>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auto"/>
            <w:noWrap/>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auto"/>
            <w:noWrap/>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auto"/>
            <w:noWrap/>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auto"/>
            <w:noWrap/>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auto"/>
            <w:noWrap/>
          </w:tcPr>
          <w:p w:rsidR="00604EF3" w:rsidRDefault="00604EF3" w:rsidP="00604EF3">
            <w:pPr>
              <w:jc w:val="right"/>
              <w:rPr>
                <w:rFonts w:ascii="Calibri" w:hAnsi="Calibri"/>
                <w:color w:val="000000"/>
                <w:szCs w:val="22"/>
              </w:rPr>
            </w:pPr>
            <w:r>
              <w:rPr>
                <w:rFonts w:ascii="Calibri" w:hAnsi="Calibri"/>
                <w:color w:val="000000"/>
                <w:szCs w:val="22"/>
              </w:rPr>
              <w:t>4</w:t>
            </w:r>
          </w:p>
        </w:tc>
        <w:tc>
          <w:tcPr>
            <w:tcW w:w="685" w:type="dxa"/>
            <w:tcBorders>
              <w:top w:val="nil"/>
              <w:bottom w:val="nil"/>
            </w:tcBorders>
            <w:shd w:val="clear" w:color="auto" w:fill="auto"/>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auto"/>
          </w:tcPr>
          <w:p w:rsidR="00604EF3" w:rsidRDefault="00604EF3" w:rsidP="00604EF3">
            <w:pPr>
              <w:jc w:val="right"/>
              <w:rPr>
                <w:rFonts w:ascii="Calibri" w:hAnsi="Calibri"/>
                <w:color w:val="000000"/>
                <w:szCs w:val="22"/>
              </w:rPr>
            </w:pPr>
            <w:r>
              <w:rPr>
                <w:rFonts w:ascii="Calibri" w:hAnsi="Calibri"/>
                <w:color w:val="000000"/>
                <w:szCs w:val="22"/>
              </w:rPr>
              <w:t>0</w:t>
            </w:r>
          </w:p>
        </w:tc>
        <w:tc>
          <w:tcPr>
            <w:tcW w:w="685" w:type="dxa"/>
            <w:tcBorders>
              <w:top w:val="nil"/>
              <w:bottom w:val="nil"/>
            </w:tcBorders>
            <w:shd w:val="clear" w:color="auto" w:fill="auto"/>
          </w:tcPr>
          <w:p w:rsidR="00604EF3" w:rsidRDefault="00604EF3" w:rsidP="00604EF3">
            <w:pPr>
              <w:jc w:val="right"/>
              <w:rPr>
                <w:rFonts w:ascii="Calibri" w:hAnsi="Calibri"/>
                <w:color w:val="000000"/>
                <w:szCs w:val="22"/>
              </w:rPr>
            </w:pPr>
            <w:r>
              <w:rPr>
                <w:rFonts w:ascii="Calibri" w:hAnsi="Calibri"/>
                <w:color w:val="000000"/>
                <w:szCs w:val="22"/>
              </w:rPr>
              <w:t>1</w:t>
            </w:r>
          </w:p>
        </w:tc>
        <w:tc>
          <w:tcPr>
            <w:tcW w:w="685" w:type="dxa"/>
            <w:tcBorders>
              <w:top w:val="nil"/>
              <w:bottom w:val="nil"/>
            </w:tcBorders>
          </w:tcPr>
          <w:p w:rsidR="00604EF3" w:rsidRDefault="00604EF3" w:rsidP="00604EF3">
            <w:pPr>
              <w:jc w:val="right"/>
              <w:rPr>
                <w:rFonts w:ascii="Calibri" w:hAnsi="Calibri"/>
                <w:color w:val="000000"/>
                <w:szCs w:val="22"/>
              </w:rPr>
            </w:pPr>
            <w:r>
              <w:rPr>
                <w:rFonts w:ascii="Calibri" w:hAnsi="Calibri"/>
                <w:color w:val="000000"/>
                <w:szCs w:val="22"/>
              </w:rPr>
              <w:t>4</w:t>
            </w:r>
          </w:p>
        </w:tc>
        <w:tc>
          <w:tcPr>
            <w:tcW w:w="685" w:type="dxa"/>
            <w:tcBorders>
              <w:top w:val="nil"/>
              <w:bottom w:val="nil"/>
            </w:tcBorders>
            <w:shd w:val="clear" w:color="auto" w:fill="D9D9D9" w:themeFill="background1" w:themeFillShade="D9"/>
          </w:tcPr>
          <w:p w:rsidR="00604EF3" w:rsidRPr="00F23934" w:rsidRDefault="00604EF3" w:rsidP="00604EF3">
            <w:pPr>
              <w:jc w:val="right"/>
              <w:rPr>
                <w:rFonts w:ascii="Calibri" w:hAnsi="Calibri"/>
                <w:b/>
                <w:color w:val="000000"/>
                <w:szCs w:val="22"/>
              </w:rPr>
            </w:pPr>
            <w:r w:rsidRPr="00F23934">
              <w:rPr>
                <w:rFonts w:ascii="Calibri" w:hAnsi="Calibri"/>
                <w:b/>
                <w:color w:val="000000"/>
                <w:szCs w:val="22"/>
              </w:rPr>
              <w:t>0</w:t>
            </w:r>
          </w:p>
        </w:tc>
      </w:tr>
      <w:tr w:rsidR="00604EF3" w:rsidRPr="009C0F76" w:rsidTr="00604EF3">
        <w:trPr>
          <w:trHeight w:val="300"/>
        </w:trPr>
        <w:tc>
          <w:tcPr>
            <w:tcW w:w="1386" w:type="dxa"/>
            <w:tcBorders>
              <w:top w:val="single" w:sz="4" w:space="0" w:color="auto"/>
              <w:bottom w:val="single" w:sz="2" w:space="0" w:color="auto"/>
            </w:tcBorders>
            <w:noWrap/>
          </w:tcPr>
          <w:p w:rsidR="00604EF3" w:rsidRPr="006F79FA" w:rsidRDefault="00604EF3" w:rsidP="00EE3755">
            <w:pPr>
              <w:spacing w:before="120" w:after="120"/>
              <w:rPr>
                <w:b/>
                <w:color w:val="000000"/>
                <w:szCs w:val="22"/>
              </w:rPr>
            </w:pPr>
            <w:r>
              <w:rPr>
                <w:b/>
                <w:color w:val="000000"/>
                <w:szCs w:val="22"/>
              </w:rPr>
              <w:t>Total</w:t>
            </w:r>
          </w:p>
        </w:tc>
        <w:tc>
          <w:tcPr>
            <w:tcW w:w="685" w:type="dxa"/>
            <w:tcBorders>
              <w:top w:val="single" w:sz="4" w:space="0" w:color="auto"/>
              <w:bottom w:val="single" w:sz="2" w:space="0" w:color="auto"/>
            </w:tcBorders>
            <w:noWrap/>
          </w:tcPr>
          <w:p w:rsidR="00604EF3" w:rsidRPr="00824D54" w:rsidRDefault="00604EF3" w:rsidP="00EE3755">
            <w:pPr>
              <w:jc w:val="right"/>
            </w:pPr>
            <w:r>
              <w:rPr>
                <w:rFonts w:ascii="Calibri" w:hAnsi="Calibri"/>
                <w:color w:val="000000"/>
                <w:szCs w:val="22"/>
              </w:rPr>
              <w:t>0</w:t>
            </w:r>
          </w:p>
        </w:tc>
        <w:tc>
          <w:tcPr>
            <w:tcW w:w="685" w:type="dxa"/>
            <w:tcBorders>
              <w:top w:val="single" w:sz="4" w:space="0" w:color="auto"/>
              <w:bottom w:val="single" w:sz="2" w:space="0" w:color="auto"/>
            </w:tcBorders>
            <w:noWrap/>
          </w:tcPr>
          <w:p w:rsidR="00604EF3" w:rsidRPr="00824D54" w:rsidRDefault="00604EF3" w:rsidP="00EE3755">
            <w:pPr>
              <w:jc w:val="right"/>
            </w:pPr>
            <w:r>
              <w:rPr>
                <w:rFonts w:ascii="Calibri" w:hAnsi="Calibri"/>
                <w:color w:val="000000"/>
                <w:szCs w:val="22"/>
              </w:rPr>
              <w:t>19</w:t>
            </w:r>
          </w:p>
        </w:tc>
        <w:tc>
          <w:tcPr>
            <w:tcW w:w="685" w:type="dxa"/>
            <w:tcBorders>
              <w:top w:val="single" w:sz="4" w:space="0" w:color="auto"/>
              <w:bottom w:val="single" w:sz="2" w:space="0" w:color="auto"/>
            </w:tcBorders>
            <w:noWrap/>
          </w:tcPr>
          <w:p w:rsidR="00604EF3" w:rsidRPr="00824D54" w:rsidRDefault="00604EF3" w:rsidP="00EE3755">
            <w:pPr>
              <w:jc w:val="right"/>
            </w:pPr>
            <w:r>
              <w:rPr>
                <w:rFonts w:ascii="Calibri" w:hAnsi="Calibri"/>
                <w:color w:val="000000"/>
                <w:szCs w:val="22"/>
              </w:rPr>
              <w:t>52</w:t>
            </w:r>
          </w:p>
        </w:tc>
        <w:tc>
          <w:tcPr>
            <w:tcW w:w="685" w:type="dxa"/>
            <w:tcBorders>
              <w:top w:val="single" w:sz="4" w:space="0" w:color="auto"/>
              <w:bottom w:val="single" w:sz="2" w:space="0" w:color="auto"/>
            </w:tcBorders>
            <w:noWrap/>
          </w:tcPr>
          <w:p w:rsidR="00604EF3" w:rsidRPr="00824D54" w:rsidRDefault="00604EF3" w:rsidP="00EE3755">
            <w:pPr>
              <w:jc w:val="right"/>
            </w:pPr>
            <w:r>
              <w:rPr>
                <w:rFonts w:ascii="Calibri" w:hAnsi="Calibri"/>
                <w:color w:val="000000"/>
                <w:szCs w:val="22"/>
              </w:rPr>
              <w:t>139</w:t>
            </w:r>
          </w:p>
        </w:tc>
        <w:tc>
          <w:tcPr>
            <w:tcW w:w="685" w:type="dxa"/>
            <w:tcBorders>
              <w:top w:val="single" w:sz="4" w:space="0" w:color="auto"/>
              <w:bottom w:val="single" w:sz="2" w:space="0" w:color="auto"/>
            </w:tcBorders>
            <w:noWrap/>
          </w:tcPr>
          <w:p w:rsidR="00604EF3" w:rsidRPr="00824D54" w:rsidRDefault="00604EF3" w:rsidP="00EE3755">
            <w:pPr>
              <w:jc w:val="right"/>
            </w:pPr>
            <w:r>
              <w:rPr>
                <w:rFonts w:ascii="Calibri" w:hAnsi="Calibri"/>
                <w:color w:val="000000"/>
                <w:szCs w:val="22"/>
              </w:rPr>
              <w:t>203</w:t>
            </w:r>
          </w:p>
        </w:tc>
        <w:tc>
          <w:tcPr>
            <w:tcW w:w="685" w:type="dxa"/>
            <w:tcBorders>
              <w:top w:val="single" w:sz="4" w:space="0" w:color="auto"/>
              <w:bottom w:val="single" w:sz="2" w:space="0" w:color="auto"/>
            </w:tcBorders>
            <w:noWrap/>
          </w:tcPr>
          <w:p w:rsidR="00604EF3" w:rsidRPr="00824D54" w:rsidRDefault="00604EF3" w:rsidP="00EE3755">
            <w:pPr>
              <w:jc w:val="right"/>
            </w:pPr>
            <w:r>
              <w:rPr>
                <w:rFonts w:ascii="Calibri" w:hAnsi="Calibri"/>
                <w:color w:val="000000"/>
                <w:szCs w:val="22"/>
              </w:rPr>
              <w:t>178</w:t>
            </w:r>
          </w:p>
        </w:tc>
        <w:tc>
          <w:tcPr>
            <w:tcW w:w="685" w:type="dxa"/>
            <w:tcBorders>
              <w:top w:val="single" w:sz="4" w:space="0" w:color="auto"/>
              <w:bottom w:val="single" w:sz="2" w:space="0" w:color="auto"/>
            </w:tcBorders>
          </w:tcPr>
          <w:p w:rsidR="00604EF3" w:rsidRPr="00824D54" w:rsidRDefault="00604EF3" w:rsidP="00EE3755">
            <w:pPr>
              <w:jc w:val="right"/>
            </w:pPr>
            <w:r>
              <w:rPr>
                <w:rFonts w:ascii="Calibri" w:hAnsi="Calibri"/>
                <w:color w:val="000000"/>
                <w:szCs w:val="22"/>
              </w:rPr>
              <w:t>73</w:t>
            </w:r>
          </w:p>
        </w:tc>
        <w:tc>
          <w:tcPr>
            <w:tcW w:w="685" w:type="dxa"/>
            <w:tcBorders>
              <w:top w:val="single" w:sz="4" w:space="0" w:color="auto"/>
              <w:bottom w:val="single" w:sz="2" w:space="0" w:color="auto"/>
            </w:tcBorders>
            <w:shd w:val="clear" w:color="auto" w:fill="auto"/>
          </w:tcPr>
          <w:p w:rsidR="00604EF3" w:rsidRPr="00740863" w:rsidRDefault="00604EF3" w:rsidP="00EE3755">
            <w:pPr>
              <w:jc w:val="right"/>
            </w:pPr>
            <w:r>
              <w:rPr>
                <w:rFonts w:ascii="Calibri" w:hAnsi="Calibri"/>
                <w:color w:val="000000"/>
                <w:szCs w:val="22"/>
              </w:rPr>
              <w:t>26</w:t>
            </w:r>
          </w:p>
        </w:tc>
        <w:tc>
          <w:tcPr>
            <w:tcW w:w="685" w:type="dxa"/>
            <w:tcBorders>
              <w:top w:val="single" w:sz="4" w:space="0" w:color="auto"/>
              <w:bottom w:val="single" w:sz="2" w:space="0" w:color="auto"/>
            </w:tcBorders>
            <w:shd w:val="clear" w:color="auto" w:fill="auto"/>
          </w:tcPr>
          <w:p w:rsidR="00604EF3" w:rsidRPr="00740863" w:rsidRDefault="00604EF3" w:rsidP="00EE3755">
            <w:pPr>
              <w:jc w:val="right"/>
            </w:pPr>
            <w:r>
              <w:rPr>
                <w:rFonts w:ascii="Calibri" w:hAnsi="Calibri"/>
                <w:color w:val="000000"/>
                <w:szCs w:val="22"/>
              </w:rPr>
              <w:t>4</w:t>
            </w:r>
          </w:p>
        </w:tc>
        <w:tc>
          <w:tcPr>
            <w:tcW w:w="685" w:type="dxa"/>
            <w:tcBorders>
              <w:top w:val="single" w:sz="4" w:space="0" w:color="auto"/>
              <w:bottom w:val="single" w:sz="2" w:space="0" w:color="auto"/>
            </w:tcBorders>
          </w:tcPr>
          <w:p w:rsidR="00604EF3" w:rsidRDefault="00604EF3" w:rsidP="00604EF3">
            <w:pPr>
              <w:jc w:val="right"/>
              <w:rPr>
                <w:rFonts w:ascii="Calibri" w:hAnsi="Calibri"/>
                <w:color w:val="000000"/>
                <w:szCs w:val="22"/>
              </w:rPr>
            </w:pPr>
            <w:r>
              <w:rPr>
                <w:rFonts w:ascii="Calibri" w:hAnsi="Calibri"/>
                <w:color w:val="000000"/>
                <w:szCs w:val="22"/>
              </w:rPr>
              <w:t>1</w:t>
            </w:r>
          </w:p>
        </w:tc>
        <w:tc>
          <w:tcPr>
            <w:tcW w:w="685" w:type="dxa"/>
            <w:tcBorders>
              <w:top w:val="single" w:sz="4" w:space="0" w:color="auto"/>
              <w:bottom w:val="single" w:sz="2" w:space="0" w:color="auto"/>
            </w:tcBorders>
            <w:shd w:val="clear" w:color="auto" w:fill="D9D9D9" w:themeFill="background1" w:themeFillShade="D9"/>
          </w:tcPr>
          <w:p w:rsidR="00604EF3" w:rsidRPr="00F23934" w:rsidRDefault="00604EF3" w:rsidP="00F900B1">
            <w:pPr>
              <w:jc w:val="right"/>
              <w:rPr>
                <w:b/>
              </w:rPr>
            </w:pPr>
            <w:r w:rsidRPr="00F23934">
              <w:rPr>
                <w:rFonts w:ascii="Calibri" w:hAnsi="Calibri"/>
                <w:b/>
                <w:color w:val="000000"/>
                <w:szCs w:val="22"/>
              </w:rPr>
              <w:t>695</w:t>
            </w:r>
          </w:p>
        </w:tc>
      </w:tr>
    </w:tbl>
    <w:p w:rsidR="00F6376B" w:rsidRDefault="00F6376B" w:rsidP="0003502D">
      <w:pPr>
        <w:pStyle w:val="FootnoteText"/>
      </w:pPr>
      <w:r w:rsidRPr="001512D3">
        <w:t xml:space="preserve">Source: Joint Committee calculations based on </w:t>
      </w:r>
      <w:r w:rsidR="003C1866">
        <w:t xml:space="preserve">CEREP and </w:t>
      </w:r>
      <w:r w:rsidR="004B3663">
        <w:t>Axesor</w:t>
      </w:r>
      <w:r w:rsidRPr="001512D3">
        <w:t xml:space="preserve"> data </w:t>
      </w:r>
    </w:p>
    <w:p w:rsidR="00F6376B" w:rsidRDefault="00F6376B" w:rsidP="0003502D">
      <w:pPr>
        <w:pStyle w:val="FootnoteText"/>
      </w:pPr>
    </w:p>
    <w:p w:rsidR="00BB2D63" w:rsidRDefault="0003502D" w:rsidP="00BB2D63">
      <w:pPr>
        <w:jc w:val="both"/>
      </w:pPr>
      <w:r>
        <w:t>Figure 10</w:t>
      </w:r>
      <w:r w:rsidR="00862307">
        <w:t xml:space="preserve"> </w:t>
      </w:r>
      <w:r w:rsidR="00EE3755">
        <w:t xml:space="preserve">reflects the estimation of the </w:t>
      </w:r>
      <w:r w:rsidR="0092128B">
        <w:t xml:space="preserve">hypothetical </w:t>
      </w:r>
      <w:r w:rsidR="00EE3755">
        <w:t xml:space="preserve">credit rating distribution for the population of scored </w:t>
      </w:r>
      <w:r w:rsidR="00A82CA6">
        <w:t xml:space="preserve">items available </w:t>
      </w:r>
      <w:r w:rsidR="00F753DB">
        <w:t xml:space="preserve">in </w:t>
      </w:r>
      <w:r w:rsidR="00EE3755">
        <w:t>200</w:t>
      </w:r>
      <w:r w:rsidR="00F753DB">
        <w:t>7</w:t>
      </w:r>
      <w:r w:rsidR="00E7507B">
        <w:t xml:space="preserve"> (see</w:t>
      </w:r>
      <w:r w:rsidR="00862307">
        <w:t xml:space="preserve"> </w:t>
      </w:r>
      <w:r w:rsidR="00862307">
        <w:fldChar w:fldCharType="begin"/>
      </w:r>
      <w:r w:rsidR="00862307">
        <w:instrText xml:space="preserve"> REF _Ref390420877 \h </w:instrText>
      </w:r>
      <w:r w:rsidR="00862307">
        <w:fldChar w:fldCharType="separate"/>
      </w:r>
      <w:r w:rsidR="00A93B28" w:rsidRPr="0041788D">
        <w:rPr>
          <w:szCs w:val="22"/>
        </w:rPr>
        <w:t xml:space="preserve">Figure </w:t>
      </w:r>
      <w:r w:rsidR="00A93B28">
        <w:rPr>
          <w:noProof/>
          <w:szCs w:val="22"/>
        </w:rPr>
        <w:t>10</w:t>
      </w:r>
      <w:r w:rsidR="00862307">
        <w:fldChar w:fldCharType="end"/>
      </w:r>
      <w:r w:rsidR="00E7507B">
        <w:t>)</w:t>
      </w:r>
      <w:r w:rsidR="00BB2D63">
        <w:t xml:space="preserve">. In order to derive the number of scorings that would fall in each rating category, the relationship described in </w:t>
      </w:r>
      <w:r w:rsidR="00BB2D63">
        <w:fldChar w:fldCharType="begin"/>
      </w:r>
      <w:r w:rsidR="00BB2D63">
        <w:instrText xml:space="preserve"> REF _Ref390424496 \h </w:instrText>
      </w:r>
      <w:r w:rsidR="00BB2D63">
        <w:fldChar w:fldCharType="separate"/>
      </w:r>
      <w:r w:rsidR="00A93B28" w:rsidRPr="00C16FAA">
        <w:t xml:space="preserve">Figure </w:t>
      </w:r>
      <w:r w:rsidR="00A93B28">
        <w:rPr>
          <w:noProof/>
        </w:rPr>
        <w:t>4</w:t>
      </w:r>
      <w:r w:rsidR="00BB2D63">
        <w:fldChar w:fldCharType="end"/>
      </w:r>
      <w:r w:rsidR="00BB2D63">
        <w:t xml:space="preserve"> between the rating and scoring measures has been used</w:t>
      </w:r>
      <w:r w:rsidR="00DC714F">
        <w:t xml:space="preserve"> (the similarity of the sector distribution in the rating and scoring populations shown in </w:t>
      </w:r>
      <w:r w:rsidR="00DC714F">
        <w:fldChar w:fldCharType="begin"/>
      </w:r>
      <w:r w:rsidR="00DC714F">
        <w:instrText xml:space="preserve"> REF _Ref384830055 \h </w:instrText>
      </w:r>
      <w:r w:rsidR="00DC714F">
        <w:fldChar w:fldCharType="separate"/>
      </w:r>
      <w:r w:rsidR="00A93B28" w:rsidRPr="0041788D">
        <w:t xml:space="preserve">Figure </w:t>
      </w:r>
      <w:r w:rsidR="00A93B28">
        <w:rPr>
          <w:noProof/>
        </w:rPr>
        <w:t>6</w:t>
      </w:r>
      <w:r w:rsidR="00DC714F">
        <w:fldChar w:fldCharType="end"/>
      </w:r>
      <w:r w:rsidR="00DC714F">
        <w:t xml:space="preserve"> suggests that such relationship can be applied to the scoring population, although it is acknowledged that other factors may also be relevant)</w:t>
      </w:r>
      <w:r w:rsidR="00BB2D63">
        <w:t>.</w:t>
      </w:r>
    </w:p>
    <w:p w:rsidR="00BB2D63" w:rsidRDefault="00BB2D63" w:rsidP="00BB2D63">
      <w:pPr>
        <w:jc w:val="both"/>
      </w:pPr>
    </w:p>
    <w:p w:rsidR="00F23934" w:rsidRDefault="00BB2D63" w:rsidP="00BB2D63">
      <w:pPr>
        <w:jc w:val="both"/>
      </w:pPr>
      <w:r>
        <w:t xml:space="preserve">For example, </w:t>
      </w:r>
      <w:r w:rsidR="00F753DB">
        <w:t>100</w:t>
      </w:r>
      <w:r>
        <w:t xml:space="preserve">% of the </w:t>
      </w:r>
      <w:r w:rsidR="00F753DB">
        <w:t>19</w:t>
      </w:r>
      <w:r>
        <w:t xml:space="preserve"> AA-scored items </w:t>
      </w:r>
      <w:r w:rsidR="00E7507B">
        <w:t xml:space="preserve">would </w:t>
      </w:r>
      <w:r>
        <w:t xml:space="preserve">have been </w:t>
      </w:r>
      <w:r w:rsidR="0092128B">
        <w:t xml:space="preserve">(hypothetically) </w:t>
      </w:r>
      <w:r>
        <w:t>assigned to the A rating categor</w:t>
      </w:r>
      <w:r w:rsidR="00F753DB">
        <w:t>y</w:t>
      </w:r>
      <w:r>
        <w:t>. Th</w:t>
      </w:r>
      <w:r w:rsidR="00F753DB">
        <w:t>is</w:t>
      </w:r>
      <w:r>
        <w:t xml:space="preserve"> correspond</w:t>
      </w:r>
      <w:r w:rsidR="00F753DB">
        <w:t>s</w:t>
      </w:r>
      <w:r>
        <w:t xml:space="preserve"> to the share of AA-scored items that have </w:t>
      </w:r>
      <w:r w:rsidR="003A6E09">
        <w:t xml:space="preserve">been rated as A by </w:t>
      </w:r>
      <w:r w:rsidR="00F753DB">
        <w:t>Axesor</w:t>
      </w:r>
      <w:r w:rsidR="003A6E09">
        <w:t xml:space="preserve"> between </w:t>
      </w:r>
      <w:r w:rsidR="00F753DB">
        <w:t xml:space="preserve">October </w:t>
      </w:r>
      <w:r w:rsidR="003A6E09">
        <w:t>201</w:t>
      </w:r>
      <w:r w:rsidR="00F753DB">
        <w:t>2</w:t>
      </w:r>
      <w:r w:rsidR="003A6E09">
        <w:t xml:space="preserve"> and </w:t>
      </w:r>
      <w:r w:rsidR="00F753DB">
        <w:t xml:space="preserve">July </w:t>
      </w:r>
      <w:r w:rsidR="003A6E09">
        <w:t>2013 (</w:t>
      </w:r>
      <w:r w:rsidR="002E33EF">
        <w:t>all 4 scored items were rated A</w:t>
      </w:r>
      <w:r w:rsidR="003A6E09">
        <w:t>).</w:t>
      </w:r>
    </w:p>
    <w:p w:rsidR="001834DC" w:rsidRDefault="00F23934" w:rsidP="00F23934">
      <w:pPr>
        <w:sectPr w:rsidR="001834DC" w:rsidSect="001834DC">
          <w:headerReference w:type="even" r:id="rId33"/>
          <w:headerReference w:type="default" r:id="rId34"/>
          <w:footerReference w:type="even" r:id="rId35"/>
          <w:footerReference w:type="default" r:id="rId36"/>
          <w:headerReference w:type="first" r:id="rId37"/>
          <w:footerReference w:type="first" r:id="rId38"/>
          <w:pgSz w:w="11900" w:h="16840"/>
          <w:pgMar w:top="2268" w:right="1418" w:bottom="1134" w:left="1701" w:header="709" w:footer="709" w:gutter="0"/>
          <w:cols w:space="708"/>
          <w:titlePg/>
          <w:docGrid w:linePitch="299"/>
        </w:sectPr>
      </w:pPr>
      <w:r>
        <w:br w:type="page"/>
      </w:r>
      <w:bookmarkStart w:id="21" w:name="_Ref390934802"/>
      <w:bookmarkStart w:id="22" w:name="_Ref390432789"/>
    </w:p>
    <w:p w:rsidR="00863721" w:rsidRDefault="00863721" w:rsidP="0003502D">
      <w:pPr>
        <w:pStyle w:val="Figuretitle"/>
      </w:pPr>
      <w:bookmarkStart w:id="23" w:name="_Ref390936298"/>
      <w:r w:rsidRPr="00C16FAA">
        <w:lastRenderedPageBreak/>
        <w:t xml:space="preserve">Figure </w:t>
      </w:r>
      <w:bookmarkEnd w:id="21"/>
      <w:bookmarkEnd w:id="23"/>
      <w:r w:rsidR="0003502D">
        <w:t>11</w:t>
      </w:r>
      <w:r w:rsidRPr="00C16FAA">
        <w:t xml:space="preserve">: Observed </w:t>
      </w:r>
      <w:r>
        <w:t>differences</w:t>
      </w:r>
      <w:r w:rsidRPr="00C16FAA">
        <w:t xml:space="preserve"> between </w:t>
      </w:r>
      <w:r>
        <w:t>credit scorings and hypothetical credit ratings distribution</w:t>
      </w:r>
      <w:r w:rsidR="00E002D8">
        <w:t>s</w:t>
      </w:r>
      <w:r w:rsidRPr="00C16FAA">
        <w:t xml:space="preserve"> (</w:t>
      </w:r>
      <w:r>
        <w:t>200</w:t>
      </w:r>
      <w:r w:rsidR="00EA5B82">
        <w:t>7</w:t>
      </w:r>
      <w:r>
        <w:t>-200</w:t>
      </w:r>
      <w:r w:rsidR="00EA5B82">
        <w:t>9</w:t>
      </w:r>
      <w:r w:rsidRPr="00C16FAA">
        <w:t>)</w:t>
      </w:r>
    </w:p>
    <w:p w:rsidR="00863721" w:rsidRPr="00863721" w:rsidRDefault="00863721" w:rsidP="00745502">
      <w:pPr>
        <w:rPr>
          <w:b/>
          <w:bCs/>
        </w:rPr>
      </w:pPr>
      <w:r w:rsidRPr="00863721">
        <w:rPr>
          <w:b/>
          <w:bCs/>
        </w:rPr>
        <w:t>Scoring distribution</w:t>
      </w:r>
    </w:p>
    <w:p w:rsidR="00863721" w:rsidRDefault="008E31A6" w:rsidP="00863721">
      <w:pPr>
        <w:rPr>
          <w:bCs/>
        </w:rPr>
      </w:pPr>
      <w:r>
        <w:rPr>
          <w:noProof/>
          <w:lang w:eastAsia="en-GB"/>
        </w:rPr>
        <w:drawing>
          <wp:inline distT="0" distB="0" distL="0" distR="0" wp14:anchorId="0918E780" wp14:editId="1B75BEBE">
            <wp:extent cx="2562860" cy="2847876"/>
            <wp:effectExtent l="0" t="0" r="2794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863721" w:rsidRDefault="00863721" w:rsidP="00863721">
      <w:pPr>
        <w:rPr>
          <w:bCs/>
        </w:rPr>
      </w:pPr>
    </w:p>
    <w:p w:rsidR="00863721" w:rsidRPr="00863721" w:rsidRDefault="00863721" w:rsidP="00745502">
      <w:pPr>
        <w:rPr>
          <w:b/>
          <w:bCs/>
        </w:rPr>
      </w:pPr>
      <w:r w:rsidRPr="00863721">
        <w:rPr>
          <w:b/>
          <w:bCs/>
        </w:rPr>
        <w:t>Hypothetical rating distribution</w:t>
      </w:r>
    </w:p>
    <w:p w:rsidR="00F23934" w:rsidRDefault="008E31A6" w:rsidP="00E74913">
      <w:r>
        <w:rPr>
          <w:noProof/>
          <w:lang w:eastAsia="en-GB"/>
        </w:rPr>
        <w:drawing>
          <wp:inline distT="0" distB="0" distL="0" distR="0" wp14:anchorId="0F233D11" wp14:editId="55EA77F0">
            <wp:extent cx="2562860" cy="2847876"/>
            <wp:effectExtent l="0" t="0" r="27940" b="1016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23934" w:rsidRPr="00745502" w:rsidRDefault="00745502" w:rsidP="00E74913">
      <w:pPr>
        <w:rPr>
          <w:sz w:val="18"/>
        </w:rPr>
      </w:pPr>
      <w:r w:rsidRPr="00745502">
        <w:rPr>
          <w:sz w:val="18"/>
        </w:rPr>
        <w:t>Source: Joint Committee calculations based on CEREP and Axesor data</w:t>
      </w:r>
    </w:p>
    <w:p w:rsidR="00F23934" w:rsidRDefault="00F23934" w:rsidP="00E74913"/>
    <w:p w:rsidR="00863721" w:rsidRDefault="0003502D" w:rsidP="00745502">
      <w:pPr>
        <w:jc w:val="both"/>
      </w:pPr>
      <w:r>
        <w:t>Figure 11</w:t>
      </w:r>
      <w:r w:rsidR="00863721">
        <w:t xml:space="preserve"> shows the differences in the distribution of scoring and the distribution of hypothetical ratings which were derived based on the relationship described in </w:t>
      </w:r>
      <w:r w:rsidR="00863721">
        <w:fldChar w:fldCharType="begin"/>
      </w:r>
      <w:r w:rsidR="00863721">
        <w:instrText xml:space="preserve"> REF _Ref390424496 \h </w:instrText>
      </w:r>
      <w:r w:rsidR="001834DC">
        <w:instrText xml:space="preserve"> \* MERGEFORMAT </w:instrText>
      </w:r>
      <w:r w:rsidR="00863721">
        <w:fldChar w:fldCharType="separate"/>
      </w:r>
      <w:r w:rsidR="00A93B28" w:rsidRPr="00C16FAA">
        <w:t xml:space="preserve">Figure </w:t>
      </w:r>
      <w:r w:rsidR="00A93B28">
        <w:t>4</w:t>
      </w:r>
      <w:r w:rsidR="00863721">
        <w:fldChar w:fldCharType="end"/>
      </w:r>
      <w:r w:rsidR="00863721">
        <w:t xml:space="preserve"> between the rating and scoring.</w:t>
      </w:r>
    </w:p>
    <w:p w:rsidR="001834DC" w:rsidRDefault="001834DC" w:rsidP="00745502">
      <w:pPr>
        <w:jc w:val="both"/>
      </w:pPr>
    </w:p>
    <w:p w:rsidR="00F6065A" w:rsidRDefault="00F6065A" w:rsidP="00745502">
      <w:pPr>
        <w:jc w:val="both"/>
      </w:pPr>
      <w:r>
        <w:t xml:space="preserve">As can be seen on the charts, the main differences are a decrease in the share of BBB credit assessments and an increase in the share of BB and CCC credit assessments. At the same time, no hypothetical ratings are allocated to the AAA and AA assessment categories. Overall the </w:t>
      </w:r>
      <w:r w:rsidR="00A53001">
        <w:t>conversion of scorings to ratings shows</w:t>
      </w:r>
      <w:r>
        <w:t xml:space="preserve"> a general downgrade of credit assessments.</w:t>
      </w:r>
    </w:p>
    <w:p w:rsidR="00863721" w:rsidRDefault="00863721" w:rsidP="00863721">
      <w:pPr>
        <w:pStyle w:val="body"/>
        <w:sectPr w:rsidR="00863721" w:rsidSect="00863721">
          <w:headerReference w:type="even" r:id="rId41"/>
          <w:headerReference w:type="default" r:id="rId42"/>
          <w:footerReference w:type="even" r:id="rId43"/>
          <w:footerReference w:type="default" r:id="rId44"/>
          <w:headerReference w:type="first" r:id="rId45"/>
          <w:footerReference w:type="first" r:id="rId46"/>
          <w:type w:val="continuous"/>
          <w:pgSz w:w="11900" w:h="16840"/>
          <w:pgMar w:top="2268" w:right="1418" w:bottom="1134" w:left="1701" w:header="709" w:footer="709" w:gutter="0"/>
          <w:cols w:space="708"/>
          <w:titlePg/>
          <w:docGrid w:linePitch="299"/>
        </w:sectPr>
      </w:pPr>
    </w:p>
    <w:p w:rsidR="00772C54" w:rsidRPr="00EE3755" w:rsidRDefault="00772C54" w:rsidP="0003502D">
      <w:pPr>
        <w:pStyle w:val="Figuretitle"/>
      </w:pPr>
      <w:bookmarkStart w:id="24" w:name="_Ref390936321"/>
      <w:r w:rsidRPr="00EE3755">
        <w:lastRenderedPageBreak/>
        <w:t xml:space="preserve">Figure </w:t>
      </w:r>
      <w:bookmarkEnd w:id="22"/>
      <w:bookmarkEnd w:id="24"/>
      <w:r w:rsidR="0003502D">
        <w:t>12</w:t>
      </w:r>
      <w:r w:rsidRPr="00EE3755">
        <w:t xml:space="preserve">: </w:t>
      </w:r>
      <w:r w:rsidR="002E33EF">
        <w:t>Distribution</w:t>
      </w:r>
      <w:r w:rsidR="0092128B">
        <w:t xml:space="preserve"> of hypothetical credit ratings</w:t>
      </w:r>
      <w:r w:rsidR="006250D1">
        <w:t xml:space="preserve"> </w:t>
      </w:r>
      <w:r w:rsidR="002E33EF">
        <w:t xml:space="preserve">by observation date </w:t>
      </w:r>
      <w:r w:rsidR="006250D1">
        <w:t>and hypothesis testing of benchmark long run default rates</w:t>
      </w:r>
    </w:p>
    <w:tbl>
      <w:tblPr>
        <w:tblStyle w:val="EBAtable"/>
        <w:tblW w:w="13286" w:type="dxa"/>
        <w:tblLayout w:type="fixed"/>
        <w:tblLook w:val="04A0" w:firstRow="1" w:lastRow="0" w:firstColumn="1" w:lastColumn="0" w:noHBand="0" w:noVBand="1"/>
      </w:tblPr>
      <w:tblGrid>
        <w:gridCol w:w="1527"/>
        <w:gridCol w:w="847"/>
        <w:gridCol w:w="847"/>
        <w:gridCol w:w="847"/>
        <w:gridCol w:w="847"/>
        <w:gridCol w:w="847"/>
        <w:gridCol w:w="847"/>
        <w:gridCol w:w="847"/>
        <w:gridCol w:w="847"/>
        <w:gridCol w:w="847"/>
        <w:gridCol w:w="1164"/>
        <w:gridCol w:w="1532"/>
        <w:gridCol w:w="1440"/>
      </w:tblGrid>
      <w:tr w:rsidR="00530DDB" w:rsidRPr="009C0F76" w:rsidTr="00530DDB">
        <w:trPr>
          <w:cnfStyle w:val="100000000000" w:firstRow="1" w:lastRow="0" w:firstColumn="0" w:lastColumn="0" w:oddVBand="0" w:evenVBand="0" w:oddHBand="0" w:evenHBand="0" w:firstRowFirstColumn="0" w:firstRowLastColumn="0" w:lastRowFirstColumn="0" w:lastRowLastColumn="0"/>
          <w:trHeight w:val="300"/>
        </w:trPr>
        <w:tc>
          <w:tcPr>
            <w:tcW w:w="1527" w:type="dxa"/>
            <w:noWrap/>
            <w:hideMark/>
          </w:tcPr>
          <w:p w:rsidR="00530DDB" w:rsidRPr="006F79FA" w:rsidRDefault="00530DDB" w:rsidP="00F900B1">
            <w:pPr>
              <w:spacing w:before="120" w:after="120"/>
              <w:rPr>
                <w:b/>
                <w:color w:val="000000"/>
                <w:szCs w:val="22"/>
              </w:rPr>
            </w:pPr>
            <w:r>
              <w:rPr>
                <w:b/>
                <w:color w:val="000000"/>
                <w:szCs w:val="22"/>
              </w:rPr>
              <w:t>Hypothetical credit rating Axesor</w:t>
            </w:r>
          </w:p>
        </w:tc>
        <w:tc>
          <w:tcPr>
            <w:tcW w:w="847" w:type="dxa"/>
            <w:noWrap/>
            <w:hideMark/>
          </w:tcPr>
          <w:p w:rsidR="00530DDB" w:rsidRPr="009C0F76" w:rsidRDefault="00530DDB" w:rsidP="003F0267">
            <w:pPr>
              <w:jc w:val="center"/>
              <w:rPr>
                <w:rFonts w:ascii="Calibri" w:hAnsi="Calibri"/>
                <w:b/>
                <w:bCs/>
                <w:color w:val="000000"/>
                <w:szCs w:val="22"/>
                <w:lang w:val="en-US" w:eastAsia="es-ES"/>
              </w:rPr>
            </w:pPr>
            <w:r>
              <w:rPr>
                <w:rFonts w:ascii="Calibri" w:hAnsi="Calibri"/>
                <w:b/>
                <w:bCs/>
                <w:color w:val="000000"/>
                <w:szCs w:val="22"/>
                <w:lang w:val="en-US" w:eastAsia="es-ES"/>
              </w:rPr>
              <w:t>AAA</w:t>
            </w:r>
          </w:p>
        </w:tc>
        <w:tc>
          <w:tcPr>
            <w:tcW w:w="847" w:type="dxa"/>
            <w:noWrap/>
            <w:hideMark/>
          </w:tcPr>
          <w:p w:rsidR="00530DDB" w:rsidRPr="009C0F76" w:rsidRDefault="00530DDB" w:rsidP="003F0267">
            <w:pPr>
              <w:jc w:val="center"/>
              <w:rPr>
                <w:rFonts w:ascii="Calibri" w:hAnsi="Calibri"/>
                <w:b/>
                <w:bCs/>
                <w:color w:val="000000"/>
                <w:szCs w:val="22"/>
                <w:lang w:val="en-US" w:eastAsia="es-ES"/>
              </w:rPr>
            </w:pPr>
            <w:r>
              <w:rPr>
                <w:rFonts w:ascii="Calibri" w:hAnsi="Calibri"/>
                <w:b/>
                <w:bCs/>
                <w:color w:val="000000"/>
                <w:szCs w:val="22"/>
                <w:lang w:val="en-US" w:eastAsia="es-ES"/>
              </w:rPr>
              <w:t>AA</w:t>
            </w:r>
          </w:p>
        </w:tc>
        <w:tc>
          <w:tcPr>
            <w:tcW w:w="847" w:type="dxa"/>
            <w:noWrap/>
            <w:hideMark/>
          </w:tcPr>
          <w:p w:rsidR="00530DDB" w:rsidRPr="009C0F76" w:rsidRDefault="00530DDB" w:rsidP="003F0267">
            <w:pPr>
              <w:jc w:val="center"/>
              <w:rPr>
                <w:rFonts w:ascii="Calibri" w:hAnsi="Calibri"/>
                <w:b/>
                <w:bCs/>
                <w:color w:val="000000"/>
                <w:szCs w:val="22"/>
                <w:lang w:val="en-US" w:eastAsia="es-ES"/>
              </w:rPr>
            </w:pPr>
            <w:r>
              <w:rPr>
                <w:rFonts w:ascii="Calibri" w:hAnsi="Calibri"/>
                <w:b/>
                <w:bCs/>
                <w:color w:val="000000"/>
                <w:szCs w:val="22"/>
                <w:lang w:val="en-US" w:eastAsia="es-ES"/>
              </w:rPr>
              <w:t>A</w:t>
            </w:r>
          </w:p>
        </w:tc>
        <w:tc>
          <w:tcPr>
            <w:tcW w:w="847" w:type="dxa"/>
            <w:noWrap/>
            <w:hideMark/>
          </w:tcPr>
          <w:p w:rsidR="00530DDB" w:rsidRPr="009C0F76" w:rsidRDefault="00530DDB" w:rsidP="003F0267">
            <w:pPr>
              <w:jc w:val="center"/>
              <w:rPr>
                <w:rFonts w:ascii="Calibri" w:hAnsi="Calibri"/>
                <w:b/>
                <w:bCs/>
                <w:color w:val="000000"/>
                <w:szCs w:val="22"/>
                <w:lang w:val="en-US" w:eastAsia="es-ES"/>
              </w:rPr>
            </w:pPr>
            <w:r>
              <w:rPr>
                <w:rFonts w:ascii="Calibri" w:hAnsi="Calibri"/>
                <w:b/>
                <w:bCs/>
                <w:color w:val="000000"/>
                <w:szCs w:val="22"/>
                <w:lang w:val="en-US" w:eastAsia="es-ES"/>
              </w:rPr>
              <w:t>BBB</w:t>
            </w:r>
          </w:p>
        </w:tc>
        <w:tc>
          <w:tcPr>
            <w:tcW w:w="847" w:type="dxa"/>
            <w:noWrap/>
            <w:hideMark/>
          </w:tcPr>
          <w:p w:rsidR="00530DDB" w:rsidRPr="009C0F76" w:rsidRDefault="00530DDB" w:rsidP="003F0267">
            <w:pPr>
              <w:jc w:val="center"/>
              <w:rPr>
                <w:rFonts w:ascii="Calibri" w:hAnsi="Calibri"/>
                <w:b/>
                <w:bCs/>
                <w:color w:val="000000"/>
                <w:szCs w:val="22"/>
                <w:lang w:val="en-US" w:eastAsia="es-ES"/>
              </w:rPr>
            </w:pPr>
            <w:r>
              <w:rPr>
                <w:rFonts w:ascii="Calibri" w:hAnsi="Calibri"/>
                <w:b/>
                <w:bCs/>
                <w:color w:val="000000"/>
                <w:szCs w:val="22"/>
                <w:lang w:val="en-US" w:eastAsia="es-ES"/>
              </w:rPr>
              <w:t>BB</w:t>
            </w:r>
          </w:p>
        </w:tc>
        <w:tc>
          <w:tcPr>
            <w:tcW w:w="847" w:type="dxa"/>
            <w:noWrap/>
            <w:hideMark/>
          </w:tcPr>
          <w:p w:rsidR="00530DDB" w:rsidRPr="009C0F76" w:rsidRDefault="00530DDB" w:rsidP="003F0267">
            <w:pPr>
              <w:jc w:val="center"/>
              <w:rPr>
                <w:rFonts w:ascii="Calibri" w:hAnsi="Calibri"/>
                <w:b/>
                <w:bCs/>
                <w:color w:val="000000"/>
                <w:szCs w:val="22"/>
                <w:lang w:val="en-US" w:eastAsia="es-ES"/>
              </w:rPr>
            </w:pPr>
            <w:r>
              <w:rPr>
                <w:rFonts w:ascii="Calibri" w:hAnsi="Calibri"/>
                <w:b/>
                <w:bCs/>
                <w:color w:val="000000"/>
                <w:szCs w:val="22"/>
                <w:lang w:val="en-US" w:eastAsia="es-ES"/>
              </w:rPr>
              <w:t>B</w:t>
            </w:r>
          </w:p>
        </w:tc>
        <w:tc>
          <w:tcPr>
            <w:tcW w:w="847" w:type="dxa"/>
          </w:tcPr>
          <w:p w:rsidR="00530DDB" w:rsidRPr="009C0F76" w:rsidRDefault="00530DDB" w:rsidP="003F0267">
            <w:pPr>
              <w:ind w:right="113"/>
              <w:jc w:val="center"/>
              <w:rPr>
                <w:rFonts w:ascii="Calibri" w:hAnsi="Calibri"/>
                <w:b/>
                <w:bCs/>
                <w:color w:val="000000"/>
                <w:szCs w:val="22"/>
                <w:lang w:val="en-US" w:eastAsia="es-ES"/>
              </w:rPr>
            </w:pPr>
            <w:r>
              <w:rPr>
                <w:rFonts w:ascii="Calibri" w:hAnsi="Calibri"/>
                <w:b/>
                <w:bCs/>
                <w:color w:val="000000"/>
                <w:szCs w:val="22"/>
                <w:lang w:val="en-US" w:eastAsia="es-ES"/>
              </w:rPr>
              <w:t>CCC</w:t>
            </w:r>
          </w:p>
        </w:tc>
        <w:tc>
          <w:tcPr>
            <w:tcW w:w="847" w:type="dxa"/>
          </w:tcPr>
          <w:p w:rsidR="00530DDB" w:rsidRDefault="00530DDB" w:rsidP="003F0267">
            <w:pPr>
              <w:jc w:val="center"/>
              <w:rPr>
                <w:rFonts w:ascii="Calibri" w:hAnsi="Calibri"/>
                <w:b/>
                <w:bCs/>
                <w:color w:val="000000"/>
                <w:szCs w:val="22"/>
                <w:lang w:val="en-US" w:eastAsia="es-ES"/>
              </w:rPr>
            </w:pPr>
            <w:r>
              <w:rPr>
                <w:rFonts w:ascii="Calibri" w:hAnsi="Calibri"/>
                <w:b/>
                <w:bCs/>
                <w:color w:val="000000"/>
                <w:szCs w:val="22"/>
                <w:lang w:val="en-US" w:eastAsia="es-ES"/>
              </w:rPr>
              <w:t>CC</w:t>
            </w:r>
          </w:p>
        </w:tc>
        <w:tc>
          <w:tcPr>
            <w:tcW w:w="847" w:type="dxa"/>
          </w:tcPr>
          <w:p w:rsidR="00530DDB" w:rsidRDefault="00530DDB" w:rsidP="003F0267">
            <w:pPr>
              <w:jc w:val="center"/>
              <w:rPr>
                <w:rFonts w:ascii="Calibri" w:hAnsi="Calibri"/>
                <w:b/>
                <w:bCs/>
                <w:color w:val="000000"/>
                <w:szCs w:val="22"/>
                <w:lang w:val="en-US" w:eastAsia="es-ES"/>
              </w:rPr>
            </w:pPr>
            <w:r>
              <w:rPr>
                <w:rFonts w:ascii="Calibri" w:hAnsi="Calibri"/>
                <w:b/>
                <w:bCs/>
                <w:color w:val="000000"/>
                <w:szCs w:val="22"/>
                <w:lang w:val="en-US" w:eastAsia="es-ES"/>
              </w:rPr>
              <w:t>C</w:t>
            </w:r>
          </w:p>
        </w:tc>
        <w:tc>
          <w:tcPr>
            <w:tcW w:w="1164" w:type="dxa"/>
            <w:tcBorders>
              <w:right w:val="single" w:sz="4" w:space="0" w:color="auto"/>
            </w:tcBorders>
          </w:tcPr>
          <w:p w:rsidR="00530DDB" w:rsidRDefault="00530DDB" w:rsidP="00C04DE0">
            <w:pPr>
              <w:jc w:val="center"/>
              <w:rPr>
                <w:rFonts w:ascii="Calibri" w:hAnsi="Calibri"/>
                <w:b/>
                <w:bCs/>
                <w:color w:val="000000"/>
                <w:szCs w:val="22"/>
                <w:lang w:val="en-US" w:eastAsia="es-ES"/>
              </w:rPr>
            </w:pPr>
            <w:r>
              <w:rPr>
                <w:rFonts w:ascii="Calibri" w:hAnsi="Calibri"/>
                <w:b/>
                <w:bCs/>
                <w:color w:val="000000"/>
                <w:szCs w:val="22"/>
                <w:lang w:val="en-US" w:eastAsia="es-ES"/>
              </w:rPr>
              <w:t>D</w:t>
            </w:r>
          </w:p>
        </w:tc>
        <w:tc>
          <w:tcPr>
            <w:tcW w:w="1532" w:type="dxa"/>
            <w:tcBorders>
              <w:left w:val="single" w:sz="4" w:space="0" w:color="auto"/>
            </w:tcBorders>
          </w:tcPr>
          <w:p w:rsidR="00530DDB" w:rsidRPr="009C0F76" w:rsidRDefault="00530DDB" w:rsidP="00C04DE0">
            <w:pPr>
              <w:jc w:val="center"/>
              <w:rPr>
                <w:rFonts w:ascii="Calibri" w:hAnsi="Calibri"/>
                <w:b/>
                <w:bCs/>
                <w:color w:val="000000"/>
                <w:szCs w:val="22"/>
                <w:lang w:val="en-US" w:eastAsia="es-ES"/>
              </w:rPr>
            </w:pPr>
            <w:r>
              <w:rPr>
                <w:rFonts w:ascii="Calibri" w:hAnsi="Calibri"/>
                <w:b/>
                <w:bCs/>
                <w:color w:val="000000"/>
                <w:szCs w:val="22"/>
                <w:lang w:val="en-US" w:eastAsia="es-ES"/>
              </w:rPr>
              <w:t>Benchmark-implied default rate</w:t>
            </w:r>
          </w:p>
        </w:tc>
        <w:tc>
          <w:tcPr>
            <w:tcW w:w="1440" w:type="dxa"/>
          </w:tcPr>
          <w:p w:rsidR="00530DDB" w:rsidRPr="009C0F76" w:rsidRDefault="00530DDB" w:rsidP="00C04DE0">
            <w:pPr>
              <w:jc w:val="center"/>
              <w:rPr>
                <w:rFonts w:ascii="Calibri" w:hAnsi="Calibri"/>
                <w:b/>
                <w:bCs/>
                <w:color w:val="000000"/>
                <w:szCs w:val="22"/>
                <w:lang w:val="en-US" w:eastAsia="es-ES"/>
              </w:rPr>
            </w:pPr>
            <w:r>
              <w:rPr>
                <w:rFonts w:ascii="Calibri" w:hAnsi="Calibri"/>
                <w:b/>
                <w:bCs/>
                <w:color w:val="000000"/>
                <w:szCs w:val="22"/>
                <w:lang w:val="en-US" w:eastAsia="es-ES"/>
              </w:rPr>
              <w:t>Observed 3-year default rate</w:t>
            </w:r>
          </w:p>
        </w:tc>
      </w:tr>
      <w:tr w:rsidR="00530DDB" w:rsidRPr="009C0F76" w:rsidTr="00530DDB">
        <w:trPr>
          <w:trHeight w:val="300"/>
        </w:trPr>
        <w:tc>
          <w:tcPr>
            <w:tcW w:w="1527" w:type="dxa"/>
            <w:tcBorders>
              <w:bottom w:val="nil"/>
            </w:tcBorders>
            <w:noWrap/>
          </w:tcPr>
          <w:p w:rsidR="00530DDB" w:rsidRPr="006F79FA" w:rsidRDefault="00530DDB" w:rsidP="00A6183A">
            <w:pPr>
              <w:spacing w:before="120" w:after="120"/>
              <w:rPr>
                <w:b/>
                <w:color w:val="000000"/>
                <w:szCs w:val="22"/>
              </w:rPr>
            </w:pPr>
            <w:r>
              <w:rPr>
                <w:b/>
                <w:color w:val="000000"/>
                <w:szCs w:val="22"/>
              </w:rPr>
              <w:t>Date</w:t>
            </w:r>
          </w:p>
        </w:tc>
        <w:tc>
          <w:tcPr>
            <w:tcW w:w="847" w:type="dxa"/>
            <w:tcBorders>
              <w:bottom w:val="nil"/>
            </w:tcBorders>
            <w:noWrap/>
          </w:tcPr>
          <w:p w:rsidR="00530DDB" w:rsidRPr="006576F9" w:rsidRDefault="00530DDB" w:rsidP="003F0267">
            <w:pPr>
              <w:jc w:val="center"/>
              <w:rPr>
                <w:rFonts w:ascii="Calibri" w:hAnsi="Calibri"/>
                <w:color w:val="000000"/>
                <w:szCs w:val="22"/>
                <w:lang w:val="en-US" w:eastAsia="es-ES"/>
              </w:rPr>
            </w:pPr>
          </w:p>
        </w:tc>
        <w:tc>
          <w:tcPr>
            <w:tcW w:w="847" w:type="dxa"/>
            <w:tcBorders>
              <w:bottom w:val="nil"/>
            </w:tcBorders>
            <w:noWrap/>
          </w:tcPr>
          <w:p w:rsidR="00530DDB" w:rsidRPr="006576F9" w:rsidRDefault="00530DDB" w:rsidP="003F0267">
            <w:pPr>
              <w:jc w:val="center"/>
              <w:rPr>
                <w:rFonts w:ascii="Calibri" w:hAnsi="Calibri"/>
                <w:color w:val="000000"/>
                <w:szCs w:val="22"/>
                <w:lang w:val="en-US" w:eastAsia="es-ES"/>
              </w:rPr>
            </w:pPr>
          </w:p>
        </w:tc>
        <w:tc>
          <w:tcPr>
            <w:tcW w:w="847" w:type="dxa"/>
            <w:tcBorders>
              <w:bottom w:val="nil"/>
            </w:tcBorders>
            <w:noWrap/>
          </w:tcPr>
          <w:p w:rsidR="00530DDB" w:rsidRPr="006576F9" w:rsidRDefault="00530DDB" w:rsidP="003F0267">
            <w:pPr>
              <w:jc w:val="center"/>
              <w:rPr>
                <w:rFonts w:ascii="Calibri" w:hAnsi="Calibri"/>
                <w:color w:val="000000"/>
                <w:szCs w:val="22"/>
                <w:lang w:val="en-US" w:eastAsia="es-ES"/>
              </w:rPr>
            </w:pPr>
          </w:p>
        </w:tc>
        <w:tc>
          <w:tcPr>
            <w:tcW w:w="847" w:type="dxa"/>
            <w:tcBorders>
              <w:bottom w:val="nil"/>
            </w:tcBorders>
            <w:noWrap/>
          </w:tcPr>
          <w:p w:rsidR="00530DDB" w:rsidRPr="006576F9" w:rsidRDefault="00530DDB" w:rsidP="003F0267">
            <w:pPr>
              <w:jc w:val="center"/>
              <w:rPr>
                <w:rFonts w:ascii="Calibri" w:hAnsi="Calibri"/>
                <w:color w:val="000000"/>
                <w:szCs w:val="22"/>
                <w:lang w:val="en-US" w:eastAsia="es-ES"/>
              </w:rPr>
            </w:pPr>
          </w:p>
        </w:tc>
        <w:tc>
          <w:tcPr>
            <w:tcW w:w="847" w:type="dxa"/>
            <w:tcBorders>
              <w:bottom w:val="nil"/>
            </w:tcBorders>
            <w:noWrap/>
          </w:tcPr>
          <w:p w:rsidR="00530DDB" w:rsidRPr="006576F9" w:rsidRDefault="00530DDB" w:rsidP="003F0267">
            <w:pPr>
              <w:jc w:val="center"/>
              <w:rPr>
                <w:rFonts w:ascii="Calibri" w:hAnsi="Calibri"/>
                <w:color w:val="000000"/>
                <w:szCs w:val="22"/>
                <w:lang w:val="en-US" w:eastAsia="es-ES"/>
              </w:rPr>
            </w:pPr>
          </w:p>
        </w:tc>
        <w:tc>
          <w:tcPr>
            <w:tcW w:w="847" w:type="dxa"/>
            <w:tcBorders>
              <w:bottom w:val="nil"/>
            </w:tcBorders>
            <w:noWrap/>
          </w:tcPr>
          <w:p w:rsidR="00530DDB" w:rsidRPr="006576F9" w:rsidRDefault="00530DDB" w:rsidP="003F0267">
            <w:pPr>
              <w:jc w:val="center"/>
              <w:rPr>
                <w:rFonts w:ascii="Calibri" w:hAnsi="Calibri"/>
                <w:color w:val="000000"/>
                <w:szCs w:val="22"/>
                <w:lang w:val="en-US" w:eastAsia="es-ES"/>
              </w:rPr>
            </w:pPr>
          </w:p>
        </w:tc>
        <w:tc>
          <w:tcPr>
            <w:tcW w:w="847" w:type="dxa"/>
            <w:tcBorders>
              <w:bottom w:val="nil"/>
            </w:tcBorders>
          </w:tcPr>
          <w:p w:rsidR="00530DDB" w:rsidRPr="006576F9" w:rsidRDefault="00530DDB" w:rsidP="003F0267">
            <w:pPr>
              <w:ind w:right="113"/>
              <w:jc w:val="center"/>
              <w:rPr>
                <w:rFonts w:ascii="Calibri" w:hAnsi="Calibri"/>
                <w:color w:val="000000"/>
                <w:szCs w:val="22"/>
                <w:lang w:val="en-US" w:eastAsia="es-ES"/>
              </w:rPr>
            </w:pPr>
          </w:p>
        </w:tc>
        <w:tc>
          <w:tcPr>
            <w:tcW w:w="847" w:type="dxa"/>
            <w:tcBorders>
              <w:bottom w:val="nil"/>
            </w:tcBorders>
          </w:tcPr>
          <w:p w:rsidR="00530DDB" w:rsidRPr="006576F9" w:rsidRDefault="00530DDB" w:rsidP="003F0267">
            <w:pPr>
              <w:jc w:val="center"/>
              <w:rPr>
                <w:rFonts w:ascii="Calibri" w:hAnsi="Calibri"/>
                <w:color w:val="000000"/>
                <w:szCs w:val="22"/>
                <w:lang w:val="en-US" w:eastAsia="es-ES"/>
              </w:rPr>
            </w:pPr>
          </w:p>
        </w:tc>
        <w:tc>
          <w:tcPr>
            <w:tcW w:w="847" w:type="dxa"/>
            <w:tcBorders>
              <w:bottom w:val="nil"/>
            </w:tcBorders>
          </w:tcPr>
          <w:p w:rsidR="00530DDB" w:rsidRPr="006576F9" w:rsidRDefault="00530DDB" w:rsidP="003F0267">
            <w:pPr>
              <w:jc w:val="center"/>
              <w:rPr>
                <w:rFonts w:ascii="Calibri" w:hAnsi="Calibri"/>
                <w:color w:val="000000"/>
                <w:szCs w:val="22"/>
                <w:lang w:val="en-US" w:eastAsia="es-ES"/>
              </w:rPr>
            </w:pPr>
          </w:p>
        </w:tc>
        <w:tc>
          <w:tcPr>
            <w:tcW w:w="1164" w:type="dxa"/>
            <w:tcBorders>
              <w:bottom w:val="nil"/>
              <w:right w:val="single" w:sz="4" w:space="0" w:color="auto"/>
            </w:tcBorders>
          </w:tcPr>
          <w:p w:rsidR="00530DDB" w:rsidRPr="006576F9" w:rsidRDefault="00530DDB" w:rsidP="00C04DE0">
            <w:pPr>
              <w:jc w:val="right"/>
              <w:rPr>
                <w:rFonts w:ascii="Calibri" w:hAnsi="Calibri"/>
                <w:color w:val="000000"/>
                <w:szCs w:val="22"/>
                <w:lang w:val="en-US" w:eastAsia="es-ES"/>
              </w:rPr>
            </w:pPr>
          </w:p>
        </w:tc>
        <w:tc>
          <w:tcPr>
            <w:tcW w:w="1532" w:type="dxa"/>
            <w:tcBorders>
              <w:left w:val="single" w:sz="4" w:space="0" w:color="auto"/>
              <w:bottom w:val="nil"/>
            </w:tcBorders>
          </w:tcPr>
          <w:p w:rsidR="00530DDB" w:rsidRPr="006576F9" w:rsidRDefault="00530DDB" w:rsidP="00C04DE0">
            <w:pPr>
              <w:jc w:val="right"/>
              <w:rPr>
                <w:rFonts w:ascii="Calibri" w:hAnsi="Calibri"/>
                <w:color w:val="000000"/>
                <w:szCs w:val="22"/>
                <w:lang w:val="en-US" w:eastAsia="es-ES"/>
              </w:rPr>
            </w:pPr>
          </w:p>
        </w:tc>
        <w:tc>
          <w:tcPr>
            <w:tcW w:w="1440" w:type="dxa"/>
            <w:tcBorders>
              <w:bottom w:val="nil"/>
            </w:tcBorders>
          </w:tcPr>
          <w:p w:rsidR="00530DDB" w:rsidRPr="006576F9" w:rsidRDefault="00530DDB" w:rsidP="00C04DE0">
            <w:pPr>
              <w:jc w:val="right"/>
              <w:rPr>
                <w:rFonts w:ascii="Calibri" w:hAnsi="Calibri"/>
                <w:color w:val="000000"/>
                <w:szCs w:val="22"/>
                <w:lang w:val="en-US" w:eastAsia="es-ES"/>
              </w:rPr>
            </w:pPr>
          </w:p>
        </w:tc>
      </w:tr>
      <w:tr w:rsidR="008E31A6" w:rsidRPr="009C0F76" w:rsidTr="008E31A6">
        <w:trPr>
          <w:trHeight w:val="300"/>
        </w:trPr>
        <w:tc>
          <w:tcPr>
            <w:tcW w:w="1527" w:type="dxa"/>
            <w:tcBorders>
              <w:top w:val="nil"/>
              <w:bottom w:val="nil"/>
            </w:tcBorders>
            <w:noWrap/>
          </w:tcPr>
          <w:p w:rsidR="008E31A6" w:rsidRPr="00F900B1" w:rsidRDefault="008E31A6" w:rsidP="00A6183A">
            <w:pPr>
              <w:spacing w:before="120" w:after="120"/>
              <w:rPr>
                <w:b/>
                <w:color w:val="000000"/>
                <w:szCs w:val="22"/>
              </w:rPr>
            </w:pPr>
            <w:r w:rsidRPr="00740863">
              <w:rPr>
                <w:rFonts w:ascii="Calibri" w:hAnsi="Calibri"/>
                <w:b/>
                <w:color w:val="000000"/>
                <w:szCs w:val="22"/>
              </w:rPr>
              <w:t>2007</w:t>
            </w:r>
          </w:p>
        </w:tc>
        <w:tc>
          <w:tcPr>
            <w:tcW w:w="847" w:type="dxa"/>
            <w:tcBorders>
              <w:top w:val="nil"/>
              <w:bottom w:val="nil"/>
            </w:tcBorders>
            <w:noWrap/>
          </w:tcPr>
          <w:p w:rsidR="008E31A6" w:rsidRDefault="008E31A6" w:rsidP="00530DDB">
            <w:pPr>
              <w:jc w:val="center"/>
              <w:rPr>
                <w:rFonts w:ascii="Calibri" w:hAnsi="Calibri"/>
                <w:color w:val="000000"/>
                <w:szCs w:val="22"/>
              </w:rPr>
            </w:pPr>
            <w:r>
              <w:rPr>
                <w:rFonts w:ascii="Calibri" w:hAnsi="Calibri"/>
                <w:color w:val="000000"/>
                <w:szCs w:val="22"/>
              </w:rPr>
              <w:t>0</w:t>
            </w:r>
          </w:p>
        </w:tc>
        <w:tc>
          <w:tcPr>
            <w:tcW w:w="847" w:type="dxa"/>
            <w:tcBorders>
              <w:top w:val="nil"/>
              <w:bottom w:val="nil"/>
            </w:tcBorders>
            <w:noWrap/>
          </w:tcPr>
          <w:p w:rsidR="008E31A6" w:rsidRDefault="008E31A6" w:rsidP="00530DDB">
            <w:pPr>
              <w:jc w:val="center"/>
              <w:rPr>
                <w:rFonts w:ascii="Calibri" w:hAnsi="Calibri"/>
                <w:color w:val="000000"/>
                <w:szCs w:val="22"/>
              </w:rPr>
            </w:pPr>
            <w:r>
              <w:rPr>
                <w:rFonts w:ascii="Calibri" w:hAnsi="Calibri"/>
                <w:color w:val="000000"/>
                <w:szCs w:val="22"/>
              </w:rPr>
              <w:t>0</w:t>
            </w:r>
          </w:p>
        </w:tc>
        <w:tc>
          <w:tcPr>
            <w:tcW w:w="847" w:type="dxa"/>
            <w:tcBorders>
              <w:top w:val="nil"/>
              <w:bottom w:val="nil"/>
            </w:tcBorders>
            <w:noWrap/>
          </w:tcPr>
          <w:p w:rsidR="008E31A6" w:rsidRDefault="008E31A6" w:rsidP="00530DDB">
            <w:pPr>
              <w:jc w:val="center"/>
              <w:rPr>
                <w:rFonts w:ascii="Calibri" w:hAnsi="Calibri"/>
                <w:color w:val="000000"/>
                <w:szCs w:val="22"/>
              </w:rPr>
            </w:pPr>
            <w:r>
              <w:rPr>
                <w:rFonts w:ascii="Calibri" w:hAnsi="Calibri"/>
                <w:color w:val="000000"/>
                <w:szCs w:val="22"/>
              </w:rPr>
              <w:t>52</w:t>
            </w:r>
          </w:p>
        </w:tc>
        <w:tc>
          <w:tcPr>
            <w:tcW w:w="847" w:type="dxa"/>
            <w:tcBorders>
              <w:top w:val="nil"/>
              <w:bottom w:val="nil"/>
            </w:tcBorders>
            <w:noWrap/>
          </w:tcPr>
          <w:p w:rsidR="008E31A6" w:rsidRDefault="008E31A6" w:rsidP="00530DDB">
            <w:pPr>
              <w:jc w:val="center"/>
              <w:rPr>
                <w:rFonts w:ascii="Calibri" w:hAnsi="Calibri"/>
                <w:color w:val="000000"/>
                <w:szCs w:val="22"/>
              </w:rPr>
            </w:pPr>
            <w:r>
              <w:rPr>
                <w:rFonts w:ascii="Calibri" w:hAnsi="Calibri"/>
                <w:color w:val="000000"/>
                <w:szCs w:val="22"/>
              </w:rPr>
              <w:t>72</w:t>
            </w:r>
          </w:p>
        </w:tc>
        <w:tc>
          <w:tcPr>
            <w:tcW w:w="847" w:type="dxa"/>
            <w:tcBorders>
              <w:top w:val="nil"/>
              <w:bottom w:val="nil"/>
            </w:tcBorders>
            <w:noWrap/>
          </w:tcPr>
          <w:p w:rsidR="008E31A6" w:rsidRDefault="008E31A6" w:rsidP="00530DDB">
            <w:pPr>
              <w:jc w:val="center"/>
              <w:rPr>
                <w:rFonts w:ascii="Calibri" w:hAnsi="Calibri"/>
                <w:color w:val="000000"/>
                <w:szCs w:val="22"/>
              </w:rPr>
            </w:pPr>
            <w:r>
              <w:rPr>
                <w:rFonts w:ascii="Calibri" w:hAnsi="Calibri"/>
                <w:color w:val="000000"/>
                <w:szCs w:val="22"/>
              </w:rPr>
              <w:t>242</w:t>
            </w:r>
          </w:p>
        </w:tc>
        <w:tc>
          <w:tcPr>
            <w:tcW w:w="847" w:type="dxa"/>
            <w:tcBorders>
              <w:top w:val="nil"/>
              <w:bottom w:val="nil"/>
            </w:tcBorders>
            <w:noWrap/>
          </w:tcPr>
          <w:p w:rsidR="008E31A6" w:rsidRDefault="008E31A6" w:rsidP="00530DDB">
            <w:pPr>
              <w:jc w:val="center"/>
              <w:rPr>
                <w:rFonts w:ascii="Calibri" w:hAnsi="Calibri"/>
                <w:color w:val="000000"/>
                <w:szCs w:val="22"/>
              </w:rPr>
            </w:pPr>
            <w:r>
              <w:rPr>
                <w:rFonts w:ascii="Calibri" w:hAnsi="Calibri"/>
                <w:color w:val="000000"/>
                <w:szCs w:val="22"/>
              </w:rPr>
              <w:t>186</w:t>
            </w:r>
          </w:p>
        </w:tc>
        <w:tc>
          <w:tcPr>
            <w:tcW w:w="847" w:type="dxa"/>
            <w:tcBorders>
              <w:top w:val="nil"/>
              <w:bottom w:val="nil"/>
            </w:tcBorders>
          </w:tcPr>
          <w:p w:rsidR="008E31A6" w:rsidRDefault="008E31A6" w:rsidP="00530DDB">
            <w:pPr>
              <w:jc w:val="center"/>
              <w:rPr>
                <w:rFonts w:ascii="Calibri" w:hAnsi="Calibri"/>
                <w:color w:val="000000"/>
                <w:szCs w:val="22"/>
              </w:rPr>
            </w:pPr>
            <w:r>
              <w:rPr>
                <w:rFonts w:ascii="Calibri" w:hAnsi="Calibri"/>
                <w:color w:val="000000"/>
                <w:szCs w:val="22"/>
              </w:rPr>
              <w:t>112</w:t>
            </w:r>
          </w:p>
        </w:tc>
        <w:tc>
          <w:tcPr>
            <w:tcW w:w="847" w:type="dxa"/>
            <w:tcBorders>
              <w:top w:val="nil"/>
              <w:bottom w:val="nil"/>
            </w:tcBorders>
          </w:tcPr>
          <w:p w:rsidR="008E31A6" w:rsidRDefault="008E31A6" w:rsidP="00530DDB">
            <w:pPr>
              <w:jc w:val="center"/>
              <w:rPr>
                <w:rFonts w:ascii="Calibri" w:hAnsi="Calibri"/>
                <w:color w:val="000000"/>
                <w:szCs w:val="22"/>
              </w:rPr>
            </w:pPr>
            <w:r>
              <w:rPr>
                <w:rFonts w:ascii="Calibri" w:hAnsi="Calibri"/>
                <w:color w:val="000000"/>
                <w:szCs w:val="22"/>
              </w:rPr>
              <w:t>23</w:t>
            </w:r>
          </w:p>
        </w:tc>
        <w:tc>
          <w:tcPr>
            <w:tcW w:w="847" w:type="dxa"/>
            <w:tcBorders>
              <w:top w:val="nil"/>
              <w:bottom w:val="nil"/>
            </w:tcBorders>
          </w:tcPr>
          <w:p w:rsidR="008E31A6" w:rsidRDefault="008E31A6" w:rsidP="00530DDB">
            <w:pPr>
              <w:jc w:val="center"/>
              <w:rPr>
                <w:rFonts w:ascii="Calibri" w:hAnsi="Calibri"/>
                <w:color w:val="000000"/>
                <w:szCs w:val="22"/>
              </w:rPr>
            </w:pPr>
            <w:r>
              <w:rPr>
                <w:rFonts w:ascii="Calibri" w:hAnsi="Calibri"/>
                <w:color w:val="000000"/>
                <w:szCs w:val="22"/>
              </w:rPr>
              <w:t>3</w:t>
            </w:r>
          </w:p>
        </w:tc>
        <w:tc>
          <w:tcPr>
            <w:tcW w:w="1164" w:type="dxa"/>
            <w:tcBorders>
              <w:top w:val="nil"/>
              <w:bottom w:val="nil"/>
              <w:right w:val="single" w:sz="4" w:space="0" w:color="auto"/>
            </w:tcBorders>
          </w:tcPr>
          <w:p w:rsidR="008E31A6" w:rsidRDefault="008E31A6" w:rsidP="008E31A6">
            <w:pPr>
              <w:jc w:val="center"/>
              <w:rPr>
                <w:rFonts w:ascii="Calibri" w:hAnsi="Calibri"/>
                <w:color w:val="000000"/>
                <w:szCs w:val="22"/>
              </w:rPr>
            </w:pPr>
            <w:r>
              <w:rPr>
                <w:rFonts w:ascii="Calibri" w:hAnsi="Calibri"/>
                <w:color w:val="000000"/>
                <w:szCs w:val="22"/>
              </w:rPr>
              <w:t>4</w:t>
            </w:r>
          </w:p>
        </w:tc>
        <w:tc>
          <w:tcPr>
            <w:tcW w:w="1532" w:type="dxa"/>
            <w:tcBorders>
              <w:top w:val="nil"/>
              <w:left w:val="single" w:sz="4" w:space="0" w:color="auto"/>
              <w:bottom w:val="nil"/>
            </w:tcBorders>
          </w:tcPr>
          <w:p w:rsidR="008E31A6" w:rsidRDefault="008E31A6" w:rsidP="008E31A6">
            <w:pPr>
              <w:jc w:val="center"/>
              <w:rPr>
                <w:rFonts w:ascii="Calibri" w:hAnsi="Calibri"/>
                <w:color w:val="000000"/>
                <w:szCs w:val="22"/>
              </w:rPr>
            </w:pPr>
            <w:r>
              <w:rPr>
                <w:rFonts w:ascii="Calibri" w:hAnsi="Calibri"/>
                <w:color w:val="000000"/>
                <w:szCs w:val="22"/>
              </w:rPr>
              <w:t>15.03%</w:t>
            </w:r>
          </w:p>
        </w:tc>
        <w:tc>
          <w:tcPr>
            <w:tcW w:w="1440" w:type="dxa"/>
            <w:tcBorders>
              <w:top w:val="nil"/>
              <w:bottom w:val="nil"/>
            </w:tcBorders>
          </w:tcPr>
          <w:p w:rsidR="008E31A6" w:rsidRDefault="008E31A6" w:rsidP="008E31A6">
            <w:pPr>
              <w:jc w:val="center"/>
              <w:rPr>
                <w:rFonts w:ascii="Calibri" w:hAnsi="Calibri"/>
                <w:color w:val="000000"/>
                <w:szCs w:val="22"/>
              </w:rPr>
            </w:pPr>
            <w:r>
              <w:rPr>
                <w:rFonts w:ascii="Calibri" w:hAnsi="Calibri"/>
                <w:color w:val="000000"/>
                <w:szCs w:val="22"/>
              </w:rPr>
              <w:t>1.00%</w:t>
            </w:r>
          </w:p>
        </w:tc>
      </w:tr>
      <w:tr w:rsidR="008E31A6" w:rsidRPr="009C0F76" w:rsidTr="008E31A6">
        <w:trPr>
          <w:trHeight w:val="300"/>
        </w:trPr>
        <w:tc>
          <w:tcPr>
            <w:tcW w:w="1527" w:type="dxa"/>
            <w:tcBorders>
              <w:top w:val="nil"/>
              <w:bottom w:val="nil"/>
            </w:tcBorders>
            <w:noWrap/>
          </w:tcPr>
          <w:p w:rsidR="008E31A6" w:rsidRPr="00F900B1" w:rsidRDefault="008E31A6" w:rsidP="00EE53A0">
            <w:pPr>
              <w:spacing w:before="120" w:after="120"/>
              <w:rPr>
                <w:b/>
                <w:color w:val="000000"/>
                <w:szCs w:val="22"/>
              </w:rPr>
            </w:pPr>
            <w:r w:rsidRPr="00740863">
              <w:rPr>
                <w:rFonts w:ascii="Calibri" w:hAnsi="Calibri"/>
                <w:b/>
                <w:color w:val="000000"/>
                <w:szCs w:val="22"/>
              </w:rPr>
              <w:t>2008</w:t>
            </w:r>
          </w:p>
        </w:tc>
        <w:tc>
          <w:tcPr>
            <w:tcW w:w="847" w:type="dxa"/>
            <w:tcBorders>
              <w:top w:val="nil"/>
              <w:bottom w:val="nil"/>
            </w:tcBorders>
            <w:noWrap/>
          </w:tcPr>
          <w:p w:rsidR="008E31A6" w:rsidRDefault="008E31A6" w:rsidP="00530DDB">
            <w:pPr>
              <w:jc w:val="center"/>
              <w:rPr>
                <w:rFonts w:ascii="Calibri" w:hAnsi="Calibri"/>
                <w:color w:val="000000"/>
                <w:szCs w:val="22"/>
              </w:rPr>
            </w:pPr>
            <w:r>
              <w:rPr>
                <w:rFonts w:ascii="Calibri" w:hAnsi="Calibri"/>
                <w:color w:val="000000"/>
                <w:szCs w:val="22"/>
              </w:rPr>
              <w:t>0</w:t>
            </w:r>
          </w:p>
        </w:tc>
        <w:tc>
          <w:tcPr>
            <w:tcW w:w="847" w:type="dxa"/>
            <w:tcBorders>
              <w:top w:val="nil"/>
              <w:bottom w:val="nil"/>
            </w:tcBorders>
            <w:noWrap/>
          </w:tcPr>
          <w:p w:rsidR="008E31A6" w:rsidRDefault="008E31A6" w:rsidP="00530DDB">
            <w:pPr>
              <w:jc w:val="center"/>
              <w:rPr>
                <w:rFonts w:ascii="Calibri" w:hAnsi="Calibri"/>
                <w:color w:val="000000"/>
                <w:szCs w:val="22"/>
              </w:rPr>
            </w:pPr>
            <w:r>
              <w:rPr>
                <w:rFonts w:ascii="Calibri" w:hAnsi="Calibri"/>
                <w:color w:val="000000"/>
                <w:szCs w:val="22"/>
              </w:rPr>
              <w:t>0</w:t>
            </w:r>
          </w:p>
        </w:tc>
        <w:tc>
          <w:tcPr>
            <w:tcW w:w="847" w:type="dxa"/>
            <w:tcBorders>
              <w:top w:val="nil"/>
              <w:bottom w:val="nil"/>
            </w:tcBorders>
            <w:noWrap/>
          </w:tcPr>
          <w:p w:rsidR="008E31A6" w:rsidRDefault="008E31A6" w:rsidP="00530DDB">
            <w:pPr>
              <w:jc w:val="center"/>
              <w:rPr>
                <w:rFonts w:ascii="Calibri" w:hAnsi="Calibri"/>
                <w:color w:val="000000"/>
                <w:szCs w:val="22"/>
              </w:rPr>
            </w:pPr>
            <w:r>
              <w:rPr>
                <w:rFonts w:ascii="Calibri" w:hAnsi="Calibri"/>
                <w:color w:val="000000"/>
                <w:szCs w:val="22"/>
              </w:rPr>
              <w:t>34</w:t>
            </w:r>
          </w:p>
        </w:tc>
        <w:tc>
          <w:tcPr>
            <w:tcW w:w="847" w:type="dxa"/>
            <w:tcBorders>
              <w:top w:val="nil"/>
              <w:bottom w:val="nil"/>
            </w:tcBorders>
            <w:noWrap/>
          </w:tcPr>
          <w:p w:rsidR="008E31A6" w:rsidRDefault="008E31A6" w:rsidP="00530DDB">
            <w:pPr>
              <w:jc w:val="center"/>
              <w:rPr>
                <w:rFonts w:ascii="Calibri" w:hAnsi="Calibri"/>
                <w:color w:val="000000"/>
                <w:szCs w:val="22"/>
              </w:rPr>
            </w:pPr>
            <w:r>
              <w:rPr>
                <w:rFonts w:ascii="Calibri" w:hAnsi="Calibri"/>
                <w:color w:val="000000"/>
                <w:szCs w:val="22"/>
              </w:rPr>
              <w:t>48</w:t>
            </w:r>
          </w:p>
        </w:tc>
        <w:tc>
          <w:tcPr>
            <w:tcW w:w="847" w:type="dxa"/>
            <w:tcBorders>
              <w:top w:val="nil"/>
              <w:bottom w:val="nil"/>
            </w:tcBorders>
            <w:noWrap/>
          </w:tcPr>
          <w:p w:rsidR="008E31A6" w:rsidRDefault="008E31A6" w:rsidP="00530DDB">
            <w:pPr>
              <w:jc w:val="center"/>
              <w:rPr>
                <w:rFonts w:ascii="Calibri" w:hAnsi="Calibri"/>
                <w:color w:val="000000"/>
                <w:szCs w:val="22"/>
              </w:rPr>
            </w:pPr>
            <w:r>
              <w:rPr>
                <w:rFonts w:ascii="Calibri" w:hAnsi="Calibri"/>
                <w:color w:val="000000"/>
                <w:szCs w:val="22"/>
              </w:rPr>
              <w:t>202</w:t>
            </w:r>
          </w:p>
        </w:tc>
        <w:tc>
          <w:tcPr>
            <w:tcW w:w="847" w:type="dxa"/>
            <w:tcBorders>
              <w:top w:val="nil"/>
              <w:bottom w:val="nil"/>
            </w:tcBorders>
            <w:noWrap/>
          </w:tcPr>
          <w:p w:rsidR="008E31A6" w:rsidRDefault="008E31A6" w:rsidP="00530DDB">
            <w:pPr>
              <w:jc w:val="center"/>
              <w:rPr>
                <w:rFonts w:ascii="Calibri" w:hAnsi="Calibri"/>
                <w:color w:val="000000"/>
                <w:szCs w:val="22"/>
              </w:rPr>
            </w:pPr>
            <w:r>
              <w:rPr>
                <w:rFonts w:ascii="Calibri" w:hAnsi="Calibri"/>
                <w:color w:val="000000"/>
                <w:szCs w:val="22"/>
              </w:rPr>
              <w:t>185</w:t>
            </w:r>
          </w:p>
        </w:tc>
        <w:tc>
          <w:tcPr>
            <w:tcW w:w="847" w:type="dxa"/>
            <w:tcBorders>
              <w:top w:val="nil"/>
              <w:bottom w:val="nil"/>
            </w:tcBorders>
          </w:tcPr>
          <w:p w:rsidR="008E31A6" w:rsidRDefault="008E31A6" w:rsidP="00530DDB">
            <w:pPr>
              <w:jc w:val="center"/>
              <w:rPr>
                <w:rFonts w:ascii="Calibri" w:hAnsi="Calibri"/>
                <w:color w:val="000000"/>
                <w:szCs w:val="22"/>
              </w:rPr>
            </w:pPr>
            <w:r>
              <w:rPr>
                <w:rFonts w:ascii="Calibri" w:hAnsi="Calibri"/>
                <w:color w:val="000000"/>
                <w:szCs w:val="22"/>
              </w:rPr>
              <w:t>127</w:t>
            </w:r>
          </w:p>
        </w:tc>
        <w:tc>
          <w:tcPr>
            <w:tcW w:w="847" w:type="dxa"/>
            <w:tcBorders>
              <w:top w:val="nil"/>
              <w:bottom w:val="nil"/>
            </w:tcBorders>
          </w:tcPr>
          <w:p w:rsidR="008E31A6" w:rsidRDefault="008E31A6" w:rsidP="00530DDB">
            <w:pPr>
              <w:jc w:val="center"/>
              <w:rPr>
                <w:rFonts w:ascii="Calibri" w:hAnsi="Calibri"/>
                <w:color w:val="000000"/>
                <w:szCs w:val="22"/>
              </w:rPr>
            </w:pPr>
            <w:r>
              <w:rPr>
                <w:rFonts w:ascii="Calibri" w:hAnsi="Calibri"/>
                <w:color w:val="000000"/>
                <w:szCs w:val="22"/>
              </w:rPr>
              <w:t>42</w:t>
            </w:r>
          </w:p>
        </w:tc>
        <w:tc>
          <w:tcPr>
            <w:tcW w:w="847" w:type="dxa"/>
            <w:tcBorders>
              <w:top w:val="nil"/>
              <w:bottom w:val="nil"/>
            </w:tcBorders>
          </w:tcPr>
          <w:p w:rsidR="008E31A6" w:rsidRDefault="008E31A6" w:rsidP="00530DDB">
            <w:pPr>
              <w:jc w:val="center"/>
              <w:rPr>
                <w:rFonts w:ascii="Calibri" w:hAnsi="Calibri"/>
                <w:color w:val="000000"/>
                <w:szCs w:val="22"/>
              </w:rPr>
            </w:pPr>
            <w:r>
              <w:rPr>
                <w:rFonts w:ascii="Calibri" w:hAnsi="Calibri"/>
                <w:color w:val="000000"/>
                <w:szCs w:val="22"/>
              </w:rPr>
              <w:t>7</w:t>
            </w:r>
          </w:p>
        </w:tc>
        <w:tc>
          <w:tcPr>
            <w:tcW w:w="1164" w:type="dxa"/>
            <w:tcBorders>
              <w:top w:val="nil"/>
              <w:bottom w:val="nil"/>
              <w:right w:val="single" w:sz="4" w:space="0" w:color="auto"/>
            </w:tcBorders>
          </w:tcPr>
          <w:p w:rsidR="008E31A6" w:rsidRDefault="008E31A6" w:rsidP="008E31A6">
            <w:pPr>
              <w:jc w:val="center"/>
              <w:rPr>
                <w:rFonts w:ascii="Calibri" w:hAnsi="Calibri"/>
                <w:color w:val="000000"/>
                <w:szCs w:val="22"/>
              </w:rPr>
            </w:pPr>
            <w:r>
              <w:rPr>
                <w:rFonts w:ascii="Calibri" w:hAnsi="Calibri"/>
                <w:color w:val="000000"/>
                <w:szCs w:val="22"/>
              </w:rPr>
              <w:t>7</w:t>
            </w:r>
          </w:p>
        </w:tc>
        <w:tc>
          <w:tcPr>
            <w:tcW w:w="1532" w:type="dxa"/>
            <w:tcBorders>
              <w:top w:val="nil"/>
              <w:left w:val="single" w:sz="4" w:space="0" w:color="auto"/>
              <w:bottom w:val="nil"/>
            </w:tcBorders>
          </w:tcPr>
          <w:p w:rsidR="008E31A6" w:rsidRDefault="008E31A6" w:rsidP="008E31A6">
            <w:pPr>
              <w:jc w:val="center"/>
              <w:rPr>
                <w:rFonts w:ascii="Calibri" w:hAnsi="Calibri"/>
                <w:color w:val="000000"/>
                <w:szCs w:val="22"/>
              </w:rPr>
            </w:pPr>
            <w:r>
              <w:rPr>
                <w:rFonts w:ascii="Calibri" w:hAnsi="Calibri"/>
                <w:color w:val="000000"/>
                <w:szCs w:val="22"/>
              </w:rPr>
              <w:t>17.63%</w:t>
            </w:r>
          </w:p>
        </w:tc>
        <w:tc>
          <w:tcPr>
            <w:tcW w:w="1440" w:type="dxa"/>
            <w:tcBorders>
              <w:top w:val="nil"/>
              <w:bottom w:val="nil"/>
            </w:tcBorders>
          </w:tcPr>
          <w:p w:rsidR="008E31A6" w:rsidRDefault="008E31A6" w:rsidP="008E31A6">
            <w:pPr>
              <w:jc w:val="center"/>
              <w:rPr>
                <w:rFonts w:ascii="Calibri" w:hAnsi="Calibri"/>
                <w:color w:val="000000"/>
                <w:szCs w:val="22"/>
              </w:rPr>
            </w:pPr>
            <w:r>
              <w:rPr>
                <w:rFonts w:ascii="Calibri" w:hAnsi="Calibri"/>
                <w:color w:val="000000"/>
                <w:szCs w:val="22"/>
              </w:rPr>
              <w:t>2.31%</w:t>
            </w:r>
          </w:p>
        </w:tc>
      </w:tr>
      <w:tr w:rsidR="008E31A6" w:rsidRPr="009C0F76" w:rsidTr="008E31A6">
        <w:trPr>
          <w:trHeight w:val="300"/>
        </w:trPr>
        <w:tc>
          <w:tcPr>
            <w:tcW w:w="1527" w:type="dxa"/>
            <w:tcBorders>
              <w:top w:val="nil"/>
            </w:tcBorders>
            <w:noWrap/>
          </w:tcPr>
          <w:p w:rsidR="008E31A6" w:rsidRPr="00F900B1" w:rsidRDefault="008E31A6" w:rsidP="00EE53A0">
            <w:pPr>
              <w:spacing w:before="120" w:after="120"/>
              <w:rPr>
                <w:b/>
                <w:color w:val="000000"/>
                <w:szCs w:val="22"/>
              </w:rPr>
            </w:pPr>
            <w:r w:rsidRPr="00740863">
              <w:rPr>
                <w:rFonts w:ascii="Calibri" w:hAnsi="Calibri"/>
                <w:b/>
                <w:color w:val="000000"/>
                <w:szCs w:val="22"/>
              </w:rPr>
              <w:t>2009</w:t>
            </w:r>
          </w:p>
        </w:tc>
        <w:tc>
          <w:tcPr>
            <w:tcW w:w="847" w:type="dxa"/>
            <w:tcBorders>
              <w:top w:val="nil"/>
            </w:tcBorders>
            <w:noWrap/>
          </w:tcPr>
          <w:p w:rsidR="008E31A6" w:rsidRDefault="008E31A6" w:rsidP="00530DDB">
            <w:pPr>
              <w:jc w:val="center"/>
              <w:rPr>
                <w:rFonts w:ascii="Calibri" w:hAnsi="Calibri"/>
                <w:color w:val="000000"/>
                <w:szCs w:val="22"/>
              </w:rPr>
            </w:pPr>
            <w:r>
              <w:rPr>
                <w:rFonts w:ascii="Calibri" w:hAnsi="Calibri"/>
                <w:color w:val="000000"/>
                <w:szCs w:val="22"/>
              </w:rPr>
              <w:t>0</w:t>
            </w:r>
          </w:p>
        </w:tc>
        <w:tc>
          <w:tcPr>
            <w:tcW w:w="847" w:type="dxa"/>
            <w:tcBorders>
              <w:top w:val="nil"/>
            </w:tcBorders>
            <w:noWrap/>
          </w:tcPr>
          <w:p w:rsidR="008E31A6" w:rsidRDefault="008E31A6" w:rsidP="00530DDB">
            <w:pPr>
              <w:jc w:val="center"/>
              <w:rPr>
                <w:rFonts w:ascii="Calibri" w:hAnsi="Calibri"/>
                <w:color w:val="000000"/>
                <w:szCs w:val="22"/>
              </w:rPr>
            </w:pPr>
            <w:r>
              <w:rPr>
                <w:rFonts w:ascii="Calibri" w:hAnsi="Calibri"/>
                <w:color w:val="000000"/>
                <w:szCs w:val="22"/>
              </w:rPr>
              <w:t>0</w:t>
            </w:r>
          </w:p>
        </w:tc>
        <w:tc>
          <w:tcPr>
            <w:tcW w:w="847" w:type="dxa"/>
            <w:tcBorders>
              <w:top w:val="nil"/>
            </w:tcBorders>
            <w:noWrap/>
          </w:tcPr>
          <w:p w:rsidR="008E31A6" w:rsidRDefault="008E31A6" w:rsidP="00530DDB">
            <w:pPr>
              <w:jc w:val="center"/>
              <w:rPr>
                <w:rFonts w:ascii="Calibri" w:hAnsi="Calibri"/>
                <w:color w:val="000000"/>
                <w:szCs w:val="22"/>
              </w:rPr>
            </w:pPr>
            <w:r>
              <w:rPr>
                <w:rFonts w:ascii="Calibri" w:hAnsi="Calibri"/>
                <w:color w:val="000000"/>
                <w:szCs w:val="22"/>
              </w:rPr>
              <w:t>63</w:t>
            </w:r>
          </w:p>
        </w:tc>
        <w:tc>
          <w:tcPr>
            <w:tcW w:w="847" w:type="dxa"/>
            <w:tcBorders>
              <w:top w:val="nil"/>
            </w:tcBorders>
            <w:noWrap/>
          </w:tcPr>
          <w:p w:rsidR="008E31A6" w:rsidRDefault="008E31A6" w:rsidP="00530DDB">
            <w:pPr>
              <w:jc w:val="center"/>
              <w:rPr>
                <w:rFonts w:ascii="Calibri" w:hAnsi="Calibri"/>
                <w:color w:val="000000"/>
                <w:szCs w:val="22"/>
              </w:rPr>
            </w:pPr>
            <w:r>
              <w:rPr>
                <w:rFonts w:ascii="Calibri" w:hAnsi="Calibri"/>
                <w:color w:val="000000"/>
                <w:szCs w:val="22"/>
              </w:rPr>
              <w:t>104</w:t>
            </w:r>
          </w:p>
        </w:tc>
        <w:tc>
          <w:tcPr>
            <w:tcW w:w="847" w:type="dxa"/>
            <w:tcBorders>
              <w:top w:val="nil"/>
            </w:tcBorders>
            <w:noWrap/>
          </w:tcPr>
          <w:p w:rsidR="008E31A6" w:rsidRDefault="008E31A6" w:rsidP="00530DDB">
            <w:pPr>
              <w:jc w:val="center"/>
              <w:rPr>
                <w:rFonts w:ascii="Calibri" w:hAnsi="Calibri"/>
                <w:color w:val="000000"/>
                <w:szCs w:val="22"/>
              </w:rPr>
            </w:pPr>
            <w:r>
              <w:rPr>
                <w:rFonts w:ascii="Calibri" w:hAnsi="Calibri"/>
                <w:color w:val="000000"/>
                <w:szCs w:val="22"/>
              </w:rPr>
              <w:t>413</w:t>
            </w:r>
          </w:p>
        </w:tc>
        <w:tc>
          <w:tcPr>
            <w:tcW w:w="847" w:type="dxa"/>
            <w:tcBorders>
              <w:top w:val="nil"/>
            </w:tcBorders>
            <w:noWrap/>
          </w:tcPr>
          <w:p w:rsidR="008E31A6" w:rsidRDefault="008E31A6" w:rsidP="00530DDB">
            <w:pPr>
              <w:jc w:val="center"/>
              <w:rPr>
                <w:rFonts w:ascii="Calibri" w:hAnsi="Calibri"/>
                <w:color w:val="000000"/>
                <w:szCs w:val="22"/>
              </w:rPr>
            </w:pPr>
            <w:r>
              <w:rPr>
                <w:rFonts w:ascii="Calibri" w:hAnsi="Calibri"/>
                <w:color w:val="000000"/>
                <w:szCs w:val="22"/>
              </w:rPr>
              <w:t>355</w:t>
            </w:r>
          </w:p>
        </w:tc>
        <w:tc>
          <w:tcPr>
            <w:tcW w:w="847" w:type="dxa"/>
            <w:tcBorders>
              <w:top w:val="nil"/>
            </w:tcBorders>
          </w:tcPr>
          <w:p w:rsidR="008E31A6" w:rsidRDefault="008E31A6" w:rsidP="00530DDB">
            <w:pPr>
              <w:jc w:val="center"/>
              <w:rPr>
                <w:rFonts w:ascii="Calibri" w:hAnsi="Calibri"/>
                <w:color w:val="000000"/>
                <w:szCs w:val="22"/>
              </w:rPr>
            </w:pPr>
            <w:r>
              <w:rPr>
                <w:rFonts w:ascii="Calibri" w:hAnsi="Calibri"/>
                <w:color w:val="000000"/>
                <w:szCs w:val="22"/>
              </w:rPr>
              <w:t>248</w:t>
            </w:r>
          </w:p>
        </w:tc>
        <w:tc>
          <w:tcPr>
            <w:tcW w:w="847" w:type="dxa"/>
            <w:tcBorders>
              <w:top w:val="nil"/>
            </w:tcBorders>
          </w:tcPr>
          <w:p w:rsidR="008E31A6" w:rsidRDefault="008E31A6" w:rsidP="00530DDB">
            <w:pPr>
              <w:jc w:val="center"/>
              <w:rPr>
                <w:rFonts w:ascii="Calibri" w:hAnsi="Calibri"/>
                <w:color w:val="000000"/>
                <w:szCs w:val="22"/>
              </w:rPr>
            </w:pPr>
            <w:r>
              <w:rPr>
                <w:rFonts w:ascii="Calibri" w:hAnsi="Calibri"/>
                <w:color w:val="000000"/>
                <w:szCs w:val="22"/>
              </w:rPr>
              <w:t>71</w:t>
            </w:r>
          </w:p>
        </w:tc>
        <w:tc>
          <w:tcPr>
            <w:tcW w:w="847" w:type="dxa"/>
            <w:tcBorders>
              <w:top w:val="nil"/>
            </w:tcBorders>
          </w:tcPr>
          <w:p w:rsidR="008E31A6" w:rsidRDefault="008E31A6" w:rsidP="00530DDB">
            <w:pPr>
              <w:jc w:val="center"/>
              <w:rPr>
                <w:rFonts w:ascii="Calibri" w:hAnsi="Calibri"/>
                <w:color w:val="000000"/>
                <w:szCs w:val="22"/>
              </w:rPr>
            </w:pPr>
            <w:r>
              <w:rPr>
                <w:rFonts w:ascii="Calibri" w:hAnsi="Calibri"/>
                <w:color w:val="000000"/>
                <w:szCs w:val="22"/>
              </w:rPr>
              <w:t>12</w:t>
            </w:r>
          </w:p>
        </w:tc>
        <w:tc>
          <w:tcPr>
            <w:tcW w:w="1164" w:type="dxa"/>
            <w:tcBorders>
              <w:top w:val="nil"/>
              <w:right w:val="single" w:sz="4" w:space="0" w:color="auto"/>
            </w:tcBorders>
          </w:tcPr>
          <w:p w:rsidR="008E31A6" w:rsidRDefault="008E31A6" w:rsidP="008E31A6">
            <w:pPr>
              <w:jc w:val="center"/>
              <w:rPr>
                <w:rFonts w:ascii="Calibri" w:hAnsi="Calibri"/>
                <w:color w:val="000000"/>
                <w:szCs w:val="22"/>
              </w:rPr>
            </w:pPr>
            <w:r>
              <w:rPr>
                <w:rFonts w:ascii="Calibri" w:hAnsi="Calibri"/>
                <w:color w:val="000000"/>
                <w:szCs w:val="22"/>
              </w:rPr>
              <w:t>14</w:t>
            </w:r>
          </w:p>
        </w:tc>
        <w:tc>
          <w:tcPr>
            <w:tcW w:w="1532" w:type="dxa"/>
            <w:tcBorders>
              <w:top w:val="nil"/>
              <w:left w:val="single" w:sz="4" w:space="0" w:color="auto"/>
            </w:tcBorders>
          </w:tcPr>
          <w:p w:rsidR="008E31A6" w:rsidRDefault="008E31A6" w:rsidP="008E31A6">
            <w:pPr>
              <w:jc w:val="center"/>
              <w:rPr>
                <w:rFonts w:ascii="Calibri" w:hAnsi="Calibri"/>
                <w:color w:val="000000"/>
                <w:szCs w:val="22"/>
              </w:rPr>
            </w:pPr>
            <w:r>
              <w:rPr>
                <w:rFonts w:ascii="Calibri" w:hAnsi="Calibri"/>
                <w:color w:val="000000"/>
                <w:szCs w:val="22"/>
              </w:rPr>
              <w:t>17.22%</w:t>
            </w:r>
          </w:p>
        </w:tc>
        <w:tc>
          <w:tcPr>
            <w:tcW w:w="1440" w:type="dxa"/>
            <w:tcBorders>
              <w:top w:val="nil"/>
            </w:tcBorders>
          </w:tcPr>
          <w:p w:rsidR="008E31A6" w:rsidRDefault="008E31A6" w:rsidP="008E31A6">
            <w:pPr>
              <w:jc w:val="center"/>
              <w:rPr>
                <w:rFonts w:ascii="Calibri" w:hAnsi="Calibri"/>
                <w:color w:val="000000"/>
                <w:szCs w:val="22"/>
              </w:rPr>
            </w:pPr>
            <w:r>
              <w:rPr>
                <w:rFonts w:ascii="Calibri" w:hAnsi="Calibri"/>
                <w:color w:val="000000"/>
                <w:szCs w:val="22"/>
              </w:rPr>
              <w:t>3.83%</w:t>
            </w:r>
          </w:p>
        </w:tc>
      </w:tr>
      <w:tr w:rsidR="008E31A6" w:rsidRPr="009C0F76" w:rsidTr="008E31A6">
        <w:trPr>
          <w:trHeight w:val="300"/>
        </w:trPr>
        <w:tc>
          <w:tcPr>
            <w:tcW w:w="1527" w:type="dxa"/>
            <w:noWrap/>
          </w:tcPr>
          <w:p w:rsidR="008E31A6" w:rsidRPr="006F79FA" w:rsidRDefault="008E31A6" w:rsidP="00F900B1">
            <w:pPr>
              <w:spacing w:before="120" w:after="120"/>
              <w:rPr>
                <w:b/>
                <w:color w:val="000000"/>
                <w:szCs w:val="22"/>
              </w:rPr>
            </w:pPr>
            <w:r>
              <w:rPr>
                <w:b/>
                <w:color w:val="000000"/>
                <w:szCs w:val="22"/>
              </w:rPr>
              <w:t>Total</w:t>
            </w:r>
          </w:p>
        </w:tc>
        <w:tc>
          <w:tcPr>
            <w:tcW w:w="847" w:type="dxa"/>
            <w:noWrap/>
          </w:tcPr>
          <w:p w:rsidR="008E31A6" w:rsidRDefault="008E31A6" w:rsidP="00530DDB">
            <w:pPr>
              <w:jc w:val="center"/>
              <w:rPr>
                <w:rFonts w:ascii="Calibri" w:hAnsi="Calibri"/>
                <w:color w:val="000000"/>
                <w:szCs w:val="22"/>
              </w:rPr>
            </w:pPr>
            <w:r>
              <w:rPr>
                <w:rFonts w:ascii="Calibri" w:hAnsi="Calibri"/>
                <w:color w:val="000000"/>
                <w:szCs w:val="22"/>
              </w:rPr>
              <w:t>0</w:t>
            </w:r>
          </w:p>
        </w:tc>
        <w:tc>
          <w:tcPr>
            <w:tcW w:w="847" w:type="dxa"/>
            <w:noWrap/>
          </w:tcPr>
          <w:p w:rsidR="008E31A6" w:rsidRDefault="008E31A6" w:rsidP="00530DDB">
            <w:pPr>
              <w:jc w:val="center"/>
              <w:rPr>
                <w:rFonts w:ascii="Calibri" w:hAnsi="Calibri"/>
                <w:color w:val="000000"/>
                <w:szCs w:val="22"/>
              </w:rPr>
            </w:pPr>
            <w:r>
              <w:rPr>
                <w:rFonts w:ascii="Calibri" w:hAnsi="Calibri"/>
                <w:color w:val="000000"/>
                <w:szCs w:val="22"/>
              </w:rPr>
              <w:t>0</w:t>
            </w:r>
          </w:p>
        </w:tc>
        <w:tc>
          <w:tcPr>
            <w:tcW w:w="847" w:type="dxa"/>
            <w:noWrap/>
          </w:tcPr>
          <w:p w:rsidR="008E31A6" w:rsidRDefault="008E31A6" w:rsidP="00530DDB">
            <w:pPr>
              <w:jc w:val="center"/>
              <w:rPr>
                <w:rFonts w:ascii="Calibri" w:hAnsi="Calibri"/>
                <w:color w:val="000000"/>
                <w:szCs w:val="22"/>
              </w:rPr>
            </w:pPr>
            <w:r>
              <w:rPr>
                <w:rFonts w:ascii="Calibri" w:hAnsi="Calibri"/>
                <w:color w:val="000000"/>
                <w:szCs w:val="22"/>
              </w:rPr>
              <w:t>149</w:t>
            </w:r>
          </w:p>
        </w:tc>
        <w:tc>
          <w:tcPr>
            <w:tcW w:w="847" w:type="dxa"/>
            <w:noWrap/>
          </w:tcPr>
          <w:p w:rsidR="008E31A6" w:rsidRDefault="008E31A6" w:rsidP="00530DDB">
            <w:pPr>
              <w:jc w:val="center"/>
              <w:rPr>
                <w:rFonts w:ascii="Calibri" w:hAnsi="Calibri"/>
                <w:color w:val="000000"/>
                <w:szCs w:val="22"/>
              </w:rPr>
            </w:pPr>
            <w:r>
              <w:rPr>
                <w:rFonts w:ascii="Calibri" w:hAnsi="Calibri"/>
                <w:color w:val="000000"/>
                <w:szCs w:val="22"/>
              </w:rPr>
              <w:t>225</w:t>
            </w:r>
          </w:p>
        </w:tc>
        <w:tc>
          <w:tcPr>
            <w:tcW w:w="847" w:type="dxa"/>
            <w:noWrap/>
          </w:tcPr>
          <w:p w:rsidR="008E31A6" w:rsidRDefault="008E31A6" w:rsidP="00530DDB">
            <w:pPr>
              <w:jc w:val="center"/>
              <w:rPr>
                <w:rFonts w:ascii="Calibri" w:hAnsi="Calibri"/>
                <w:color w:val="000000"/>
                <w:szCs w:val="22"/>
              </w:rPr>
            </w:pPr>
            <w:r>
              <w:rPr>
                <w:rFonts w:ascii="Calibri" w:hAnsi="Calibri"/>
                <w:color w:val="000000"/>
                <w:szCs w:val="22"/>
              </w:rPr>
              <w:t>857</w:t>
            </w:r>
          </w:p>
        </w:tc>
        <w:tc>
          <w:tcPr>
            <w:tcW w:w="847" w:type="dxa"/>
            <w:noWrap/>
          </w:tcPr>
          <w:p w:rsidR="008E31A6" w:rsidRDefault="008E31A6" w:rsidP="00530DDB">
            <w:pPr>
              <w:jc w:val="center"/>
              <w:rPr>
                <w:rFonts w:ascii="Calibri" w:hAnsi="Calibri"/>
                <w:color w:val="000000"/>
                <w:szCs w:val="22"/>
              </w:rPr>
            </w:pPr>
            <w:r>
              <w:rPr>
                <w:rFonts w:ascii="Calibri" w:hAnsi="Calibri"/>
                <w:color w:val="000000"/>
                <w:szCs w:val="22"/>
              </w:rPr>
              <w:t>726</w:t>
            </w:r>
          </w:p>
        </w:tc>
        <w:tc>
          <w:tcPr>
            <w:tcW w:w="847" w:type="dxa"/>
          </w:tcPr>
          <w:p w:rsidR="008E31A6" w:rsidRDefault="008E31A6" w:rsidP="00530DDB">
            <w:pPr>
              <w:jc w:val="center"/>
              <w:rPr>
                <w:rFonts w:ascii="Calibri" w:hAnsi="Calibri"/>
                <w:color w:val="000000"/>
                <w:szCs w:val="22"/>
              </w:rPr>
            </w:pPr>
            <w:r>
              <w:rPr>
                <w:rFonts w:ascii="Calibri" w:hAnsi="Calibri"/>
                <w:color w:val="000000"/>
                <w:szCs w:val="22"/>
              </w:rPr>
              <w:t>487</w:t>
            </w:r>
          </w:p>
        </w:tc>
        <w:tc>
          <w:tcPr>
            <w:tcW w:w="847" w:type="dxa"/>
          </w:tcPr>
          <w:p w:rsidR="008E31A6" w:rsidRDefault="008E31A6" w:rsidP="00530DDB">
            <w:pPr>
              <w:jc w:val="center"/>
              <w:rPr>
                <w:rFonts w:ascii="Calibri" w:hAnsi="Calibri"/>
                <w:color w:val="000000"/>
                <w:szCs w:val="22"/>
              </w:rPr>
            </w:pPr>
            <w:r>
              <w:rPr>
                <w:rFonts w:ascii="Calibri" w:hAnsi="Calibri"/>
                <w:color w:val="000000"/>
                <w:szCs w:val="22"/>
              </w:rPr>
              <w:t>136</w:t>
            </w:r>
          </w:p>
        </w:tc>
        <w:tc>
          <w:tcPr>
            <w:tcW w:w="847" w:type="dxa"/>
          </w:tcPr>
          <w:p w:rsidR="008E31A6" w:rsidRDefault="008E31A6" w:rsidP="00530DDB">
            <w:pPr>
              <w:jc w:val="center"/>
              <w:rPr>
                <w:rFonts w:ascii="Calibri" w:hAnsi="Calibri"/>
                <w:color w:val="000000"/>
                <w:szCs w:val="22"/>
              </w:rPr>
            </w:pPr>
            <w:r>
              <w:rPr>
                <w:rFonts w:ascii="Calibri" w:hAnsi="Calibri"/>
                <w:color w:val="000000"/>
                <w:szCs w:val="22"/>
              </w:rPr>
              <w:t>22</w:t>
            </w:r>
          </w:p>
        </w:tc>
        <w:tc>
          <w:tcPr>
            <w:tcW w:w="1164" w:type="dxa"/>
            <w:tcBorders>
              <w:right w:val="single" w:sz="4" w:space="0" w:color="auto"/>
            </w:tcBorders>
          </w:tcPr>
          <w:p w:rsidR="008E31A6" w:rsidRDefault="008E31A6" w:rsidP="008E31A6">
            <w:pPr>
              <w:jc w:val="center"/>
              <w:rPr>
                <w:rFonts w:ascii="Calibri" w:hAnsi="Calibri"/>
                <w:color w:val="000000"/>
                <w:szCs w:val="22"/>
              </w:rPr>
            </w:pPr>
            <w:r>
              <w:rPr>
                <w:rFonts w:ascii="Calibri" w:hAnsi="Calibri"/>
                <w:color w:val="000000"/>
                <w:szCs w:val="22"/>
              </w:rPr>
              <w:t>25</w:t>
            </w:r>
          </w:p>
        </w:tc>
        <w:tc>
          <w:tcPr>
            <w:tcW w:w="1532" w:type="dxa"/>
            <w:tcBorders>
              <w:left w:val="single" w:sz="4" w:space="0" w:color="auto"/>
            </w:tcBorders>
          </w:tcPr>
          <w:p w:rsidR="008E31A6" w:rsidRPr="00745502" w:rsidRDefault="008E31A6" w:rsidP="008E31A6">
            <w:pPr>
              <w:jc w:val="center"/>
              <w:rPr>
                <w:rFonts w:ascii="Calibri" w:hAnsi="Calibri"/>
                <w:b/>
                <w:color w:val="000000"/>
                <w:szCs w:val="22"/>
              </w:rPr>
            </w:pPr>
            <w:r w:rsidRPr="00745502">
              <w:rPr>
                <w:rFonts w:ascii="Calibri" w:hAnsi="Calibri"/>
                <w:b/>
                <w:color w:val="000000"/>
                <w:szCs w:val="22"/>
              </w:rPr>
              <w:t>16.74%</w:t>
            </w:r>
          </w:p>
        </w:tc>
        <w:tc>
          <w:tcPr>
            <w:tcW w:w="1440" w:type="dxa"/>
          </w:tcPr>
          <w:p w:rsidR="008E31A6" w:rsidRPr="00745502" w:rsidRDefault="008E31A6" w:rsidP="008E31A6">
            <w:pPr>
              <w:jc w:val="center"/>
              <w:rPr>
                <w:rFonts w:ascii="Calibri" w:hAnsi="Calibri"/>
                <w:b/>
                <w:color w:val="000000"/>
                <w:szCs w:val="22"/>
              </w:rPr>
            </w:pPr>
            <w:r w:rsidRPr="00745502">
              <w:rPr>
                <w:rFonts w:ascii="Calibri" w:hAnsi="Calibri"/>
                <w:b/>
                <w:color w:val="000000"/>
                <w:szCs w:val="22"/>
              </w:rPr>
              <w:t>2.70%</w:t>
            </w:r>
          </w:p>
        </w:tc>
      </w:tr>
    </w:tbl>
    <w:p w:rsidR="00F6376B" w:rsidRPr="001512D3" w:rsidRDefault="00F6376B" w:rsidP="0003502D">
      <w:pPr>
        <w:pStyle w:val="FootnoteText"/>
      </w:pPr>
      <w:r w:rsidRPr="001512D3">
        <w:t xml:space="preserve">Source: Joint Committee calculations based on </w:t>
      </w:r>
      <w:r w:rsidR="003C1866">
        <w:t xml:space="preserve">CEREP and </w:t>
      </w:r>
      <w:r w:rsidR="002E33EF">
        <w:t>Axesor</w:t>
      </w:r>
      <w:r w:rsidRPr="001512D3">
        <w:t xml:space="preserve"> data </w:t>
      </w:r>
    </w:p>
    <w:p w:rsidR="00BB2D63" w:rsidRDefault="00BB2D63" w:rsidP="00BB2D63">
      <w:pPr>
        <w:jc w:val="both"/>
      </w:pPr>
    </w:p>
    <w:p w:rsidR="0067300F" w:rsidRDefault="00772C54" w:rsidP="00745502">
      <w:pPr>
        <w:pStyle w:val="body"/>
      </w:pPr>
      <w:r>
        <w:t xml:space="preserve">The </w:t>
      </w:r>
      <w:r w:rsidR="00B53EFA">
        <w:t xml:space="preserve">rows in the </w:t>
      </w:r>
      <w:r w:rsidR="00F4352E">
        <w:t xml:space="preserve">first columns show the result of the </w:t>
      </w:r>
      <w:r>
        <w:t xml:space="preserve">process </w:t>
      </w:r>
      <w:r w:rsidR="00F4352E">
        <w:t xml:space="preserve">described in </w:t>
      </w:r>
      <w:r w:rsidR="00D77C4A">
        <w:fldChar w:fldCharType="begin"/>
      </w:r>
      <w:r w:rsidR="00D77C4A">
        <w:instrText xml:space="preserve"> REF _Ref390936292 \h </w:instrText>
      </w:r>
      <w:r w:rsidR="00D77C4A">
        <w:fldChar w:fldCharType="separate"/>
      </w:r>
      <w:r w:rsidR="00A93B28" w:rsidRPr="00EE3755">
        <w:t xml:space="preserve">Figure </w:t>
      </w:r>
      <w:r w:rsidR="00A93B28">
        <w:rPr>
          <w:noProof/>
        </w:rPr>
        <w:t>11</w:t>
      </w:r>
      <w:r w:rsidR="00D77C4A">
        <w:fldChar w:fldCharType="end"/>
      </w:r>
      <w:r w:rsidR="00D77C4A">
        <w:t xml:space="preserve"> </w:t>
      </w:r>
      <w:r>
        <w:t xml:space="preserve">for </w:t>
      </w:r>
      <w:r w:rsidR="00F4352E">
        <w:t xml:space="preserve">each available </w:t>
      </w:r>
      <w:r>
        <w:t>period</w:t>
      </w:r>
      <w:r w:rsidR="00B53EFA">
        <w:t xml:space="preserve"> (e.g. row </w:t>
      </w:r>
      <w:r w:rsidR="002E33EF">
        <w:t>2007</w:t>
      </w:r>
      <w:r w:rsidR="00B53EFA">
        <w:t xml:space="preserve"> reflect</w:t>
      </w:r>
      <w:r w:rsidR="00745502">
        <w:t>s</w:t>
      </w:r>
      <w:r w:rsidR="00B53EFA">
        <w:t xml:space="preserve"> the (hypothetical) rating distribution)</w:t>
      </w:r>
      <w:r>
        <w:t>. The aggregate result</w:t>
      </w:r>
      <w:r w:rsidR="00375432">
        <w:t xml:space="preserve"> </w:t>
      </w:r>
      <w:r>
        <w:t>i</w:t>
      </w:r>
      <w:r w:rsidR="007E5E4C">
        <w:t>s</w:t>
      </w:r>
      <w:r>
        <w:t xml:space="preserve"> shown</w:t>
      </w:r>
      <w:r w:rsidR="000A55EF">
        <w:t xml:space="preserve"> in</w:t>
      </w:r>
      <w:r>
        <w:t xml:space="preserve"> </w:t>
      </w:r>
      <w:r w:rsidR="00F4352E">
        <w:t>the last row</w:t>
      </w:r>
      <w:r>
        <w:t>.</w:t>
      </w:r>
      <w:r w:rsidR="00B53EFA">
        <w:t xml:space="preserve"> </w:t>
      </w:r>
    </w:p>
    <w:p w:rsidR="00F4352E" w:rsidRDefault="00F4352E" w:rsidP="00BB2D63">
      <w:pPr>
        <w:jc w:val="both"/>
      </w:pPr>
      <w:r>
        <w:t>The column ‘</w:t>
      </w:r>
      <w:r>
        <w:rPr>
          <w:rFonts w:ascii="Calibri" w:hAnsi="Calibri"/>
          <w:b/>
          <w:bCs/>
          <w:color w:val="000000"/>
          <w:szCs w:val="22"/>
          <w:lang w:val="en-US" w:eastAsia="es-ES"/>
        </w:rPr>
        <w:t>Benchmark-implied default rate</w:t>
      </w:r>
      <w:r>
        <w:t xml:space="preserve">’ reflects the estimated default rate of the scoring pool under the assumption that the default rate of the rating categories is equal to the </w:t>
      </w:r>
      <w:r w:rsidRPr="00F14419">
        <w:t>long run default rate benchmarks</w:t>
      </w:r>
      <w:r w:rsidR="003B78BE">
        <w:t xml:space="preserve"> (</w:t>
      </w:r>
      <w:r w:rsidR="003B78BE">
        <w:rPr>
          <w:rFonts w:asciiTheme="majorHAnsi" w:hAnsiTheme="majorHAnsi"/>
          <w:color w:val="000000"/>
        </w:rPr>
        <w:t>0.10%, 0.10%, 0.25%, 1.00%, 7.50%, 20.00% and 34.00% respectively</w:t>
      </w:r>
      <w:r w:rsidR="003B78BE">
        <w:t>)</w:t>
      </w:r>
      <w:r>
        <w:t>. The column ‘</w:t>
      </w:r>
      <w:r>
        <w:rPr>
          <w:rFonts w:ascii="Calibri" w:hAnsi="Calibri"/>
          <w:b/>
          <w:bCs/>
          <w:color w:val="000000"/>
          <w:szCs w:val="22"/>
          <w:lang w:val="en-US" w:eastAsia="es-ES"/>
        </w:rPr>
        <w:t>Observed 3-year default rate</w:t>
      </w:r>
      <w:r>
        <w:t xml:space="preserve">’ reflects the actually observed 3-year default rate of the scoring population in each date </w:t>
      </w:r>
      <w:r w:rsidR="00E5011C">
        <w:t xml:space="preserve">of the period </w:t>
      </w:r>
      <w:r w:rsidR="002E33EF">
        <w:t>from 2007 to 2009</w:t>
      </w:r>
      <w:r>
        <w:t>.</w:t>
      </w:r>
    </w:p>
    <w:p w:rsidR="00B2057D" w:rsidRPr="00FC5912" w:rsidRDefault="00B2057D" w:rsidP="00B2057D">
      <w:pPr>
        <w:jc w:val="both"/>
        <w:sectPr w:rsidR="00B2057D" w:rsidRPr="00FC5912" w:rsidSect="006250D1">
          <w:headerReference w:type="even" r:id="rId47"/>
          <w:headerReference w:type="default" r:id="rId48"/>
          <w:footerReference w:type="even" r:id="rId49"/>
          <w:footerReference w:type="default" r:id="rId50"/>
          <w:headerReference w:type="first" r:id="rId51"/>
          <w:footerReference w:type="first" r:id="rId52"/>
          <w:pgSz w:w="16840" w:h="11900" w:orient="landscape"/>
          <w:pgMar w:top="1701" w:right="2268" w:bottom="1418" w:left="1134" w:header="709" w:footer="709" w:gutter="0"/>
          <w:cols w:space="708"/>
          <w:titlePg/>
          <w:docGrid w:linePitch="299"/>
        </w:sectPr>
      </w:pPr>
    </w:p>
    <w:p w:rsidR="00B2057D" w:rsidRPr="00EE3755" w:rsidRDefault="00B2057D" w:rsidP="0003502D">
      <w:pPr>
        <w:pStyle w:val="Figuretitle"/>
      </w:pPr>
      <w:bookmarkStart w:id="25" w:name="_Ref390433480"/>
      <w:r w:rsidRPr="00EE3755">
        <w:lastRenderedPageBreak/>
        <w:t>Figure</w:t>
      </w:r>
      <w:r w:rsidR="0003502D">
        <w:t>13</w:t>
      </w:r>
      <w:bookmarkEnd w:id="25"/>
      <w:r w:rsidRPr="00EE3755">
        <w:t xml:space="preserve">: </w:t>
      </w:r>
      <w:r w:rsidR="002E33EF">
        <w:t>D</w:t>
      </w:r>
      <w:r w:rsidR="0092128B">
        <w:t>istribution of hypothetical credit ratings</w:t>
      </w:r>
      <w:r w:rsidR="005B7C26">
        <w:t xml:space="preserve"> </w:t>
      </w:r>
      <w:r w:rsidR="002E33EF">
        <w:t xml:space="preserve">by scoring category </w:t>
      </w:r>
      <w:r w:rsidR="005B7C26">
        <w:t>and hypothesis testing of benchmark long run default rates</w:t>
      </w:r>
    </w:p>
    <w:tbl>
      <w:tblPr>
        <w:tblStyle w:val="EBAtable"/>
        <w:tblW w:w="13654" w:type="dxa"/>
        <w:tblLayout w:type="fixed"/>
        <w:tblLook w:val="04A0" w:firstRow="1" w:lastRow="0" w:firstColumn="1" w:lastColumn="0" w:noHBand="0" w:noVBand="1"/>
      </w:tblPr>
      <w:tblGrid>
        <w:gridCol w:w="1668"/>
        <w:gridCol w:w="726"/>
        <w:gridCol w:w="748"/>
        <w:gridCol w:w="748"/>
        <w:gridCol w:w="768"/>
        <w:gridCol w:w="767"/>
        <w:gridCol w:w="749"/>
        <w:gridCol w:w="983"/>
        <w:gridCol w:w="983"/>
        <w:gridCol w:w="983"/>
        <w:gridCol w:w="1259"/>
        <w:gridCol w:w="1633"/>
        <w:gridCol w:w="1639"/>
      </w:tblGrid>
      <w:tr w:rsidR="008E31A6" w:rsidRPr="009C0F76" w:rsidTr="00481C79">
        <w:trPr>
          <w:cnfStyle w:val="100000000000" w:firstRow="1" w:lastRow="0" w:firstColumn="0" w:lastColumn="0" w:oddVBand="0" w:evenVBand="0" w:oddHBand="0" w:evenHBand="0" w:firstRowFirstColumn="0" w:firstRowLastColumn="0" w:lastRowFirstColumn="0" w:lastRowLastColumn="0"/>
          <w:trHeight w:val="300"/>
        </w:trPr>
        <w:tc>
          <w:tcPr>
            <w:tcW w:w="1668" w:type="dxa"/>
            <w:noWrap/>
            <w:hideMark/>
          </w:tcPr>
          <w:p w:rsidR="008E31A6" w:rsidRPr="006F79FA" w:rsidRDefault="008E31A6" w:rsidP="00F900B1">
            <w:pPr>
              <w:spacing w:before="120" w:after="120"/>
              <w:rPr>
                <w:b/>
                <w:color w:val="000000"/>
                <w:szCs w:val="22"/>
              </w:rPr>
            </w:pPr>
            <w:r>
              <w:rPr>
                <w:b/>
                <w:color w:val="000000"/>
                <w:szCs w:val="22"/>
              </w:rPr>
              <w:t>Hypothetical credit rating Axesor</w:t>
            </w:r>
          </w:p>
        </w:tc>
        <w:tc>
          <w:tcPr>
            <w:tcW w:w="726" w:type="dxa"/>
            <w:noWrap/>
            <w:hideMark/>
          </w:tcPr>
          <w:p w:rsidR="008E31A6" w:rsidRPr="009C0F76" w:rsidRDefault="008E31A6" w:rsidP="008E31A6">
            <w:pPr>
              <w:jc w:val="center"/>
              <w:rPr>
                <w:rFonts w:ascii="Calibri" w:hAnsi="Calibri"/>
                <w:b/>
                <w:bCs/>
                <w:color w:val="000000"/>
                <w:szCs w:val="22"/>
                <w:lang w:val="en-US" w:eastAsia="es-ES"/>
              </w:rPr>
            </w:pPr>
            <w:r>
              <w:rPr>
                <w:rFonts w:ascii="Calibri" w:hAnsi="Calibri"/>
                <w:b/>
                <w:bCs/>
                <w:color w:val="000000"/>
                <w:szCs w:val="22"/>
                <w:lang w:val="en-US" w:eastAsia="es-ES"/>
              </w:rPr>
              <w:t>AAA</w:t>
            </w:r>
          </w:p>
        </w:tc>
        <w:tc>
          <w:tcPr>
            <w:tcW w:w="748" w:type="dxa"/>
            <w:noWrap/>
            <w:hideMark/>
          </w:tcPr>
          <w:p w:rsidR="008E31A6" w:rsidRPr="009C0F76" w:rsidRDefault="008E31A6" w:rsidP="008E31A6">
            <w:pPr>
              <w:jc w:val="center"/>
              <w:rPr>
                <w:rFonts w:ascii="Calibri" w:hAnsi="Calibri"/>
                <w:b/>
                <w:bCs/>
                <w:color w:val="000000"/>
                <w:szCs w:val="22"/>
                <w:lang w:val="en-US" w:eastAsia="es-ES"/>
              </w:rPr>
            </w:pPr>
            <w:r>
              <w:rPr>
                <w:rFonts w:ascii="Calibri" w:hAnsi="Calibri"/>
                <w:b/>
                <w:bCs/>
                <w:color w:val="000000"/>
                <w:szCs w:val="22"/>
                <w:lang w:val="en-US" w:eastAsia="es-ES"/>
              </w:rPr>
              <w:t>AA</w:t>
            </w:r>
          </w:p>
        </w:tc>
        <w:tc>
          <w:tcPr>
            <w:tcW w:w="748" w:type="dxa"/>
            <w:noWrap/>
            <w:hideMark/>
          </w:tcPr>
          <w:p w:rsidR="008E31A6" w:rsidRPr="009C0F76" w:rsidRDefault="008E31A6" w:rsidP="008E31A6">
            <w:pPr>
              <w:jc w:val="center"/>
              <w:rPr>
                <w:rFonts w:ascii="Calibri" w:hAnsi="Calibri"/>
                <w:b/>
                <w:bCs/>
                <w:color w:val="000000"/>
                <w:szCs w:val="22"/>
                <w:lang w:val="en-US" w:eastAsia="es-ES"/>
              </w:rPr>
            </w:pPr>
            <w:r>
              <w:rPr>
                <w:rFonts w:ascii="Calibri" w:hAnsi="Calibri"/>
                <w:b/>
                <w:bCs/>
                <w:color w:val="000000"/>
                <w:szCs w:val="22"/>
                <w:lang w:val="en-US" w:eastAsia="es-ES"/>
              </w:rPr>
              <w:t>A</w:t>
            </w:r>
          </w:p>
        </w:tc>
        <w:tc>
          <w:tcPr>
            <w:tcW w:w="768" w:type="dxa"/>
            <w:noWrap/>
            <w:hideMark/>
          </w:tcPr>
          <w:p w:rsidR="008E31A6" w:rsidRPr="009C0F76" w:rsidRDefault="008E31A6" w:rsidP="008E31A6">
            <w:pPr>
              <w:jc w:val="center"/>
              <w:rPr>
                <w:rFonts w:ascii="Calibri" w:hAnsi="Calibri"/>
                <w:b/>
                <w:bCs/>
                <w:color w:val="000000"/>
                <w:szCs w:val="22"/>
                <w:lang w:val="en-US" w:eastAsia="es-ES"/>
              </w:rPr>
            </w:pPr>
            <w:r>
              <w:rPr>
                <w:rFonts w:ascii="Calibri" w:hAnsi="Calibri"/>
                <w:b/>
                <w:bCs/>
                <w:color w:val="000000"/>
                <w:szCs w:val="22"/>
                <w:lang w:val="en-US" w:eastAsia="es-ES"/>
              </w:rPr>
              <w:t>BBB</w:t>
            </w:r>
          </w:p>
        </w:tc>
        <w:tc>
          <w:tcPr>
            <w:tcW w:w="767" w:type="dxa"/>
            <w:noWrap/>
            <w:hideMark/>
          </w:tcPr>
          <w:p w:rsidR="008E31A6" w:rsidRPr="009C0F76" w:rsidRDefault="008E31A6" w:rsidP="008E31A6">
            <w:pPr>
              <w:jc w:val="center"/>
              <w:rPr>
                <w:rFonts w:ascii="Calibri" w:hAnsi="Calibri"/>
                <w:b/>
                <w:bCs/>
                <w:color w:val="000000"/>
                <w:szCs w:val="22"/>
                <w:lang w:val="en-US" w:eastAsia="es-ES"/>
              </w:rPr>
            </w:pPr>
            <w:r>
              <w:rPr>
                <w:rFonts w:ascii="Calibri" w:hAnsi="Calibri"/>
                <w:b/>
                <w:bCs/>
                <w:color w:val="000000"/>
                <w:szCs w:val="22"/>
                <w:lang w:val="en-US" w:eastAsia="es-ES"/>
              </w:rPr>
              <w:t>BB</w:t>
            </w:r>
          </w:p>
        </w:tc>
        <w:tc>
          <w:tcPr>
            <w:tcW w:w="749" w:type="dxa"/>
            <w:noWrap/>
            <w:hideMark/>
          </w:tcPr>
          <w:p w:rsidR="008E31A6" w:rsidRPr="009C0F76" w:rsidRDefault="008E31A6" w:rsidP="008E31A6">
            <w:pPr>
              <w:jc w:val="center"/>
              <w:rPr>
                <w:rFonts w:ascii="Calibri" w:hAnsi="Calibri"/>
                <w:b/>
                <w:bCs/>
                <w:color w:val="000000"/>
                <w:szCs w:val="22"/>
                <w:lang w:val="en-US" w:eastAsia="es-ES"/>
              </w:rPr>
            </w:pPr>
            <w:r>
              <w:rPr>
                <w:rFonts w:ascii="Calibri" w:hAnsi="Calibri"/>
                <w:b/>
                <w:bCs/>
                <w:color w:val="000000"/>
                <w:szCs w:val="22"/>
                <w:lang w:val="en-US" w:eastAsia="es-ES"/>
              </w:rPr>
              <w:t>B</w:t>
            </w:r>
          </w:p>
        </w:tc>
        <w:tc>
          <w:tcPr>
            <w:tcW w:w="983" w:type="dxa"/>
          </w:tcPr>
          <w:p w:rsidR="008E31A6" w:rsidRDefault="008E31A6" w:rsidP="008E31A6">
            <w:pPr>
              <w:jc w:val="center"/>
              <w:rPr>
                <w:rFonts w:ascii="Calibri" w:hAnsi="Calibri"/>
                <w:b/>
                <w:bCs/>
                <w:color w:val="000000"/>
                <w:szCs w:val="22"/>
                <w:lang w:val="en-US" w:eastAsia="es-ES"/>
              </w:rPr>
            </w:pPr>
            <w:r>
              <w:rPr>
                <w:rFonts w:ascii="Calibri" w:hAnsi="Calibri"/>
                <w:b/>
                <w:bCs/>
                <w:color w:val="000000"/>
                <w:szCs w:val="22"/>
                <w:lang w:val="en-US" w:eastAsia="es-ES"/>
              </w:rPr>
              <w:t>CCC</w:t>
            </w:r>
          </w:p>
        </w:tc>
        <w:tc>
          <w:tcPr>
            <w:tcW w:w="983" w:type="dxa"/>
          </w:tcPr>
          <w:p w:rsidR="008E31A6" w:rsidRDefault="008E31A6" w:rsidP="008E31A6">
            <w:pPr>
              <w:jc w:val="center"/>
              <w:rPr>
                <w:rFonts w:ascii="Calibri" w:hAnsi="Calibri"/>
                <w:b/>
                <w:bCs/>
                <w:color w:val="000000"/>
                <w:szCs w:val="22"/>
                <w:lang w:val="en-US" w:eastAsia="es-ES"/>
              </w:rPr>
            </w:pPr>
            <w:r>
              <w:rPr>
                <w:rFonts w:ascii="Calibri" w:hAnsi="Calibri"/>
                <w:b/>
                <w:bCs/>
                <w:color w:val="000000"/>
                <w:szCs w:val="22"/>
                <w:lang w:val="en-US" w:eastAsia="es-ES"/>
              </w:rPr>
              <w:t>CC</w:t>
            </w:r>
          </w:p>
        </w:tc>
        <w:tc>
          <w:tcPr>
            <w:tcW w:w="983" w:type="dxa"/>
          </w:tcPr>
          <w:p w:rsidR="008E31A6" w:rsidRDefault="008E31A6" w:rsidP="008E31A6">
            <w:pPr>
              <w:jc w:val="center"/>
              <w:rPr>
                <w:rFonts w:ascii="Calibri" w:hAnsi="Calibri"/>
                <w:b/>
                <w:bCs/>
                <w:color w:val="000000"/>
                <w:szCs w:val="22"/>
                <w:lang w:val="en-US" w:eastAsia="es-ES"/>
              </w:rPr>
            </w:pPr>
            <w:r>
              <w:rPr>
                <w:rFonts w:ascii="Calibri" w:hAnsi="Calibri"/>
                <w:b/>
                <w:bCs/>
                <w:color w:val="000000"/>
                <w:szCs w:val="22"/>
                <w:lang w:val="en-US" w:eastAsia="es-ES"/>
              </w:rPr>
              <w:t>C</w:t>
            </w:r>
          </w:p>
        </w:tc>
        <w:tc>
          <w:tcPr>
            <w:tcW w:w="1259" w:type="dxa"/>
            <w:tcBorders>
              <w:right w:val="single" w:sz="2" w:space="0" w:color="auto"/>
            </w:tcBorders>
          </w:tcPr>
          <w:p w:rsidR="008E31A6" w:rsidRDefault="008E31A6" w:rsidP="008E31A6">
            <w:pPr>
              <w:jc w:val="center"/>
              <w:rPr>
                <w:rFonts w:ascii="Calibri" w:hAnsi="Calibri"/>
                <w:b/>
                <w:bCs/>
                <w:color w:val="000000"/>
                <w:szCs w:val="22"/>
                <w:lang w:val="en-US" w:eastAsia="es-ES"/>
              </w:rPr>
            </w:pPr>
            <w:r>
              <w:rPr>
                <w:rFonts w:ascii="Calibri" w:hAnsi="Calibri"/>
                <w:b/>
                <w:bCs/>
                <w:color w:val="000000"/>
                <w:szCs w:val="22"/>
                <w:lang w:val="en-US" w:eastAsia="es-ES"/>
              </w:rPr>
              <w:t>D</w:t>
            </w:r>
          </w:p>
        </w:tc>
        <w:tc>
          <w:tcPr>
            <w:tcW w:w="1633" w:type="dxa"/>
            <w:tcBorders>
              <w:left w:val="single" w:sz="2" w:space="0" w:color="auto"/>
            </w:tcBorders>
          </w:tcPr>
          <w:p w:rsidR="008E31A6" w:rsidRPr="009C0F76" w:rsidRDefault="008E31A6" w:rsidP="00A6183A">
            <w:pPr>
              <w:jc w:val="center"/>
              <w:rPr>
                <w:rFonts w:ascii="Calibri" w:hAnsi="Calibri"/>
                <w:b/>
                <w:bCs/>
                <w:color w:val="000000"/>
                <w:szCs w:val="22"/>
                <w:lang w:val="en-US" w:eastAsia="es-ES"/>
              </w:rPr>
            </w:pPr>
            <w:r>
              <w:rPr>
                <w:rFonts w:ascii="Calibri" w:hAnsi="Calibri"/>
                <w:b/>
                <w:bCs/>
                <w:color w:val="000000"/>
                <w:szCs w:val="22"/>
                <w:lang w:val="en-US" w:eastAsia="es-ES"/>
              </w:rPr>
              <w:t>Benchmark-implied default rate</w:t>
            </w:r>
          </w:p>
        </w:tc>
        <w:tc>
          <w:tcPr>
            <w:tcW w:w="1639" w:type="dxa"/>
          </w:tcPr>
          <w:p w:rsidR="008E31A6" w:rsidRPr="009C0F76" w:rsidRDefault="008E31A6" w:rsidP="00F6376B">
            <w:pPr>
              <w:jc w:val="center"/>
              <w:rPr>
                <w:rFonts w:ascii="Calibri" w:hAnsi="Calibri"/>
                <w:b/>
                <w:bCs/>
                <w:color w:val="000000"/>
                <w:szCs w:val="22"/>
                <w:lang w:val="en-US" w:eastAsia="es-ES"/>
              </w:rPr>
            </w:pPr>
            <w:r>
              <w:rPr>
                <w:rFonts w:ascii="Calibri" w:hAnsi="Calibri"/>
                <w:b/>
                <w:bCs/>
                <w:color w:val="000000"/>
                <w:szCs w:val="22"/>
                <w:lang w:val="en-US" w:eastAsia="es-ES"/>
              </w:rPr>
              <w:t>Observed 3-year default rate</w:t>
            </w:r>
          </w:p>
        </w:tc>
      </w:tr>
      <w:tr w:rsidR="008E31A6" w:rsidRPr="009C0F76" w:rsidTr="00481C79">
        <w:trPr>
          <w:trHeight w:val="300"/>
        </w:trPr>
        <w:tc>
          <w:tcPr>
            <w:tcW w:w="1668" w:type="dxa"/>
            <w:tcBorders>
              <w:bottom w:val="nil"/>
            </w:tcBorders>
            <w:noWrap/>
          </w:tcPr>
          <w:p w:rsidR="008E31A6" w:rsidRPr="006F79FA" w:rsidRDefault="008E31A6" w:rsidP="00F900B1">
            <w:pPr>
              <w:spacing w:before="120" w:after="120"/>
              <w:rPr>
                <w:b/>
                <w:color w:val="000000"/>
                <w:szCs w:val="22"/>
              </w:rPr>
            </w:pPr>
            <w:r>
              <w:rPr>
                <w:b/>
                <w:color w:val="000000"/>
                <w:szCs w:val="22"/>
              </w:rPr>
              <w:t>Credit scoring Axesor</w:t>
            </w:r>
          </w:p>
        </w:tc>
        <w:tc>
          <w:tcPr>
            <w:tcW w:w="726" w:type="dxa"/>
            <w:tcBorders>
              <w:bottom w:val="nil"/>
            </w:tcBorders>
            <w:noWrap/>
          </w:tcPr>
          <w:p w:rsidR="008E31A6" w:rsidRPr="006576F9" w:rsidRDefault="008E31A6" w:rsidP="00A6183A">
            <w:pPr>
              <w:jc w:val="right"/>
              <w:rPr>
                <w:rFonts w:ascii="Calibri" w:hAnsi="Calibri"/>
                <w:color w:val="000000"/>
                <w:szCs w:val="22"/>
                <w:lang w:val="en-US" w:eastAsia="es-ES"/>
              </w:rPr>
            </w:pPr>
          </w:p>
        </w:tc>
        <w:tc>
          <w:tcPr>
            <w:tcW w:w="748" w:type="dxa"/>
            <w:tcBorders>
              <w:bottom w:val="nil"/>
            </w:tcBorders>
            <w:noWrap/>
          </w:tcPr>
          <w:p w:rsidR="008E31A6" w:rsidRPr="006576F9" w:rsidRDefault="008E31A6" w:rsidP="00A6183A">
            <w:pPr>
              <w:jc w:val="right"/>
              <w:rPr>
                <w:rFonts w:ascii="Calibri" w:hAnsi="Calibri"/>
                <w:color w:val="000000"/>
                <w:szCs w:val="22"/>
                <w:lang w:val="en-US" w:eastAsia="es-ES"/>
              </w:rPr>
            </w:pPr>
          </w:p>
        </w:tc>
        <w:tc>
          <w:tcPr>
            <w:tcW w:w="748" w:type="dxa"/>
            <w:tcBorders>
              <w:bottom w:val="nil"/>
            </w:tcBorders>
            <w:noWrap/>
          </w:tcPr>
          <w:p w:rsidR="008E31A6" w:rsidRPr="006576F9" w:rsidRDefault="008E31A6" w:rsidP="00A6183A">
            <w:pPr>
              <w:jc w:val="right"/>
              <w:rPr>
                <w:rFonts w:ascii="Calibri" w:hAnsi="Calibri"/>
                <w:color w:val="000000"/>
                <w:szCs w:val="22"/>
                <w:lang w:val="en-US" w:eastAsia="es-ES"/>
              </w:rPr>
            </w:pPr>
          </w:p>
        </w:tc>
        <w:tc>
          <w:tcPr>
            <w:tcW w:w="768" w:type="dxa"/>
            <w:tcBorders>
              <w:bottom w:val="nil"/>
            </w:tcBorders>
            <w:noWrap/>
          </w:tcPr>
          <w:p w:rsidR="008E31A6" w:rsidRPr="006576F9" w:rsidRDefault="008E31A6" w:rsidP="00A6183A">
            <w:pPr>
              <w:jc w:val="right"/>
              <w:rPr>
                <w:rFonts w:ascii="Calibri" w:hAnsi="Calibri"/>
                <w:color w:val="000000"/>
                <w:szCs w:val="22"/>
                <w:lang w:val="en-US" w:eastAsia="es-ES"/>
              </w:rPr>
            </w:pPr>
          </w:p>
        </w:tc>
        <w:tc>
          <w:tcPr>
            <w:tcW w:w="767" w:type="dxa"/>
            <w:tcBorders>
              <w:bottom w:val="nil"/>
            </w:tcBorders>
            <w:noWrap/>
          </w:tcPr>
          <w:p w:rsidR="008E31A6" w:rsidRPr="006576F9" w:rsidRDefault="008E31A6" w:rsidP="00A6183A">
            <w:pPr>
              <w:jc w:val="right"/>
              <w:rPr>
                <w:rFonts w:ascii="Calibri" w:hAnsi="Calibri"/>
                <w:color w:val="000000"/>
                <w:szCs w:val="22"/>
                <w:lang w:val="en-US" w:eastAsia="es-ES"/>
              </w:rPr>
            </w:pPr>
          </w:p>
        </w:tc>
        <w:tc>
          <w:tcPr>
            <w:tcW w:w="749" w:type="dxa"/>
            <w:tcBorders>
              <w:bottom w:val="nil"/>
            </w:tcBorders>
            <w:noWrap/>
          </w:tcPr>
          <w:p w:rsidR="008E31A6" w:rsidRPr="006576F9" w:rsidRDefault="008E31A6" w:rsidP="00A6183A">
            <w:pPr>
              <w:jc w:val="right"/>
              <w:rPr>
                <w:rFonts w:ascii="Calibri" w:hAnsi="Calibri"/>
                <w:color w:val="000000"/>
                <w:szCs w:val="22"/>
                <w:lang w:val="en-US" w:eastAsia="es-ES"/>
              </w:rPr>
            </w:pPr>
          </w:p>
        </w:tc>
        <w:tc>
          <w:tcPr>
            <w:tcW w:w="983" w:type="dxa"/>
            <w:tcBorders>
              <w:bottom w:val="nil"/>
            </w:tcBorders>
          </w:tcPr>
          <w:p w:rsidR="008E31A6" w:rsidRPr="006576F9" w:rsidRDefault="008E31A6" w:rsidP="00A6183A">
            <w:pPr>
              <w:jc w:val="right"/>
              <w:rPr>
                <w:rFonts w:ascii="Calibri" w:hAnsi="Calibri"/>
                <w:color w:val="000000"/>
                <w:szCs w:val="22"/>
                <w:lang w:val="en-US" w:eastAsia="es-ES"/>
              </w:rPr>
            </w:pPr>
          </w:p>
        </w:tc>
        <w:tc>
          <w:tcPr>
            <w:tcW w:w="983" w:type="dxa"/>
            <w:tcBorders>
              <w:bottom w:val="nil"/>
            </w:tcBorders>
          </w:tcPr>
          <w:p w:rsidR="008E31A6" w:rsidRPr="006576F9" w:rsidRDefault="008E31A6" w:rsidP="00A6183A">
            <w:pPr>
              <w:jc w:val="right"/>
              <w:rPr>
                <w:rFonts w:ascii="Calibri" w:hAnsi="Calibri"/>
                <w:color w:val="000000"/>
                <w:szCs w:val="22"/>
                <w:lang w:val="en-US" w:eastAsia="es-ES"/>
              </w:rPr>
            </w:pPr>
          </w:p>
        </w:tc>
        <w:tc>
          <w:tcPr>
            <w:tcW w:w="983" w:type="dxa"/>
            <w:tcBorders>
              <w:bottom w:val="nil"/>
            </w:tcBorders>
          </w:tcPr>
          <w:p w:rsidR="008E31A6" w:rsidRPr="006576F9" w:rsidRDefault="008E31A6" w:rsidP="00A6183A">
            <w:pPr>
              <w:jc w:val="right"/>
              <w:rPr>
                <w:rFonts w:ascii="Calibri" w:hAnsi="Calibri"/>
                <w:color w:val="000000"/>
                <w:szCs w:val="22"/>
                <w:lang w:val="en-US" w:eastAsia="es-ES"/>
              </w:rPr>
            </w:pPr>
          </w:p>
        </w:tc>
        <w:tc>
          <w:tcPr>
            <w:tcW w:w="1259" w:type="dxa"/>
            <w:tcBorders>
              <w:bottom w:val="nil"/>
              <w:right w:val="single" w:sz="2" w:space="0" w:color="auto"/>
            </w:tcBorders>
          </w:tcPr>
          <w:p w:rsidR="008E31A6" w:rsidRPr="006576F9" w:rsidRDefault="008E31A6" w:rsidP="00A6183A">
            <w:pPr>
              <w:jc w:val="right"/>
              <w:rPr>
                <w:rFonts w:ascii="Calibri" w:hAnsi="Calibri"/>
                <w:color w:val="000000"/>
                <w:szCs w:val="22"/>
                <w:lang w:val="en-US" w:eastAsia="es-ES"/>
              </w:rPr>
            </w:pPr>
          </w:p>
        </w:tc>
        <w:tc>
          <w:tcPr>
            <w:tcW w:w="1633" w:type="dxa"/>
            <w:tcBorders>
              <w:left w:val="single" w:sz="2" w:space="0" w:color="auto"/>
              <w:bottom w:val="nil"/>
            </w:tcBorders>
          </w:tcPr>
          <w:p w:rsidR="008E31A6" w:rsidRPr="006576F9" w:rsidRDefault="008E31A6" w:rsidP="00A6183A">
            <w:pPr>
              <w:jc w:val="right"/>
              <w:rPr>
                <w:rFonts w:ascii="Calibri" w:hAnsi="Calibri"/>
                <w:color w:val="000000"/>
                <w:szCs w:val="22"/>
                <w:lang w:val="en-US" w:eastAsia="es-ES"/>
              </w:rPr>
            </w:pPr>
          </w:p>
        </w:tc>
        <w:tc>
          <w:tcPr>
            <w:tcW w:w="1639" w:type="dxa"/>
            <w:tcBorders>
              <w:bottom w:val="nil"/>
            </w:tcBorders>
          </w:tcPr>
          <w:p w:rsidR="008E31A6" w:rsidRPr="006576F9" w:rsidRDefault="008E31A6" w:rsidP="00A6183A">
            <w:pPr>
              <w:jc w:val="right"/>
              <w:rPr>
                <w:rFonts w:ascii="Calibri" w:hAnsi="Calibri"/>
                <w:color w:val="000000"/>
                <w:szCs w:val="22"/>
                <w:lang w:val="en-US" w:eastAsia="es-ES"/>
              </w:rPr>
            </w:pPr>
          </w:p>
        </w:tc>
      </w:tr>
      <w:tr w:rsidR="00B0656B" w:rsidRPr="009C0F76" w:rsidTr="00481C79">
        <w:trPr>
          <w:trHeight w:val="300"/>
        </w:trPr>
        <w:tc>
          <w:tcPr>
            <w:tcW w:w="1668" w:type="dxa"/>
            <w:tcBorders>
              <w:top w:val="nil"/>
              <w:bottom w:val="nil"/>
            </w:tcBorders>
            <w:noWrap/>
          </w:tcPr>
          <w:p w:rsidR="00B0656B" w:rsidRPr="006F79FA" w:rsidRDefault="00B0656B" w:rsidP="00A6183A">
            <w:pPr>
              <w:spacing w:before="120" w:after="120"/>
              <w:rPr>
                <w:b/>
                <w:color w:val="000000"/>
                <w:szCs w:val="22"/>
              </w:rPr>
            </w:pPr>
            <w:r w:rsidRPr="006F79FA">
              <w:rPr>
                <w:b/>
                <w:color w:val="000000"/>
                <w:szCs w:val="22"/>
              </w:rPr>
              <w:t>AAA</w:t>
            </w:r>
          </w:p>
        </w:tc>
        <w:tc>
          <w:tcPr>
            <w:tcW w:w="726"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7"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9"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259" w:type="dxa"/>
            <w:tcBorders>
              <w:top w:val="nil"/>
              <w:bottom w:val="nil"/>
              <w:right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633" w:type="dxa"/>
            <w:tcBorders>
              <w:top w:val="nil"/>
              <w:left w:val="single" w:sz="2" w:space="0" w:color="auto"/>
              <w:bottom w:val="nil"/>
            </w:tcBorders>
          </w:tcPr>
          <w:p w:rsidR="00B0656B" w:rsidRPr="00372790" w:rsidRDefault="00B0656B" w:rsidP="00B0656B">
            <w:pPr>
              <w:ind w:right="459"/>
              <w:jc w:val="right"/>
            </w:pPr>
          </w:p>
        </w:tc>
        <w:tc>
          <w:tcPr>
            <w:tcW w:w="1639"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0.00%</w:t>
            </w:r>
          </w:p>
        </w:tc>
      </w:tr>
      <w:tr w:rsidR="00B0656B" w:rsidRPr="009C0F76" w:rsidTr="00481C79">
        <w:trPr>
          <w:trHeight w:val="300"/>
        </w:trPr>
        <w:tc>
          <w:tcPr>
            <w:tcW w:w="1668" w:type="dxa"/>
            <w:tcBorders>
              <w:top w:val="nil"/>
              <w:bottom w:val="nil"/>
            </w:tcBorders>
            <w:noWrap/>
          </w:tcPr>
          <w:p w:rsidR="00B0656B" w:rsidRPr="006F79FA" w:rsidRDefault="00B0656B" w:rsidP="00A6183A">
            <w:pPr>
              <w:spacing w:before="120" w:after="120"/>
              <w:rPr>
                <w:b/>
                <w:color w:val="000000"/>
                <w:szCs w:val="22"/>
              </w:rPr>
            </w:pPr>
            <w:r w:rsidRPr="006F79FA">
              <w:rPr>
                <w:b/>
                <w:color w:val="000000"/>
                <w:szCs w:val="22"/>
              </w:rPr>
              <w:t>AA</w:t>
            </w:r>
          </w:p>
        </w:tc>
        <w:tc>
          <w:tcPr>
            <w:tcW w:w="726"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39</w:t>
            </w:r>
          </w:p>
        </w:tc>
        <w:tc>
          <w:tcPr>
            <w:tcW w:w="76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7"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9"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259" w:type="dxa"/>
            <w:tcBorders>
              <w:top w:val="nil"/>
              <w:bottom w:val="nil"/>
              <w:right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633" w:type="dxa"/>
            <w:tcBorders>
              <w:top w:val="nil"/>
              <w:left w:val="single" w:sz="2" w:space="0" w:color="auto"/>
              <w:bottom w:val="nil"/>
            </w:tcBorders>
          </w:tcPr>
          <w:p w:rsidR="00B0656B" w:rsidRPr="00372790" w:rsidRDefault="00B0656B" w:rsidP="00B0656B">
            <w:pPr>
              <w:ind w:right="459"/>
              <w:jc w:val="right"/>
            </w:pPr>
            <w:r w:rsidRPr="00372790">
              <w:t>0.25%</w:t>
            </w:r>
          </w:p>
        </w:tc>
        <w:tc>
          <w:tcPr>
            <w:tcW w:w="1639"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0.00%</w:t>
            </w:r>
          </w:p>
        </w:tc>
      </w:tr>
      <w:tr w:rsidR="00B0656B" w:rsidRPr="009C0F76" w:rsidTr="00481C79">
        <w:trPr>
          <w:trHeight w:val="300"/>
        </w:trPr>
        <w:tc>
          <w:tcPr>
            <w:tcW w:w="1668" w:type="dxa"/>
            <w:tcBorders>
              <w:top w:val="nil"/>
              <w:bottom w:val="nil"/>
            </w:tcBorders>
            <w:noWrap/>
          </w:tcPr>
          <w:p w:rsidR="00B0656B" w:rsidRPr="006F79FA" w:rsidRDefault="00B0656B" w:rsidP="00A6183A">
            <w:pPr>
              <w:spacing w:before="120" w:after="120"/>
              <w:rPr>
                <w:b/>
                <w:color w:val="000000"/>
                <w:szCs w:val="22"/>
              </w:rPr>
            </w:pPr>
            <w:r w:rsidRPr="006F79FA">
              <w:rPr>
                <w:b/>
                <w:color w:val="000000"/>
                <w:szCs w:val="22"/>
              </w:rPr>
              <w:t>A</w:t>
            </w:r>
          </w:p>
        </w:tc>
        <w:tc>
          <w:tcPr>
            <w:tcW w:w="726"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100</w:t>
            </w:r>
          </w:p>
        </w:tc>
        <w:tc>
          <w:tcPr>
            <w:tcW w:w="767"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20</w:t>
            </w:r>
          </w:p>
        </w:tc>
        <w:tc>
          <w:tcPr>
            <w:tcW w:w="749"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20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259" w:type="dxa"/>
            <w:tcBorders>
              <w:top w:val="nil"/>
              <w:bottom w:val="nil"/>
              <w:right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633" w:type="dxa"/>
            <w:tcBorders>
              <w:top w:val="nil"/>
              <w:left w:val="single" w:sz="2" w:space="0" w:color="auto"/>
              <w:bottom w:val="nil"/>
            </w:tcBorders>
          </w:tcPr>
          <w:p w:rsidR="00B0656B" w:rsidRPr="00372790" w:rsidRDefault="00B0656B" w:rsidP="00B0656B">
            <w:pPr>
              <w:ind w:right="459"/>
              <w:jc w:val="right"/>
            </w:pPr>
            <w:r w:rsidRPr="00372790">
              <w:t>4.64%</w:t>
            </w:r>
          </w:p>
        </w:tc>
        <w:tc>
          <w:tcPr>
            <w:tcW w:w="1639"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0.00%</w:t>
            </w:r>
          </w:p>
        </w:tc>
      </w:tr>
      <w:tr w:rsidR="00B0656B" w:rsidRPr="009C0F76" w:rsidTr="00481C79">
        <w:trPr>
          <w:trHeight w:val="300"/>
        </w:trPr>
        <w:tc>
          <w:tcPr>
            <w:tcW w:w="1668" w:type="dxa"/>
            <w:tcBorders>
              <w:top w:val="nil"/>
              <w:bottom w:val="nil"/>
            </w:tcBorders>
            <w:noWrap/>
          </w:tcPr>
          <w:p w:rsidR="00B0656B" w:rsidRPr="006F79FA" w:rsidRDefault="00B0656B" w:rsidP="00A6183A">
            <w:pPr>
              <w:spacing w:before="120" w:after="120"/>
              <w:rPr>
                <w:b/>
                <w:color w:val="000000"/>
                <w:szCs w:val="22"/>
              </w:rPr>
            </w:pPr>
            <w:r w:rsidRPr="006F79FA">
              <w:rPr>
                <w:b/>
                <w:color w:val="000000"/>
                <w:szCs w:val="22"/>
              </w:rPr>
              <w:t>BBB</w:t>
            </w:r>
          </w:p>
        </w:tc>
        <w:tc>
          <w:tcPr>
            <w:tcW w:w="726"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78</w:t>
            </w:r>
          </w:p>
        </w:tc>
        <w:tc>
          <w:tcPr>
            <w:tcW w:w="76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20</w:t>
            </w:r>
          </w:p>
        </w:tc>
        <w:tc>
          <w:tcPr>
            <w:tcW w:w="767"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254</w:t>
            </w:r>
          </w:p>
        </w:tc>
        <w:tc>
          <w:tcPr>
            <w:tcW w:w="749"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78</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259" w:type="dxa"/>
            <w:tcBorders>
              <w:top w:val="nil"/>
              <w:bottom w:val="nil"/>
              <w:right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633" w:type="dxa"/>
            <w:tcBorders>
              <w:top w:val="nil"/>
              <w:left w:val="single" w:sz="2" w:space="0" w:color="auto"/>
              <w:bottom w:val="nil"/>
            </w:tcBorders>
          </w:tcPr>
          <w:p w:rsidR="00B0656B" w:rsidRPr="00372790" w:rsidRDefault="00B0656B" w:rsidP="00B0656B">
            <w:pPr>
              <w:ind w:right="459"/>
              <w:jc w:val="right"/>
            </w:pPr>
            <w:r w:rsidRPr="00372790">
              <w:t>10.70%</w:t>
            </w:r>
          </w:p>
        </w:tc>
        <w:tc>
          <w:tcPr>
            <w:tcW w:w="1639"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0.23%</w:t>
            </w:r>
          </w:p>
        </w:tc>
      </w:tr>
      <w:tr w:rsidR="00B0656B" w:rsidRPr="009C0F76" w:rsidTr="00481C79">
        <w:trPr>
          <w:trHeight w:val="300"/>
        </w:trPr>
        <w:tc>
          <w:tcPr>
            <w:tcW w:w="1668" w:type="dxa"/>
            <w:tcBorders>
              <w:top w:val="nil"/>
              <w:bottom w:val="nil"/>
            </w:tcBorders>
            <w:noWrap/>
          </w:tcPr>
          <w:p w:rsidR="00B0656B" w:rsidRPr="006F79FA" w:rsidRDefault="00B0656B" w:rsidP="00A6183A">
            <w:pPr>
              <w:spacing w:before="120" w:after="120"/>
              <w:rPr>
                <w:b/>
                <w:color w:val="000000"/>
                <w:szCs w:val="22"/>
              </w:rPr>
            </w:pPr>
            <w:r w:rsidRPr="006F79FA">
              <w:rPr>
                <w:b/>
                <w:color w:val="000000"/>
                <w:szCs w:val="22"/>
              </w:rPr>
              <w:t>BB</w:t>
            </w:r>
          </w:p>
        </w:tc>
        <w:tc>
          <w:tcPr>
            <w:tcW w:w="726"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105</w:t>
            </w:r>
          </w:p>
        </w:tc>
        <w:tc>
          <w:tcPr>
            <w:tcW w:w="767"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281</w:t>
            </w:r>
          </w:p>
        </w:tc>
        <w:tc>
          <w:tcPr>
            <w:tcW w:w="749"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351</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259" w:type="dxa"/>
            <w:tcBorders>
              <w:top w:val="nil"/>
              <w:bottom w:val="nil"/>
              <w:right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633" w:type="dxa"/>
            <w:tcBorders>
              <w:top w:val="nil"/>
              <w:left w:val="single" w:sz="2" w:space="0" w:color="auto"/>
              <w:bottom w:val="nil"/>
            </w:tcBorders>
          </w:tcPr>
          <w:p w:rsidR="00B0656B" w:rsidRPr="00372790" w:rsidRDefault="00B0656B" w:rsidP="00B0656B">
            <w:pPr>
              <w:ind w:right="459"/>
              <w:jc w:val="right"/>
            </w:pPr>
            <w:r w:rsidRPr="00372790">
              <w:t>12.52%</w:t>
            </w:r>
          </w:p>
        </w:tc>
        <w:tc>
          <w:tcPr>
            <w:tcW w:w="1639"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0.68%</w:t>
            </w:r>
          </w:p>
        </w:tc>
      </w:tr>
      <w:tr w:rsidR="00B0656B" w:rsidRPr="009C0F76" w:rsidTr="00481C79">
        <w:trPr>
          <w:trHeight w:val="300"/>
        </w:trPr>
        <w:tc>
          <w:tcPr>
            <w:tcW w:w="1668" w:type="dxa"/>
            <w:tcBorders>
              <w:top w:val="nil"/>
              <w:bottom w:val="nil"/>
            </w:tcBorders>
            <w:noWrap/>
          </w:tcPr>
          <w:p w:rsidR="00B0656B" w:rsidRPr="006F79FA" w:rsidRDefault="00B0656B" w:rsidP="00A6183A">
            <w:pPr>
              <w:spacing w:before="120" w:after="120"/>
              <w:rPr>
                <w:b/>
                <w:color w:val="000000"/>
                <w:szCs w:val="22"/>
              </w:rPr>
            </w:pPr>
            <w:r w:rsidRPr="006F79FA">
              <w:rPr>
                <w:b/>
                <w:color w:val="000000"/>
                <w:szCs w:val="22"/>
              </w:rPr>
              <w:t>B</w:t>
            </w:r>
          </w:p>
        </w:tc>
        <w:tc>
          <w:tcPr>
            <w:tcW w:w="726"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32</w:t>
            </w:r>
          </w:p>
        </w:tc>
        <w:tc>
          <w:tcPr>
            <w:tcW w:w="76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7"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284</w:t>
            </w:r>
          </w:p>
        </w:tc>
        <w:tc>
          <w:tcPr>
            <w:tcW w:w="749"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221</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158</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259" w:type="dxa"/>
            <w:tcBorders>
              <w:top w:val="nil"/>
              <w:bottom w:val="nil"/>
              <w:right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633" w:type="dxa"/>
            <w:tcBorders>
              <w:top w:val="nil"/>
              <w:left w:val="single" w:sz="2" w:space="0" w:color="auto"/>
              <w:bottom w:val="nil"/>
            </w:tcBorders>
          </w:tcPr>
          <w:p w:rsidR="00B0656B" w:rsidRPr="00372790" w:rsidRDefault="00B0656B" w:rsidP="00B0656B">
            <w:pPr>
              <w:ind w:right="459"/>
              <w:jc w:val="right"/>
            </w:pPr>
            <w:r w:rsidRPr="00372790">
              <w:t>17.17%</w:t>
            </w:r>
          </w:p>
        </w:tc>
        <w:tc>
          <w:tcPr>
            <w:tcW w:w="1639"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2.02%</w:t>
            </w:r>
          </w:p>
        </w:tc>
      </w:tr>
      <w:tr w:rsidR="00B0656B" w:rsidRPr="009C0F76" w:rsidTr="00481C79">
        <w:trPr>
          <w:trHeight w:val="300"/>
        </w:trPr>
        <w:tc>
          <w:tcPr>
            <w:tcW w:w="1668" w:type="dxa"/>
            <w:tcBorders>
              <w:top w:val="nil"/>
              <w:bottom w:val="nil"/>
            </w:tcBorders>
            <w:noWrap/>
          </w:tcPr>
          <w:p w:rsidR="00B0656B" w:rsidRPr="006F79FA" w:rsidRDefault="00B0656B" w:rsidP="00A6183A">
            <w:pPr>
              <w:spacing w:before="120" w:after="120"/>
              <w:rPr>
                <w:b/>
                <w:color w:val="000000"/>
                <w:szCs w:val="22"/>
              </w:rPr>
            </w:pPr>
            <w:r>
              <w:rPr>
                <w:b/>
                <w:color w:val="000000"/>
                <w:szCs w:val="22"/>
              </w:rPr>
              <w:t>CCC</w:t>
            </w:r>
          </w:p>
        </w:tc>
        <w:tc>
          <w:tcPr>
            <w:tcW w:w="726"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7"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9"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111</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185</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56</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259" w:type="dxa"/>
            <w:tcBorders>
              <w:top w:val="nil"/>
              <w:bottom w:val="nil"/>
              <w:right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19</w:t>
            </w:r>
          </w:p>
        </w:tc>
        <w:tc>
          <w:tcPr>
            <w:tcW w:w="1633" w:type="dxa"/>
            <w:tcBorders>
              <w:top w:val="nil"/>
              <w:left w:val="single" w:sz="2" w:space="0" w:color="auto"/>
              <w:bottom w:val="nil"/>
            </w:tcBorders>
          </w:tcPr>
          <w:p w:rsidR="00B0656B" w:rsidRPr="00372790" w:rsidRDefault="00B0656B" w:rsidP="00B0656B">
            <w:pPr>
              <w:ind w:right="459"/>
              <w:jc w:val="right"/>
            </w:pPr>
            <w:r w:rsidRPr="00372790">
              <w:t>29.80%</w:t>
            </w:r>
          </w:p>
        </w:tc>
        <w:tc>
          <w:tcPr>
            <w:tcW w:w="1639"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5.95%</w:t>
            </w:r>
          </w:p>
        </w:tc>
      </w:tr>
      <w:tr w:rsidR="00B0656B" w:rsidRPr="009C0F76" w:rsidTr="00481C79">
        <w:trPr>
          <w:trHeight w:val="300"/>
        </w:trPr>
        <w:tc>
          <w:tcPr>
            <w:tcW w:w="1668" w:type="dxa"/>
            <w:tcBorders>
              <w:top w:val="nil"/>
              <w:bottom w:val="nil"/>
            </w:tcBorders>
            <w:noWrap/>
          </w:tcPr>
          <w:p w:rsidR="00B0656B" w:rsidRPr="006F79FA" w:rsidRDefault="00B0656B" w:rsidP="00A6183A">
            <w:pPr>
              <w:spacing w:before="120" w:after="120"/>
              <w:rPr>
                <w:b/>
                <w:color w:val="000000"/>
                <w:szCs w:val="22"/>
              </w:rPr>
            </w:pPr>
            <w:r>
              <w:rPr>
                <w:b/>
                <w:color w:val="000000"/>
                <w:szCs w:val="22"/>
              </w:rPr>
              <w:t>CC</w:t>
            </w:r>
          </w:p>
        </w:tc>
        <w:tc>
          <w:tcPr>
            <w:tcW w:w="726"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7"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14</w:t>
            </w:r>
          </w:p>
        </w:tc>
        <w:tc>
          <w:tcPr>
            <w:tcW w:w="749"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14</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63</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63</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14</w:t>
            </w:r>
          </w:p>
        </w:tc>
        <w:tc>
          <w:tcPr>
            <w:tcW w:w="1259" w:type="dxa"/>
            <w:tcBorders>
              <w:top w:val="nil"/>
              <w:bottom w:val="nil"/>
              <w:right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633" w:type="dxa"/>
            <w:tcBorders>
              <w:top w:val="nil"/>
              <w:left w:val="single" w:sz="2" w:space="0" w:color="auto"/>
              <w:bottom w:val="nil"/>
            </w:tcBorders>
          </w:tcPr>
          <w:p w:rsidR="00B0656B" w:rsidRPr="00372790" w:rsidRDefault="00B0656B" w:rsidP="00B0656B">
            <w:pPr>
              <w:ind w:right="459"/>
              <w:jc w:val="right"/>
            </w:pPr>
            <w:r w:rsidRPr="00372790">
              <w:t>30.63%</w:t>
            </w:r>
          </w:p>
        </w:tc>
        <w:tc>
          <w:tcPr>
            <w:tcW w:w="1639"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10.65%</w:t>
            </w:r>
          </w:p>
        </w:tc>
      </w:tr>
      <w:tr w:rsidR="00B0656B" w:rsidRPr="009C0F76" w:rsidTr="00481C79">
        <w:trPr>
          <w:trHeight w:val="300"/>
        </w:trPr>
        <w:tc>
          <w:tcPr>
            <w:tcW w:w="1668" w:type="dxa"/>
            <w:tcBorders>
              <w:top w:val="nil"/>
              <w:bottom w:val="nil"/>
            </w:tcBorders>
            <w:noWrap/>
          </w:tcPr>
          <w:p w:rsidR="00B0656B" w:rsidRPr="006F79FA" w:rsidRDefault="00B0656B" w:rsidP="00A6183A">
            <w:pPr>
              <w:spacing w:before="120" w:after="120"/>
              <w:rPr>
                <w:b/>
                <w:color w:val="000000"/>
                <w:szCs w:val="22"/>
              </w:rPr>
            </w:pPr>
            <w:r>
              <w:rPr>
                <w:b/>
                <w:color w:val="000000"/>
                <w:szCs w:val="22"/>
              </w:rPr>
              <w:t>C</w:t>
            </w:r>
          </w:p>
        </w:tc>
        <w:tc>
          <w:tcPr>
            <w:tcW w:w="726"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7"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4</w:t>
            </w:r>
          </w:p>
        </w:tc>
        <w:tc>
          <w:tcPr>
            <w:tcW w:w="749"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9</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17</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4</w:t>
            </w:r>
          </w:p>
        </w:tc>
        <w:tc>
          <w:tcPr>
            <w:tcW w:w="1259" w:type="dxa"/>
            <w:tcBorders>
              <w:top w:val="nil"/>
              <w:bottom w:val="nil"/>
              <w:right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1633" w:type="dxa"/>
            <w:tcBorders>
              <w:top w:val="nil"/>
              <w:left w:val="single" w:sz="2" w:space="0" w:color="auto"/>
              <w:bottom w:val="nil"/>
            </w:tcBorders>
          </w:tcPr>
          <w:p w:rsidR="00B0656B" w:rsidRPr="00372790" w:rsidRDefault="00B0656B" w:rsidP="00B0656B">
            <w:pPr>
              <w:ind w:right="459"/>
              <w:jc w:val="right"/>
            </w:pPr>
            <w:r w:rsidRPr="00372790">
              <w:t>27.19%</w:t>
            </w:r>
          </w:p>
        </w:tc>
        <w:tc>
          <w:tcPr>
            <w:tcW w:w="1639"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17.39%</w:t>
            </w:r>
          </w:p>
        </w:tc>
      </w:tr>
      <w:tr w:rsidR="00B0656B" w:rsidRPr="009C0F76" w:rsidTr="00481C79">
        <w:trPr>
          <w:trHeight w:val="300"/>
        </w:trPr>
        <w:tc>
          <w:tcPr>
            <w:tcW w:w="1668" w:type="dxa"/>
            <w:tcBorders>
              <w:top w:val="nil"/>
              <w:bottom w:val="nil"/>
            </w:tcBorders>
            <w:noWrap/>
          </w:tcPr>
          <w:p w:rsidR="00B0656B" w:rsidRDefault="00B0656B" w:rsidP="00A6183A">
            <w:pPr>
              <w:spacing w:before="120" w:after="120"/>
              <w:rPr>
                <w:b/>
                <w:color w:val="000000"/>
                <w:szCs w:val="22"/>
              </w:rPr>
            </w:pPr>
            <w:r>
              <w:rPr>
                <w:b/>
                <w:color w:val="000000"/>
                <w:szCs w:val="22"/>
              </w:rPr>
              <w:t>D</w:t>
            </w:r>
          </w:p>
        </w:tc>
        <w:tc>
          <w:tcPr>
            <w:tcW w:w="726"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8"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67"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9" w:type="dxa"/>
            <w:tcBorders>
              <w:top w:val="nil"/>
              <w:bottom w:val="nil"/>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2</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0</w:t>
            </w:r>
          </w:p>
        </w:tc>
        <w:tc>
          <w:tcPr>
            <w:tcW w:w="983"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4</w:t>
            </w:r>
          </w:p>
        </w:tc>
        <w:tc>
          <w:tcPr>
            <w:tcW w:w="1259" w:type="dxa"/>
            <w:tcBorders>
              <w:top w:val="nil"/>
              <w:bottom w:val="nil"/>
              <w:right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6</w:t>
            </w:r>
          </w:p>
        </w:tc>
        <w:tc>
          <w:tcPr>
            <w:tcW w:w="1633" w:type="dxa"/>
            <w:tcBorders>
              <w:top w:val="nil"/>
              <w:left w:val="single" w:sz="2" w:space="0" w:color="auto"/>
              <w:bottom w:val="nil"/>
            </w:tcBorders>
          </w:tcPr>
          <w:p w:rsidR="00B0656B" w:rsidRPr="00372790" w:rsidRDefault="00B0656B" w:rsidP="00B0656B">
            <w:pPr>
              <w:ind w:right="459"/>
              <w:jc w:val="right"/>
            </w:pPr>
            <w:r w:rsidRPr="00372790">
              <w:t>34.00%</w:t>
            </w:r>
          </w:p>
        </w:tc>
        <w:tc>
          <w:tcPr>
            <w:tcW w:w="1639" w:type="dxa"/>
            <w:tcBorders>
              <w:top w:val="nil"/>
              <w:bottom w:val="nil"/>
            </w:tcBorders>
          </w:tcPr>
          <w:p w:rsidR="00B0656B" w:rsidRDefault="00B0656B" w:rsidP="008E31A6">
            <w:pPr>
              <w:jc w:val="center"/>
              <w:rPr>
                <w:rFonts w:ascii="Calibri" w:hAnsi="Calibri"/>
                <w:color w:val="000000"/>
                <w:szCs w:val="22"/>
              </w:rPr>
            </w:pPr>
            <w:r>
              <w:rPr>
                <w:rFonts w:ascii="Calibri" w:hAnsi="Calibri"/>
                <w:color w:val="000000"/>
                <w:szCs w:val="22"/>
              </w:rPr>
              <w:t>41.67%</w:t>
            </w:r>
          </w:p>
        </w:tc>
      </w:tr>
      <w:tr w:rsidR="00B0656B" w:rsidRPr="009C0F76" w:rsidTr="00481C79">
        <w:trPr>
          <w:trHeight w:val="300"/>
        </w:trPr>
        <w:tc>
          <w:tcPr>
            <w:tcW w:w="1668" w:type="dxa"/>
            <w:tcBorders>
              <w:top w:val="single" w:sz="2" w:space="0" w:color="auto"/>
              <w:bottom w:val="single" w:sz="2" w:space="0" w:color="auto"/>
            </w:tcBorders>
            <w:noWrap/>
          </w:tcPr>
          <w:p w:rsidR="00B0656B" w:rsidRPr="006F79FA" w:rsidRDefault="00B0656B" w:rsidP="00A6183A">
            <w:pPr>
              <w:spacing w:before="120" w:after="120"/>
              <w:rPr>
                <w:b/>
                <w:color w:val="000000"/>
                <w:szCs w:val="22"/>
              </w:rPr>
            </w:pPr>
            <w:r>
              <w:rPr>
                <w:b/>
                <w:color w:val="000000"/>
                <w:szCs w:val="22"/>
              </w:rPr>
              <w:t>Total</w:t>
            </w:r>
          </w:p>
        </w:tc>
        <w:tc>
          <w:tcPr>
            <w:tcW w:w="726" w:type="dxa"/>
            <w:tcBorders>
              <w:top w:val="single" w:sz="2" w:space="0" w:color="auto"/>
              <w:bottom w:val="single" w:sz="2" w:space="0" w:color="auto"/>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single" w:sz="2" w:space="0" w:color="auto"/>
              <w:bottom w:val="single" w:sz="2" w:space="0" w:color="auto"/>
            </w:tcBorders>
            <w:noWrap/>
          </w:tcPr>
          <w:p w:rsidR="00B0656B" w:rsidRDefault="00B0656B" w:rsidP="008E31A6">
            <w:pPr>
              <w:jc w:val="center"/>
              <w:rPr>
                <w:rFonts w:ascii="Calibri" w:hAnsi="Calibri"/>
                <w:color w:val="000000"/>
                <w:szCs w:val="22"/>
              </w:rPr>
            </w:pPr>
            <w:r>
              <w:rPr>
                <w:rFonts w:ascii="Calibri" w:hAnsi="Calibri"/>
                <w:color w:val="000000"/>
                <w:szCs w:val="22"/>
              </w:rPr>
              <w:t>0</w:t>
            </w:r>
          </w:p>
        </w:tc>
        <w:tc>
          <w:tcPr>
            <w:tcW w:w="748" w:type="dxa"/>
            <w:tcBorders>
              <w:top w:val="single" w:sz="2" w:space="0" w:color="auto"/>
              <w:bottom w:val="single" w:sz="2" w:space="0" w:color="auto"/>
            </w:tcBorders>
            <w:noWrap/>
          </w:tcPr>
          <w:p w:rsidR="00B0656B" w:rsidRDefault="00B0656B" w:rsidP="008E31A6">
            <w:pPr>
              <w:jc w:val="center"/>
              <w:rPr>
                <w:rFonts w:ascii="Calibri" w:hAnsi="Calibri"/>
                <w:color w:val="000000"/>
                <w:szCs w:val="22"/>
              </w:rPr>
            </w:pPr>
            <w:r>
              <w:rPr>
                <w:rFonts w:ascii="Calibri" w:hAnsi="Calibri"/>
                <w:color w:val="000000"/>
                <w:szCs w:val="22"/>
              </w:rPr>
              <w:t>149</w:t>
            </w:r>
          </w:p>
        </w:tc>
        <w:tc>
          <w:tcPr>
            <w:tcW w:w="768" w:type="dxa"/>
            <w:tcBorders>
              <w:top w:val="single" w:sz="2" w:space="0" w:color="auto"/>
              <w:bottom w:val="single" w:sz="2" w:space="0" w:color="auto"/>
            </w:tcBorders>
            <w:noWrap/>
          </w:tcPr>
          <w:p w:rsidR="00B0656B" w:rsidRDefault="00B0656B" w:rsidP="008E31A6">
            <w:pPr>
              <w:jc w:val="center"/>
              <w:rPr>
                <w:rFonts w:ascii="Calibri" w:hAnsi="Calibri"/>
                <w:color w:val="000000"/>
                <w:szCs w:val="22"/>
              </w:rPr>
            </w:pPr>
            <w:r>
              <w:rPr>
                <w:rFonts w:ascii="Calibri" w:hAnsi="Calibri"/>
                <w:color w:val="000000"/>
                <w:szCs w:val="22"/>
              </w:rPr>
              <w:t>225</w:t>
            </w:r>
          </w:p>
        </w:tc>
        <w:tc>
          <w:tcPr>
            <w:tcW w:w="767" w:type="dxa"/>
            <w:tcBorders>
              <w:top w:val="single" w:sz="2" w:space="0" w:color="auto"/>
              <w:bottom w:val="single" w:sz="2" w:space="0" w:color="auto"/>
            </w:tcBorders>
            <w:noWrap/>
          </w:tcPr>
          <w:p w:rsidR="00B0656B" w:rsidRDefault="00B0656B" w:rsidP="008E31A6">
            <w:pPr>
              <w:jc w:val="center"/>
              <w:rPr>
                <w:rFonts w:ascii="Calibri" w:hAnsi="Calibri"/>
                <w:color w:val="000000"/>
                <w:szCs w:val="22"/>
              </w:rPr>
            </w:pPr>
            <w:r>
              <w:rPr>
                <w:rFonts w:ascii="Calibri" w:hAnsi="Calibri"/>
                <w:color w:val="000000"/>
                <w:szCs w:val="22"/>
              </w:rPr>
              <w:t>857</w:t>
            </w:r>
          </w:p>
        </w:tc>
        <w:tc>
          <w:tcPr>
            <w:tcW w:w="749" w:type="dxa"/>
            <w:tcBorders>
              <w:top w:val="single" w:sz="2" w:space="0" w:color="auto"/>
              <w:bottom w:val="single" w:sz="2" w:space="0" w:color="auto"/>
            </w:tcBorders>
            <w:noWrap/>
          </w:tcPr>
          <w:p w:rsidR="00B0656B" w:rsidRDefault="00B0656B" w:rsidP="008E31A6">
            <w:pPr>
              <w:jc w:val="center"/>
              <w:rPr>
                <w:rFonts w:ascii="Calibri" w:hAnsi="Calibri"/>
                <w:color w:val="000000"/>
                <w:szCs w:val="22"/>
              </w:rPr>
            </w:pPr>
            <w:r>
              <w:rPr>
                <w:rFonts w:ascii="Calibri" w:hAnsi="Calibri"/>
                <w:color w:val="000000"/>
                <w:szCs w:val="22"/>
              </w:rPr>
              <w:t>726</w:t>
            </w:r>
          </w:p>
        </w:tc>
        <w:tc>
          <w:tcPr>
            <w:tcW w:w="983" w:type="dxa"/>
            <w:tcBorders>
              <w:top w:val="single" w:sz="2" w:space="0" w:color="auto"/>
              <w:bottom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487</w:t>
            </w:r>
          </w:p>
        </w:tc>
        <w:tc>
          <w:tcPr>
            <w:tcW w:w="983" w:type="dxa"/>
            <w:tcBorders>
              <w:top w:val="single" w:sz="2" w:space="0" w:color="auto"/>
              <w:bottom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136</w:t>
            </w:r>
          </w:p>
        </w:tc>
        <w:tc>
          <w:tcPr>
            <w:tcW w:w="983" w:type="dxa"/>
            <w:tcBorders>
              <w:top w:val="single" w:sz="2" w:space="0" w:color="auto"/>
              <w:bottom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22</w:t>
            </w:r>
          </w:p>
        </w:tc>
        <w:tc>
          <w:tcPr>
            <w:tcW w:w="1259" w:type="dxa"/>
            <w:tcBorders>
              <w:top w:val="single" w:sz="2" w:space="0" w:color="auto"/>
              <w:bottom w:val="single" w:sz="2" w:space="0" w:color="auto"/>
              <w:right w:val="single" w:sz="2" w:space="0" w:color="auto"/>
            </w:tcBorders>
          </w:tcPr>
          <w:p w:rsidR="00B0656B" w:rsidRDefault="00B0656B" w:rsidP="008E31A6">
            <w:pPr>
              <w:jc w:val="center"/>
              <w:rPr>
                <w:rFonts w:ascii="Calibri" w:hAnsi="Calibri"/>
                <w:color w:val="000000"/>
                <w:szCs w:val="22"/>
              </w:rPr>
            </w:pPr>
            <w:r>
              <w:rPr>
                <w:rFonts w:ascii="Calibri" w:hAnsi="Calibri"/>
                <w:color w:val="000000"/>
                <w:szCs w:val="22"/>
              </w:rPr>
              <w:t>25</w:t>
            </w:r>
          </w:p>
        </w:tc>
        <w:tc>
          <w:tcPr>
            <w:tcW w:w="1633" w:type="dxa"/>
            <w:tcBorders>
              <w:top w:val="single" w:sz="2" w:space="0" w:color="auto"/>
              <w:left w:val="single" w:sz="2" w:space="0" w:color="auto"/>
              <w:bottom w:val="single" w:sz="2" w:space="0" w:color="auto"/>
            </w:tcBorders>
          </w:tcPr>
          <w:p w:rsidR="00B0656B" w:rsidRPr="00B0656B" w:rsidRDefault="00B0656B" w:rsidP="00B0656B">
            <w:pPr>
              <w:ind w:right="459"/>
              <w:jc w:val="right"/>
              <w:rPr>
                <w:b/>
              </w:rPr>
            </w:pPr>
            <w:r w:rsidRPr="00B0656B">
              <w:rPr>
                <w:b/>
              </w:rPr>
              <w:t>16.74%</w:t>
            </w:r>
          </w:p>
        </w:tc>
        <w:tc>
          <w:tcPr>
            <w:tcW w:w="1639" w:type="dxa"/>
            <w:tcBorders>
              <w:top w:val="single" w:sz="2" w:space="0" w:color="auto"/>
              <w:bottom w:val="single" w:sz="2" w:space="0" w:color="auto"/>
            </w:tcBorders>
          </w:tcPr>
          <w:p w:rsidR="00B0656B" w:rsidRDefault="00B0656B" w:rsidP="008E31A6">
            <w:pPr>
              <w:jc w:val="center"/>
              <w:rPr>
                <w:rFonts w:ascii="Calibri" w:hAnsi="Calibri"/>
                <w:b/>
                <w:bCs/>
                <w:color w:val="000000"/>
                <w:szCs w:val="22"/>
              </w:rPr>
            </w:pPr>
            <w:r>
              <w:rPr>
                <w:rFonts w:ascii="Calibri" w:hAnsi="Calibri"/>
                <w:b/>
                <w:bCs/>
                <w:color w:val="000000"/>
                <w:szCs w:val="22"/>
              </w:rPr>
              <w:t>2.70%</w:t>
            </w:r>
          </w:p>
        </w:tc>
      </w:tr>
    </w:tbl>
    <w:p w:rsidR="00F6376B" w:rsidRPr="001512D3" w:rsidRDefault="00F6376B" w:rsidP="0003502D">
      <w:pPr>
        <w:pStyle w:val="FootnoteText"/>
      </w:pPr>
      <w:r w:rsidRPr="001512D3">
        <w:t xml:space="preserve">Source: Joint Committee calculations based on </w:t>
      </w:r>
      <w:r w:rsidR="003C1866">
        <w:t xml:space="preserve">CEREP and </w:t>
      </w:r>
      <w:r w:rsidR="00CC459D">
        <w:t>Axesor</w:t>
      </w:r>
      <w:r w:rsidRPr="001512D3">
        <w:t xml:space="preserve"> data </w:t>
      </w:r>
    </w:p>
    <w:p w:rsidR="00B2057D" w:rsidRDefault="00B2057D" w:rsidP="00B2057D">
      <w:pPr>
        <w:jc w:val="both"/>
      </w:pPr>
    </w:p>
    <w:p w:rsidR="0067300F" w:rsidRDefault="00553A2D" w:rsidP="00AE03CB">
      <w:pPr>
        <w:jc w:val="both"/>
      </w:pPr>
      <w:r>
        <w:t xml:space="preserve">The first columns </w:t>
      </w:r>
      <w:r w:rsidR="00ED528D">
        <w:t>d</w:t>
      </w:r>
      <w:r>
        <w:t>isplay</w:t>
      </w:r>
      <w:r w:rsidR="00ED528D">
        <w:t xml:space="preserve"> the distribution of </w:t>
      </w:r>
      <w:r w:rsidR="00FE4269">
        <w:t xml:space="preserve">(hypothetical) credit </w:t>
      </w:r>
      <w:r w:rsidR="00ED528D">
        <w:t>ratings by scoring category</w:t>
      </w:r>
      <w:r>
        <w:t xml:space="preserve">. </w:t>
      </w:r>
      <w:r w:rsidR="00B751AC">
        <w:t>The aggregate result is shown in the last row.</w:t>
      </w:r>
      <w:r w:rsidR="00AE03CB">
        <w:t xml:space="preserve"> </w:t>
      </w:r>
    </w:p>
    <w:p w:rsidR="00B2057D" w:rsidRDefault="00F4352E" w:rsidP="00AE03CB">
      <w:pPr>
        <w:jc w:val="both"/>
      </w:pPr>
      <w:r>
        <w:lastRenderedPageBreak/>
        <w:t>T</w:t>
      </w:r>
      <w:r w:rsidR="00F14419">
        <w:t>he column ‘</w:t>
      </w:r>
      <w:r w:rsidR="00F14419">
        <w:rPr>
          <w:rFonts w:ascii="Calibri" w:hAnsi="Calibri"/>
          <w:b/>
          <w:bCs/>
          <w:color w:val="000000"/>
          <w:szCs w:val="22"/>
          <w:lang w:val="en-US" w:eastAsia="es-ES"/>
        </w:rPr>
        <w:t>Benchmark-implied default rate</w:t>
      </w:r>
      <w:r w:rsidR="00F14419">
        <w:t xml:space="preserve">’ reflects the estimated default rate of the scoring pool under the assumption that the default rate of the rating categories is equal to the </w:t>
      </w:r>
      <w:r w:rsidR="00F14419" w:rsidRPr="00F14419">
        <w:t>long run default rate benchmarks</w:t>
      </w:r>
      <w:r w:rsidR="003B78BE">
        <w:t xml:space="preserve"> (</w:t>
      </w:r>
      <w:r w:rsidR="003B78BE">
        <w:rPr>
          <w:rFonts w:asciiTheme="majorHAnsi" w:hAnsiTheme="majorHAnsi"/>
          <w:color w:val="000000"/>
        </w:rPr>
        <w:t>0.10%, 0.10%, 0.25%, 1.00%, 7.50%, 20.00%</w:t>
      </w:r>
      <w:r w:rsidR="008E31A6">
        <w:rPr>
          <w:rFonts w:asciiTheme="majorHAnsi" w:hAnsiTheme="majorHAnsi"/>
          <w:color w:val="000000"/>
        </w:rPr>
        <w:t xml:space="preserve">, 34.00%, 34.00%, 34.00% </w:t>
      </w:r>
      <w:r w:rsidR="003B78BE">
        <w:rPr>
          <w:rFonts w:asciiTheme="majorHAnsi" w:hAnsiTheme="majorHAnsi"/>
          <w:color w:val="000000"/>
        </w:rPr>
        <w:t>and 34.00% respectively)</w:t>
      </w:r>
      <w:r w:rsidR="00F14419">
        <w:t>. The column ‘</w:t>
      </w:r>
      <w:r w:rsidR="00F14419">
        <w:rPr>
          <w:rFonts w:ascii="Calibri" w:hAnsi="Calibri"/>
          <w:b/>
          <w:bCs/>
          <w:color w:val="000000"/>
          <w:szCs w:val="22"/>
          <w:lang w:val="en-US" w:eastAsia="es-ES"/>
        </w:rPr>
        <w:t>Observed 3-year default rate</w:t>
      </w:r>
      <w:r w:rsidR="00F14419">
        <w:t xml:space="preserve">’ reflects the actually observed 3-year default rate </w:t>
      </w:r>
      <w:r w:rsidR="004F5DAB">
        <w:t>of the scoring population in</w:t>
      </w:r>
      <w:r w:rsidR="00F14419">
        <w:t xml:space="preserve"> </w:t>
      </w:r>
      <w:r>
        <w:t xml:space="preserve">each </w:t>
      </w:r>
      <w:r w:rsidR="00F14419">
        <w:t xml:space="preserve">scoring </w:t>
      </w:r>
      <w:r>
        <w:t>category</w:t>
      </w:r>
      <w:r w:rsidR="00AE5542">
        <w:t xml:space="preserve"> </w:t>
      </w:r>
      <w:r w:rsidR="004F5DAB">
        <w:t>(</w:t>
      </w:r>
      <w:r>
        <w:t xml:space="preserve">during </w:t>
      </w:r>
      <w:r w:rsidR="00AE5542">
        <w:t xml:space="preserve">the entire period </w:t>
      </w:r>
      <w:r w:rsidR="00CC459D">
        <w:t>2007-2009</w:t>
      </w:r>
      <w:r w:rsidR="00AE5542">
        <w:t>)</w:t>
      </w:r>
      <w:r w:rsidR="00ED528D">
        <w:t xml:space="preserve">. </w:t>
      </w:r>
      <w:r w:rsidR="00B2057D">
        <w:br w:type="page"/>
      </w:r>
    </w:p>
    <w:p w:rsidR="00BB2D63" w:rsidRPr="00FC5912" w:rsidRDefault="00BB2D63" w:rsidP="00BB2D63">
      <w:pPr>
        <w:jc w:val="both"/>
        <w:sectPr w:rsidR="00BB2D63" w:rsidRPr="00FC5912" w:rsidSect="006A71AD">
          <w:headerReference w:type="even" r:id="rId53"/>
          <w:headerReference w:type="default" r:id="rId54"/>
          <w:footerReference w:type="even" r:id="rId55"/>
          <w:footerReference w:type="default" r:id="rId56"/>
          <w:headerReference w:type="first" r:id="rId57"/>
          <w:footerReference w:type="first" r:id="rId58"/>
          <w:pgSz w:w="16840" w:h="11900" w:orient="landscape"/>
          <w:pgMar w:top="1701" w:right="2268" w:bottom="1418" w:left="1134" w:header="709" w:footer="709" w:gutter="0"/>
          <w:cols w:space="708"/>
          <w:titlePg/>
          <w:docGrid w:linePitch="299"/>
        </w:sectPr>
      </w:pPr>
    </w:p>
    <w:p w:rsidR="00F815E0" w:rsidRDefault="00F434D1" w:rsidP="003F60D2">
      <w:pPr>
        <w:pStyle w:val="Titlelevel2"/>
        <w:outlineLvl w:val="0"/>
      </w:pPr>
      <w:r w:rsidRPr="00BE6527">
        <w:lastRenderedPageBreak/>
        <w:t xml:space="preserve">Appendix </w:t>
      </w:r>
      <w:r w:rsidR="00F900B1">
        <w:t>6</w:t>
      </w:r>
      <w:r w:rsidRPr="00BE6527">
        <w:t>: Mappings of each rating scale</w:t>
      </w:r>
    </w:p>
    <w:p w:rsidR="00157D76" w:rsidRPr="00E25C65" w:rsidRDefault="0041788D" w:rsidP="0003502D">
      <w:pPr>
        <w:pStyle w:val="Figuretitle"/>
      </w:pPr>
      <w:bookmarkStart w:id="26" w:name="_Ref384809626"/>
      <w:r w:rsidRPr="0041788D">
        <w:rPr>
          <w:szCs w:val="22"/>
        </w:rPr>
        <w:t xml:space="preserve">Figure </w:t>
      </w:r>
      <w:bookmarkEnd w:id="26"/>
      <w:r w:rsidR="0003502D">
        <w:rPr>
          <w:szCs w:val="22"/>
        </w:rPr>
        <w:t>14</w:t>
      </w:r>
      <w:r w:rsidR="00157D76">
        <w:t>:</w:t>
      </w:r>
      <w:r w:rsidR="00157D76" w:rsidRPr="00E25C65">
        <w:t xml:space="preserve"> Mapping of </w:t>
      </w:r>
      <w:r w:rsidR="00CC459D">
        <w:t>Axesor</w:t>
      </w:r>
      <w:r w:rsidR="00662B9C">
        <w:t>’</w:t>
      </w:r>
      <w:r w:rsidR="00157D76" w:rsidRPr="00E25C65">
        <w:t xml:space="preserve">s </w:t>
      </w:r>
      <w:r w:rsidR="00662B9C" w:rsidRPr="00662B9C">
        <w:t>Global rating scale</w:t>
      </w:r>
    </w:p>
    <w:tbl>
      <w:tblPr>
        <w:tblStyle w:val="TableGrid"/>
        <w:tblW w:w="14034" w:type="dxa"/>
        <w:tblInd w:w="108" w:type="dxa"/>
        <w:tblLayout w:type="fixed"/>
        <w:tblLook w:val="04A0" w:firstRow="1" w:lastRow="0" w:firstColumn="1" w:lastColumn="0" w:noHBand="0" w:noVBand="1"/>
      </w:tblPr>
      <w:tblGrid>
        <w:gridCol w:w="1418"/>
        <w:gridCol w:w="1417"/>
        <w:gridCol w:w="1418"/>
        <w:gridCol w:w="1417"/>
        <w:gridCol w:w="8364"/>
      </w:tblGrid>
      <w:tr w:rsidR="00157D76" w:rsidRPr="00157D76" w:rsidTr="00157D76">
        <w:trPr>
          <w:cnfStyle w:val="100000000000" w:firstRow="1" w:lastRow="0" w:firstColumn="0" w:lastColumn="0" w:oddVBand="0" w:evenVBand="0" w:oddHBand="0" w:evenHBand="0" w:firstRowFirstColumn="0" w:firstRowLastColumn="0" w:lastRowFirstColumn="0" w:lastRowLastColumn="0"/>
          <w:trHeight w:val="567"/>
        </w:trPr>
        <w:tc>
          <w:tcPr>
            <w:tcW w:w="1418" w:type="dxa"/>
            <w:tcBorders>
              <w:bottom w:val="single" w:sz="18" w:space="0" w:color="E98E31" w:themeColor="background2"/>
            </w:tcBorders>
          </w:tcPr>
          <w:p w:rsidR="00157D76" w:rsidRPr="00157D76" w:rsidRDefault="00157D76" w:rsidP="00157D76">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1417" w:type="dxa"/>
            <w:tcBorders>
              <w:bottom w:val="single" w:sz="18" w:space="0" w:color="E98E31" w:themeColor="background2"/>
            </w:tcBorders>
          </w:tcPr>
          <w:p w:rsidR="00157D76" w:rsidRPr="00157D76" w:rsidRDefault="00157D76" w:rsidP="0003502D">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Initial mapping </w:t>
            </w:r>
            <w:r w:rsidRPr="00157D76">
              <w:rPr>
                <w:rFonts w:asciiTheme="majorHAnsi" w:hAnsiTheme="majorHAnsi" w:cs="Arial"/>
                <w:b/>
                <w:i/>
                <w:sz w:val="22"/>
                <w:szCs w:val="22"/>
              </w:rPr>
              <w:t>based on LR DR</w:t>
            </w:r>
            <w:r w:rsidRPr="00157D76">
              <w:rPr>
                <w:rFonts w:asciiTheme="majorHAnsi" w:hAnsiTheme="majorHAnsi" w:cs="Arial"/>
                <w:b/>
                <w:sz w:val="22"/>
                <w:szCs w:val="22"/>
              </w:rPr>
              <w:t>(CQS)</w:t>
            </w:r>
          </w:p>
        </w:tc>
        <w:tc>
          <w:tcPr>
            <w:tcW w:w="1418" w:type="dxa"/>
            <w:tcBorders>
              <w:bottom w:val="single" w:sz="18" w:space="0" w:color="E98E31" w:themeColor="background2"/>
            </w:tcBorders>
          </w:tcPr>
          <w:p w:rsidR="00157D76" w:rsidRPr="00157D76" w:rsidRDefault="00157D76" w:rsidP="0003502D">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Review </w:t>
            </w:r>
            <w:r w:rsidRPr="00157D76">
              <w:rPr>
                <w:rFonts w:asciiTheme="majorHAnsi" w:hAnsiTheme="majorHAnsi" w:cs="Arial"/>
                <w:b/>
                <w:i/>
                <w:sz w:val="22"/>
                <w:szCs w:val="22"/>
              </w:rPr>
              <w:t>based on SR DR</w:t>
            </w:r>
            <w:r w:rsidRPr="00157D76">
              <w:rPr>
                <w:rFonts w:asciiTheme="majorHAnsi" w:hAnsiTheme="majorHAnsi" w:cs="Arial"/>
                <w:b/>
                <w:sz w:val="22"/>
                <w:szCs w:val="22"/>
              </w:rPr>
              <w:t>(CQS)</w:t>
            </w:r>
          </w:p>
        </w:tc>
        <w:tc>
          <w:tcPr>
            <w:tcW w:w="1417" w:type="dxa"/>
            <w:tcBorders>
              <w:bottom w:val="single" w:sz="18" w:space="0" w:color="E98E31" w:themeColor="background2"/>
            </w:tcBorders>
          </w:tcPr>
          <w:p w:rsidR="00157D76" w:rsidRPr="00157D76" w:rsidRDefault="00157D76" w:rsidP="0003502D">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r w:rsidRPr="00157D76">
              <w:rPr>
                <w:rFonts w:asciiTheme="majorHAnsi" w:hAnsiTheme="majorHAnsi" w:cs="Arial"/>
                <w:b/>
                <w:sz w:val="22"/>
                <w:szCs w:val="22"/>
              </w:rPr>
              <w:t xml:space="preserve"> (CQS)</w:t>
            </w:r>
          </w:p>
        </w:tc>
        <w:tc>
          <w:tcPr>
            <w:tcW w:w="8364"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FE0C27" w:rsidRPr="00157D76" w:rsidTr="00157D76">
        <w:trPr>
          <w:trHeight w:val="567"/>
        </w:trPr>
        <w:tc>
          <w:tcPr>
            <w:tcW w:w="1418" w:type="dxa"/>
            <w:tcBorders>
              <w:top w:val="single" w:sz="18" w:space="0" w:color="E98E31" w:themeColor="background2"/>
              <w:bottom w:val="dashed" w:sz="4" w:space="0" w:color="auto"/>
            </w:tcBorders>
          </w:tcPr>
          <w:p w:rsidR="00FE0C27" w:rsidRPr="00157D76" w:rsidRDefault="00FE0C27"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1417" w:type="dxa"/>
            <w:tcBorders>
              <w:top w:val="single" w:sz="18" w:space="0" w:color="E98E31" w:themeColor="background2"/>
              <w:bottom w:val="dashed" w:sz="4" w:space="0" w:color="auto"/>
            </w:tcBorders>
          </w:tcPr>
          <w:p w:rsidR="00FE0C27" w:rsidRPr="00157D76" w:rsidRDefault="00AD15C7"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8" w:type="dxa"/>
            <w:tcBorders>
              <w:top w:val="single" w:sz="18" w:space="0" w:color="E98E31" w:themeColor="background2"/>
              <w:bottom w:val="dashed" w:sz="4" w:space="0" w:color="auto"/>
            </w:tcBorders>
          </w:tcPr>
          <w:p w:rsidR="00FE0C27" w:rsidRPr="00157D76" w:rsidRDefault="00FE0C27"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18" w:space="0" w:color="E98E31" w:themeColor="background2"/>
              <w:bottom w:val="single" w:sz="4" w:space="0" w:color="auto"/>
            </w:tcBorders>
          </w:tcPr>
          <w:p w:rsidR="00FE0C27" w:rsidRPr="00157D76" w:rsidRDefault="005569F7"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4" w:type="dxa"/>
            <w:vMerge w:val="restart"/>
            <w:tcBorders>
              <w:top w:val="single" w:sz="18" w:space="0" w:color="E98E31" w:themeColor="background2"/>
            </w:tcBorders>
          </w:tcPr>
          <w:p w:rsidR="00FE0C27" w:rsidRPr="00157D76" w:rsidRDefault="00FE0C27" w:rsidP="00C04DE0">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D74683" w:rsidRPr="00157D76" w:rsidTr="00157D76">
        <w:trPr>
          <w:trHeight w:val="567"/>
        </w:trPr>
        <w:tc>
          <w:tcPr>
            <w:tcW w:w="1418" w:type="dxa"/>
            <w:tcBorders>
              <w:bottom w:val="dashed" w:sz="4" w:space="0" w:color="auto"/>
            </w:tcBorders>
          </w:tcPr>
          <w:p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1417" w:type="dxa"/>
            <w:tcBorders>
              <w:bottom w:val="dashed" w:sz="4" w:space="0" w:color="auto"/>
            </w:tcBorders>
          </w:tcPr>
          <w:p w:rsidR="00D74683" w:rsidRPr="00157D76" w:rsidRDefault="00AD15C7" w:rsidP="00AD15C7">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8" w:type="dxa"/>
            <w:tcBorders>
              <w:bottom w:val="dashed" w:sz="4" w:space="0" w:color="auto"/>
            </w:tcBorders>
          </w:tcPr>
          <w:p w:rsidR="00D74683" w:rsidRPr="00157D76" w:rsidRDefault="00D74683"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D74683" w:rsidRPr="00157D76" w:rsidRDefault="005569F7"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4" w:type="dxa"/>
            <w:vMerge/>
            <w:tcBorders>
              <w:bottom w:val="dashed" w:sz="4" w:space="0" w:color="auto"/>
            </w:tcBorders>
          </w:tcPr>
          <w:p w:rsidR="00D74683" w:rsidRPr="00157D76" w:rsidRDefault="00D74683" w:rsidP="00D74683">
            <w:pPr>
              <w:pStyle w:val="BodyText1"/>
              <w:spacing w:before="120" w:after="120"/>
              <w:rPr>
                <w:rFonts w:asciiTheme="majorHAnsi" w:hAnsiTheme="majorHAnsi"/>
                <w:sz w:val="22"/>
                <w:szCs w:val="22"/>
              </w:rPr>
            </w:pPr>
          </w:p>
        </w:tc>
      </w:tr>
      <w:tr w:rsidR="00016399" w:rsidRPr="00157D76" w:rsidTr="00157D76">
        <w:trPr>
          <w:trHeight w:val="567"/>
        </w:trPr>
        <w:tc>
          <w:tcPr>
            <w:tcW w:w="1418" w:type="dxa"/>
            <w:tcBorders>
              <w:bottom w:val="dashed" w:sz="4" w:space="0" w:color="auto"/>
            </w:tcBorders>
          </w:tcPr>
          <w:p w:rsidR="00016399" w:rsidRPr="00157D76" w:rsidRDefault="00016399"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1417" w:type="dxa"/>
            <w:tcBorders>
              <w:bottom w:val="dashed" w:sz="4" w:space="0" w:color="auto"/>
            </w:tcBorders>
          </w:tcPr>
          <w:p w:rsidR="00016399" w:rsidRPr="00157D76" w:rsidRDefault="00016399"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2</w:t>
            </w:r>
          </w:p>
        </w:tc>
        <w:tc>
          <w:tcPr>
            <w:tcW w:w="1418" w:type="dxa"/>
            <w:tcBorders>
              <w:bottom w:val="dashed" w:sz="4" w:space="0" w:color="auto"/>
            </w:tcBorders>
          </w:tcPr>
          <w:p w:rsidR="00016399" w:rsidRPr="00157D76" w:rsidRDefault="00016399"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016399" w:rsidRPr="00157D76" w:rsidRDefault="00016399"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2</w:t>
            </w:r>
          </w:p>
        </w:tc>
        <w:tc>
          <w:tcPr>
            <w:tcW w:w="8364" w:type="dxa"/>
            <w:tcBorders>
              <w:bottom w:val="dashed" w:sz="4" w:space="0" w:color="auto"/>
            </w:tcBorders>
          </w:tcPr>
          <w:p w:rsidR="00016399" w:rsidRPr="00157D76" w:rsidRDefault="00016399"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016399" w:rsidRPr="00157D76" w:rsidTr="00157D76">
        <w:trPr>
          <w:trHeight w:val="567"/>
        </w:trPr>
        <w:tc>
          <w:tcPr>
            <w:tcW w:w="1418" w:type="dxa"/>
          </w:tcPr>
          <w:p w:rsidR="00016399" w:rsidRPr="00157D76" w:rsidRDefault="00016399"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1417" w:type="dxa"/>
          </w:tcPr>
          <w:p w:rsidR="00016399" w:rsidRPr="00157D76" w:rsidRDefault="00016399"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3</w:t>
            </w:r>
          </w:p>
        </w:tc>
        <w:tc>
          <w:tcPr>
            <w:tcW w:w="1418" w:type="dxa"/>
          </w:tcPr>
          <w:p w:rsidR="00016399" w:rsidRPr="00157D76" w:rsidRDefault="00016399"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016399" w:rsidRPr="00157D76" w:rsidRDefault="00016399"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w:t>
            </w:r>
          </w:p>
        </w:tc>
        <w:tc>
          <w:tcPr>
            <w:tcW w:w="8364" w:type="dxa"/>
          </w:tcPr>
          <w:p w:rsidR="00016399" w:rsidRPr="00157D76" w:rsidRDefault="00016399"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016399" w:rsidRPr="00157D76" w:rsidTr="00157D76">
        <w:trPr>
          <w:trHeight w:val="567"/>
        </w:trPr>
        <w:tc>
          <w:tcPr>
            <w:tcW w:w="1418" w:type="dxa"/>
          </w:tcPr>
          <w:p w:rsidR="00016399" w:rsidRPr="00157D76" w:rsidRDefault="00016399"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1417" w:type="dxa"/>
          </w:tcPr>
          <w:p w:rsidR="00016399" w:rsidRPr="00157D76" w:rsidRDefault="00AD15C7"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w:t>
            </w:r>
          </w:p>
        </w:tc>
        <w:tc>
          <w:tcPr>
            <w:tcW w:w="1418" w:type="dxa"/>
          </w:tcPr>
          <w:p w:rsidR="00016399" w:rsidRPr="00157D76" w:rsidRDefault="00016399"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016399" w:rsidRPr="00157D76" w:rsidRDefault="00016399"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c>
          <w:tcPr>
            <w:tcW w:w="8364" w:type="dxa"/>
          </w:tcPr>
          <w:p w:rsidR="00016399" w:rsidRPr="00157D76" w:rsidRDefault="005569F7" w:rsidP="007666D4">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016399" w:rsidRPr="00157D76" w:rsidTr="00157D76">
        <w:trPr>
          <w:trHeight w:val="567"/>
        </w:trPr>
        <w:tc>
          <w:tcPr>
            <w:tcW w:w="1418" w:type="dxa"/>
          </w:tcPr>
          <w:p w:rsidR="00016399" w:rsidRPr="00157D76" w:rsidRDefault="00016399"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1417" w:type="dxa"/>
          </w:tcPr>
          <w:p w:rsidR="00016399" w:rsidRPr="00157D76" w:rsidRDefault="00AD15C7"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w:t>
            </w:r>
          </w:p>
        </w:tc>
        <w:tc>
          <w:tcPr>
            <w:tcW w:w="1418" w:type="dxa"/>
          </w:tcPr>
          <w:p w:rsidR="00016399" w:rsidRPr="00157D76" w:rsidRDefault="00016399"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016399" w:rsidRPr="00157D76" w:rsidRDefault="00016399"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5</w:t>
            </w:r>
          </w:p>
        </w:tc>
        <w:tc>
          <w:tcPr>
            <w:tcW w:w="8364" w:type="dxa"/>
          </w:tcPr>
          <w:p w:rsidR="00016399" w:rsidRPr="00157D76" w:rsidRDefault="005569F7" w:rsidP="007666D4">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8D01C6" w:rsidRPr="00157D76" w:rsidTr="00157D76">
        <w:trPr>
          <w:trHeight w:val="567"/>
        </w:trPr>
        <w:tc>
          <w:tcPr>
            <w:tcW w:w="1418" w:type="dxa"/>
          </w:tcPr>
          <w:p w:rsidR="008D01C6" w:rsidRPr="00157D76" w:rsidRDefault="008D01C6"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CCC</w:t>
            </w:r>
          </w:p>
        </w:tc>
        <w:tc>
          <w:tcPr>
            <w:tcW w:w="1417" w:type="dxa"/>
          </w:tcPr>
          <w:p w:rsidR="008D01C6" w:rsidRPr="00157D76" w:rsidRDefault="008D01C6"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8" w:type="dxa"/>
          </w:tcPr>
          <w:p w:rsidR="008D01C6" w:rsidRPr="00157D76" w:rsidRDefault="008D01C6"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8D01C6" w:rsidRPr="00157D76" w:rsidRDefault="008D01C6"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vMerge w:val="restart"/>
          </w:tcPr>
          <w:p w:rsidR="008D01C6" w:rsidRPr="00157D76" w:rsidRDefault="008D01C6"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8D01C6" w:rsidRPr="00157D76" w:rsidTr="00157D76">
        <w:trPr>
          <w:trHeight w:val="567"/>
        </w:trPr>
        <w:tc>
          <w:tcPr>
            <w:tcW w:w="1418" w:type="dxa"/>
          </w:tcPr>
          <w:p w:rsidR="008D01C6" w:rsidRPr="00157D76" w:rsidRDefault="008D01C6" w:rsidP="00D74683">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CC</w:t>
            </w:r>
          </w:p>
        </w:tc>
        <w:tc>
          <w:tcPr>
            <w:tcW w:w="1417" w:type="dxa"/>
          </w:tcPr>
          <w:p w:rsidR="008D01C6" w:rsidRPr="00157D76" w:rsidRDefault="008D01C6"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6</w:t>
            </w:r>
          </w:p>
        </w:tc>
        <w:tc>
          <w:tcPr>
            <w:tcW w:w="1418" w:type="dxa"/>
          </w:tcPr>
          <w:p w:rsidR="008D01C6" w:rsidRDefault="008D01C6"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8D01C6" w:rsidRPr="00157D76" w:rsidRDefault="008D01C6"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c>
          <w:tcPr>
            <w:tcW w:w="8364" w:type="dxa"/>
            <w:vMerge/>
          </w:tcPr>
          <w:p w:rsidR="008D01C6" w:rsidRPr="00157D76" w:rsidRDefault="008D01C6" w:rsidP="00D74683">
            <w:pPr>
              <w:pStyle w:val="BodyText1"/>
              <w:spacing w:before="120" w:after="120"/>
              <w:rPr>
                <w:rFonts w:asciiTheme="majorHAnsi" w:hAnsiTheme="majorHAnsi"/>
                <w:sz w:val="22"/>
                <w:szCs w:val="22"/>
              </w:rPr>
            </w:pPr>
          </w:p>
        </w:tc>
      </w:tr>
      <w:tr w:rsidR="008D01C6" w:rsidRPr="00157D76" w:rsidTr="00157D76">
        <w:trPr>
          <w:trHeight w:val="567"/>
        </w:trPr>
        <w:tc>
          <w:tcPr>
            <w:tcW w:w="1418" w:type="dxa"/>
          </w:tcPr>
          <w:p w:rsidR="008D01C6" w:rsidRPr="00157D76" w:rsidRDefault="008D01C6" w:rsidP="00D74683">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w:t>
            </w:r>
          </w:p>
        </w:tc>
        <w:tc>
          <w:tcPr>
            <w:tcW w:w="1417" w:type="dxa"/>
          </w:tcPr>
          <w:p w:rsidR="008D01C6" w:rsidRPr="00157D76" w:rsidRDefault="008D01C6"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6</w:t>
            </w:r>
          </w:p>
        </w:tc>
        <w:tc>
          <w:tcPr>
            <w:tcW w:w="1418" w:type="dxa"/>
          </w:tcPr>
          <w:p w:rsidR="008D01C6" w:rsidRDefault="008D01C6"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8D01C6" w:rsidRPr="00157D76" w:rsidRDefault="008D01C6"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c>
          <w:tcPr>
            <w:tcW w:w="8364" w:type="dxa"/>
            <w:vMerge/>
          </w:tcPr>
          <w:p w:rsidR="008D01C6" w:rsidRPr="00157D76" w:rsidRDefault="008D01C6" w:rsidP="00D74683">
            <w:pPr>
              <w:pStyle w:val="BodyText1"/>
              <w:spacing w:before="120" w:after="120"/>
              <w:rPr>
                <w:rFonts w:asciiTheme="majorHAnsi" w:hAnsiTheme="majorHAnsi"/>
                <w:sz w:val="22"/>
                <w:szCs w:val="22"/>
              </w:rPr>
            </w:pPr>
          </w:p>
        </w:tc>
      </w:tr>
      <w:tr w:rsidR="00FE0C27" w:rsidRPr="00157D76" w:rsidTr="00C04DE0">
        <w:trPr>
          <w:trHeight w:val="567"/>
        </w:trPr>
        <w:tc>
          <w:tcPr>
            <w:tcW w:w="1418" w:type="dxa"/>
          </w:tcPr>
          <w:p w:rsidR="00FE0C27" w:rsidRPr="00157D76" w:rsidRDefault="00FE0C27" w:rsidP="00C04DE0">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D</w:t>
            </w:r>
          </w:p>
        </w:tc>
        <w:tc>
          <w:tcPr>
            <w:tcW w:w="1417" w:type="dxa"/>
          </w:tcPr>
          <w:p w:rsidR="00FE0C27" w:rsidRPr="00157D76" w:rsidRDefault="007074AD" w:rsidP="00C04DE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6</w:t>
            </w:r>
          </w:p>
        </w:tc>
        <w:tc>
          <w:tcPr>
            <w:tcW w:w="1418" w:type="dxa"/>
          </w:tcPr>
          <w:p w:rsidR="00FE0C27" w:rsidRPr="00157D76" w:rsidRDefault="00FE0C27" w:rsidP="00C04DE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FE0C27" w:rsidRPr="00157D76" w:rsidRDefault="00FE0C27" w:rsidP="00C04DE0">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tcPr>
          <w:p w:rsidR="00FE0C27" w:rsidRPr="00157D76" w:rsidRDefault="007074AD" w:rsidP="00C04DE0">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r w:rsidR="00FE0C27">
              <w:rPr>
                <w:rFonts w:asciiTheme="majorHAnsi" w:hAnsiTheme="majorHAnsi"/>
                <w:sz w:val="22"/>
                <w:szCs w:val="22"/>
              </w:rPr>
              <w:t>.</w:t>
            </w:r>
          </w:p>
        </w:tc>
      </w:tr>
      <w:tr w:rsidR="00FA0DC0" w:rsidRPr="00157D76" w:rsidTr="00157D76">
        <w:trPr>
          <w:trHeight w:val="567"/>
        </w:trPr>
        <w:tc>
          <w:tcPr>
            <w:tcW w:w="1418" w:type="dxa"/>
          </w:tcPr>
          <w:p w:rsidR="00FA0DC0" w:rsidRPr="00157D76" w:rsidRDefault="008D01C6" w:rsidP="008D01C6">
            <w:pPr>
              <w:pStyle w:val="BodyText1"/>
              <w:spacing w:before="120" w:after="120"/>
              <w:jc w:val="center"/>
              <w:rPr>
                <w:rFonts w:asciiTheme="majorHAnsi" w:hAnsiTheme="majorHAnsi" w:cs="Arial"/>
                <w:b/>
                <w:sz w:val="22"/>
                <w:szCs w:val="22"/>
              </w:rPr>
            </w:pPr>
            <w:r>
              <w:rPr>
                <w:rFonts w:asciiTheme="majorHAnsi" w:hAnsiTheme="majorHAnsi" w:cs="Arial"/>
                <w:b/>
                <w:sz w:val="22"/>
                <w:szCs w:val="22"/>
              </w:rPr>
              <w:lastRenderedPageBreak/>
              <w:t>E (Default)</w:t>
            </w:r>
          </w:p>
        </w:tc>
        <w:tc>
          <w:tcPr>
            <w:tcW w:w="1417" w:type="dxa"/>
          </w:tcPr>
          <w:p w:rsidR="00FA0DC0" w:rsidRPr="00157D76" w:rsidRDefault="00FA0DC0" w:rsidP="00C66D5F">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8" w:type="dxa"/>
          </w:tcPr>
          <w:p w:rsidR="00FA0DC0" w:rsidRPr="00157D76" w:rsidRDefault="00FA0DC0" w:rsidP="00C66D5F">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FA0DC0" w:rsidRPr="00157D76" w:rsidRDefault="00FA0DC0"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tcPr>
          <w:p w:rsidR="00FA0DC0" w:rsidRPr="00157D76" w:rsidRDefault="00FA0DC0" w:rsidP="00D74683">
            <w:pPr>
              <w:pStyle w:val="BodyText1"/>
              <w:spacing w:before="120" w:after="120"/>
              <w:rPr>
                <w:rFonts w:asciiTheme="majorHAnsi" w:hAnsiTheme="majorHAnsi"/>
                <w:sz w:val="22"/>
                <w:szCs w:val="22"/>
              </w:rPr>
            </w:pPr>
            <w:r>
              <w:rPr>
                <w:rFonts w:asciiTheme="majorHAnsi" w:hAnsiTheme="majorHAnsi"/>
                <w:sz w:val="22"/>
                <w:szCs w:val="22"/>
              </w:rPr>
              <w:t>T</w:t>
            </w:r>
            <w:r w:rsidRPr="00DE79E9">
              <w:rPr>
                <w:rFonts w:asciiTheme="majorHAnsi" w:hAnsiTheme="majorHAnsi"/>
                <w:sz w:val="22"/>
                <w:szCs w:val="22"/>
              </w:rPr>
              <w:t xml:space="preserve">he meaning </w:t>
            </w:r>
            <w:r>
              <w:rPr>
                <w:rFonts w:asciiTheme="majorHAnsi" w:hAnsiTheme="majorHAnsi"/>
                <w:sz w:val="22"/>
                <w:szCs w:val="22"/>
              </w:rPr>
              <w:t xml:space="preserve">and relative position of the rating category </w:t>
            </w:r>
            <w:r w:rsidRPr="00DE79E9">
              <w:rPr>
                <w:rFonts w:asciiTheme="majorHAnsi" w:hAnsiTheme="majorHAnsi"/>
                <w:sz w:val="22"/>
                <w:szCs w:val="22"/>
              </w:rPr>
              <w:t xml:space="preserve">is </w:t>
            </w:r>
            <w:r>
              <w:rPr>
                <w:rFonts w:asciiTheme="majorHAnsi" w:hAnsiTheme="majorHAnsi"/>
                <w:sz w:val="22"/>
                <w:szCs w:val="22"/>
              </w:rPr>
              <w:t xml:space="preserve">representative </w:t>
            </w:r>
            <w:r w:rsidRPr="00DE79E9">
              <w:rPr>
                <w:rFonts w:asciiTheme="majorHAnsi" w:hAnsiTheme="majorHAnsi"/>
                <w:sz w:val="22"/>
                <w:szCs w:val="22"/>
              </w:rPr>
              <w:t xml:space="preserve">of </w:t>
            </w:r>
            <w:r>
              <w:rPr>
                <w:rFonts w:asciiTheme="majorHAnsi" w:hAnsiTheme="majorHAnsi"/>
                <w:sz w:val="22"/>
                <w:szCs w:val="22"/>
              </w:rPr>
              <w:t xml:space="preserve">the final </w:t>
            </w:r>
            <w:r w:rsidRPr="00DE79E9">
              <w:rPr>
                <w:rFonts w:asciiTheme="majorHAnsi" w:hAnsiTheme="majorHAnsi"/>
                <w:sz w:val="22"/>
                <w:szCs w:val="22"/>
              </w:rPr>
              <w:t>CQS</w:t>
            </w:r>
            <w:r>
              <w:rPr>
                <w:rFonts w:asciiTheme="majorHAnsi" w:hAnsiTheme="majorHAnsi"/>
                <w:sz w:val="22"/>
                <w:szCs w:val="22"/>
              </w:rPr>
              <w:t>.</w:t>
            </w:r>
          </w:p>
        </w:tc>
      </w:tr>
    </w:tbl>
    <w:p w:rsidR="00157D76" w:rsidRDefault="00157D76" w:rsidP="0003502D">
      <w:pPr>
        <w:pStyle w:val="Figuretitle"/>
      </w:pPr>
    </w:p>
    <w:p w:rsidR="009A6311" w:rsidRPr="008C4FF1" w:rsidRDefault="009A6311" w:rsidP="003F60D2"/>
    <w:sectPr w:rsidR="009A6311" w:rsidRPr="008C4FF1" w:rsidSect="00010D71">
      <w:pgSz w:w="16840" w:h="11900" w:orient="landscape"/>
      <w:pgMar w:top="1701" w:right="2268" w:bottom="1418"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806" w:rsidRDefault="00B91806" w:rsidP="00A00E34">
      <w:r>
        <w:separator/>
      </w:r>
    </w:p>
    <w:p w:rsidR="00B91806" w:rsidRDefault="00B91806"/>
  </w:endnote>
  <w:endnote w:type="continuationSeparator" w:id="0">
    <w:p w:rsidR="00B91806" w:rsidRDefault="00B91806" w:rsidP="00A00E34">
      <w:r>
        <w:continuationSeparator/>
      </w:r>
    </w:p>
    <w:p w:rsidR="00B91806" w:rsidRDefault="00B91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1806" w:rsidRDefault="00B91806" w:rsidP="0061030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1806" w:rsidRDefault="00B91806" w:rsidP="0061030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10C">
      <w:rPr>
        <w:rStyle w:val="PageNumber"/>
        <w:noProof/>
      </w:rPr>
      <w:t>17</w:t>
    </w:r>
    <w:r>
      <w:rPr>
        <w:rStyle w:val="PageNumber"/>
      </w:rPr>
      <w:fldChar w:fldCharType="end"/>
    </w:r>
  </w:p>
  <w:p w:rsidR="00B91806" w:rsidRDefault="00B91806" w:rsidP="00610305">
    <w:pPr>
      <w:pStyle w:val="Footer"/>
      <w:ind w:right="360"/>
    </w:pPr>
    <w:r>
      <w:rPr>
        <w:noProof/>
        <w:lang w:eastAsia="en-GB"/>
      </w:rPr>
      <mc:AlternateContent>
        <mc:Choice Requires="wps">
          <w:drawing>
            <wp:anchor distT="4294967295" distB="4294967295" distL="114300" distR="114300" simplePos="0" relativeHeight="251658240" behindDoc="1" locked="1" layoutInCell="1" allowOverlap="1" wp14:anchorId="71D37B01" wp14:editId="5922CF58">
              <wp:simplePos x="0" y="0"/>
              <wp:positionH relativeFrom="column">
                <wp:posOffset>-71120</wp:posOffset>
              </wp:positionH>
              <wp:positionV relativeFrom="page">
                <wp:posOffset>9973309</wp:posOffset>
              </wp:positionV>
              <wp:extent cx="5723890" cy="0"/>
              <wp:effectExtent l="0" t="0" r="101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AE7D1" id="Straight Connector 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hnGM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10C">
      <w:rPr>
        <w:rStyle w:val="PageNumber"/>
        <w:noProof/>
      </w:rPr>
      <w:t>15</w:t>
    </w:r>
    <w:r>
      <w:rPr>
        <w:rStyle w:val="PageNumber"/>
      </w:rPr>
      <w:fldChar w:fldCharType="end"/>
    </w:r>
  </w:p>
  <w:p w:rsidR="00B91806" w:rsidRDefault="00B91806" w:rsidP="002F6CF0">
    <w:pPr>
      <w:pStyle w:val="Footer"/>
      <w:ind w:right="360"/>
    </w:pPr>
    <w:r>
      <w:rPr>
        <w:noProof/>
        <w:lang w:eastAsia="en-GB"/>
      </w:rPr>
      <mc:AlternateContent>
        <mc:Choice Requires="wps">
          <w:drawing>
            <wp:anchor distT="4294967295" distB="4294967295" distL="114300" distR="114300" simplePos="0" relativeHeight="251662336" behindDoc="1" locked="1" layoutInCell="1" allowOverlap="1" wp14:anchorId="0B79AE9B" wp14:editId="562C2D86">
              <wp:simplePos x="0" y="0"/>
              <wp:positionH relativeFrom="column">
                <wp:posOffset>-71120</wp:posOffset>
              </wp:positionH>
              <wp:positionV relativeFrom="page">
                <wp:posOffset>9973309</wp:posOffset>
              </wp:positionV>
              <wp:extent cx="5723890" cy="0"/>
              <wp:effectExtent l="0" t="0" r="101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563A7" id="Straight Connector 1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dK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T+m3S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p>
  <w:p w:rsidR="00B91806" w:rsidRDefault="00B91806" w:rsidP="00610305">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noProof/>
      </w:rPr>
      <w:t>15</w:t>
    </w:r>
  </w:p>
  <w:p w:rsidR="00B91806" w:rsidRDefault="00B91806" w:rsidP="00610305">
    <w:pPr>
      <w:pStyle w:val="Footer"/>
      <w:ind w:right="360"/>
    </w:pPr>
    <w:r>
      <w:rPr>
        <w:noProof/>
        <w:lang w:eastAsia="en-GB"/>
      </w:rPr>
      <mc:AlternateContent>
        <mc:Choice Requires="wps">
          <w:drawing>
            <wp:anchor distT="4294967295" distB="4294967295" distL="114300" distR="114300" simplePos="0" relativeHeight="251667456" behindDoc="1" locked="1" layoutInCell="1" allowOverlap="1" wp14:anchorId="2BAFA3ED" wp14:editId="0C307AA4">
              <wp:simplePos x="0" y="0"/>
              <wp:positionH relativeFrom="column">
                <wp:posOffset>-71120</wp:posOffset>
              </wp:positionH>
              <wp:positionV relativeFrom="page">
                <wp:posOffset>9973309</wp:posOffset>
              </wp:positionV>
              <wp:extent cx="5723890" cy="0"/>
              <wp:effectExtent l="0" t="0" r="101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28F86" id="Straight Connector 8"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80Ajk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245FF8">
    <w:pPr>
      <w:pStyle w:val="Footer"/>
      <w:framePr w:wrap="around" w:vAnchor="text" w:hAnchor="margin" w:xAlign="right" w:y="1"/>
      <w:rPr>
        <w:rStyle w:val="PageNumber"/>
      </w:rPr>
    </w:pPr>
    <w:r>
      <w:rPr>
        <w:rStyle w:val="PageNumber"/>
        <w:noProof/>
      </w:rPr>
      <w:t>16</w:t>
    </w:r>
  </w:p>
  <w:p w:rsidR="00B91806" w:rsidRDefault="00B91806" w:rsidP="002F6CF0">
    <w:pPr>
      <w:pStyle w:val="Footer"/>
      <w:ind w:right="360"/>
    </w:pPr>
    <w:r>
      <w:rPr>
        <w:noProof/>
        <w:lang w:eastAsia="en-GB"/>
      </w:rPr>
      <mc:AlternateContent>
        <mc:Choice Requires="wps">
          <w:drawing>
            <wp:anchor distT="4294967295" distB="4294967295" distL="114300" distR="114300" simplePos="0" relativeHeight="251672576" behindDoc="1" locked="1" layoutInCell="1" allowOverlap="1" wp14:anchorId="03A9AD1F" wp14:editId="1F632C1F">
              <wp:simplePos x="0" y="0"/>
              <wp:positionH relativeFrom="column">
                <wp:posOffset>-71120</wp:posOffset>
              </wp:positionH>
              <wp:positionV relativeFrom="page">
                <wp:posOffset>9973309</wp:posOffset>
              </wp:positionV>
              <wp:extent cx="5723890" cy="0"/>
              <wp:effectExtent l="0" t="0" r="101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66C6C" id="Straight Connector 11"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tc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HiyrXD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1806" w:rsidRDefault="00B91806" w:rsidP="00610305">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B91806" w:rsidRDefault="00B91806" w:rsidP="00610305">
    <w:pPr>
      <w:pStyle w:val="Footer"/>
      <w:ind w:right="360"/>
    </w:pPr>
    <w:r>
      <w:rPr>
        <w:noProof/>
        <w:lang w:eastAsia="en-GB"/>
      </w:rPr>
      <mc:AlternateContent>
        <mc:Choice Requires="wps">
          <w:drawing>
            <wp:anchor distT="4294967295" distB="4294967295" distL="114300" distR="114300" simplePos="0" relativeHeight="251650048" behindDoc="1" locked="1" layoutInCell="1" allowOverlap="1" wp14:anchorId="60E6A7DF" wp14:editId="0BC2F852">
              <wp:simplePos x="0" y="0"/>
              <wp:positionH relativeFrom="column">
                <wp:posOffset>-71120</wp:posOffset>
              </wp:positionH>
              <wp:positionV relativeFrom="page">
                <wp:posOffset>9973309</wp:posOffset>
              </wp:positionV>
              <wp:extent cx="5723890" cy="0"/>
              <wp:effectExtent l="0" t="0" r="1016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F811F" id="Straight Connector 3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FDXX2Q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10C">
      <w:rPr>
        <w:rStyle w:val="PageNumber"/>
        <w:noProof/>
      </w:rPr>
      <w:t>19</w:t>
    </w:r>
    <w:r>
      <w:rPr>
        <w:rStyle w:val="PageNumber"/>
      </w:rPr>
      <w:fldChar w:fldCharType="end"/>
    </w:r>
  </w:p>
  <w:p w:rsidR="00B91806" w:rsidRDefault="00B91806" w:rsidP="002F6CF0">
    <w:pPr>
      <w:pStyle w:val="Footer"/>
      <w:ind w:right="360"/>
    </w:pPr>
    <w:r>
      <w:rPr>
        <w:noProof/>
        <w:lang w:eastAsia="en-GB"/>
      </w:rPr>
      <mc:AlternateContent>
        <mc:Choice Requires="wps">
          <w:drawing>
            <wp:anchor distT="4294967295" distB="4294967295" distL="114300" distR="114300" simplePos="0" relativeHeight="251654144" behindDoc="1" locked="1" layoutInCell="1" allowOverlap="1" wp14:anchorId="39BBA1C5" wp14:editId="6E39E65E">
              <wp:simplePos x="0" y="0"/>
              <wp:positionH relativeFrom="column">
                <wp:posOffset>-71120</wp:posOffset>
              </wp:positionH>
              <wp:positionV relativeFrom="page">
                <wp:posOffset>9973309</wp:posOffset>
              </wp:positionV>
              <wp:extent cx="5723890" cy="0"/>
              <wp:effectExtent l="0" t="0" r="1016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5534E" id="Straight Connector 3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peNQIAAIo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KOYel4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p>
  <w:p w:rsidR="00B91806" w:rsidRDefault="00B91806" w:rsidP="006103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10C">
      <w:rPr>
        <w:rStyle w:val="PageNumber"/>
        <w:noProof/>
      </w:rPr>
      <w:t>4</w:t>
    </w:r>
    <w:r>
      <w:rPr>
        <w:rStyle w:val="PageNumber"/>
      </w:rPr>
      <w:fldChar w:fldCharType="end"/>
    </w:r>
  </w:p>
  <w:p w:rsidR="00B91806" w:rsidRDefault="00B91806" w:rsidP="00610305">
    <w:pPr>
      <w:pStyle w:val="Footer"/>
      <w:ind w:right="360"/>
    </w:pPr>
    <w:r>
      <w:rPr>
        <w:noProof/>
        <w:lang w:eastAsia="en-GB"/>
      </w:rPr>
      <mc:AlternateContent>
        <mc:Choice Requires="wps">
          <w:drawing>
            <wp:anchor distT="4294967295" distB="4294967295" distL="114300" distR="114300" simplePos="0" relativeHeight="251627520" behindDoc="1" locked="1" layoutInCell="1" allowOverlap="1" wp14:anchorId="5E1C00E6" wp14:editId="735B5A15">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3448B" id="Straight Connector 2"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noProof/>
      </w:rPr>
      <w:t>15</w:t>
    </w:r>
  </w:p>
  <w:p w:rsidR="00B91806" w:rsidRDefault="00B91806" w:rsidP="00610305">
    <w:pPr>
      <w:pStyle w:val="Footer"/>
      <w:ind w:right="360"/>
    </w:pPr>
    <w:r>
      <w:rPr>
        <w:noProof/>
        <w:lang w:eastAsia="en-GB"/>
      </w:rPr>
      <mc:AlternateContent>
        <mc:Choice Requires="wps">
          <w:drawing>
            <wp:anchor distT="4294967295" distB="4294967295" distL="114300" distR="114300" simplePos="0" relativeHeight="251675648" behindDoc="1" locked="1" layoutInCell="1" allowOverlap="1" wp14:anchorId="3CB4A197" wp14:editId="78A7FB70">
              <wp:simplePos x="0" y="0"/>
              <wp:positionH relativeFrom="column">
                <wp:posOffset>-71120</wp:posOffset>
              </wp:positionH>
              <wp:positionV relativeFrom="page">
                <wp:posOffset>9973309</wp:posOffset>
              </wp:positionV>
              <wp:extent cx="5723890" cy="0"/>
              <wp:effectExtent l="0" t="0" r="1016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EEB06" id="Straight Connector 44"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d/NQIAAIo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DB3V38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245FF8">
    <w:pPr>
      <w:pStyle w:val="Footer"/>
      <w:framePr w:wrap="around" w:vAnchor="text" w:hAnchor="margin" w:xAlign="right" w:y="1"/>
      <w:rPr>
        <w:rStyle w:val="PageNumber"/>
      </w:rPr>
    </w:pPr>
    <w:r>
      <w:rPr>
        <w:rStyle w:val="PageNumber"/>
        <w:noProof/>
      </w:rPr>
      <w:t>16</w:t>
    </w:r>
  </w:p>
  <w:p w:rsidR="00B91806" w:rsidRDefault="00B91806" w:rsidP="002F6CF0">
    <w:pPr>
      <w:pStyle w:val="Footer"/>
      <w:ind w:right="360"/>
    </w:pPr>
    <w:r>
      <w:rPr>
        <w:noProof/>
        <w:lang w:eastAsia="en-GB"/>
      </w:rPr>
      <mc:AlternateContent>
        <mc:Choice Requires="wps">
          <w:drawing>
            <wp:anchor distT="4294967295" distB="4294967295" distL="114300" distR="114300" simplePos="0" relativeHeight="251678720" behindDoc="1" locked="1" layoutInCell="1" allowOverlap="1" wp14:anchorId="0F95CC38" wp14:editId="00C83579">
              <wp:simplePos x="0" y="0"/>
              <wp:positionH relativeFrom="column">
                <wp:posOffset>-71120</wp:posOffset>
              </wp:positionH>
              <wp:positionV relativeFrom="page">
                <wp:posOffset>9973309</wp:posOffset>
              </wp:positionV>
              <wp:extent cx="5723890" cy="0"/>
              <wp:effectExtent l="0" t="0" r="1016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4BFBB" id="Straight Connector 45"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tpNQIAAIo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GGyS2k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1806" w:rsidRDefault="00B91806" w:rsidP="00610305">
    <w:pPr>
      <w:pStyle w:val="Footer"/>
      <w:ind w:right="36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10C">
      <w:rPr>
        <w:rStyle w:val="PageNumber"/>
        <w:noProof/>
      </w:rPr>
      <w:t>22</w:t>
    </w:r>
    <w:r>
      <w:rPr>
        <w:rStyle w:val="PageNumber"/>
      </w:rPr>
      <w:fldChar w:fldCharType="end"/>
    </w:r>
  </w:p>
  <w:p w:rsidR="00B91806" w:rsidRDefault="00B91806" w:rsidP="00610305">
    <w:pPr>
      <w:pStyle w:val="Footer"/>
      <w:ind w:right="360"/>
    </w:pPr>
    <w:r>
      <w:rPr>
        <w:noProof/>
        <w:lang w:eastAsia="en-GB"/>
      </w:rPr>
      <mc:AlternateContent>
        <mc:Choice Requires="wps">
          <w:drawing>
            <wp:anchor distT="4294967295" distB="4294967295" distL="114300" distR="114300" simplePos="0" relativeHeight="251637760" behindDoc="1" locked="1" layoutInCell="1" allowOverlap="1" wp14:anchorId="216BC005" wp14:editId="3DB24D4B">
              <wp:simplePos x="0" y="0"/>
              <wp:positionH relativeFrom="column">
                <wp:posOffset>-71120</wp:posOffset>
              </wp:positionH>
              <wp:positionV relativeFrom="page">
                <wp:posOffset>9973309</wp:posOffset>
              </wp:positionV>
              <wp:extent cx="5723890" cy="0"/>
              <wp:effectExtent l="0" t="0" r="101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7B47D" id="Straight Connector 18"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H6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x8NR+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10C">
      <w:rPr>
        <w:rStyle w:val="PageNumber"/>
        <w:noProof/>
      </w:rPr>
      <w:t>21</w:t>
    </w:r>
    <w:r>
      <w:rPr>
        <w:rStyle w:val="PageNumber"/>
      </w:rPr>
      <w:fldChar w:fldCharType="end"/>
    </w:r>
  </w:p>
  <w:p w:rsidR="00B91806" w:rsidRDefault="00B91806" w:rsidP="002F6CF0">
    <w:pPr>
      <w:pStyle w:val="Footer"/>
      <w:ind w:right="360"/>
    </w:pPr>
    <w:r>
      <w:rPr>
        <w:noProof/>
        <w:lang w:eastAsia="en-GB"/>
      </w:rPr>
      <mc:AlternateContent>
        <mc:Choice Requires="wps">
          <w:drawing>
            <wp:anchor distT="4294967295" distB="4294967295" distL="114300" distR="114300" simplePos="0" relativeHeight="251639808" behindDoc="1" locked="1" layoutInCell="1" allowOverlap="1" wp14:anchorId="05FC8A6E" wp14:editId="445748F8">
              <wp:simplePos x="0" y="0"/>
              <wp:positionH relativeFrom="column">
                <wp:posOffset>-71120</wp:posOffset>
              </wp:positionH>
              <wp:positionV relativeFrom="page">
                <wp:posOffset>9973309</wp:posOffset>
              </wp:positionV>
              <wp:extent cx="5723890" cy="0"/>
              <wp:effectExtent l="0" t="0" r="1016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9D205" id="Straight Connector 1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3s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e0c&#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JYGTew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10C">
      <w:rPr>
        <w:rStyle w:val="PageNumber"/>
        <w:noProof/>
      </w:rPr>
      <w:t>1</w:t>
    </w:r>
    <w:r>
      <w:rPr>
        <w:rStyle w:val="PageNumber"/>
      </w:rPr>
      <w:fldChar w:fldCharType="end"/>
    </w:r>
  </w:p>
  <w:p w:rsidR="00B91806" w:rsidRDefault="00B91806" w:rsidP="002F6CF0">
    <w:pPr>
      <w:pStyle w:val="Footer"/>
      <w:ind w:right="360"/>
    </w:pPr>
    <w:r>
      <w:rPr>
        <w:noProof/>
        <w:lang w:eastAsia="en-GB"/>
      </w:rPr>
      <mc:AlternateContent>
        <mc:Choice Requires="wps">
          <w:drawing>
            <wp:anchor distT="4294967295" distB="4294967295" distL="114300" distR="114300" simplePos="0" relativeHeight="251629568" behindDoc="1" locked="1" layoutInCell="1" allowOverlap="1" wp14:anchorId="3F601218" wp14:editId="63A2FBF5">
              <wp:simplePos x="0" y="0"/>
              <wp:positionH relativeFrom="column">
                <wp:posOffset>-71120</wp:posOffset>
              </wp:positionH>
              <wp:positionV relativeFrom="page">
                <wp:posOffset>9973309</wp:posOffset>
              </wp:positionV>
              <wp:extent cx="57238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AA6BA" id="Straight Connector 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1806" w:rsidRDefault="00B91806" w:rsidP="006103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10C">
      <w:rPr>
        <w:rStyle w:val="PageNumber"/>
        <w:noProof/>
      </w:rPr>
      <w:t>10</w:t>
    </w:r>
    <w:r>
      <w:rPr>
        <w:rStyle w:val="PageNumber"/>
      </w:rPr>
      <w:fldChar w:fldCharType="end"/>
    </w:r>
  </w:p>
  <w:p w:rsidR="00B91806" w:rsidRDefault="00B91806" w:rsidP="00610305">
    <w:pPr>
      <w:pStyle w:val="Footer"/>
      <w:ind w:right="360"/>
    </w:pPr>
    <w:r>
      <w:rPr>
        <w:noProof/>
        <w:lang w:eastAsia="en-GB"/>
      </w:rPr>
      <mc:AlternateContent>
        <mc:Choice Requires="wps">
          <w:drawing>
            <wp:anchor distT="4294967295" distB="4294967295" distL="114300" distR="114300" simplePos="0" relativeHeight="251642880" behindDoc="1" locked="1" layoutInCell="1" allowOverlap="1" wp14:anchorId="7A55F70B" wp14:editId="4EF353DC">
              <wp:simplePos x="0" y="0"/>
              <wp:positionH relativeFrom="column">
                <wp:posOffset>-71120</wp:posOffset>
              </wp:positionH>
              <wp:positionV relativeFrom="page">
                <wp:posOffset>9973309</wp:posOffset>
              </wp:positionV>
              <wp:extent cx="572389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40217" id="Straight Connector 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kqy9zz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10C">
      <w:rPr>
        <w:rStyle w:val="PageNumber"/>
        <w:noProof/>
      </w:rPr>
      <w:t>8</w:t>
    </w:r>
    <w:r>
      <w:rPr>
        <w:rStyle w:val="PageNumber"/>
      </w:rPr>
      <w:fldChar w:fldCharType="end"/>
    </w:r>
  </w:p>
  <w:p w:rsidR="00B91806" w:rsidRDefault="00B91806" w:rsidP="002F6CF0">
    <w:pPr>
      <w:pStyle w:val="Footer"/>
      <w:ind w:right="360"/>
    </w:pPr>
    <w:r>
      <w:rPr>
        <w:noProof/>
        <w:lang w:eastAsia="en-GB"/>
      </w:rPr>
      <mc:AlternateContent>
        <mc:Choice Requires="wps">
          <w:drawing>
            <wp:anchor distT="4294967295" distB="4294967295" distL="114300" distR="114300" simplePos="0" relativeHeight="251645952" behindDoc="1" locked="1" layoutInCell="1" allowOverlap="1" wp14:anchorId="291D9F65" wp14:editId="7078BEDA">
              <wp:simplePos x="0" y="0"/>
              <wp:positionH relativeFrom="column">
                <wp:posOffset>-71120</wp:posOffset>
              </wp:positionH>
              <wp:positionV relativeFrom="page">
                <wp:posOffset>9973309</wp:posOffset>
              </wp:positionV>
              <wp:extent cx="5723890" cy="0"/>
              <wp:effectExtent l="0" t="0" r="101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27AB0" id="Straight Connector 6"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Pw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yEHj8D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1806" w:rsidRDefault="00B91806" w:rsidP="0061030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10C">
      <w:rPr>
        <w:rStyle w:val="PageNumber"/>
        <w:noProof/>
      </w:rPr>
      <w:t>14</w:t>
    </w:r>
    <w:r>
      <w:rPr>
        <w:rStyle w:val="PageNumber"/>
      </w:rPr>
      <w:fldChar w:fldCharType="end"/>
    </w:r>
  </w:p>
  <w:p w:rsidR="00B91806" w:rsidRDefault="00B91806" w:rsidP="00610305">
    <w:pPr>
      <w:pStyle w:val="Footer"/>
      <w:ind w:right="360"/>
    </w:pPr>
    <w:r>
      <w:rPr>
        <w:noProof/>
        <w:lang w:eastAsia="en-GB"/>
      </w:rPr>
      <mc:AlternateContent>
        <mc:Choice Requires="wps">
          <w:drawing>
            <wp:anchor distT="4294967295" distB="4294967295" distL="114300" distR="114300" simplePos="0" relativeHeight="251632640" behindDoc="1" locked="1" layoutInCell="1" allowOverlap="1" wp14:anchorId="642918F5" wp14:editId="17AF5535">
              <wp:simplePos x="0" y="0"/>
              <wp:positionH relativeFrom="column">
                <wp:posOffset>-71120</wp:posOffset>
              </wp:positionH>
              <wp:positionV relativeFrom="page">
                <wp:posOffset>9973309</wp:posOffset>
              </wp:positionV>
              <wp:extent cx="5723890" cy="0"/>
              <wp:effectExtent l="0" t="0" r="101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1569D" id="Straight Connector 14"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S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C/zEE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B91806"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10C">
      <w:rPr>
        <w:rStyle w:val="PageNumber"/>
        <w:noProof/>
      </w:rPr>
      <w:t>13</w:t>
    </w:r>
    <w:r>
      <w:rPr>
        <w:rStyle w:val="PageNumber"/>
      </w:rPr>
      <w:fldChar w:fldCharType="end"/>
    </w:r>
  </w:p>
  <w:p w:rsidR="00B91806" w:rsidRDefault="00B91806" w:rsidP="002F6CF0">
    <w:pPr>
      <w:pStyle w:val="Footer"/>
      <w:ind w:right="360"/>
    </w:pPr>
    <w:r>
      <w:rPr>
        <w:noProof/>
        <w:lang w:eastAsia="en-GB"/>
      </w:rPr>
      <mc:AlternateContent>
        <mc:Choice Requires="wps">
          <w:drawing>
            <wp:anchor distT="4294967295" distB="4294967295" distL="114300" distR="114300" simplePos="0" relativeHeight="251635712" behindDoc="1" locked="1" layoutInCell="1" allowOverlap="1" wp14:anchorId="07BA1947" wp14:editId="09687F01">
              <wp:simplePos x="0" y="0"/>
              <wp:positionH relativeFrom="column">
                <wp:posOffset>-71120</wp:posOffset>
              </wp:positionH>
              <wp:positionV relativeFrom="page">
                <wp:posOffset>9973309</wp:posOffset>
              </wp:positionV>
              <wp:extent cx="5723890" cy="0"/>
              <wp:effectExtent l="0" t="0" r="101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397C7" id="Straight Connector 1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gE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a0d&#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Fo52AQ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806" w:rsidRPr="00DB5E8F" w:rsidRDefault="00B91806">
      <w:pPr>
        <w:rPr>
          <w:sz w:val="12"/>
          <w:szCs w:val="12"/>
        </w:rPr>
      </w:pPr>
      <w:r w:rsidRPr="00DB5E8F">
        <w:rPr>
          <w:sz w:val="12"/>
          <w:szCs w:val="12"/>
        </w:rPr>
        <w:separator/>
      </w:r>
    </w:p>
  </w:footnote>
  <w:footnote w:type="continuationSeparator" w:id="0">
    <w:p w:rsidR="00B91806" w:rsidRDefault="00B91806" w:rsidP="00A00E34">
      <w:r>
        <w:continuationSeparator/>
      </w:r>
    </w:p>
    <w:p w:rsidR="00B91806" w:rsidRDefault="00B91806"/>
  </w:footnote>
  <w:footnote w:type="continuationNotice" w:id="1">
    <w:p w:rsidR="00B91806" w:rsidRDefault="00B91806"/>
  </w:footnote>
  <w:footnote w:id="2">
    <w:p w:rsidR="00B91806" w:rsidRPr="00873D40" w:rsidRDefault="00B91806" w:rsidP="0003502D">
      <w:pPr>
        <w:pStyle w:val="FootnoteText"/>
      </w:pPr>
      <w:r>
        <w:rPr>
          <w:rStyle w:val="FootnoteReference"/>
        </w:rPr>
        <w:footnoteRef/>
      </w:r>
      <w:r>
        <w:t xml:space="preserve"> According to Article 136(1), the ‘mapping’ is the correspondence between the credit assessments of and ECAI and </w:t>
      </w:r>
      <w:r w:rsidRPr="00540BB7">
        <w:t>the credit quality steps set out in Regulation (EU) No 575/2013 (Capital Requirements Regulation – CRR)</w:t>
      </w:r>
      <w:r>
        <w:t>.</w:t>
      </w:r>
    </w:p>
  </w:footnote>
  <w:footnote w:id="3">
    <w:p w:rsidR="00900F22" w:rsidRPr="00900F22" w:rsidRDefault="00900F22" w:rsidP="0003502D">
      <w:pPr>
        <w:pStyle w:val="FootnoteText"/>
        <w:rPr>
          <w:lang w:val="en-GB"/>
        </w:rPr>
      </w:pPr>
      <w:r>
        <w:rPr>
          <w:rStyle w:val="FootnoteReference"/>
        </w:rPr>
        <w:footnoteRef/>
      </w:r>
      <w:r>
        <w:t xml:space="preserve"> In this regard please consider http://www.esma.europa.eu/system/files/esma__2015-1473_report_on_the_possibility_of_establishing_one_or_more_mapping....pdf.</w:t>
      </w:r>
    </w:p>
  </w:footnote>
  <w:footnote w:id="4">
    <w:p w:rsidR="00B91806" w:rsidRPr="008B7151" w:rsidRDefault="00B91806" w:rsidP="0003502D">
      <w:pPr>
        <w:pStyle w:val="FootnoteText"/>
      </w:pPr>
      <w:r>
        <w:rPr>
          <w:rStyle w:val="FootnoteReference"/>
        </w:rPr>
        <w:footnoteRef/>
      </w:r>
      <w:r>
        <w:t xml:space="preserve"> </w:t>
      </w:r>
      <w:r w:rsidRPr="00540BB7">
        <w:t>It</w:t>
      </w:r>
      <w:r>
        <w:t xml:space="preserve"> is important to note that the mapping </w:t>
      </w:r>
      <w:r w:rsidRPr="00540BB7">
        <w:t xml:space="preserve">does not contain any assessment of the registration process of </w:t>
      </w:r>
      <w:r>
        <w:t>Axesor</w:t>
      </w:r>
      <w:r w:rsidRPr="00540BB7">
        <w:t xml:space="preserve"> carried out by ESMA.</w:t>
      </w:r>
    </w:p>
  </w:footnote>
  <w:footnote w:id="5">
    <w:p w:rsidR="00B91806" w:rsidRPr="003F60D2" w:rsidRDefault="00B91806" w:rsidP="0003502D">
      <w:pPr>
        <w:pStyle w:val="FootnoteText"/>
        <w:rPr>
          <w:lang w:val="en-GB"/>
        </w:rPr>
      </w:pPr>
      <w:r>
        <w:rPr>
          <w:rStyle w:val="FootnoteReference"/>
        </w:rPr>
        <w:footnoteRef/>
      </w:r>
      <w:r>
        <w:t xml:space="preserve"> CEREP is the central repository owned by ESMA to which all registered/certified CRAs have to report their credit assessments. </w:t>
      </w:r>
      <w:r w:rsidRPr="006F008A">
        <w:t>http://cerep.esma.europa.eu/cerep-web/</w:t>
      </w:r>
      <w:r>
        <w:t>.</w:t>
      </w:r>
    </w:p>
  </w:footnote>
  <w:footnote w:id="6">
    <w:p w:rsidR="00B91806" w:rsidRDefault="00B91806" w:rsidP="0003502D">
      <w:pPr>
        <w:pStyle w:val="FootnoteText"/>
      </w:pPr>
      <w:r>
        <w:rPr>
          <w:rStyle w:val="FootnoteReference"/>
        </w:rPr>
        <w:footnoteRef/>
      </w:r>
      <w:r>
        <w:t xml:space="preserve"> As explained in recital 4 ITS, Article 4(1) CRA allows the use of the credit assessments for the determination of the risk-weighted exposure amounts as specified in Article 113(1) CRR as long as they meet the definition of credit rating in Article 3(1)(a) CRA.</w:t>
      </w:r>
    </w:p>
  </w:footnote>
  <w:footnote w:id="7">
    <w:p w:rsidR="00B91806" w:rsidRPr="003F60D2" w:rsidRDefault="00B91806" w:rsidP="0003502D">
      <w:pPr>
        <w:pStyle w:val="FootnoteText"/>
        <w:rPr>
          <w:lang w:val="en-GB"/>
        </w:rPr>
      </w:pPr>
      <w:r>
        <w:rPr>
          <w:rStyle w:val="FootnoteReference"/>
        </w:rPr>
        <w:footnoteRef/>
      </w:r>
      <w:r>
        <w:t xml:space="preserve"> </w:t>
      </w:r>
      <w:r w:rsidRPr="00330628">
        <w:t>The default behavior of a rating category is considered to be properly tested if the quantitative factors for that rating category are calculated under Articles 3 – 5 ITS.</w:t>
      </w:r>
    </w:p>
  </w:footnote>
  <w:footnote w:id="8">
    <w:p w:rsidR="00FC7466" w:rsidRPr="00FC7466" w:rsidRDefault="00FC7466" w:rsidP="0003502D">
      <w:pPr>
        <w:pStyle w:val="FootnoteText"/>
        <w:rPr>
          <w:lang w:val="en-GB"/>
        </w:rPr>
      </w:pPr>
      <w:r>
        <w:rPr>
          <w:rStyle w:val="FootnoteReference"/>
        </w:rPr>
        <w:footnoteRef/>
      </w:r>
      <w:r>
        <w:t xml:space="preserve"> In this context we are not assessing long run default rates as specified in Article 1 of the ITS. Instead we are deriving proxy long run default rates through the usage of a different measure of creditworthiness.</w:t>
      </w:r>
    </w:p>
  </w:footnote>
  <w:footnote w:id="9">
    <w:p w:rsidR="00B91806" w:rsidRPr="00B531DE" w:rsidRDefault="00B91806" w:rsidP="0003502D">
      <w:pPr>
        <w:pStyle w:val="FootnoteText"/>
        <w:rPr>
          <w:lang w:val="en-GB"/>
        </w:rPr>
      </w:pPr>
      <w:r>
        <w:rPr>
          <w:rStyle w:val="FootnoteReference"/>
        </w:rPr>
        <w:footnoteRef/>
      </w:r>
      <w:r>
        <w:t xml:space="preserve"> </w:t>
      </w:r>
      <w:r w:rsidRPr="00E25B7D">
        <w:t xml:space="preserve">Default rates have been calculated </w:t>
      </w:r>
      <w:r>
        <w:t xml:space="preserve">according to the </w:t>
      </w:r>
      <w:r w:rsidRPr="00E25B7D">
        <w:t xml:space="preserve">requirements set out in Article </w:t>
      </w:r>
      <w:r>
        <w:t>4</w:t>
      </w:r>
      <w:r w:rsidRPr="00E25B7D">
        <w:t xml:space="preserve"> ITS</w:t>
      </w:r>
      <w:r>
        <w:t>.</w:t>
      </w:r>
    </w:p>
  </w:footnote>
  <w:footnote w:id="10">
    <w:p w:rsidR="00B91806" w:rsidRPr="000A6115" w:rsidRDefault="00B91806" w:rsidP="0003502D">
      <w:pPr>
        <w:pStyle w:val="FootnoteText"/>
      </w:pPr>
      <w:r>
        <w:rPr>
          <w:rStyle w:val="FootnoteReference"/>
        </w:rPr>
        <w:footnoteRef/>
      </w:r>
      <w:r>
        <w:t xml:space="preserve"> This assessment takes into account point (a) Article 138 CRR, according to which “</w:t>
      </w:r>
      <w:r w:rsidRPr="000A6115">
        <w:t>an institution which decides to use the credit assessments produced by an ECAI for a certain class of items shall use those credit assessments consistently for all exposures belonging to that class</w:t>
      </w:r>
      <w:r>
        <w:t>”. Therefore, given that Axesor only rates firms which belong to the exposure class ‘Corporates’ it could be argued that the mapping is sufficiently conservative, at least, on a portfolio basis.</w:t>
      </w:r>
    </w:p>
  </w:footnote>
  <w:footnote w:id="11">
    <w:p w:rsidR="00B91806" w:rsidRPr="00622BD9" w:rsidRDefault="00B91806" w:rsidP="0003502D">
      <w:pPr>
        <w:pStyle w:val="FootnoteText"/>
      </w:pPr>
      <w:r>
        <w:rPr>
          <w:rStyle w:val="FootnoteReference"/>
        </w:rPr>
        <w:footnoteRef/>
      </w:r>
      <w:r>
        <w:t xml:space="preserve"> The bankruptcy rate has to be increased by 100%, which is equivalent to multiplying the default rate by 180%.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62310C">
    <w:sdt>
      <w:sdtPr>
        <w:id w:val="-1889102303"/>
        <w:temporary/>
        <w:showingPlcHdr/>
      </w:sdtPr>
      <w:sdtEndPr/>
      <w:sdtContent>
        <w:r w:rsidR="00B91806">
          <w:t>[Type text]</w:t>
        </w:r>
      </w:sdtContent>
    </w:sdt>
    <w:r w:rsidR="00B91806">
      <w:ptab w:relativeTo="margin" w:alignment="center" w:leader="none"/>
    </w:r>
    <w:sdt>
      <w:sdtPr>
        <w:id w:val="-812866560"/>
        <w:temporary/>
        <w:showingPlcHdr/>
      </w:sdtPr>
      <w:sdtEndPr/>
      <w:sdtContent>
        <w:r w:rsidR="00B91806">
          <w:t>[Type text]</w:t>
        </w:r>
      </w:sdtContent>
    </w:sdt>
    <w:r w:rsidR="00B91806">
      <w:ptab w:relativeTo="margin" w:alignment="right" w:leader="none"/>
    </w:r>
    <w:sdt>
      <w:sdtPr>
        <w:id w:val="129379600"/>
        <w:temporary/>
        <w:showingPlcHdr/>
      </w:sdtPr>
      <w:sdtEndPr/>
      <w:sdtContent>
        <w:r w:rsidR="00B91806">
          <w:t>[Type text]</w:t>
        </w:r>
      </w:sdtContent>
    </w:sdt>
  </w:p>
  <w:p w:rsidR="00B91806" w:rsidRDefault="00B91806"/>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62310C">
    <w:sdt>
      <w:sdtPr>
        <w:id w:val="-1985606387"/>
        <w:temporary/>
        <w:showingPlcHdr/>
      </w:sdtPr>
      <w:sdtEndPr/>
      <w:sdtContent>
        <w:r w:rsidR="00B91806">
          <w:t>[Type text]</w:t>
        </w:r>
      </w:sdtContent>
    </w:sdt>
    <w:r w:rsidR="00B91806">
      <w:ptab w:relativeTo="margin" w:alignment="center" w:leader="none"/>
    </w:r>
    <w:sdt>
      <w:sdtPr>
        <w:id w:val="79880742"/>
        <w:temporary/>
        <w:showingPlcHdr/>
      </w:sdtPr>
      <w:sdtEndPr/>
      <w:sdtContent>
        <w:r w:rsidR="00B91806">
          <w:t>[Type text]</w:t>
        </w:r>
      </w:sdtContent>
    </w:sdt>
    <w:r w:rsidR="00B91806">
      <w:ptab w:relativeTo="margin" w:alignment="right" w:leader="none"/>
    </w:r>
    <w:sdt>
      <w:sdtPr>
        <w:id w:val="810214388"/>
        <w:temporary/>
        <w:showingPlcHdr/>
      </w:sdtPr>
      <w:sdtEndPr/>
      <w:sdtContent>
        <w:r w:rsidR="00B91806">
          <w:t>[Type text]</w:t>
        </w:r>
      </w:sdtContent>
    </w:sdt>
  </w:p>
  <w:p w:rsidR="00B91806" w:rsidRDefault="00B91806"/>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3879AF53" wp14:editId="2F47D56D">
          <wp:extent cx="5547360" cy="609600"/>
          <wp:effectExtent l="0" t="0" r="0" b="0"/>
          <wp:docPr id="90"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27795815" wp14:editId="7534F3CB">
          <wp:extent cx="5547360" cy="609600"/>
          <wp:effectExtent l="0" t="0" r="0" b="0"/>
          <wp:docPr id="9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62310C">
    <w:sdt>
      <w:sdtPr>
        <w:id w:val="1637216462"/>
        <w:temporary/>
        <w:showingPlcHdr/>
      </w:sdtPr>
      <w:sdtEndPr/>
      <w:sdtContent>
        <w:r w:rsidR="00B91806">
          <w:t>[Type text]</w:t>
        </w:r>
      </w:sdtContent>
    </w:sdt>
    <w:r w:rsidR="00B91806">
      <w:ptab w:relativeTo="margin" w:alignment="center" w:leader="none"/>
    </w:r>
    <w:sdt>
      <w:sdtPr>
        <w:id w:val="-2109113504"/>
        <w:temporary/>
        <w:showingPlcHdr/>
      </w:sdtPr>
      <w:sdtEndPr/>
      <w:sdtContent>
        <w:r w:rsidR="00B91806">
          <w:t>[Type text]</w:t>
        </w:r>
      </w:sdtContent>
    </w:sdt>
    <w:r w:rsidR="00B91806">
      <w:ptab w:relativeTo="margin" w:alignment="right" w:leader="none"/>
    </w:r>
    <w:sdt>
      <w:sdtPr>
        <w:id w:val="1540160835"/>
        <w:temporary/>
        <w:showingPlcHdr/>
      </w:sdtPr>
      <w:sdtEndPr/>
      <w:sdtContent>
        <w:r w:rsidR="00B91806">
          <w:t>[Type text]</w:t>
        </w:r>
      </w:sdtContent>
    </w:sdt>
  </w:p>
  <w:p w:rsidR="00B91806" w:rsidRDefault="00B91806"/>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1142077E" wp14:editId="2D2626EA">
          <wp:extent cx="5547360" cy="609600"/>
          <wp:effectExtent l="0" t="0" r="0" b="0"/>
          <wp:docPr id="9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3ADD9A41" wp14:editId="62737DB0">
          <wp:extent cx="5547360" cy="609600"/>
          <wp:effectExtent l="0" t="0" r="0" b="0"/>
          <wp:docPr id="9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62310C">
    <w:sdt>
      <w:sdtPr>
        <w:id w:val="-1951306520"/>
        <w:temporary/>
        <w:showingPlcHdr/>
      </w:sdtPr>
      <w:sdtEndPr/>
      <w:sdtContent>
        <w:r w:rsidR="00B91806">
          <w:t>[Type text]</w:t>
        </w:r>
      </w:sdtContent>
    </w:sdt>
    <w:r w:rsidR="00B91806">
      <w:ptab w:relativeTo="margin" w:alignment="center" w:leader="none"/>
    </w:r>
    <w:sdt>
      <w:sdtPr>
        <w:id w:val="1515417118"/>
        <w:temporary/>
        <w:showingPlcHdr/>
      </w:sdtPr>
      <w:sdtEndPr/>
      <w:sdtContent>
        <w:r w:rsidR="00B91806">
          <w:t>[Type text]</w:t>
        </w:r>
      </w:sdtContent>
    </w:sdt>
    <w:r w:rsidR="00B91806">
      <w:ptab w:relativeTo="margin" w:alignment="right" w:leader="none"/>
    </w:r>
    <w:sdt>
      <w:sdtPr>
        <w:id w:val="-712274246"/>
        <w:temporary/>
        <w:showingPlcHdr/>
      </w:sdtPr>
      <w:sdtEndPr/>
      <w:sdtContent>
        <w:r w:rsidR="00B91806">
          <w:t>[Type text]</w:t>
        </w:r>
      </w:sdtContent>
    </w:sdt>
  </w:p>
  <w:p w:rsidR="00B91806" w:rsidRDefault="00B91806"/>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6B8FEE4E" wp14:editId="0BB604E6">
          <wp:extent cx="5547360" cy="609600"/>
          <wp:effectExtent l="0" t="0" r="0" b="0"/>
          <wp:docPr id="9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51BD2141" wp14:editId="5FB18EAE">
          <wp:extent cx="5547360" cy="609600"/>
          <wp:effectExtent l="0" t="0" r="0" b="0"/>
          <wp:docPr id="9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62310C">
    <w:sdt>
      <w:sdtPr>
        <w:id w:val="-719599427"/>
        <w:temporary/>
        <w:showingPlcHdr/>
      </w:sdtPr>
      <w:sdtEndPr/>
      <w:sdtContent>
        <w:r w:rsidR="00B91806">
          <w:t>[Type text]</w:t>
        </w:r>
      </w:sdtContent>
    </w:sdt>
    <w:r w:rsidR="00B91806">
      <w:ptab w:relativeTo="margin" w:alignment="center" w:leader="none"/>
    </w:r>
    <w:sdt>
      <w:sdtPr>
        <w:id w:val="1713538095"/>
        <w:temporary/>
        <w:showingPlcHdr/>
      </w:sdtPr>
      <w:sdtEndPr/>
      <w:sdtContent>
        <w:r w:rsidR="00B91806">
          <w:t>[Type text]</w:t>
        </w:r>
      </w:sdtContent>
    </w:sdt>
    <w:r w:rsidR="00B91806">
      <w:ptab w:relativeTo="margin" w:alignment="right" w:leader="none"/>
    </w:r>
    <w:sdt>
      <w:sdtPr>
        <w:id w:val="1641311387"/>
        <w:temporary/>
        <w:showingPlcHdr/>
      </w:sdtPr>
      <w:sdtEndPr/>
      <w:sdtContent>
        <w:r w:rsidR="00B91806">
          <w:t>[Type text]</w:t>
        </w:r>
      </w:sdtContent>
    </w:sdt>
  </w:p>
  <w:p w:rsidR="00B91806" w:rsidRDefault="00B918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0CBA1F01" wp14:editId="5B441665">
          <wp:extent cx="5547360" cy="609600"/>
          <wp:effectExtent l="0" t="0" r="0" b="0"/>
          <wp:docPr id="2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1650C62E" wp14:editId="33CF8F2E">
          <wp:extent cx="5547360" cy="609600"/>
          <wp:effectExtent l="0" t="0" r="0" b="0"/>
          <wp:docPr id="9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5F65F2DE" wp14:editId="6523202A">
          <wp:extent cx="5547360" cy="609600"/>
          <wp:effectExtent l="0" t="0" r="0" b="0"/>
          <wp:docPr id="99"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62310C">
    <w:sdt>
      <w:sdtPr>
        <w:id w:val="929784153"/>
        <w:temporary/>
        <w:showingPlcHdr/>
      </w:sdtPr>
      <w:sdtEndPr/>
      <w:sdtContent>
        <w:r w:rsidR="00B91806">
          <w:t>[Type text]</w:t>
        </w:r>
      </w:sdtContent>
    </w:sdt>
    <w:r w:rsidR="00B91806">
      <w:ptab w:relativeTo="margin" w:alignment="center" w:leader="none"/>
    </w:r>
    <w:sdt>
      <w:sdtPr>
        <w:id w:val="-44458009"/>
        <w:temporary/>
        <w:showingPlcHdr/>
      </w:sdtPr>
      <w:sdtEndPr/>
      <w:sdtContent>
        <w:r w:rsidR="00B91806">
          <w:t>[Type text]</w:t>
        </w:r>
      </w:sdtContent>
    </w:sdt>
    <w:r w:rsidR="00B91806">
      <w:ptab w:relativeTo="margin" w:alignment="right" w:leader="none"/>
    </w:r>
    <w:sdt>
      <w:sdtPr>
        <w:id w:val="-900747782"/>
        <w:temporary/>
        <w:showingPlcHdr/>
      </w:sdtPr>
      <w:sdtEndPr/>
      <w:sdtContent>
        <w:r w:rsidR="00B91806">
          <w:t>[Type text]</w:t>
        </w:r>
      </w:sdtContent>
    </w:sdt>
  </w:p>
  <w:p w:rsidR="00B91806" w:rsidRDefault="00B91806"/>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7B51D0EF" wp14:editId="0CC94BC0">
          <wp:extent cx="5547360" cy="609600"/>
          <wp:effectExtent l="0" t="0" r="0" b="0"/>
          <wp:docPr id="5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7C4C090A" wp14:editId="0C03B9D3">
          <wp:extent cx="5547360" cy="609600"/>
          <wp:effectExtent l="0" t="0" r="0" b="0"/>
          <wp:docPr id="5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129BD25D" wp14:editId="7EE2017D">
          <wp:extent cx="5547360" cy="609600"/>
          <wp:effectExtent l="0" t="0" r="0" b="0"/>
          <wp:docPr id="2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62310C">
    <w:sdt>
      <w:sdtPr>
        <w:id w:val="-1112656982"/>
        <w:temporary/>
        <w:showingPlcHdr/>
      </w:sdtPr>
      <w:sdtEndPr/>
      <w:sdtContent>
        <w:r w:rsidR="00B91806">
          <w:t>[Type text]</w:t>
        </w:r>
      </w:sdtContent>
    </w:sdt>
    <w:r w:rsidR="00B91806">
      <w:ptab w:relativeTo="margin" w:alignment="center" w:leader="none"/>
    </w:r>
    <w:sdt>
      <w:sdtPr>
        <w:id w:val="1259402348"/>
        <w:temporary/>
        <w:showingPlcHdr/>
      </w:sdtPr>
      <w:sdtEndPr/>
      <w:sdtContent>
        <w:r w:rsidR="00B91806">
          <w:t>[Type text]</w:t>
        </w:r>
      </w:sdtContent>
    </w:sdt>
    <w:r w:rsidR="00B91806">
      <w:ptab w:relativeTo="margin" w:alignment="right" w:leader="none"/>
    </w:r>
    <w:sdt>
      <w:sdtPr>
        <w:id w:val="1270128145"/>
        <w:temporary/>
        <w:showingPlcHdr/>
      </w:sdtPr>
      <w:sdtEndPr/>
      <w:sdtContent>
        <w:r w:rsidR="00B91806">
          <w:t>[Type text]</w:t>
        </w:r>
      </w:sdtContent>
    </w:sdt>
  </w:p>
  <w:p w:rsidR="00B91806" w:rsidRDefault="00B9180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5A92092C" wp14:editId="2F76C450">
          <wp:extent cx="5547360" cy="609600"/>
          <wp:effectExtent l="0" t="0" r="0" b="0"/>
          <wp:docPr id="8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67E50A4B" wp14:editId="58C8C440">
          <wp:extent cx="5547360" cy="609600"/>
          <wp:effectExtent l="0" t="0" r="0" b="0"/>
          <wp:docPr id="8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Default="0062310C">
    <w:sdt>
      <w:sdtPr>
        <w:id w:val="1593052690"/>
        <w:temporary/>
        <w:showingPlcHdr/>
      </w:sdtPr>
      <w:sdtEndPr/>
      <w:sdtContent>
        <w:r w:rsidR="00B91806">
          <w:t>[Type text]</w:t>
        </w:r>
      </w:sdtContent>
    </w:sdt>
    <w:r w:rsidR="00B91806">
      <w:ptab w:relativeTo="margin" w:alignment="center" w:leader="none"/>
    </w:r>
    <w:sdt>
      <w:sdtPr>
        <w:id w:val="118726635"/>
        <w:temporary/>
        <w:showingPlcHdr/>
      </w:sdtPr>
      <w:sdtEndPr/>
      <w:sdtContent>
        <w:r w:rsidR="00B91806">
          <w:t>[Type text]</w:t>
        </w:r>
      </w:sdtContent>
    </w:sdt>
    <w:r w:rsidR="00B91806">
      <w:ptab w:relativeTo="margin" w:alignment="right" w:leader="none"/>
    </w:r>
    <w:sdt>
      <w:sdtPr>
        <w:id w:val="1640683798"/>
        <w:temporary/>
        <w:showingPlcHdr/>
      </w:sdtPr>
      <w:sdtEndPr/>
      <w:sdtContent>
        <w:r w:rsidR="00B91806">
          <w:t>[Type text]</w:t>
        </w:r>
      </w:sdtContent>
    </w:sdt>
  </w:p>
  <w:p w:rsidR="00B91806" w:rsidRDefault="00B9180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40AC65B8" wp14:editId="30C72D7E">
          <wp:extent cx="5547360" cy="609600"/>
          <wp:effectExtent l="0" t="0" r="0" b="0"/>
          <wp:docPr id="8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806" w:rsidRPr="000069A9" w:rsidRDefault="00B91806" w:rsidP="000069A9">
    <w:pPr>
      <w:pStyle w:val="Header"/>
    </w:pPr>
    <w:r w:rsidRPr="000069A9">
      <w:rPr>
        <w:noProof/>
        <w:lang w:eastAsia="en-GB"/>
      </w:rPr>
      <w:drawing>
        <wp:inline distT="0" distB="0" distL="0" distR="0" wp14:anchorId="3C64A2CD" wp14:editId="7BC6766C">
          <wp:extent cx="5547360" cy="609600"/>
          <wp:effectExtent l="0" t="0" r="0" b="0"/>
          <wp:docPr id="89"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D4334"/>
    <w:multiLevelType w:val="hybridMultilevel"/>
    <w:tmpl w:val="AF9205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36095"/>
    <w:multiLevelType w:val="hybridMultilevel"/>
    <w:tmpl w:val="0A387856"/>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4" w15:restartNumberingAfterBreak="0">
    <w:nsid w:val="048638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8313DF"/>
    <w:multiLevelType w:val="hybridMultilevel"/>
    <w:tmpl w:val="A8C659F6"/>
    <w:lvl w:ilvl="0" w:tplc="9174AD42">
      <w:start w:val="1"/>
      <w:numFmt w:val="bullet"/>
      <w:pStyle w:val="bullet1"/>
      <w:lvlText w:val=""/>
      <w:lvlJc w:val="left"/>
      <w:pPr>
        <w:tabs>
          <w:tab w:val="num" w:pos="343"/>
        </w:tabs>
        <w:ind w:left="343" w:hanging="34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6" w15:restartNumberingAfterBreak="0">
    <w:nsid w:val="060358A2"/>
    <w:multiLevelType w:val="multilevel"/>
    <w:tmpl w:val="AEC6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8" w15:restartNumberingAfterBreak="0">
    <w:nsid w:val="094E1D31"/>
    <w:multiLevelType w:val="hybridMultilevel"/>
    <w:tmpl w:val="34D89928"/>
    <w:lvl w:ilvl="0" w:tplc="AA62DF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692C3F"/>
    <w:multiLevelType w:val="multilevel"/>
    <w:tmpl w:val="0CF8E5C4"/>
    <w:lvl w:ilvl="0">
      <w:start w:val="1"/>
      <w:numFmt w:val="decimal"/>
      <w:pStyle w:val="Numberedtitlelevel2"/>
      <w:lvlText w:val="%1."/>
      <w:lvlJc w:val="left"/>
      <w:pPr>
        <w:ind w:left="360" w:hanging="360"/>
      </w:pPr>
    </w:lvl>
    <w:lvl w:ilvl="1">
      <w:start w:val="1"/>
      <w:numFmt w:val="decimal"/>
      <w:pStyle w:val="Numberedtitlelevel3"/>
      <w:lvlText w:val="%1.%2."/>
      <w:lvlJc w:val="left"/>
      <w:pPr>
        <w:ind w:left="792" w:hanging="432"/>
      </w:pPr>
    </w:lvl>
    <w:lvl w:ilvl="2">
      <w:start w:val="1"/>
      <w:numFmt w:val="decimal"/>
      <w:pStyle w:val="Numberedtitleleve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155E6B"/>
    <w:multiLevelType w:val="multilevel"/>
    <w:tmpl w:val="6A081F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AB4168"/>
    <w:multiLevelType w:val="multilevel"/>
    <w:tmpl w:val="AD9E135A"/>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211F47FA"/>
    <w:multiLevelType w:val="multilevel"/>
    <w:tmpl w:val="2C7E5A08"/>
    <w:lvl w:ilvl="0">
      <w:start w:val="1"/>
      <w:numFmt w:val="bullet"/>
      <w:pStyle w:val="Bullet10"/>
      <w:lvlText w:val=""/>
      <w:lvlJc w:val="left"/>
      <w:pPr>
        <w:tabs>
          <w:tab w:val="num" w:pos="432"/>
        </w:tabs>
        <w:ind w:left="432" w:hanging="432"/>
      </w:pPr>
      <w:rPr>
        <w:rFonts w:ascii="Symbol" w:hAnsi="Symbol" w:hint="default"/>
        <w:sz w:val="28"/>
      </w:rPr>
    </w:lvl>
    <w:lvl w:ilvl="1">
      <w:start w:val="4"/>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40760A"/>
    <w:multiLevelType w:val="multilevel"/>
    <w:tmpl w:val="C95A32B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28D23D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CB5D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3A0333F1"/>
    <w:multiLevelType w:val="hybridMultilevel"/>
    <w:tmpl w:val="8B967D4E"/>
    <w:lvl w:ilvl="0" w:tplc="963C153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96ABE"/>
    <w:multiLevelType w:val="multilevel"/>
    <w:tmpl w:val="AD38F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8E586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DD0B2F"/>
    <w:multiLevelType w:val="hybridMultilevel"/>
    <w:tmpl w:val="F962D4CA"/>
    <w:lvl w:ilvl="0" w:tplc="3C6A0EE6">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50227369"/>
    <w:multiLevelType w:val="hybridMultilevel"/>
    <w:tmpl w:val="C2D88122"/>
    <w:lvl w:ilvl="0" w:tplc="4A2A8390">
      <w:start w:val="1"/>
      <w:numFmt w:val="decimal"/>
      <w:pStyle w:val="numberedparagraph"/>
      <w:lvlText w:val="%1."/>
      <w:lvlJc w:val="left"/>
      <w:pPr>
        <w:tabs>
          <w:tab w:val="num" w:pos="2695"/>
        </w:tabs>
        <w:ind w:left="2695"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894B89"/>
    <w:multiLevelType w:val="hybridMultilevel"/>
    <w:tmpl w:val="393AB35C"/>
    <w:lvl w:ilvl="0" w:tplc="E08E60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615C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F07985"/>
    <w:multiLevelType w:val="multilevel"/>
    <w:tmpl w:val="517EDB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1E10D9"/>
    <w:multiLevelType w:val="multilevel"/>
    <w:tmpl w:val="FE9E8EF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CD57BB"/>
    <w:multiLevelType w:val="multilevel"/>
    <w:tmpl w:val="ADD081BE"/>
    <w:lvl w:ilvl="0">
      <w:start w:val="1"/>
      <w:numFmt w:val="decimal"/>
      <w:pStyle w:val="Numberedtilelevel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8" w15:restartNumberingAfterBreak="0">
    <w:nsid w:val="6E4063E1"/>
    <w:multiLevelType w:val="hybridMultilevel"/>
    <w:tmpl w:val="C93A3EB6"/>
    <w:lvl w:ilvl="0" w:tplc="CCC64C02">
      <w:start w:val="1"/>
      <w:numFmt w:val="decimal"/>
      <w:pStyle w:val="Paragraph"/>
      <w:lvlText w:val="%1."/>
      <w:lvlJc w:val="left"/>
      <w:pPr>
        <w:ind w:left="785" w:hanging="360"/>
      </w:pPr>
    </w:lvl>
    <w:lvl w:ilvl="1" w:tplc="08090001">
      <w:start w:val="1"/>
      <w:numFmt w:val="bullet"/>
      <w:lvlText w:val=""/>
      <w:lvlJc w:val="left"/>
      <w:pPr>
        <w:ind w:left="1505" w:hanging="360"/>
      </w:pPr>
      <w:rPr>
        <w:rFonts w:ascii="Symbol" w:hAnsi="Symbol"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9"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6"/>
  </w:num>
  <w:num w:numId="4">
    <w:abstractNumId w:val="17"/>
  </w:num>
  <w:num w:numId="5">
    <w:abstractNumId w:val="29"/>
  </w:num>
  <w:num w:numId="6">
    <w:abstractNumId w:val="2"/>
  </w:num>
  <w:num w:numId="7">
    <w:abstractNumId w:val="27"/>
  </w:num>
  <w:num w:numId="8">
    <w:abstractNumId w:val="22"/>
  </w:num>
  <w:num w:numId="9">
    <w:abstractNumId w:val="22"/>
    <w:lvlOverride w:ilvl="0">
      <w:startOverride w:val="1"/>
    </w:lvlOverride>
  </w:num>
  <w:num w:numId="10">
    <w:abstractNumId w:val="22"/>
    <w:lvlOverride w:ilvl="0">
      <w:startOverride w:val="1"/>
    </w:lvlOverride>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22"/>
    <w:lvlOverride w:ilvl="0">
      <w:startOverride w:val="1"/>
    </w:lvlOverride>
  </w:num>
  <w:num w:numId="15">
    <w:abstractNumId w:val="0"/>
  </w:num>
  <w:num w:numId="16">
    <w:abstractNumId w:val="7"/>
  </w:num>
  <w:num w:numId="17">
    <w:abstractNumId w:val="13"/>
  </w:num>
  <w:num w:numId="18">
    <w:abstractNumId w:val="11"/>
  </w:num>
  <w:num w:numId="19">
    <w:abstractNumId w:val="15"/>
  </w:num>
  <w:num w:numId="20">
    <w:abstractNumId w:val="23"/>
  </w:num>
  <w:num w:numId="21">
    <w:abstractNumId w:val="20"/>
  </w:num>
  <w:num w:numId="22">
    <w:abstractNumId w:val="10"/>
  </w:num>
  <w:num w:numId="23">
    <w:abstractNumId w:val="14"/>
  </w:num>
  <w:num w:numId="24">
    <w:abstractNumId w:val="26"/>
  </w:num>
  <w:num w:numId="25">
    <w:abstractNumId w:val="8"/>
  </w:num>
  <w:num w:numId="26">
    <w:abstractNumId w:val="6"/>
  </w:num>
  <w:num w:numId="27">
    <w:abstractNumId w:val="24"/>
  </w:num>
  <w:num w:numId="28">
    <w:abstractNumId w:val="18"/>
  </w:num>
  <w:num w:numId="29">
    <w:abstractNumId w:val="4"/>
  </w:num>
  <w:num w:numId="30">
    <w:abstractNumId w:val="25"/>
  </w:num>
  <w:num w:numId="31">
    <w:abstractNumId w:val="9"/>
  </w:num>
  <w:num w:numId="32">
    <w:abstractNumId w:val="12"/>
  </w:num>
  <w:num w:numId="33">
    <w:abstractNumId w:val="21"/>
  </w:num>
  <w:num w:numId="34">
    <w:abstractNumId w:val="28"/>
  </w:num>
  <w:num w:numId="35">
    <w:abstractNumId w:val="22"/>
  </w:num>
  <w:num w:numId="36">
    <w:abstractNumId w:val="5"/>
  </w:num>
  <w:num w:numId="37">
    <w:abstractNumId w:val="19"/>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9"/>
  </w:num>
  <w:num w:numId="41">
    <w:abstractNumId w:val="19"/>
  </w:num>
  <w:num w:numId="42">
    <w:abstractNumId w:val="22"/>
    <w:lvlOverride w:ilvl="0">
      <w:startOverride w:val="7"/>
    </w:lvlOverride>
  </w:num>
  <w:num w:numId="43">
    <w:abstractNumId w:val="9"/>
  </w:num>
  <w:num w:numId="44">
    <w:abstractNumId w:val="9"/>
  </w:num>
  <w:num w:numId="45">
    <w:abstractNumId w:val="1"/>
  </w:num>
  <w:num w:numId="46">
    <w:abstractNumId w:val="19"/>
  </w:num>
  <w:num w:numId="47">
    <w:abstractNumId w:val="19"/>
  </w:num>
  <w:num w:numId="48">
    <w:abstractNumId w:val="9"/>
  </w:num>
  <w:num w:numId="49">
    <w:abstractNumId w:val="9"/>
  </w:num>
  <w:num w:numId="50">
    <w:abstractNumId w:val="9"/>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0"/>
  <w:drawingGridHorizontalSpacing w:val="360"/>
  <w:drawingGridVerticalSpacing w:val="360"/>
  <w:displayHorizontalDrawingGridEvery w:val="0"/>
  <w:displayVerticalDrawingGridEvery w:val="0"/>
  <w:characterSpacingControl w:val="doNotCompress"/>
  <w:hdrShapeDefaults>
    <o:shapedefaults v:ext="edit" spidmax="243713"/>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BA SHORT REPORT"/>
  </w:docVars>
  <w:rsids>
    <w:rsidRoot w:val="004E160A"/>
    <w:rsid w:val="00000CDE"/>
    <w:rsid w:val="00003F50"/>
    <w:rsid w:val="00006205"/>
    <w:rsid w:val="000069A9"/>
    <w:rsid w:val="00010D71"/>
    <w:rsid w:val="00013281"/>
    <w:rsid w:val="00015276"/>
    <w:rsid w:val="00016399"/>
    <w:rsid w:val="00016BCE"/>
    <w:rsid w:val="00021CC0"/>
    <w:rsid w:val="000231B7"/>
    <w:rsid w:val="000233E6"/>
    <w:rsid w:val="00023708"/>
    <w:rsid w:val="00027CA0"/>
    <w:rsid w:val="000302B7"/>
    <w:rsid w:val="00030D65"/>
    <w:rsid w:val="0003100B"/>
    <w:rsid w:val="00032E18"/>
    <w:rsid w:val="00033932"/>
    <w:rsid w:val="0003502D"/>
    <w:rsid w:val="0003593B"/>
    <w:rsid w:val="00036322"/>
    <w:rsid w:val="00040BAD"/>
    <w:rsid w:val="000451AC"/>
    <w:rsid w:val="00050C99"/>
    <w:rsid w:val="000514E3"/>
    <w:rsid w:val="00052FFB"/>
    <w:rsid w:val="00053879"/>
    <w:rsid w:val="00057350"/>
    <w:rsid w:val="00060F40"/>
    <w:rsid w:val="0006366F"/>
    <w:rsid w:val="000706B1"/>
    <w:rsid w:val="0008270F"/>
    <w:rsid w:val="000843CD"/>
    <w:rsid w:val="00091566"/>
    <w:rsid w:val="00097F2B"/>
    <w:rsid w:val="000A1C81"/>
    <w:rsid w:val="000A55EF"/>
    <w:rsid w:val="000A6115"/>
    <w:rsid w:val="000A742D"/>
    <w:rsid w:val="000A76B5"/>
    <w:rsid w:val="000B1645"/>
    <w:rsid w:val="000C1204"/>
    <w:rsid w:val="000C2645"/>
    <w:rsid w:val="000C29A3"/>
    <w:rsid w:val="000C463F"/>
    <w:rsid w:val="000C4BAC"/>
    <w:rsid w:val="000C5A8A"/>
    <w:rsid w:val="000D2C90"/>
    <w:rsid w:val="000D66F6"/>
    <w:rsid w:val="000D7A44"/>
    <w:rsid w:val="000D7EAF"/>
    <w:rsid w:val="000E0C27"/>
    <w:rsid w:val="000E1BD9"/>
    <w:rsid w:val="000E2E27"/>
    <w:rsid w:val="000E3581"/>
    <w:rsid w:val="000E3B7D"/>
    <w:rsid w:val="000E54AB"/>
    <w:rsid w:val="000E6D15"/>
    <w:rsid w:val="000E6E82"/>
    <w:rsid w:val="000E7CD6"/>
    <w:rsid w:val="000F17CD"/>
    <w:rsid w:val="000F37DB"/>
    <w:rsid w:val="000F6495"/>
    <w:rsid w:val="000F6FD8"/>
    <w:rsid w:val="000F7808"/>
    <w:rsid w:val="000F7DE0"/>
    <w:rsid w:val="00101D96"/>
    <w:rsid w:val="001031FC"/>
    <w:rsid w:val="001064B4"/>
    <w:rsid w:val="0011332C"/>
    <w:rsid w:val="0011517F"/>
    <w:rsid w:val="001214DD"/>
    <w:rsid w:val="00121BB0"/>
    <w:rsid w:val="00125AFF"/>
    <w:rsid w:val="0013090C"/>
    <w:rsid w:val="00131C5D"/>
    <w:rsid w:val="001365CA"/>
    <w:rsid w:val="001367AD"/>
    <w:rsid w:val="00141DDB"/>
    <w:rsid w:val="00145096"/>
    <w:rsid w:val="00145D24"/>
    <w:rsid w:val="0014753A"/>
    <w:rsid w:val="00147FE9"/>
    <w:rsid w:val="001512D3"/>
    <w:rsid w:val="00152832"/>
    <w:rsid w:val="00153C26"/>
    <w:rsid w:val="00157D76"/>
    <w:rsid w:val="001600FC"/>
    <w:rsid w:val="001610F7"/>
    <w:rsid w:val="00161636"/>
    <w:rsid w:val="001664CB"/>
    <w:rsid w:val="00166DCD"/>
    <w:rsid w:val="00171121"/>
    <w:rsid w:val="00172007"/>
    <w:rsid w:val="0017242E"/>
    <w:rsid w:val="0017446F"/>
    <w:rsid w:val="00175032"/>
    <w:rsid w:val="001755CA"/>
    <w:rsid w:val="0017676B"/>
    <w:rsid w:val="00177CB7"/>
    <w:rsid w:val="00181C08"/>
    <w:rsid w:val="001834D4"/>
    <w:rsid w:val="001834DC"/>
    <w:rsid w:val="001836A7"/>
    <w:rsid w:val="00186110"/>
    <w:rsid w:val="00190E5E"/>
    <w:rsid w:val="00191244"/>
    <w:rsid w:val="00192287"/>
    <w:rsid w:val="00193C0C"/>
    <w:rsid w:val="00196A03"/>
    <w:rsid w:val="001A016C"/>
    <w:rsid w:val="001A023A"/>
    <w:rsid w:val="001A05F2"/>
    <w:rsid w:val="001A236F"/>
    <w:rsid w:val="001A2A81"/>
    <w:rsid w:val="001A37F9"/>
    <w:rsid w:val="001A4185"/>
    <w:rsid w:val="001A440A"/>
    <w:rsid w:val="001A5698"/>
    <w:rsid w:val="001A6135"/>
    <w:rsid w:val="001A690D"/>
    <w:rsid w:val="001A716E"/>
    <w:rsid w:val="001B0E86"/>
    <w:rsid w:val="001B2C0D"/>
    <w:rsid w:val="001B3A5E"/>
    <w:rsid w:val="001B4E32"/>
    <w:rsid w:val="001B6017"/>
    <w:rsid w:val="001B7A0B"/>
    <w:rsid w:val="001B7A13"/>
    <w:rsid w:val="001B7EB3"/>
    <w:rsid w:val="001C1FD9"/>
    <w:rsid w:val="001C5043"/>
    <w:rsid w:val="001C5BC2"/>
    <w:rsid w:val="001D0179"/>
    <w:rsid w:val="001D0E99"/>
    <w:rsid w:val="001D0ECA"/>
    <w:rsid w:val="001E1188"/>
    <w:rsid w:val="001E1DF0"/>
    <w:rsid w:val="001E3599"/>
    <w:rsid w:val="001E73E0"/>
    <w:rsid w:val="001F027E"/>
    <w:rsid w:val="001F1CB9"/>
    <w:rsid w:val="001F1E8A"/>
    <w:rsid w:val="001F2314"/>
    <w:rsid w:val="001F572A"/>
    <w:rsid w:val="001F7501"/>
    <w:rsid w:val="002015DD"/>
    <w:rsid w:val="00201B24"/>
    <w:rsid w:val="00205878"/>
    <w:rsid w:val="002079BD"/>
    <w:rsid w:val="00213D7B"/>
    <w:rsid w:val="00214DEC"/>
    <w:rsid w:val="00214FDE"/>
    <w:rsid w:val="00215452"/>
    <w:rsid w:val="002214CC"/>
    <w:rsid w:val="00224761"/>
    <w:rsid w:val="00224A3F"/>
    <w:rsid w:val="00226463"/>
    <w:rsid w:val="002268DA"/>
    <w:rsid w:val="00227FA4"/>
    <w:rsid w:val="002306C7"/>
    <w:rsid w:val="002326C6"/>
    <w:rsid w:val="00232B0A"/>
    <w:rsid w:val="00232CB9"/>
    <w:rsid w:val="002332BA"/>
    <w:rsid w:val="0023333B"/>
    <w:rsid w:val="00235AB7"/>
    <w:rsid w:val="00237CFE"/>
    <w:rsid w:val="00240789"/>
    <w:rsid w:val="00241BD8"/>
    <w:rsid w:val="002434B0"/>
    <w:rsid w:val="00245B9F"/>
    <w:rsid w:val="00245D75"/>
    <w:rsid w:val="00245FF8"/>
    <w:rsid w:val="00254634"/>
    <w:rsid w:val="002562EE"/>
    <w:rsid w:val="002604D3"/>
    <w:rsid w:val="00260E8C"/>
    <w:rsid w:val="002613A6"/>
    <w:rsid w:val="00263258"/>
    <w:rsid w:val="0027010A"/>
    <w:rsid w:val="0027418E"/>
    <w:rsid w:val="0027552A"/>
    <w:rsid w:val="00281AAE"/>
    <w:rsid w:val="00285AB7"/>
    <w:rsid w:val="00285BEA"/>
    <w:rsid w:val="00287055"/>
    <w:rsid w:val="00290DA3"/>
    <w:rsid w:val="00291217"/>
    <w:rsid w:val="00294F8C"/>
    <w:rsid w:val="00297EA3"/>
    <w:rsid w:val="002A5B20"/>
    <w:rsid w:val="002A7D7C"/>
    <w:rsid w:val="002A7FE3"/>
    <w:rsid w:val="002B3344"/>
    <w:rsid w:val="002B6F3D"/>
    <w:rsid w:val="002C07FD"/>
    <w:rsid w:val="002C0DCF"/>
    <w:rsid w:val="002C3620"/>
    <w:rsid w:val="002C3E7A"/>
    <w:rsid w:val="002C4C73"/>
    <w:rsid w:val="002C5B8A"/>
    <w:rsid w:val="002D1867"/>
    <w:rsid w:val="002D55D1"/>
    <w:rsid w:val="002D5F91"/>
    <w:rsid w:val="002E1E6B"/>
    <w:rsid w:val="002E33EF"/>
    <w:rsid w:val="002F1296"/>
    <w:rsid w:val="002F2009"/>
    <w:rsid w:val="002F528A"/>
    <w:rsid w:val="002F62B4"/>
    <w:rsid w:val="002F6CF0"/>
    <w:rsid w:val="0030079E"/>
    <w:rsid w:val="00300924"/>
    <w:rsid w:val="003025A8"/>
    <w:rsid w:val="003119B2"/>
    <w:rsid w:val="00312622"/>
    <w:rsid w:val="003129B6"/>
    <w:rsid w:val="00314D6E"/>
    <w:rsid w:val="00315AC1"/>
    <w:rsid w:val="00320E57"/>
    <w:rsid w:val="003221EF"/>
    <w:rsid w:val="003248A2"/>
    <w:rsid w:val="00330C5F"/>
    <w:rsid w:val="003311F5"/>
    <w:rsid w:val="0033710E"/>
    <w:rsid w:val="003430AC"/>
    <w:rsid w:val="00351173"/>
    <w:rsid w:val="0035415A"/>
    <w:rsid w:val="0035477B"/>
    <w:rsid w:val="003553C0"/>
    <w:rsid w:val="00362682"/>
    <w:rsid w:val="00366D05"/>
    <w:rsid w:val="00372BEC"/>
    <w:rsid w:val="0037321E"/>
    <w:rsid w:val="00375432"/>
    <w:rsid w:val="0038116B"/>
    <w:rsid w:val="00382506"/>
    <w:rsid w:val="00383FCB"/>
    <w:rsid w:val="00387B22"/>
    <w:rsid w:val="0039037C"/>
    <w:rsid w:val="00390AD7"/>
    <w:rsid w:val="00392385"/>
    <w:rsid w:val="0039570C"/>
    <w:rsid w:val="00397E56"/>
    <w:rsid w:val="003A180C"/>
    <w:rsid w:val="003A1AE9"/>
    <w:rsid w:val="003A28B6"/>
    <w:rsid w:val="003A6E09"/>
    <w:rsid w:val="003B0B19"/>
    <w:rsid w:val="003B3918"/>
    <w:rsid w:val="003B5496"/>
    <w:rsid w:val="003B78BE"/>
    <w:rsid w:val="003C1767"/>
    <w:rsid w:val="003C1866"/>
    <w:rsid w:val="003C5042"/>
    <w:rsid w:val="003C70FC"/>
    <w:rsid w:val="003D0F46"/>
    <w:rsid w:val="003D2BB3"/>
    <w:rsid w:val="003D60A9"/>
    <w:rsid w:val="003D6F83"/>
    <w:rsid w:val="003D7A72"/>
    <w:rsid w:val="003D7B4B"/>
    <w:rsid w:val="003E06FF"/>
    <w:rsid w:val="003F0267"/>
    <w:rsid w:val="003F219A"/>
    <w:rsid w:val="003F277A"/>
    <w:rsid w:val="003F2C9F"/>
    <w:rsid w:val="003F60D2"/>
    <w:rsid w:val="00400FB6"/>
    <w:rsid w:val="00405671"/>
    <w:rsid w:val="00407E45"/>
    <w:rsid w:val="004113C9"/>
    <w:rsid w:val="00412567"/>
    <w:rsid w:val="00412FDD"/>
    <w:rsid w:val="004136AF"/>
    <w:rsid w:val="00415BAA"/>
    <w:rsid w:val="0041788D"/>
    <w:rsid w:val="00421262"/>
    <w:rsid w:val="00424464"/>
    <w:rsid w:val="00424530"/>
    <w:rsid w:val="00427F8E"/>
    <w:rsid w:val="00431329"/>
    <w:rsid w:val="0043577F"/>
    <w:rsid w:val="00441F85"/>
    <w:rsid w:val="00443C2D"/>
    <w:rsid w:val="00450321"/>
    <w:rsid w:val="0045301B"/>
    <w:rsid w:val="0045594A"/>
    <w:rsid w:val="00455E0E"/>
    <w:rsid w:val="004719B4"/>
    <w:rsid w:val="00471CA1"/>
    <w:rsid w:val="00471CCE"/>
    <w:rsid w:val="0047217D"/>
    <w:rsid w:val="00475282"/>
    <w:rsid w:val="00481AC4"/>
    <w:rsid w:val="00481C79"/>
    <w:rsid w:val="00482FB6"/>
    <w:rsid w:val="0048377E"/>
    <w:rsid w:val="00483795"/>
    <w:rsid w:val="0048468F"/>
    <w:rsid w:val="00484CD8"/>
    <w:rsid w:val="00494781"/>
    <w:rsid w:val="004A5D8B"/>
    <w:rsid w:val="004A6164"/>
    <w:rsid w:val="004B2FC0"/>
    <w:rsid w:val="004B3663"/>
    <w:rsid w:val="004B6047"/>
    <w:rsid w:val="004B7065"/>
    <w:rsid w:val="004B7784"/>
    <w:rsid w:val="004C1B19"/>
    <w:rsid w:val="004C29AE"/>
    <w:rsid w:val="004C2C14"/>
    <w:rsid w:val="004C39C2"/>
    <w:rsid w:val="004C551E"/>
    <w:rsid w:val="004C6392"/>
    <w:rsid w:val="004C67D3"/>
    <w:rsid w:val="004D50C1"/>
    <w:rsid w:val="004E160A"/>
    <w:rsid w:val="004E3128"/>
    <w:rsid w:val="004E405B"/>
    <w:rsid w:val="004F0AB6"/>
    <w:rsid w:val="004F5DAB"/>
    <w:rsid w:val="004F63DB"/>
    <w:rsid w:val="004F6F11"/>
    <w:rsid w:val="004F73DB"/>
    <w:rsid w:val="005105EF"/>
    <w:rsid w:val="005144FF"/>
    <w:rsid w:val="00516D08"/>
    <w:rsid w:val="00523895"/>
    <w:rsid w:val="005273D0"/>
    <w:rsid w:val="00530DDB"/>
    <w:rsid w:val="00532352"/>
    <w:rsid w:val="00532E89"/>
    <w:rsid w:val="005377F0"/>
    <w:rsid w:val="00540BB7"/>
    <w:rsid w:val="005410AB"/>
    <w:rsid w:val="005506D4"/>
    <w:rsid w:val="00551699"/>
    <w:rsid w:val="005527E3"/>
    <w:rsid w:val="00553A2D"/>
    <w:rsid w:val="00553D2F"/>
    <w:rsid w:val="005569F7"/>
    <w:rsid w:val="005636A8"/>
    <w:rsid w:val="00565691"/>
    <w:rsid w:val="00567919"/>
    <w:rsid w:val="00571BB6"/>
    <w:rsid w:val="00573971"/>
    <w:rsid w:val="00575555"/>
    <w:rsid w:val="00575BA7"/>
    <w:rsid w:val="005768CB"/>
    <w:rsid w:val="00582256"/>
    <w:rsid w:val="00582AA7"/>
    <w:rsid w:val="00583086"/>
    <w:rsid w:val="0058477C"/>
    <w:rsid w:val="00591F9E"/>
    <w:rsid w:val="005970E3"/>
    <w:rsid w:val="00597DA8"/>
    <w:rsid w:val="005B15C9"/>
    <w:rsid w:val="005B5C09"/>
    <w:rsid w:val="005B7C26"/>
    <w:rsid w:val="005C070A"/>
    <w:rsid w:val="005C40AB"/>
    <w:rsid w:val="005C498B"/>
    <w:rsid w:val="005C569C"/>
    <w:rsid w:val="005C7CBF"/>
    <w:rsid w:val="005D0923"/>
    <w:rsid w:val="005D33AB"/>
    <w:rsid w:val="005D4005"/>
    <w:rsid w:val="005D40D1"/>
    <w:rsid w:val="005D58DF"/>
    <w:rsid w:val="005D5A68"/>
    <w:rsid w:val="005D6BD6"/>
    <w:rsid w:val="005E1645"/>
    <w:rsid w:val="005E2101"/>
    <w:rsid w:val="005E34F0"/>
    <w:rsid w:val="005E46CD"/>
    <w:rsid w:val="005E4CD9"/>
    <w:rsid w:val="005E5EA1"/>
    <w:rsid w:val="005E64A3"/>
    <w:rsid w:val="005E78A9"/>
    <w:rsid w:val="005F0125"/>
    <w:rsid w:val="005F0395"/>
    <w:rsid w:val="005F05D7"/>
    <w:rsid w:val="005F12D5"/>
    <w:rsid w:val="005F3ADF"/>
    <w:rsid w:val="005F56FF"/>
    <w:rsid w:val="00603AAD"/>
    <w:rsid w:val="00604EF3"/>
    <w:rsid w:val="00607FD8"/>
    <w:rsid w:val="00610305"/>
    <w:rsid w:val="00610419"/>
    <w:rsid w:val="00611DDB"/>
    <w:rsid w:val="006124E3"/>
    <w:rsid w:val="00612C7B"/>
    <w:rsid w:val="006224C1"/>
    <w:rsid w:val="00622BD9"/>
    <w:rsid w:val="0062310C"/>
    <w:rsid w:val="006250D1"/>
    <w:rsid w:val="006269B7"/>
    <w:rsid w:val="00631ED1"/>
    <w:rsid w:val="00633DC7"/>
    <w:rsid w:val="00636E1D"/>
    <w:rsid w:val="006379F0"/>
    <w:rsid w:val="00637DB1"/>
    <w:rsid w:val="00637EBA"/>
    <w:rsid w:val="00641C86"/>
    <w:rsid w:val="00656ACB"/>
    <w:rsid w:val="00662AF5"/>
    <w:rsid w:val="00662B9C"/>
    <w:rsid w:val="00662C54"/>
    <w:rsid w:val="00663B0A"/>
    <w:rsid w:val="006641F8"/>
    <w:rsid w:val="00665925"/>
    <w:rsid w:val="00670254"/>
    <w:rsid w:val="00670B56"/>
    <w:rsid w:val="0067300F"/>
    <w:rsid w:val="006733CB"/>
    <w:rsid w:val="00674D7F"/>
    <w:rsid w:val="00682485"/>
    <w:rsid w:val="00683926"/>
    <w:rsid w:val="00683B02"/>
    <w:rsid w:val="00686902"/>
    <w:rsid w:val="0069062F"/>
    <w:rsid w:val="006918BC"/>
    <w:rsid w:val="00691BB8"/>
    <w:rsid w:val="00692097"/>
    <w:rsid w:val="00696E7D"/>
    <w:rsid w:val="006973AC"/>
    <w:rsid w:val="006A2EFD"/>
    <w:rsid w:val="006A34A2"/>
    <w:rsid w:val="006A36AC"/>
    <w:rsid w:val="006A38EC"/>
    <w:rsid w:val="006A4317"/>
    <w:rsid w:val="006A4A1D"/>
    <w:rsid w:val="006A5845"/>
    <w:rsid w:val="006A71AD"/>
    <w:rsid w:val="006B01D3"/>
    <w:rsid w:val="006B30EB"/>
    <w:rsid w:val="006B491C"/>
    <w:rsid w:val="006C186D"/>
    <w:rsid w:val="006C333D"/>
    <w:rsid w:val="006C3C6B"/>
    <w:rsid w:val="006C4821"/>
    <w:rsid w:val="006D3EF8"/>
    <w:rsid w:val="006D5E19"/>
    <w:rsid w:val="006D78D2"/>
    <w:rsid w:val="006F445D"/>
    <w:rsid w:val="006F7194"/>
    <w:rsid w:val="007036AB"/>
    <w:rsid w:val="00703E4E"/>
    <w:rsid w:val="007071C6"/>
    <w:rsid w:val="007074AD"/>
    <w:rsid w:val="00707602"/>
    <w:rsid w:val="00711E1C"/>
    <w:rsid w:val="007125C7"/>
    <w:rsid w:val="00713F6E"/>
    <w:rsid w:val="00717E68"/>
    <w:rsid w:val="00721FBA"/>
    <w:rsid w:val="00724F1F"/>
    <w:rsid w:val="007250A7"/>
    <w:rsid w:val="0072636B"/>
    <w:rsid w:val="007270D5"/>
    <w:rsid w:val="00730012"/>
    <w:rsid w:val="00730352"/>
    <w:rsid w:val="007304AC"/>
    <w:rsid w:val="00737BB6"/>
    <w:rsid w:val="0074065A"/>
    <w:rsid w:val="00740863"/>
    <w:rsid w:val="007409DB"/>
    <w:rsid w:val="00742839"/>
    <w:rsid w:val="00743086"/>
    <w:rsid w:val="0074383B"/>
    <w:rsid w:val="00745502"/>
    <w:rsid w:val="00752AC6"/>
    <w:rsid w:val="00754E0E"/>
    <w:rsid w:val="00755505"/>
    <w:rsid w:val="00756777"/>
    <w:rsid w:val="007572ED"/>
    <w:rsid w:val="0076316D"/>
    <w:rsid w:val="00764A8E"/>
    <w:rsid w:val="0076548A"/>
    <w:rsid w:val="007666D4"/>
    <w:rsid w:val="007668EC"/>
    <w:rsid w:val="007670A8"/>
    <w:rsid w:val="007704C7"/>
    <w:rsid w:val="00772993"/>
    <w:rsid w:val="00772C54"/>
    <w:rsid w:val="00775496"/>
    <w:rsid w:val="00776130"/>
    <w:rsid w:val="00780580"/>
    <w:rsid w:val="007815FB"/>
    <w:rsid w:val="00781D80"/>
    <w:rsid w:val="007836BA"/>
    <w:rsid w:val="0078590E"/>
    <w:rsid w:val="00785A6C"/>
    <w:rsid w:val="007861AC"/>
    <w:rsid w:val="007924D2"/>
    <w:rsid w:val="0079266A"/>
    <w:rsid w:val="007937BA"/>
    <w:rsid w:val="00796869"/>
    <w:rsid w:val="007A0054"/>
    <w:rsid w:val="007A2170"/>
    <w:rsid w:val="007A44A6"/>
    <w:rsid w:val="007A5353"/>
    <w:rsid w:val="007B2CEE"/>
    <w:rsid w:val="007B3685"/>
    <w:rsid w:val="007B3D63"/>
    <w:rsid w:val="007B6937"/>
    <w:rsid w:val="007C05FC"/>
    <w:rsid w:val="007C258C"/>
    <w:rsid w:val="007C34FA"/>
    <w:rsid w:val="007C417A"/>
    <w:rsid w:val="007C4C8E"/>
    <w:rsid w:val="007C55D0"/>
    <w:rsid w:val="007C62AF"/>
    <w:rsid w:val="007C6591"/>
    <w:rsid w:val="007C7B33"/>
    <w:rsid w:val="007D05EB"/>
    <w:rsid w:val="007D1453"/>
    <w:rsid w:val="007D15E5"/>
    <w:rsid w:val="007D2298"/>
    <w:rsid w:val="007D46E8"/>
    <w:rsid w:val="007E143A"/>
    <w:rsid w:val="007E428E"/>
    <w:rsid w:val="007E4ACA"/>
    <w:rsid w:val="007E5ACB"/>
    <w:rsid w:val="007E5DE3"/>
    <w:rsid w:val="007E5E4C"/>
    <w:rsid w:val="007E7CB3"/>
    <w:rsid w:val="007F44E5"/>
    <w:rsid w:val="008019A5"/>
    <w:rsid w:val="00804343"/>
    <w:rsid w:val="00805065"/>
    <w:rsid w:val="00810EDF"/>
    <w:rsid w:val="00810F1F"/>
    <w:rsid w:val="008122E2"/>
    <w:rsid w:val="00813BAC"/>
    <w:rsid w:val="00813CD4"/>
    <w:rsid w:val="00821472"/>
    <w:rsid w:val="00821B9D"/>
    <w:rsid w:val="00825487"/>
    <w:rsid w:val="00826200"/>
    <w:rsid w:val="00831BD5"/>
    <w:rsid w:val="00831EEF"/>
    <w:rsid w:val="008354B2"/>
    <w:rsid w:val="008404CE"/>
    <w:rsid w:val="0084101F"/>
    <w:rsid w:val="0084468C"/>
    <w:rsid w:val="00847035"/>
    <w:rsid w:val="008508D7"/>
    <w:rsid w:val="00852647"/>
    <w:rsid w:val="00854D25"/>
    <w:rsid w:val="008552A0"/>
    <w:rsid w:val="00860525"/>
    <w:rsid w:val="00862307"/>
    <w:rsid w:val="00862630"/>
    <w:rsid w:val="00863721"/>
    <w:rsid w:val="00864B9E"/>
    <w:rsid w:val="00865492"/>
    <w:rsid w:val="00865C9D"/>
    <w:rsid w:val="00867CB4"/>
    <w:rsid w:val="008708AB"/>
    <w:rsid w:val="0087101F"/>
    <w:rsid w:val="00873312"/>
    <w:rsid w:val="00873D40"/>
    <w:rsid w:val="00874A94"/>
    <w:rsid w:val="00874ED5"/>
    <w:rsid w:val="0087603A"/>
    <w:rsid w:val="00876233"/>
    <w:rsid w:val="008818C1"/>
    <w:rsid w:val="0088294C"/>
    <w:rsid w:val="00883CA5"/>
    <w:rsid w:val="00883CD0"/>
    <w:rsid w:val="00883E4D"/>
    <w:rsid w:val="008847EC"/>
    <w:rsid w:val="0088558E"/>
    <w:rsid w:val="00892B01"/>
    <w:rsid w:val="00895174"/>
    <w:rsid w:val="008A12E8"/>
    <w:rsid w:val="008A169D"/>
    <w:rsid w:val="008A1F18"/>
    <w:rsid w:val="008A2942"/>
    <w:rsid w:val="008A4E54"/>
    <w:rsid w:val="008A6EFA"/>
    <w:rsid w:val="008B2DCC"/>
    <w:rsid w:val="008B7151"/>
    <w:rsid w:val="008B7AB3"/>
    <w:rsid w:val="008C258E"/>
    <w:rsid w:val="008C4D41"/>
    <w:rsid w:val="008C4FF1"/>
    <w:rsid w:val="008C5B82"/>
    <w:rsid w:val="008C64DC"/>
    <w:rsid w:val="008C72A2"/>
    <w:rsid w:val="008D01C6"/>
    <w:rsid w:val="008D0886"/>
    <w:rsid w:val="008D2E06"/>
    <w:rsid w:val="008D2FB1"/>
    <w:rsid w:val="008D43C0"/>
    <w:rsid w:val="008D6082"/>
    <w:rsid w:val="008E31A6"/>
    <w:rsid w:val="008E4A6D"/>
    <w:rsid w:val="008E63DC"/>
    <w:rsid w:val="008F138D"/>
    <w:rsid w:val="008F243F"/>
    <w:rsid w:val="008F3908"/>
    <w:rsid w:val="008F3964"/>
    <w:rsid w:val="00900F22"/>
    <w:rsid w:val="009014B6"/>
    <w:rsid w:val="009058AF"/>
    <w:rsid w:val="0090674F"/>
    <w:rsid w:val="00910418"/>
    <w:rsid w:val="00912882"/>
    <w:rsid w:val="00912895"/>
    <w:rsid w:val="0091548C"/>
    <w:rsid w:val="00916BDE"/>
    <w:rsid w:val="00920911"/>
    <w:rsid w:val="009210DE"/>
    <w:rsid w:val="0092128B"/>
    <w:rsid w:val="00921EDE"/>
    <w:rsid w:val="00922663"/>
    <w:rsid w:val="00923132"/>
    <w:rsid w:val="009245EB"/>
    <w:rsid w:val="009250E4"/>
    <w:rsid w:val="0093262C"/>
    <w:rsid w:val="00936DE2"/>
    <w:rsid w:val="00943B87"/>
    <w:rsid w:val="00950A3A"/>
    <w:rsid w:val="00952C61"/>
    <w:rsid w:val="0096160F"/>
    <w:rsid w:val="00961A6A"/>
    <w:rsid w:val="0096351D"/>
    <w:rsid w:val="00965B80"/>
    <w:rsid w:val="00971D4E"/>
    <w:rsid w:val="0097323B"/>
    <w:rsid w:val="0097396D"/>
    <w:rsid w:val="00975580"/>
    <w:rsid w:val="00983197"/>
    <w:rsid w:val="00987A1E"/>
    <w:rsid w:val="00991524"/>
    <w:rsid w:val="009929ED"/>
    <w:rsid w:val="00993B6B"/>
    <w:rsid w:val="00995112"/>
    <w:rsid w:val="00995CD7"/>
    <w:rsid w:val="009A2C5C"/>
    <w:rsid w:val="009A56CF"/>
    <w:rsid w:val="009A6311"/>
    <w:rsid w:val="009B2CEA"/>
    <w:rsid w:val="009B38D0"/>
    <w:rsid w:val="009B7D6B"/>
    <w:rsid w:val="009C01BC"/>
    <w:rsid w:val="009C0C33"/>
    <w:rsid w:val="009C11C7"/>
    <w:rsid w:val="009C12C9"/>
    <w:rsid w:val="009C1CE7"/>
    <w:rsid w:val="009C1FDB"/>
    <w:rsid w:val="009C4862"/>
    <w:rsid w:val="009D4944"/>
    <w:rsid w:val="009D55F7"/>
    <w:rsid w:val="009D6BE1"/>
    <w:rsid w:val="009D7768"/>
    <w:rsid w:val="009E76BE"/>
    <w:rsid w:val="009E79BF"/>
    <w:rsid w:val="009F228F"/>
    <w:rsid w:val="009F3FE6"/>
    <w:rsid w:val="009F53AF"/>
    <w:rsid w:val="009F598D"/>
    <w:rsid w:val="009F655A"/>
    <w:rsid w:val="00A0063D"/>
    <w:rsid w:val="00A00E34"/>
    <w:rsid w:val="00A0216B"/>
    <w:rsid w:val="00A02F8A"/>
    <w:rsid w:val="00A060FA"/>
    <w:rsid w:val="00A06452"/>
    <w:rsid w:val="00A10257"/>
    <w:rsid w:val="00A14332"/>
    <w:rsid w:val="00A1547E"/>
    <w:rsid w:val="00A16332"/>
    <w:rsid w:val="00A206E7"/>
    <w:rsid w:val="00A26017"/>
    <w:rsid w:val="00A2787D"/>
    <w:rsid w:val="00A27D88"/>
    <w:rsid w:val="00A3016D"/>
    <w:rsid w:val="00A304D0"/>
    <w:rsid w:val="00A31305"/>
    <w:rsid w:val="00A3276E"/>
    <w:rsid w:val="00A35AA8"/>
    <w:rsid w:val="00A4000F"/>
    <w:rsid w:val="00A41DA5"/>
    <w:rsid w:val="00A41F33"/>
    <w:rsid w:val="00A455C2"/>
    <w:rsid w:val="00A4607D"/>
    <w:rsid w:val="00A47E48"/>
    <w:rsid w:val="00A53001"/>
    <w:rsid w:val="00A537E7"/>
    <w:rsid w:val="00A53EC9"/>
    <w:rsid w:val="00A55627"/>
    <w:rsid w:val="00A561A3"/>
    <w:rsid w:val="00A56773"/>
    <w:rsid w:val="00A6078E"/>
    <w:rsid w:val="00A6183A"/>
    <w:rsid w:val="00A651D6"/>
    <w:rsid w:val="00A65FAC"/>
    <w:rsid w:val="00A75AE5"/>
    <w:rsid w:val="00A774CB"/>
    <w:rsid w:val="00A804BB"/>
    <w:rsid w:val="00A813C4"/>
    <w:rsid w:val="00A82CA6"/>
    <w:rsid w:val="00A844D3"/>
    <w:rsid w:val="00A86D8A"/>
    <w:rsid w:val="00A8796D"/>
    <w:rsid w:val="00A87D9F"/>
    <w:rsid w:val="00A92440"/>
    <w:rsid w:val="00A93289"/>
    <w:rsid w:val="00A93B28"/>
    <w:rsid w:val="00A9428F"/>
    <w:rsid w:val="00A94C96"/>
    <w:rsid w:val="00A9621C"/>
    <w:rsid w:val="00A963D5"/>
    <w:rsid w:val="00AA4857"/>
    <w:rsid w:val="00AA670A"/>
    <w:rsid w:val="00AA79EC"/>
    <w:rsid w:val="00AB104D"/>
    <w:rsid w:val="00AB26D1"/>
    <w:rsid w:val="00AB3336"/>
    <w:rsid w:val="00AB396A"/>
    <w:rsid w:val="00AB464A"/>
    <w:rsid w:val="00AB5C82"/>
    <w:rsid w:val="00AB5E53"/>
    <w:rsid w:val="00AC03E1"/>
    <w:rsid w:val="00AC1D58"/>
    <w:rsid w:val="00AC38E8"/>
    <w:rsid w:val="00AD029B"/>
    <w:rsid w:val="00AD07AB"/>
    <w:rsid w:val="00AD0988"/>
    <w:rsid w:val="00AD0C73"/>
    <w:rsid w:val="00AD15C7"/>
    <w:rsid w:val="00AD1DA9"/>
    <w:rsid w:val="00AD4971"/>
    <w:rsid w:val="00AD55B9"/>
    <w:rsid w:val="00AE03CB"/>
    <w:rsid w:val="00AE1A2D"/>
    <w:rsid w:val="00AE39E3"/>
    <w:rsid w:val="00AE5347"/>
    <w:rsid w:val="00AE5542"/>
    <w:rsid w:val="00AE55F6"/>
    <w:rsid w:val="00AE56DB"/>
    <w:rsid w:val="00AE6929"/>
    <w:rsid w:val="00AF2077"/>
    <w:rsid w:val="00AF50C6"/>
    <w:rsid w:val="00AF58B2"/>
    <w:rsid w:val="00B01564"/>
    <w:rsid w:val="00B04A92"/>
    <w:rsid w:val="00B04CA9"/>
    <w:rsid w:val="00B06033"/>
    <w:rsid w:val="00B0656B"/>
    <w:rsid w:val="00B06884"/>
    <w:rsid w:val="00B06A3B"/>
    <w:rsid w:val="00B07E35"/>
    <w:rsid w:val="00B13C87"/>
    <w:rsid w:val="00B14230"/>
    <w:rsid w:val="00B16CDE"/>
    <w:rsid w:val="00B1710D"/>
    <w:rsid w:val="00B2057D"/>
    <w:rsid w:val="00B240FF"/>
    <w:rsid w:val="00B24F23"/>
    <w:rsid w:val="00B24FB5"/>
    <w:rsid w:val="00B30E65"/>
    <w:rsid w:val="00B32405"/>
    <w:rsid w:val="00B32510"/>
    <w:rsid w:val="00B36A68"/>
    <w:rsid w:val="00B36D5E"/>
    <w:rsid w:val="00B40176"/>
    <w:rsid w:val="00B401B4"/>
    <w:rsid w:val="00B404E2"/>
    <w:rsid w:val="00B44871"/>
    <w:rsid w:val="00B4521D"/>
    <w:rsid w:val="00B45B66"/>
    <w:rsid w:val="00B45F2B"/>
    <w:rsid w:val="00B50498"/>
    <w:rsid w:val="00B526A8"/>
    <w:rsid w:val="00B53EFA"/>
    <w:rsid w:val="00B55AC4"/>
    <w:rsid w:val="00B55FAB"/>
    <w:rsid w:val="00B5696C"/>
    <w:rsid w:val="00B61349"/>
    <w:rsid w:val="00B62478"/>
    <w:rsid w:val="00B65835"/>
    <w:rsid w:val="00B6734E"/>
    <w:rsid w:val="00B67852"/>
    <w:rsid w:val="00B751AC"/>
    <w:rsid w:val="00B77649"/>
    <w:rsid w:val="00B778A1"/>
    <w:rsid w:val="00B77F38"/>
    <w:rsid w:val="00B8188F"/>
    <w:rsid w:val="00B83D9D"/>
    <w:rsid w:val="00B84529"/>
    <w:rsid w:val="00B8518A"/>
    <w:rsid w:val="00B85D67"/>
    <w:rsid w:val="00B87B87"/>
    <w:rsid w:val="00B903B8"/>
    <w:rsid w:val="00B91806"/>
    <w:rsid w:val="00B91B73"/>
    <w:rsid w:val="00B929EB"/>
    <w:rsid w:val="00B930A4"/>
    <w:rsid w:val="00B9508E"/>
    <w:rsid w:val="00B9645B"/>
    <w:rsid w:val="00B969E8"/>
    <w:rsid w:val="00B96F7F"/>
    <w:rsid w:val="00BB2111"/>
    <w:rsid w:val="00BB2729"/>
    <w:rsid w:val="00BB2D20"/>
    <w:rsid w:val="00BB2D63"/>
    <w:rsid w:val="00BC593F"/>
    <w:rsid w:val="00BC689F"/>
    <w:rsid w:val="00BC7FD2"/>
    <w:rsid w:val="00BD01BB"/>
    <w:rsid w:val="00BD1CD8"/>
    <w:rsid w:val="00BE384C"/>
    <w:rsid w:val="00BE6199"/>
    <w:rsid w:val="00BE63B2"/>
    <w:rsid w:val="00BE6527"/>
    <w:rsid w:val="00BE6DB8"/>
    <w:rsid w:val="00BF42A1"/>
    <w:rsid w:val="00C00E91"/>
    <w:rsid w:val="00C01AEA"/>
    <w:rsid w:val="00C03AE7"/>
    <w:rsid w:val="00C0470D"/>
    <w:rsid w:val="00C04DE0"/>
    <w:rsid w:val="00C05D9D"/>
    <w:rsid w:val="00C106B9"/>
    <w:rsid w:val="00C1155C"/>
    <w:rsid w:val="00C11E6E"/>
    <w:rsid w:val="00C13158"/>
    <w:rsid w:val="00C261A6"/>
    <w:rsid w:val="00C27095"/>
    <w:rsid w:val="00C35592"/>
    <w:rsid w:val="00C356AF"/>
    <w:rsid w:val="00C3575F"/>
    <w:rsid w:val="00C41927"/>
    <w:rsid w:val="00C439D6"/>
    <w:rsid w:val="00C43FD9"/>
    <w:rsid w:val="00C44EB2"/>
    <w:rsid w:val="00C459CF"/>
    <w:rsid w:val="00C45D4A"/>
    <w:rsid w:val="00C46E50"/>
    <w:rsid w:val="00C47A5A"/>
    <w:rsid w:val="00C47A7A"/>
    <w:rsid w:val="00C47E8F"/>
    <w:rsid w:val="00C519C1"/>
    <w:rsid w:val="00C54FD1"/>
    <w:rsid w:val="00C60555"/>
    <w:rsid w:val="00C60915"/>
    <w:rsid w:val="00C62913"/>
    <w:rsid w:val="00C62E9A"/>
    <w:rsid w:val="00C65DE9"/>
    <w:rsid w:val="00C66D5F"/>
    <w:rsid w:val="00C67B7C"/>
    <w:rsid w:val="00C746C8"/>
    <w:rsid w:val="00C763B3"/>
    <w:rsid w:val="00C76E4C"/>
    <w:rsid w:val="00C91B21"/>
    <w:rsid w:val="00C954ED"/>
    <w:rsid w:val="00C964B8"/>
    <w:rsid w:val="00CA097E"/>
    <w:rsid w:val="00CA22C1"/>
    <w:rsid w:val="00CA3B58"/>
    <w:rsid w:val="00CA4671"/>
    <w:rsid w:val="00CA681A"/>
    <w:rsid w:val="00CA78F7"/>
    <w:rsid w:val="00CA7EBA"/>
    <w:rsid w:val="00CC0E06"/>
    <w:rsid w:val="00CC459D"/>
    <w:rsid w:val="00CC4E5F"/>
    <w:rsid w:val="00CC50AA"/>
    <w:rsid w:val="00CC6198"/>
    <w:rsid w:val="00CC6A2F"/>
    <w:rsid w:val="00CD1257"/>
    <w:rsid w:val="00CD4233"/>
    <w:rsid w:val="00CD5BC4"/>
    <w:rsid w:val="00CD5D8E"/>
    <w:rsid w:val="00CE04D9"/>
    <w:rsid w:val="00CE41B4"/>
    <w:rsid w:val="00CE70FC"/>
    <w:rsid w:val="00CF0214"/>
    <w:rsid w:val="00CF1030"/>
    <w:rsid w:val="00CF2311"/>
    <w:rsid w:val="00CF3412"/>
    <w:rsid w:val="00CF5A63"/>
    <w:rsid w:val="00D004CC"/>
    <w:rsid w:val="00D0066A"/>
    <w:rsid w:val="00D0135C"/>
    <w:rsid w:val="00D01670"/>
    <w:rsid w:val="00D03431"/>
    <w:rsid w:val="00D057CD"/>
    <w:rsid w:val="00D10CFF"/>
    <w:rsid w:val="00D1108D"/>
    <w:rsid w:val="00D13BBF"/>
    <w:rsid w:val="00D15249"/>
    <w:rsid w:val="00D152E7"/>
    <w:rsid w:val="00D1775A"/>
    <w:rsid w:val="00D21F91"/>
    <w:rsid w:val="00D2291E"/>
    <w:rsid w:val="00D23327"/>
    <w:rsid w:val="00D239EB"/>
    <w:rsid w:val="00D248E3"/>
    <w:rsid w:val="00D30519"/>
    <w:rsid w:val="00D3085E"/>
    <w:rsid w:val="00D314F1"/>
    <w:rsid w:val="00D31A73"/>
    <w:rsid w:val="00D37FEB"/>
    <w:rsid w:val="00D4230E"/>
    <w:rsid w:val="00D42A3E"/>
    <w:rsid w:val="00D42A90"/>
    <w:rsid w:val="00D44360"/>
    <w:rsid w:val="00D47036"/>
    <w:rsid w:val="00D50E72"/>
    <w:rsid w:val="00D50FFD"/>
    <w:rsid w:val="00D515D1"/>
    <w:rsid w:val="00D522A3"/>
    <w:rsid w:val="00D52ECF"/>
    <w:rsid w:val="00D54686"/>
    <w:rsid w:val="00D549B9"/>
    <w:rsid w:val="00D556DF"/>
    <w:rsid w:val="00D557EE"/>
    <w:rsid w:val="00D56058"/>
    <w:rsid w:val="00D57F4B"/>
    <w:rsid w:val="00D63A88"/>
    <w:rsid w:val="00D656AD"/>
    <w:rsid w:val="00D667BC"/>
    <w:rsid w:val="00D7084A"/>
    <w:rsid w:val="00D71D24"/>
    <w:rsid w:val="00D73901"/>
    <w:rsid w:val="00D74683"/>
    <w:rsid w:val="00D76E91"/>
    <w:rsid w:val="00D77C4A"/>
    <w:rsid w:val="00D848B3"/>
    <w:rsid w:val="00D8716A"/>
    <w:rsid w:val="00D872D1"/>
    <w:rsid w:val="00D92658"/>
    <w:rsid w:val="00D929D0"/>
    <w:rsid w:val="00D93B1A"/>
    <w:rsid w:val="00D94CDD"/>
    <w:rsid w:val="00D95722"/>
    <w:rsid w:val="00D967D3"/>
    <w:rsid w:val="00D97189"/>
    <w:rsid w:val="00DA0961"/>
    <w:rsid w:val="00DA0CB5"/>
    <w:rsid w:val="00DA5265"/>
    <w:rsid w:val="00DA550A"/>
    <w:rsid w:val="00DA6E61"/>
    <w:rsid w:val="00DA7351"/>
    <w:rsid w:val="00DB0273"/>
    <w:rsid w:val="00DB3817"/>
    <w:rsid w:val="00DB4809"/>
    <w:rsid w:val="00DB5E8F"/>
    <w:rsid w:val="00DB634B"/>
    <w:rsid w:val="00DC13AA"/>
    <w:rsid w:val="00DC1511"/>
    <w:rsid w:val="00DC208B"/>
    <w:rsid w:val="00DC4B65"/>
    <w:rsid w:val="00DC5FBF"/>
    <w:rsid w:val="00DC6AB8"/>
    <w:rsid w:val="00DC6EE3"/>
    <w:rsid w:val="00DC714F"/>
    <w:rsid w:val="00DC7C3E"/>
    <w:rsid w:val="00DD129E"/>
    <w:rsid w:val="00DD227B"/>
    <w:rsid w:val="00DD73F2"/>
    <w:rsid w:val="00DE082A"/>
    <w:rsid w:val="00DE30E0"/>
    <w:rsid w:val="00DE79E9"/>
    <w:rsid w:val="00DF1288"/>
    <w:rsid w:val="00DF731A"/>
    <w:rsid w:val="00E002D8"/>
    <w:rsid w:val="00E00BB5"/>
    <w:rsid w:val="00E0157A"/>
    <w:rsid w:val="00E0399C"/>
    <w:rsid w:val="00E0480C"/>
    <w:rsid w:val="00E0491F"/>
    <w:rsid w:val="00E103F9"/>
    <w:rsid w:val="00E11150"/>
    <w:rsid w:val="00E1277B"/>
    <w:rsid w:val="00E12A26"/>
    <w:rsid w:val="00E14384"/>
    <w:rsid w:val="00E14C9C"/>
    <w:rsid w:val="00E20421"/>
    <w:rsid w:val="00E20A17"/>
    <w:rsid w:val="00E22132"/>
    <w:rsid w:val="00E22BCE"/>
    <w:rsid w:val="00E266F1"/>
    <w:rsid w:val="00E26BDD"/>
    <w:rsid w:val="00E27AC5"/>
    <w:rsid w:val="00E3173B"/>
    <w:rsid w:val="00E326FF"/>
    <w:rsid w:val="00E34042"/>
    <w:rsid w:val="00E3435E"/>
    <w:rsid w:val="00E361B0"/>
    <w:rsid w:val="00E4051D"/>
    <w:rsid w:val="00E41D4A"/>
    <w:rsid w:val="00E46B4F"/>
    <w:rsid w:val="00E4752B"/>
    <w:rsid w:val="00E5011C"/>
    <w:rsid w:val="00E52267"/>
    <w:rsid w:val="00E62D98"/>
    <w:rsid w:val="00E62DB8"/>
    <w:rsid w:val="00E64563"/>
    <w:rsid w:val="00E647D2"/>
    <w:rsid w:val="00E677EF"/>
    <w:rsid w:val="00E71B20"/>
    <w:rsid w:val="00E726E8"/>
    <w:rsid w:val="00E7429B"/>
    <w:rsid w:val="00E74913"/>
    <w:rsid w:val="00E7507B"/>
    <w:rsid w:val="00E75BC9"/>
    <w:rsid w:val="00E776AD"/>
    <w:rsid w:val="00E77739"/>
    <w:rsid w:val="00E8028D"/>
    <w:rsid w:val="00E84370"/>
    <w:rsid w:val="00E859DF"/>
    <w:rsid w:val="00E86F20"/>
    <w:rsid w:val="00E87041"/>
    <w:rsid w:val="00E91434"/>
    <w:rsid w:val="00E95201"/>
    <w:rsid w:val="00E97C2F"/>
    <w:rsid w:val="00EA1807"/>
    <w:rsid w:val="00EA4947"/>
    <w:rsid w:val="00EA5762"/>
    <w:rsid w:val="00EA5B82"/>
    <w:rsid w:val="00EA6F54"/>
    <w:rsid w:val="00EB22EB"/>
    <w:rsid w:val="00EB6506"/>
    <w:rsid w:val="00EC0C41"/>
    <w:rsid w:val="00EC1594"/>
    <w:rsid w:val="00ED0519"/>
    <w:rsid w:val="00ED251A"/>
    <w:rsid w:val="00ED4AAD"/>
    <w:rsid w:val="00ED528D"/>
    <w:rsid w:val="00EE1FD9"/>
    <w:rsid w:val="00EE3755"/>
    <w:rsid w:val="00EE456B"/>
    <w:rsid w:val="00EE5110"/>
    <w:rsid w:val="00EE53A0"/>
    <w:rsid w:val="00EE5E3A"/>
    <w:rsid w:val="00EF1680"/>
    <w:rsid w:val="00F00C37"/>
    <w:rsid w:val="00F01383"/>
    <w:rsid w:val="00F034AC"/>
    <w:rsid w:val="00F04125"/>
    <w:rsid w:val="00F045E9"/>
    <w:rsid w:val="00F10ADA"/>
    <w:rsid w:val="00F10F73"/>
    <w:rsid w:val="00F13AFB"/>
    <w:rsid w:val="00F14419"/>
    <w:rsid w:val="00F14F6D"/>
    <w:rsid w:val="00F160D2"/>
    <w:rsid w:val="00F20607"/>
    <w:rsid w:val="00F21798"/>
    <w:rsid w:val="00F23638"/>
    <w:rsid w:val="00F23934"/>
    <w:rsid w:val="00F23FB7"/>
    <w:rsid w:val="00F258BF"/>
    <w:rsid w:val="00F2633E"/>
    <w:rsid w:val="00F3580F"/>
    <w:rsid w:val="00F368B4"/>
    <w:rsid w:val="00F40B8C"/>
    <w:rsid w:val="00F434D1"/>
    <w:rsid w:val="00F4352E"/>
    <w:rsid w:val="00F4431C"/>
    <w:rsid w:val="00F46B9E"/>
    <w:rsid w:val="00F4748D"/>
    <w:rsid w:val="00F475F3"/>
    <w:rsid w:val="00F50115"/>
    <w:rsid w:val="00F54BA5"/>
    <w:rsid w:val="00F55DBE"/>
    <w:rsid w:val="00F605CC"/>
    <w:rsid w:val="00F6065A"/>
    <w:rsid w:val="00F6101E"/>
    <w:rsid w:val="00F612B3"/>
    <w:rsid w:val="00F617C8"/>
    <w:rsid w:val="00F6376B"/>
    <w:rsid w:val="00F667F9"/>
    <w:rsid w:val="00F66F0E"/>
    <w:rsid w:val="00F6721C"/>
    <w:rsid w:val="00F7064A"/>
    <w:rsid w:val="00F71812"/>
    <w:rsid w:val="00F72BF7"/>
    <w:rsid w:val="00F747AD"/>
    <w:rsid w:val="00F753DB"/>
    <w:rsid w:val="00F76E9E"/>
    <w:rsid w:val="00F778D6"/>
    <w:rsid w:val="00F815E0"/>
    <w:rsid w:val="00F84805"/>
    <w:rsid w:val="00F8498F"/>
    <w:rsid w:val="00F900B1"/>
    <w:rsid w:val="00F942CA"/>
    <w:rsid w:val="00F9452C"/>
    <w:rsid w:val="00F96B88"/>
    <w:rsid w:val="00FA055C"/>
    <w:rsid w:val="00FA0DC0"/>
    <w:rsid w:val="00FA1349"/>
    <w:rsid w:val="00FA2305"/>
    <w:rsid w:val="00FB0D37"/>
    <w:rsid w:val="00FB7206"/>
    <w:rsid w:val="00FC1D72"/>
    <w:rsid w:val="00FC5027"/>
    <w:rsid w:val="00FC5496"/>
    <w:rsid w:val="00FC5912"/>
    <w:rsid w:val="00FC7466"/>
    <w:rsid w:val="00FC7712"/>
    <w:rsid w:val="00FE060B"/>
    <w:rsid w:val="00FE0C27"/>
    <w:rsid w:val="00FE4269"/>
    <w:rsid w:val="00FE5577"/>
    <w:rsid w:val="00FE6382"/>
    <w:rsid w:val="00FF188A"/>
    <w:rsid w:val="00FF191E"/>
    <w:rsid w:val="00FF34CA"/>
    <w:rsid w:val="00FF6080"/>
    <w:rsid w:val="00FF6F7A"/>
    <w:rsid w:val="00FF7BC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3713"/>
    <o:shapelayout v:ext="edit">
      <o:idmap v:ext="edit" data="1"/>
    </o:shapelayout>
  </w:shapeDefaults>
  <w:decimalSymbol w:val="."/>
  <w:listSeparator w:val=","/>
  <w15:docId w15:val="{83CBA5D6-2C1C-48AA-8A44-DD73CAAD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qFormat/>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BE6527"/>
    <w:pPr>
      <w:numPr>
        <w:numId w:val="31"/>
      </w:numPr>
    </w:pPr>
  </w:style>
  <w:style w:type="paragraph" w:customStyle="1" w:styleId="Titlelevel2">
    <w:name w:val="Title level 2"/>
    <w:qFormat/>
    <w:rsid w:val="000C29A3"/>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03502D"/>
    <w:pPr>
      <w:keepNext/>
      <w:spacing w:before="0" w:after="8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03502D"/>
    <w:pPr>
      <w:spacing w:before="80" w:after="0" w:line="200" w:lineRule="exact"/>
      <w:jc w:val="left"/>
    </w:pPr>
    <w:rPr>
      <w:sz w:val="18"/>
      <w:szCs w:val="18"/>
    </w:rPr>
  </w:style>
  <w:style w:type="character" w:customStyle="1" w:styleId="FootnoteTextChar">
    <w:name w:val="Footnote Text Char"/>
    <w:basedOn w:val="DefaultParagraphFont"/>
    <w:link w:val="FootnoteText"/>
    <w:rsid w:val="0003502D"/>
    <w:rPr>
      <w:sz w:val="18"/>
      <w:szCs w:val="18"/>
    </w:rPr>
  </w:style>
  <w:style w:type="character" w:styleId="FootnoteReference">
    <w:name w:val="footnote reference"/>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BE6527"/>
    <w:pPr>
      <w:numPr>
        <w:ilvl w:val="1"/>
        <w:numId w:val="31"/>
      </w:numPr>
      <w:ind w:left="510" w:hanging="510"/>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BE6527"/>
    <w:pPr>
      <w:numPr>
        <w:ilvl w:val="2"/>
        <w:numId w:val="31"/>
      </w:numPr>
      <w:ind w:left="680" w:hanging="680"/>
    </w:pPr>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rsid w:val="00392385"/>
    <w:rPr>
      <w:color w:val="2F5773" w:themeColor="hyperlink"/>
      <w:u w:val="single"/>
    </w:rPr>
  </w:style>
  <w:style w:type="paragraph" w:customStyle="1" w:styleId="numberedparagraph">
    <w:name w:val="numbered paragraph"/>
    <w:basedOn w:val="body"/>
    <w:link w:val="numberedparagraphChar"/>
    <w:qFormat/>
    <w:rsid w:val="00E22BCE"/>
    <w:pPr>
      <w:numPr>
        <w:numId w:val="8"/>
      </w:numPr>
      <w:tabs>
        <w:tab w:val="clear" w:pos="2695"/>
        <w:tab w:val="num" w:pos="284"/>
      </w:tabs>
      <w:ind w:left="284"/>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Title3">
    <w:name w:val="Title 3"/>
    <w:basedOn w:val="Normal"/>
    <w:link w:val="Title3Char"/>
    <w:qFormat/>
    <w:rsid w:val="007E428E"/>
    <w:pPr>
      <w:spacing w:after="240"/>
      <w:ind w:left="425"/>
    </w:pPr>
    <w:rPr>
      <w:rFonts w:ascii="Arial" w:eastAsia="Times New Roman" w:hAnsi="Arial" w:cs="Times New Roman"/>
      <w:i/>
      <w:color w:val="000000"/>
      <w:szCs w:val="22"/>
      <w:lang w:eastAsia="en-GB"/>
    </w:rPr>
  </w:style>
  <w:style w:type="character" w:customStyle="1" w:styleId="Title3Char">
    <w:name w:val="Title 3 Char"/>
    <w:basedOn w:val="DefaultParagraphFont"/>
    <w:link w:val="Title3"/>
    <w:rsid w:val="007E428E"/>
    <w:rPr>
      <w:rFonts w:ascii="Arial" w:eastAsia="Times New Roman" w:hAnsi="Arial" w:cs="Times New Roman"/>
      <w:i/>
      <w:color w:val="000000"/>
      <w:sz w:val="22"/>
      <w:szCs w:val="22"/>
      <w:lang w:val="en-GB" w:eastAsia="en-GB"/>
    </w:rPr>
  </w:style>
  <w:style w:type="paragraph" w:styleId="ListParagraph">
    <w:name w:val="List Paragraph"/>
    <w:basedOn w:val="Normal"/>
    <w:uiPriority w:val="34"/>
    <w:semiHidden/>
    <w:qFormat/>
    <w:rsid w:val="0017676B"/>
    <w:pPr>
      <w:ind w:left="720"/>
      <w:contextualSpacing/>
    </w:pPr>
  </w:style>
  <w:style w:type="paragraph" w:customStyle="1" w:styleId="BodyText">
    <w:name w:val="BodyText"/>
    <w:basedOn w:val="Normal"/>
    <w:link w:val="BodyTextChar"/>
    <w:qFormat/>
    <w:rsid w:val="001A236F"/>
    <w:pPr>
      <w:spacing w:after="240"/>
      <w:ind w:left="425"/>
    </w:pPr>
    <w:rPr>
      <w:rFonts w:ascii="Arial" w:eastAsia="Times New Roman" w:hAnsi="Arial" w:cs="Times New Roman"/>
      <w:color w:val="000000"/>
      <w:szCs w:val="22"/>
      <w:lang w:eastAsia="en-GB"/>
    </w:rPr>
  </w:style>
  <w:style w:type="character" w:customStyle="1" w:styleId="BodyTextChar">
    <w:name w:val="BodyText Char"/>
    <w:basedOn w:val="DefaultParagraphFont"/>
    <w:link w:val="BodyText"/>
    <w:rsid w:val="001A236F"/>
    <w:rPr>
      <w:rFonts w:ascii="Arial" w:eastAsia="Times New Roman" w:hAnsi="Arial" w:cs="Times New Roman"/>
      <w:color w:val="000000"/>
      <w:sz w:val="22"/>
      <w:szCs w:val="22"/>
      <w:lang w:val="en-GB" w:eastAsia="en-GB"/>
    </w:rPr>
  </w:style>
  <w:style w:type="paragraph" w:customStyle="1" w:styleId="Bullet10">
    <w:name w:val="Bullet 1"/>
    <w:basedOn w:val="Normal"/>
    <w:link w:val="Bullet1Car"/>
    <w:qFormat/>
    <w:rsid w:val="001A236F"/>
    <w:pPr>
      <w:numPr>
        <w:numId w:val="32"/>
      </w:numPr>
      <w:tabs>
        <w:tab w:val="clear" w:pos="432"/>
      </w:tabs>
      <w:spacing w:after="260" w:line="260" w:lineRule="exact"/>
      <w:ind w:left="1134" w:hanging="290"/>
      <w:jc w:val="both"/>
    </w:pPr>
    <w:rPr>
      <w:rFonts w:ascii="Arial" w:eastAsia="Times New Roman" w:hAnsi="Arial" w:cs="Times New Roman"/>
      <w:color w:val="000000"/>
      <w:szCs w:val="20"/>
    </w:rPr>
  </w:style>
  <w:style w:type="character" w:customStyle="1" w:styleId="Bullet1Car">
    <w:name w:val="Bullet 1 Car"/>
    <w:basedOn w:val="DefaultParagraphFont"/>
    <w:link w:val="Bullet10"/>
    <w:rsid w:val="001A236F"/>
    <w:rPr>
      <w:rFonts w:ascii="Arial" w:eastAsia="Times New Roman" w:hAnsi="Arial" w:cs="Times New Roman"/>
      <w:color w:val="000000"/>
      <w:sz w:val="22"/>
      <w:szCs w:val="20"/>
      <w:lang w:val="en-GB"/>
    </w:rPr>
  </w:style>
  <w:style w:type="paragraph" w:customStyle="1" w:styleId="Bullet1left">
    <w:name w:val="Bullet 1 left"/>
    <w:basedOn w:val="Bullet10"/>
    <w:link w:val="Bullet1leftChar"/>
    <w:qFormat/>
    <w:rsid w:val="00240789"/>
    <w:pPr>
      <w:numPr>
        <w:numId w:val="0"/>
      </w:numPr>
      <w:tabs>
        <w:tab w:val="num" w:pos="284"/>
      </w:tabs>
      <w:ind w:left="851" w:hanging="290"/>
    </w:pPr>
  </w:style>
  <w:style w:type="character" w:customStyle="1" w:styleId="Bullet1leftChar">
    <w:name w:val="Bullet 1 left Char"/>
    <w:basedOn w:val="Bullet1Car"/>
    <w:link w:val="Bullet1left"/>
    <w:rsid w:val="00240789"/>
    <w:rPr>
      <w:rFonts w:ascii="Arial" w:eastAsia="Times New Roman" w:hAnsi="Arial" w:cs="Times New Roman"/>
      <w:color w:val="000000"/>
      <w:sz w:val="22"/>
      <w:szCs w:val="20"/>
      <w:lang w:val="en-GB"/>
    </w:rPr>
  </w:style>
  <w:style w:type="paragraph" w:customStyle="1" w:styleId="Paragraph">
    <w:name w:val="Paragraph"/>
    <w:basedOn w:val="Normal"/>
    <w:link w:val="ParagraphChar"/>
    <w:qFormat/>
    <w:rsid w:val="00AE39E3"/>
    <w:pPr>
      <w:numPr>
        <w:numId w:val="34"/>
      </w:numPr>
      <w:spacing w:after="240"/>
      <w:jc w:val="both"/>
    </w:pPr>
    <w:rPr>
      <w:rFonts w:ascii="Arial" w:eastAsia="Times New Roman" w:hAnsi="Arial" w:cs="Arial"/>
      <w:color w:val="000000"/>
      <w:szCs w:val="22"/>
      <w:lang w:eastAsia="en-GB"/>
    </w:rPr>
  </w:style>
  <w:style w:type="character" w:customStyle="1" w:styleId="ParagraphChar">
    <w:name w:val="Paragraph Char"/>
    <w:basedOn w:val="DefaultParagraphFont"/>
    <w:link w:val="Paragraph"/>
    <w:rsid w:val="00892B01"/>
    <w:rPr>
      <w:rFonts w:ascii="Arial" w:eastAsia="Times New Roman" w:hAnsi="Arial" w:cs="Arial"/>
      <w:color w:val="000000"/>
      <w:sz w:val="22"/>
      <w:szCs w:val="22"/>
      <w:lang w:val="en-GB" w:eastAsia="en-GB"/>
    </w:rPr>
  </w:style>
  <w:style w:type="paragraph" w:customStyle="1" w:styleId="BodyText1">
    <w:name w:val="Body Text1"/>
    <w:basedOn w:val="Normal"/>
    <w:qFormat/>
    <w:rsid w:val="00892B01"/>
    <w:pPr>
      <w:tabs>
        <w:tab w:val="left" w:pos="0"/>
      </w:tabs>
      <w:spacing w:line="300" w:lineRule="exact"/>
      <w:jc w:val="both"/>
    </w:pPr>
    <w:rPr>
      <w:rFonts w:ascii="Arial" w:eastAsia="Times New Roman" w:hAnsi="Arial" w:cs="Times New Roman"/>
      <w:color w:val="000000"/>
      <w:sz w:val="20"/>
      <w:szCs w:val="20"/>
    </w:rPr>
  </w:style>
  <w:style w:type="paragraph" w:styleId="Caption">
    <w:name w:val="caption"/>
    <w:basedOn w:val="Normal"/>
    <w:next w:val="Normal"/>
    <w:uiPriority w:val="35"/>
    <w:semiHidden/>
    <w:qFormat/>
    <w:rsid w:val="0041788D"/>
    <w:pPr>
      <w:spacing w:after="200"/>
    </w:pPr>
    <w:rPr>
      <w:b/>
      <w:bCs/>
      <w:color w:val="2F5773" w:themeColor="accent1"/>
      <w:sz w:val="18"/>
      <w:szCs w:val="18"/>
    </w:rPr>
  </w:style>
  <w:style w:type="paragraph" w:customStyle="1" w:styleId="Title1sinnumerar">
    <w:name w:val="Title 1 sin numerar"/>
    <w:basedOn w:val="Normal"/>
    <w:link w:val="Title1sinnumerarCar"/>
    <w:qFormat/>
    <w:rsid w:val="00A774CB"/>
    <w:pPr>
      <w:spacing w:before="120" w:after="240"/>
      <w:ind w:left="425"/>
      <w:jc w:val="both"/>
    </w:pPr>
    <w:rPr>
      <w:rFonts w:ascii="Arial" w:eastAsia="Times New Roman" w:hAnsi="Arial" w:cs="Arial"/>
      <w:b/>
      <w:color w:val="000000"/>
      <w:sz w:val="28"/>
      <w:szCs w:val="22"/>
      <w:lang w:eastAsia="en-GB"/>
    </w:rPr>
  </w:style>
  <w:style w:type="character" w:customStyle="1" w:styleId="Title1sinnumerarCar">
    <w:name w:val="Title 1 sin numerar Car"/>
    <w:basedOn w:val="DefaultParagraphFont"/>
    <w:link w:val="Title1sinnumerar"/>
    <w:rsid w:val="00A774CB"/>
    <w:rPr>
      <w:rFonts w:ascii="Arial" w:eastAsia="Times New Roman" w:hAnsi="Arial" w:cs="Arial"/>
      <w:b/>
      <w:color w:val="000000"/>
      <w:sz w:val="28"/>
      <w:szCs w:val="22"/>
      <w:lang w:val="en-GB" w:eastAsia="en-GB"/>
    </w:rPr>
  </w:style>
  <w:style w:type="character" w:styleId="CommentReference">
    <w:name w:val="annotation reference"/>
    <w:basedOn w:val="DefaultParagraphFont"/>
    <w:uiPriority w:val="99"/>
    <w:semiHidden/>
    <w:rsid w:val="00232CB9"/>
    <w:rPr>
      <w:sz w:val="16"/>
      <w:szCs w:val="16"/>
    </w:rPr>
  </w:style>
  <w:style w:type="paragraph" w:styleId="CommentText">
    <w:name w:val="annotation text"/>
    <w:basedOn w:val="Normal"/>
    <w:link w:val="CommentTextChar"/>
    <w:uiPriority w:val="99"/>
    <w:semiHidden/>
    <w:rsid w:val="00232CB9"/>
    <w:rPr>
      <w:sz w:val="20"/>
      <w:szCs w:val="20"/>
    </w:rPr>
  </w:style>
  <w:style w:type="character" w:customStyle="1" w:styleId="CommentTextChar">
    <w:name w:val="Comment Text Char"/>
    <w:basedOn w:val="DefaultParagraphFont"/>
    <w:link w:val="CommentText"/>
    <w:uiPriority w:val="99"/>
    <w:semiHidden/>
    <w:rsid w:val="00232CB9"/>
    <w:rPr>
      <w:sz w:val="20"/>
      <w:szCs w:val="20"/>
      <w:lang w:val="en-GB"/>
    </w:rPr>
  </w:style>
  <w:style w:type="paragraph" w:styleId="CommentSubject">
    <w:name w:val="annotation subject"/>
    <w:basedOn w:val="CommentText"/>
    <w:next w:val="CommentText"/>
    <w:link w:val="CommentSubjectChar"/>
    <w:uiPriority w:val="99"/>
    <w:semiHidden/>
    <w:rsid w:val="00232CB9"/>
    <w:rPr>
      <w:b/>
      <w:bCs/>
    </w:rPr>
  </w:style>
  <w:style w:type="character" w:customStyle="1" w:styleId="CommentSubjectChar">
    <w:name w:val="Comment Subject Char"/>
    <w:basedOn w:val="CommentTextChar"/>
    <w:link w:val="CommentSubject"/>
    <w:uiPriority w:val="99"/>
    <w:semiHidden/>
    <w:rsid w:val="00232CB9"/>
    <w:rPr>
      <w:b/>
      <w:bCs/>
      <w:sz w:val="20"/>
      <w:szCs w:val="20"/>
      <w:lang w:val="en-GB"/>
    </w:rPr>
  </w:style>
  <w:style w:type="paragraph" w:styleId="Revision">
    <w:name w:val="Revision"/>
    <w:hidden/>
    <w:uiPriority w:val="99"/>
    <w:semiHidden/>
    <w:rsid w:val="008C4FF1"/>
    <w:rPr>
      <w:sz w:val="22"/>
      <w:lang w:val="en-GB"/>
    </w:rPr>
  </w:style>
  <w:style w:type="character" w:customStyle="1" w:styleId="numberedparagraphChar">
    <w:name w:val="numbered paragraph Char"/>
    <w:basedOn w:val="DefaultParagraphFont"/>
    <w:link w:val="numberedparagraph"/>
    <w:rsid w:val="007D46E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231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871842489">
      <w:bodyDiv w:val="1"/>
      <w:marLeft w:val="0"/>
      <w:marRight w:val="0"/>
      <w:marTop w:val="0"/>
      <w:marBottom w:val="0"/>
      <w:divBdr>
        <w:top w:val="none" w:sz="0" w:space="0" w:color="auto"/>
        <w:left w:val="none" w:sz="0" w:space="0" w:color="auto"/>
        <w:bottom w:val="none" w:sz="0" w:space="0" w:color="auto"/>
        <w:right w:val="none" w:sz="0" w:space="0" w:color="auto"/>
      </w:divBdr>
    </w:div>
    <w:div w:id="1967663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39" Type="http://schemas.openxmlformats.org/officeDocument/2006/relationships/chart" Target="charts/chart1.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8.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header" Target="header16.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chart" Target="charts/chart2.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ebvpr-fs02\EBA\Standing%20Committees\Regulation%20and%20Policy\Sub%20Groups\NW%20on%20ECAIs\Individual%20exercises%202014\Axesor\Column%20chart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bvpr-fs02\EBA\Standing%20Committees\Regulation%20and%20Policy\Sub%20Groups\NW%20on%20ECAIs\Individual%20exercises%202014\Axesor\Column%20chart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percentStacked"/>
        <c:varyColors val="0"/>
        <c:ser>
          <c:idx val="0"/>
          <c:order val="0"/>
          <c:tx>
            <c:strRef>
              <c:f>'Becnh distrib'!$B$1</c:f>
              <c:strCache>
                <c:ptCount val="1"/>
                <c:pt idx="0">
                  <c:v>AAA</c:v>
                </c:pt>
              </c:strCache>
            </c:strRef>
          </c:tx>
          <c:invertIfNegative val="0"/>
          <c:cat>
            <c:numRef>
              <c:f>'Becnh distrib'!$A$2:$A$4</c:f>
              <c:numCache>
                <c:formatCode>General</c:formatCode>
                <c:ptCount val="3"/>
                <c:pt idx="0">
                  <c:v>2006</c:v>
                </c:pt>
                <c:pt idx="1">
                  <c:v>2007</c:v>
                </c:pt>
                <c:pt idx="2">
                  <c:v>2008</c:v>
                </c:pt>
              </c:numCache>
            </c:numRef>
          </c:cat>
          <c:val>
            <c:numRef>
              <c:f>'Becnh distrib'!$B$2:$B$4</c:f>
              <c:numCache>
                <c:formatCode>0</c:formatCode>
                <c:ptCount val="3"/>
                <c:pt idx="0">
                  <c:v>0</c:v>
                </c:pt>
                <c:pt idx="1">
                  <c:v>0</c:v>
                </c:pt>
                <c:pt idx="2">
                  <c:v>0</c:v>
                </c:pt>
              </c:numCache>
            </c:numRef>
          </c:val>
          <c:extLst>
            <c:ext xmlns:c16="http://schemas.microsoft.com/office/drawing/2014/chart" uri="{C3380CC4-5D6E-409C-BE32-E72D297353CC}">
              <c16:uniqueId val="{00000000-E479-4EEA-B7FC-98D00126F2D8}"/>
            </c:ext>
          </c:extLst>
        </c:ser>
        <c:ser>
          <c:idx val="1"/>
          <c:order val="1"/>
          <c:tx>
            <c:strRef>
              <c:f>'Becnh distrib'!$C$1</c:f>
              <c:strCache>
                <c:ptCount val="1"/>
                <c:pt idx="0">
                  <c:v>AA</c:v>
                </c:pt>
              </c:strCache>
            </c:strRef>
          </c:tx>
          <c:invertIfNegative val="0"/>
          <c:cat>
            <c:numRef>
              <c:f>'Becnh distrib'!$A$2:$A$4</c:f>
              <c:numCache>
                <c:formatCode>General</c:formatCode>
                <c:ptCount val="3"/>
                <c:pt idx="0">
                  <c:v>2006</c:v>
                </c:pt>
                <c:pt idx="1">
                  <c:v>2007</c:v>
                </c:pt>
                <c:pt idx="2">
                  <c:v>2008</c:v>
                </c:pt>
              </c:numCache>
            </c:numRef>
          </c:cat>
          <c:val>
            <c:numRef>
              <c:f>'Becnh distrib'!$C$2:$C$4</c:f>
              <c:numCache>
                <c:formatCode>0</c:formatCode>
                <c:ptCount val="3"/>
                <c:pt idx="0">
                  <c:v>0</c:v>
                </c:pt>
                <c:pt idx="1">
                  <c:v>0</c:v>
                </c:pt>
                <c:pt idx="2">
                  <c:v>0</c:v>
                </c:pt>
              </c:numCache>
            </c:numRef>
          </c:val>
          <c:extLst>
            <c:ext xmlns:c16="http://schemas.microsoft.com/office/drawing/2014/chart" uri="{C3380CC4-5D6E-409C-BE32-E72D297353CC}">
              <c16:uniqueId val="{00000001-E479-4EEA-B7FC-98D00126F2D8}"/>
            </c:ext>
          </c:extLst>
        </c:ser>
        <c:ser>
          <c:idx val="2"/>
          <c:order val="2"/>
          <c:tx>
            <c:strRef>
              <c:f>'Becnh distrib'!$D$1</c:f>
              <c:strCache>
                <c:ptCount val="1"/>
                <c:pt idx="0">
                  <c:v>A</c:v>
                </c:pt>
              </c:strCache>
            </c:strRef>
          </c:tx>
          <c:invertIfNegative val="0"/>
          <c:cat>
            <c:numRef>
              <c:f>'Becnh distrib'!$A$2:$A$4</c:f>
              <c:numCache>
                <c:formatCode>General</c:formatCode>
                <c:ptCount val="3"/>
                <c:pt idx="0">
                  <c:v>2006</c:v>
                </c:pt>
                <c:pt idx="1">
                  <c:v>2007</c:v>
                </c:pt>
                <c:pt idx="2">
                  <c:v>2008</c:v>
                </c:pt>
              </c:numCache>
            </c:numRef>
          </c:cat>
          <c:val>
            <c:numRef>
              <c:f>'Becnh distrib'!$D$2:$D$4</c:f>
              <c:numCache>
                <c:formatCode>0</c:formatCode>
                <c:ptCount val="3"/>
                <c:pt idx="0">
                  <c:v>52.363636363636367</c:v>
                </c:pt>
                <c:pt idx="1">
                  <c:v>33.522727272727273</c:v>
                </c:pt>
                <c:pt idx="2">
                  <c:v>62.88636363636364</c:v>
                </c:pt>
              </c:numCache>
            </c:numRef>
          </c:val>
          <c:extLst>
            <c:ext xmlns:c16="http://schemas.microsoft.com/office/drawing/2014/chart" uri="{C3380CC4-5D6E-409C-BE32-E72D297353CC}">
              <c16:uniqueId val="{00000002-E479-4EEA-B7FC-98D00126F2D8}"/>
            </c:ext>
          </c:extLst>
        </c:ser>
        <c:ser>
          <c:idx val="3"/>
          <c:order val="3"/>
          <c:tx>
            <c:strRef>
              <c:f>'Becnh distrib'!$E$1</c:f>
              <c:strCache>
                <c:ptCount val="1"/>
                <c:pt idx="0">
                  <c:v>BBB</c:v>
                </c:pt>
              </c:strCache>
            </c:strRef>
          </c:tx>
          <c:invertIfNegative val="0"/>
          <c:cat>
            <c:numRef>
              <c:f>'Becnh distrib'!$A$2:$A$4</c:f>
              <c:numCache>
                <c:formatCode>General</c:formatCode>
                <c:ptCount val="3"/>
                <c:pt idx="0">
                  <c:v>2006</c:v>
                </c:pt>
                <c:pt idx="1">
                  <c:v>2007</c:v>
                </c:pt>
                <c:pt idx="2">
                  <c:v>2008</c:v>
                </c:pt>
              </c:numCache>
            </c:numRef>
          </c:cat>
          <c:val>
            <c:numRef>
              <c:f>'Becnh distrib'!$E$2:$E$4</c:f>
              <c:numCache>
                <c:formatCode>0</c:formatCode>
                <c:ptCount val="3"/>
                <c:pt idx="0">
                  <c:v>72.461038961038966</c:v>
                </c:pt>
                <c:pt idx="1">
                  <c:v>48.04220779220779</c:v>
                </c:pt>
                <c:pt idx="2">
                  <c:v>104.13636363636364</c:v>
                </c:pt>
              </c:numCache>
            </c:numRef>
          </c:val>
          <c:extLst>
            <c:ext xmlns:c16="http://schemas.microsoft.com/office/drawing/2014/chart" uri="{C3380CC4-5D6E-409C-BE32-E72D297353CC}">
              <c16:uniqueId val="{00000003-E479-4EEA-B7FC-98D00126F2D8}"/>
            </c:ext>
          </c:extLst>
        </c:ser>
        <c:ser>
          <c:idx val="4"/>
          <c:order val="4"/>
          <c:tx>
            <c:strRef>
              <c:f>'Becnh distrib'!$F$1</c:f>
              <c:strCache>
                <c:ptCount val="1"/>
                <c:pt idx="0">
                  <c:v>BB</c:v>
                </c:pt>
              </c:strCache>
            </c:strRef>
          </c:tx>
          <c:invertIfNegative val="0"/>
          <c:cat>
            <c:numRef>
              <c:f>'Becnh distrib'!$A$2:$A$4</c:f>
              <c:numCache>
                <c:formatCode>General</c:formatCode>
                <c:ptCount val="3"/>
                <c:pt idx="0">
                  <c:v>2006</c:v>
                </c:pt>
                <c:pt idx="1">
                  <c:v>2007</c:v>
                </c:pt>
                <c:pt idx="2">
                  <c:v>2008</c:v>
                </c:pt>
              </c:numCache>
            </c:numRef>
          </c:cat>
          <c:val>
            <c:numRef>
              <c:f>'Becnh distrib'!$F$2:$F$4</c:f>
              <c:numCache>
                <c:formatCode>0</c:formatCode>
                <c:ptCount val="3"/>
                <c:pt idx="0">
                  <c:v>242.38311688311686</c:v>
                </c:pt>
                <c:pt idx="1">
                  <c:v>201.56709956709955</c:v>
                </c:pt>
                <c:pt idx="2">
                  <c:v>413.40340909090912</c:v>
                </c:pt>
              </c:numCache>
            </c:numRef>
          </c:val>
          <c:extLst>
            <c:ext xmlns:c16="http://schemas.microsoft.com/office/drawing/2014/chart" uri="{C3380CC4-5D6E-409C-BE32-E72D297353CC}">
              <c16:uniqueId val="{00000004-E479-4EEA-B7FC-98D00126F2D8}"/>
            </c:ext>
          </c:extLst>
        </c:ser>
        <c:ser>
          <c:idx val="5"/>
          <c:order val="5"/>
          <c:tx>
            <c:strRef>
              <c:f>'Becnh distrib'!$G$1</c:f>
              <c:strCache>
                <c:ptCount val="1"/>
                <c:pt idx="0">
                  <c:v>B</c:v>
                </c:pt>
              </c:strCache>
            </c:strRef>
          </c:tx>
          <c:invertIfNegative val="0"/>
          <c:cat>
            <c:numRef>
              <c:f>'Becnh distrib'!$A$2:$A$4</c:f>
              <c:numCache>
                <c:formatCode>General</c:formatCode>
                <c:ptCount val="3"/>
                <c:pt idx="0">
                  <c:v>2006</c:v>
                </c:pt>
                <c:pt idx="1">
                  <c:v>2007</c:v>
                </c:pt>
                <c:pt idx="2">
                  <c:v>2008</c:v>
                </c:pt>
              </c:numCache>
            </c:numRef>
          </c:cat>
          <c:val>
            <c:numRef>
              <c:f>'Becnh distrib'!$G$2:$G$4</c:f>
              <c:numCache>
                <c:formatCode>0</c:formatCode>
                <c:ptCount val="3"/>
                <c:pt idx="0">
                  <c:v>185.79826839826839</c:v>
                </c:pt>
                <c:pt idx="1">
                  <c:v>184.54751082251082</c:v>
                </c:pt>
                <c:pt idx="2">
                  <c:v>355.219696969697</c:v>
                </c:pt>
              </c:numCache>
            </c:numRef>
          </c:val>
          <c:extLst>
            <c:ext xmlns:c16="http://schemas.microsoft.com/office/drawing/2014/chart" uri="{C3380CC4-5D6E-409C-BE32-E72D297353CC}">
              <c16:uniqueId val="{00000005-E479-4EEA-B7FC-98D00126F2D8}"/>
            </c:ext>
          </c:extLst>
        </c:ser>
        <c:ser>
          <c:idx val="6"/>
          <c:order val="6"/>
          <c:tx>
            <c:strRef>
              <c:f>'Becnh distrib'!$H$1</c:f>
              <c:strCache>
                <c:ptCount val="1"/>
                <c:pt idx="0">
                  <c:v>CCC</c:v>
                </c:pt>
              </c:strCache>
            </c:strRef>
          </c:tx>
          <c:invertIfNegative val="0"/>
          <c:cat>
            <c:numRef>
              <c:f>'Becnh distrib'!$A$2:$A$4</c:f>
              <c:numCache>
                <c:formatCode>General</c:formatCode>
                <c:ptCount val="3"/>
                <c:pt idx="0">
                  <c:v>2006</c:v>
                </c:pt>
                <c:pt idx="1">
                  <c:v>2007</c:v>
                </c:pt>
                <c:pt idx="2">
                  <c:v>2008</c:v>
                </c:pt>
              </c:numCache>
            </c:numRef>
          </c:cat>
          <c:val>
            <c:numRef>
              <c:f>'Becnh distrib'!$H$2:$H$4</c:f>
              <c:numCache>
                <c:formatCode>0</c:formatCode>
                <c:ptCount val="3"/>
                <c:pt idx="0">
                  <c:v>112.17727272727272</c:v>
                </c:pt>
                <c:pt idx="1">
                  <c:v>126.85795454545455</c:v>
                </c:pt>
                <c:pt idx="2">
                  <c:v>247.51249999999999</c:v>
                </c:pt>
              </c:numCache>
            </c:numRef>
          </c:val>
          <c:extLst>
            <c:ext xmlns:c16="http://schemas.microsoft.com/office/drawing/2014/chart" uri="{C3380CC4-5D6E-409C-BE32-E72D297353CC}">
              <c16:uniqueId val="{00000006-E479-4EEA-B7FC-98D00126F2D8}"/>
            </c:ext>
          </c:extLst>
        </c:ser>
        <c:ser>
          <c:idx val="7"/>
          <c:order val="7"/>
          <c:tx>
            <c:strRef>
              <c:f>'Becnh distrib'!$I$1</c:f>
              <c:strCache>
                <c:ptCount val="1"/>
                <c:pt idx="0">
                  <c:v>CC</c:v>
                </c:pt>
              </c:strCache>
            </c:strRef>
          </c:tx>
          <c:invertIfNegative val="0"/>
          <c:cat>
            <c:numRef>
              <c:f>'Becnh distrib'!$A$2:$A$4</c:f>
              <c:numCache>
                <c:formatCode>General</c:formatCode>
                <c:ptCount val="3"/>
                <c:pt idx="0">
                  <c:v>2006</c:v>
                </c:pt>
                <c:pt idx="1">
                  <c:v>2007</c:v>
                </c:pt>
                <c:pt idx="2">
                  <c:v>2008</c:v>
                </c:pt>
              </c:numCache>
            </c:numRef>
          </c:cat>
          <c:val>
            <c:numRef>
              <c:f>'Becnh distrib'!$I$2:$I$4</c:f>
              <c:numCache>
                <c:formatCode>0</c:formatCode>
                <c:ptCount val="3"/>
                <c:pt idx="0">
                  <c:v>22.7</c:v>
                </c:pt>
                <c:pt idx="1">
                  <c:v>42.112499999999997</c:v>
                </c:pt>
                <c:pt idx="2">
                  <c:v>71.3125</c:v>
                </c:pt>
              </c:numCache>
            </c:numRef>
          </c:val>
          <c:extLst>
            <c:ext xmlns:c16="http://schemas.microsoft.com/office/drawing/2014/chart" uri="{C3380CC4-5D6E-409C-BE32-E72D297353CC}">
              <c16:uniqueId val="{00000007-E479-4EEA-B7FC-98D00126F2D8}"/>
            </c:ext>
          </c:extLst>
        </c:ser>
        <c:ser>
          <c:idx val="8"/>
          <c:order val="8"/>
          <c:tx>
            <c:strRef>
              <c:f>'Becnh distrib'!$J$1</c:f>
              <c:strCache>
                <c:ptCount val="1"/>
                <c:pt idx="0">
                  <c:v>C</c:v>
                </c:pt>
              </c:strCache>
            </c:strRef>
          </c:tx>
          <c:invertIfNegative val="0"/>
          <c:cat>
            <c:numRef>
              <c:f>'Becnh distrib'!$A$2:$A$4</c:f>
              <c:numCache>
                <c:formatCode>General</c:formatCode>
                <c:ptCount val="3"/>
                <c:pt idx="0">
                  <c:v>2006</c:v>
                </c:pt>
                <c:pt idx="1">
                  <c:v>2007</c:v>
                </c:pt>
                <c:pt idx="2">
                  <c:v>2008</c:v>
                </c:pt>
              </c:numCache>
            </c:numRef>
          </c:cat>
          <c:val>
            <c:numRef>
              <c:f>'Becnh distrib'!$J$2:$J$4</c:f>
              <c:numCache>
                <c:formatCode>0</c:formatCode>
                <c:ptCount val="3"/>
                <c:pt idx="0">
                  <c:v>2.9666666666666663</c:v>
                </c:pt>
                <c:pt idx="1">
                  <c:v>6.75</c:v>
                </c:pt>
                <c:pt idx="2">
                  <c:v>12.279166666666669</c:v>
                </c:pt>
              </c:numCache>
            </c:numRef>
          </c:val>
          <c:extLst>
            <c:ext xmlns:c16="http://schemas.microsoft.com/office/drawing/2014/chart" uri="{C3380CC4-5D6E-409C-BE32-E72D297353CC}">
              <c16:uniqueId val="{00000008-E479-4EEA-B7FC-98D00126F2D8}"/>
            </c:ext>
          </c:extLst>
        </c:ser>
        <c:ser>
          <c:idx val="9"/>
          <c:order val="9"/>
          <c:tx>
            <c:strRef>
              <c:f>'Becnh distrib'!$K$1</c:f>
              <c:strCache>
                <c:ptCount val="1"/>
                <c:pt idx="0">
                  <c:v>D</c:v>
                </c:pt>
              </c:strCache>
            </c:strRef>
          </c:tx>
          <c:invertIfNegative val="0"/>
          <c:cat>
            <c:numRef>
              <c:f>'Becnh distrib'!$A$2:$A$4</c:f>
              <c:numCache>
                <c:formatCode>General</c:formatCode>
                <c:ptCount val="3"/>
                <c:pt idx="0">
                  <c:v>2006</c:v>
                </c:pt>
                <c:pt idx="1">
                  <c:v>2007</c:v>
                </c:pt>
                <c:pt idx="2">
                  <c:v>2008</c:v>
                </c:pt>
              </c:numCache>
            </c:numRef>
          </c:cat>
          <c:val>
            <c:numRef>
              <c:f>'Becnh distrib'!$K$2:$K$4</c:f>
              <c:numCache>
                <c:formatCode>General</c:formatCode>
                <c:ptCount val="3"/>
                <c:pt idx="0">
                  <c:v>4.1500000000000004</c:v>
                </c:pt>
                <c:pt idx="1">
                  <c:v>6.6</c:v>
                </c:pt>
                <c:pt idx="2">
                  <c:v>13.75</c:v>
                </c:pt>
              </c:numCache>
            </c:numRef>
          </c:val>
          <c:extLst>
            <c:ext xmlns:c16="http://schemas.microsoft.com/office/drawing/2014/chart" uri="{C3380CC4-5D6E-409C-BE32-E72D297353CC}">
              <c16:uniqueId val="{00000009-E479-4EEA-B7FC-98D00126F2D8}"/>
            </c:ext>
          </c:extLst>
        </c:ser>
        <c:dLbls>
          <c:showLegendKey val="0"/>
          <c:showVal val="0"/>
          <c:showCatName val="0"/>
          <c:showSerName val="0"/>
          <c:showPercent val="0"/>
          <c:showBubbleSize val="0"/>
        </c:dLbls>
        <c:gapWidth val="150"/>
        <c:overlap val="100"/>
        <c:axId val="35215616"/>
        <c:axId val="35217408"/>
      </c:barChart>
      <c:catAx>
        <c:axId val="35215616"/>
        <c:scaling>
          <c:orientation val="minMax"/>
        </c:scaling>
        <c:delete val="0"/>
        <c:axPos val="b"/>
        <c:numFmt formatCode="General" sourceLinked="1"/>
        <c:majorTickMark val="out"/>
        <c:minorTickMark val="none"/>
        <c:tickLblPos val="nextTo"/>
        <c:crossAx val="35217408"/>
        <c:crosses val="autoZero"/>
        <c:auto val="1"/>
        <c:lblAlgn val="ctr"/>
        <c:lblOffset val="100"/>
        <c:noMultiLvlLbl val="0"/>
      </c:catAx>
      <c:valAx>
        <c:axId val="35217408"/>
        <c:scaling>
          <c:orientation val="minMax"/>
        </c:scaling>
        <c:delete val="0"/>
        <c:axPos val="l"/>
        <c:majorGridlines/>
        <c:numFmt formatCode="0%" sourceLinked="1"/>
        <c:majorTickMark val="out"/>
        <c:minorTickMark val="none"/>
        <c:tickLblPos val="nextTo"/>
        <c:crossAx val="3521561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percentStacked"/>
        <c:varyColors val="0"/>
        <c:ser>
          <c:idx val="0"/>
          <c:order val="0"/>
          <c:tx>
            <c:strRef>
              <c:f>'Becnh distrib'!$M$1</c:f>
              <c:strCache>
                <c:ptCount val="1"/>
                <c:pt idx="0">
                  <c:v>AAA</c:v>
                </c:pt>
              </c:strCache>
            </c:strRef>
          </c:tx>
          <c:invertIfNegative val="0"/>
          <c:cat>
            <c:numRef>
              <c:f>'Becnh distrib'!$A$2:$A$4</c:f>
              <c:numCache>
                <c:formatCode>General</c:formatCode>
                <c:ptCount val="3"/>
                <c:pt idx="0">
                  <c:v>2006</c:v>
                </c:pt>
                <c:pt idx="1">
                  <c:v>2007</c:v>
                </c:pt>
                <c:pt idx="2">
                  <c:v>2008</c:v>
                </c:pt>
              </c:numCache>
            </c:numRef>
          </c:cat>
          <c:val>
            <c:numRef>
              <c:f>'Becnh distrib'!$M$2:$M$4</c:f>
              <c:numCache>
                <c:formatCode>0</c:formatCode>
                <c:ptCount val="3"/>
                <c:pt idx="0">
                  <c:v>7</c:v>
                </c:pt>
                <c:pt idx="1">
                  <c:v>0</c:v>
                </c:pt>
                <c:pt idx="2">
                  <c:v>0</c:v>
                </c:pt>
              </c:numCache>
            </c:numRef>
          </c:val>
          <c:extLst>
            <c:ext xmlns:c16="http://schemas.microsoft.com/office/drawing/2014/chart" uri="{C3380CC4-5D6E-409C-BE32-E72D297353CC}">
              <c16:uniqueId val="{00000000-4B68-4481-BEB1-BF642F26C02F}"/>
            </c:ext>
          </c:extLst>
        </c:ser>
        <c:ser>
          <c:idx val="1"/>
          <c:order val="1"/>
          <c:tx>
            <c:strRef>
              <c:f>'Becnh distrib'!$N$1</c:f>
              <c:strCache>
                <c:ptCount val="1"/>
                <c:pt idx="0">
                  <c:v>AA</c:v>
                </c:pt>
              </c:strCache>
            </c:strRef>
          </c:tx>
          <c:invertIfNegative val="0"/>
          <c:cat>
            <c:numRef>
              <c:f>'Becnh distrib'!$A$2:$A$4</c:f>
              <c:numCache>
                <c:formatCode>General</c:formatCode>
                <c:ptCount val="3"/>
                <c:pt idx="0">
                  <c:v>2006</c:v>
                </c:pt>
                <c:pt idx="1">
                  <c:v>2007</c:v>
                </c:pt>
                <c:pt idx="2">
                  <c:v>2008</c:v>
                </c:pt>
              </c:numCache>
            </c:numRef>
          </c:cat>
          <c:val>
            <c:numRef>
              <c:f>'Becnh distrib'!$N$2:$N$4</c:f>
              <c:numCache>
                <c:formatCode>0</c:formatCode>
                <c:ptCount val="3"/>
                <c:pt idx="0">
                  <c:v>19</c:v>
                </c:pt>
                <c:pt idx="1">
                  <c:v>9.5</c:v>
                </c:pt>
                <c:pt idx="2">
                  <c:v>10.5</c:v>
                </c:pt>
              </c:numCache>
            </c:numRef>
          </c:val>
          <c:extLst>
            <c:ext xmlns:c16="http://schemas.microsoft.com/office/drawing/2014/chart" uri="{C3380CC4-5D6E-409C-BE32-E72D297353CC}">
              <c16:uniqueId val="{00000001-4B68-4481-BEB1-BF642F26C02F}"/>
            </c:ext>
          </c:extLst>
        </c:ser>
        <c:ser>
          <c:idx val="2"/>
          <c:order val="2"/>
          <c:tx>
            <c:strRef>
              <c:f>'Becnh distrib'!$O$1</c:f>
              <c:strCache>
                <c:ptCount val="1"/>
                <c:pt idx="0">
                  <c:v>A</c:v>
                </c:pt>
              </c:strCache>
            </c:strRef>
          </c:tx>
          <c:invertIfNegative val="0"/>
          <c:cat>
            <c:numRef>
              <c:f>'Becnh distrib'!$A$2:$A$4</c:f>
              <c:numCache>
                <c:formatCode>General</c:formatCode>
                <c:ptCount val="3"/>
                <c:pt idx="0">
                  <c:v>2006</c:v>
                </c:pt>
                <c:pt idx="1">
                  <c:v>2007</c:v>
                </c:pt>
                <c:pt idx="2">
                  <c:v>2008</c:v>
                </c:pt>
              </c:numCache>
            </c:numRef>
          </c:cat>
          <c:val>
            <c:numRef>
              <c:f>'Becnh distrib'!$O$2:$O$4</c:f>
              <c:numCache>
                <c:formatCode>0</c:formatCode>
                <c:ptCount val="3"/>
                <c:pt idx="0">
                  <c:v>52</c:v>
                </c:pt>
                <c:pt idx="1">
                  <c:v>24.5</c:v>
                </c:pt>
                <c:pt idx="2">
                  <c:v>63</c:v>
                </c:pt>
              </c:numCache>
            </c:numRef>
          </c:val>
          <c:extLst>
            <c:ext xmlns:c16="http://schemas.microsoft.com/office/drawing/2014/chart" uri="{C3380CC4-5D6E-409C-BE32-E72D297353CC}">
              <c16:uniqueId val="{00000002-4B68-4481-BEB1-BF642F26C02F}"/>
            </c:ext>
          </c:extLst>
        </c:ser>
        <c:ser>
          <c:idx val="3"/>
          <c:order val="3"/>
          <c:tx>
            <c:strRef>
              <c:f>'Becnh distrib'!$P$1</c:f>
              <c:strCache>
                <c:ptCount val="1"/>
                <c:pt idx="0">
                  <c:v>BBB</c:v>
                </c:pt>
              </c:strCache>
            </c:strRef>
          </c:tx>
          <c:invertIfNegative val="0"/>
          <c:cat>
            <c:numRef>
              <c:f>'Becnh distrib'!$A$2:$A$4</c:f>
              <c:numCache>
                <c:formatCode>General</c:formatCode>
                <c:ptCount val="3"/>
                <c:pt idx="0">
                  <c:v>2006</c:v>
                </c:pt>
                <c:pt idx="1">
                  <c:v>2007</c:v>
                </c:pt>
                <c:pt idx="2">
                  <c:v>2008</c:v>
                </c:pt>
              </c:numCache>
            </c:numRef>
          </c:cat>
          <c:val>
            <c:numRef>
              <c:f>'Becnh distrib'!$P$2:$P$4</c:f>
              <c:numCache>
                <c:formatCode>0</c:formatCode>
                <c:ptCount val="3"/>
                <c:pt idx="0">
                  <c:v>139</c:v>
                </c:pt>
                <c:pt idx="1">
                  <c:v>90.5</c:v>
                </c:pt>
                <c:pt idx="2">
                  <c:v>201</c:v>
                </c:pt>
              </c:numCache>
            </c:numRef>
          </c:val>
          <c:extLst>
            <c:ext xmlns:c16="http://schemas.microsoft.com/office/drawing/2014/chart" uri="{C3380CC4-5D6E-409C-BE32-E72D297353CC}">
              <c16:uniqueId val="{00000003-4B68-4481-BEB1-BF642F26C02F}"/>
            </c:ext>
          </c:extLst>
        </c:ser>
        <c:ser>
          <c:idx val="4"/>
          <c:order val="4"/>
          <c:tx>
            <c:strRef>
              <c:f>'Becnh distrib'!$Q$1</c:f>
              <c:strCache>
                <c:ptCount val="1"/>
                <c:pt idx="0">
                  <c:v>BB</c:v>
                </c:pt>
              </c:strCache>
            </c:strRef>
          </c:tx>
          <c:invertIfNegative val="0"/>
          <c:cat>
            <c:numRef>
              <c:f>'Becnh distrib'!$A$2:$A$4</c:f>
              <c:numCache>
                <c:formatCode>General</c:formatCode>
                <c:ptCount val="3"/>
                <c:pt idx="0">
                  <c:v>2006</c:v>
                </c:pt>
                <c:pt idx="1">
                  <c:v>2007</c:v>
                </c:pt>
                <c:pt idx="2">
                  <c:v>2008</c:v>
                </c:pt>
              </c:numCache>
            </c:numRef>
          </c:cat>
          <c:val>
            <c:numRef>
              <c:f>'Becnh distrib'!$Q$2:$Q$4</c:f>
              <c:numCache>
                <c:formatCode>0</c:formatCode>
                <c:ptCount val="3"/>
                <c:pt idx="0">
                  <c:v>203</c:v>
                </c:pt>
                <c:pt idx="1">
                  <c:v>185</c:v>
                </c:pt>
                <c:pt idx="2">
                  <c:v>350</c:v>
                </c:pt>
              </c:numCache>
            </c:numRef>
          </c:val>
          <c:extLst>
            <c:ext xmlns:c16="http://schemas.microsoft.com/office/drawing/2014/chart" uri="{C3380CC4-5D6E-409C-BE32-E72D297353CC}">
              <c16:uniqueId val="{00000004-4B68-4481-BEB1-BF642F26C02F}"/>
            </c:ext>
          </c:extLst>
        </c:ser>
        <c:ser>
          <c:idx val="5"/>
          <c:order val="5"/>
          <c:tx>
            <c:strRef>
              <c:f>'Becnh distrib'!$R$1</c:f>
              <c:strCache>
                <c:ptCount val="1"/>
                <c:pt idx="0">
                  <c:v>B</c:v>
                </c:pt>
              </c:strCache>
            </c:strRef>
          </c:tx>
          <c:invertIfNegative val="0"/>
          <c:cat>
            <c:numRef>
              <c:f>'Becnh distrib'!$A$2:$A$4</c:f>
              <c:numCache>
                <c:formatCode>General</c:formatCode>
                <c:ptCount val="3"/>
                <c:pt idx="0">
                  <c:v>2006</c:v>
                </c:pt>
                <c:pt idx="1">
                  <c:v>2007</c:v>
                </c:pt>
                <c:pt idx="2">
                  <c:v>2008</c:v>
                </c:pt>
              </c:numCache>
            </c:numRef>
          </c:cat>
          <c:val>
            <c:numRef>
              <c:f>'Becnh distrib'!$R$2:$R$4</c:f>
              <c:numCache>
                <c:formatCode>0</c:formatCode>
                <c:ptCount val="3"/>
                <c:pt idx="0">
                  <c:v>178</c:v>
                </c:pt>
                <c:pt idx="1">
                  <c:v>166.5</c:v>
                </c:pt>
                <c:pt idx="2">
                  <c:v>348.5</c:v>
                </c:pt>
              </c:numCache>
            </c:numRef>
          </c:val>
          <c:extLst>
            <c:ext xmlns:c16="http://schemas.microsoft.com/office/drawing/2014/chart" uri="{C3380CC4-5D6E-409C-BE32-E72D297353CC}">
              <c16:uniqueId val="{00000005-4B68-4481-BEB1-BF642F26C02F}"/>
            </c:ext>
          </c:extLst>
        </c:ser>
        <c:ser>
          <c:idx val="6"/>
          <c:order val="6"/>
          <c:tx>
            <c:strRef>
              <c:f>'Becnh distrib'!$S$1</c:f>
              <c:strCache>
                <c:ptCount val="1"/>
                <c:pt idx="0">
                  <c:v>CCC</c:v>
                </c:pt>
              </c:strCache>
            </c:strRef>
          </c:tx>
          <c:invertIfNegative val="0"/>
          <c:cat>
            <c:numRef>
              <c:f>'Becnh distrib'!$A$2:$A$4</c:f>
              <c:numCache>
                <c:formatCode>General</c:formatCode>
                <c:ptCount val="3"/>
                <c:pt idx="0">
                  <c:v>2006</c:v>
                </c:pt>
                <c:pt idx="1">
                  <c:v>2007</c:v>
                </c:pt>
                <c:pt idx="2">
                  <c:v>2008</c:v>
                </c:pt>
              </c:numCache>
            </c:numRef>
          </c:cat>
          <c:val>
            <c:numRef>
              <c:f>'Becnh distrib'!$S$2:$S$4</c:f>
              <c:numCache>
                <c:formatCode>0</c:formatCode>
                <c:ptCount val="3"/>
                <c:pt idx="0">
                  <c:v>73</c:v>
                </c:pt>
                <c:pt idx="1">
                  <c:v>107</c:v>
                </c:pt>
                <c:pt idx="2">
                  <c:v>190</c:v>
                </c:pt>
              </c:numCache>
            </c:numRef>
          </c:val>
          <c:extLst>
            <c:ext xmlns:c16="http://schemas.microsoft.com/office/drawing/2014/chart" uri="{C3380CC4-5D6E-409C-BE32-E72D297353CC}">
              <c16:uniqueId val="{00000006-4B68-4481-BEB1-BF642F26C02F}"/>
            </c:ext>
          </c:extLst>
        </c:ser>
        <c:ser>
          <c:idx val="7"/>
          <c:order val="7"/>
          <c:tx>
            <c:strRef>
              <c:f>'Becnh distrib'!$T$1</c:f>
              <c:strCache>
                <c:ptCount val="1"/>
                <c:pt idx="0">
                  <c:v>CC</c:v>
                </c:pt>
              </c:strCache>
            </c:strRef>
          </c:tx>
          <c:invertIfNegative val="0"/>
          <c:cat>
            <c:numRef>
              <c:f>'Becnh distrib'!$A$2:$A$4</c:f>
              <c:numCache>
                <c:formatCode>General</c:formatCode>
                <c:ptCount val="3"/>
                <c:pt idx="0">
                  <c:v>2006</c:v>
                </c:pt>
                <c:pt idx="1">
                  <c:v>2007</c:v>
                </c:pt>
                <c:pt idx="2">
                  <c:v>2008</c:v>
                </c:pt>
              </c:numCache>
            </c:numRef>
          </c:cat>
          <c:val>
            <c:numRef>
              <c:f>'Becnh distrib'!$T$2:$T$4</c:f>
              <c:numCache>
                <c:formatCode>0</c:formatCode>
                <c:ptCount val="3"/>
                <c:pt idx="0">
                  <c:v>26</c:v>
                </c:pt>
                <c:pt idx="1">
                  <c:v>49.5</c:v>
                </c:pt>
                <c:pt idx="2">
                  <c:v>93.5</c:v>
                </c:pt>
              </c:numCache>
            </c:numRef>
          </c:val>
          <c:extLst>
            <c:ext xmlns:c16="http://schemas.microsoft.com/office/drawing/2014/chart" uri="{C3380CC4-5D6E-409C-BE32-E72D297353CC}">
              <c16:uniqueId val="{00000007-4B68-4481-BEB1-BF642F26C02F}"/>
            </c:ext>
          </c:extLst>
        </c:ser>
        <c:ser>
          <c:idx val="8"/>
          <c:order val="8"/>
          <c:tx>
            <c:strRef>
              <c:f>'Becnh distrib'!$U$1</c:f>
              <c:strCache>
                <c:ptCount val="1"/>
                <c:pt idx="0">
                  <c:v>C</c:v>
                </c:pt>
              </c:strCache>
            </c:strRef>
          </c:tx>
          <c:invertIfNegative val="0"/>
          <c:cat>
            <c:numRef>
              <c:f>'Becnh distrib'!$A$2:$A$4</c:f>
              <c:numCache>
                <c:formatCode>General</c:formatCode>
                <c:ptCount val="3"/>
                <c:pt idx="0">
                  <c:v>2006</c:v>
                </c:pt>
                <c:pt idx="1">
                  <c:v>2007</c:v>
                </c:pt>
                <c:pt idx="2">
                  <c:v>2008</c:v>
                </c:pt>
              </c:numCache>
            </c:numRef>
          </c:cat>
          <c:val>
            <c:numRef>
              <c:f>'Becnh distrib'!$U$2:$U$4</c:f>
              <c:numCache>
                <c:formatCode>0</c:formatCode>
                <c:ptCount val="3"/>
                <c:pt idx="0">
                  <c:v>4</c:v>
                </c:pt>
                <c:pt idx="1">
                  <c:v>15</c:v>
                </c:pt>
                <c:pt idx="2">
                  <c:v>15.5</c:v>
                </c:pt>
              </c:numCache>
            </c:numRef>
          </c:val>
          <c:extLst>
            <c:ext xmlns:c16="http://schemas.microsoft.com/office/drawing/2014/chart" uri="{C3380CC4-5D6E-409C-BE32-E72D297353CC}">
              <c16:uniqueId val="{00000008-4B68-4481-BEB1-BF642F26C02F}"/>
            </c:ext>
          </c:extLst>
        </c:ser>
        <c:ser>
          <c:idx val="9"/>
          <c:order val="9"/>
          <c:tx>
            <c:strRef>
              <c:f>'Becnh distrib'!$V$1</c:f>
              <c:strCache>
                <c:ptCount val="1"/>
                <c:pt idx="0">
                  <c:v>D</c:v>
                </c:pt>
              </c:strCache>
            </c:strRef>
          </c:tx>
          <c:invertIfNegative val="0"/>
          <c:cat>
            <c:numRef>
              <c:f>'Becnh distrib'!$A$2:$A$4</c:f>
              <c:numCache>
                <c:formatCode>General</c:formatCode>
                <c:ptCount val="3"/>
                <c:pt idx="0">
                  <c:v>2006</c:v>
                </c:pt>
                <c:pt idx="1">
                  <c:v>2007</c:v>
                </c:pt>
                <c:pt idx="2">
                  <c:v>2008</c:v>
                </c:pt>
              </c:numCache>
            </c:numRef>
          </c:cat>
          <c:val>
            <c:numRef>
              <c:f>'Becnh distrib'!$V$2:$V$4</c:f>
              <c:numCache>
                <c:formatCode>General</c:formatCode>
                <c:ptCount val="3"/>
                <c:pt idx="0">
                  <c:v>1</c:v>
                </c:pt>
                <c:pt idx="1">
                  <c:v>2.5</c:v>
                </c:pt>
                <c:pt idx="2">
                  <c:v>8.5</c:v>
                </c:pt>
              </c:numCache>
            </c:numRef>
          </c:val>
          <c:extLst>
            <c:ext xmlns:c16="http://schemas.microsoft.com/office/drawing/2014/chart" uri="{C3380CC4-5D6E-409C-BE32-E72D297353CC}">
              <c16:uniqueId val="{00000009-4B68-4481-BEB1-BF642F26C02F}"/>
            </c:ext>
          </c:extLst>
        </c:ser>
        <c:dLbls>
          <c:showLegendKey val="0"/>
          <c:showVal val="0"/>
          <c:showCatName val="0"/>
          <c:showSerName val="0"/>
          <c:showPercent val="0"/>
          <c:showBubbleSize val="0"/>
        </c:dLbls>
        <c:gapWidth val="150"/>
        <c:overlap val="100"/>
        <c:axId val="35256960"/>
        <c:axId val="177537408"/>
      </c:barChart>
      <c:catAx>
        <c:axId val="35256960"/>
        <c:scaling>
          <c:orientation val="minMax"/>
        </c:scaling>
        <c:delete val="0"/>
        <c:axPos val="b"/>
        <c:numFmt formatCode="General" sourceLinked="1"/>
        <c:majorTickMark val="out"/>
        <c:minorTickMark val="none"/>
        <c:tickLblPos val="nextTo"/>
        <c:crossAx val="177537408"/>
        <c:crosses val="autoZero"/>
        <c:auto val="1"/>
        <c:lblAlgn val="ctr"/>
        <c:lblOffset val="100"/>
        <c:noMultiLvlLbl val="0"/>
      </c:catAx>
      <c:valAx>
        <c:axId val="177537408"/>
        <c:scaling>
          <c:orientation val="minMax"/>
        </c:scaling>
        <c:delete val="0"/>
        <c:axPos val="l"/>
        <c:majorGridlines/>
        <c:numFmt formatCode="0%" sourceLinked="1"/>
        <c:majorTickMark val="out"/>
        <c:minorTickMark val="none"/>
        <c:tickLblPos val="nextTo"/>
        <c:crossAx val="3525696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1BF3B-7E0C-4FA3-ADF6-32170D1D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4384</Words>
  <Characters>24994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amarcelo</dc:creator>
  <cp:lastModifiedBy>Clara Garcia</cp:lastModifiedBy>
  <cp:revision>23</cp:revision>
  <cp:lastPrinted>2015-09-24T16:28:00Z</cp:lastPrinted>
  <dcterms:created xsi:type="dcterms:W3CDTF">2015-10-12T09:50:00Z</dcterms:created>
  <dcterms:modified xsi:type="dcterms:W3CDTF">2019-05-13T14:34:00Z</dcterms:modified>
</cp:coreProperties>
</file>