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8C64DC" w:rsidRDefault="00E00BB5" w:rsidP="00E00BB5"/>
        <w:p w:rsidR="00E00BB5" w:rsidRPr="008C64DC" w:rsidRDefault="000122AE" w:rsidP="00E00BB5">
          <w:pPr>
            <w:pStyle w:val="Titlelevel1"/>
            <w:rPr>
              <w:lang w:val="en-GB"/>
            </w:rPr>
          </w:pPr>
          <w:r>
            <w:rPr>
              <w:lang w:val="en-GB"/>
            </w:rPr>
            <w:t xml:space="preserve">Amended </w:t>
          </w:r>
          <w:bookmarkStart w:id="0" w:name="_GoBack"/>
          <w:bookmarkEnd w:id="0"/>
          <w:r w:rsidR="004E160A" w:rsidRPr="004E160A">
            <w:rPr>
              <w:lang w:val="en-GB"/>
            </w:rPr>
            <w:t xml:space="preserve">Mapping of </w:t>
          </w:r>
          <w:r w:rsidR="00312C58">
            <w:rPr>
              <w:lang w:val="en-GB"/>
            </w:rPr>
            <w:t>DBRS</w:t>
          </w:r>
          <w:r w:rsidR="004E160A" w:rsidRPr="004E160A">
            <w:rPr>
              <w:lang w:val="en-GB"/>
            </w:rPr>
            <w:t xml:space="preserve"> credit assessments under the Standardised Approach</w:t>
          </w:r>
          <w:r w:rsidR="00E00BB5" w:rsidRPr="008C64DC">
            <w:rPr>
              <w:lang w:val="en-GB"/>
            </w:rPr>
            <w:t xml:space="preserve"> </w:t>
          </w:r>
        </w:p>
        <w:p w:rsidR="00D63A88" w:rsidRDefault="00D63A88" w:rsidP="00AF0256">
          <w:pPr>
            <w:pStyle w:val="Numberedtitlelevel2"/>
            <w:ind w:left="357" w:hanging="357"/>
            <w:outlineLvl w:val="0"/>
          </w:pPr>
          <w:r>
            <w:t>Executive summary</w:t>
          </w:r>
        </w:p>
        <w:p w:rsidR="00D63A88" w:rsidRPr="00A71B99" w:rsidRDefault="003D4AD4" w:rsidP="001747FD">
          <w:pPr>
            <w:pStyle w:val="numberedparagraph"/>
            <w:tabs>
              <w:tab w:val="clear" w:pos="710"/>
              <w:tab w:val="num" w:pos="284"/>
            </w:tabs>
            <w:ind w:left="284"/>
          </w:pPr>
          <w:r w:rsidRPr="00540BB7">
            <w:t xml:space="preserve">This report </w:t>
          </w:r>
          <w:r>
            <w:t xml:space="preserve">describes the mapping exercise carried out by </w:t>
          </w:r>
          <w:r w:rsidRPr="00540BB7">
            <w:t xml:space="preserve">the </w:t>
          </w:r>
          <w:r>
            <w:t>Joint Committee (JC) to propose an amended</w:t>
          </w:r>
          <w:r w:rsidRPr="00AC59E0">
            <w:t xml:space="preserve"> </w:t>
          </w:r>
          <w:r w:rsidRPr="005B325F">
            <w:t>‘mapping’</w:t>
          </w:r>
          <w:r w:rsidRPr="005B325F">
            <w:rPr>
              <w:rStyle w:val="FootnoteReference"/>
            </w:rPr>
            <w:footnoteReference w:id="2"/>
          </w:r>
          <w:r w:rsidRPr="005B325F">
            <w:t xml:space="preserve"> </w:t>
          </w:r>
          <w:r>
            <w:t xml:space="preserve">report </w:t>
          </w:r>
          <w:r w:rsidRPr="005B325F">
            <w:t xml:space="preserve">of the credit assessments of </w:t>
          </w:r>
          <w:r w:rsidR="00312C58" w:rsidRPr="00A71B99">
            <w:t xml:space="preserve">DBRS Ratings </w:t>
          </w:r>
          <w:r w:rsidR="00D63A88" w:rsidRPr="00A71B99">
            <w:t>(</w:t>
          </w:r>
          <w:r w:rsidR="00312C58" w:rsidRPr="00A71B99">
            <w:t>DBRS</w:t>
          </w:r>
          <w:r w:rsidR="00D63A88" w:rsidRPr="00A71B99">
            <w:t>)</w:t>
          </w:r>
          <w:r>
            <w:t>, with respect to the version published on 11 November 2015</w:t>
          </w:r>
          <w:r w:rsidRPr="005B325F">
            <w:t>.</w:t>
          </w:r>
          <w:r w:rsidRPr="0069105D">
            <w:t xml:space="preserve"> </w:t>
          </w:r>
          <w:r w:rsidR="00356AC5">
            <w:t>The resulting mapping tables have remained unchanged with respect to the afore-mentioned version.</w:t>
          </w:r>
          <w:r w:rsidR="00643795" w:rsidRPr="00AF0256">
            <w:t xml:space="preserve"> </w:t>
          </w:r>
        </w:p>
        <w:p w:rsidR="002F29E8" w:rsidRDefault="003D4AD4" w:rsidP="001747FD">
          <w:pPr>
            <w:pStyle w:val="numberedparagraph"/>
            <w:tabs>
              <w:tab w:val="clear" w:pos="710"/>
              <w:tab w:val="num" w:pos="284"/>
            </w:tabs>
            <w:ind w:left="284"/>
          </w:pPr>
          <w:r w:rsidRPr="00F55A52">
            <w:t xml:space="preserve">The methodology applied to produce the mapping is the one specified in the </w:t>
          </w:r>
          <w:r w:rsidRPr="00B849CA">
            <w:t>Commission Implementing Regulation (EU) 2016/1799 of 7 October 2016 (the Implementing Regulation)</w:t>
          </w:r>
          <w:r w:rsidRPr="001C045D">
            <w:rPr>
              <w:rStyle w:val="FootnoteReference"/>
            </w:rPr>
            <w:t xml:space="preserve"> </w:t>
          </w:r>
          <w:r w:rsidRPr="001C045D">
            <w:rPr>
              <w:rStyle w:val="FootnoteReference"/>
            </w:rPr>
            <w:footnoteReference w:id="3"/>
          </w:r>
          <w:r w:rsidRPr="00B849CA">
            <w:t xml:space="preserve"> laying down implementing technical standards with regard to the mapping of credit assessments of external credit assessment institutions for credit risk in accordance with Articles 136(1) and 136(3) of Regulation (EU) No 575/2013 of the European Parliament and of the Council</w:t>
          </w:r>
          <w:r w:rsidRPr="001C045D">
            <w:t xml:space="preserve"> </w:t>
          </w:r>
          <w:r w:rsidRPr="00F55A52">
            <w:t xml:space="preserve">(Capital Requirements Regulation – CRR). </w:t>
          </w:r>
          <w:r>
            <w:t>This</w:t>
          </w:r>
          <w:r w:rsidRPr="00F55A52">
            <w:t xml:space="preserve"> </w:t>
          </w:r>
          <w:r w:rsidRPr="006839C8">
            <w:t>I</w:t>
          </w:r>
          <w:r>
            <w:t>mplementing</w:t>
          </w:r>
          <w:r w:rsidRPr="006839C8">
            <w:t xml:space="preserve"> </w:t>
          </w:r>
          <w:r>
            <w:t xml:space="preserve">Regulation </w:t>
          </w:r>
          <w:r w:rsidRPr="00F55A52">
            <w:t>employ</w:t>
          </w:r>
          <w:r>
            <w:t>s</w:t>
          </w:r>
          <w:r w:rsidRPr="00F55A52">
            <w:t xml:space="preserve"> a combination of the provisions laid down in Article 136(2) of </w:t>
          </w:r>
          <w:r>
            <w:t>the CRR</w:t>
          </w:r>
          <w:r w:rsidRPr="00F55A52">
            <w:t>.</w:t>
          </w:r>
        </w:p>
        <w:p w:rsidR="001747FD" w:rsidRPr="00545DAD" w:rsidRDefault="003D4AD4" w:rsidP="00545DAD">
          <w:pPr>
            <w:pStyle w:val="numberedparagraph"/>
            <w:tabs>
              <w:tab w:val="clear" w:pos="710"/>
              <w:tab w:val="num" w:pos="284"/>
            </w:tabs>
            <w:ind w:left="284"/>
          </w:pPr>
          <w:r>
            <w:t>The information base used to produce this mapping report</w:t>
          </w:r>
          <w:r w:rsidRPr="00643104">
            <w:t xml:space="preserve"> </w:t>
          </w:r>
          <w:r>
            <w:t xml:space="preserve">reflects additional quantitative information collected after the submission of the draft Implementing Technical Standards by the JC to the European Commission. Regarding qualitative developments, the qualitative factors described in the Implementing Regulation remain unchanged while </w:t>
          </w:r>
          <w:r w:rsidR="001747FD" w:rsidRPr="00545DAD">
            <w:t xml:space="preserve">two new rating scales have been introduced </w:t>
          </w:r>
          <w:r w:rsidR="001747FD" w:rsidRPr="00111518">
            <w:t>(the Credit Fund Rating Scale and the Expected Loss Rating Scale)</w:t>
          </w:r>
          <w:r w:rsidR="001747FD" w:rsidRPr="00AF263D">
            <w:t>,</w:t>
          </w:r>
          <w:r w:rsidR="001747FD" w:rsidRPr="00545DAD">
            <w:t xml:space="preserve"> the Claims Paying Ability Rating Scale has been replaced by the Financial Strength Rating Scale and additional credit rating types have been introduced: the long-term and short-term Deposit Ratings and the long-term and short-t</w:t>
          </w:r>
          <w:r w:rsidR="001747FD">
            <w:t>erm Critical Obligation Ratings.</w:t>
          </w:r>
          <w:r w:rsidR="00CF1430">
            <w:t xml:space="preserve"> However, the Credit Fund Rating Scale and the Expected Loss Rating Scale </w:t>
          </w:r>
          <w:r w:rsidR="008C2229">
            <w:t>are not in the scope of the mapping</w:t>
          </w:r>
          <w:r w:rsidR="00CF1430">
            <w:t>, as these credit assessment type</w:t>
          </w:r>
          <w:r w:rsidR="000374E1">
            <w:t>s</w:t>
          </w:r>
          <w:r w:rsidR="00CF1430">
            <w:t xml:space="preserve"> are not considered as valid credit rating</w:t>
          </w:r>
          <w:r w:rsidR="00A27940">
            <w:t>s</w:t>
          </w:r>
          <w:r w:rsidR="00CF1430">
            <w:t xml:space="preserve"> under the </w:t>
          </w:r>
          <w:r w:rsidR="00CF1430" w:rsidRPr="00540BB7">
            <w:t xml:space="preserve">Regulation (EC) No </w:t>
          </w:r>
          <w:r w:rsidR="00CF1430" w:rsidRPr="00F815E0">
            <w:t>1060</w:t>
          </w:r>
          <w:r w:rsidR="00CF1430" w:rsidRPr="00540BB7">
            <w:t>/2009 (Credit Rating Agencies Regulation - CRA)</w:t>
          </w:r>
          <w:r w:rsidR="00CF1430">
            <w:t>.</w:t>
          </w:r>
        </w:p>
        <w:p w:rsidR="00DA5265" w:rsidRDefault="00DA5265" w:rsidP="00545DAD">
          <w:pPr>
            <w:pStyle w:val="numberedparagraph"/>
            <w:tabs>
              <w:tab w:val="clear" w:pos="710"/>
              <w:tab w:val="num" w:pos="284"/>
            </w:tabs>
            <w:ind w:left="284"/>
          </w:pPr>
          <w:r w:rsidRPr="00F05038">
            <w:t xml:space="preserve">The mapping neither constitutes the one which ESMA shall report on in accordance with Article 21(4b) of Regulation (EC) No 1060/2009 (Credit Rating Agencies Regulation - CRA) with the objective of allowing investors to easily compare all credit ratings that exist with regard to a </w:t>
          </w:r>
          <w:r w:rsidRPr="00F05038">
            <w:lastRenderedPageBreak/>
            <w:t>specific rated entity</w:t>
          </w:r>
          <w:r w:rsidR="006C0B4D">
            <w:rPr>
              <w:rStyle w:val="FootnoteReference"/>
            </w:rPr>
            <w:footnoteReference w:id="4"/>
          </w:r>
          <w:r w:rsidRPr="00F05038">
            <w:t xml:space="preserve"> nor should be understood as a comparison of the rating methodologies of </w:t>
          </w:r>
          <w:r w:rsidR="00312C58" w:rsidRPr="00F05038">
            <w:t>DBRS</w:t>
          </w:r>
          <w:r w:rsidRPr="00F05038">
            <w:t xml:space="preserve"> with those of other ECAIs. This mapping should however be interpreted as the correspondence of the rating categories of </w:t>
          </w:r>
          <w:r w:rsidR="00312C58" w:rsidRPr="00F05038">
            <w:t>DBRS</w:t>
          </w:r>
          <w:r w:rsidRPr="00F05038">
            <w:t xml:space="preserve"> with a regulatory scale which has been defined for prudential purposes.</w:t>
          </w:r>
        </w:p>
        <w:p w:rsidR="004244C9" w:rsidRPr="00F05038" w:rsidRDefault="004244C9" w:rsidP="004244C9">
          <w:pPr>
            <w:pStyle w:val="numberedparagraph"/>
            <w:tabs>
              <w:tab w:val="clear" w:pos="710"/>
              <w:tab w:val="num" w:pos="284"/>
            </w:tabs>
            <w:ind w:left="284"/>
          </w:pPr>
          <w:r>
            <w:t xml:space="preserve">As described in Recital 12 of the </w:t>
          </w:r>
          <w:r w:rsidRPr="00565F54">
            <w:t xml:space="preserve">Implementing </w:t>
          </w:r>
          <w:r>
            <w:t>Regulation, it is necessary to avoid causing undue material disadvantage on those ECAIs which, due to their more recent entrance in the market, present limited quantitative information, with the view to balancing prudential with market concerns. Updates to the mapping should be made wherever this becomes necessary to reflect quantitative information collected after the entry into force of the Implementing Regulation.</w:t>
          </w:r>
        </w:p>
        <w:p w:rsidR="007C4C8E" w:rsidRDefault="002F29E8" w:rsidP="00545DAD">
          <w:pPr>
            <w:pStyle w:val="numberedparagraph"/>
            <w:tabs>
              <w:tab w:val="clear" w:pos="710"/>
              <w:tab w:val="num" w:pos="284"/>
            </w:tabs>
            <w:ind w:left="284"/>
          </w:pPr>
          <w:r>
            <w:t xml:space="preserve">The resulting mapping tables have been specified in Annex III of the </w:t>
          </w:r>
          <w:r w:rsidR="00E11F38">
            <w:t xml:space="preserve">revised draft </w:t>
          </w:r>
          <w:proofErr w:type="gramStart"/>
          <w:r w:rsidR="00E11F38">
            <w:t>ITS</w:t>
          </w:r>
          <w:proofErr w:type="gramEnd"/>
          <w:r>
            <w:t xml:space="preserve"> on the mapping of ECAIs’ credit assessments under Article 136(1) and (3) of Regulation (EU) No 575/2013. </w:t>
          </w:r>
          <w:r w:rsidR="00E1277B" w:rsidRPr="00F05038">
            <w:fldChar w:fldCharType="begin"/>
          </w:r>
          <w:r w:rsidR="00E1277B" w:rsidRPr="00F05038">
            <w:instrText xml:space="preserve"> REF _Ref384919272 \h  \* MERGEFORMAT </w:instrText>
          </w:r>
          <w:r w:rsidR="00E1277B" w:rsidRPr="00F05038">
            <w:fldChar w:fldCharType="separate"/>
          </w:r>
          <w:r w:rsidR="00CD7BD7" w:rsidRPr="00545DAD">
            <w:t>Figure 1</w:t>
          </w:r>
          <w:r w:rsidR="00E1277B" w:rsidRPr="00F05038">
            <w:fldChar w:fldCharType="end"/>
          </w:r>
          <w:r w:rsidR="001A690D" w:rsidRPr="00F05038">
            <w:t xml:space="preserve"> </w:t>
          </w:r>
          <w:r w:rsidR="00D54686" w:rsidRPr="00F05038">
            <w:t xml:space="preserve">below </w:t>
          </w:r>
          <w:r w:rsidR="001A690D" w:rsidRPr="00F05038">
            <w:t xml:space="preserve">shows the result for the main ratings scale of </w:t>
          </w:r>
          <w:r w:rsidR="00312C58" w:rsidRPr="00F05038">
            <w:t>DBRS</w:t>
          </w:r>
          <w:r w:rsidR="008A4E54" w:rsidRPr="00F05038">
            <w:t xml:space="preserve">, the Long-term </w:t>
          </w:r>
          <w:r w:rsidR="00312C58" w:rsidRPr="00F05038">
            <w:t>obligations</w:t>
          </w:r>
          <w:r w:rsidR="008A4E54" w:rsidRPr="00F05038">
            <w:t xml:space="preserve"> rating scale</w:t>
          </w:r>
          <w:r w:rsidR="001A690D" w:rsidRPr="00F05038">
            <w:t>.</w:t>
          </w:r>
          <w:bookmarkStart w:id="1" w:name="_Ref384799510"/>
        </w:p>
        <w:p w:rsidR="0041788D" w:rsidRPr="0041788D" w:rsidRDefault="0041788D" w:rsidP="0041788D">
          <w:pPr>
            <w:pStyle w:val="Caption"/>
            <w:keepNext/>
            <w:rPr>
              <w:b w:val="0"/>
              <w:sz w:val="22"/>
              <w:szCs w:val="22"/>
            </w:rPr>
          </w:pPr>
          <w:bookmarkStart w:id="2" w:name="_Ref384919272"/>
          <w:r w:rsidRPr="0041788D">
            <w:rPr>
              <w:b w:val="0"/>
              <w:sz w:val="22"/>
              <w:szCs w:val="22"/>
            </w:rPr>
            <w:t xml:space="preserve">Figure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CD7BD7">
            <w:rPr>
              <w:b w:val="0"/>
              <w:noProof/>
              <w:sz w:val="22"/>
              <w:szCs w:val="22"/>
            </w:rPr>
            <w:t>1</w:t>
          </w:r>
          <w:r w:rsidRPr="0041788D">
            <w:rPr>
              <w:b w:val="0"/>
              <w:sz w:val="22"/>
              <w:szCs w:val="22"/>
            </w:rPr>
            <w:fldChar w:fldCharType="end"/>
          </w:r>
          <w:bookmarkEnd w:id="1"/>
          <w:bookmarkEnd w:id="2"/>
          <w:r w:rsidRPr="0041788D">
            <w:rPr>
              <w:b w:val="0"/>
              <w:sz w:val="22"/>
              <w:szCs w:val="22"/>
            </w:rPr>
            <w:t xml:space="preserve">: Mapping of </w:t>
          </w:r>
          <w:r w:rsidR="00312C58">
            <w:rPr>
              <w:b w:val="0"/>
              <w:sz w:val="22"/>
              <w:szCs w:val="22"/>
            </w:rPr>
            <w:t>DBRS</w:t>
          </w:r>
          <w:r w:rsidRPr="0041788D">
            <w:rPr>
              <w:b w:val="0"/>
              <w:sz w:val="22"/>
              <w:szCs w:val="22"/>
            </w:rPr>
            <w:t xml:space="preserve">’s Long-term </w:t>
          </w:r>
          <w:r w:rsidR="00312C58">
            <w:rPr>
              <w:b w:val="0"/>
              <w:sz w:val="22"/>
              <w:szCs w:val="22"/>
            </w:rPr>
            <w:t>obligations</w:t>
          </w:r>
          <w:r w:rsidRPr="0041788D">
            <w:rPr>
              <w:b w:val="0"/>
              <w:sz w:val="22"/>
              <w:szCs w:val="22"/>
            </w:rPr>
            <w:t xml:space="preserve"> rating scale</w:t>
          </w:r>
        </w:p>
        <w:tbl>
          <w:tblPr>
            <w:tblStyle w:val="TableGrid"/>
            <w:tblW w:w="4253" w:type="dxa"/>
            <w:tblInd w:w="108" w:type="dxa"/>
            <w:tblLayout w:type="fixed"/>
            <w:tblLook w:val="04A0" w:firstRow="1" w:lastRow="0" w:firstColumn="1" w:lastColumn="0" w:noHBand="0" w:noVBand="1"/>
          </w:tblPr>
          <w:tblGrid>
            <w:gridCol w:w="1418"/>
            <w:gridCol w:w="2835"/>
          </w:tblGrid>
          <w:tr w:rsidR="002F29E8" w:rsidRPr="00157D76" w:rsidTr="00AF0256">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2F29E8" w:rsidRPr="00157D76" w:rsidRDefault="002F29E8" w:rsidP="00D63A88">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835" w:type="dxa"/>
                <w:tcBorders>
                  <w:bottom w:val="single" w:sz="18" w:space="0" w:color="E98E31" w:themeColor="background2"/>
                </w:tcBorders>
              </w:tcPr>
              <w:p w:rsidR="002F29E8" w:rsidRPr="00157D76" w:rsidRDefault="002F29E8" w:rsidP="005F3ADF">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2F29E8" w:rsidRPr="00157D76" w:rsidTr="00AF0256">
            <w:trPr>
              <w:trHeight w:val="567"/>
            </w:trPr>
            <w:tc>
              <w:tcPr>
                <w:tcW w:w="1418" w:type="dxa"/>
                <w:tcBorders>
                  <w:top w:val="single" w:sz="18" w:space="0" w:color="E98E31" w:themeColor="background2"/>
                  <w:bottom w:val="dashed" w:sz="4" w:space="0" w:color="auto"/>
                </w:tcBorders>
              </w:tcPr>
              <w:p w:rsidR="002F29E8" w:rsidRPr="00157D76" w:rsidRDefault="002F29E8"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2835" w:type="dxa"/>
                <w:tcBorders>
                  <w:top w:val="single" w:sz="18" w:space="0" w:color="E98E31" w:themeColor="background2"/>
                  <w:bottom w:val="single" w:sz="4" w:space="0" w:color="auto"/>
                </w:tcBorders>
              </w:tcPr>
              <w:p w:rsidR="002F29E8" w:rsidRPr="00157D76" w:rsidRDefault="002F29E8"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2F29E8" w:rsidRPr="00157D76" w:rsidTr="00AF0256">
            <w:trPr>
              <w:trHeight w:val="567"/>
            </w:trPr>
            <w:tc>
              <w:tcPr>
                <w:tcW w:w="1418" w:type="dxa"/>
                <w:tcBorders>
                  <w:bottom w:val="dashed" w:sz="4" w:space="0" w:color="auto"/>
                </w:tcBorders>
              </w:tcPr>
              <w:p w:rsidR="002F29E8" w:rsidRPr="00157D76" w:rsidRDefault="002F29E8"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2835" w:type="dxa"/>
                <w:tcBorders>
                  <w:bottom w:val="single" w:sz="4" w:space="0" w:color="auto"/>
                </w:tcBorders>
              </w:tcPr>
              <w:p w:rsidR="002F29E8" w:rsidRPr="00157D76" w:rsidRDefault="002F29E8"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2F29E8" w:rsidRPr="00157D76" w:rsidTr="00AF0256">
            <w:trPr>
              <w:trHeight w:val="567"/>
            </w:trPr>
            <w:tc>
              <w:tcPr>
                <w:tcW w:w="1418" w:type="dxa"/>
                <w:tcBorders>
                  <w:bottom w:val="dashed" w:sz="4" w:space="0" w:color="auto"/>
                </w:tcBorders>
              </w:tcPr>
              <w:p w:rsidR="002F29E8" w:rsidRPr="00157D76" w:rsidRDefault="002F29E8"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2835" w:type="dxa"/>
                <w:tcBorders>
                  <w:bottom w:val="single" w:sz="4" w:space="0" w:color="auto"/>
                </w:tcBorders>
              </w:tcPr>
              <w:p w:rsidR="002F29E8" w:rsidRPr="00157D76" w:rsidRDefault="002F29E8"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r>
          <w:tr w:rsidR="002F29E8" w:rsidRPr="00157D76" w:rsidTr="00AF0256">
            <w:trPr>
              <w:trHeight w:val="567"/>
            </w:trPr>
            <w:tc>
              <w:tcPr>
                <w:tcW w:w="1418" w:type="dxa"/>
              </w:tcPr>
              <w:p w:rsidR="002F29E8" w:rsidRPr="00157D76" w:rsidRDefault="002F29E8"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2835" w:type="dxa"/>
              </w:tcPr>
              <w:p w:rsidR="002F29E8" w:rsidRPr="00157D76" w:rsidRDefault="002F29E8"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r>
          <w:tr w:rsidR="002F29E8" w:rsidRPr="00157D76" w:rsidTr="00AF0256">
            <w:trPr>
              <w:trHeight w:val="567"/>
            </w:trPr>
            <w:tc>
              <w:tcPr>
                <w:tcW w:w="1418" w:type="dxa"/>
              </w:tcPr>
              <w:p w:rsidR="002F29E8" w:rsidRPr="00157D76" w:rsidRDefault="002F29E8"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2835" w:type="dxa"/>
              </w:tcPr>
              <w:p w:rsidR="002F29E8" w:rsidRPr="00157D76" w:rsidRDefault="002F29E8"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r>
          <w:tr w:rsidR="002F29E8" w:rsidRPr="00157D76" w:rsidTr="00AF0256">
            <w:trPr>
              <w:trHeight w:val="567"/>
            </w:trPr>
            <w:tc>
              <w:tcPr>
                <w:tcW w:w="1418" w:type="dxa"/>
              </w:tcPr>
              <w:p w:rsidR="002F29E8" w:rsidRPr="00157D76" w:rsidRDefault="002F29E8"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2835" w:type="dxa"/>
              </w:tcPr>
              <w:p w:rsidR="002F29E8" w:rsidRPr="00157D76" w:rsidRDefault="002F29E8"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w:t>
                </w:r>
              </w:p>
            </w:tc>
          </w:tr>
          <w:tr w:rsidR="002F29E8" w:rsidRPr="00157D76" w:rsidTr="00AF0256">
            <w:trPr>
              <w:trHeight w:val="567"/>
            </w:trPr>
            <w:tc>
              <w:tcPr>
                <w:tcW w:w="1418" w:type="dxa"/>
              </w:tcPr>
              <w:p w:rsidR="002F29E8" w:rsidRPr="00157D76" w:rsidRDefault="002F29E8"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2835" w:type="dxa"/>
              </w:tcPr>
              <w:p w:rsidR="002F29E8" w:rsidRPr="00157D76" w:rsidRDefault="002F29E8"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2F29E8" w:rsidRPr="00157D76" w:rsidTr="00AF0256">
            <w:trPr>
              <w:trHeight w:val="567"/>
            </w:trPr>
            <w:tc>
              <w:tcPr>
                <w:tcW w:w="1418" w:type="dxa"/>
              </w:tcPr>
              <w:p w:rsidR="002F29E8" w:rsidRPr="00157D76" w:rsidRDefault="002F29E8"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p>
            </w:tc>
            <w:tc>
              <w:tcPr>
                <w:tcW w:w="2835" w:type="dxa"/>
              </w:tcPr>
              <w:p w:rsidR="002F29E8" w:rsidRPr="00157D76" w:rsidRDefault="002F29E8"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2F29E8" w:rsidRPr="00157D76" w:rsidTr="00AF0256">
            <w:trPr>
              <w:trHeight w:val="567"/>
            </w:trPr>
            <w:tc>
              <w:tcPr>
                <w:tcW w:w="1418" w:type="dxa"/>
              </w:tcPr>
              <w:p w:rsidR="002F29E8" w:rsidRPr="00157D76" w:rsidRDefault="002F29E8" w:rsidP="00036322">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w:t>
                </w:r>
              </w:p>
            </w:tc>
            <w:tc>
              <w:tcPr>
                <w:tcW w:w="2835" w:type="dxa"/>
              </w:tcPr>
              <w:p w:rsidR="002F29E8" w:rsidRPr="00157D76" w:rsidRDefault="002F29E8"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2F29E8" w:rsidRPr="00157D76" w:rsidTr="00AF0256">
            <w:trPr>
              <w:trHeight w:val="567"/>
            </w:trPr>
            <w:tc>
              <w:tcPr>
                <w:tcW w:w="1418" w:type="dxa"/>
              </w:tcPr>
              <w:p w:rsidR="002F29E8" w:rsidRPr="00157D76" w:rsidRDefault="002F29E8"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D</w:t>
                </w:r>
              </w:p>
            </w:tc>
            <w:tc>
              <w:tcPr>
                <w:tcW w:w="2835" w:type="dxa"/>
              </w:tcPr>
              <w:p w:rsidR="002F29E8" w:rsidRPr="00157D76" w:rsidRDefault="002F29E8"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bl>
        <w:p w:rsidR="00057350" w:rsidRDefault="004E160A" w:rsidP="00AF0256">
          <w:pPr>
            <w:pStyle w:val="Numberedtitlelevel2"/>
            <w:ind w:left="357" w:hanging="357"/>
            <w:outlineLvl w:val="0"/>
          </w:pPr>
          <w:r w:rsidRPr="00BE6527">
            <w:t>Introduction</w:t>
          </w:r>
        </w:p>
      </w:sdtContent>
    </w:sdt>
    <w:p w:rsidR="00C91B21" w:rsidRDefault="00E11F38" w:rsidP="00545DAD">
      <w:pPr>
        <w:pStyle w:val="numberedparagraph"/>
        <w:tabs>
          <w:tab w:val="clear" w:pos="710"/>
          <w:tab w:val="num" w:pos="284"/>
        </w:tabs>
        <w:ind w:left="284"/>
      </w:pPr>
      <w:r w:rsidRPr="00AC59E0">
        <w:lastRenderedPageBreak/>
        <w:t xml:space="preserve">This report </w:t>
      </w:r>
      <w:r w:rsidRPr="003F2CE1">
        <w:t xml:space="preserve">describes the mapping exercise carried out by the </w:t>
      </w:r>
      <w:r>
        <w:t>JC</w:t>
      </w:r>
      <w:r w:rsidRPr="003F2CE1">
        <w:t xml:space="preserve"> to </w:t>
      </w:r>
      <w:r>
        <w:t xml:space="preserve">propose an amended </w:t>
      </w:r>
      <w:r w:rsidRPr="003F2CE1">
        <w:t xml:space="preserve">‘mapping’ </w:t>
      </w:r>
      <w:r>
        <w:t xml:space="preserve">report </w:t>
      </w:r>
      <w:r w:rsidRPr="003F2CE1">
        <w:t xml:space="preserve">of the credit assessments of </w:t>
      </w:r>
      <w:r w:rsidR="00312C58" w:rsidRPr="0004112B">
        <w:t xml:space="preserve">DBRS Ratings </w:t>
      </w:r>
      <w:r w:rsidR="00C91B21" w:rsidRPr="0004112B">
        <w:t>(</w:t>
      </w:r>
      <w:r w:rsidR="00312C58" w:rsidRPr="0004112B">
        <w:t>DBRS</w:t>
      </w:r>
      <w:r w:rsidR="00C91B21" w:rsidRPr="0004112B">
        <w:t>)</w:t>
      </w:r>
      <w:r>
        <w:t>, with respect to the version published on 11 November 2015</w:t>
      </w:r>
      <w:r w:rsidR="00C91B21" w:rsidRPr="0004112B">
        <w:t>.</w:t>
      </w:r>
    </w:p>
    <w:p w:rsidR="00F815E0" w:rsidRDefault="00312C58" w:rsidP="008752C1">
      <w:pPr>
        <w:pStyle w:val="numberedparagraph"/>
        <w:tabs>
          <w:tab w:val="clear" w:pos="710"/>
          <w:tab w:val="num" w:pos="284"/>
          <w:tab w:val="num" w:pos="996"/>
        </w:tabs>
        <w:ind w:left="284"/>
      </w:pPr>
      <w:r>
        <w:t>DBRS</w:t>
      </w:r>
      <w:r w:rsidR="00540BB7" w:rsidRPr="00540BB7">
        <w:t xml:space="preserve"> has been registered with ESMA </w:t>
      </w:r>
      <w:r w:rsidR="008752C1">
        <w:t>since</w:t>
      </w:r>
      <w:r w:rsidR="008752C1" w:rsidRPr="00540BB7">
        <w:t xml:space="preserve"> </w:t>
      </w:r>
      <w:r w:rsidR="00540BB7" w:rsidRPr="00540BB7">
        <w:t xml:space="preserve">31 October 2011 </w:t>
      </w:r>
      <w:r w:rsidR="008752C1">
        <w:t xml:space="preserve">in the UK </w:t>
      </w:r>
      <w:r w:rsidR="00540BB7" w:rsidRPr="00540BB7">
        <w:t>and therefore meets the conditions to be an eligible credit assessment institution (ECAI)</w:t>
      </w:r>
      <w:r w:rsidR="008B7151" w:rsidRPr="00FF392F">
        <w:rPr>
          <w:vertAlign w:val="superscript"/>
        </w:rPr>
        <w:footnoteReference w:id="5"/>
      </w:r>
      <w:r w:rsidR="00540BB7" w:rsidRPr="00540BB7">
        <w:t xml:space="preserve">. </w:t>
      </w:r>
      <w:r w:rsidR="008752C1" w:rsidRPr="00DD6785">
        <w:t>Further</w:t>
      </w:r>
      <w:r w:rsidR="008752C1">
        <w:t>,</w:t>
      </w:r>
      <w:r w:rsidR="008752C1" w:rsidRPr="00DD6785">
        <w:t xml:space="preserve"> </w:t>
      </w:r>
      <w:r w:rsidR="008752C1">
        <w:t>a</w:t>
      </w:r>
      <w:r w:rsidR="008752C1" w:rsidRPr="00DD6785">
        <w:t xml:space="preserve"> regist</w:t>
      </w:r>
      <w:r w:rsidR="008752C1">
        <w:t xml:space="preserve">ration </w:t>
      </w:r>
      <w:r w:rsidR="008752C1" w:rsidRPr="00DD6785">
        <w:t xml:space="preserve">in  </w:t>
      </w:r>
      <w:r w:rsidR="008752C1">
        <w:t>Germany</w:t>
      </w:r>
      <w:r w:rsidR="008752C1" w:rsidRPr="00DD6785">
        <w:t xml:space="preserve"> on </w:t>
      </w:r>
      <w:r w:rsidR="008752C1">
        <w:t>14</w:t>
      </w:r>
      <w:r w:rsidR="008752C1" w:rsidRPr="00DD6785">
        <w:t xml:space="preserve"> December 2018</w:t>
      </w:r>
      <w:r w:rsidR="008752C1">
        <w:t xml:space="preserve"> took place</w:t>
      </w:r>
      <w:r w:rsidR="008752C1" w:rsidRPr="00DD6785">
        <w:t xml:space="preserve">, maintaining the same </w:t>
      </w:r>
      <w:r w:rsidR="008752C1" w:rsidRPr="00DD6785">
        <w:rPr>
          <w:szCs w:val="22"/>
        </w:rPr>
        <w:t>scope and methodology for credit assessments.</w:t>
      </w:r>
    </w:p>
    <w:p w:rsidR="00E11F38" w:rsidRDefault="00E11F38" w:rsidP="00E11F38">
      <w:pPr>
        <w:pStyle w:val="numberedparagraph"/>
        <w:tabs>
          <w:tab w:val="clear" w:pos="710"/>
          <w:tab w:val="num" w:pos="284"/>
        </w:tabs>
        <w:ind w:left="284"/>
      </w:pPr>
      <w:r w:rsidRPr="00E27B0D">
        <w:t xml:space="preserve">The methodology applied to produce the mapping is the one specified in the Implementing </w:t>
      </w:r>
      <w:r>
        <w:t>Regulation</w:t>
      </w:r>
      <w:r w:rsidRPr="00E27B0D">
        <w:t>. Th</w:t>
      </w:r>
      <w:r>
        <w:t>is</w:t>
      </w:r>
      <w:r w:rsidRPr="00E27B0D">
        <w:t xml:space="preserve"> </w:t>
      </w:r>
      <w:r>
        <w:t>Implementing Regulation</w:t>
      </w:r>
      <w:r w:rsidRPr="00E27B0D">
        <w:t xml:space="preserve"> employ</w:t>
      </w:r>
      <w:r>
        <w:t>s</w:t>
      </w:r>
      <w:r w:rsidRPr="00E27B0D">
        <w:t xml:space="preserve"> a combination of the provisions laid down in Article 136(2) of </w:t>
      </w:r>
      <w:r>
        <w:t>the CRR</w:t>
      </w:r>
      <w:r w:rsidRPr="00E27B0D">
        <w:t>.</w:t>
      </w:r>
      <w:r w:rsidRPr="00540BB7">
        <w:t xml:space="preserve"> </w:t>
      </w:r>
      <w:r>
        <w:t>The information base used to produce this mapping report</w:t>
      </w:r>
      <w:r w:rsidRPr="00643104">
        <w:t xml:space="preserve"> </w:t>
      </w:r>
      <w:r>
        <w:t xml:space="preserve">reflects additional quantitative information collected after the submission of the draft Implementing Technical Standards by the JC to the European Commission. Regarding qualitative developments, the qualitative factors described in the Implementing Regulation remain unchanged while </w:t>
      </w:r>
      <w:r w:rsidR="00470FA4" w:rsidRPr="00B849CA">
        <w:t xml:space="preserve">two new rating scales have been </w:t>
      </w:r>
      <w:r w:rsidR="00470FA4" w:rsidRPr="00AF263D">
        <w:t xml:space="preserve">introduced </w:t>
      </w:r>
      <w:r w:rsidR="00470FA4" w:rsidRPr="00111518">
        <w:t>(the Credit Fund Rating Scale and the Expected Loss Rating Scale)</w:t>
      </w:r>
      <w:r w:rsidR="00470FA4" w:rsidRPr="00AF263D">
        <w:t>,</w:t>
      </w:r>
      <w:r w:rsidR="00470FA4" w:rsidRPr="00B849CA">
        <w:t xml:space="preserve"> the Claims Paying Ability Rating Scale has been replaced by the Financial Strength Rating Scale and additional credit rating types have been introduced: the long-term and short-term Deposit Ratings and the long-term and short-term Critical Obligation Ratings</w:t>
      </w:r>
      <w:r>
        <w:rPr>
          <w:lang w:val="en-GB"/>
        </w:rPr>
        <w:t xml:space="preserve">. </w:t>
      </w:r>
      <w:r>
        <w:t>T</w:t>
      </w:r>
      <w:r w:rsidRPr="00540BB7">
        <w:t xml:space="preserve">he quantitative information </w:t>
      </w:r>
      <w:r>
        <w:t xml:space="preserve">is drawn from data </w:t>
      </w:r>
      <w:r w:rsidRPr="00540BB7">
        <w:t xml:space="preserve">available in </w:t>
      </w:r>
      <w:r>
        <w:t>the ESMA’s central repository (</w:t>
      </w:r>
      <w:r w:rsidRPr="00540BB7">
        <w:t>CEREP</w:t>
      </w:r>
      <w:r>
        <w:rPr>
          <w:rStyle w:val="FootnoteReference"/>
        </w:rPr>
        <w:footnoteReference w:id="6"/>
      </w:r>
      <w:r>
        <w:t>)</w:t>
      </w:r>
      <w:r w:rsidRPr="00540BB7">
        <w:t xml:space="preserve"> </w:t>
      </w:r>
      <w:r>
        <w:rPr>
          <w:lang w:val="en-GB"/>
        </w:rPr>
        <w:t>based on the credit rating information submitted by the ECAIs as part of their reporting obligations</w:t>
      </w:r>
      <w:r w:rsidRPr="00540BB7">
        <w:t xml:space="preserve">. </w:t>
      </w:r>
    </w:p>
    <w:p w:rsidR="00FF392F" w:rsidRDefault="000B2903" w:rsidP="00545DAD">
      <w:pPr>
        <w:pStyle w:val="numberedparagraph"/>
        <w:tabs>
          <w:tab w:val="clear" w:pos="710"/>
          <w:tab w:val="num" w:pos="284"/>
        </w:tabs>
        <w:ind w:left="284"/>
      </w:pPr>
      <w:r>
        <w:t xml:space="preserve">The following sections describe the rationale underlying the mapping exercise carried out by the Joint Committee (JC) to determine the applicable mapping. </w:t>
      </w:r>
      <w:r w:rsidR="00166DCD">
        <w:t xml:space="preserve">Section 3 describes the relevant ratings scales of </w:t>
      </w:r>
      <w:r w:rsidR="00312C58">
        <w:t>DBRS</w:t>
      </w:r>
      <w:r w:rsidR="00166DCD">
        <w:t xml:space="preserve"> for the purpose of the mapping. Section 4 contains the methodology applied to derive </w:t>
      </w:r>
      <w:r w:rsidR="00B16A01">
        <w:t xml:space="preserve">the mapping of </w:t>
      </w:r>
      <w:r w:rsidR="00312C58">
        <w:t>DBRS</w:t>
      </w:r>
      <w:r w:rsidR="00166DCD">
        <w:t xml:space="preserve">’ main ratings scale whereas Sections 5 and 6 refer to the mapping of </w:t>
      </w:r>
      <w:r w:rsidR="00936DE2">
        <w:t>its</w:t>
      </w:r>
      <w:r w:rsidR="00166DCD">
        <w:t xml:space="preserve"> remaining relevant ratings scales. The mapping tables are shown in Appendix 4 of this document and have been specified in Annex III </w:t>
      </w:r>
      <w:r>
        <w:t>of the Implementing Technical Standards on the mapping of ECAIs’ credit assessments under Article 136(1) and (3) of Regulation (EU) No 575/2013</w:t>
      </w:r>
      <w:r w:rsidR="00166DCD">
        <w:t>.</w:t>
      </w:r>
    </w:p>
    <w:p w:rsidR="00FF392F" w:rsidRDefault="00FF392F">
      <w:pPr>
        <w:rPr>
          <w:lang w:val="en-US"/>
        </w:rPr>
      </w:pPr>
      <w:r>
        <w:br w:type="page"/>
      </w:r>
    </w:p>
    <w:p w:rsidR="00E00BB5" w:rsidRDefault="00E46F63" w:rsidP="00AF0256">
      <w:pPr>
        <w:pStyle w:val="Numberedtitlelevel2"/>
        <w:ind w:left="357" w:hanging="357"/>
        <w:outlineLvl w:val="0"/>
      </w:pPr>
      <w:r>
        <w:lastRenderedPageBreak/>
        <w:t>DBRS</w:t>
      </w:r>
      <w:r w:rsidR="00AF2077" w:rsidRPr="004E160A">
        <w:t xml:space="preserve"> </w:t>
      </w:r>
      <w:r w:rsidR="00AF2077">
        <w:t>c</w:t>
      </w:r>
      <w:r w:rsidR="004E160A" w:rsidRPr="004E160A">
        <w:t>redit ratings and rating scales</w:t>
      </w:r>
    </w:p>
    <w:p w:rsidR="001A236F" w:rsidRDefault="00E46F63" w:rsidP="00CD7BD7">
      <w:pPr>
        <w:pStyle w:val="numberedparagraph"/>
        <w:tabs>
          <w:tab w:val="clear" w:pos="710"/>
          <w:tab w:val="num" w:pos="284"/>
        </w:tabs>
        <w:ind w:left="284"/>
      </w:pPr>
      <w:r>
        <w:t>DBRS</w:t>
      </w:r>
      <w:r w:rsidR="001A236F">
        <w:t xml:space="preserve"> produces</w:t>
      </w:r>
      <w:r w:rsidR="001A236F" w:rsidRPr="0036715E">
        <w:t xml:space="preserve"> </w:t>
      </w:r>
      <w:r w:rsidR="001A236F">
        <w:t xml:space="preserve">a variety of credit ratings. Column 2 of </w:t>
      </w:r>
      <w:r w:rsidR="002B6F3D">
        <w:fldChar w:fldCharType="begin"/>
      </w:r>
      <w:r w:rsidR="002B6F3D">
        <w:instrText xml:space="preserve"> REF _Ref384801505 \h </w:instrText>
      </w:r>
      <w:r w:rsidR="00E11F38">
        <w:instrText xml:space="preserve"> \* MERGEFORMAT </w:instrText>
      </w:r>
      <w:r w:rsidR="002B6F3D">
        <w:fldChar w:fldCharType="separate"/>
      </w:r>
      <w:r w:rsidR="00CD7BD7" w:rsidRPr="00361F71">
        <w:t>Figure 2</w:t>
      </w:r>
      <w:r w:rsidR="002B6F3D">
        <w:fldChar w:fldCharType="end"/>
      </w:r>
      <w:r w:rsidR="001A236F">
        <w:t xml:space="preserve"> in </w:t>
      </w:r>
      <w:r w:rsidR="002B6F3D">
        <w:t>Appendix</w:t>
      </w:r>
      <w:r w:rsidR="001A236F">
        <w:t xml:space="preserve"> 1 shows the relevant credit ratings that may be used by institutions for the calculation of risk weights under the </w:t>
      </w:r>
      <w:proofErr w:type="spellStart"/>
      <w:r w:rsidR="001A236F">
        <w:t>Standardised</w:t>
      </w:r>
      <w:proofErr w:type="spellEnd"/>
      <w:r w:rsidR="001A236F">
        <w:t xml:space="preserve"> Approach (SA)</w:t>
      </w:r>
      <w:r w:rsidR="000066DD">
        <w:rPr>
          <w:rStyle w:val="FootnoteReference"/>
        </w:rPr>
        <w:footnoteReference w:id="7"/>
      </w:r>
      <w:r w:rsidR="001A236F">
        <w:t>:</w:t>
      </w:r>
    </w:p>
    <w:p w:rsidR="00E46F63" w:rsidRPr="00F166AB" w:rsidRDefault="00E46F63" w:rsidP="00F166AB">
      <w:pPr>
        <w:pStyle w:val="bullet2"/>
      </w:pPr>
      <w:r w:rsidRPr="00F166AB">
        <w:rPr>
          <w:b/>
        </w:rPr>
        <w:t>Long-term issue/security rating</w:t>
      </w:r>
      <w:r w:rsidRPr="00F166AB">
        <w:t xml:space="preserve"> - </w:t>
      </w:r>
      <w:r w:rsidR="00F166AB" w:rsidRPr="00F166AB">
        <w:t>ratings on individual securities or classes of securities for a specific issuer include consideration for security or ranking. Ratings that apply to actual securities (secured or unsecured) may be higher, lower or equal to the issuer rating for a given entity</w:t>
      </w:r>
      <w:r w:rsidR="00F166AB">
        <w:t>.</w:t>
      </w:r>
    </w:p>
    <w:p w:rsidR="00E46F63" w:rsidRDefault="00E46F63" w:rsidP="00F166AB">
      <w:pPr>
        <w:pStyle w:val="bullet2"/>
      </w:pPr>
      <w:r w:rsidRPr="00B02717">
        <w:rPr>
          <w:b/>
        </w:rPr>
        <w:t>Long-term issuer rating</w:t>
      </w:r>
      <w:r w:rsidRPr="00B02717">
        <w:t xml:space="preserve"> </w:t>
      </w:r>
      <w:r w:rsidR="0063132A" w:rsidRPr="00B02717">
        <w:t>–</w:t>
      </w:r>
      <w:r w:rsidRPr="00B02717">
        <w:t xml:space="preserve"> </w:t>
      </w:r>
      <w:r w:rsidR="00F166AB" w:rsidRPr="00F166AB">
        <w:t>issuer rating addresses the overall credit strength of the issuer. Unlike ratings on individual securities or classes of securities, issuer ratings are based on the entity itself and do not include consideration for security or ranking</w:t>
      </w:r>
      <w:r w:rsidR="0063132A" w:rsidRPr="00B02717">
        <w:t xml:space="preserve">.  </w:t>
      </w:r>
    </w:p>
    <w:p w:rsidR="00E11F38" w:rsidRPr="00545DAD" w:rsidRDefault="00E11F38" w:rsidP="004E4246">
      <w:pPr>
        <w:pStyle w:val="bullet2"/>
      </w:pPr>
      <w:r w:rsidRPr="00545DAD">
        <w:rPr>
          <w:b/>
        </w:rPr>
        <w:t>Long-term Deposit Ratings</w:t>
      </w:r>
      <w:r w:rsidR="00CC173C">
        <w:rPr>
          <w:lang w:val="en-GB"/>
        </w:rPr>
        <w:t xml:space="preserve"> – </w:t>
      </w:r>
      <w:r w:rsidR="004E4246" w:rsidRPr="004E4246">
        <w:rPr>
          <w:lang w:val="en-GB"/>
        </w:rPr>
        <w:t>DBRS’s deposit ratings refers to wholesale or institutional deposits not covered by any deposit guarantees, and they are currently rated in line with senior debt. Given recent changes in legislation and regulation in some countries, DBRS continues to examine in each jurisdiction whether wholesale deposits benefit from sufficient preference and “seniority” to be rated higher than senior debt.</w:t>
      </w:r>
      <w:r w:rsidR="00B538C3">
        <w:rPr>
          <w:lang w:val="en-GB"/>
        </w:rPr>
        <w:t xml:space="preserve">. </w:t>
      </w:r>
    </w:p>
    <w:p w:rsidR="00E11F38" w:rsidRPr="00B02717" w:rsidRDefault="00E11F38" w:rsidP="00CC173C">
      <w:pPr>
        <w:pStyle w:val="bullet2"/>
      </w:pPr>
      <w:r w:rsidRPr="00545DAD">
        <w:rPr>
          <w:b/>
          <w:lang w:val="en-GB"/>
        </w:rPr>
        <w:t>Long-term Critical Obligation Ratings</w:t>
      </w:r>
      <w:r w:rsidR="00CC173C" w:rsidRPr="00CC173C">
        <w:rPr>
          <w:lang w:val="en-GB"/>
        </w:rPr>
        <w:t xml:space="preserve"> - risk of default of particular obligations/ exposures at certain banks that have a higher probability of being excluded from bail-in and remaining in a continuing bank in the event of the resolution of a troubled</w:t>
      </w:r>
      <w:r w:rsidR="00CC173C">
        <w:rPr>
          <w:lang w:val="en-GB"/>
        </w:rPr>
        <w:t xml:space="preserve"> </w:t>
      </w:r>
      <w:r w:rsidR="00CC173C" w:rsidRPr="00CC173C">
        <w:rPr>
          <w:lang w:val="en-GB"/>
        </w:rPr>
        <w:t>bank than other senior unsecured obligations.</w:t>
      </w:r>
      <w:r w:rsidR="00966B13">
        <w:rPr>
          <w:lang w:val="en-GB"/>
        </w:rPr>
        <w:t xml:space="preserve"> </w:t>
      </w:r>
    </w:p>
    <w:p w:rsidR="00E46F63" w:rsidRPr="00B02717" w:rsidRDefault="00737A4C" w:rsidP="00F166AB">
      <w:pPr>
        <w:pStyle w:val="bullet2"/>
      </w:pPr>
      <w:r>
        <w:rPr>
          <w:b/>
        </w:rPr>
        <w:t>Insurer Financial Strength</w:t>
      </w:r>
      <w:r w:rsidR="00E46F63" w:rsidRPr="00E11F38">
        <w:rPr>
          <w:b/>
        </w:rPr>
        <w:t xml:space="preserve"> rating</w:t>
      </w:r>
      <w:r w:rsidR="00E46F63" w:rsidRPr="00B02717">
        <w:t xml:space="preserve"> - </w:t>
      </w:r>
      <w:r w:rsidR="00F166AB" w:rsidRPr="00F166AB">
        <w:t>gives an indication of the risk that a borrower will not fulfil its full obligations in a timely manner. Claims paying ratings measure the capacity of an insurance company to pay its policyholder claims as they fall due. The rating for claims paying ability is the highest rating for an insurance company, since claims paying ranks ahead of all debt</w:t>
      </w:r>
      <w:r w:rsidR="00E46F63" w:rsidRPr="00B02717">
        <w:t>.</w:t>
      </w:r>
    </w:p>
    <w:p w:rsidR="00E46F63" w:rsidRPr="00F166AB" w:rsidRDefault="00E46F63" w:rsidP="00F166AB">
      <w:pPr>
        <w:pStyle w:val="bullet2"/>
      </w:pPr>
      <w:r w:rsidRPr="00F166AB">
        <w:rPr>
          <w:b/>
        </w:rPr>
        <w:t>Short-term issue/security rating</w:t>
      </w:r>
      <w:r w:rsidRPr="00F166AB">
        <w:t xml:space="preserve"> - </w:t>
      </w:r>
      <w:r w:rsidR="00F166AB" w:rsidRPr="00F166AB">
        <w:t>ratings on individual securities or classes of securities for a specific issuer include consideration for security or ranking. Ratings that apply to actual securities (secured or unsecured) may be higher, lower or equal to the issuer rating for a given entity</w:t>
      </w:r>
    </w:p>
    <w:p w:rsidR="00E46F63" w:rsidRDefault="00893536" w:rsidP="00F166AB">
      <w:pPr>
        <w:pStyle w:val="bullet2"/>
      </w:pPr>
      <w:r w:rsidRPr="00B02717">
        <w:rPr>
          <w:b/>
        </w:rPr>
        <w:t>Short-term i</w:t>
      </w:r>
      <w:r w:rsidR="00E46F63" w:rsidRPr="00B02717">
        <w:rPr>
          <w:b/>
        </w:rPr>
        <w:t>ssuer rating</w:t>
      </w:r>
      <w:r w:rsidR="00E46F63" w:rsidRPr="00B02717">
        <w:t xml:space="preserve"> </w:t>
      </w:r>
      <w:r w:rsidR="0063132A" w:rsidRPr="00B02717">
        <w:t>–</w:t>
      </w:r>
      <w:r w:rsidR="00E46F63" w:rsidRPr="00B02717">
        <w:t xml:space="preserve"> </w:t>
      </w:r>
      <w:r w:rsidR="00F166AB" w:rsidRPr="00F166AB">
        <w:t>reflects the issuer’s overall creditworthiness over a short-time horizon</w:t>
      </w:r>
      <w:r w:rsidR="0063132A" w:rsidRPr="00B02717">
        <w:t>.</w:t>
      </w:r>
    </w:p>
    <w:p w:rsidR="00E11F38" w:rsidRPr="00B02717" w:rsidRDefault="00E11F38" w:rsidP="00E11F38">
      <w:pPr>
        <w:pStyle w:val="bullet2"/>
      </w:pPr>
      <w:r w:rsidRPr="00545DAD">
        <w:rPr>
          <w:b/>
          <w:lang w:val="en-GB"/>
        </w:rPr>
        <w:lastRenderedPageBreak/>
        <w:t>Short-term Deposit Ratings</w:t>
      </w:r>
      <w:r w:rsidR="00737A4C">
        <w:rPr>
          <w:lang w:val="en-GB"/>
        </w:rPr>
        <w:t xml:space="preserve"> – the same definition of long-term deposit ratings apply but over a short-term horizon.</w:t>
      </w:r>
    </w:p>
    <w:p w:rsidR="00737A4C" w:rsidRPr="00B02717" w:rsidRDefault="00E11F38" w:rsidP="00737A4C">
      <w:pPr>
        <w:pStyle w:val="bullet2"/>
      </w:pPr>
      <w:r w:rsidRPr="00545DAD">
        <w:rPr>
          <w:b/>
          <w:lang w:val="en-GB"/>
        </w:rPr>
        <w:t>Short-term Critical Obligation Ratings</w:t>
      </w:r>
      <w:r w:rsidR="00CC173C">
        <w:rPr>
          <w:lang w:val="en-GB"/>
        </w:rPr>
        <w:t xml:space="preserve"> - </w:t>
      </w:r>
      <w:r w:rsidR="00737A4C">
        <w:rPr>
          <w:lang w:val="en-GB"/>
        </w:rPr>
        <w:t>the same definition of long-term deposit ratings apply but over a short-term horizon.</w:t>
      </w:r>
    </w:p>
    <w:p w:rsidR="001A236F" w:rsidRDefault="00E46F63" w:rsidP="00CD7BD7">
      <w:pPr>
        <w:pStyle w:val="numberedparagraph"/>
        <w:tabs>
          <w:tab w:val="clear" w:pos="710"/>
          <w:tab w:val="num" w:pos="284"/>
        </w:tabs>
        <w:ind w:left="284"/>
      </w:pPr>
      <w:r>
        <w:t>DBRS</w:t>
      </w:r>
      <w:r w:rsidR="001A236F">
        <w:t xml:space="preserve">’s assigns these credit ratings to different rating scales as illustrated in column 3 of </w:t>
      </w:r>
      <w:r w:rsidR="00D50FFD">
        <w:fldChar w:fldCharType="begin"/>
      </w:r>
      <w:r w:rsidR="00D50FFD">
        <w:instrText xml:space="preserve"> REF _Ref384801505 \h </w:instrText>
      </w:r>
      <w:r w:rsidR="004B1D8D">
        <w:instrText xml:space="preserve"> \* MERGEFORMAT </w:instrText>
      </w:r>
      <w:r w:rsidR="00D50FFD">
        <w:fldChar w:fldCharType="separate"/>
      </w:r>
      <w:r w:rsidR="00CD7BD7" w:rsidRPr="00361F71">
        <w:t>Figure 2</w:t>
      </w:r>
      <w:r w:rsidR="00D50FFD">
        <w:fldChar w:fldCharType="end"/>
      </w:r>
      <w:r w:rsidR="001A236F">
        <w:t xml:space="preserve"> in </w:t>
      </w:r>
      <w:r w:rsidR="002B6F3D">
        <w:t>Appendix</w:t>
      </w:r>
      <w:r w:rsidR="001A236F">
        <w:t xml:space="preserve"> 1. Therefore, a specific mapping has been prepared for the following rating scales:</w:t>
      </w:r>
    </w:p>
    <w:p w:rsidR="001A236F" w:rsidRDefault="001A236F" w:rsidP="001A236F">
      <w:pPr>
        <w:pStyle w:val="bullet2"/>
      </w:pPr>
      <w:r w:rsidRPr="006D628D">
        <w:rPr>
          <w:b/>
        </w:rPr>
        <w:t xml:space="preserve">Long-term </w:t>
      </w:r>
      <w:r w:rsidR="00E46F63">
        <w:rPr>
          <w:b/>
        </w:rPr>
        <w:t>obligations</w:t>
      </w:r>
      <w:r w:rsidRPr="006D628D">
        <w:rPr>
          <w:b/>
        </w:rPr>
        <w:t xml:space="preserve"> rating scale. </w:t>
      </w:r>
      <w:r w:rsidRPr="0024143D">
        <w:t xml:space="preserve">The </w:t>
      </w:r>
      <w:r w:rsidRPr="00623B9F">
        <w:t xml:space="preserve">specification of this rating scale is described in </w:t>
      </w:r>
      <w:r w:rsidR="00966B13">
        <w:t>Figure 3</w:t>
      </w:r>
      <w:r w:rsidRPr="00623B9F">
        <w:t xml:space="preserve"> of </w:t>
      </w:r>
      <w:r w:rsidR="002B6F3D">
        <w:t>Appendix</w:t>
      </w:r>
      <w:r w:rsidRPr="00623B9F">
        <w:t xml:space="preserve"> 1.</w:t>
      </w:r>
    </w:p>
    <w:p w:rsidR="001A236F" w:rsidRPr="00623B9F" w:rsidRDefault="00E46F63" w:rsidP="001A236F">
      <w:pPr>
        <w:pStyle w:val="bullet2"/>
      </w:pPr>
      <w:r w:rsidRPr="00507F42">
        <w:rPr>
          <w:b/>
        </w:rPr>
        <w:t xml:space="preserve">Commercial </w:t>
      </w:r>
      <w:r>
        <w:rPr>
          <w:b/>
        </w:rPr>
        <w:t>p</w:t>
      </w:r>
      <w:r w:rsidRPr="00507F42">
        <w:rPr>
          <w:b/>
        </w:rPr>
        <w:t xml:space="preserve">aper and </w:t>
      </w:r>
      <w:r>
        <w:rPr>
          <w:b/>
        </w:rPr>
        <w:t>s</w:t>
      </w:r>
      <w:r w:rsidRPr="00507F42">
        <w:rPr>
          <w:b/>
        </w:rPr>
        <w:t>hort-</w:t>
      </w:r>
      <w:r>
        <w:rPr>
          <w:b/>
        </w:rPr>
        <w:t>t</w:t>
      </w:r>
      <w:r w:rsidRPr="00507F42">
        <w:rPr>
          <w:b/>
        </w:rPr>
        <w:t xml:space="preserve">erm </w:t>
      </w:r>
      <w:r>
        <w:rPr>
          <w:b/>
        </w:rPr>
        <w:t>d</w:t>
      </w:r>
      <w:r w:rsidRPr="00507F42">
        <w:rPr>
          <w:b/>
        </w:rPr>
        <w:t>ebt rating scale.</w:t>
      </w:r>
      <w:r w:rsidR="001A236F" w:rsidRPr="006D628D">
        <w:rPr>
          <w:b/>
        </w:rPr>
        <w:t xml:space="preserve"> </w:t>
      </w:r>
      <w:r w:rsidR="001A236F" w:rsidRPr="0024143D">
        <w:t xml:space="preserve">The </w:t>
      </w:r>
      <w:r w:rsidR="001A236F" w:rsidRPr="00623B9F">
        <w:t>specification of this rating s</w:t>
      </w:r>
      <w:r w:rsidR="001A236F">
        <w:t xml:space="preserve">cale is described in </w:t>
      </w:r>
      <w:r w:rsidR="00966B13">
        <w:t xml:space="preserve">Figure 4 </w:t>
      </w:r>
      <w:r w:rsidR="001A236F" w:rsidRPr="00623B9F">
        <w:t xml:space="preserve">of </w:t>
      </w:r>
      <w:r w:rsidR="002B6F3D">
        <w:t>Appendix</w:t>
      </w:r>
      <w:r w:rsidR="001A236F" w:rsidRPr="00623B9F">
        <w:t xml:space="preserve"> 1.</w:t>
      </w:r>
    </w:p>
    <w:p w:rsidR="001A236F" w:rsidRDefault="006F6281" w:rsidP="00E46F63">
      <w:pPr>
        <w:pStyle w:val="bullet2"/>
      </w:pPr>
      <w:r w:rsidRPr="00545DAD">
        <w:rPr>
          <w:b/>
          <w:lang w:val="en-GB"/>
        </w:rPr>
        <w:t>Financial Strength Rating Scale</w:t>
      </w:r>
      <w:r w:rsidR="001A236F" w:rsidRPr="006D628D">
        <w:rPr>
          <w:b/>
        </w:rPr>
        <w:t>.</w:t>
      </w:r>
      <w:r w:rsidR="001A236F" w:rsidRPr="00623B9F">
        <w:t xml:space="preserve"> The specification of this rating s</w:t>
      </w:r>
      <w:r w:rsidR="001A236F">
        <w:t xml:space="preserve">cale is described in </w:t>
      </w:r>
      <w:r w:rsidR="00966B13">
        <w:t>Figure 5</w:t>
      </w:r>
      <w:r w:rsidR="001A236F" w:rsidRPr="00623B9F">
        <w:t xml:space="preserve"> of </w:t>
      </w:r>
      <w:r w:rsidR="002B6F3D">
        <w:t>Appendix</w:t>
      </w:r>
      <w:r w:rsidR="001A236F" w:rsidRPr="00623B9F">
        <w:t xml:space="preserve"> 1.</w:t>
      </w:r>
    </w:p>
    <w:p w:rsidR="001A236F" w:rsidRDefault="001A236F" w:rsidP="00545DAD">
      <w:pPr>
        <w:pStyle w:val="numberedparagraph"/>
        <w:tabs>
          <w:tab w:val="clear" w:pos="710"/>
          <w:tab w:val="num" w:pos="284"/>
        </w:tabs>
        <w:ind w:left="284"/>
      </w:pPr>
      <w:r>
        <w:t xml:space="preserve">The mapping of the </w:t>
      </w:r>
      <w:r w:rsidRPr="007D745E">
        <w:t xml:space="preserve">Long-term </w:t>
      </w:r>
      <w:r w:rsidR="00E46F63">
        <w:t>obligations</w:t>
      </w:r>
      <w:r w:rsidRPr="007D745E">
        <w:t xml:space="preserve"> rating scale </w:t>
      </w:r>
      <w:r w:rsidR="0039037C">
        <w:t xml:space="preserve">is explained in Section </w:t>
      </w:r>
      <w:r w:rsidR="00B16CDE">
        <w:t>4</w:t>
      </w:r>
      <w:r w:rsidR="0039037C">
        <w:t xml:space="preserve"> and it </w:t>
      </w:r>
      <w:r>
        <w:t>has been derived in accordance with the quantitative factors</w:t>
      </w:r>
      <w:r w:rsidR="008A2942">
        <w:t>, qualitative factors</w:t>
      </w:r>
      <w:r>
        <w:t xml:space="preserve"> and benchmarks specified in the </w:t>
      </w:r>
      <w:r w:rsidR="00DC6802">
        <w:t>Implementing Regulation</w:t>
      </w:r>
      <w:r>
        <w:t xml:space="preserve">. </w:t>
      </w:r>
    </w:p>
    <w:p w:rsidR="001A236F" w:rsidRDefault="001A236F" w:rsidP="00CD7BD7">
      <w:pPr>
        <w:pStyle w:val="numberedparagraph"/>
        <w:tabs>
          <w:tab w:val="clear" w:pos="710"/>
          <w:tab w:val="num" w:pos="284"/>
        </w:tabs>
        <w:ind w:left="284"/>
      </w:pPr>
      <w:r>
        <w:t>The mapping of the</w:t>
      </w:r>
      <w:r w:rsidRPr="008A707D">
        <w:t xml:space="preserve"> </w:t>
      </w:r>
      <w:r w:rsidR="00E46F63" w:rsidRPr="00E46F63">
        <w:tab/>
        <w:t xml:space="preserve">Commercial paper and short-term debt rating scale </w:t>
      </w:r>
      <w:r w:rsidR="0039037C">
        <w:t xml:space="preserve">is explained in Section </w:t>
      </w:r>
      <w:r w:rsidR="00B16CDE">
        <w:t>5</w:t>
      </w:r>
      <w:r w:rsidR="0039037C">
        <w:t xml:space="preserve"> and it </w:t>
      </w:r>
      <w:r>
        <w:t>has been</w:t>
      </w:r>
      <w:r w:rsidRPr="008A707D">
        <w:t xml:space="preserve"> indirectly </w:t>
      </w:r>
      <w:r>
        <w:t xml:space="preserve">derived </w:t>
      </w:r>
      <w:r w:rsidR="0039037C">
        <w:t xml:space="preserve">from </w:t>
      </w:r>
      <w:r>
        <w:t xml:space="preserve">the mapping of the </w:t>
      </w:r>
      <w:r w:rsidRPr="005B7A8E">
        <w:t xml:space="preserve">Long-term </w:t>
      </w:r>
      <w:r w:rsidR="00E46F63">
        <w:t>obligations</w:t>
      </w:r>
      <w:r w:rsidRPr="005B7A8E">
        <w:t xml:space="preserve"> rating</w:t>
      </w:r>
      <w:r>
        <w:t xml:space="preserve"> scale </w:t>
      </w:r>
      <w:r w:rsidR="008A2942">
        <w:t xml:space="preserve">and </w:t>
      </w:r>
      <w:r>
        <w:t xml:space="preserve">the internal relationship </w:t>
      </w:r>
      <w:r w:rsidR="0039037C">
        <w:t xml:space="preserve">established by </w:t>
      </w:r>
      <w:r w:rsidR="00E46F63">
        <w:t>DBRS</w:t>
      </w:r>
      <w:r w:rsidR="0039037C">
        <w:t xml:space="preserve"> </w:t>
      </w:r>
      <w:r>
        <w:t>between these two scales</w:t>
      </w:r>
      <w:r w:rsidR="00470FA4">
        <w:t xml:space="preserve"> (Figure </w:t>
      </w:r>
      <w:r w:rsidR="00ED61BA">
        <w:t>6</w:t>
      </w:r>
      <w:r w:rsidR="00470FA4">
        <w:t xml:space="preserve"> </w:t>
      </w:r>
      <w:r w:rsidR="00470FA4" w:rsidRPr="00E2023A">
        <w:t>of Appendix 1</w:t>
      </w:r>
      <w:r w:rsidR="00470FA4">
        <w:t>)</w:t>
      </w:r>
      <w:r w:rsidR="008A2942">
        <w:t xml:space="preserve">, as </w:t>
      </w:r>
      <w:r w:rsidR="00470FA4">
        <w:t>per</w:t>
      </w:r>
      <w:r w:rsidR="008A2942">
        <w:t xml:space="preserve"> Article </w:t>
      </w:r>
      <w:r w:rsidR="005C2F41">
        <w:t>1</w:t>
      </w:r>
      <w:r w:rsidR="0032547E">
        <w:t>3</w:t>
      </w:r>
      <w:r w:rsidR="008A2942">
        <w:t xml:space="preserve"> </w:t>
      </w:r>
      <w:r w:rsidR="00DC6802">
        <w:t>Implementing Regulation</w:t>
      </w:r>
      <w:r>
        <w:t xml:space="preserve">. </w:t>
      </w:r>
    </w:p>
    <w:p w:rsidR="001A236F" w:rsidRPr="001A236F" w:rsidRDefault="00D95722" w:rsidP="00545DAD">
      <w:pPr>
        <w:pStyle w:val="numberedparagraph"/>
        <w:tabs>
          <w:tab w:val="clear" w:pos="710"/>
          <w:tab w:val="num" w:pos="284"/>
        </w:tabs>
        <w:ind w:left="284"/>
      </w:pPr>
      <w:r>
        <w:t xml:space="preserve">The </w:t>
      </w:r>
      <w:r w:rsidR="0039037C">
        <w:t xml:space="preserve">indirect mapping </w:t>
      </w:r>
      <w:r>
        <w:t xml:space="preserve">approach </w:t>
      </w:r>
      <w:r w:rsidR="0039037C">
        <w:t xml:space="preserve">described in the previous paragraph </w:t>
      </w:r>
      <w:r>
        <w:t xml:space="preserve">has also been applied </w:t>
      </w:r>
      <w:r w:rsidR="001A236F">
        <w:t xml:space="preserve">In the case of </w:t>
      </w:r>
      <w:r w:rsidR="00E46F63" w:rsidRPr="00E46F63">
        <w:tab/>
      </w:r>
      <w:r w:rsidR="00DC6802">
        <w:t>the remaining rating</w:t>
      </w:r>
      <w:r w:rsidR="00E46F63" w:rsidRPr="00E46F63">
        <w:t xml:space="preserve"> scale</w:t>
      </w:r>
      <w:r w:rsidR="00DC6802">
        <w:t>s</w:t>
      </w:r>
      <w:r w:rsidR="00B16CDE">
        <w:t>, as explained in Section 6</w:t>
      </w:r>
      <w:r w:rsidR="00E46F63">
        <w:t>. In thi</w:t>
      </w:r>
      <w:r>
        <w:t>s case, however,</w:t>
      </w:r>
      <w:r w:rsidR="001A236F">
        <w:t xml:space="preserve"> the relationship </w:t>
      </w:r>
      <w:r>
        <w:t xml:space="preserve">with the </w:t>
      </w:r>
      <w:r w:rsidRPr="005B7A8E">
        <w:t xml:space="preserve">Long-term </w:t>
      </w:r>
      <w:r w:rsidR="00E46F63">
        <w:t xml:space="preserve">obligations </w:t>
      </w:r>
      <w:r w:rsidRPr="005B7A8E">
        <w:t>rating</w:t>
      </w:r>
      <w:r>
        <w:t xml:space="preserve"> scale </w:t>
      </w:r>
      <w:r w:rsidR="001A236F">
        <w:t xml:space="preserve">has been </w:t>
      </w:r>
      <w:r>
        <w:t>assessed</w:t>
      </w:r>
      <w:r w:rsidR="005F3ADF">
        <w:t>, for the purpose of the mapping,</w:t>
      </w:r>
      <w:r w:rsidR="001A236F">
        <w:t xml:space="preserve"> by the </w:t>
      </w:r>
      <w:r w:rsidR="00097F2B">
        <w:t>JC</w:t>
      </w:r>
      <w:r w:rsidR="001A236F">
        <w:t xml:space="preserve"> based </w:t>
      </w:r>
      <w:r w:rsidR="001A236F" w:rsidRPr="00B466FF">
        <w:t xml:space="preserve">on the </w:t>
      </w:r>
      <w:r w:rsidR="005F3ADF">
        <w:t xml:space="preserve">comparison of the </w:t>
      </w:r>
      <w:r w:rsidR="001A236F" w:rsidRPr="00B466FF">
        <w:t>meaning and relative position of the rating categories</w:t>
      </w:r>
      <w:r w:rsidR="00B16CDE">
        <w:t>.</w:t>
      </w:r>
    </w:p>
    <w:p w:rsidR="000C29A3" w:rsidRDefault="007E428E" w:rsidP="00AF0256">
      <w:pPr>
        <w:pStyle w:val="Numberedtitlelevel2"/>
        <w:ind w:left="357" w:hanging="357"/>
        <w:outlineLvl w:val="0"/>
      </w:pPr>
      <w:r w:rsidRPr="004E160A">
        <w:t xml:space="preserve">Mapping of </w:t>
      </w:r>
      <w:r w:rsidR="00865D70">
        <w:t>DBRS</w:t>
      </w:r>
      <w:r w:rsidRPr="004E160A">
        <w:t xml:space="preserve">’s Long-term </w:t>
      </w:r>
      <w:r w:rsidR="00E2023A">
        <w:t>obligations</w:t>
      </w:r>
      <w:r w:rsidRPr="004E160A">
        <w:t xml:space="preserve"> rating scale</w:t>
      </w:r>
    </w:p>
    <w:p w:rsidR="00015276" w:rsidRDefault="00015276" w:rsidP="00545DAD">
      <w:pPr>
        <w:pStyle w:val="numberedparagraph"/>
        <w:tabs>
          <w:tab w:val="clear" w:pos="710"/>
          <w:tab w:val="num" w:pos="284"/>
        </w:tabs>
        <w:ind w:left="284"/>
      </w:pPr>
      <w:r>
        <w:t xml:space="preserve">The mapping of the </w:t>
      </w:r>
      <w:r w:rsidRPr="00251632">
        <w:t xml:space="preserve">Long-term </w:t>
      </w:r>
      <w:r w:rsidR="00E2023A">
        <w:t>obligations rating</w:t>
      </w:r>
      <w:r w:rsidRPr="00251632">
        <w:t xml:space="preserve"> scale</w:t>
      </w:r>
      <w:r>
        <w:t xml:space="preserve"> has consisted of </w:t>
      </w:r>
      <w:r w:rsidR="005F12D5">
        <w:t>two</w:t>
      </w:r>
      <w:r>
        <w:t xml:space="preserve"> differentiated stages</w:t>
      </w:r>
      <w:r w:rsidR="0038116B">
        <w:t xml:space="preserve"> where the quantitative and qualitative factors as well as the benchmarks specified in Article 136(2) CRR have been taken into account</w:t>
      </w:r>
      <w:r>
        <w:t>.</w:t>
      </w:r>
    </w:p>
    <w:p w:rsidR="005F12D5" w:rsidRDefault="00015276" w:rsidP="00545DAD">
      <w:pPr>
        <w:pStyle w:val="numberedparagraph"/>
        <w:tabs>
          <w:tab w:val="clear" w:pos="710"/>
          <w:tab w:val="num" w:pos="284"/>
        </w:tabs>
        <w:ind w:left="284"/>
      </w:pPr>
      <w:r>
        <w:t xml:space="preserve">In the first </w:t>
      </w:r>
      <w:r w:rsidR="005F12D5">
        <w:t>stage</w:t>
      </w:r>
      <w:r>
        <w:t xml:space="preserve">, </w:t>
      </w:r>
      <w:r w:rsidR="00F20607">
        <w:t xml:space="preserve">the </w:t>
      </w:r>
      <w:r>
        <w:t>quantitative factor</w:t>
      </w:r>
      <w:r w:rsidR="005F12D5">
        <w:t>s</w:t>
      </w:r>
      <w:r>
        <w:t xml:space="preserve"> </w:t>
      </w:r>
      <w:r w:rsidR="005F3ADF">
        <w:t xml:space="preserve">referred to </w:t>
      </w:r>
      <w:r w:rsidR="00F20607">
        <w:t>in Article 1</w:t>
      </w:r>
      <w:r w:rsidR="00F013F8">
        <w:t xml:space="preserve"> of the</w:t>
      </w:r>
      <w:r w:rsidR="00F20607">
        <w:t xml:space="preserve"> </w:t>
      </w:r>
      <w:r w:rsidR="00DC6802">
        <w:t>Implementing Regulation</w:t>
      </w:r>
      <w:r w:rsidR="00F20607">
        <w:t xml:space="preserve"> </w:t>
      </w:r>
      <w:r>
        <w:t>ha</w:t>
      </w:r>
      <w:r w:rsidR="005F12D5">
        <w:t>ve</w:t>
      </w:r>
      <w:r>
        <w:t xml:space="preserve"> been </w:t>
      </w:r>
      <w:r w:rsidR="00F20607">
        <w:t>taken into account</w:t>
      </w:r>
      <w:r>
        <w:t xml:space="preserve"> to differentiate between the levels of risk of each rating category</w:t>
      </w:r>
      <w:r w:rsidR="005F12D5">
        <w:t>:</w:t>
      </w:r>
    </w:p>
    <w:p w:rsidR="005F12D5" w:rsidRDefault="00015276" w:rsidP="00015276">
      <w:pPr>
        <w:pStyle w:val="bullet2"/>
      </w:pPr>
      <w:r>
        <w:t xml:space="preserve">The </w:t>
      </w:r>
      <w:r w:rsidRPr="005F12D5">
        <w:rPr>
          <w:i/>
        </w:rPr>
        <w:t>long run default rate</w:t>
      </w:r>
      <w:r w:rsidR="0038116B">
        <w:t xml:space="preserve"> </w:t>
      </w:r>
      <w:r w:rsidR="00F20607">
        <w:t xml:space="preserve">of a rating category </w:t>
      </w:r>
      <w:r w:rsidR="00A2787D">
        <w:t xml:space="preserve">has been </w:t>
      </w:r>
      <w:r w:rsidR="00F20607">
        <w:t xml:space="preserve">used to arrive at </w:t>
      </w:r>
      <w:r>
        <w:t xml:space="preserve">an initial mapping proposal </w:t>
      </w:r>
      <w:r w:rsidR="00F20607">
        <w:t>by comparing its value</w:t>
      </w:r>
      <w:r w:rsidR="00DE082A">
        <w:t xml:space="preserve"> with the benchmark</w:t>
      </w:r>
      <w:r w:rsidR="00A2787D">
        <w:t xml:space="preserve"> </w:t>
      </w:r>
      <w:r w:rsidR="00D13BBF">
        <w:t>specified</w:t>
      </w:r>
      <w:r w:rsidR="00A2787D">
        <w:t xml:space="preserve"> in</w:t>
      </w:r>
      <w:r w:rsidR="00964A21">
        <w:t xml:space="preserve"> point (a) of </w:t>
      </w:r>
      <w:r w:rsidR="00A2787D">
        <w:t xml:space="preserve">Article </w:t>
      </w:r>
      <w:r w:rsidR="00333509">
        <w:t>1</w:t>
      </w:r>
      <w:r w:rsidR="001708C6">
        <w:t>4</w:t>
      </w:r>
      <w:r w:rsidR="00964A21">
        <w:t xml:space="preserve"> of the </w:t>
      </w:r>
      <w:r w:rsidR="00DC6802">
        <w:t>Implementing Regulation</w:t>
      </w:r>
      <w:r>
        <w:t>.</w:t>
      </w:r>
    </w:p>
    <w:p w:rsidR="00015276" w:rsidRDefault="005F12D5" w:rsidP="00015276">
      <w:pPr>
        <w:pStyle w:val="bullet2"/>
      </w:pPr>
      <w:r>
        <w:lastRenderedPageBreak/>
        <w:t>T</w:t>
      </w:r>
      <w:r w:rsidR="00DE082A">
        <w:t xml:space="preserve">he </w:t>
      </w:r>
      <w:r w:rsidR="00DE082A" w:rsidRPr="005F12D5">
        <w:rPr>
          <w:i/>
        </w:rPr>
        <w:t>short run default rates</w:t>
      </w:r>
      <w:r w:rsidR="00DE082A">
        <w:t xml:space="preserve"> </w:t>
      </w:r>
      <w:r w:rsidR="00F20607">
        <w:t xml:space="preserve">of a rating category </w:t>
      </w:r>
      <w:r w:rsidR="00DE082A">
        <w:t xml:space="preserve">have </w:t>
      </w:r>
      <w:r w:rsidR="00F20607">
        <w:t>been compared</w:t>
      </w:r>
      <w:r w:rsidR="00D13BBF">
        <w:t xml:space="preserve"> with the benchmark</w:t>
      </w:r>
      <w:r w:rsidR="00B61349">
        <w:t>s</w:t>
      </w:r>
      <w:r w:rsidR="00D13BBF">
        <w:t xml:space="preserve"> specified in</w:t>
      </w:r>
      <w:r w:rsidR="00964A21">
        <w:t xml:space="preserve"> point (b) of </w:t>
      </w:r>
      <w:r w:rsidR="00D13BBF">
        <w:t xml:space="preserve">Article </w:t>
      </w:r>
      <w:r w:rsidR="00333509">
        <w:t>1</w:t>
      </w:r>
      <w:r w:rsidR="001708C6">
        <w:t>4</w:t>
      </w:r>
      <w:r w:rsidR="00964A21">
        <w:t xml:space="preserve"> of the </w:t>
      </w:r>
      <w:r w:rsidR="00DC6802">
        <w:t>Implementing Regulation</w:t>
      </w:r>
      <w:r w:rsidR="005506D4">
        <w:t>, which represent the maximum expected deviation of a default rate from its long-term value within a CQS</w:t>
      </w:r>
      <w:r w:rsidR="00015276">
        <w:t>.</w:t>
      </w:r>
    </w:p>
    <w:p w:rsidR="00015276" w:rsidRPr="00015276" w:rsidRDefault="00F20607" w:rsidP="00545DAD">
      <w:pPr>
        <w:pStyle w:val="numberedparagraph"/>
        <w:tabs>
          <w:tab w:val="clear" w:pos="710"/>
          <w:tab w:val="num" w:pos="284"/>
        </w:tabs>
        <w:ind w:left="284"/>
      </w:pPr>
      <w:r>
        <w:t>In a second stage</w:t>
      </w:r>
      <w:r w:rsidR="00015276">
        <w:t xml:space="preserve">, the qualitative factors </w:t>
      </w:r>
      <w:r w:rsidR="00B04A92">
        <w:t xml:space="preserve">proposed in Article </w:t>
      </w:r>
      <w:r w:rsidR="001708C6">
        <w:t>7</w:t>
      </w:r>
      <w:r w:rsidR="00B04A92">
        <w:t xml:space="preserve"> </w:t>
      </w:r>
      <w:r w:rsidR="00964A21">
        <w:t xml:space="preserve">of the </w:t>
      </w:r>
      <w:r w:rsidR="00DC6802">
        <w:t>Implementing Regulation</w:t>
      </w:r>
      <w:r w:rsidR="00B04A92">
        <w:t xml:space="preserve"> have been considered to challenge </w:t>
      </w:r>
      <w:r w:rsidR="00015276">
        <w:t xml:space="preserve">the result of the previous </w:t>
      </w:r>
      <w:r>
        <w:t>stage</w:t>
      </w:r>
      <w:r w:rsidR="00B04A92">
        <w:t xml:space="preserve">, especially </w:t>
      </w:r>
      <w:r w:rsidR="00B5696C">
        <w:t xml:space="preserve">in those ratings categories </w:t>
      </w:r>
      <w:r w:rsidR="00B04A92">
        <w:t>where</w:t>
      </w:r>
      <w:r w:rsidR="00015276">
        <w:t xml:space="preserve"> </w:t>
      </w:r>
      <w:r w:rsidR="005F3ADF">
        <w:t xml:space="preserve">less </w:t>
      </w:r>
      <w:r w:rsidR="00015276">
        <w:t xml:space="preserve">default data has </w:t>
      </w:r>
      <w:r w:rsidR="005F3ADF">
        <w:t>been available</w:t>
      </w:r>
      <w:r w:rsidR="00015276">
        <w:t>.</w:t>
      </w:r>
    </w:p>
    <w:p w:rsidR="00532352" w:rsidRDefault="00532352" w:rsidP="00BE6527">
      <w:pPr>
        <w:pStyle w:val="Numberedtitlelevel3"/>
      </w:pPr>
      <w:r w:rsidRPr="00BE6527">
        <w:t xml:space="preserve">Initial mapping based on the </w:t>
      </w:r>
      <w:r w:rsidR="00E20A17">
        <w:t>quantitative factors</w:t>
      </w:r>
    </w:p>
    <w:p w:rsidR="00DC6802" w:rsidRPr="000B1C39" w:rsidRDefault="00DC6802" w:rsidP="00545DAD">
      <w:pPr>
        <w:pStyle w:val="numberedparagraph"/>
        <w:tabs>
          <w:tab w:val="clear" w:pos="710"/>
          <w:tab w:val="num" w:pos="284"/>
        </w:tabs>
        <w:ind w:left="284"/>
      </w:pPr>
      <w:r>
        <w:t xml:space="preserve">This mapping report reflects additional quantitative information collected after the submission of the draft </w:t>
      </w:r>
      <w:proofErr w:type="gramStart"/>
      <w:r>
        <w:t>ITS</w:t>
      </w:r>
      <w:proofErr w:type="gramEnd"/>
      <w:r>
        <w:t xml:space="preserve"> by the JC to the Commission. </w:t>
      </w:r>
    </w:p>
    <w:p w:rsidR="00532352" w:rsidRDefault="00532352" w:rsidP="00AF0256">
      <w:pPr>
        <w:pStyle w:val="Numberedtitlelevel4"/>
        <w:ind w:left="709" w:hanging="709"/>
      </w:pPr>
      <w:r w:rsidRPr="005C569C">
        <w:t xml:space="preserve">Calculation of </w:t>
      </w:r>
      <w:r w:rsidR="00190E5E">
        <w:t xml:space="preserve">the </w:t>
      </w:r>
      <w:r w:rsidR="00484CD8">
        <w:t>short-</w:t>
      </w:r>
      <w:r w:rsidR="00F66A4C">
        <w:t>run</w:t>
      </w:r>
      <w:r w:rsidR="00484CD8">
        <w:t xml:space="preserve"> and </w:t>
      </w:r>
      <w:r w:rsidRPr="00BE6527">
        <w:t>long</w:t>
      </w:r>
      <w:r w:rsidR="00190E5E">
        <w:t>-</w:t>
      </w:r>
      <w:r w:rsidR="00F66A4C">
        <w:t>run</w:t>
      </w:r>
      <w:r w:rsidR="00190E5E">
        <w:t xml:space="preserve"> default rate</w:t>
      </w:r>
      <w:r w:rsidR="00484CD8">
        <w:t>s</w:t>
      </w:r>
    </w:p>
    <w:p w:rsidR="00E14C9C" w:rsidRDefault="00C76E4C" w:rsidP="00545DAD">
      <w:pPr>
        <w:pStyle w:val="numberedparagraph"/>
        <w:tabs>
          <w:tab w:val="clear" w:pos="710"/>
          <w:tab w:val="num" w:pos="284"/>
        </w:tabs>
        <w:ind w:left="284"/>
      </w:pPr>
      <w:bookmarkStart w:id="3" w:name="_Ref384834130"/>
      <w:r>
        <w:t xml:space="preserve">The </w:t>
      </w:r>
      <w:r w:rsidR="00171121">
        <w:t xml:space="preserve">short run and </w:t>
      </w:r>
      <w:r>
        <w:t>long run default rat</w:t>
      </w:r>
      <w:r w:rsidR="004C39C2">
        <w:t>e</w:t>
      </w:r>
      <w:r w:rsidR="00171121">
        <w:t>s</w:t>
      </w:r>
      <w:r w:rsidR="008F138D">
        <w:t xml:space="preserve"> of each rating category have</w:t>
      </w:r>
      <w:r>
        <w:t xml:space="preserve"> been calculated </w:t>
      </w:r>
      <w:r w:rsidR="006C4821">
        <w:t xml:space="preserve">with </w:t>
      </w:r>
      <w:r w:rsidR="00AA4857">
        <w:t xml:space="preserve">the pools of items rated </w:t>
      </w:r>
      <w:r w:rsidR="00E14C9C">
        <w:t>from</w:t>
      </w:r>
      <w:r w:rsidR="00AA4857">
        <w:t xml:space="preserve"> 1 January 2000 to 1 July </w:t>
      </w:r>
      <w:r w:rsidR="00DC6802">
        <w:t>2015</w:t>
      </w:r>
      <w:r w:rsidR="000E7CD6">
        <w:t xml:space="preserve">, </w:t>
      </w:r>
      <w:r>
        <w:t>based on the information contained in CEREP and according to the provisions laid down in the I</w:t>
      </w:r>
      <w:r w:rsidR="00DC6802">
        <w:t>mplementing Regulation</w:t>
      </w:r>
      <w:r w:rsidR="00A55627">
        <w:t xml:space="preserve">. The following </w:t>
      </w:r>
      <w:r w:rsidR="006B30EB">
        <w:t>aspects</w:t>
      </w:r>
      <w:r w:rsidR="00A55627">
        <w:t xml:space="preserve"> should be highlighted:</w:t>
      </w:r>
      <w:bookmarkEnd w:id="3"/>
    </w:p>
    <w:p w:rsidR="00E60407" w:rsidRDefault="00E14C9C" w:rsidP="006B6222">
      <w:pPr>
        <w:pStyle w:val="bullet2"/>
      </w:pPr>
      <w:r>
        <w:t xml:space="preserve">For </w:t>
      </w:r>
      <w:r w:rsidR="000C1E33">
        <w:t>AAA</w:t>
      </w:r>
      <w:r w:rsidR="00C572D9">
        <w:t>/</w:t>
      </w:r>
      <w:r w:rsidR="00C76E4C">
        <w:t xml:space="preserve">AA </w:t>
      </w:r>
      <w:r w:rsidR="009743E4">
        <w:t xml:space="preserve">and A </w:t>
      </w:r>
      <w:r w:rsidR="00C76E4C">
        <w:t>rating categories, the number of credit ratings cannot be considered to be sufficient</w:t>
      </w:r>
      <w:r w:rsidR="00964A21">
        <w:t xml:space="preserve"> for the calculation of the short run and long run default rates specified in Articles 3 – 5 of the </w:t>
      </w:r>
      <w:r w:rsidR="00DC6802">
        <w:t>Implementing Regulation</w:t>
      </w:r>
      <w:r w:rsidR="00464437">
        <w:t>, as it was the case in the mapping report published in November 2015.</w:t>
      </w:r>
      <w:r w:rsidR="009743E4">
        <w:t xml:space="preserve"> </w:t>
      </w:r>
      <w:r w:rsidR="00E60407">
        <w:t xml:space="preserve">Therefore the allocation of the CQS has been made in accordance with Article </w:t>
      </w:r>
      <w:r w:rsidR="00E768EC">
        <w:t>6</w:t>
      </w:r>
      <w:r w:rsidR="00E60407">
        <w:t xml:space="preserve"> of the </w:t>
      </w:r>
      <w:r w:rsidR="00DC6802">
        <w:t>Implementing Regulation</w:t>
      </w:r>
      <w:r w:rsidR="00E60407">
        <w:t xml:space="preserve">, as shown in </w:t>
      </w:r>
      <w:r w:rsidR="00E60407">
        <w:fldChar w:fldCharType="begin"/>
      </w:r>
      <w:r w:rsidR="00E60407">
        <w:instrText xml:space="preserve"> REF _Ref430700683 \h </w:instrText>
      </w:r>
      <w:r w:rsidR="00E60407">
        <w:fldChar w:fldCharType="separate"/>
      </w:r>
      <w:r w:rsidR="00CD7BD7" w:rsidRPr="0025433C">
        <w:t xml:space="preserve">Figure </w:t>
      </w:r>
      <w:r w:rsidR="00CD7BD7">
        <w:rPr>
          <w:noProof/>
        </w:rPr>
        <w:t>1</w:t>
      </w:r>
      <w:r w:rsidR="00E60407">
        <w:fldChar w:fldCharType="end"/>
      </w:r>
      <w:r w:rsidR="00ED61BA">
        <w:t>1</w:t>
      </w:r>
      <w:r w:rsidR="00E60407">
        <w:t xml:space="preserve"> of Appendix 3. In these cases, the long run default rate benchmark associated with the equivalent category in the international rating scale is a key qualitative factor that has been used for the mapping proposal.</w:t>
      </w:r>
      <w:r w:rsidR="00464437">
        <w:t xml:space="preserve"> Similarly for rating categories CCC, CC and C</w:t>
      </w:r>
      <w:r w:rsidR="000763D1">
        <w:t>.</w:t>
      </w:r>
    </w:p>
    <w:p w:rsidR="00C572D9" w:rsidRDefault="00C572D9" w:rsidP="00C572D9">
      <w:pPr>
        <w:pStyle w:val="bullet2"/>
      </w:pPr>
      <w:r>
        <w:t>For D rating category, no calculation of default rates has been made since it already reflects a ‘default’ situation.</w:t>
      </w:r>
    </w:p>
    <w:p w:rsidR="00C572D9" w:rsidRDefault="00C572D9" w:rsidP="006B6222">
      <w:pPr>
        <w:pStyle w:val="bullet2"/>
      </w:pPr>
      <w:r>
        <w:t xml:space="preserve">For the remaining rating categories, the number of credit ratings can be considered to be sufficient and therefore the calculation has followed the rules established in Articles </w:t>
      </w:r>
      <w:r w:rsidR="00BF116E">
        <w:t xml:space="preserve">3 </w:t>
      </w:r>
      <w:r>
        <w:t xml:space="preserve">to </w:t>
      </w:r>
      <w:r w:rsidR="00BF116E">
        <w:t xml:space="preserve">5 </w:t>
      </w:r>
      <w:r w:rsidR="00DC6802">
        <w:t>Implementing Regulation</w:t>
      </w:r>
      <w:r>
        <w:t>.</w:t>
      </w:r>
      <w:r w:rsidRPr="0027010A">
        <w:t xml:space="preserve"> </w:t>
      </w:r>
      <w:r w:rsidRPr="009F7C5C">
        <w:t xml:space="preserve">The </w:t>
      </w:r>
      <w:r>
        <w:t>result of the calculation of the</w:t>
      </w:r>
      <w:r w:rsidRPr="009F7C5C">
        <w:t xml:space="preserve"> </w:t>
      </w:r>
      <w:r>
        <w:t xml:space="preserve">short run and long run </w:t>
      </w:r>
      <w:r w:rsidRPr="009F7C5C">
        <w:t>default rate</w:t>
      </w:r>
      <w:r>
        <w:t>s</w:t>
      </w:r>
      <w:r w:rsidRPr="009F7C5C" w:rsidDel="00D860C1">
        <w:t xml:space="preserve"> </w:t>
      </w:r>
      <w:r>
        <w:t xml:space="preserve">for </w:t>
      </w:r>
      <w:r w:rsidRPr="009F7C5C">
        <w:t xml:space="preserve">each </w:t>
      </w:r>
      <w:r>
        <w:t>rating category</w:t>
      </w:r>
      <w:r w:rsidRPr="009F7C5C">
        <w:t xml:space="preserve"> </w:t>
      </w:r>
      <w:r>
        <w:t xml:space="preserve">is shown in </w:t>
      </w:r>
      <w:r w:rsidR="00AC5F7A">
        <w:t xml:space="preserve">Figure </w:t>
      </w:r>
      <w:r w:rsidR="00ED61BA">
        <w:t>7</w:t>
      </w:r>
      <w:r>
        <w:t xml:space="preserve"> of Appendix 3</w:t>
      </w:r>
      <w:r w:rsidRPr="009F7C5C">
        <w:t>.</w:t>
      </w:r>
    </w:p>
    <w:p w:rsidR="00607FD8" w:rsidRDefault="00607FD8" w:rsidP="00545DAD">
      <w:pPr>
        <w:pStyle w:val="numberedparagraph"/>
        <w:tabs>
          <w:tab w:val="clear" w:pos="710"/>
          <w:tab w:val="num" w:pos="284"/>
        </w:tabs>
        <w:ind w:left="284"/>
      </w:pPr>
      <w:r>
        <w:t xml:space="preserve">Withdrawn ratings have been weighted by 50% as </w:t>
      </w:r>
      <w:r w:rsidR="00BF116E">
        <w:t xml:space="preserve">indicated </w:t>
      </w:r>
      <w:r>
        <w:t xml:space="preserve">in Article </w:t>
      </w:r>
      <w:r w:rsidR="00BF116E">
        <w:t>4</w:t>
      </w:r>
      <w:r>
        <w:t>(</w:t>
      </w:r>
      <w:r w:rsidR="00BF116E">
        <w:t>3</w:t>
      </w:r>
      <w:r>
        <w:t>)</w:t>
      </w:r>
      <w:r w:rsidR="00964A21">
        <w:t xml:space="preserve"> of the </w:t>
      </w:r>
      <w:r>
        <w:t>ITS.</w:t>
      </w:r>
    </w:p>
    <w:p w:rsidR="00C76E4C" w:rsidRPr="005C569C" w:rsidRDefault="00C76E4C" w:rsidP="00545DAD">
      <w:pPr>
        <w:pStyle w:val="numberedparagraph"/>
        <w:tabs>
          <w:tab w:val="clear" w:pos="710"/>
          <w:tab w:val="num" w:pos="284"/>
        </w:tabs>
        <w:ind w:left="284"/>
      </w:pPr>
      <w:r>
        <w:t xml:space="preserve">The </w:t>
      </w:r>
      <w:r w:rsidRPr="00396FFC">
        <w:t>default definition</w:t>
      </w:r>
      <w:r>
        <w:t xml:space="preserve"> applied by </w:t>
      </w:r>
      <w:r w:rsidR="008F7F58">
        <w:t>DBRS</w:t>
      </w:r>
      <w:r w:rsidR="00A3276E">
        <w:t>,</w:t>
      </w:r>
      <w:r>
        <w:t xml:space="preserve"> described in </w:t>
      </w:r>
      <w:r w:rsidR="002B6F3D">
        <w:t>Appendix</w:t>
      </w:r>
      <w:r>
        <w:t xml:space="preserve"> 2</w:t>
      </w:r>
      <w:r w:rsidR="00A3276E">
        <w:t>,</w:t>
      </w:r>
      <w:r>
        <w:t xml:space="preserve"> has been used for th</w:t>
      </w:r>
      <w:r w:rsidR="00607FD8">
        <w:t>e calculation of default rates.</w:t>
      </w:r>
    </w:p>
    <w:p w:rsidR="00532352" w:rsidRDefault="00190E5E" w:rsidP="00AF0256">
      <w:pPr>
        <w:pStyle w:val="Numberedtitlelevel4"/>
        <w:ind w:left="709" w:hanging="709"/>
      </w:pPr>
      <w:r>
        <w:t>M</w:t>
      </w:r>
      <w:r w:rsidR="00532352">
        <w:t xml:space="preserve">apping </w:t>
      </w:r>
      <w:r>
        <w:t>proposal</w:t>
      </w:r>
      <w:r w:rsidR="00171121">
        <w:t xml:space="preserve"> based on the long run default rate</w:t>
      </w:r>
    </w:p>
    <w:p w:rsidR="0029217E" w:rsidRPr="0042002F" w:rsidRDefault="00C76E4C" w:rsidP="0029217E">
      <w:pPr>
        <w:pStyle w:val="numberedparagraph"/>
        <w:tabs>
          <w:tab w:val="clear" w:pos="710"/>
          <w:tab w:val="num" w:pos="284"/>
        </w:tabs>
        <w:ind w:left="284"/>
        <w:rPr>
          <w:lang w:val="en-GB"/>
        </w:rPr>
      </w:pPr>
      <w:r>
        <w:t xml:space="preserve">As illustrated in the second column of </w:t>
      </w:r>
      <w:r w:rsidR="00955AA5">
        <w:fldChar w:fldCharType="begin"/>
      </w:r>
      <w:r w:rsidR="00955AA5">
        <w:instrText xml:space="preserve"> REF _Ref384809626 \h </w:instrText>
      </w:r>
      <w:r w:rsidR="004B1D8D">
        <w:instrText xml:space="preserve"> \* MERGEFORMAT </w:instrText>
      </w:r>
      <w:r w:rsidR="00955AA5">
        <w:fldChar w:fldCharType="separate"/>
      </w:r>
      <w:r w:rsidR="00CD7BD7" w:rsidRPr="00361F71">
        <w:t>Figure 1</w:t>
      </w:r>
      <w:r w:rsidR="00955AA5">
        <w:fldChar w:fldCharType="end"/>
      </w:r>
      <w:r w:rsidR="00ED61BA">
        <w:t>2</w:t>
      </w:r>
      <w:r>
        <w:t xml:space="preserve"> in </w:t>
      </w:r>
      <w:r w:rsidR="002B6F3D">
        <w:t>Appendix</w:t>
      </w:r>
      <w:r>
        <w:t xml:space="preserve"> 4, t</w:t>
      </w:r>
      <w:r w:rsidRPr="0066069C">
        <w:t xml:space="preserve">he </w:t>
      </w:r>
      <w:r>
        <w:t xml:space="preserve">rating categories </w:t>
      </w:r>
      <w:r w:rsidR="0029217E">
        <w:t xml:space="preserve">BBB/BB/B </w:t>
      </w:r>
      <w:r>
        <w:t xml:space="preserve">of the </w:t>
      </w:r>
      <w:r w:rsidR="0029217E">
        <w:t>long</w:t>
      </w:r>
      <w:r>
        <w:t xml:space="preserve">-term </w:t>
      </w:r>
      <w:r w:rsidR="008F7F58">
        <w:t>obligations</w:t>
      </w:r>
      <w:r>
        <w:t xml:space="preserve"> rating scale of </w:t>
      </w:r>
      <w:r w:rsidR="008F7F58">
        <w:t>DBRS</w:t>
      </w:r>
      <w:r>
        <w:t xml:space="preserve"> have been initially allocated to each</w:t>
      </w:r>
      <w:r w:rsidRPr="0066069C">
        <w:t xml:space="preserve"> </w:t>
      </w:r>
      <w:r>
        <w:t xml:space="preserve">CQS based </w:t>
      </w:r>
      <w:r>
        <w:lastRenderedPageBreak/>
        <w:t xml:space="preserve">on the comparison of the </w:t>
      </w:r>
      <w:r w:rsidRPr="0066069C">
        <w:t xml:space="preserve">long run default rates </w:t>
      </w:r>
      <w:r w:rsidR="00F76E9E">
        <w:t>(</w:t>
      </w:r>
      <w:r w:rsidR="00810EDF">
        <w:t>see</w:t>
      </w:r>
      <w:r w:rsidR="00F76E9E">
        <w:t xml:space="preserve"> </w:t>
      </w:r>
      <w:r w:rsidR="00F76E9E">
        <w:fldChar w:fldCharType="begin"/>
      </w:r>
      <w:r w:rsidR="00F76E9E">
        <w:instrText xml:space="preserve"> REF _Ref384827792 \h </w:instrText>
      </w:r>
      <w:r w:rsidR="004B1D8D">
        <w:instrText xml:space="preserve"> \* MERGEFORMAT </w:instrText>
      </w:r>
      <w:r w:rsidR="00F76E9E">
        <w:fldChar w:fldCharType="separate"/>
      </w:r>
      <w:r w:rsidR="00CD7BD7" w:rsidRPr="00361F71">
        <w:t xml:space="preserve">Figure </w:t>
      </w:r>
      <w:r w:rsidR="00F76E9E">
        <w:fldChar w:fldCharType="end"/>
      </w:r>
      <w:r w:rsidR="00ED61BA">
        <w:t>7</w:t>
      </w:r>
      <w:r w:rsidR="00297EA3">
        <w:t xml:space="preserve"> in Appendix 3</w:t>
      </w:r>
      <w:r w:rsidR="00F76E9E">
        <w:t xml:space="preserve">) </w:t>
      </w:r>
      <w:r>
        <w:t>and</w:t>
      </w:r>
      <w:r w:rsidRPr="0066069C">
        <w:t xml:space="preserve"> th</w:t>
      </w:r>
      <w:r>
        <w:t>e</w:t>
      </w:r>
      <w:r w:rsidRPr="0066069C">
        <w:t xml:space="preserve"> </w:t>
      </w:r>
      <w:r w:rsidR="00AA4857">
        <w:t xml:space="preserve">long run default rate </w:t>
      </w:r>
      <w:r>
        <w:t xml:space="preserve">benchmark </w:t>
      </w:r>
      <w:r w:rsidRPr="0066069C">
        <w:t>intervals</w:t>
      </w:r>
      <w:r>
        <w:t xml:space="preserve"> </w:t>
      </w:r>
      <w:r w:rsidR="00AA4857">
        <w:t xml:space="preserve">established in </w:t>
      </w:r>
      <w:r w:rsidR="007612E1">
        <w:t xml:space="preserve">point (a) of </w:t>
      </w:r>
      <w:r w:rsidR="00AA4857">
        <w:t xml:space="preserve">Article </w:t>
      </w:r>
      <w:r w:rsidR="0096246F">
        <w:t>1</w:t>
      </w:r>
      <w:r w:rsidR="00FA6F71">
        <w:t>4</w:t>
      </w:r>
      <w:r w:rsidR="007612E1">
        <w:t xml:space="preserve"> of the </w:t>
      </w:r>
      <w:r w:rsidR="0029217E">
        <w:t>Implementing Regulation</w:t>
      </w:r>
      <w:r w:rsidRPr="0066069C">
        <w:t>.</w:t>
      </w:r>
      <w:r w:rsidRPr="00CF5C56" w:rsidDel="007A2ABE">
        <w:t xml:space="preserve"> </w:t>
      </w:r>
      <w:r w:rsidR="0029217E">
        <w:t>Rating categories BBB, BB and B remain assigned to CQS 3, 4 and 5 respectively.</w:t>
      </w:r>
    </w:p>
    <w:p w:rsidR="00D665F8" w:rsidRDefault="00E60407" w:rsidP="00545DAD">
      <w:pPr>
        <w:pStyle w:val="numberedparagraph"/>
        <w:tabs>
          <w:tab w:val="clear" w:pos="710"/>
          <w:tab w:val="num" w:pos="284"/>
        </w:tabs>
        <w:ind w:left="284"/>
      </w:pPr>
      <w:r>
        <w:t>In the case of rating categories AAA</w:t>
      </w:r>
      <w:r w:rsidR="00517549">
        <w:t>/AA and A</w:t>
      </w:r>
      <w:r>
        <w:t xml:space="preserve">, where the number of credit ratings cannot be considered to be sufficient, this comparison has been made according to Article </w:t>
      </w:r>
      <w:r w:rsidR="00A11873">
        <w:t>6</w:t>
      </w:r>
      <w:r>
        <w:t xml:space="preserve"> of the </w:t>
      </w:r>
      <w:r w:rsidR="00AC5F7A">
        <w:t>Implementing Regulation</w:t>
      </w:r>
      <w:r w:rsidR="00607B1D">
        <w:t>. The result</w:t>
      </w:r>
      <w:r w:rsidR="004B1D8D">
        <w:t>s are</w:t>
      </w:r>
      <w:r w:rsidR="00037C70">
        <w:t xml:space="preserve"> shown in </w:t>
      </w:r>
      <w:r w:rsidR="00037C70">
        <w:fldChar w:fldCharType="begin"/>
      </w:r>
      <w:r w:rsidR="00037C70">
        <w:instrText xml:space="preserve"> REF _Ref430700683 \h </w:instrText>
      </w:r>
      <w:r w:rsidR="004B1D8D">
        <w:instrText xml:space="preserve"> \* MERGEFORMAT </w:instrText>
      </w:r>
      <w:r w:rsidR="00037C70">
        <w:fldChar w:fldCharType="separate"/>
      </w:r>
      <w:r w:rsidR="00CD7BD7" w:rsidRPr="0025433C">
        <w:t xml:space="preserve">Figure </w:t>
      </w:r>
      <w:r w:rsidR="00CD7BD7">
        <w:t>1</w:t>
      </w:r>
      <w:r w:rsidR="00037C70">
        <w:fldChar w:fldCharType="end"/>
      </w:r>
      <w:r w:rsidR="00ED61BA">
        <w:t>1</w:t>
      </w:r>
      <w:r w:rsidR="00037C70">
        <w:t xml:space="preserve"> of Appendix 3</w:t>
      </w:r>
      <w:r w:rsidR="004B1D8D">
        <w:t xml:space="preserve">. </w:t>
      </w:r>
    </w:p>
    <w:p w:rsidR="004B1D8D" w:rsidRDefault="00504D91" w:rsidP="00545DAD">
      <w:pPr>
        <w:pStyle w:val="numberedparagraph"/>
        <w:numPr>
          <w:ilvl w:val="0"/>
          <w:numId w:val="44"/>
        </w:numPr>
      </w:pPr>
      <w:r>
        <w:t>Rating categories AAA/AA: the first data cohort suggests assignment to CQS1 while the second data cohort points to CQS 2. This is in line with the analysis performed in the mapping report published in November 2015. The additional quantitative information collected since the mapping was produced does not register any default</w:t>
      </w:r>
      <w:r w:rsidR="00AC5F7A">
        <w:t xml:space="preserve"> and suggests mapping to CQS 1. This r</w:t>
      </w:r>
      <w:r>
        <w:t>einforces the mapping to CQS1</w:t>
      </w:r>
      <w:r w:rsidR="00AC5F7A">
        <w:t xml:space="preserve"> assigned in the mapping report published in November 2015</w:t>
      </w:r>
      <w:r>
        <w:t>.</w:t>
      </w:r>
    </w:p>
    <w:p w:rsidR="001520BE" w:rsidRDefault="00504D91" w:rsidP="001520BE">
      <w:pPr>
        <w:pStyle w:val="numberedparagraph"/>
        <w:numPr>
          <w:ilvl w:val="0"/>
          <w:numId w:val="44"/>
        </w:numPr>
      </w:pPr>
      <w:r>
        <w:t xml:space="preserve">Rating category A: </w:t>
      </w:r>
      <w:r w:rsidR="001520BE">
        <w:t>similarly to rating categories AAA/AA, the additional quantitative information collected since the mapping was produced does not register any default and reinforces the mapping to CQS2.</w:t>
      </w:r>
    </w:p>
    <w:p w:rsidR="001520BE" w:rsidRDefault="001520BE" w:rsidP="001520BE">
      <w:pPr>
        <w:pStyle w:val="numberedparagraph"/>
        <w:numPr>
          <w:ilvl w:val="0"/>
          <w:numId w:val="44"/>
        </w:numPr>
      </w:pPr>
      <w:r>
        <w:t xml:space="preserve">Rating categories CCC/CC/C: </w:t>
      </w:r>
      <w:r w:rsidR="00AC5F7A">
        <w:t>the analysis is consistent with</w:t>
      </w:r>
      <w:r>
        <w:t xml:space="preserve"> allocation to CQS6.</w:t>
      </w:r>
    </w:p>
    <w:p w:rsidR="00532352" w:rsidRPr="00361F71" w:rsidRDefault="00532352" w:rsidP="00545DAD">
      <w:pPr>
        <w:pStyle w:val="Numberedtitlelevel4"/>
        <w:ind w:left="709" w:hanging="709"/>
      </w:pPr>
      <w:r w:rsidRPr="00361F71">
        <w:t>Reviewed mapping based on the short run default rates</w:t>
      </w:r>
    </w:p>
    <w:p w:rsidR="00240789" w:rsidRDefault="00AF4774" w:rsidP="00CD7BD7">
      <w:pPr>
        <w:pStyle w:val="numberedparagraph"/>
        <w:tabs>
          <w:tab w:val="clear" w:pos="710"/>
          <w:tab w:val="num" w:pos="284"/>
        </w:tabs>
        <w:ind w:left="284"/>
      </w:pPr>
      <w:r>
        <w:t>T</w:t>
      </w:r>
      <w:r w:rsidR="00240789">
        <w:t xml:space="preserve">he short run default rates </w:t>
      </w:r>
      <w:r w:rsidR="003E06FF">
        <w:t xml:space="preserve">of rating categories </w:t>
      </w:r>
      <w:r w:rsidR="00474DED">
        <w:t>BBB</w:t>
      </w:r>
      <w:r w:rsidR="003E06FF">
        <w:t xml:space="preserve"> to B </w:t>
      </w:r>
      <w:r w:rsidR="00240789">
        <w:t xml:space="preserve">have been compared with the </w:t>
      </w:r>
      <w:r w:rsidR="00A4000F">
        <w:t xml:space="preserve">short run default rate </w:t>
      </w:r>
      <w:r w:rsidR="00240789">
        <w:t xml:space="preserve">benchmark values </w:t>
      </w:r>
      <w:r w:rsidR="00A4000F">
        <w:t xml:space="preserve">established in </w:t>
      </w:r>
      <w:r w:rsidR="007612E1">
        <w:t xml:space="preserve">point (b) of </w:t>
      </w:r>
      <w:r w:rsidR="00A4000F">
        <w:t xml:space="preserve">Article </w:t>
      </w:r>
      <w:r w:rsidR="0096246F">
        <w:t>1</w:t>
      </w:r>
      <w:r w:rsidR="00AB23E8">
        <w:t>4</w:t>
      </w:r>
      <w:r w:rsidR="007612E1">
        <w:t xml:space="preserve"> of the </w:t>
      </w:r>
      <w:r w:rsidR="00240789">
        <w:t>I</w:t>
      </w:r>
      <w:r w:rsidR="007909F1">
        <w:t>mplementing Regulation</w:t>
      </w:r>
      <w:r w:rsidR="000763D1">
        <w:rPr>
          <w:rStyle w:val="FootnoteReference"/>
        </w:rPr>
        <w:footnoteReference w:id="8"/>
      </w:r>
      <w:r w:rsidR="00240789">
        <w:t>.</w:t>
      </w:r>
    </w:p>
    <w:p w:rsidR="0029217E" w:rsidRDefault="00240789" w:rsidP="00545DAD">
      <w:pPr>
        <w:pStyle w:val="numberedparagraph"/>
        <w:tabs>
          <w:tab w:val="clear" w:pos="710"/>
          <w:tab w:val="num" w:pos="284"/>
        </w:tabs>
        <w:ind w:left="284"/>
      </w:pPr>
      <w:r>
        <w:t>The objective is to assess, for each rating category, whether the short-run default rate</w:t>
      </w:r>
      <w:r w:rsidR="00995CD7">
        <w:t>s have</w:t>
      </w:r>
      <w:r>
        <w:t xml:space="preserve"> deviated from the</w:t>
      </w:r>
      <w:r w:rsidR="005F12D5">
        <w:t>ir corresponding</w:t>
      </w:r>
      <w:r>
        <w:t xml:space="preserve"> benchmark </w:t>
      </w:r>
      <w:r w:rsidR="005F12D5">
        <w:t xml:space="preserve">values </w:t>
      </w:r>
      <w:r>
        <w:t xml:space="preserve">and whether </w:t>
      </w:r>
      <w:r w:rsidR="005F12D5">
        <w:t xml:space="preserve">any observed deviation </w:t>
      </w:r>
      <w:r>
        <w:t>has been caused by a weakening of the assessment standards.</w:t>
      </w:r>
      <w:r w:rsidR="008A7D3E">
        <w:t xml:space="preserve"> </w:t>
      </w:r>
      <w:r w:rsidR="008A7D3E" w:rsidRPr="008A7D3E">
        <w:t xml:space="preserve">Therefore short run default rates experienced within a rating category have been confronted with the short run benchmarks “monitoring” and “trigger” levels specified in Annex I of the </w:t>
      </w:r>
      <w:r w:rsidR="0029217E" w:rsidRPr="008A7D3E">
        <w:t>I</w:t>
      </w:r>
      <w:r w:rsidR="0029217E">
        <w:t>mplementing Regulation</w:t>
      </w:r>
      <w:r w:rsidR="008A7D3E" w:rsidRPr="008A7D3E">
        <w:t>.</w:t>
      </w:r>
    </w:p>
    <w:p w:rsidR="00240789" w:rsidRDefault="0029217E" w:rsidP="00545DAD">
      <w:pPr>
        <w:pStyle w:val="numberedparagraph"/>
        <w:tabs>
          <w:tab w:val="clear" w:pos="710"/>
          <w:tab w:val="num" w:pos="284"/>
        </w:tabs>
        <w:ind w:left="284"/>
      </w:pPr>
      <w:r>
        <w:t xml:space="preserve">The additional short-run default rates </w:t>
      </w:r>
      <w:r w:rsidR="003E3163">
        <w:t>collected</w:t>
      </w:r>
      <w:r>
        <w:t xml:space="preserve"> after the mapping </w:t>
      </w:r>
      <w:r w:rsidR="003E3163">
        <w:t xml:space="preserve">published in November 2015 </w:t>
      </w:r>
      <w:r>
        <w:t xml:space="preserve">was produced do not breach their respective monitoring nor the trigger levels, see </w:t>
      </w:r>
      <w:r w:rsidR="00AF4774">
        <w:t>Figures 1</w:t>
      </w:r>
      <w:r w:rsidR="00ED61BA">
        <w:t>0</w:t>
      </w:r>
      <w:r w:rsidR="00AF4774">
        <w:t xml:space="preserve"> to 1</w:t>
      </w:r>
      <w:r w:rsidR="00ED61BA">
        <w:t>2</w:t>
      </w:r>
      <w:r w:rsidR="00AF4774">
        <w:t xml:space="preserve"> in Appendix 3</w:t>
      </w:r>
      <w:r>
        <w:t>.</w:t>
      </w:r>
    </w:p>
    <w:p w:rsidR="00532352" w:rsidRDefault="00532352" w:rsidP="00BE6527">
      <w:pPr>
        <w:pStyle w:val="Numberedtitlelevel3"/>
      </w:pPr>
      <w:r>
        <w:t>Final mapping after review of the qualitative factors</w:t>
      </w:r>
    </w:p>
    <w:p w:rsidR="00240789" w:rsidRDefault="00240789" w:rsidP="00545DAD">
      <w:pPr>
        <w:pStyle w:val="numberedparagraph"/>
        <w:tabs>
          <w:tab w:val="clear" w:pos="710"/>
          <w:tab w:val="num" w:pos="284"/>
        </w:tabs>
        <w:ind w:left="284"/>
      </w:pPr>
      <w:r>
        <w:t xml:space="preserve">The qualitative factors </w:t>
      </w:r>
      <w:r w:rsidR="00D248E3">
        <w:t xml:space="preserve">specified in Article </w:t>
      </w:r>
      <w:r w:rsidR="00B944B7">
        <w:t>7</w:t>
      </w:r>
      <w:r w:rsidR="00D248E3">
        <w:t xml:space="preserve"> </w:t>
      </w:r>
      <w:r w:rsidR="00D81561">
        <w:t xml:space="preserve">of the </w:t>
      </w:r>
      <w:r w:rsidR="007909F1">
        <w:t>Implementing Regulation</w:t>
      </w:r>
      <w:r w:rsidR="00D248E3">
        <w:t xml:space="preserve"> </w:t>
      </w:r>
      <w:r>
        <w:t xml:space="preserve">have been used to challenge the mapping proposed by the default rate calculation. </w:t>
      </w:r>
    </w:p>
    <w:p w:rsidR="008266E0" w:rsidRDefault="003E3163" w:rsidP="008266E0">
      <w:pPr>
        <w:pStyle w:val="numberedparagraph"/>
        <w:tabs>
          <w:tab w:val="clear" w:pos="710"/>
          <w:tab w:val="num" w:pos="284"/>
        </w:tabs>
        <w:ind w:left="284"/>
      </w:pPr>
      <w:r>
        <w:lastRenderedPageBreak/>
        <w:t>DBRS</w:t>
      </w:r>
      <w:r w:rsidR="008266E0">
        <w:t xml:space="preserve"> has not registered any change in the quantitative factors since the draft Implementing Technical Standards were submitted by the JC to the Commission. Therefore the qualitative considerations remain unchanged with respect to the original mapping repor</w:t>
      </w:r>
      <w:r w:rsidR="008266E0" w:rsidRPr="00E425B9">
        <w:t>t</w:t>
      </w:r>
      <w:r w:rsidR="008266E0">
        <w:t xml:space="preserve">, which means that the </w:t>
      </w:r>
      <w:r w:rsidR="008266E0" w:rsidRPr="00B849CA">
        <w:t xml:space="preserve">meaning and relative position of the credit assessments is the only qualitative factor that suggests an adjustment of the mapping proposal resulting from the quantitative factors. In particular, the meaning and relative position of rating categories </w:t>
      </w:r>
      <w:r w:rsidR="008266E0">
        <w:t>AAA/AA</w:t>
      </w:r>
      <w:r w:rsidR="008266E0" w:rsidRPr="00B849CA">
        <w:t xml:space="preserve"> and </w:t>
      </w:r>
      <w:proofErr w:type="gramStart"/>
      <w:r w:rsidR="008266E0">
        <w:t>A</w:t>
      </w:r>
      <w:proofErr w:type="gramEnd"/>
      <w:r w:rsidR="008266E0" w:rsidRPr="00B849CA">
        <w:t xml:space="preserve"> are in line with</w:t>
      </w:r>
      <w:r w:rsidR="008266E0" w:rsidRPr="008D4294">
        <w:t xml:space="preserve"> CQS </w:t>
      </w:r>
      <w:r w:rsidR="008266E0">
        <w:t>1</w:t>
      </w:r>
      <w:r w:rsidR="008266E0" w:rsidRPr="008D4294">
        <w:t xml:space="preserve">and CQS </w:t>
      </w:r>
      <w:r w:rsidR="008266E0">
        <w:t>2</w:t>
      </w:r>
      <w:r w:rsidR="008266E0" w:rsidRPr="00E56E1B">
        <w:t>, respectivel</w:t>
      </w:r>
      <w:r w:rsidR="008266E0">
        <w:t>y. I</w:t>
      </w:r>
      <w:r w:rsidR="008266E0" w:rsidRPr="00AA5DEB">
        <w:t>n the case of rating categor</w:t>
      </w:r>
      <w:r>
        <w:t>y D, its</w:t>
      </w:r>
      <w:r w:rsidR="008266E0" w:rsidRPr="00AA5DEB">
        <w:t xml:space="preserve"> meaning is consistent with the one</w:t>
      </w:r>
      <w:r w:rsidR="008266E0" w:rsidRPr="00443B7B">
        <w:t xml:space="preserve"> of CQS 6 stated in Annex II </w:t>
      </w:r>
      <w:r w:rsidR="008266E0">
        <w:t>of the Implementing Regulation</w:t>
      </w:r>
      <w:r w:rsidR="008266E0" w:rsidRPr="00443B7B">
        <w:t>.</w:t>
      </w:r>
    </w:p>
    <w:p w:rsidR="004E160A" w:rsidRDefault="004E160A" w:rsidP="00AF0256">
      <w:pPr>
        <w:pStyle w:val="Numberedtitlelevel2"/>
        <w:ind w:left="357" w:hanging="357"/>
        <w:outlineLvl w:val="0"/>
      </w:pPr>
      <w:r w:rsidRPr="00BE6527">
        <w:t>Mapping</w:t>
      </w:r>
      <w:r w:rsidRPr="004E160A">
        <w:t xml:space="preserve"> of </w:t>
      </w:r>
      <w:r w:rsidR="002411C2">
        <w:t>DBRS</w:t>
      </w:r>
      <w:r w:rsidR="00821472" w:rsidRPr="004E160A">
        <w:t xml:space="preserve"> </w:t>
      </w:r>
      <w:r w:rsidR="002411C2" w:rsidRPr="0050032D">
        <w:t>Commercial paper and short-term debt rating scale</w:t>
      </w:r>
    </w:p>
    <w:p w:rsidR="00240789" w:rsidRDefault="002411C2" w:rsidP="00CD7BD7">
      <w:pPr>
        <w:pStyle w:val="numberedparagraph"/>
        <w:tabs>
          <w:tab w:val="clear" w:pos="710"/>
          <w:tab w:val="num" w:pos="284"/>
        </w:tabs>
        <w:ind w:left="284"/>
      </w:pPr>
      <w:r>
        <w:t>DBRS</w:t>
      </w:r>
      <w:r w:rsidR="00240789">
        <w:t xml:space="preserve"> also produces short-term</w:t>
      </w:r>
      <w:r>
        <w:t xml:space="preserve"> </w:t>
      </w:r>
      <w:r w:rsidR="003E3163">
        <w:t xml:space="preserve">ratings </w:t>
      </w:r>
      <w:r w:rsidR="00D7084A">
        <w:t xml:space="preserve">and assigns them to </w:t>
      </w:r>
      <w:r w:rsidR="00D7084A" w:rsidRPr="00D7084A">
        <w:t xml:space="preserve">the </w:t>
      </w:r>
      <w:r w:rsidRPr="0050032D">
        <w:t>Commercial paper and short-term debt rating scale</w:t>
      </w:r>
      <w:r w:rsidRPr="00D7084A">
        <w:t xml:space="preserve"> </w:t>
      </w:r>
      <w:r w:rsidR="00240789">
        <w:t>(</w:t>
      </w:r>
      <w:r w:rsidR="00D7084A">
        <w:t xml:space="preserve">see </w:t>
      </w:r>
      <w:r w:rsidR="00A26763">
        <w:t>Figure 4</w:t>
      </w:r>
      <w:r>
        <w:t xml:space="preserve"> </w:t>
      </w:r>
      <w:r w:rsidR="00D7084A">
        <w:t xml:space="preserve">in </w:t>
      </w:r>
      <w:r w:rsidR="002B6F3D">
        <w:t>Appendix</w:t>
      </w:r>
      <w:r w:rsidR="00240789">
        <w:t xml:space="preserve"> 1). Given that the default information referred to these rating categories </w:t>
      </w:r>
      <w:r w:rsidR="00D7084A">
        <w:t xml:space="preserve">cannot be </w:t>
      </w:r>
      <w:r w:rsidR="00240789">
        <w:t xml:space="preserve">comparable with the 3-year time horizon that characterizes the benchmarks established in </w:t>
      </w:r>
      <w:r w:rsidR="00D7084A">
        <w:t>the</w:t>
      </w:r>
      <w:r w:rsidR="00240789">
        <w:t xml:space="preserve"> ITS, the internal relationship established by </w:t>
      </w:r>
      <w:r>
        <w:t>DBRS</w:t>
      </w:r>
      <w:r w:rsidR="00240789">
        <w:t xml:space="preserve"> between these two rating scales (described in</w:t>
      </w:r>
      <w:r w:rsidR="00C67A5F">
        <w:t xml:space="preserve"> </w:t>
      </w:r>
      <w:r w:rsidR="00A26763">
        <w:t xml:space="preserve">Figure </w:t>
      </w:r>
      <w:r w:rsidR="00ED61BA">
        <w:t>6</w:t>
      </w:r>
      <w:r w:rsidR="00240789">
        <w:t xml:space="preserve"> of </w:t>
      </w:r>
      <w:r w:rsidR="002B6F3D">
        <w:t>Appendix</w:t>
      </w:r>
      <w:r w:rsidR="00240789">
        <w:t xml:space="preserve"> 1) has been used to derive the mapping of the </w:t>
      </w:r>
      <w:r w:rsidRPr="0050032D">
        <w:t>Commercial paper and short-term debt rating scale</w:t>
      </w:r>
      <w:r w:rsidR="00240789">
        <w:t xml:space="preserve">. This should ensure the consistency of the mappings proposed for </w:t>
      </w:r>
      <w:r>
        <w:t>DBRS</w:t>
      </w:r>
      <w:r w:rsidR="00240789">
        <w:t xml:space="preserve">. </w:t>
      </w:r>
    </w:p>
    <w:p w:rsidR="00240789" w:rsidRDefault="00240789" w:rsidP="00545DAD">
      <w:pPr>
        <w:pStyle w:val="numberedparagraph"/>
        <w:tabs>
          <w:tab w:val="clear" w:pos="710"/>
          <w:tab w:val="num" w:pos="284"/>
        </w:tabs>
        <w:ind w:left="284"/>
      </w:pPr>
      <w:r>
        <w:t xml:space="preserve">More specifically, as each short-term rating </w:t>
      </w:r>
      <w:r w:rsidR="00C746C8">
        <w:t xml:space="preserve">can be </w:t>
      </w:r>
      <w:r>
        <w:t>associated with a range of long-term ratings,</w:t>
      </w:r>
      <w:r w:rsidRPr="00B960D0">
        <w:t xml:space="preserve"> </w:t>
      </w:r>
      <w:r>
        <w:t>t</w:t>
      </w:r>
      <w:r w:rsidRPr="00494B47">
        <w:t xml:space="preserve">he CQS assigned to </w:t>
      </w:r>
      <w:r w:rsidR="002411C2">
        <w:t>each</w:t>
      </w:r>
      <w:r w:rsidRPr="00494B47">
        <w:t xml:space="preserve"> short-term rating category </w:t>
      </w:r>
      <w:r w:rsidR="00C746C8">
        <w:t xml:space="preserve">has been </w:t>
      </w:r>
      <w:r w:rsidRPr="00494B47">
        <w:t xml:space="preserve">determined based on the most </w:t>
      </w:r>
      <w:r w:rsidR="007B6937">
        <w:t xml:space="preserve">frequent </w:t>
      </w:r>
      <w:r w:rsidR="00C746C8">
        <w:t xml:space="preserve">CQS </w:t>
      </w:r>
      <w:r w:rsidR="007B6937">
        <w:t>assigned to</w:t>
      </w:r>
      <w:r w:rsidR="00C746C8">
        <w:t xml:space="preserve"> the </w:t>
      </w:r>
      <w:r w:rsidR="007B6937">
        <w:t xml:space="preserve">related </w:t>
      </w:r>
      <w:r w:rsidRPr="00494B47">
        <w:t>long-term rating categor</w:t>
      </w:r>
      <w:r w:rsidR="00C746C8">
        <w:t>ies</w:t>
      </w:r>
      <w:r w:rsidRPr="00494B47">
        <w:t>.</w:t>
      </w:r>
      <w:r>
        <w:t xml:space="preserve"> In case of draw, the most conservative CQS </w:t>
      </w:r>
      <w:r w:rsidR="00C746C8">
        <w:t>ha</w:t>
      </w:r>
      <w:r>
        <w:t xml:space="preserve">s </w:t>
      </w:r>
      <w:r w:rsidR="00C746C8">
        <w:t xml:space="preserve">been </w:t>
      </w:r>
      <w:r>
        <w:t>considered.</w:t>
      </w:r>
      <w:r w:rsidR="006336AC">
        <w:t xml:space="preserve"> If the most frequent step is identified as CQS 5 or 6, CQS 4 is allocated, as </w:t>
      </w:r>
      <w:r w:rsidR="006336AC" w:rsidRPr="00984F9E">
        <w:t>the risk weights assigned to CQS</w:t>
      </w:r>
      <w:r w:rsidR="006336AC" w:rsidRPr="005E21E7">
        <w:t xml:space="preserve"> 4 to 6 are</w:t>
      </w:r>
      <w:r w:rsidR="006336AC">
        <w:t xml:space="preserve"> all</w:t>
      </w:r>
      <w:r w:rsidR="006336AC" w:rsidRPr="005E21E7">
        <w:t xml:space="preserve"> equal to 150% according to Article 131 CRR</w:t>
      </w:r>
      <w:r w:rsidR="006336AC">
        <w:t>.</w:t>
      </w:r>
    </w:p>
    <w:p w:rsidR="00240789" w:rsidRDefault="00240789" w:rsidP="00545DAD">
      <w:pPr>
        <w:pStyle w:val="numberedparagraph"/>
        <w:tabs>
          <w:tab w:val="clear" w:pos="710"/>
          <w:tab w:val="num" w:pos="284"/>
        </w:tabs>
        <w:ind w:left="284"/>
      </w:pPr>
      <w:r>
        <w:t xml:space="preserve">The result is shown in </w:t>
      </w:r>
      <w:r w:rsidR="00A26763">
        <w:t>Figure 1</w:t>
      </w:r>
      <w:r w:rsidR="00ED61BA">
        <w:t>5</w:t>
      </w:r>
      <w:r w:rsidR="002411C2">
        <w:t xml:space="preserve"> </w:t>
      </w:r>
      <w:r>
        <w:t xml:space="preserve">of </w:t>
      </w:r>
      <w:r w:rsidR="002B6F3D">
        <w:t>Appendix</w:t>
      </w:r>
      <w:r>
        <w:t xml:space="preserve"> 4:</w:t>
      </w:r>
      <w:r w:rsidR="00A26763">
        <w:t xml:space="preserve"> </w:t>
      </w:r>
    </w:p>
    <w:p w:rsidR="00CE627F" w:rsidRDefault="00CE627F" w:rsidP="00CE627F">
      <w:pPr>
        <w:pStyle w:val="bullet2"/>
      </w:pPr>
      <w:r>
        <w:rPr>
          <w:b/>
        </w:rPr>
        <w:t>R</w:t>
      </w:r>
      <w:r w:rsidRPr="00A93BC9">
        <w:rPr>
          <w:b/>
        </w:rPr>
        <w:t>-1</w:t>
      </w:r>
      <w:r>
        <w:rPr>
          <w:b/>
        </w:rPr>
        <w:t xml:space="preserve"> H</w:t>
      </w:r>
      <w:r w:rsidRPr="00A93BC9">
        <w:rPr>
          <w:b/>
        </w:rPr>
        <w:t xml:space="preserve">. </w:t>
      </w:r>
      <w:r w:rsidRPr="00A93BC9">
        <w:t>This rating</w:t>
      </w:r>
      <w:r>
        <w:t xml:space="preserve"> category indicates the </w:t>
      </w:r>
      <w:r>
        <w:rPr>
          <w:rFonts w:cs="Arial"/>
          <w:szCs w:val="24"/>
        </w:rPr>
        <w:t>h</w:t>
      </w:r>
      <w:r w:rsidRPr="00C94E0F">
        <w:rPr>
          <w:rFonts w:cs="Arial"/>
          <w:szCs w:val="24"/>
        </w:rPr>
        <w:t>ighest credit quality</w:t>
      </w:r>
      <w:r>
        <w:rPr>
          <w:rFonts w:cs="Arial"/>
          <w:szCs w:val="24"/>
        </w:rPr>
        <w:t>.</w:t>
      </w:r>
      <w:r>
        <w:t xml:space="preserve"> It is internally mapped to long-term categories AAA and </w:t>
      </w:r>
      <w:proofErr w:type="gramStart"/>
      <w:r>
        <w:t>AA</w:t>
      </w:r>
      <w:r w:rsidR="00C11519">
        <w:t>(</w:t>
      </w:r>
      <w:proofErr w:type="gramEnd"/>
      <w:r w:rsidR="00C11519">
        <w:t>H) and exceptionally to AA</w:t>
      </w:r>
      <w:r>
        <w:t xml:space="preserve">, </w:t>
      </w:r>
      <w:r w:rsidR="00C11519">
        <w:t>all of them</w:t>
      </w:r>
      <w:r>
        <w:t xml:space="preserve"> mapped to CQS 1. Therefore, CQS 1 is the proposed mapping.</w:t>
      </w:r>
    </w:p>
    <w:p w:rsidR="00CE627F" w:rsidRDefault="00CE627F" w:rsidP="00CE627F">
      <w:pPr>
        <w:pStyle w:val="bullet2"/>
      </w:pPr>
      <w:r>
        <w:rPr>
          <w:b/>
        </w:rPr>
        <w:t>R</w:t>
      </w:r>
      <w:r w:rsidRPr="00A93BC9">
        <w:rPr>
          <w:b/>
        </w:rPr>
        <w:t>-1</w:t>
      </w:r>
      <w:r>
        <w:rPr>
          <w:b/>
        </w:rPr>
        <w:t xml:space="preserve"> M</w:t>
      </w:r>
      <w:r w:rsidRPr="00A93BC9">
        <w:rPr>
          <w:b/>
        </w:rPr>
        <w:t xml:space="preserve">. </w:t>
      </w:r>
      <w:r w:rsidRPr="00A93BC9">
        <w:t>This rating</w:t>
      </w:r>
      <w:r>
        <w:t xml:space="preserve"> category indicates superior </w:t>
      </w:r>
      <w:r w:rsidRPr="00C94E0F">
        <w:rPr>
          <w:rFonts w:cs="Arial"/>
          <w:szCs w:val="24"/>
        </w:rPr>
        <w:t>credit quality</w:t>
      </w:r>
      <w:r>
        <w:rPr>
          <w:rFonts w:cs="Arial"/>
          <w:szCs w:val="24"/>
        </w:rPr>
        <w:t>.</w:t>
      </w:r>
      <w:r>
        <w:t xml:space="preserve"> It is internally mapped to long-term categories AA</w:t>
      </w:r>
      <w:r w:rsidR="00C11519">
        <w:t xml:space="preserve"> and </w:t>
      </w:r>
      <w:proofErr w:type="gramStart"/>
      <w:r w:rsidR="00C11519">
        <w:t>AA(</w:t>
      </w:r>
      <w:proofErr w:type="gramEnd"/>
      <w:r w:rsidR="00C11519">
        <w:t>L)</w:t>
      </w:r>
      <w:r>
        <w:t xml:space="preserve">, which </w:t>
      </w:r>
      <w:r w:rsidR="00C11519">
        <w:t xml:space="preserve">are </w:t>
      </w:r>
      <w:r>
        <w:t xml:space="preserve">mapped to CQS 1, and only exceptionally to upper A category, which is mapped to CQS </w:t>
      </w:r>
      <w:r w:rsidR="00713719">
        <w:t>2</w:t>
      </w:r>
      <w:r>
        <w:t>. Therefore, CQS 1 is the proposed mapping.</w:t>
      </w:r>
    </w:p>
    <w:p w:rsidR="00CE627F" w:rsidRDefault="00CE627F" w:rsidP="00CE627F">
      <w:pPr>
        <w:pStyle w:val="bullet2"/>
      </w:pPr>
      <w:r>
        <w:rPr>
          <w:b/>
        </w:rPr>
        <w:t>R</w:t>
      </w:r>
      <w:r w:rsidRPr="00A93BC9">
        <w:rPr>
          <w:b/>
        </w:rPr>
        <w:t>-1</w:t>
      </w:r>
      <w:r>
        <w:rPr>
          <w:b/>
        </w:rPr>
        <w:t xml:space="preserve"> L</w:t>
      </w:r>
      <w:r w:rsidRPr="00A93BC9">
        <w:rPr>
          <w:b/>
        </w:rPr>
        <w:t xml:space="preserve">. </w:t>
      </w:r>
      <w:r w:rsidRPr="00A93BC9">
        <w:t>This rating</w:t>
      </w:r>
      <w:r>
        <w:t xml:space="preserve"> category indicates good </w:t>
      </w:r>
      <w:r w:rsidRPr="00C94E0F">
        <w:rPr>
          <w:rFonts w:cs="Arial"/>
          <w:szCs w:val="24"/>
        </w:rPr>
        <w:t>credit quality</w:t>
      </w:r>
      <w:r>
        <w:rPr>
          <w:rFonts w:cs="Arial"/>
          <w:szCs w:val="24"/>
        </w:rPr>
        <w:t>.</w:t>
      </w:r>
      <w:r>
        <w:t xml:space="preserve"> It is internally mapped to long-term categories A, which is mapped to CQS 2, and only exceptionally to lower AA category, which is mapped to CQS 1, and upper level of BBB category, which is mapped to CQS 3. Therefore, CQS 2 is the proposed mapping.</w:t>
      </w:r>
    </w:p>
    <w:p w:rsidR="00C11519" w:rsidRDefault="00CE627F" w:rsidP="00C11519">
      <w:pPr>
        <w:pStyle w:val="bullet2"/>
      </w:pPr>
      <w:r>
        <w:rPr>
          <w:b/>
        </w:rPr>
        <w:t>R</w:t>
      </w:r>
      <w:r w:rsidRPr="00A93BC9">
        <w:rPr>
          <w:b/>
        </w:rPr>
        <w:t>-</w:t>
      </w:r>
      <w:r>
        <w:rPr>
          <w:b/>
        </w:rPr>
        <w:t>2</w:t>
      </w:r>
      <w:r w:rsidR="00C11519">
        <w:rPr>
          <w:b/>
        </w:rPr>
        <w:t xml:space="preserve"> H. </w:t>
      </w:r>
      <w:r w:rsidR="00C11519" w:rsidRPr="00545DAD">
        <w:t>This rating category indicates upper end of adequate credit quality.</w:t>
      </w:r>
      <w:r w:rsidR="00C11519">
        <w:rPr>
          <w:b/>
        </w:rPr>
        <w:t xml:space="preserve"> </w:t>
      </w:r>
      <w:r w:rsidR="00C11519">
        <w:t xml:space="preserve">It is internally mapped to long-term upper BBB, which is mapped to CQS 3, and exceptionally to categories </w:t>
      </w:r>
      <w:r w:rsidR="00C11519">
        <w:lastRenderedPageBreak/>
        <w:t>lower A and BBB, which are mapped to CQS 2 and CQS 3 respectively. Therefore, CQS 3 is the proposed mapping.</w:t>
      </w:r>
    </w:p>
    <w:p w:rsidR="00C11519" w:rsidRDefault="00C11519" w:rsidP="00C11519">
      <w:pPr>
        <w:pStyle w:val="bullet2"/>
      </w:pPr>
      <w:r>
        <w:rPr>
          <w:b/>
        </w:rPr>
        <w:t>R</w:t>
      </w:r>
      <w:r w:rsidRPr="00A93BC9">
        <w:rPr>
          <w:b/>
        </w:rPr>
        <w:t>-</w:t>
      </w:r>
      <w:r>
        <w:rPr>
          <w:b/>
        </w:rPr>
        <w:t xml:space="preserve">2 M. </w:t>
      </w:r>
      <w:r w:rsidRPr="00B849CA">
        <w:t>This rating category indicates adequate credit quality.</w:t>
      </w:r>
      <w:r>
        <w:rPr>
          <w:b/>
        </w:rPr>
        <w:t xml:space="preserve"> </w:t>
      </w:r>
      <w:r>
        <w:t>It is internally mapped to BBB and exceptionally lower BBB, both of them mapped to CQS 3. Therefore, CQS 3 is the proposed mapping.</w:t>
      </w:r>
    </w:p>
    <w:p w:rsidR="00C11519" w:rsidRPr="00545DAD" w:rsidRDefault="00C11519" w:rsidP="00CE627F">
      <w:pPr>
        <w:pStyle w:val="bullet2"/>
      </w:pPr>
      <w:r>
        <w:rPr>
          <w:b/>
        </w:rPr>
        <w:t xml:space="preserve">R-2 L. </w:t>
      </w:r>
      <w:r w:rsidRPr="00B849CA">
        <w:t xml:space="preserve">This rating category indicates </w:t>
      </w:r>
      <w:r>
        <w:t xml:space="preserve">lower end of </w:t>
      </w:r>
      <w:r w:rsidRPr="00B849CA">
        <w:t>adequate credit quality.</w:t>
      </w:r>
      <w:r>
        <w:rPr>
          <w:b/>
        </w:rPr>
        <w:t xml:space="preserve"> </w:t>
      </w:r>
      <w:r>
        <w:t>It is internally mapped to lower BBB mapped to CQS 3. Therefore, CQS 3 is the proposed mapping.</w:t>
      </w:r>
    </w:p>
    <w:p w:rsidR="00CE627F" w:rsidRDefault="00CE627F" w:rsidP="00CE627F">
      <w:pPr>
        <w:pStyle w:val="bullet2"/>
      </w:pPr>
      <w:r w:rsidRPr="0023494F">
        <w:rPr>
          <w:b/>
        </w:rPr>
        <w:t xml:space="preserve">R-3. </w:t>
      </w:r>
      <w:r w:rsidRPr="00A93BC9">
        <w:t>This rating</w:t>
      </w:r>
      <w:r>
        <w:t xml:space="preserve"> category indicates </w:t>
      </w:r>
      <w:r w:rsidRPr="0023494F">
        <w:rPr>
          <w:rFonts w:cs="Arial"/>
          <w:szCs w:val="24"/>
        </w:rPr>
        <w:t>the lowest end of adequate credit quality</w:t>
      </w:r>
      <w:r>
        <w:t>. The category is internally mapped to long-term categories BBB (low) and only exceptionally to BB (high), which are mapped to CQS 3 and 4 respectively. Therefore, CQS 3 is the proposed mapping.</w:t>
      </w:r>
    </w:p>
    <w:p w:rsidR="00CE627F" w:rsidRDefault="00CE627F" w:rsidP="00CE627F">
      <w:pPr>
        <w:pStyle w:val="bullet2"/>
      </w:pPr>
      <w:r>
        <w:rPr>
          <w:b/>
        </w:rPr>
        <w:t>R</w:t>
      </w:r>
      <w:r w:rsidRPr="00A93BC9">
        <w:rPr>
          <w:b/>
        </w:rPr>
        <w:t>-</w:t>
      </w:r>
      <w:r>
        <w:rPr>
          <w:b/>
        </w:rPr>
        <w:t>4</w:t>
      </w:r>
      <w:r w:rsidRPr="00A93BC9">
        <w:rPr>
          <w:b/>
        </w:rPr>
        <w:t xml:space="preserve">. </w:t>
      </w:r>
      <w:r w:rsidRPr="00A93BC9">
        <w:t>This rating</w:t>
      </w:r>
      <w:r>
        <w:t xml:space="preserve"> category indicates speculative </w:t>
      </w:r>
      <w:r w:rsidRPr="00C94E0F">
        <w:rPr>
          <w:rFonts w:cs="Arial"/>
          <w:szCs w:val="24"/>
        </w:rPr>
        <w:t>credit quality</w:t>
      </w:r>
      <w:r>
        <w:t xml:space="preserve">. The category is internally mapped to long-term categories </w:t>
      </w:r>
      <w:r w:rsidR="0023494F">
        <w:t xml:space="preserve">from upper </w:t>
      </w:r>
      <w:r>
        <w:t xml:space="preserve">BB </w:t>
      </w:r>
      <w:r w:rsidR="0023494F">
        <w:t xml:space="preserve">to </w:t>
      </w:r>
      <w:r>
        <w:t>B</w:t>
      </w:r>
      <w:r w:rsidR="0023494F">
        <w:t xml:space="preserve"> high and exceptionally to B</w:t>
      </w:r>
      <w:r>
        <w:t xml:space="preserve">, which are mapped to CQS 4 and 5 respectively. </w:t>
      </w:r>
      <w:r w:rsidRPr="00497050">
        <w:t xml:space="preserve">Since the risk weights assigned to CQS 4 to 6 are all equal to 150% according to Article 131 CRR, </w:t>
      </w:r>
      <w:r>
        <w:t>the mapping proposed for the R-4</w:t>
      </w:r>
      <w:r w:rsidRPr="00497050">
        <w:t xml:space="preserve"> rating category is CQS </w:t>
      </w:r>
      <w:r>
        <w:t>4</w:t>
      </w:r>
      <w:r w:rsidRPr="00EA2287">
        <w:t>.</w:t>
      </w:r>
    </w:p>
    <w:p w:rsidR="00CE627F" w:rsidRDefault="00CE627F" w:rsidP="00CE627F">
      <w:pPr>
        <w:pStyle w:val="bullet2"/>
      </w:pPr>
      <w:r>
        <w:rPr>
          <w:b/>
        </w:rPr>
        <w:t>R</w:t>
      </w:r>
      <w:r w:rsidRPr="00A93BC9">
        <w:rPr>
          <w:b/>
        </w:rPr>
        <w:t>-</w:t>
      </w:r>
      <w:r>
        <w:rPr>
          <w:b/>
        </w:rPr>
        <w:t>5</w:t>
      </w:r>
      <w:r w:rsidRPr="00A93BC9">
        <w:rPr>
          <w:b/>
        </w:rPr>
        <w:t xml:space="preserve">. </w:t>
      </w:r>
      <w:r w:rsidRPr="00A93BC9">
        <w:t>This rating</w:t>
      </w:r>
      <w:r>
        <w:t xml:space="preserve"> category indicates highly speculative </w:t>
      </w:r>
      <w:r w:rsidRPr="00C94E0F">
        <w:rPr>
          <w:rFonts w:cs="Arial"/>
          <w:szCs w:val="24"/>
        </w:rPr>
        <w:t>credit quality</w:t>
      </w:r>
      <w:r>
        <w:t xml:space="preserve">. The category is internally mapped to long-term categories B </w:t>
      </w:r>
      <w:r w:rsidR="0023494F">
        <w:t>t</w:t>
      </w:r>
      <w:r>
        <w:t xml:space="preserve">o C categories, which are mapped to CQS 5 and 6 respectively. </w:t>
      </w:r>
      <w:r w:rsidRPr="00497050">
        <w:t xml:space="preserve">Since the risk weights assigned to CQS 4 to 6 are all equal to 150% according to Article 131 CRR, </w:t>
      </w:r>
      <w:r>
        <w:t>the mapping proposed for the R-5</w:t>
      </w:r>
      <w:r w:rsidRPr="00497050">
        <w:t xml:space="preserve"> rating category is CQS </w:t>
      </w:r>
      <w:r>
        <w:t>4</w:t>
      </w:r>
      <w:r w:rsidRPr="00EA2287">
        <w:t>.</w:t>
      </w:r>
    </w:p>
    <w:p w:rsidR="00CE627F" w:rsidRDefault="00CE627F" w:rsidP="00CE627F">
      <w:pPr>
        <w:pStyle w:val="bullet2"/>
      </w:pPr>
      <w:r w:rsidRPr="00DA0260">
        <w:rPr>
          <w:b/>
        </w:rPr>
        <w:t>D</w:t>
      </w:r>
      <w:r w:rsidRPr="00A93BC9">
        <w:rPr>
          <w:b/>
        </w:rPr>
        <w:t>.</w:t>
      </w:r>
      <w:r w:rsidRPr="000C2FF6">
        <w:t xml:space="preserve"> </w:t>
      </w:r>
      <w:r w:rsidRPr="00FD58BF">
        <w:t>This rating category indicate</w:t>
      </w:r>
      <w:r w:rsidRPr="00507F42">
        <w:t xml:space="preserve">s </w:t>
      </w:r>
      <w:r w:rsidRPr="00DA0260">
        <w:t>payment default, consistent with CQS 6.</w:t>
      </w:r>
      <w:r w:rsidRPr="001D4311">
        <w:t xml:space="preserve"> </w:t>
      </w:r>
      <w:r>
        <w:t xml:space="preserve">In </w:t>
      </w:r>
      <w:r w:rsidRPr="001D4311">
        <w:t xml:space="preserve">addition, it is internally mapped to long-term categories </w:t>
      </w:r>
      <w:r>
        <w:t>D</w:t>
      </w:r>
      <w:r w:rsidRPr="00D10F07">
        <w:t xml:space="preserve">, which </w:t>
      </w:r>
      <w:r>
        <w:t xml:space="preserve">is </w:t>
      </w:r>
      <w:r w:rsidRPr="00D10F07">
        <w:t xml:space="preserve">mapped to CQS </w:t>
      </w:r>
      <w:r w:rsidRPr="00A867F2">
        <w:t xml:space="preserve">6. </w:t>
      </w:r>
      <w:r w:rsidRPr="00497050">
        <w:t xml:space="preserve">Since the risk weights assigned to CQS 4 to 6 are all equal to 150% according to Article 131 CRR, </w:t>
      </w:r>
      <w:r>
        <w:t>the mapping proposed for the D</w:t>
      </w:r>
      <w:r w:rsidRPr="00497050">
        <w:t xml:space="preserve"> rating category is CQS </w:t>
      </w:r>
      <w:r>
        <w:t>4</w:t>
      </w:r>
      <w:r w:rsidRPr="00EA2287">
        <w:t>.</w:t>
      </w:r>
    </w:p>
    <w:p w:rsidR="004E160A" w:rsidRPr="009D0E70" w:rsidRDefault="004E160A" w:rsidP="00AF0256">
      <w:pPr>
        <w:pStyle w:val="Numberedtitlelevel2"/>
        <w:ind w:left="357" w:hanging="357"/>
        <w:outlineLvl w:val="0"/>
      </w:pPr>
      <w:r w:rsidRPr="009D0E70">
        <w:t xml:space="preserve">Mapping of </w:t>
      </w:r>
      <w:r w:rsidR="005512E6" w:rsidRPr="009D0E70">
        <w:t xml:space="preserve">other </w:t>
      </w:r>
      <w:r w:rsidR="00CE627F" w:rsidRPr="009D0E70">
        <w:t>DBRS</w:t>
      </w:r>
      <w:r w:rsidRPr="009D0E70">
        <w:t xml:space="preserve"> </w:t>
      </w:r>
      <w:r w:rsidR="005512E6" w:rsidRPr="009D0E70">
        <w:t>credit rating scales</w:t>
      </w:r>
    </w:p>
    <w:p w:rsidR="00974CC8" w:rsidRDefault="00297EA3" w:rsidP="00974CC8">
      <w:pPr>
        <w:pStyle w:val="numberedparagraph"/>
        <w:tabs>
          <w:tab w:val="clear" w:pos="710"/>
          <w:tab w:val="num" w:pos="284"/>
        </w:tabs>
        <w:ind w:left="284"/>
      </w:pPr>
      <w:r>
        <w:t xml:space="preserve">As mentioned in Section 3, </w:t>
      </w:r>
      <w:r w:rsidR="00CE627F">
        <w:t xml:space="preserve">DBRS produces </w:t>
      </w:r>
      <w:r w:rsidR="005512E6">
        <w:t xml:space="preserve">a number of additional credit ratings that are assigned to different credit rating scales. </w:t>
      </w:r>
      <w:r w:rsidR="009167D8">
        <w:t xml:space="preserve">However, the Credit Fund Rating Scale and the Expected Loss Rating Scale are not in the scope of the mapping, as these credit assessment types are not considered as valid credit ratings under the </w:t>
      </w:r>
      <w:r w:rsidR="009167D8" w:rsidRPr="00540BB7">
        <w:t xml:space="preserve">Regulation (EC) No </w:t>
      </w:r>
      <w:r w:rsidR="009167D8" w:rsidRPr="00F815E0">
        <w:t>1060</w:t>
      </w:r>
      <w:r w:rsidR="009167D8" w:rsidRPr="00540BB7">
        <w:t>/2009 (Credit Rating Agencies Regulation - CRA)</w:t>
      </w:r>
      <w:r w:rsidR="009167D8">
        <w:t>.</w:t>
      </w:r>
    </w:p>
    <w:p w:rsidR="008A10C6" w:rsidRDefault="007304AC" w:rsidP="00545DAD">
      <w:pPr>
        <w:pStyle w:val="numberedparagraph"/>
        <w:tabs>
          <w:tab w:val="clear" w:pos="710"/>
          <w:tab w:val="num" w:pos="284"/>
        </w:tabs>
        <w:ind w:left="284"/>
      </w:pPr>
      <w:r>
        <w:t>Based on the methodology described in the previous section, t</w:t>
      </w:r>
      <w:r w:rsidR="003D2BB3">
        <w:t>he mapping</w:t>
      </w:r>
      <w:r w:rsidR="00CF5A63">
        <w:t xml:space="preserve"> of </w:t>
      </w:r>
      <w:r w:rsidR="00974CC8">
        <w:t xml:space="preserve">the </w:t>
      </w:r>
      <w:proofErr w:type="gramStart"/>
      <w:r w:rsidR="00974CC8">
        <w:t>Financial</w:t>
      </w:r>
      <w:proofErr w:type="gramEnd"/>
      <w:r w:rsidR="00974CC8">
        <w:t xml:space="preserve"> strength </w:t>
      </w:r>
      <w:r w:rsidR="00CF5A63">
        <w:t>rating scale</w:t>
      </w:r>
      <w:r w:rsidR="003D2BB3">
        <w:t xml:space="preserve"> ha</w:t>
      </w:r>
      <w:r w:rsidR="00CF5A63">
        <w:t>s</w:t>
      </w:r>
      <w:r w:rsidR="003D2BB3">
        <w:t xml:space="preserve"> been derived from </w:t>
      </w:r>
      <w:r w:rsidR="00B85D67">
        <w:t xml:space="preserve">the </w:t>
      </w:r>
      <w:r w:rsidR="00CF5A63">
        <w:t xml:space="preserve">relationship </w:t>
      </w:r>
      <w:r w:rsidR="00B85D67">
        <w:t>e</w:t>
      </w:r>
      <w:r>
        <w:t xml:space="preserve">stablished by the JC </w:t>
      </w:r>
      <w:r w:rsidR="00CF5A63">
        <w:t xml:space="preserve">with </w:t>
      </w:r>
      <w:r w:rsidR="00D057CD">
        <w:t xml:space="preserve">the Long-term </w:t>
      </w:r>
      <w:r w:rsidR="00CE627F">
        <w:t>obligations rating scale.</w:t>
      </w:r>
      <w:r w:rsidR="006336AC">
        <w:t xml:space="preserve"> More specifically, as each rating can be associated with one or a range of long-term </w:t>
      </w:r>
      <w:r w:rsidR="006336AC" w:rsidRPr="00494B47">
        <w:t>rating categor</w:t>
      </w:r>
      <w:r w:rsidR="006336AC">
        <w:t>ies, its CQS</w:t>
      </w:r>
      <w:r w:rsidR="006336AC" w:rsidRPr="00494B47">
        <w:t xml:space="preserve"> </w:t>
      </w:r>
      <w:r w:rsidR="006336AC">
        <w:t xml:space="preserve">has been </w:t>
      </w:r>
      <w:r w:rsidR="006336AC" w:rsidRPr="00494B47">
        <w:t xml:space="preserve">determined based on the most </w:t>
      </w:r>
      <w:r w:rsidR="006336AC">
        <w:t xml:space="preserve">frequent CQS assigned to the related </w:t>
      </w:r>
      <w:r w:rsidR="006336AC" w:rsidRPr="00494B47">
        <w:t>rating categor</w:t>
      </w:r>
      <w:r w:rsidR="006336AC">
        <w:t>ies</w:t>
      </w:r>
      <w:r w:rsidR="006336AC" w:rsidRPr="00494B47">
        <w:t>.</w:t>
      </w:r>
      <w:r w:rsidR="006336AC">
        <w:t xml:space="preserve"> In case of draw, the most conservative CQS has been considered.</w:t>
      </w:r>
      <w:r w:rsidR="005512E6">
        <w:t xml:space="preserve"> R</w:t>
      </w:r>
      <w:r w:rsidR="0097396D" w:rsidRPr="002C1F8C">
        <w:t>esult</w:t>
      </w:r>
      <w:r w:rsidR="005512E6">
        <w:t>s</w:t>
      </w:r>
      <w:r w:rsidR="0097396D" w:rsidRPr="002C1F8C">
        <w:t xml:space="preserve"> </w:t>
      </w:r>
      <w:r w:rsidR="005512E6">
        <w:t>are</w:t>
      </w:r>
      <w:r w:rsidR="0097396D" w:rsidRPr="002C1F8C">
        <w:t xml:space="preserve"> shown in </w:t>
      </w:r>
      <w:r w:rsidR="005512E6">
        <w:t>Figure 1</w:t>
      </w:r>
      <w:r w:rsidR="00ED61BA">
        <w:t>6</w:t>
      </w:r>
      <w:r w:rsidR="00CE627F">
        <w:t xml:space="preserve"> </w:t>
      </w:r>
      <w:r w:rsidR="00BD01BB">
        <w:t>of Appendix 4</w:t>
      </w:r>
      <w:r w:rsidR="0097396D" w:rsidRPr="002C1F8C">
        <w:t>.</w:t>
      </w:r>
    </w:p>
    <w:p w:rsidR="005512E6" w:rsidRPr="00144352" w:rsidRDefault="005512E6" w:rsidP="00545DAD">
      <w:pPr>
        <w:pStyle w:val="numberedparagraph"/>
        <w:numPr>
          <w:ilvl w:val="0"/>
          <w:numId w:val="50"/>
        </w:numPr>
      </w:pPr>
      <w:r>
        <w:rPr>
          <w:b/>
        </w:rPr>
        <w:lastRenderedPageBreak/>
        <w:t>Financial strength</w:t>
      </w:r>
      <w:r w:rsidRPr="006D628D">
        <w:rPr>
          <w:b/>
        </w:rPr>
        <w:t xml:space="preserve"> rating scale</w:t>
      </w:r>
      <w:r w:rsidRPr="0069105D">
        <w:rPr>
          <w:b/>
        </w:rPr>
        <w:t xml:space="preserve"> </w:t>
      </w:r>
      <w:r w:rsidRPr="00CB5872">
        <w:t xml:space="preserve">(see </w:t>
      </w:r>
      <w:r>
        <w:t>Figure 5</w:t>
      </w:r>
      <w:r w:rsidRPr="00CB5872">
        <w:t xml:space="preserve"> in Appendix 1). The rating categories can be considered comparable to those of the </w:t>
      </w:r>
      <w:r>
        <w:t>lo</w:t>
      </w:r>
      <w:r w:rsidRPr="00CB5872">
        <w:t>ng-term issuer ratings scale. Therefore the mapping of each rating category has been derived from its meaning</w:t>
      </w:r>
      <w:r>
        <w:t>,</w:t>
      </w:r>
      <w:r w:rsidRPr="00CB5872">
        <w:t xml:space="preserve"> relative position and the mapping of </w:t>
      </w:r>
      <w:r w:rsidRPr="00144352">
        <w:t xml:space="preserve">the corresponding categories of the </w:t>
      </w:r>
      <w:r>
        <w:t>l</w:t>
      </w:r>
      <w:r w:rsidRPr="00144352">
        <w:t>ong-term issuer rating scale. The result</w:t>
      </w:r>
      <w:r>
        <w:t>ing</w:t>
      </w:r>
      <w:r w:rsidRPr="00144352">
        <w:t xml:space="preserve"> </w:t>
      </w:r>
      <w:r>
        <w:t>m</w:t>
      </w:r>
      <w:r w:rsidRPr="00144352">
        <w:t xml:space="preserve">apping of this scale is shown in </w:t>
      </w:r>
      <w:r>
        <w:t>Figure 1</w:t>
      </w:r>
      <w:r w:rsidR="00974CC8">
        <w:t>6</w:t>
      </w:r>
      <w:r w:rsidRPr="00CB5872">
        <w:t xml:space="preserve"> </w:t>
      </w:r>
      <w:r w:rsidRPr="00144352">
        <w:t>of Appendix 4.</w:t>
      </w:r>
    </w:p>
    <w:p w:rsidR="00B930A4" w:rsidRDefault="00B930A4">
      <w:pPr>
        <w:sectPr w:rsidR="00B930A4" w:rsidSect="0012623D">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docGrid w:linePitch="299"/>
        </w:sectPr>
      </w:pPr>
      <w:r>
        <w:br w:type="page"/>
      </w:r>
    </w:p>
    <w:p w:rsidR="00F434D1" w:rsidRPr="00BE6527" w:rsidRDefault="00F434D1" w:rsidP="00AF0256">
      <w:pPr>
        <w:pStyle w:val="Titlelevel2"/>
        <w:outlineLvl w:val="0"/>
      </w:pPr>
      <w:r w:rsidRPr="00BE6527">
        <w:lastRenderedPageBreak/>
        <w:t xml:space="preserve">Appendix 1: </w:t>
      </w:r>
      <w:r w:rsidRPr="00BE6527">
        <w:tab/>
        <w:t>Credit ratings and rating scales</w:t>
      </w:r>
    </w:p>
    <w:p w:rsidR="00892B01" w:rsidRDefault="0041788D" w:rsidP="00CD7BD7">
      <w:pPr>
        <w:pStyle w:val="Figuretitle"/>
      </w:pPr>
      <w:bookmarkStart w:id="4" w:name="_Ref384801505"/>
      <w:bookmarkStart w:id="5" w:name="_Toc239218820"/>
      <w:bookmarkStart w:id="6"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CD7BD7">
        <w:rPr>
          <w:szCs w:val="22"/>
        </w:rPr>
        <w:t>2</w:t>
      </w:r>
      <w:r w:rsidRPr="0041788D">
        <w:rPr>
          <w:szCs w:val="22"/>
        </w:rPr>
        <w:fldChar w:fldCharType="end"/>
      </w:r>
      <w:bookmarkEnd w:id="4"/>
      <w:r w:rsidRPr="0041788D">
        <w:rPr>
          <w:szCs w:val="22"/>
        </w:rPr>
        <w:t xml:space="preserve">: </w:t>
      </w:r>
      <w:bookmarkEnd w:id="5"/>
      <w:bookmarkEnd w:id="6"/>
      <w:r w:rsidR="00E46F63">
        <w:rPr>
          <w:szCs w:val="22"/>
        </w:rPr>
        <w:t>DBRS</w:t>
      </w:r>
      <w:r w:rsidR="00892B01" w:rsidRPr="00892B01">
        <w:t>’s relevant credit ratings and rating scales</w:t>
      </w:r>
    </w:p>
    <w:tbl>
      <w:tblPr>
        <w:tblStyle w:val="EBAtable"/>
        <w:tblW w:w="13149" w:type="dxa"/>
        <w:tblLayout w:type="fixed"/>
        <w:tblLook w:val="04A0" w:firstRow="1" w:lastRow="0" w:firstColumn="1" w:lastColumn="0" w:noHBand="0" w:noVBand="1"/>
      </w:tblPr>
      <w:tblGrid>
        <w:gridCol w:w="4023"/>
        <w:gridCol w:w="4098"/>
        <w:gridCol w:w="5028"/>
      </w:tblGrid>
      <w:tr w:rsidR="00892B01" w:rsidRPr="00612352" w:rsidTr="00545DAD">
        <w:trPr>
          <w:cnfStyle w:val="100000000000" w:firstRow="1" w:lastRow="0" w:firstColumn="0" w:lastColumn="0" w:oddVBand="0" w:evenVBand="0" w:oddHBand="0" w:evenHBand="0" w:firstRowFirstColumn="0" w:firstRowLastColumn="0" w:lastRowFirstColumn="0" w:lastRowLastColumn="0"/>
          <w:trHeight w:hRule="exact" w:val="454"/>
        </w:trPr>
        <w:tc>
          <w:tcPr>
            <w:tcW w:w="4023" w:type="dxa"/>
          </w:tcPr>
          <w:p w:rsidR="00892B01" w:rsidRPr="00612352" w:rsidRDefault="00892B01" w:rsidP="00245FF8">
            <w:pPr>
              <w:pStyle w:val="Tableheader"/>
              <w:rPr>
                <w:lang w:val="en-GB"/>
              </w:rPr>
            </w:pPr>
            <w:r w:rsidRPr="00892B01">
              <w:t>SA exposure classes</w:t>
            </w:r>
          </w:p>
        </w:tc>
        <w:tc>
          <w:tcPr>
            <w:tcW w:w="4098" w:type="dxa"/>
          </w:tcPr>
          <w:p w:rsidR="00892B01" w:rsidRPr="00612352" w:rsidRDefault="00892B01" w:rsidP="00245FF8">
            <w:pPr>
              <w:pStyle w:val="Tableheader"/>
              <w:rPr>
                <w:lang w:val="en-GB"/>
              </w:rPr>
            </w:pPr>
            <w:r w:rsidRPr="00892B01">
              <w:rPr>
                <w:lang w:val="en-GB"/>
              </w:rPr>
              <w:t>Name of credit rating</w:t>
            </w:r>
          </w:p>
        </w:tc>
        <w:tc>
          <w:tcPr>
            <w:tcW w:w="5028" w:type="dxa"/>
          </w:tcPr>
          <w:p w:rsidR="00892B01" w:rsidRPr="00612352" w:rsidRDefault="00892B01" w:rsidP="00245FF8">
            <w:pPr>
              <w:pStyle w:val="Tableheader"/>
              <w:rPr>
                <w:lang w:val="en-GB"/>
              </w:rPr>
            </w:pPr>
            <w:r w:rsidRPr="00892B01">
              <w:t>Credit rating scale</w:t>
            </w:r>
          </w:p>
        </w:tc>
      </w:tr>
      <w:tr w:rsidR="00892B01" w:rsidRPr="00612352" w:rsidTr="00545DAD">
        <w:trPr>
          <w:trHeight w:hRule="exact" w:val="454"/>
        </w:trPr>
        <w:tc>
          <w:tcPr>
            <w:tcW w:w="4023" w:type="dxa"/>
            <w:tcBorders>
              <w:bottom w:val="single" w:sz="2" w:space="0" w:color="000000" w:themeColor="text1"/>
            </w:tcBorders>
            <w:vAlign w:val="top"/>
          </w:tcPr>
          <w:p w:rsidR="00892B01" w:rsidRPr="00892B01" w:rsidRDefault="00892B01" w:rsidP="00245FF8">
            <w:pPr>
              <w:spacing w:before="120" w:after="120"/>
              <w:rPr>
                <w:b/>
              </w:rPr>
            </w:pPr>
            <w:r w:rsidRPr="00892B01">
              <w:rPr>
                <w:b/>
              </w:rPr>
              <w:t>Long-term ratings</w:t>
            </w:r>
          </w:p>
        </w:tc>
        <w:tc>
          <w:tcPr>
            <w:tcW w:w="4098" w:type="dxa"/>
            <w:tcBorders>
              <w:bottom w:val="single" w:sz="2" w:space="0" w:color="000000" w:themeColor="text1"/>
            </w:tcBorders>
            <w:vAlign w:val="top"/>
          </w:tcPr>
          <w:p w:rsidR="00892B01" w:rsidRPr="0002510A" w:rsidRDefault="00892B01" w:rsidP="00245FF8">
            <w:pPr>
              <w:spacing w:before="120" w:after="120"/>
            </w:pPr>
          </w:p>
        </w:tc>
        <w:tc>
          <w:tcPr>
            <w:tcW w:w="5028" w:type="dxa"/>
            <w:tcBorders>
              <w:bottom w:val="single" w:sz="2" w:space="0" w:color="000000" w:themeColor="text1"/>
            </w:tcBorders>
            <w:vAlign w:val="top"/>
          </w:tcPr>
          <w:p w:rsidR="00892B01" w:rsidRDefault="00892B01" w:rsidP="00245FF8">
            <w:pPr>
              <w:spacing w:before="120" w:after="120"/>
            </w:pPr>
          </w:p>
        </w:tc>
      </w:tr>
      <w:tr w:rsidR="00E46F63" w:rsidRPr="00612352" w:rsidTr="00545DAD">
        <w:trPr>
          <w:trHeight w:hRule="exact" w:val="454"/>
        </w:trPr>
        <w:tc>
          <w:tcPr>
            <w:tcW w:w="4023" w:type="dxa"/>
            <w:tcBorders>
              <w:top w:val="single" w:sz="2" w:space="0" w:color="000000" w:themeColor="text1"/>
              <w:bottom w:val="nil"/>
            </w:tcBorders>
          </w:tcPr>
          <w:p w:rsidR="00E46F63" w:rsidRPr="0002510A" w:rsidRDefault="00E46F63">
            <w:pPr>
              <w:spacing w:before="120" w:after="120"/>
            </w:pPr>
            <w:r w:rsidRPr="0002510A">
              <w:t>Central governments/ Central banks</w:t>
            </w:r>
          </w:p>
        </w:tc>
        <w:tc>
          <w:tcPr>
            <w:tcW w:w="4098" w:type="dxa"/>
            <w:tcBorders>
              <w:top w:val="single" w:sz="2" w:space="0" w:color="000000" w:themeColor="text1"/>
              <w:bottom w:val="nil"/>
            </w:tcBorders>
          </w:tcPr>
          <w:p w:rsidR="00E46F63" w:rsidRPr="00C0130D" w:rsidRDefault="00E46F63">
            <w:pPr>
              <w:spacing w:before="120" w:after="120"/>
            </w:pPr>
            <w:r w:rsidRPr="007760D9">
              <w:t>Long-term issue/security rating</w:t>
            </w:r>
          </w:p>
        </w:tc>
        <w:tc>
          <w:tcPr>
            <w:tcW w:w="5028" w:type="dxa"/>
            <w:tcBorders>
              <w:top w:val="single" w:sz="2" w:space="0" w:color="000000" w:themeColor="text1"/>
              <w:bottom w:val="nil"/>
            </w:tcBorders>
          </w:tcPr>
          <w:p w:rsidR="00E46F63" w:rsidRPr="00E46F63" w:rsidRDefault="00E46F63">
            <w:pPr>
              <w:spacing w:before="120" w:after="120"/>
            </w:pPr>
            <w:r>
              <w:t>Long-t</w:t>
            </w:r>
            <w:r w:rsidRPr="00615A7F">
              <w:t xml:space="preserve">erm </w:t>
            </w:r>
            <w:r>
              <w:t>o</w:t>
            </w:r>
            <w:r w:rsidRPr="00615A7F">
              <w:t xml:space="preserve">bligations </w:t>
            </w:r>
            <w:r>
              <w:t>r</w:t>
            </w:r>
            <w:r w:rsidRPr="00615A7F">
              <w:t xml:space="preserve">ating </w:t>
            </w:r>
            <w:r>
              <w:t>s</w:t>
            </w:r>
            <w:r w:rsidRPr="00615A7F">
              <w:t>cale</w:t>
            </w:r>
          </w:p>
        </w:tc>
      </w:tr>
      <w:tr w:rsidR="00E46F63" w:rsidRPr="00612352" w:rsidTr="00545DAD">
        <w:trPr>
          <w:trHeight w:hRule="exact" w:val="454"/>
        </w:trPr>
        <w:tc>
          <w:tcPr>
            <w:tcW w:w="4023" w:type="dxa"/>
            <w:tcBorders>
              <w:top w:val="nil"/>
              <w:bottom w:val="single" w:sz="2" w:space="0" w:color="000000" w:themeColor="text1"/>
            </w:tcBorders>
          </w:tcPr>
          <w:p w:rsidR="00E46F63" w:rsidRPr="001B32F8" w:rsidRDefault="00E46F63">
            <w:pPr>
              <w:spacing w:before="120" w:after="120"/>
            </w:pPr>
          </w:p>
        </w:tc>
        <w:tc>
          <w:tcPr>
            <w:tcW w:w="4098" w:type="dxa"/>
            <w:tcBorders>
              <w:top w:val="nil"/>
              <w:bottom w:val="single" w:sz="2" w:space="0" w:color="000000" w:themeColor="text1"/>
            </w:tcBorders>
          </w:tcPr>
          <w:p w:rsidR="00E46F63" w:rsidRPr="00C0130D" w:rsidRDefault="00E46F63">
            <w:pPr>
              <w:spacing w:before="120" w:after="120"/>
            </w:pPr>
            <w:r w:rsidRPr="007760D9">
              <w:t>Long-term Issuer rating</w:t>
            </w:r>
          </w:p>
        </w:tc>
        <w:tc>
          <w:tcPr>
            <w:tcW w:w="5028" w:type="dxa"/>
            <w:tcBorders>
              <w:top w:val="nil"/>
              <w:bottom w:val="single" w:sz="2" w:space="0" w:color="000000" w:themeColor="text1"/>
            </w:tcBorders>
          </w:tcPr>
          <w:p w:rsidR="00E46F63" w:rsidRDefault="00E46F63">
            <w:pPr>
              <w:spacing w:before="120" w:after="120"/>
            </w:pPr>
            <w:r w:rsidRPr="00FB6C35">
              <w:t>Long-term obligations rating scale</w:t>
            </w:r>
          </w:p>
        </w:tc>
      </w:tr>
      <w:tr w:rsidR="00E46F63" w:rsidRPr="00612352" w:rsidTr="00545DAD">
        <w:trPr>
          <w:trHeight w:hRule="exact" w:val="454"/>
        </w:trPr>
        <w:tc>
          <w:tcPr>
            <w:tcW w:w="4023" w:type="dxa"/>
            <w:tcBorders>
              <w:top w:val="single" w:sz="2" w:space="0" w:color="000000" w:themeColor="text1"/>
              <w:bottom w:val="nil"/>
            </w:tcBorders>
          </w:tcPr>
          <w:p w:rsidR="00E46F63" w:rsidRPr="001B32F8" w:rsidRDefault="00E46F63">
            <w:pPr>
              <w:spacing w:before="120" w:after="120"/>
            </w:pPr>
            <w:r w:rsidRPr="001B32F8">
              <w:t>Regional and local governments and PSEs</w:t>
            </w:r>
          </w:p>
        </w:tc>
        <w:tc>
          <w:tcPr>
            <w:tcW w:w="4098" w:type="dxa"/>
            <w:tcBorders>
              <w:top w:val="single" w:sz="2" w:space="0" w:color="000000" w:themeColor="text1"/>
              <w:bottom w:val="nil"/>
            </w:tcBorders>
          </w:tcPr>
          <w:p w:rsidR="00E46F63" w:rsidRPr="00C0130D" w:rsidRDefault="00E46F63">
            <w:pPr>
              <w:spacing w:before="120" w:after="120"/>
            </w:pPr>
            <w:r w:rsidRPr="007760D9">
              <w:t>Long-term issue/security rating</w:t>
            </w:r>
          </w:p>
        </w:tc>
        <w:tc>
          <w:tcPr>
            <w:tcW w:w="5028" w:type="dxa"/>
            <w:tcBorders>
              <w:top w:val="single" w:sz="2" w:space="0" w:color="000000" w:themeColor="text1"/>
              <w:bottom w:val="nil"/>
            </w:tcBorders>
          </w:tcPr>
          <w:p w:rsidR="00E46F63" w:rsidRDefault="00E46F63">
            <w:pPr>
              <w:spacing w:before="120" w:after="120"/>
            </w:pPr>
            <w:r w:rsidRPr="00FB6C35">
              <w:t>Long-term obligations rating scale</w:t>
            </w:r>
          </w:p>
        </w:tc>
      </w:tr>
      <w:tr w:rsidR="00E46F63" w:rsidRPr="00612352" w:rsidTr="00545DAD">
        <w:trPr>
          <w:trHeight w:hRule="exact" w:val="454"/>
        </w:trPr>
        <w:tc>
          <w:tcPr>
            <w:tcW w:w="4023" w:type="dxa"/>
            <w:tcBorders>
              <w:top w:val="nil"/>
              <w:bottom w:val="single" w:sz="2" w:space="0" w:color="000000" w:themeColor="text1"/>
            </w:tcBorders>
          </w:tcPr>
          <w:p w:rsidR="00E46F63" w:rsidRPr="001B32F8" w:rsidRDefault="00E46F63">
            <w:pPr>
              <w:spacing w:before="120" w:after="120"/>
            </w:pPr>
          </w:p>
        </w:tc>
        <w:tc>
          <w:tcPr>
            <w:tcW w:w="4098" w:type="dxa"/>
            <w:tcBorders>
              <w:top w:val="nil"/>
              <w:bottom w:val="single" w:sz="2" w:space="0" w:color="000000" w:themeColor="text1"/>
            </w:tcBorders>
          </w:tcPr>
          <w:p w:rsidR="00E46F63" w:rsidRPr="00C0130D" w:rsidRDefault="00E46F63">
            <w:pPr>
              <w:spacing w:before="120" w:after="120"/>
            </w:pPr>
            <w:r w:rsidRPr="007760D9">
              <w:t>Long-term Issuer rating</w:t>
            </w:r>
          </w:p>
        </w:tc>
        <w:tc>
          <w:tcPr>
            <w:tcW w:w="5028" w:type="dxa"/>
            <w:tcBorders>
              <w:top w:val="nil"/>
              <w:bottom w:val="single" w:sz="2" w:space="0" w:color="000000" w:themeColor="text1"/>
            </w:tcBorders>
          </w:tcPr>
          <w:p w:rsidR="00E46F63" w:rsidRDefault="00E46F63">
            <w:pPr>
              <w:spacing w:before="120" w:after="120"/>
            </w:pPr>
            <w:r w:rsidRPr="00FB6C35">
              <w:t>Long-term obligations rating scale</w:t>
            </w:r>
          </w:p>
        </w:tc>
      </w:tr>
      <w:tr w:rsidR="00E46F63" w:rsidRPr="00612352" w:rsidTr="00545DAD">
        <w:trPr>
          <w:trHeight w:hRule="exact" w:val="454"/>
        </w:trPr>
        <w:tc>
          <w:tcPr>
            <w:tcW w:w="4023" w:type="dxa"/>
            <w:tcBorders>
              <w:top w:val="single" w:sz="2" w:space="0" w:color="000000" w:themeColor="text1"/>
              <w:bottom w:val="nil"/>
            </w:tcBorders>
          </w:tcPr>
          <w:p w:rsidR="00E46F63" w:rsidRPr="001B32F8" w:rsidRDefault="00E46F63">
            <w:pPr>
              <w:spacing w:before="120" w:after="120"/>
            </w:pPr>
            <w:r w:rsidRPr="001B32F8">
              <w:t>Institutions</w:t>
            </w:r>
          </w:p>
        </w:tc>
        <w:tc>
          <w:tcPr>
            <w:tcW w:w="4098" w:type="dxa"/>
            <w:tcBorders>
              <w:top w:val="single" w:sz="2" w:space="0" w:color="000000" w:themeColor="text1"/>
              <w:bottom w:val="nil"/>
            </w:tcBorders>
          </w:tcPr>
          <w:p w:rsidR="00E46F63" w:rsidRPr="00C0130D" w:rsidRDefault="00E46F63">
            <w:pPr>
              <w:spacing w:before="120" w:after="120"/>
            </w:pPr>
            <w:r w:rsidRPr="007760D9">
              <w:t>Long-term issue/security rating</w:t>
            </w:r>
          </w:p>
        </w:tc>
        <w:tc>
          <w:tcPr>
            <w:tcW w:w="5028" w:type="dxa"/>
            <w:tcBorders>
              <w:top w:val="single" w:sz="2" w:space="0" w:color="000000" w:themeColor="text1"/>
              <w:bottom w:val="nil"/>
            </w:tcBorders>
          </w:tcPr>
          <w:p w:rsidR="00E46F63" w:rsidRDefault="00E46F63">
            <w:pPr>
              <w:spacing w:before="120" w:after="120"/>
            </w:pPr>
            <w:r w:rsidRPr="00FB6C35">
              <w:t>Long-term obligations rating scale</w:t>
            </w:r>
          </w:p>
        </w:tc>
      </w:tr>
      <w:tr w:rsidR="00E46F63" w:rsidRPr="00612352" w:rsidTr="00545DAD">
        <w:trPr>
          <w:trHeight w:hRule="exact" w:val="454"/>
        </w:trPr>
        <w:tc>
          <w:tcPr>
            <w:tcW w:w="4023" w:type="dxa"/>
            <w:tcBorders>
              <w:top w:val="nil"/>
              <w:bottom w:val="nil"/>
            </w:tcBorders>
          </w:tcPr>
          <w:p w:rsidR="00E46F63" w:rsidRPr="001B32F8" w:rsidRDefault="00E46F63">
            <w:pPr>
              <w:spacing w:before="120" w:after="120"/>
            </w:pPr>
          </w:p>
        </w:tc>
        <w:tc>
          <w:tcPr>
            <w:tcW w:w="4098" w:type="dxa"/>
            <w:tcBorders>
              <w:top w:val="nil"/>
              <w:bottom w:val="nil"/>
            </w:tcBorders>
          </w:tcPr>
          <w:p w:rsidR="00E46F63" w:rsidRPr="00C0130D" w:rsidRDefault="00E46F63">
            <w:pPr>
              <w:spacing w:before="120" w:after="120"/>
            </w:pPr>
            <w:r w:rsidRPr="007760D9">
              <w:t>Long-term Issuer rating</w:t>
            </w:r>
          </w:p>
        </w:tc>
        <w:tc>
          <w:tcPr>
            <w:tcW w:w="5028" w:type="dxa"/>
            <w:tcBorders>
              <w:top w:val="nil"/>
              <w:bottom w:val="nil"/>
            </w:tcBorders>
          </w:tcPr>
          <w:p w:rsidR="00E46F63" w:rsidRDefault="00E46F63">
            <w:pPr>
              <w:spacing w:before="120" w:after="120"/>
            </w:pPr>
            <w:r w:rsidRPr="00FB6C35">
              <w:t>Long-term obligations rating scale</w:t>
            </w:r>
          </w:p>
        </w:tc>
      </w:tr>
      <w:tr w:rsidR="009465F5" w:rsidRPr="00612352" w:rsidTr="00545DAD">
        <w:trPr>
          <w:trHeight w:hRule="exact" w:val="454"/>
        </w:trPr>
        <w:tc>
          <w:tcPr>
            <w:tcW w:w="4023" w:type="dxa"/>
            <w:tcBorders>
              <w:top w:val="nil"/>
              <w:bottom w:val="nil"/>
            </w:tcBorders>
          </w:tcPr>
          <w:p w:rsidR="009465F5" w:rsidRPr="001B32F8" w:rsidRDefault="009465F5">
            <w:pPr>
              <w:spacing w:before="120" w:after="120"/>
            </w:pPr>
          </w:p>
        </w:tc>
        <w:tc>
          <w:tcPr>
            <w:tcW w:w="4098" w:type="dxa"/>
            <w:tcBorders>
              <w:top w:val="nil"/>
              <w:bottom w:val="nil"/>
            </w:tcBorders>
          </w:tcPr>
          <w:p w:rsidR="009465F5" w:rsidRPr="007760D9" w:rsidRDefault="009465F5">
            <w:pPr>
              <w:spacing w:before="120" w:after="120"/>
            </w:pPr>
            <w:r>
              <w:t>L</w:t>
            </w:r>
            <w:r w:rsidRPr="009465F5">
              <w:t xml:space="preserve">ong-term </w:t>
            </w:r>
            <w:r w:rsidR="00470FA4">
              <w:t>deposit r</w:t>
            </w:r>
            <w:r w:rsidRPr="009465F5">
              <w:t>atings</w:t>
            </w:r>
          </w:p>
        </w:tc>
        <w:tc>
          <w:tcPr>
            <w:tcW w:w="5028" w:type="dxa"/>
            <w:tcBorders>
              <w:top w:val="nil"/>
              <w:bottom w:val="nil"/>
            </w:tcBorders>
          </w:tcPr>
          <w:p w:rsidR="009465F5" w:rsidRPr="00FB6C35" w:rsidRDefault="009465F5">
            <w:pPr>
              <w:spacing w:before="120" w:after="120"/>
            </w:pPr>
            <w:r w:rsidRPr="00FB6C35">
              <w:t>Long-term obligations rating scale</w:t>
            </w:r>
          </w:p>
        </w:tc>
      </w:tr>
      <w:tr w:rsidR="009465F5" w:rsidRPr="00612352" w:rsidTr="00545DAD">
        <w:trPr>
          <w:trHeight w:hRule="exact" w:val="454"/>
        </w:trPr>
        <w:tc>
          <w:tcPr>
            <w:tcW w:w="4023" w:type="dxa"/>
            <w:tcBorders>
              <w:top w:val="nil"/>
              <w:bottom w:val="single" w:sz="2" w:space="0" w:color="000000" w:themeColor="text1"/>
            </w:tcBorders>
          </w:tcPr>
          <w:p w:rsidR="009465F5" w:rsidRPr="001B32F8" w:rsidRDefault="009465F5">
            <w:pPr>
              <w:spacing w:before="120" w:after="120"/>
            </w:pPr>
          </w:p>
        </w:tc>
        <w:tc>
          <w:tcPr>
            <w:tcW w:w="4098" w:type="dxa"/>
            <w:tcBorders>
              <w:top w:val="nil"/>
              <w:bottom w:val="single" w:sz="2" w:space="0" w:color="000000" w:themeColor="text1"/>
            </w:tcBorders>
          </w:tcPr>
          <w:p w:rsidR="009465F5" w:rsidRPr="009465F5" w:rsidRDefault="00470FA4">
            <w:pPr>
              <w:spacing w:before="120" w:after="120"/>
            </w:pPr>
            <w:r>
              <w:t>Long-term critical obligation r</w:t>
            </w:r>
            <w:r w:rsidR="009465F5" w:rsidRPr="009465F5">
              <w:t>atings</w:t>
            </w:r>
          </w:p>
        </w:tc>
        <w:tc>
          <w:tcPr>
            <w:tcW w:w="5028" w:type="dxa"/>
            <w:tcBorders>
              <w:top w:val="nil"/>
              <w:bottom w:val="single" w:sz="2" w:space="0" w:color="000000" w:themeColor="text1"/>
            </w:tcBorders>
          </w:tcPr>
          <w:p w:rsidR="009465F5" w:rsidRPr="00FB6C35" w:rsidRDefault="009465F5">
            <w:pPr>
              <w:spacing w:before="120" w:after="120"/>
            </w:pPr>
            <w:r w:rsidRPr="00FB6C35">
              <w:t>Long-term obligations rating scale</w:t>
            </w:r>
          </w:p>
        </w:tc>
      </w:tr>
      <w:tr w:rsidR="00E46F63" w:rsidRPr="00612352" w:rsidTr="00545DAD">
        <w:trPr>
          <w:trHeight w:hRule="exact" w:val="454"/>
        </w:trPr>
        <w:tc>
          <w:tcPr>
            <w:tcW w:w="4023" w:type="dxa"/>
            <w:tcBorders>
              <w:top w:val="single" w:sz="2" w:space="0" w:color="000000" w:themeColor="text1"/>
              <w:bottom w:val="nil"/>
            </w:tcBorders>
          </w:tcPr>
          <w:p w:rsidR="00E46F63" w:rsidRPr="001B32F8" w:rsidRDefault="00E46F63">
            <w:pPr>
              <w:spacing w:before="120" w:after="120"/>
            </w:pPr>
            <w:r w:rsidRPr="001B32F8">
              <w:t>Corporates</w:t>
            </w:r>
          </w:p>
        </w:tc>
        <w:tc>
          <w:tcPr>
            <w:tcW w:w="4098" w:type="dxa"/>
            <w:tcBorders>
              <w:top w:val="single" w:sz="2" w:space="0" w:color="000000" w:themeColor="text1"/>
              <w:bottom w:val="nil"/>
            </w:tcBorders>
          </w:tcPr>
          <w:p w:rsidR="00E46F63" w:rsidRDefault="00E46F63">
            <w:pPr>
              <w:spacing w:before="120" w:after="120"/>
            </w:pPr>
            <w:r w:rsidRPr="007760D9">
              <w:t>Long-term issue/security rating</w:t>
            </w:r>
          </w:p>
        </w:tc>
        <w:tc>
          <w:tcPr>
            <w:tcW w:w="5028" w:type="dxa"/>
            <w:tcBorders>
              <w:top w:val="single" w:sz="2" w:space="0" w:color="000000" w:themeColor="text1"/>
              <w:bottom w:val="nil"/>
            </w:tcBorders>
          </w:tcPr>
          <w:p w:rsidR="00E46F63" w:rsidRDefault="00E46F63">
            <w:pPr>
              <w:spacing w:before="120" w:after="120"/>
            </w:pPr>
            <w:r w:rsidRPr="00FB6C35">
              <w:t>Long-term obligations rating scale</w:t>
            </w:r>
          </w:p>
        </w:tc>
      </w:tr>
      <w:tr w:rsidR="00E46F63" w:rsidRPr="00612352" w:rsidTr="00545DAD">
        <w:trPr>
          <w:trHeight w:hRule="exact" w:val="454"/>
        </w:trPr>
        <w:tc>
          <w:tcPr>
            <w:tcW w:w="4023" w:type="dxa"/>
            <w:tcBorders>
              <w:top w:val="nil"/>
              <w:bottom w:val="nil"/>
            </w:tcBorders>
          </w:tcPr>
          <w:p w:rsidR="00E46F63" w:rsidRPr="00904DCF" w:rsidRDefault="00E46F63">
            <w:pPr>
              <w:spacing w:before="120" w:after="120"/>
            </w:pPr>
          </w:p>
        </w:tc>
        <w:tc>
          <w:tcPr>
            <w:tcW w:w="4098" w:type="dxa"/>
            <w:tcBorders>
              <w:top w:val="nil"/>
              <w:bottom w:val="nil"/>
            </w:tcBorders>
          </w:tcPr>
          <w:p w:rsidR="00E46F63" w:rsidRDefault="00E46F63">
            <w:pPr>
              <w:spacing w:before="120" w:after="120"/>
            </w:pPr>
            <w:r w:rsidRPr="007760D9">
              <w:t>Long-term Issuer rating</w:t>
            </w:r>
          </w:p>
        </w:tc>
        <w:tc>
          <w:tcPr>
            <w:tcW w:w="5028" w:type="dxa"/>
            <w:tcBorders>
              <w:top w:val="nil"/>
              <w:bottom w:val="nil"/>
            </w:tcBorders>
          </w:tcPr>
          <w:p w:rsidR="00E46F63" w:rsidRDefault="00E46F63">
            <w:pPr>
              <w:spacing w:before="120" w:after="120"/>
            </w:pPr>
            <w:r w:rsidRPr="00FB6C35">
              <w:t>Long-term obligations rating scale</w:t>
            </w:r>
          </w:p>
        </w:tc>
      </w:tr>
      <w:tr w:rsidR="00E46F63" w:rsidRPr="00612352" w:rsidTr="00545DAD">
        <w:trPr>
          <w:trHeight w:hRule="exact" w:val="454"/>
        </w:trPr>
        <w:tc>
          <w:tcPr>
            <w:tcW w:w="4023" w:type="dxa"/>
            <w:tcBorders>
              <w:top w:val="nil"/>
              <w:bottom w:val="single" w:sz="2" w:space="0" w:color="000000" w:themeColor="text1"/>
            </w:tcBorders>
          </w:tcPr>
          <w:p w:rsidR="00E46F63" w:rsidRPr="00904DCF" w:rsidRDefault="00E46F63">
            <w:pPr>
              <w:spacing w:before="120" w:after="120"/>
            </w:pPr>
          </w:p>
        </w:tc>
        <w:tc>
          <w:tcPr>
            <w:tcW w:w="4098" w:type="dxa"/>
            <w:tcBorders>
              <w:top w:val="nil"/>
              <w:bottom w:val="single" w:sz="2" w:space="0" w:color="000000" w:themeColor="text1"/>
            </w:tcBorders>
          </w:tcPr>
          <w:p w:rsidR="00E46F63" w:rsidRDefault="00E46F63">
            <w:pPr>
              <w:spacing w:before="120" w:after="120"/>
            </w:pPr>
            <w:r w:rsidRPr="007760D9">
              <w:t xml:space="preserve">Insurer </w:t>
            </w:r>
            <w:r w:rsidR="00470FA4">
              <w:t>f</w:t>
            </w:r>
            <w:r w:rsidR="00470FA4" w:rsidRPr="007760D9">
              <w:t xml:space="preserve">inancial </w:t>
            </w:r>
            <w:r w:rsidR="00470FA4">
              <w:t>s</w:t>
            </w:r>
            <w:r w:rsidR="00470FA4" w:rsidRPr="007760D9">
              <w:t>trength</w:t>
            </w:r>
          </w:p>
        </w:tc>
        <w:tc>
          <w:tcPr>
            <w:tcW w:w="5028" w:type="dxa"/>
            <w:tcBorders>
              <w:top w:val="nil"/>
              <w:bottom w:val="single" w:sz="2" w:space="0" w:color="000000" w:themeColor="text1"/>
            </w:tcBorders>
          </w:tcPr>
          <w:p w:rsidR="00E46F63" w:rsidRPr="00E46F63" w:rsidRDefault="00737A4C">
            <w:pPr>
              <w:spacing w:before="120" w:after="120"/>
            </w:pPr>
            <w:r w:rsidRPr="00925F19">
              <w:t xml:space="preserve">Financial </w:t>
            </w:r>
            <w:r w:rsidR="00470FA4">
              <w:t>s</w:t>
            </w:r>
            <w:r w:rsidRPr="00925F19">
              <w:t xml:space="preserve">trength </w:t>
            </w:r>
            <w:r w:rsidR="00470FA4">
              <w:t>r</w:t>
            </w:r>
            <w:r w:rsidRPr="00925F19">
              <w:t xml:space="preserve">ating </w:t>
            </w:r>
            <w:r w:rsidR="00470FA4">
              <w:t>s</w:t>
            </w:r>
            <w:r w:rsidRPr="00925F19">
              <w:t>cale</w:t>
            </w:r>
          </w:p>
        </w:tc>
      </w:tr>
      <w:tr w:rsidR="00E46F63" w:rsidRPr="00612352" w:rsidTr="00545DAD">
        <w:trPr>
          <w:trHeight w:hRule="exact" w:val="454"/>
        </w:trPr>
        <w:tc>
          <w:tcPr>
            <w:tcW w:w="4023" w:type="dxa"/>
            <w:tcBorders>
              <w:top w:val="single" w:sz="2" w:space="0" w:color="000000" w:themeColor="text1"/>
              <w:bottom w:val="nil"/>
            </w:tcBorders>
          </w:tcPr>
          <w:p w:rsidR="00E46F63" w:rsidRPr="00904DCF" w:rsidRDefault="00E46F63">
            <w:pPr>
              <w:spacing w:before="120" w:after="120"/>
            </w:pPr>
            <w:r w:rsidRPr="00904DCF">
              <w:t>Covered bonds</w:t>
            </w:r>
          </w:p>
        </w:tc>
        <w:tc>
          <w:tcPr>
            <w:tcW w:w="4098" w:type="dxa"/>
            <w:tcBorders>
              <w:top w:val="single" w:sz="2" w:space="0" w:color="000000" w:themeColor="text1"/>
              <w:bottom w:val="nil"/>
            </w:tcBorders>
          </w:tcPr>
          <w:p w:rsidR="00E46F63" w:rsidRDefault="00E46F63">
            <w:pPr>
              <w:spacing w:before="120" w:after="120"/>
            </w:pPr>
            <w:r w:rsidRPr="007760D9">
              <w:t>Long-term issue/security rating</w:t>
            </w:r>
          </w:p>
        </w:tc>
        <w:tc>
          <w:tcPr>
            <w:tcW w:w="5028" w:type="dxa"/>
            <w:tcBorders>
              <w:top w:val="single" w:sz="2" w:space="0" w:color="000000" w:themeColor="text1"/>
              <w:bottom w:val="nil"/>
            </w:tcBorders>
          </w:tcPr>
          <w:p w:rsidR="00E46F63" w:rsidRPr="00E46F63" w:rsidRDefault="00E46F63">
            <w:pPr>
              <w:spacing w:before="120" w:after="120"/>
            </w:pPr>
            <w:r w:rsidRPr="00FB6C35">
              <w:t>Long-term obligations rating scale</w:t>
            </w:r>
          </w:p>
        </w:tc>
      </w:tr>
      <w:tr w:rsidR="006C0B4D" w:rsidRPr="00612352" w:rsidTr="00111518">
        <w:trPr>
          <w:trHeight w:hRule="exact" w:val="454"/>
        </w:trPr>
        <w:tc>
          <w:tcPr>
            <w:tcW w:w="4023" w:type="dxa"/>
            <w:tcBorders>
              <w:top w:val="single" w:sz="2" w:space="0" w:color="000000" w:themeColor="text1"/>
              <w:bottom w:val="single" w:sz="2" w:space="0" w:color="000000" w:themeColor="text1"/>
            </w:tcBorders>
          </w:tcPr>
          <w:p w:rsidR="006C0B4D" w:rsidRPr="00904DCF" w:rsidRDefault="006C0B4D">
            <w:pPr>
              <w:spacing w:before="120" w:after="120"/>
            </w:pPr>
            <w:r>
              <w:rPr>
                <w:b/>
              </w:rPr>
              <w:t>Short</w:t>
            </w:r>
            <w:r w:rsidRPr="00892B01">
              <w:rPr>
                <w:b/>
              </w:rPr>
              <w:t>-term ratings</w:t>
            </w:r>
          </w:p>
        </w:tc>
        <w:tc>
          <w:tcPr>
            <w:tcW w:w="4098" w:type="dxa"/>
            <w:tcBorders>
              <w:top w:val="single" w:sz="2" w:space="0" w:color="000000" w:themeColor="text1"/>
              <w:bottom w:val="single" w:sz="2" w:space="0" w:color="000000" w:themeColor="text1"/>
            </w:tcBorders>
          </w:tcPr>
          <w:p w:rsidR="006C0B4D" w:rsidRPr="007760D9" w:rsidRDefault="006C0B4D">
            <w:pPr>
              <w:spacing w:before="120" w:after="120"/>
            </w:pPr>
          </w:p>
        </w:tc>
        <w:tc>
          <w:tcPr>
            <w:tcW w:w="5028" w:type="dxa"/>
            <w:tcBorders>
              <w:top w:val="single" w:sz="2" w:space="0" w:color="000000" w:themeColor="text1"/>
              <w:bottom w:val="single" w:sz="2" w:space="0" w:color="000000" w:themeColor="text1"/>
            </w:tcBorders>
          </w:tcPr>
          <w:p w:rsidR="006C0B4D" w:rsidRPr="00FB6C35" w:rsidRDefault="006C0B4D">
            <w:pPr>
              <w:spacing w:before="120" w:after="120"/>
            </w:pPr>
          </w:p>
        </w:tc>
      </w:tr>
      <w:tr w:rsidR="006C0B4D" w:rsidRPr="00612352" w:rsidTr="00111518">
        <w:trPr>
          <w:trHeight w:hRule="exact" w:val="454"/>
        </w:trPr>
        <w:tc>
          <w:tcPr>
            <w:tcW w:w="4023" w:type="dxa"/>
            <w:tcBorders>
              <w:top w:val="single" w:sz="2" w:space="0" w:color="000000" w:themeColor="text1"/>
              <w:bottom w:val="nil"/>
            </w:tcBorders>
          </w:tcPr>
          <w:p w:rsidR="006C0B4D" w:rsidRDefault="006C0B4D">
            <w:pPr>
              <w:spacing w:before="120" w:after="120"/>
            </w:pPr>
            <w:r w:rsidRPr="006F5E5E">
              <w:t>Central governments/ Central banks</w:t>
            </w:r>
          </w:p>
        </w:tc>
        <w:tc>
          <w:tcPr>
            <w:tcW w:w="4098" w:type="dxa"/>
            <w:tcBorders>
              <w:top w:val="single" w:sz="2" w:space="0" w:color="000000" w:themeColor="text1"/>
              <w:bottom w:val="nil"/>
            </w:tcBorders>
          </w:tcPr>
          <w:p w:rsidR="006C0B4D" w:rsidRPr="00925F19" w:rsidRDefault="006C0B4D">
            <w:pPr>
              <w:spacing w:before="120" w:after="120"/>
            </w:pPr>
            <w:r w:rsidRPr="00E46F63">
              <w:t>Short-term issue/security rating</w:t>
            </w:r>
          </w:p>
        </w:tc>
        <w:tc>
          <w:tcPr>
            <w:tcW w:w="5028" w:type="dxa"/>
            <w:tcBorders>
              <w:top w:val="single" w:sz="2" w:space="0" w:color="000000" w:themeColor="text1"/>
              <w:bottom w:val="nil"/>
            </w:tcBorders>
          </w:tcPr>
          <w:p w:rsidR="006C0B4D" w:rsidRPr="00FB6C35" w:rsidRDefault="006C0B4D">
            <w:pPr>
              <w:spacing w:before="120" w:after="120"/>
            </w:pPr>
            <w:r w:rsidRPr="00E46F63">
              <w:t xml:space="preserve">Commercial </w:t>
            </w:r>
            <w:r>
              <w:t>paper and s</w:t>
            </w:r>
            <w:r w:rsidRPr="00E46F63">
              <w:t>hort-</w:t>
            </w:r>
            <w:r>
              <w:t>term d</w:t>
            </w:r>
            <w:r w:rsidRPr="00E46F63">
              <w:t xml:space="preserve">ebt </w:t>
            </w:r>
            <w:r>
              <w:t>r</w:t>
            </w:r>
            <w:r w:rsidRPr="00E46F63">
              <w:t xml:space="preserve">ating </w:t>
            </w:r>
            <w:r>
              <w:t>s</w:t>
            </w:r>
            <w:r w:rsidRPr="00E46F63">
              <w:t>cale</w:t>
            </w:r>
          </w:p>
        </w:tc>
      </w:tr>
      <w:tr w:rsidR="006C0B4D" w:rsidRPr="00612352" w:rsidTr="00111518">
        <w:trPr>
          <w:trHeight w:hRule="exact" w:val="454"/>
        </w:trPr>
        <w:tc>
          <w:tcPr>
            <w:tcW w:w="4023" w:type="dxa"/>
            <w:tcBorders>
              <w:top w:val="nil"/>
              <w:bottom w:val="single" w:sz="4" w:space="0" w:color="auto"/>
            </w:tcBorders>
          </w:tcPr>
          <w:p w:rsidR="006C0B4D" w:rsidRPr="00892B01" w:rsidRDefault="006C0B4D">
            <w:pPr>
              <w:spacing w:before="120" w:after="120"/>
              <w:rPr>
                <w:b/>
              </w:rPr>
            </w:pPr>
          </w:p>
        </w:tc>
        <w:tc>
          <w:tcPr>
            <w:tcW w:w="4098" w:type="dxa"/>
            <w:tcBorders>
              <w:top w:val="nil"/>
              <w:bottom w:val="single" w:sz="4" w:space="0" w:color="auto"/>
            </w:tcBorders>
          </w:tcPr>
          <w:p w:rsidR="006C0B4D" w:rsidRPr="0002510A" w:rsidRDefault="006C0B4D">
            <w:pPr>
              <w:spacing w:before="120" w:after="120"/>
            </w:pPr>
            <w:r>
              <w:t>Short-term i</w:t>
            </w:r>
            <w:r w:rsidRPr="00E46F63">
              <w:t>ssuer rating</w:t>
            </w:r>
          </w:p>
        </w:tc>
        <w:tc>
          <w:tcPr>
            <w:tcW w:w="5028" w:type="dxa"/>
            <w:tcBorders>
              <w:top w:val="nil"/>
              <w:bottom w:val="single" w:sz="4" w:space="0" w:color="auto"/>
            </w:tcBorders>
          </w:tcPr>
          <w:p w:rsidR="006C0B4D" w:rsidRDefault="006C0B4D">
            <w:pPr>
              <w:spacing w:before="120" w:after="120"/>
            </w:pPr>
            <w:r w:rsidRPr="0050032D">
              <w:t>Commercial paper and short-term debt rating scale</w:t>
            </w:r>
          </w:p>
        </w:tc>
      </w:tr>
      <w:tr w:rsidR="006C0B4D" w:rsidRPr="00612352" w:rsidTr="00111518">
        <w:trPr>
          <w:trHeight w:hRule="exact" w:val="454"/>
        </w:trPr>
        <w:tc>
          <w:tcPr>
            <w:tcW w:w="4023" w:type="dxa"/>
            <w:tcBorders>
              <w:top w:val="single" w:sz="4" w:space="0" w:color="auto"/>
              <w:bottom w:val="nil"/>
            </w:tcBorders>
          </w:tcPr>
          <w:p w:rsidR="006C0B4D" w:rsidRPr="006F5E5E" w:rsidRDefault="006C0B4D">
            <w:pPr>
              <w:spacing w:before="120" w:after="120"/>
            </w:pPr>
            <w:r w:rsidRPr="00261EC4">
              <w:t>Regional and local governments and PSEs</w:t>
            </w:r>
          </w:p>
        </w:tc>
        <w:tc>
          <w:tcPr>
            <w:tcW w:w="4098" w:type="dxa"/>
            <w:tcBorders>
              <w:top w:val="single" w:sz="4" w:space="0" w:color="auto"/>
              <w:bottom w:val="nil"/>
            </w:tcBorders>
          </w:tcPr>
          <w:p w:rsidR="006C0B4D" w:rsidRPr="00E46F63" w:rsidRDefault="006C0B4D">
            <w:pPr>
              <w:pStyle w:val="BodyText1"/>
              <w:jc w:val="left"/>
              <w:rPr>
                <w:rFonts w:asciiTheme="minorHAnsi" w:eastAsiaTheme="minorEastAsia" w:hAnsiTheme="minorHAnsi" w:cstheme="minorBidi"/>
                <w:color w:val="auto"/>
                <w:sz w:val="22"/>
                <w:szCs w:val="24"/>
              </w:rPr>
            </w:pPr>
            <w:r w:rsidRPr="00261EC4">
              <w:t>Short-term issue/security rating</w:t>
            </w:r>
          </w:p>
        </w:tc>
        <w:tc>
          <w:tcPr>
            <w:tcW w:w="5028" w:type="dxa"/>
            <w:tcBorders>
              <w:top w:val="single" w:sz="4" w:space="0" w:color="auto"/>
              <w:bottom w:val="nil"/>
            </w:tcBorders>
          </w:tcPr>
          <w:p w:rsidR="006C0B4D" w:rsidRPr="00E46F63" w:rsidRDefault="006C0B4D">
            <w:pPr>
              <w:spacing w:before="120" w:after="120"/>
            </w:pPr>
            <w:r w:rsidRPr="0050032D">
              <w:t>Commercial paper and short-term debt rating scale</w:t>
            </w:r>
          </w:p>
        </w:tc>
      </w:tr>
      <w:tr w:rsidR="006C0B4D" w:rsidRPr="00612352" w:rsidTr="00111518">
        <w:trPr>
          <w:trHeight w:hRule="exact" w:val="454"/>
        </w:trPr>
        <w:tc>
          <w:tcPr>
            <w:tcW w:w="4023" w:type="dxa"/>
            <w:tcBorders>
              <w:top w:val="nil"/>
              <w:bottom w:val="nil"/>
            </w:tcBorders>
          </w:tcPr>
          <w:p w:rsidR="006C0B4D" w:rsidRPr="006F5E5E" w:rsidRDefault="006C0B4D">
            <w:pPr>
              <w:spacing w:before="120" w:after="120"/>
            </w:pPr>
          </w:p>
        </w:tc>
        <w:tc>
          <w:tcPr>
            <w:tcW w:w="4098" w:type="dxa"/>
            <w:tcBorders>
              <w:top w:val="nil"/>
              <w:bottom w:val="nil"/>
            </w:tcBorders>
          </w:tcPr>
          <w:p w:rsidR="006C0B4D" w:rsidRPr="00E46F63" w:rsidRDefault="006C0B4D">
            <w:pPr>
              <w:pStyle w:val="BodyText1"/>
              <w:jc w:val="left"/>
              <w:rPr>
                <w:rFonts w:asciiTheme="minorHAnsi" w:eastAsiaTheme="minorEastAsia" w:hAnsiTheme="minorHAnsi" w:cstheme="minorBidi"/>
                <w:color w:val="auto"/>
                <w:sz w:val="22"/>
                <w:szCs w:val="24"/>
              </w:rPr>
            </w:pPr>
            <w:r w:rsidRPr="00261EC4">
              <w:t>Short-term Issuer rating</w:t>
            </w:r>
          </w:p>
        </w:tc>
        <w:tc>
          <w:tcPr>
            <w:tcW w:w="5028" w:type="dxa"/>
            <w:tcBorders>
              <w:top w:val="nil"/>
              <w:bottom w:val="nil"/>
            </w:tcBorders>
          </w:tcPr>
          <w:p w:rsidR="006C0B4D" w:rsidRDefault="006C0B4D">
            <w:pPr>
              <w:spacing w:before="120" w:after="120"/>
            </w:pPr>
            <w:r w:rsidRPr="0050032D">
              <w:t>Commercial paper and short-term debt rating scale</w:t>
            </w:r>
          </w:p>
        </w:tc>
      </w:tr>
      <w:tr w:rsidR="006C0B4D" w:rsidRPr="00612352" w:rsidTr="00111518">
        <w:trPr>
          <w:trHeight w:hRule="exact" w:val="454"/>
        </w:trPr>
        <w:tc>
          <w:tcPr>
            <w:tcW w:w="4023" w:type="dxa"/>
            <w:tcBorders>
              <w:top w:val="single" w:sz="2" w:space="0" w:color="000000" w:themeColor="text1"/>
              <w:bottom w:val="nil"/>
            </w:tcBorders>
          </w:tcPr>
          <w:p w:rsidR="006C0B4D" w:rsidRPr="00C0130D" w:rsidRDefault="006C0B4D">
            <w:pPr>
              <w:spacing w:before="120" w:after="120"/>
            </w:pPr>
            <w:r w:rsidRPr="009F1819">
              <w:t>Institutions</w:t>
            </w:r>
          </w:p>
        </w:tc>
        <w:tc>
          <w:tcPr>
            <w:tcW w:w="4098" w:type="dxa"/>
            <w:tcBorders>
              <w:top w:val="single" w:sz="2" w:space="0" w:color="000000" w:themeColor="text1"/>
              <w:bottom w:val="nil"/>
            </w:tcBorders>
          </w:tcPr>
          <w:p w:rsidR="006C0B4D" w:rsidRPr="00C0130D" w:rsidRDefault="006C0B4D">
            <w:pPr>
              <w:spacing w:before="120" w:after="120"/>
            </w:pPr>
            <w:r w:rsidRPr="00E46F63">
              <w:t>Short-term issue/security rating</w:t>
            </w:r>
          </w:p>
        </w:tc>
        <w:tc>
          <w:tcPr>
            <w:tcW w:w="5028" w:type="dxa"/>
            <w:tcBorders>
              <w:top w:val="single" w:sz="2" w:space="0" w:color="000000" w:themeColor="text1"/>
              <w:bottom w:val="nil"/>
            </w:tcBorders>
          </w:tcPr>
          <w:p w:rsidR="006C0B4D" w:rsidRDefault="006C0B4D">
            <w:pPr>
              <w:spacing w:before="120" w:after="120"/>
            </w:pPr>
            <w:r w:rsidRPr="0050032D">
              <w:t>Commercial paper and short-term debt rating scale</w:t>
            </w:r>
          </w:p>
        </w:tc>
      </w:tr>
      <w:tr w:rsidR="006C0B4D" w:rsidRPr="00612352" w:rsidTr="00545DAD">
        <w:trPr>
          <w:trHeight w:hRule="exact" w:val="454"/>
        </w:trPr>
        <w:tc>
          <w:tcPr>
            <w:tcW w:w="4023" w:type="dxa"/>
            <w:tcBorders>
              <w:top w:val="nil"/>
              <w:bottom w:val="nil"/>
            </w:tcBorders>
          </w:tcPr>
          <w:p w:rsidR="006C0B4D" w:rsidRPr="00C0130D" w:rsidRDefault="006C0B4D">
            <w:pPr>
              <w:spacing w:before="120" w:after="120"/>
            </w:pPr>
          </w:p>
        </w:tc>
        <w:tc>
          <w:tcPr>
            <w:tcW w:w="4098" w:type="dxa"/>
            <w:tcBorders>
              <w:top w:val="nil"/>
              <w:bottom w:val="nil"/>
            </w:tcBorders>
          </w:tcPr>
          <w:p w:rsidR="006C0B4D" w:rsidRPr="00C0130D" w:rsidRDefault="006C0B4D">
            <w:pPr>
              <w:spacing w:before="120" w:after="120"/>
            </w:pPr>
            <w:r w:rsidRPr="00E46F63">
              <w:t>Short-term Issuer rating</w:t>
            </w:r>
          </w:p>
        </w:tc>
        <w:tc>
          <w:tcPr>
            <w:tcW w:w="5028" w:type="dxa"/>
            <w:tcBorders>
              <w:top w:val="nil"/>
              <w:bottom w:val="nil"/>
            </w:tcBorders>
          </w:tcPr>
          <w:p w:rsidR="006C0B4D" w:rsidRDefault="006C0B4D">
            <w:pPr>
              <w:spacing w:before="120" w:after="120"/>
            </w:pPr>
            <w:r w:rsidRPr="0050032D">
              <w:t>Commercial paper and short-term debt rating scale</w:t>
            </w:r>
          </w:p>
        </w:tc>
      </w:tr>
      <w:tr w:rsidR="006C0B4D" w:rsidRPr="00612352" w:rsidTr="00111518">
        <w:trPr>
          <w:trHeight w:hRule="exact" w:val="454"/>
        </w:trPr>
        <w:tc>
          <w:tcPr>
            <w:tcW w:w="4023" w:type="dxa"/>
            <w:tcBorders>
              <w:top w:val="nil"/>
              <w:bottom w:val="nil"/>
            </w:tcBorders>
          </w:tcPr>
          <w:p w:rsidR="006C0B4D" w:rsidRPr="009F1819" w:rsidRDefault="006C0B4D">
            <w:pPr>
              <w:spacing w:before="120" w:after="120"/>
            </w:pPr>
          </w:p>
        </w:tc>
        <w:tc>
          <w:tcPr>
            <w:tcW w:w="4098" w:type="dxa"/>
            <w:tcBorders>
              <w:top w:val="nil"/>
              <w:bottom w:val="nil"/>
            </w:tcBorders>
          </w:tcPr>
          <w:p w:rsidR="006C0B4D" w:rsidRPr="00E46F63" w:rsidRDefault="006C0B4D">
            <w:pPr>
              <w:pStyle w:val="BodyText1"/>
              <w:jc w:val="left"/>
              <w:rPr>
                <w:rFonts w:asciiTheme="minorHAnsi" w:eastAsiaTheme="minorEastAsia" w:hAnsiTheme="minorHAnsi" w:cstheme="minorBidi"/>
                <w:color w:val="auto"/>
                <w:sz w:val="22"/>
                <w:szCs w:val="24"/>
              </w:rPr>
            </w:pPr>
            <w:r w:rsidRPr="00E46F63">
              <w:rPr>
                <w:rFonts w:asciiTheme="minorHAnsi" w:eastAsiaTheme="minorEastAsia" w:hAnsiTheme="minorHAnsi" w:cstheme="minorBidi"/>
                <w:color w:val="auto"/>
                <w:sz w:val="22"/>
                <w:szCs w:val="24"/>
              </w:rPr>
              <w:t xml:space="preserve">Short-term </w:t>
            </w:r>
            <w:r>
              <w:rPr>
                <w:rFonts w:asciiTheme="minorHAnsi" w:eastAsiaTheme="minorEastAsia" w:hAnsiTheme="minorHAnsi" w:cstheme="minorBidi"/>
                <w:color w:val="auto"/>
                <w:sz w:val="22"/>
                <w:szCs w:val="24"/>
              </w:rPr>
              <w:t>deposit r</w:t>
            </w:r>
            <w:r w:rsidRPr="00361F71">
              <w:rPr>
                <w:rFonts w:asciiTheme="minorHAnsi" w:eastAsiaTheme="minorEastAsia" w:hAnsiTheme="minorHAnsi" w:cstheme="minorBidi"/>
                <w:color w:val="auto"/>
                <w:sz w:val="22"/>
                <w:szCs w:val="24"/>
              </w:rPr>
              <w:t>atings</w:t>
            </w:r>
          </w:p>
        </w:tc>
        <w:tc>
          <w:tcPr>
            <w:tcW w:w="5028" w:type="dxa"/>
            <w:tcBorders>
              <w:top w:val="nil"/>
              <w:bottom w:val="nil"/>
            </w:tcBorders>
          </w:tcPr>
          <w:p w:rsidR="006C0B4D" w:rsidRDefault="006C0B4D">
            <w:pPr>
              <w:spacing w:before="120" w:after="120"/>
            </w:pPr>
            <w:r w:rsidRPr="0050032D">
              <w:t>Commercial paper and short-term debt rating scale</w:t>
            </w:r>
          </w:p>
        </w:tc>
      </w:tr>
      <w:tr w:rsidR="006C0B4D" w:rsidRPr="00612352" w:rsidTr="00111518">
        <w:trPr>
          <w:trHeight w:hRule="exact" w:val="454"/>
        </w:trPr>
        <w:tc>
          <w:tcPr>
            <w:tcW w:w="4023" w:type="dxa"/>
            <w:tcBorders>
              <w:top w:val="nil"/>
              <w:bottom w:val="single" w:sz="2" w:space="0" w:color="000000" w:themeColor="text1"/>
            </w:tcBorders>
          </w:tcPr>
          <w:p w:rsidR="006C0B4D" w:rsidRPr="009F1819" w:rsidRDefault="006C0B4D">
            <w:pPr>
              <w:spacing w:before="120" w:after="120"/>
            </w:pPr>
          </w:p>
        </w:tc>
        <w:tc>
          <w:tcPr>
            <w:tcW w:w="4098" w:type="dxa"/>
            <w:tcBorders>
              <w:top w:val="nil"/>
              <w:bottom w:val="single" w:sz="2" w:space="0" w:color="000000" w:themeColor="text1"/>
            </w:tcBorders>
          </w:tcPr>
          <w:p w:rsidR="006C0B4D" w:rsidRPr="00E46F63" w:rsidRDefault="006C0B4D">
            <w:pPr>
              <w:pStyle w:val="BodyText1"/>
              <w:jc w:val="left"/>
              <w:rPr>
                <w:rFonts w:asciiTheme="minorHAnsi" w:eastAsiaTheme="minorEastAsia" w:hAnsiTheme="minorHAnsi" w:cstheme="minorBidi"/>
                <w:color w:val="auto"/>
                <w:sz w:val="22"/>
                <w:szCs w:val="24"/>
              </w:rPr>
            </w:pPr>
            <w:r w:rsidRPr="00E46F63">
              <w:rPr>
                <w:rFonts w:asciiTheme="minorHAnsi" w:eastAsiaTheme="minorEastAsia" w:hAnsiTheme="minorHAnsi" w:cstheme="minorBidi"/>
                <w:color w:val="auto"/>
                <w:sz w:val="22"/>
                <w:szCs w:val="24"/>
              </w:rPr>
              <w:t xml:space="preserve">Short-term </w:t>
            </w:r>
            <w:r>
              <w:rPr>
                <w:rFonts w:asciiTheme="minorHAnsi" w:eastAsiaTheme="minorEastAsia" w:hAnsiTheme="minorHAnsi" w:cstheme="minorBidi"/>
                <w:color w:val="auto"/>
                <w:sz w:val="22"/>
                <w:szCs w:val="24"/>
              </w:rPr>
              <w:t>critical obligation r</w:t>
            </w:r>
            <w:r w:rsidRPr="00361F71">
              <w:rPr>
                <w:rFonts w:asciiTheme="minorHAnsi" w:eastAsiaTheme="minorEastAsia" w:hAnsiTheme="minorHAnsi" w:cstheme="minorBidi"/>
                <w:color w:val="auto"/>
                <w:sz w:val="22"/>
                <w:szCs w:val="24"/>
              </w:rPr>
              <w:t>atings</w:t>
            </w:r>
          </w:p>
        </w:tc>
        <w:tc>
          <w:tcPr>
            <w:tcW w:w="5028" w:type="dxa"/>
            <w:tcBorders>
              <w:top w:val="nil"/>
              <w:bottom w:val="single" w:sz="2" w:space="0" w:color="000000" w:themeColor="text1"/>
            </w:tcBorders>
          </w:tcPr>
          <w:p w:rsidR="006C0B4D" w:rsidRDefault="006C0B4D">
            <w:pPr>
              <w:spacing w:before="120" w:after="120"/>
            </w:pPr>
            <w:r w:rsidRPr="0050032D">
              <w:t>Commercial paper and short-term debt rating scale</w:t>
            </w:r>
          </w:p>
        </w:tc>
      </w:tr>
      <w:tr w:rsidR="006C0B4D" w:rsidRPr="00612352" w:rsidTr="00111518">
        <w:trPr>
          <w:trHeight w:hRule="exact" w:val="454"/>
        </w:trPr>
        <w:tc>
          <w:tcPr>
            <w:tcW w:w="4023" w:type="dxa"/>
            <w:tcBorders>
              <w:top w:val="single" w:sz="2" w:space="0" w:color="000000" w:themeColor="text1"/>
              <w:bottom w:val="nil"/>
            </w:tcBorders>
          </w:tcPr>
          <w:p w:rsidR="006C0B4D" w:rsidRPr="009F1819" w:rsidRDefault="006C0B4D">
            <w:pPr>
              <w:spacing w:before="120" w:after="120"/>
            </w:pPr>
            <w:r w:rsidRPr="007A42F3">
              <w:t>Corporates</w:t>
            </w:r>
          </w:p>
        </w:tc>
        <w:tc>
          <w:tcPr>
            <w:tcW w:w="4098" w:type="dxa"/>
            <w:tcBorders>
              <w:top w:val="single" w:sz="2" w:space="0" w:color="000000" w:themeColor="text1"/>
              <w:bottom w:val="nil"/>
            </w:tcBorders>
          </w:tcPr>
          <w:p w:rsidR="006C0B4D" w:rsidRPr="00E46F63" w:rsidRDefault="006C0B4D">
            <w:pPr>
              <w:pStyle w:val="BodyText1"/>
              <w:jc w:val="left"/>
              <w:rPr>
                <w:rFonts w:asciiTheme="minorHAnsi" w:eastAsiaTheme="minorEastAsia" w:hAnsiTheme="minorHAnsi" w:cstheme="minorBidi"/>
                <w:color w:val="auto"/>
                <w:sz w:val="22"/>
                <w:szCs w:val="24"/>
              </w:rPr>
            </w:pPr>
            <w:r w:rsidRPr="00E46F63">
              <w:rPr>
                <w:rFonts w:asciiTheme="minorHAnsi" w:eastAsiaTheme="minorEastAsia" w:hAnsiTheme="minorHAnsi" w:cstheme="minorBidi"/>
                <w:color w:val="auto"/>
                <w:sz w:val="22"/>
                <w:szCs w:val="24"/>
              </w:rPr>
              <w:t>Short-term issue/security rating</w:t>
            </w:r>
          </w:p>
        </w:tc>
        <w:tc>
          <w:tcPr>
            <w:tcW w:w="5028" w:type="dxa"/>
            <w:tcBorders>
              <w:top w:val="single" w:sz="2" w:space="0" w:color="000000" w:themeColor="text1"/>
              <w:bottom w:val="nil"/>
            </w:tcBorders>
          </w:tcPr>
          <w:p w:rsidR="006C0B4D" w:rsidRPr="0050032D" w:rsidRDefault="006C0B4D">
            <w:pPr>
              <w:spacing w:before="120" w:after="120"/>
            </w:pPr>
            <w:r w:rsidRPr="0050032D">
              <w:t>Commercial paper and short-term debt rating scale</w:t>
            </w:r>
          </w:p>
        </w:tc>
      </w:tr>
      <w:tr w:rsidR="006C0B4D" w:rsidRPr="00612352" w:rsidTr="00545DAD">
        <w:trPr>
          <w:trHeight w:hRule="exact" w:val="454"/>
        </w:trPr>
        <w:tc>
          <w:tcPr>
            <w:tcW w:w="4023" w:type="dxa"/>
            <w:tcBorders>
              <w:top w:val="nil"/>
              <w:bottom w:val="single" w:sz="2" w:space="0" w:color="000000" w:themeColor="text1"/>
            </w:tcBorders>
          </w:tcPr>
          <w:p w:rsidR="006C0B4D" w:rsidRPr="009F1819" w:rsidRDefault="006C0B4D">
            <w:pPr>
              <w:spacing w:before="120" w:after="120"/>
            </w:pPr>
          </w:p>
        </w:tc>
        <w:tc>
          <w:tcPr>
            <w:tcW w:w="4098" w:type="dxa"/>
            <w:tcBorders>
              <w:top w:val="nil"/>
              <w:bottom w:val="single" w:sz="2" w:space="0" w:color="000000" w:themeColor="text1"/>
            </w:tcBorders>
          </w:tcPr>
          <w:p w:rsidR="006C0B4D" w:rsidRPr="00E46F63" w:rsidRDefault="006C0B4D">
            <w:pPr>
              <w:pStyle w:val="BodyText1"/>
              <w:jc w:val="left"/>
              <w:rPr>
                <w:rFonts w:asciiTheme="minorHAnsi" w:eastAsiaTheme="minorEastAsia" w:hAnsiTheme="minorHAnsi" w:cstheme="minorBidi"/>
                <w:color w:val="auto"/>
                <w:sz w:val="22"/>
                <w:szCs w:val="24"/>
              </w:rPr>
            </w:pPr>
            <w:r w:rsidRPr="00E46F63">
              <w:rPr>
                <w:rFonts w:asciiTheme="minorHAnsi" w:eastAsiaTheme="minorEastAsia" w:hAnsiTheme="minorHAnsi" w:cstheme="minorBidi"/>
                <w:color w:val="auto"/>
                <w:sz w:val="22"/>
                <w:szCs w:val="24"/>
              </w:rPr>
              <w:t>Short-term Issuer rating</w:t>
            </w:r>
          </w:p>
        </w:tc>
        <w:tc>
          <w:tcPr>
            <w:tcW w:w="5028" w:type="dxa"/>
            <w:tcBorders>
              <w:top w:val="nil"/>
              <w:bottom w:val="single" w:sz="2" w:space="0" w:color="000000" w:themeColor="text1"/>
            </w:tcBorders>
          </w:tcPr>
          <w:p w:rsidR="006C0B4D" w:rsidRPr="0050032D" w:rsidRDefault="006C0B4D">
            <w:pPr>
              <w:spacing w:before="120" w:after="120"/>
            </w:pPr>
            <w:r w:rsidRPr="0050032D">
              <w:t>Commercial paper and short-term debt rating scale</w:t>
            </w:r>
          </w:p>
        </w:tc>
      </w:tr>
      <w:tr w:rsidR="006C0B4D" w:rsidRPr="00612352" w:rsidTr="00545DAD">
        <w:trPr>
          <w:trHeight w:hRule="exact" w:val="454"/>
        </w:trPr>
        <w:tc>
          <w:tcPr>
            <w:tcW w:w="4023" w:type="dxa"/>
            <w:tcBorders>
              <w:top w:val="single" w:sz="2" w:space="0" w:color="000000" w:themeColor="text1"/>
              <w:bottom w:val="nil"/>
            </w:tcBorders>
          </w:tcPr>
          <w:p w:rsidR="006C0B4D" w:rsidRPr="007A42F3" w:rsidRDefault="006C0B4D">
            <w:pPr>
              <w:spacing w:before="120" w:after="120"/>
            </w:pPr>
          </w:p>
        </w:tc>
        <w:tc>
          <w:tcPr>
            <w:tcW w:w="4098" w:type="dxa"/>
            <w:tcBorders>
              <w:top w:val="single" w:sz="2" w:space="0" w:color="000000" w:themeColor="text1"/>
              <w:bottom w:val="nil"/>
            </w:tcBorders>
          </w:tcPr>
          <w:p w:rsidR="006C0B4D" w:rsidRPr="00E46F63" w:rsidRDefault="006C0B4D">
            <w:pPr>
              <w:pStyle w:val="BodyText1"/>
              <w:jc w:val="left"/>
              <w:rPr>
                <w:rFonts w:asciiTheme="minorHAnsi" w:eastAsiaTheme="minorEastAsia" w:hAnsiTheme="minorHAnsi" w:cstheme="minorBidi"/>
                <w:color w:val="auto"/>
                <w:sz w:val="22"/>
                <w:szCs w:val="24"/>
              </w:rPr>
            </w:pPr>
          </w:p>
        </w:tc>
        <w:tc>
          <w:tcPr>
            <w:tcW w:w="5028" w:type="dxa"/>
            <w:tcBorders>
              <w:top w:val="single" w:sz="2" w:space="0" w:color="000000" w:themeColor="text1"/>
              <w:bottom w:val="nil"/>
            </w:tcBorders>
          </w:tcPr>
          <w:p w:rsidR="006C0B4D" w:rsidRDefault="006C0B4D">
            <w:pPr>
              <w:spacing w:before="120" w:after="120"/>
            </w:pPr>
          </w:p>
        </w:tc>
      </w:tr>
    </w:tbl>
    <w:p w:rsidR="00B16A01" w:rsidRDefault="00B16A01" w:rsidP="004C48AE">
      <w:pPr>
        <w:pStyle w:val="FootnoteText"/>
      </w:pPr>
      <w:r>
        <w:t>Source: DBRS</w:t>
      </w:r>
    </w:p>
    <w:p w:rsidR="00B930A4" w:rsidRDefault="002C3E7A" w:rsidP="00B930A4">
      <w:r>
        <w:br w:type="page"/>
      </w:r>
    </w:p>
    <w:p w:rsidR="00245FF8" w:rsidRDefault="00245FF8" w:rsidP="00B930A4"/>
    <w:p w:rsidR="00245FF8" w:rsidRPr="003B1591" w:rsidRDefault="0041788D" w:rsidP="00CD7BD7">
      <w:pPr>
        <w:pStyle w:val="Figuretitle"/>
      </w:pPr>
      <w:bookmarkStart w:id="7" w:name="_Ref384802193"/>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CD7BD7">
        <w:rPr>
          <w:szCs w:val="22"/>
        </w:rPr>
        <w:t>3</w:t>
      </w:r>
      <w:r w:rsidRPr="0041788D">
        <w:rPr>
          <w:szCs w:val="22"/>
        </w:rPr>
        <w:fldChar w:fldCharType="end"/>
      </w:r>
      <w:bookmarkEnd w:id="7"/>
      <w:r w:rsidR="00B32405">
        <w:t>:</w:t>
      </w:r>
      <w:r w:rsidR="00245FF8" w:rsidRPr="003B1591">
        <w:t xml:space="preserve"> Long-term </w:t>
      </w:r>
      <w:r w:rsidR="00E46F63">
        <w:t>obligations rating</w:t>
      </w:r>
      <w:r w:rsidR="00245FF8" w:rsidRPr="003B1591">
        <w:t xml:space="preserve"> scale </w:t>
      </w:r>
    </w:p>
    <w:tbl>
      <w:tblPr>
        <w:tblStyle w:val="TableGrid"/>
        <w:tblW w:w="14317" w:type="dxa"/>
        <w:tblInd w:w="108" w:type="dxa"/>
        <w:tblLook w:val="04A0" w:firstRow="1" w:lastRow="0" w:firstColumn="1" w:lastColumn="0" w:noHBand="0" w:noVBand="1"/>
      </w:tblPr>
      <w:tblGrid>
        <w:gridCol w:w="1985"/>
        <w:gridCol w:w="12332"/>
      </w:tblGrid>
      <w:tr w:rsidR="00245FF8" w:rsidRPr="00245FF8" w:rsidTr="00545DAD">
        <w:trPr>
          <w:cnfStyle w:val="100000000000" w:firstRow="1" w:lastRow="0" w:firstColumn="0" w:lastColumn="0" w:oddVBand="0" w:evenVBand="0" w:oddHBand="0" w:evenHBand="0" w:firstRowFirstColumn="0" w:firstRowLastColumn="0" w:lastRowFirstColumn="0" w:lastRowLastColumn="0"/>
          <w:trHeight w:val="635"/>
        </w:trPr>
        <w:tc>
          <w:tcPr>
            <w:tcW w:w="1985" w:type="dxa"/>
            <w:tcBorders>
              <w:bottom w:val="single" w:sz="18" w:space="0" w:color="E98E31" w:themeColor="background2"/>
            </w:tcBorders>
          </w:tcPr>
          <w:p w:rsidR="00245FF8" w:rsidRPr="00245FF8" w:rsidRDefault="00245FF8" w:rsidP="00545DAD">
            <w:pPr>
              <w:pStyle w:val="Tableheader"/>
              <w:spacing w:before="60" w:after="60"/>
              <w:jc w:val="center"/>
              <w:rPr>
                <w:bCs w:val="0"/>
              </w:rPr>
            </w:pPr>
            <w:r w:rsidRPr="00245FF8">
              <w:rPr>
                <w:bCs w:val="0"/>
              </w:rPr>
              <w:t>Credit assessment</w:t>
            </w:r>
          </w:p>
        </w:tc>
        <w:tc>
          <w:tcPr>
            <w:tcW w:w="12332" w:type="dxa"/>
            <w:tcBorders>
              <w:bottom w:val="single" w:sz="18" w:space="0" w:color="E98E31" w:themeColor="background2"/>
            </w:tcBorders>
          </w:tcPr>
          <w:p w:rsidR="00245FF8" w:rsidRPr="00245FF8" w:rsidRDefault="00245FF8" w:rsidP="00545DAD">
            <w:pPr>
              <w:pStyle w:val="Tableheader"/>
              <w:spacing w:before="60" w:after="60"/>
              <w:jc w:val="center"/>
              <w:rPr>
                <w:bCs w:val="0"/>
              </w:rPr>
            </w:pPr>
            <w:r w:rsidRPr="00245FF8">
              <w:rPr>
                <w:bCs w:val="0"/>
              </w:rPr>
              <w:t>Meaning of the credit assessment</w:t>
            </w:r>
          </w:p>
        </w:tc>
      </w:tr>
      <w:tr w:rsidR="00E43BEA" w:rsidRPr="00245FF8" w:rsidTr="00545DAD">
        <w:tc>
          <w:tcPr>
            <w:tcW w:w="1985" w:type="dxa"/>
            <w:tcBorders>
              <w:top w:val="single" w:sz="18" w:space="0" w:color="E98E31" w:themeColor="background2"/>
              <w:bottom w:val="dashed" w:sz="4" w:space="0" w:color="auto"/>
            </w:tcBorders>
          </w:tcPr>
          <w:p w:rsidR="00E43BEA" w:rsidRPr="00245FF8" w:rsidRDefault="00E43BEA" w:rsidP="00545DAD">
            <w:pPr>
              <w:pStyle w:val="BodyText1"/>
              <w:spacing w:before="60" w:after="60"/>
              <w:jc w:val="center"/>
              <w:rPr>
                <w:rFonts w:asciiTheme="minorHAnsi" w:hAnsiTheme="minorHAnsi" w:cs="Arial"/>
                <w:sz w:val="22"/>
                <w:szCs w:val="22"/>
              </w:rPr>
            </w:pPr>
            <w:r w:rsidRPr="00245FF8">
              <w:rPr>
                <w:rFonts w:asciiTheme="minorHAnsi" w:hAnsiTheme="minorHAnsi" w:cs="Arial"/>
                <w:sz w:val="22"/>
                <w:szCs w:val="22"/>
              </w:rPr>
              <w:t>AAA</w:t>
            </w:r>
          </w:p>
        </w:tc>
        <w:tc>
          <w:tcPr>
            <w:tcW w:w="12332" w:type="dxa"/>
            <w:tcBorders>
              <w:top w:val="single" w:sz="18" w:space="0" w:color="E98E31" w:themeColor="background2"/>
              <w:bottom w:val="dashed" w:sz="4" w:space="0" w:color="auto"/>
            </w:tcBorders>
          </w:tcPr>
          <w:p w:rsidR="00E43BEA" w:rsidRPr="00E43BEA" w:rsidRDefault="00E43BEA" w:rsidP="00545DAD">
            <w:pPr>
              <w:pStyle w:val="BodyText1"/>
              <w:spacing w:before="60" w:after="60"/>
              <w:rPr>
                <w:rFonts w:asciiTheme="minorHAnsi" w:hAnsiTheme="minorHAnsi"/>
                <w:sz w:val="22"/>
                <w:szCs w:val="22"/>
              </w:rPr>
            </w:pPr>
            <w:r w:rsidRPr="00E43BEA">
              <w:rPr>
                <w:rFonts w:asciiTheme="minorHAnsi" w:hAnsiTheme="minorHAnsi"/>
                <w:sz w:val="22"/>
                <w:szCs w:val="22"/>
              </w:rPr>
              <w:t>Highest credit quality. The capacity for the payment of financial obligations is exceptionally high and unlikely to be adversely affected by future events.</w:t>
            </w:r>
          </w:p>
        </w:tc>
      </w:tr>
      <w:tr w:rsidR="00E43BEA" w:rsidRPr="00245FF8" w:rsidTr="00545DAD">
        <w:tc>
          <w:tcPr>
            <w:tcW w:w="1985" w:type="dxa"/>
            <w:tcBorders>
              <w:bottom w:val="dashed" w:sz="4" w:space="0" w:color="auto"/>
            </w:tcBorders>
          </w:tcPr>
          <w:p w:rsidR="00E43BEA" w:rsidRPr="00245FF8" w:rsidRDefault="00E43BEA" w:rsidP="00545DAD">
            <w:pPr>
              <w:pStyle w:val="BodyText1"/>
              <w:spacing w:before="60" w:after="60"/>
              <w:jc w:val="center"/>
              <w:rPr>
                <w:rFonts w:asciiTheme="minorHAnsi" w:hAnsiTheme="minorHAnsi" w:cs="Arial"/>
                <w:sz w:val="22"/>
                <w:szCs w:val="22"/>
              </w:rPr>
            </w:pPr>
            <w:r w:rsidRPr="00245FF8">
              <w:rPr>
                <w:rFonts w:asciiTheme="minorHAnsi" w:hAnsiTheme="minorHAnsi" w:cs="Arial"/>
                <w:sz w:val="22"/>
                <w:szCs w:val="22"/>
              </w:rPr>
              <w:t>AA</w:t>
            </w:r>
          </w:p>
        </w:tc>
        <w:tc>
          <w:tcPr>
            <w:tcW w:w="12332" w:type="dxa"/>
            <w:tcBorders>
              <w:bottom w:val="dashed" w:sz="4" w:space="0" w:color="auto"/>
            </w:tcBorders>
          </w:tcPr>
          <w:p w:rsidR="00E43BEA" w:rsidRPr="00E43BEA" w:rsidRDefault="00E43BEA" w:rsidP="00545DAD">
            <w:pPr>
              <w:pStyle w:val="BodyText1"/>
              <w:spacing w:before="60" w:after="60"/>
              <w:rPr>
                <w:rFonts w:asciiTheme="minorHAnsi" w:hAnsiTheme="minorHAnsi"/>
                <w:sz w:val="22"/>
                <w:szCs w:val="22"/>
              </w:rPr>
            </w:pPr>
            <w:r w:rsidRPr="00E43BEA">
              <w:rPr>
                <w:rFonts w:asciiTheme="minorHAnsi" w:hAnsiTheme="minorHAnsi"/>
                <w:sz w:val="22"/>
                <w:szCs w:val="22"/>
              </w:rPr>
              <w:t>Superior credit quality. The capacity for the payment of financial obligations is considered high. Credit quality differs from AAA only to a small degree. Unlikely to be significantly vulnerable to future events.</w:t>
            </w:r>
          </w:p>
        </w:tc>
      </w:tr>
      <w:tr w:rsidR="00E43BEA" w:rsidRPr="00245FF8" w:rsidTr="00545DAD">
        <w:tc>
          <w:tcPr>
            <w:tcW w:w="1985" w:type="dxa"/>
            <w:tcBorders>
              <w:bottom w:val="dashed" w:sz="4" w:space="0" w:color="auto"/>
            </w:tcBorders>
          </w:tcPr>
          <w:p w:rsidR="00E43BEA" w:rsidRPr="00245FF8" w:rsidRDefault="00E43BEA" w:rsidP="00545DAD">
            <w:pPr>
              <w:pStyle w:val="BodyText1"/>
              <w:spacing w:before="60" w:after="60"/>
              <w:jc w:val="center"/>
              <w:rPr>
                <w:rFonts w:asciiTheme="minorHAnsi" w:hAnsiTheme="minorHAnsi" w:cs="Arial"/>
                <w:sz w:val="22"/>
                <w:szCs w:val="22"/>
              </w:rPr>
            </w:pPr>
            <w:r w:rsidRPr="00245FF8">
              <w:rPr>
                <w:rFonts w:asciiTheme="minorHAnsi" w:hAnsiTheme="minorHAnsi" w:cs="Arial"/>
                <w:sz w:val="22"/>
                <w:szCs w:val="22"/>
              </w:rPr>
              <w:t>A</w:t>
            </w:r>
          </w:p>
        </w:tc>
        <w:tc>
          <w:tcPr>
            <w:tcW w:w="12332" w:type="dxa"/>
            <w:tcBorders>
              <w:bottom w:val="dashed" w:sz="4" w:space="0" w:color="auto"/>
            </w:tcBorders>
          </w:tcPr>
          <w:p w:rsidR="00E43BEA" w:rsidRPr="00E43BEA" w:rsidRDefault="00E43BEA" w:rsidP="00545DAD">
            <w:pPr>
              <w:pStyle w:val="BodyText1"/>
              <w:spacing w:before="60" w:after="60"/>
              <w:rPr>
                <w:rFonts w:asciiTheme="minorHAnsi" w:hAnsiTheme="minorHAnsi"/>
                <w:sz w:val="22"/>
                <w:szCs w:val="22"/>
              </w:rPr>
            </w:pPr>
            <w:r w:rsidRPr="00E43BEA">
              <w:rPr>
                <w:rFonts w:asciiTheme="minorHAnsi" w:hAnsiTheme="minorHAnsi"/>
                <w:sz w:val="22"/>
                <w:szCs w:val="22"/>
              </w:rPr>
              <w:t>Good credit quality. The capacity for the payment of financial obligations is substantial, but of lesser credit quality than AA. May be vulnerable to future events, but qualifying negative factors are considered manageable.</w:t>
            </w:r>
          </w:p>
        </w:tc>
      </w:tr>
      <w:tr w:rsidR="00E43BEA" w:rsidRPr="00245FF8" w:rsidTr="00545DAD">
        <w:tc>
          <w:tcPr>
            <w:tcW w:w="1985" w:type="dxa"/>
          </w:tcPr>
          <w:p w:rsidR="00E43BEA" w:rsidRPr="00245FF8" w:rsidRDefault="00E43BEA" w:rsidP="00545DAD">
            <w:pPr>
              <w:pStyle w:val="BodyText1"/>
              <w:spacing w:before="60" w:after="60"/>
              <w:jc w:val="center"/>
              <w:rPr>
                <w:rFonts w:asciiTheme="minorHAnsi" w:hAnsiTheme="minorHAnsi" w:cs="Arial"/>
                <w:sz w:val="22"/>
                <w:szCs w:val="22"/>
              </w:rPr>
            </w:pPr>
            <w:r w:rsidRPr="00245FF8">
              <w:rPr>
                <w:rFonts w:asciiTheme="minorHAnsi" w:hAnsiTheme="minorHAnsi" w:cs="Arial"/>
                <w:sz w:val="22"/>
                <w:szCs w:val="22"/>
              </w:rPr>
              <w:t>BBB</w:t>
            </w:r>
          </w:p>
        </w:tc>
        <w:tc>
          <w:tcPr>
            <w:tcW w:w="12332" w:type="dxa"/>
          </w:tcPr>
          <w:p w:rsidR="00E43BEA" w:rsidRPr="00E43BEA" w:rsidRDefault="00E43BEA" w:rsidP="00545DAD">
            <w:pPr>
              <w:pStyle w:val="BodyText1"/>
              <w:spacing w:before="60" w:after="60"/>
              <w:rPr>
                <w:rFonts w:asciiTheme="minorHAnsi" w:hAnsiTheme="minorHAnsi"/>
                <w:sz w:val="22"/>
                <w:szCs w:val="22"/>
              </w:rPr>
            </w:pPr>
            <w:r w:rsidRPr="00E43BEA">
              <w:rPr>
                <w:rFonts w:asciiTheme="minorHAnsi" w:hAnsiTheme="minorHAnsi"/>
                <w:sz w:val="22"/>
                <w:szCs w:val="22"/>
              </w:rPr>
              <w:t xml:space="preserve">Adequate credit quality. The capacity for the payment of financial obligations is considered acceptable. May be vulnerable to future events. </w:t>
            </w:r>
          </w:p>
        </w:tc>
      </w:tr>
      <w:tr w:rsidR="00E43BEA" w:rsidRPr="00245FF8" w:rsidTr="00545DAD">
        <w:tc>
          <w:tcPr>
            <w:tcW w:w="1985" w:type="dxa"/>
          </w:tcPr>
          <w:p w:rsidR="00E43BEA" w:rsidRPr="00245FF8" w:rsidRDefault="00E43BEA" w:rsidP="00545DAD">
            <w:pPr>
              <w:pStyle w:val="BodyText1"/>
              <w:spacing w:before="60" w:after="60"/>
              <w:jc w:val="center"/>
              <w:rPr>
                <w:rFonts w:asciiTheme="minorHAnsi" w:hAnsiTheme="minorHAnsi" w:cs="Arial"/>
                <w:sz w:val="22"/>
                <w:szCs w:val="22"/>
              </w:rPr>
            </w:pPr>
            <w:r w:rsidRPr="00245FF8">
              <w:rPr>
                <w:rFonts w:asciiTheme="minorHAnsi" w:hAnsiTheme="minorHAnsi" w:cs="Arial"/>
                <w:sz w:val="22"/>
                <w:szCs w:val="22"/>
              </w:rPr>
              <w:t>BB</w:t>
            </w:r>
          </w:p>
        </w:tc>
        <w:tc>
          <w:tcPr>
            <w:tcW w:w="12332" w:type="dxa"/>
          </w:tcPr>
          <w:p w:rsidR="00E43BEA" w:rsidRPr="00E43BEA" w:rsidRDefault="00E43BEA" w:rsidP="00545DAD">
            <w:pPr>
              <w:pStyle w:val="BodyText1"/>
              <w:spacing w:before="60" w:after="60"/>
              <w:rPr>
                <w:rFonts w:asciiTheme="minorHAnsi" w:hAnsiTheme="minorHAnsi"/>
                <w:sz w:val="22"/>
                <w:szCs w:val="22"/>
              </w:rPr>
            </w:pPr>
            <w:r w:rsidRPr="00E43BEA">
              <w:rPr>
                <w:rFonts w:asciiTheme="minorHAnsi" w:hAnsiTheme="minorHAnsi"/>
                <w:sz w:val="22"/>
                <w:szCs w:val="22"/>
              </w:rPr>
              <w:t>Speculative, non-investment grade credit quality. The capacity for the payment of financial obligations is uncertain. Vulnerable to future events.</w:t>
            </w:r>
          </w:p>
        </w:tc>
      </w:tr>
      <w:tr w:rsidR="00E43BEA" w:rsidRPr="00245FF8" w:rsidTr="00545DAD">
        <w:tc>
          <w:tcPr>
            <w:tcW w:w="1985" w:type="dxa"/>
          </w:tcPr>
          <w:p w:rsidR="00E43BEA" w:rsidRPr="00245FF8" w:rsidRDefault="00E43BEA" w:rsidP="00545DAD">
            <w:pPr>
              <w:pStyle w:val="BodyText1"/>
              <w:spacing w:before="60" w:after="60"/>
              <w:jc w:val="center"/>
              <w:rPr>
                <w:rFonts w:asciiTheme="minorHAnsi" w:hAnsiTheme="minorHAnsi" w:cs="Arial"/>
                <w:sz w:val="22"/>
                <w:szCs w:val="22"/>
              </w:rPr>
            </w:pPr>
            <w:r w:rsidRPr="00245FF8">
              <w:rPr>
                <w:rFonts w:asciiTheme="minorHAnsi" w:hAnsiTheme="minorHAnsi" w:cs="Arial"/>
                <w:sz w:val="22"/>
                <w:szCs w:val="22"/>
              </w:rPr>
              <w:t>B</w:t>
            </w:r>
          </w:p>
        </w:tc>
        <w:tc>
          <w:tcPr>
            <w:tcW w:w="12332" w:type="dxa"/>
            <w:vAlign w:val="top"/>
          </w:tcPr>
          <w:p w:rsidR="00E43BEA" w:rsidRPr="00E43BEA" w:rsidRDefault="00E43BEA" w:rsidP="00545DAD">
            <w:pPr>
              <w:pStyle w:val="BodyText1"/>
              <w:spacing w:before="60" w:after="60"/>
              <w:rPr>
                <w:rFonts w:asciiTheme="minorHAnsi" w:hAnsiTheme="minorHAnsi"/>
                <w:sz w:val="22"/>
                <w:szCs w:val="22"/>
              </w:rPr>
            </w:pPr>
            <w:r w:rsidRPr="00E43BEA">
              <w:rPr>
                <w:rFonts w:asciiTheme="minorHAnsi" w:hAnsiTheme="minorHAnsi"/>
                <w:sz w:val="22"/>
                <w:szCs w:val="22"/>
              </w:rPr>
              <w:t>Highly speculative credit quality. There is a high level of uncertainty as to the capacity to meet financial obligations.</w:t>
            </w:r>
          </w:p>
        </w:tc>
      </w:tr>
      <w:tr w:rsidR="00E43BEA" w:rsidRPr="00245FF8" w:rsidTr="00545DAD">
        <w:tc>
          <w:tcPr>
            <w:tcW w:w="1985" w:type="dxa"/>
          </w:tcPr>
          <w:p w:rsidR="00E43BEA" w:rsidRPr="00245FF8" w:rsidRDefault="00E43BEA" w:rsidP="00545DAD">
            <w:pPr>
              <w:pStyle w:val="BodyText1"/>
              <w:spacing w:before="60" w:after="60"/>
              <w:jc w:val="center"/>
              <w:rPr>
                <w:rFonts w:asciiTheme="minorHAnsi" w:hAnsiTheme="minorHAnsi" w:cs="Arial"/>
                <w:sz w:val="22"/>
                <w:szCs w:val="22"/>
              </w:rPr>
            </w:pPr>
            <w:r w:rsidRPr="00245FF8">
              <w:rPr>
                <w:rFonts w:asciiTheme="minorHAnsi" w:hAnsiTheme="minorHAnsi" w:cs="Arial"/>
                <w:sz w:val="22"/>
                <w:szCs w:val="22"/>
              </w:rPr>
              <w:t>CCC</w:t>
            </w:r>
          </w:p>
        </w:tc>
        <w:tc>
          <w:tcPr>
            <w:tcW w:w="12332" w:type="dxa"/>
            <w:vMerge w:val="restart"/>
          </w:tcPr>
          <w:p w:rsidR="00E43BEA" w:rsidRPr="00245FF8" w:rsidRDefault="00E43BEA" w:rsidP="00545DAD">
            <w:pPr>
              <w:pStyle w:val="BodyText1"/>
              <w:spacing w:before="60" w:after="60"/>
              <w:rPr>
                <w:rFonts w:asciiTheme="minorHAnsi" w:hAnsiTheme="minorHAnsi"/>
                <w:sz w:val="22"/>
                <w:szCs w:val="22"/>
              </w:rPr>
            </w:pPr>
            <w:r w:rsidRPr="00E43BEA">
              <w:rPr>
                <w:rFonts w:asciiTheme="minorHAnsi" w:hAnsiTheme="minorHAnsi"/>
                <w:sz w:val="22"/>
                <w:szCs w:val="22"/>
              </w:rPr>
              <w:t>Very highly speculative credit quality. In danger of defaulting on financial obligations. There is little difference between these three categories, although CC and C ratings are normally applied to obligations that are seen as highly likely to default, or subordinated to obligations rated in the CCC to B range. Obligations in respect of which default has not technically taken place but is considered inevitable may be rated in the C category.</w:t>
            </w:r>
          </w:p>
        </w:tc>
      </w:tr>
      <w:tr w:rsidR="00E43BEA" w:rsidRPr="00245FF8" w:rsidTr="00545DAD">
        <w:tc>
          <w:tcPr>
            <w:tcW w:w="1985" w:type="dxa"/>
          </w:tcPr>
          <w:p w:rsidR="00E43BEA" w:rsidRPr="00245FF8" w:rsidRDefault="00E43BEA" w:rsidP="00545DAD">
            <w:pPr>
              <w:pStyle w:val="BodyText1"/>
              <w:spacing w:before="60" w:after="60"/>
              <w:jc w:val="center"/>
              <w:rPr>
                <w:rFonts w:asciiTheme="minorHAnsi" w:hAnsiTheme="minorHAnsi" w:cs="Arial"/>
                <w:sz w:val="22"/>
                <w:szCs w:val="22"/>
              </w:rPr>
            </w:pPr>
            <w:r w:rsidRPr="00245FF8">
              <w:rPr>
                <w:rFonts w:asciiTheme="minorHAnsi" w:hAnsiTheme="minorHAnsi" w:cs="Arial"/>
                <w:sz w:val="22"/>
                <w:szCs w:val="22"/>
              </w:rPr>
              <w:t>CC</w:t>
            </w:r>
          </w:p>
        </w:tc>
        <w:tc>
          <w:tcPr>
            <w:tcW w:w="12332" w:type="dxa"/>
            <w:vMerge/>
          </w:tcPr>
          <w:p w:rsidR="00E43BEA" w:rsidRPr="00245FF8" w:rsidRDefault="00E43BEA" w:rsidP="00545DAD">
            <w:pPr>
              <w:pStyle w:val="BodyText1"/>
              <w:spacing w:before="60" w:after="60"/>
              <w:rPr>
                <w:rFonts w:asciiTheme="minorHAnsi" w:hAnsiTheme="minorHAnsi"/>
                <w:sz w:val="22"/>
                <w:szCs w:val="22"/>
              </w:rPr>
            </w:pPr>
          </w:p>
        </w:tc>
      </w:tr>
      <w:tr w:rsidR="00E43BEA" w:rsidRPr="00245FF8" w:rsidTr="00545DAD">
        <w:tc>
          <w:tcPr>
            <w:tcW w:w="1985" w:type="dxa"/>
          </w:tcPr>
          <w:p w:rsidR="00E43BEA" w:rsidRPr="00245FF8" w:rsidRDefault="00E43BEA" w:rsidP="00545DAD">
            <w:pPr>
              <w:pStyle w:val="BodyText1"/>
              <w:spacing w:before="60" w:after="60"/>
              <w:jc w:val="center"/>
              <w:rPr>
                <w:rFonts w:asciiTheme="minorHAnsi" w:hAnsiTheme="minorHAnsi" w:cs="Arial"/>
                <w:sz w:val="22"/>
                <w:szCs w:val="22"/>
              </w:rPr>
            </w:pPr>
            <w:r>
              <w:rPr>
                <w:rFonts w:asciiTheme="minorHAnsi" w:hAnsiTheme="minorHAnsi" w:cs="Arial"/>
                <w:sz w:val="22"/>
                <w:szCs w:val="22"/>
              </w:rPr>
              <w:t>C</w:t>
            </w:r>
          </w:p>
        </w:tc>
        <w:tc>
          <w:tcPr>
            <w:tcW w:w="12332" w:type="dxa"/>
            <w:vMerge/>
          </w:tcPr>
          <w:p w:rsidR="00E43BEA" w:rsidRPr="00245FF8" w:rsidRDefault="00E43BEA" w:rsidP="00545DAD">
            <w:pPr>
              <w:pStyle w:val="BodyText1"/>
              <w:spacing w:before="60" w:after="60"/>
              <w:rPr>
                <w:rFonts w:asciiTheme="minorHAnsi" w:hAnsiTheme="minorHAnsi"/>
                <w:sz w:val="22"/>
                <w:szCs w:val="22"/>
              </w:rPr>
            </w:pPr>
          </w:p>
        </w:tc>
      </w:tr>
      <w:tr w:rsidR="00245FF8" w:rsidRPr="00245FF8" w:rsidTr="00545DAD">
        <w:tc>
          <w:tcPr>
            <w:tcW w:w="1985" w:type="dxa"/>
          </w:tcPr>
          <w:p w:rsidR="00245FF8" w:rsidRPr="00245FF8" w:rsidRDefault="00245FF8" w:rsidP="00545DAD">
            <w:pPr>
              <w:pStyle w:val="BodyText1"/>
              <w:spacing w:before="60" w:after="60"/>
              <w:jc w:val="center"/>
              <w:rPr>
                <w:rFonts w:asciiTheme="minorHAnsi" w:hAnsiTheme="minorHAnsi" w:cs="Arial"/>
                <w:sz w:val="22"/>
                <w:szCs w:val="22"/>
              </w:rPr>
            </w:pPr>
            <w:r w:rsidRPr="00245FF8">
              <w:rPr>
                <w:rFonts w:asciiTheme="minorHAnsi" w:hAnsiTheme="minorHAnsi" w:cs="Arial"/>
                <w:sz w:val="22"/>
                <w:szCs w:val="22"/>
              </w:rPr>
              <w:t>D</w:t>
            </w:r>
          </w:p>
        </w:tc>
        <w:tc>
          <w:tcPr>
            <w:tcW w:w="12332" w:type="dxa"/>
          </w:tcPr>
          <w:p w:rsidR="00245FF8" w:rsidRPr="00245FF8" w:rsidRDefault="00E43BEA" w:rsidP="00545DAD">
            <w:pPr>
              <w:pStyle w:val="BodyText1"/>
              <w:spacing w:before="60" w:after="60"/>
              <w:rPr>
                <w:rFonts w:asciiTheme="minorHAnsi" w:hAnsiTheme="minorHAnsi"/>
                <w:sz w:val="22"/>
                <w:szCs w:val="22"/>
              </w:rPr>
            </w:pPr>
            <w:r w:rsidRPr="00E43BEA">
              <w:rPr>
                <w:rFonts w:asciiTheme="minorHAnsi" w:hAnsiTheme="minorHAnsi"/>
                <w:sz w:val="22"/>
                <w:szCs w:val="22"/>
              </w:rPr>
              <w:t>When the issuer has filed under any applicable bankruptcy, insolvency or winding up statute or there is a failure to satisfy an obligation after the exhaustion of grace periods, a downgrade to D may occur. DBRS may also use SD (Selective Default) in cases where only some securities are impacted, such as the case of a “distressed exchange”. See Default Definition for more information.</w:t>
            </w:r>
          </w:p>
        </w:tc>
      </w:tr>
    </w:tbl>
    <w:p w:rsidR="00B16A01" w:rsidRDefault="00B16A01" w:rsidP="004C48AE">
      <w:pPr>
        <w:pStyle w:val="FootnoteText"/>
      </w:pPr>
      <w:r>
        <w:t>Source: DBRS</w:t>
      </w:r>
    </w:p>
    <w:p w:rsidR="00245FF8" w:rsidRDefault="00245FF8" w:rsidP="004C48AE">
      <w:pPr>
        <w:pStyle w:val="FootnoteText"/>
      </w:pPr>
      <w:r>
        <w:br w:type="page"/>
      </w:r>
    </w:p>
    <w:p w:rsidR="00245FF8" w:rsidRPr="00EF13CD" w:rsidRDefault="0041788D" w:rsidP="00CD7BD7">
      <w:pPr>
        <w:pStyle w:val="Figuretitle"/>
      </w:pPr>
      <w:bookmarkStart w:id="8" w:name="_Ref384802203"/>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CD7BD7">
        <w:rPr>
          <w:szCs w:val="22"/>
        </w:rPr>
        <w:t>4</w:t>
      </w:r>
      <w:r w:rsidRPr="0041788D">
        <w:rPr>
          <w:szCs w:val="22"/>
        </w:rPr>
        <w:fldChar w:fldCharType="end"/>
      </w:r>
      <w:bookmarkEnd w:id="8"/>
      <w:r w:rsidR="00C45D4A">
        <w:t>:</w:t>
      </w:r>
      <w:r w:rsidR="00245FF8" w:rsidRPr="00EF13CD">
        <w:t xml:space="preserve"> </w:t>
      </w:r>
      <w:r w:rsidR="00E43BEA" w:rsidRPr="00E43BEA">
        <w:t>Commercial paper and short-term debt rating scale</w:t>
      </w:r>
    </w:p>
    <w:tbl>
      <w:tblPr>
        <w:tblStyle w:val="TableGrid"/>
        <w:tblW w:w="14459" w:type="dxa"/>
        <w:tblInd w:w="108" w:type="dxa"/>
        <w:tblLook w:val="04A0" w:firstRow="1" w:lastRow="0" w:firstColumn="1" w:lastColumn="0" w:noHBand="0" w:noVBand="1"/>
      </w:tblPr>
      <w:tblGrid>
        <w:gridCol w:w="2127"/>
        <w:gridCol w:w="12332"/>
      </w:tblGrid>
      <w:tr w:rsidR="00245FF8" w:rsidRPr="008404CE" w:rsidTr="00545DAD">
        <w:trPr>
          <w:cnfStyle w:val="100000000000" w:firstRow="1" w:lastRow="0" w:firstColumn="0" w:lastColumn="0" w:oddVBand="0" w:evenVBand="0" w:oddHBand="0" w:evenHBand="0" w:firstRowFirstColumn="0" w:firstRowLastColumn="0" w:lastRowFirstColumn="0" w:lastRowLastColumn="0"/>
          <w:trHeight w:val="454"/>
        </w:trPr>
        <w:tc>
          <w:tcPr>
            <w:tcW w:w="2127" w:type="dxa"/>
            <w:tcBorders>
              <w:bottom w:val="single" w:sz="18" w:space="0" w:color="E98E31" w:themeColor="background2"/>
            </w:tcBorders>
          </w:tcPr>
          <w:p w:rsidR="00245FF8" w:rsidRPr="008404CE" w:rsidRDefault="00245FF8" w:rsidP="00545DAD">
            <w:pPr>
              <w:pStyle w:val="Tableheader"/>
              <w:spacing w:before="60" w:after="60"/>
              <w:jc w:val="center"/>
              <w:rPr>
                <w:rFonts w:asciiTheme="minorHAnsi" w:hAnsiTheme="minorHAnsi"/>
                <w:bCs w:val="0"/>
              </w:rPr>
            </w:pPr>
            <w:r w:rsidRPr="008404CE">
              <w:rPr>
                <w:rFonts w:asciiTheme="minorHAnsi" w:hAnsiTheme="minorHAnsi"/>
                <w:bCs w:val="0"/>
              </w:rPr>
              <w:t>Credit assessment</w:t>
            </w:r>
          </w:p>
        </w:tc>
        <w:tc>
          <w:tcPr>
            <w:tcW w:w="12332" w:type="dxa"/>
            <w:tcBorders>
              <w:bottom w:val="single" w:sz="18" w:space="0" w:color="E98E31" w:themeColor="background2"/>
            </w:tcBorders>
          </w:tcPr>
          <w:p w:rsidR="00245FF8" w:rsidRPr="008404CE" w:rsidRDefault="00245FF8" w:rsidP="00545DAD">
            <w:pPr>
              <w:pStyle w:val="Tableheader"/>
              <w:spacing w:before="60" w:after="60"/>
              <w:jc w:val="center"/>
              <w:rPr>
                <w:rFonts w:asciiTheme="minorHAnsi" w:hAnsiTheme="minorHAnsi"/>
                <w:bCs w:val="0"/>
              </w:rPr>
            </w:pPr>
            <w:r w:rsidRPr="008404CE">
              <w:rPr>
                <w:rFonts w:asciiTheme="minorHAnsi" w:hAnsiTheme="minorHAnsi"/>
                <w:bCs w:val="0"/>
              </w:rPr>
              <w:t>Meaning of the credit assessment</w:t>
            </w:r>
          </w:p>
        </w:tc>
      </w:tr>
      <w:tr w:rsidR="00E43BEA" w:rsidRPr="008404CE" w:rsidTr="00545DAD">
        <w:tc>
          <w:tcPr>
            <w:tcW w:w="2127" w:type="dxa"/>
            <w:tcBorders>
              <w:top w:val="single" w:sz="18" w:space="0" w:color="E98E31" w:themeColor="background2"/>
              <w:bottom w:val="dashed" w:sz="4" w:space="0" w:color="auto"/>
            </w:tcBorders>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R-1 H</w:t>
            </w:r>
          </w:p>
        </w:tc>
        <w:tc>
          <w:tcPr>
            <w:tcW w:w="12332" w:type="dxa"/>
            <w:tcBorders>
              <w:top w:val="single" w:sz="18" w:space="0" w:color="E98E31" w:themeColor="background2"/>
              <w:bottom w:val="dashed" w:sz="4" w:space="0" w:color="auto"/>
            </w:tcBorders>
          </w:tcPr>
          <w:p w:rsidR="00E43BEA" w:rsidRPr="00E43BEA" w:rsidRDefault="00E43BEA" w:rsidP="00545DAD">
            <w:pPr>
              <w:pStyle w:val="BodyText1"/>
              <w:spacing w:before="60" w:after="60"/>
              <w:rPr>
                <w:rFonts w:asciiTheme="majorHAnsi" w:hAnsiTheme="majorHAnsi"/>
                <w:sz w:val="22"/>
              </w:rPr>
            </w:pPr>
            <w:r w:rsidRPr="00E43BEA">
              <w:rPr>
                <w:rFonts w:asciiTheme="majorHAnsi" w:hAnsiTheme="majorHAnsi"/>
                <w:sz w:val="22"/>
              </w:rPr>
              <w:t>Highest credit quality. The capacity for the payment of short-term financial obligations as they fall due is exceptionally high. Unlikely to be adversely affected by future events.</w:t>
            </w:r>
          </w:p>
        </w:tc>
      </w:tr>
      <w:tr w:rsidR="00E43BEA" w:rsidRPr="008404CE" w:rsidTr="00545DAD">
        <w:tc>
          <w:tcPr>
            <w:tcW w:w="2127" w:type="dxa"/>
            <w:tcBorders>
              <w:bottom w:val="dashed" w:sz="4" w:space="0" w:color="auto"/>
            </w:tcBorders>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R-1 M</w:t>
            </w:r>
          </w:p>
        </w:tc>
        <w:tc>
          <w:tcPr>
            <w:tcW w:w="12332" w:type="dxa"/>
            <w:tcBorders>
              <w:bottom w:val="dashed" w:sz="4" w:space="0" w:color="auto"/>
            </w:tcBorders>
          </w:tcPr>
          <w:p w:rsidR="00E43BEA" w:rsidRPr="00E43BEA" w:rsidRDefault="00E43BEA" w:rsidP="00545DAD">
            <w:pPr>
              <w:pStyle w:val="BodyText1"/>
              <w:spacing w:before="60" w:after="60"/>
              <w:rPr>
                <w:rFonts w:asciiTheme="majorHAnsi" w:hAnsiTheme="majorHAnsi"/>
                <w:sz w:val="22"/>
              </w:rPr>
            </w:pPr>
            <w:r w:rsidRPr="00E43BEA">
              <w:rPr>
                <w:rFonts w:asciiTheme="majorHAnsi" w:hAnsiTheme="majorHAnsi"/>
                <w:sz w:val="22"/>
              </w:rPr>
              <w:t>Superior credit quality. The capacity for the payment of short-term financial obligations as they fall due is very high. Differs from R-1 (high) by a relatively modest degree. Unlikely to be significantly vulnerable to future events.</w:t>
            </w:r>
          </w:p>
        </w:tc>
      </w:tr>
      <w:tr w:rsidR="00E43BEA" w:rsidRPr="008404CE" w:rsidTr="00545DAD">
        <w:tc>
          <w:tcPr>
            <w:tcW w:w="2127" w:type="dxa"/>
            <w:tcBorders>
              <w:bottom w:val="dashed" w:sz="4" w:space="0" w:color="auto"/>
            </w:tcBorders>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R-1 L</w:t>
            </w:r>
          </w:p>
        </w:tc>
        <w:tc>
          <w:tcPr>
            <w:tcW w:w="12332" w:type="dxa"/>
            <w:tcBorders>
              <w:bottom w:val="dashed" w:sz="4" w:space="0" w:color="auto"/>
            </w:tcBorders>
          </w:tcPr>
          <w:p w:rsidR="00E43BEA" w:rsidRPr="00E43BEA" w:rsidRDefault="00E43BEA" w:rsidP="00545DAD">
            <w:pPr>
              <w:pStyle w:val="BodyText1"/>
              <w:spacing w:before="60" w:after="60"/>
              <w:rPr>
                <w:rFonts w:asciiTheme="majorHAnsi" w:hAnsiTheme="majorHAnsi"/>
                <w:sz w:val="22"/>
              </w:rPr>
            </w:pPr>
            <w:r w:rsidRPr="00E43BEA">
              <w:rPr>
                <w:rFonts w:asciiTheme="majorHAnsi" w:hAnsiTheme="majorHAnsi"/>
                <w:sz w:val="22"/>
              </w:rPr>
              <w:t>Good credit quality. The capacity for the payment of short-term financial obligations as they fall due is substantial. Overall strength is not as favourable as higher rating categories. May be vulnerable to future events, but qualifying negative factors are considered manageable.</w:t>
            </w:r>
          </w:p>
        </w:tc>
      </w:tr>
      <w:tr w:rsidR="00E43BEA" w:rsidRPr="008404CE" w:rsidTr="00545DAD">
        <w:tc>
          <w:tcPr>
            <w:tcW w:w="2127" w:type="dxa"/>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R-2 H</w:t>
            </w:r>
          </w:p>
        </w:tc>
        <w:tc>
          <w:tcPr>
            <w:tcW w:w="12332" w:type="dxa"/>
          </w:tcPr>
          <w:p w:rsidR="00E43BEA" w:rsidRPr="00E43BEA" w:rsidRDefault="00E43BEA" w:rsidP="00545DAD">
            <w:pPr>
              <w:pStyle w:val="BodyText1"/>
              <w:spacing w:before="60" w:after="60"/>
              <w:rPr>
                <w:rFonts w:asciiTheme="majorHAnsi" w:hAnsiTheme="majorHAnsi"/>
                <w:sz w:val="22"/>
              </w:rPr>
            </w:pPr>
            <w:r w:rsidRPr="00E43BEA">
              <w:rPr>
                <w:rFonts w:asciiTheme="majorHAnsi" w:hAnsiTheme="majorHAnsi"/>
                <w:sz w:val="22"/>
              </w:rPr>
              <w:t>Upper end of adequate credit quality. The capacity for the payment of short-term financial obligations as they fall due is acceptable. May be vulnerable to future events.</w:t>
            </w:r>
          </w:p>
        </w:tc>
      </w:tr>
      <w:tr w:rsidR="00E43BEA" w:rsidRPr="008404CE" w:rsidTr="00545DAD">
        <w:tc>
          <w:tcPr>
            <w:tcW w:w="2127" w:type="dxa"/>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R-2 M</w:t>
            </w:r>
          </w:p>
        </w:tc>
        <w:tc>
          <w:tcPr>
            <w:tcW w:w="12332" w:type="dxa"/>
          </w:tcPr>
          <w:p w:rsidR="00E43BEA" w:rsidRPr="00E43BEA" w:rsidRDefault="00E43BEA" w:rsidP="00545DAD">
            <w:pPr>
              <w:pStyle w:val="BodyText1"/>
              <w:spacing w:before="60" w:after="60"/>
              <w:rPr>
                <w:rFonts w:asciiTheme="majorHAnsi" w:hAnsiTheme="majorHAnsi"/>
                <w:sz w:val="22"/>
              </w:rPr>
            </w:pPr>
            <w:r w:rsidRPr="00E43BEA">
              <w:rPr>
                <w:rFonts w:asciiTheme="majorHAnsi" w:hAnsiTheme="majorHAnsi"/>
                <w:sz w:val="22"/>
              </w:rPr>
              <w:t>Adequate credit quality. The capacity for the payment of short-term financial obligations as they fall due is acceptable. May be vulnerable to future events or may be exposed to other factors that could reduce credit quality.</w:t>
            </w:r>
          </w:p>
        </w:tc>
      </w:tr>
      <w:tr w:rsidR="00E43BEA" w:rsidRPr="008404CE" w:rsidTr="00545DAD">
        <w:tc>
          <w:tcPr>
            <w:tcW w:w="2127" w:type="dxa"/>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R-2 L</w:t>
            </w:r>
          </w:p>
        </w:tc>
        <w:tc>
          <w:tcPr>
            <w:tcW w:w="12332" w:type="dxa"/>
            <w:vAlign w:val="top"/>
          </w:tcPr>
          <w:p w:rsidR="00E43BEA" w:rsidRPr="00E43BEA" w:rsidRDefault="00E43BEA" w:rsidP="00545DAD">
            <w:pPr>
              <w:pStyle w:val="BodyText1"/>
              <w:spacing w:before="60" w:after="60"/>
              <w:rPr>
                <w:rFonts w:asciiTheme="majorHAnsi" w:hAnsiTheme="majorHAnsi"/>
                <w:sz w:val="22"/>
              </w:rPr>
            </w:pPr>
            <w:r w:rsidRPr="00E43BEA">
              <w:rPr>
                <w:rFonts w:asciiTheme="majorHAnsi" w:hAnsiTheme="majorHAnsi"/>
                <w:sz w:val="22"/>
              </w:rPr>
              <w:t>Lower end of adequate credit quality. The capacity for the payment of short-term financial obligations as they fall due is acceptable. May be vulnerable to future events. A number of challenges are present that could affect the issuer’s ability to meet such obligations.</w:t>
            </w:r>
          </w:p>
        </w:tc>
      </w:tr>
      <w:tr w:rsidR="00E43BEA" w:rsidRPr="008404CE" w:rsidTr="00545DAD">
        <w:tc>
          <w:tcPr>
            <w:tcW w:w="2127" w:type="dxa"/>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R-3</w:t>
            </w:r>
          </w:p>
        </w:tc>
        <w:tc>
          <w:tcPr>
            <w:tcW w:w="12332" w:type="dxa"/>
            <w:vAlign w:val="top"/>
          </w:tcPr>
          <w:p w:rsidR="00E43BEA" w:rsidRPr="00E43BEA" w:rsidRDefault="00E43BEA" w:rsidP="00545DAD">
            <w:pPr>
              <w:pStyle w:val="BodyText1"/>
              <w:spacing w:before="60" w:after="60"/>
              <w:rPr>
                <w:rFonts w:asciiTheme="majorHAnsi" w:hAnsiTheme="majorHAnsi"/>
                <w:sz w:val="22"/>
              </w:rPr>
            </w:pPr>
            <w:r w:rsidRPr="00E43BEA">
              <w:rPr>
                <w:rFonts w:asciiTheme="majorHAnsi" w:hAnsiTheme="majorHAnsi"/>
                <w:sz w:val="22"/>
              </w:rPr>
              <w:t>Lowest end of adequate credit quality. There is a capacity for the payment of short-term financial obligations as they fall due. May be vulnerable to future events and the certainty of meeting such obligations could be impacted by a variety of developments.</w:t>
            </w:r>
          </w:p>
        </w:tc>
      </w:tr>
      <w:tr w:rsidR="00E43BEA" w:rsidRPr="008404CE" w:rsidTr="00545DAD">
        <w:tc>
          <w:tcPr>
            <w:tcW w:w="2127" w:type="dxa"/>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R-4</w:t>
            </w:r>
          </w:p>
        </w:tc>
        <w:tc>
          <w:tcPr>
            <w:tcW w:w="12332" w:type="dxa"/>
            <w:vAlign w:val="top"/>
          </w:tcPr>
          <w:p w:rsidR="00E43BEA" w:rsidRPr="00E43BEA" w:rsidDel="00640070" w:rsidRDefault="00E43BEA" w:rsidP="00545DAD">
            <w:pPr>
              <w:pStyle w:val="BodyText1"/>
              <w:spacing w:before="60" w:after="60"/>
              <w:rPr>
                <w:rFonts w:asciiTheme="majorHAnsi" w:hAnsiTheme="majorHAnsi"/>
                <w:sz w:val="22"/>
              </w:rPr>
            </w:pPr>
            <w:r w:rsidRPr="00E43BEA">
              <w:rPr>
                <w:rFonts w:asciiTheme="majorHAnsi" w:hAnsiTheme="majorHAnsi"/>
                <w:sz w:val="22"/>
              </w:rPr>
              <w:t>Speculative credit quality. The capacity for the payment of short-term financial obligations as they fall due is uncertain.</w:t>
            </w:r>
          </w:p>
        </w:tc>
      </w:tr>
      <w:tr w:rsidR="00E43BEA" w:rsidRPr="008404CE" w:rsidTr="00545DAD">
        <w:tc>
          <w:tcPr>
            <w:tcW w:w="2127" w:type="dxa"/>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R-5</w:t>
            </w:r>
          </w:p>
        </w:tc>
        <w:tc>
          <w:tcPr>
            <w:tcW w:w="12332" w:type="dxa"/>
            <w:vAlign w:val="top"/>
          </w:tcPr>
          <w:p w:rsidR="00E43BEA" w:rsidRPr="00E43BEA" w:rsidDel="00640070" w:rsidRDefault="00E43BEA" w:rsidP="00545DAD">
            <w:pPr>
              <w:pStyle w:val="BodyText1"/>
              <w:spacing w:before="60" w:after="60"/>
              <w:rPr>
                <w:rFonts w:asciiTheme="majorHAnsi" w:hAnsiTheme="majorHAnsi"/>
                <w:sz w:val="22"/>
              </w:rPr>
            </w:pPr>
            <w:r w:rsidRPr="00E43BEA">
              <w:rPr>
                <w:rFonts w:asciiTheme="majorHAnsi" w:hAnsiTheme="majorHAnsi"/>
                <w:sz w:val="22"/>
              </w:rPr>
              <w:t>Highly speculative credit quality. There is a high level of uncertainty as to the capacity to meet short-term financial obligations as they fall due.</w:t>
            </w:r>
          </w:p>
        </w:tc>
      </w:tr>
      <w:tr w:rsidR="00E43BEA" w:rsidRPr="008404CE" w:rsidTr="00545DAD">
        <w:tc>
          <w:tcPr>
            <w:tcW w:w="2127" w:type="dxa"/>
          </w:tcPr>
          <w:p w:rsidR="00E43BEA" w:rsidRPr="00E43BEA" w:rsidRDefault="00E43BEA" w:rsidP="00545DAD">
            <w:pPr>
              <w:pStyle w:val="BodyText1"/>
              <w:spacing w:before="60" w:after="60"/>
              <w:jc w:val="center"/>
              <w:rPr>
                <w:rFonts w:asciiTheme="majorHAnsi" w:hAnsiTheme="majorHAnsi" w:cs="Arial"/>
                <w:sz w:val="22"/>
                <w:szCs w:val="24"/>
              </w:rPr>
            </w:pPr>
            <w:r w:rsidRPr="00E43BEA">
              <w:rPr>
                <w:rFonts w:asciiTheme="majorHAnsi" w:hAnsiTheme="majorHAnsi" w:cs="Arial"/>
                <w:sz w:val="22"/>
                <w:szCs w:val="24"/>
              </w:rPr>
              <w:t>D</w:t>
            </w:r>
          </w:p>
        </w:tc>
        <w:tc>
          <w:tcPr>
            <w:tcW w:w="12332" w:type="dxa"/>
            <w:vAlign w:val="top"/>
          </w:tcPr>
          <w:p w:rsidR="00E43BEA" w:rsidRPr="00E43BEA" w:rsidDel="00640070" w:rsidRDefault="00E43BEA" w:rsidP="00545DAD">
            <w:pPr>
              <w:pStyle w:val="BodyText1"/>
              <w:spacing w:before="60" w:after="60"/>
              <w:rPr>
                <w:rFonts w:asciiTheme="majorHAnsi" w:hAnsiTheme="majorHAnsi"/>
                <w:sz w:val="22"/>
              </w:rPr>
            </w:pPr>
            <w:r w:rsidRPr="00E43BEA">
              <w:rPr>
                <w:rFonts w:asciiTheme="majorHAnsi" w:hAnsiTheme="majorHAnsi"/>
                <w:sz w:val="22"/>
              </w:rPr>
              <w:t>When the issuer has filed under any applicable bankruptcy, insolvency or winding up statute or there is a failure to satisfy an obligation after the exhaustion of grace periods, a downgrade to D may occur. DBRS may also use SD (Selective Default) in cases where only some securities are impacted, such as the case of a “distressed exchange”. See Default Definition for more information.</w:t>
            </w:r>
          </w:p>
        </w:tc>
      </w:tr>
    </w:tbl>
    <w:p w:rsidR="00B16A01" w:rsidRDefault="00B16A01" w:rsidP="004C48AE">
      <w:pPr>
        <w:pStyle w:val="FootnoteText"/>
      </w:pPr>
      <w:r>
        <w:t>Source: DBRS</w:t>
      </w:r>
    </w:p>
    <w:p w:rsidR="0082161F" w:rsidRDefault="0082161F" w:rsidP="00545DAD">
      <w:pPr>
        <w:pStyle w:val="FootnoteText"/>
        <w:spacing w:after="120"/>
        <w:rPr>
          <w:rFonts w:eastAsia="Times New Roman" w:cs="Times New Roman"/>
          <w:bCs/>
          <w:noProof/>
          <w:color w:val="2F5773" w:themeColor="text2"/>
          <w:sz w:val="22"/>
          <w:szCs w:val="20"/>
          <w:lang w:val="en-GB" w:eastAsia="en-GB"/>
        </w:rPr>
      </w:pPr>
      <w:bookmarkStart w:id="9" w:name="_Ref384802212"/>
    </w:p>
    <w:p w:rsidR="00245FF8" w:rsidRPr="00737A4C" w:rsidRDefault="0041788D" w:rsidP="00545DAD">
      <w:pPr>
        <w:pStyle w:val="FootnoteText"/>
        <w:spacing w:after="120"/>
      </w:pPr>
      <w:r w:rsidRPr="00545DAD">
        <w:rPr>
          <w:rFonts w:eastAsia="Times New Roman" w:cs="Times New Roman"/>
          <w:bCs/>
          <w:noProof/>
          <w:color w:val="2F5773" w:themeColor="text2"/>
          <w:sz w:val="22"/>
          <w:szCs w:val="20"/>
          <w:lang w:val="en-GB" w:eastAsia="en-GB"/>
        </w:rPr>
        <w:lastRenderedPageBreak/>
        <w:t xml:space="preserve">Figure </w:t>
      </w:r>
      <w:r w:rsidRPr="00545DAD">
        <w:rPr>
          <w:rFonts w:eastAsia="Times New Roman" w:cs="Times New Roman"/>
          <w:bCs/>
          <w:noProof/>
          <w:color w:val="2F5773" w:themeColor="text2"/>
          <w:sz w:val="22"/>
          <w:szCs w:val="20"/>
          <w:lang w:val="en-GB" w:eastAsia="en-GB"/>
        </w:rPr>
        <w:fldChar w:fldCharType="begin"/>
      </w:r>
      <w:r w:rsidRPr="00545DAD">
        <w:rPr>
          <w:rFonts w:eastAsia="Times New Roman" w:cs="Times New Roman"/>
          <w:bCs/>
          <w:noProof/>
          <w:color w:val="2F5773" w:themeColor="text2"/>
          <w:sz w:val="22"/>
          <w:szCs w:val="20"/>
          <w:lang w:val="en-GB" w:eastAsia="en-GB"/>
        </w:rPr>
        <w:instrText xml:space="preserve"> SEQ Figure \* ARABIC </w:instrText>
      </w:r>
      <w:r w:rsidRPr="00545DAD">
        <w:rPr>
          <w:rFonts w:eastAsia="Times New Roman" w:cs="Times New Roman"/>
          <w:bCs/>
          <w:noProof/>
          <w:color w:val="2F5773" w:themeColor="text2"/>
          <w:sz w:val="22"/>
          <w:szCs w:val="20"/>
          <w:lang w:val="en-GB" w:eastAsia="en-GB"/>
        </w:rPr>
        <w:fldChar w:fldCharType="separate"/>
      </w:r>
      <w:r w:rsidR="00CD7BD7">
        <w:rPr>
          <w:rFonts w:eastAsia="Times New Roman" w:cs="Times New Roman"/>
          <w:bCs/>
          <w:noProof/>
          <w:color w:val="2F5773" w:themeColor="text2"/>
          <w:sz w:val="22"/>
          <w:szCs w:val="20"/>
          <w:lang w:val="en-GB" w:eastAsia="en-GB"/>
        </w:rPr>
        <w:t>5</w:t>
      </w:r>
      <w:r w:rsidRPr="00545DAD">
        <w:rPr>
          <w:rFonts w:eastAsia="Times New Roman" w:cs="Times New Roman"/>
          <w:bCs/>
          <w:noProof/>
          <w:color w:val="2F5773" w:themeColor="text2"/>
          <w:sz w:val="22"/>
          <w:szCs w:val="20"/>
          <w:lang w:val="en-GB" w:eastAsia="en-GB"/>
        </w:rPr>
        <w:fldChar w:fldCharType="end"/>
      </w:r>
      <w:bookmarkEnd w:id="9"/>
      <w:r w:rsidR="00C45D4A" w:rsidRPr="00737A4C">
        <w:rPr>
          <w:rFonts w:eastAsia="Times New Roman" w:cs="Times New Roman"/>
          <w:bCs/>
          <w:noProof/>
          <w:color w:val="2F5773" w:themeColor="text2"/>
          <w:sz w:val="22"/>
          <w:szCs w:val="20"/>
          <w:lang w:val="en-GB" w:eastAsia="en-GB"/>
        </w:rPr>
        <w:t>:</w:t>
      </w:r>
      <w:r w:rsidR="00245FF8" w:rsidRPr="00737A4C">
        <w:rPr>
          <w:rFonts w:eastAsia="Times New Roman" w:cs="Times New Roman"/>
          <w:bCs/>
          <w:noProof/>
          <w:color w:val="2F5773" w:themeColor="text2"/>
          <w:sz w:val="22"/>
          <w:szCs w:val="20"/>
          <w:lang w:val="en-GB" w:eastAsia="en-GB"/>
        </w:rPr>
        <w:t xml:space="preserve"> </w:t>
      </w:r>
      <w:r w:rsidR="00737A4C" w:rsidRPr="00737A4C">
        <w:rPr>
          <w:rFonts w:eastAsia="Times New Roman" w:cs="Times New Roman"/>
          <w:bCs/>
          <w:noProof/>
          <w:color w:val="2F5773" w:themeColor="text2"/>
          <w:sz w:val="22"/>
          <w:szCs w:val="20"/>
          <w:lang w:val="en-GB" w:eastAsia="en-GB"/>
        </w:rPr>
        <w:t>Financial Strength Rating Scale</w:t>
      </w:r>
    </w:p>
    <w:tbl>
      <w:tblPr>
        <w:tblStyle w:val="TableGrid"/>
        <w:tblW w:w="14317" w:type="dxa"/>
        <w:tblInd w:w="108" w:type="dxa"/>
        <w:tblLook w:val="04A0" w:firstRow="1" w:lastRow="0" w:firstColumn="1" w:lastColumn="0" w:noHBand="0" w:noVBand="1"/>
      </w:tblPr>
      <w:tblGrid>
        <w:gridCol w:w="1985"/>
        <w:gridCol w:w="12332"/>
      </w:tblGrid>
      <w:tr w:rsidR="00245FF8" w:rsidRPr="002F528A" w:rsidTr="00545DAD">
        <w:trPr>
          <w:cnfStyle w:val="100000000000" w:firstRow="1" w:lastRow="0" w:firstColumn="0" w:lastColumn="0" w:oddVBand="0" w:evenVBand="0" w:oddHBand="0" w:evenHBand="0" w:firstRowFirstColumn="0" w:firstRowLastColumn="0" w:lastRowFirstColumn="0" w:lastRowLastColumn="0"/>
          <w:trHeight w:val="398"/>
        </w:trPr>
        <w:tc>
          <w:tcPr>
            <w:tcW w:w="1985" w:type="dxa"/>
            <w:tcBorders>
              <w:bottom w:val="single" w:sz="18" w:space="0" w:color="E98E31" w:themeColor="background2"/>
            </w:tcBorders>
          </w:tcPr>
          <w:p w:rsidR="00245FF8" w:rsidRPr="002F528A" w:rsidRDefault="00245FF8" w:rsidP="00545DAD">
            <w:pPr>
              <w:pStyle w:val="BodyText1"/>
              <w:spacing w:before="60" w:after="60"/>
              <w:jc w:val="center"/>
              <w:rPr>
                <w:rFonts w:asciiTheme="majorHAnsi" w:hAnsiTheme="majorHAnsi" w:cs="Arial"/>
                <w:b/>
                <w:sz w:val="22"/>
                <w:szCs w:val="24"/>
              </w:rPr>
            </w:pPr>
            <w:r w:rsidRPr="002F528A">
              <w:rPr>
                <w:rFonts w:asciiTheme="majorHAnsi" w:hAnsiTheme="majorHAnsi" w:cs="Arial"/>
                <w:b/>
                <w:sz w:val="22"/>
                <w:szCs w:val="24"/>
              </w:rPr>
              <w:t>Credit assessment</w:t>
            </w:r>
          </w:p>
        </w:tc>
        <w:tc>
          <w:tcPr>
            <w:tcW w:w="12332" w:type="dxa"/>
            <w:tcBorders>
              <w:bottom w:val="single" w:sz="18" w:space="0" w:color="E98E31" w:themeColor="background2"/>
            </w:tcBorders>
          </w:tcPr>
          <w:p w:rsidR="00245FF8" w:rsidRPr="002F528A" w:rsidRDefault="00245FF8" w:rsidP="00545DAD">
            <w:pPr>
              <w:pStyle w:val="BodyText1"/>
              <w:spacing w:before="60" w:after="60"/>
              <w:jc w:val="center"/>
              <w:rPr>
                <w:rFonts w:asciiTheme="majorHAnsi" w:hAnsiTheme="majorHAnsi" w:cs="Arial"/>
                <w:b/>
                <w:sz w:val="22"/>
                <w:szCs w:val="24"/>
              </w:rPr>
            </w:pPr>
            <w:r w:rsidRPr="002F528A">
              <w:rPr>
                <w:rFonts w:asciiTheme="majorHAnsi" w:hAnsiTheme="majorHAnsi" w:cs="Arial"/>
                <w:b/>
                <w:sz w:val="22"/>
                <w:szCs w:val="24"/>
              </w:rPr>
              <w:t>Meaning of the credit assessment</w:t>
            </w:r>
          </w:p>
        </w:tc>
      </w:tr>
      <w:tr w:rsidR="00737A4C" w:rsidRPr="002F528A" w:rsidTr="00545DAD">
        <w:trPr>
          <w:trHeight w:val="567"/>
        </w:trPr>
        <w:tc>
          <w:tcPr>
            <w:tcW w:w="1985" w:type="dxa"/>
            <w:tcBorders>
              <w:top w:val="single" w:sz="18" w:space="0" w:color="E98E31" w:themeColor="background2"/>
              <w:bottom w:val="dashed" w:sz="4" w:space="0" w:color="auto"/>
            </w:tcBorders>
          </w:tcPr>
          <w:p w:rsidR="00737A4C" w:rsidRPr="00737A4C" w:rsidRDefault="00737A4C" w:rsidP="00545DAD">
            <w:pPr>
              <w:pStyle w:val="BodyText1"/>
              <w:spacing w:before="60" w:after="60"/>
              <w:jc w:val="center"/>
              <w:rPr>
                <w:rFonts w:asciiTheme="majorHAnsi" w:hAnsiTheme="majorHAnsi" w:cs="Arial"/>
                <w:sz w:val="22"/>
                <w:szCs w:val="24"/>
              </w:rPr>
            </w:pPr>
            <w:r w:rsidRPr="00545DAD">
              <w:rPr>
                <w:rFonts w:asciiTheme="majorHAnsi" w:hAnsiTheme="majorHAnsi" w:cs="Arial"/>
                <w:sz w:val="22"/>
                <w:szCs w:val="22"/>
              </w:rPr>
              <w:t>AAA</w:t>
            </w:r>
          </w:p>
        </w:tc>
        <w:tc>
          <w:tcPr>
            <w:tcW w:w="12332" w:type="dxa"/>
            <w:tcBorders>
              <w:top w:val="single" w:sz="18" w:space="0" w:color="E98E31" w:themeColor="background2"/>
              <w:bottom w:val="dashed" w:sz="4" w:space="0" w:color="auto"/>
            </w:tcBorders>
          </w:tcPr>
          <w:p w:rsidR="00737A4C" w:rsidRPr="00E43BEA" w:rsidRDefault="00737A4C" w:rsidP="00545DAD">
            <w:pPr>
              <w:pStyle w:val="BodyText1"/>
              <w:spacing w:before="60" w:after="60"/>
              <w:rPr>
                <w:rFonts w:asciiTheme="majorHAnsi" w:hAnsiTheme="majorHAnsi"/>
                <w:sz w:val="22"/>
              </w:rPr>
            </w:pPr>
            <w:r w:rsidRPr="00545DAD">
              <w:rPr>
                <w:rFonts w:asciiTheme="majorHAnsi" w:hAnsiTheme="majorHAnsi"/>
                <w:sz w:val="22"/>
              </w:rPr>
              <w:t xml:space="preserve">Exceptional financial strength. The insurer’s capacity for the payment of policyholder and contract obligations is considered exceptionally strong and unlikely to be undermined by adverse business and economic conditions. </w:t>
            </w:r>
          </w:p>
        </w:tc>
      </w:tr>
      <w:tr w:rsidR="00737A4C" w:rsidRPr="002F528A" w:rsidTr="00545DAD">
        <w:trPr>
          <w:trHeight w:val="567"/>
        </w:trPr>
        <w:tc>
          <w:tcPr>
            <w:tcW w:w="1985" w:type="dxa"/>
            <w:tcBorders>
              <w:bottom w:val="dashed" w:sz="4" w:space="0" w:color="auto"/>
            </w:tcBorders>
          </w:tcPr>
          <w:p w:rsidR="00737A4C" w:rsidRPr="00737A4C" w:rsidRDefault="00737A4C" w:rsidP="00545DAD">
            <w:pPr>
              <w:pStyle w:val="BodyText1"/>
              <w:spacing w:before="60" w:after="60"/>
              <w:jc w:val="center"/>
              <w:rPr>
                <w:rFonts w:asciiTheme="majorHAnsi" w:hAnsiTheme="majorHAnsi" w:cs="Arial"/>
                <w:sz w:val="22"/>
                <w:szCs w:val="24"/>
              </w:rPr>
            </w:pPr>
            <w:r w:rsidRPr="00545DAD">
              <w:rPr>
                <w:rFonts w:asciiTheme="majorHAnsi" w:hAnsiTheme="majorHAnsi" w:cs="Arial"/>
                <w:sz w:val="22"/>
                <w:szCs w:val="22"/>
              </w:rPr>
              <w:t>AA</w:t>
            </w:r>
          </w:p>
        </w:tc>
        <w:tc>
          <w:tcPr>
            <w:tcW w:w="12332" w:type="dxa"/>
            <w:tcBorders>
              <w:bottom w:val="dashed" w:sz="4" w:space="0" w:color="auto"/>
            </w:tcBorders>
          </w:tcPr>
          <w:p w:rsidR="00737A4C" w:rsidRPr="00E43BEA" w:rsidRDefault="00737A4C" w:rsidP="00545DAD">
            <w:pPr>
              <w:pStyle w:val="BodyText1"/>
              <w:spacing w:before="60" w:after="60"/>
              <w:rPr>
                <w:rFonts w:asciiTheme="majorHAnsi" w:hAnsiTheme="majorHAnsi"/>
                <w:sz w:val="22"/>
              </w:rPr>
            </w:pPr>
            <w:r w:rsidRPr="00545DAD">
              <w:rPr>
                <w:rFonts w:asciiTheme="majorHAnsi" w:hAnsiTheme="majorHAnsi"/>
                <w:sz w:val="22"/>
              </w:rPr>
              <w:t xml:space="preserve">Excellent financial strength. The insurer’s capacity for the payment of policyholder and contract obligations is considered excellent. Financial strength differs from AAA only to a small degree. Unlikely to be significantly vulnerable to adverse business and economic conditions. </w:t>
            </w:r>
          </w:p>
        </w:tc>
      </w:tr>
      <w:tr w:rsidR="00737A4C" w:rsidRPr="002F528A" w:rsidTr="00545DAD">
        <w:trPr>
          <w:trHeight w:val="567"/>
        </w:trPr>
        <w:tc>
          <w:tcPr>
            <w:tcW w:w="1985" w:type="dxa"/>
            <w:tcBorders>
              <w:bottom w:val="dashed" w:sz="4" w:space="0" w:color="auto"/>
            </w:tcBorders>
          </w:tcPr>
          <w:p w:rsidR="00737A4C" w:rsidRPr="00737A4C" w:rsidRDefault="00737A4C" w:rsidP="00545DAD">
            <w:pPr>
              <w:pStyle w:val="BodyText1"/>
              <w:spacing w:before="60" w:after="60"/>
              <w:jc w:val="center"/>
              <w:rPr>
                <w:rFonts w:asciiTheme="majorHAnsi" w:hAnsiTheme="majorHAnsi" w:cs="Arial"/>
                <w:sz w:val="22"/>
                <w:szCs w:val="24"/>
              </w:rPr>
            </w:pPr>
            <w:r w:rsidRPr="00545DAD">
              <w:rPr>
                <w:rFonts w:asciiTheme="majorHAnsi" w:hAnsiTheme="majorHAnsi" w:cs="Arial"/>
                <w:sz w:val="22"/>
                <w:szCs w:val="22"/>
              </w:rPr>
              <w:t>A</w:t>
            </w:r>
          </w:p>
        </w:tc>
        <w:tc>
          <w:tcPr>
            <w:tcW w:w="12332" w:type="dxa"/>
            <w:tcBorders>
              <w:bottom w:val="dashed" w:sz="4" w:space="0" w:color="auto"/>
            </w:tcBorders>
          </w:tcPr>
          <w:p w:rsidR="00737A4C" w:rsidRPr="00E43BEA" w:rsidRDefault="00737A4C" w:rsidP="00545DAD">
            <w:pPr>
              <w:pStyle w:val="BodyText1"/>
              <w:spacing w:before="60" w:after="60"/>
              <w:rPr>
                <w:rFonts w:asciiTheme="majorHAnsi" w:hAnsiTheme="majorHAnsi"/>
                <w:sz w:val="22"/>
              </w:rPr>
            </w:pPr>
            <w:r w:rsidRPr="00545DAD">
              <w:rPr>
                <w:rFonts w:asciiTheme="majorHAnsi" w:hAnsiTheme="majorHAnsi"/>
                <w:sz w:val="22"/>
              </w:rPr>
              <w:t xml:space="preserve">Good financial strength. The insurer’s capacity for the payment of policyholder and contract obligations is substantial, but of lesser financial strength than AA. May be vulnerable to adverse business and economic conditions, but qualifying negative factors are considered manageable. </w:t>
            </w:r>
          </w:p>
        </w:tc>
      </w:tr>
      <w:tr w:rsidR="00737A4C" w:rsidRPr="002F528A" w:rsidTr="00545DAD">
        <w:trPr>
          <w:trHeight w:val="567"/>
        </w:trPr>
        <w:tc>
          <w:tcPr>
            <w:tcW w:w="1985" w:type="dxa"/>
          </w:tcPr>
          <w:p w:rsidR="00737A4C" w:rsidRPr="00737A4C" w:rsidRDefault="00737A4C" w:rsidP="00545DAD">
            <w:pPr>
              <w:pStyle w:val="BodyText1"/>
              <w:spacing w:before="60" w:after="60"/>
              <w:jc w:val="center"/>
              <w:rPr>
                <w:rFonts w:asciiTheme="majorHAnsi" w:hAnsiTheme="majorHAnsi" w:cs="Arial"/>
                <w:sz w:val="22"/>
                <w:szCs w:val="24"/>
              </w:rPr>
            </w:pPr>
            <w:r w:rsidRPr="00545DAD">
              <w:rPr>
                <w:rFonts w:asciiTheme="majorHAnsi" w:hAnsiTheme="majorHAnsi" w:cs="Arial"/>
                <w:sz w:val="22"/>
                <w:szCs w:val="22"/>
              </w:rPr>
              <w:t>BBB</w:t>
            </w:r>
          </w:p>
        </w:tc>
        <w:tc>
          <w:tcPr>
            <w:tcW w:w="12332" w:type="dxa"/>
          </w:tcPr>
          <w:p w:rsidR="00737A4C" w:rsidRPr="00E43BEA" w:rsidRDefault="00737A4C" w:rsidP="00545DAD">
            <w:pPr>
              <w:pStyle w:val="BodyText1"/>
              <w:spacing w:before="60" w:after="60"/>
              <w:rPr>
                <w:rFonts w:asciiTheme="majorHAnsi" w:hAnsiTheme="majorHAnsi"/>
                <w:sz w:val="22"/>
              </w:rPr>
            </w:pPr>
            <w:r w:rsidRPr="00545DAD">
              <w:rPr>
                <w:rFonts w:asciiTheme="majorHAnsi" w:hAnsiTheme="majorHAnsi"/>
                <w:sz w:val="22"/>
              </w:rPr>
              <w:t xml:space="preserve">Adequate financial strength. The insurer’s capacity for the payment of policyholder and contract obligations is considered acceptable. May be vulnerable to adverse business or economic conditions. </w:t>
            </w:r>
          </w:p>
        </w:tc>
      </w:tr>
      <w:tr w:rsidR="00737A4C" w:rsidRPr="002F528A" w:rsidTr="00545DAD">
        <w:trPr>
          <w:trHeight w:val="567"/>
        </w:trPr>
        <w:tc>
          <w:tcPr>
            <w:tcW w:w="1985" w:type="dxa"/>
          </w:tcPr>
          <w:p w:rsidR="00737A4C" w:rsidRPr="00737A4C" w:rsidRDefault="00737A4C" w:rsidP="00545DAD">
            <w:pPr>
              <w:pStyle w:val="BodyText1"/>
              <w:spacing w:before="60" w:after="60"/>
              <w:jc w:val="center"/>
              <w:rPr>
                <w:rFonts w:asciiTheme="majorHAnsi" w:hAnsiTheme="majorHAnsi" w:cs="Arial"/>
                <w:sz w:val="22"/>
                <w:szCs w:val="24"/>
              </w:rPr>
            </w:pPr>
            <w:r w:rsidRPr="00545DAD">
              <w:rPr>
                <w:rFonts w:asciiTheme="majorHAnsi" w:hAnsiTheme="majorHAnsi" w:cs="Arial"/>
                <w:sz w:val="22"/>
                <w:szCs w:val="22"/>
              </w:rPr>
              <w:t>BB</w:t>
            </w:r>
          </w:p>
        </w:tc>
        <w:tc>
          <w:tcPr>
            <w:tcW w:w="12332" w:type="dxa"/>
          </w:tcPr>
          <w:p w:rsidR="00737A4C" w:rsidRPr="00E43BEA" w:rsidRDefault="00737A4C" w:rsidP="00545DAD">
            <w:pPr>
              <w:pStyle w:val="BodyText1"/>
              <w:spacing w:before="60" w:after="60"/>
              <w:rPr>
                <w:rFonts w:asciiTheme="majorHAnsi" w:hAnsiTheme="majorHAnsi"/>
                <w:sz w:val="22"/>
              </w:rPr>
            </w:pPr>
            <w:r w:rsidRPr="00545DAD">
              <w:rPr>
                <w:rFonts w:asciiTheme="majorHAnsi" w:hAnsiTheme="majorHAnsi"/>
                <w:sz w:val="22"/>
              </w:rPr>
              <w:t xml:space="preserve">Weak financial strength. The insurer’s capacity for the payment of policyholder and contract obligations is uncertain over the long term. Vulnerable to adverse business or economic conditions. </w:t>
            </w:r>
          </w:p>
        </w:tc>
      </w:tr>
      <w:tr w:rsidR="00737A4C" w:rsidRPr="002F528A" w:rsidTr="00545DAD">
        <w:trPr>
          <w:trHeight w:val="567"/>
        </w:trPr>
        <w:tc>
          <w:tcPr>
            <w:tcW w:w="1985" w:type="dxa"/>
          </w:tcPr>
          <w:p w:rsidR="00737A4C" w:rsidRPr="00737A4C" w:rsidRDefault="00737A4C" w:rsidP="00545DAD">
            <w:pPr>
              <w:pStyle w:val="BodyText1"/>
              <w:spacing w:before="60" w:after="60"/>
              <w:jc w:val="center"/>
              <w:rPr>
                <w:rFonts w:asciiTheme="majorHAnsi" w:hAnsiTheme="majorHAnsi" w:cs="Arial"/>
                <w:sz w:val="22"/>
                <w:szCs w:val="24"/>
              </w:rPr>
            </w:pPr>
            <w:r w:rsidRPr="00545DAD">
              <w:rPr>
                <w:rFonts w:asciiTheme="majorHAnsi" w:hAnsiTheme="majorHAnsi" w:cs="Arial"/>
                <w:sz w:val="22"/>
                <w:szCs w:val="22"/>
              </w:rPr>
              <w:t>B</w:t>
            </w:r>
          </w:p>
        </w:tc>
        <w:tc>
          <w:tcPr>
            <w:tcW w:w="12332" w:type="dxa"/>
            <w:vAlign w:val="top"/>
          </w:tcPr>
          <w:p w:rsidR="00737A4C" w:rsidRPr="00E43BEA" w:rsidRDefault="00737A4C" w:rsidP="00545DAD">
            <w:pPr>
              <w:pStyle w:val="BodyText1"/>
              <w:spacing w:before="60" w:after="60"/>
              <w:rPr>
                <w:rFonts w:asciiTheme="majorHAnsi" w:hAnsiTheme="majorHAnsi"/>
                <w:sz w:val="22"/>
              </w:rPr>
            </w:pPr>
            <w:r w:rsidRPr="00545DAD">
              <w:rPr>
                <w:rFonts w:asciiTheme="majorHAnsi" w:hAnsiTheme="majorHAnsi"/>
                <w:sz w:val="22"/>
              </w:rPr>
              <w:t xml:space="preserve">Very weak financial strength. There is a high level of uncertainty as to the capacity of the insurer to meet policyholder and contract obligations. </w:t>
            </w:r>
          </w:p>
        </w:tc>
      </w:tr>
      <w:tr w:rsidR="00737A4C" w:rsidRPr="002F528A" w:rsidTr="00545DAD">
        <w:trPr>
          <w:trHeight w:val="567"/>
        </w:trPr>
        <w:tc>
          <w:tcPr>
            <w:tcW w:w="1985" w:type="dxa"/>
          </w:tcPr>
          <w:p w:rsidR="00737A4C" w:rsidRPr="00545DAD" w:rsidRDefault="00737A4C" w:rsidP="00545DAD">
            <w:pPr>
              <w:pStyle w:val="BodyText1"/>
              <w:spacing w:before="60" w:after="60"/>
              <w:jc w:val="center"/>
              <w:rPr>
                <w:rFonts w:asciiTheme="majorHAnsi" w:hAnsiTheme="majorHAnsi" w:cs="Arial"/>
                <w:sz w:val="22"/>
                <w:szCs w:val="22"/>
              </w:rPr>
            </w:pPr>
            <w:r w:rsidRPr="00545DAD">
              <w:rPr>
                <w:rFonts w:asciiTheme="majorHAnsi" w:hAnsiTheme="majorHAnsi" w:cs="Arial"/>
                <w:sz w:val="22"/>
                <w:szCs w:val="22"/>
              </w:rPr>
              <w:t>CCC/CC/C</w:t>
            </w:r>
          </w:p>
        </w:tc>
        <w:tc>
          <w:tcPr>
            <w:tcW w:w="12332" w:type="dxa"/>
            <w:vAlign w:val="top"/>
          </w:tcPr>
          <w:p w:rsidR="00737A4C" w:rsidRPr="00E43BEA" w:rsidDel="00737A4C" w:rsidRDefault="00737A4C" w:rsidP="00545DAD">
            <w:pPr>
              <w:pStyle w:val="BodyText1"/>
              <w:spacing w:before="60" w:after="60"/>
              <w:rPr>
                <w:rFonts w:asciiTheme="majorHAnsi" w:hAnsiTheme="majorHAnsi"/>
                <w:sz w:val="22"/>
              </w:rPr>
            </w:pPr>
            <w:r w:rsidRPr="00545DAD">
              <w:rPr>
                <w:rFonts w:asciiTheme="majorHAnsi" w:hAnsiTheme="majorHAnsi"/>
                <w:sz w:val="22"/>
              </w:rPr>
              <w:t>Exceptionally weak financial strength. There is a very high level of uncertainty in the insurer’s capacity to meet policyholder and contract obligations. The risk of the insurer failing to pay policyholder and contract obligations is significantly elevated. There is little difference between these three categories. The CC and C ratings carry greater degrees of risk than CCC ratings, and insurers with such ratings are seen as highly likely to be unable to meet their policy obligations. Insurers that face inevitable default or risk being put under regulatory control may be rated in the C category.</w:t>
            </w:r>
          </w:p>
        </w:tc>
      </w:tr>
      <w:tr w:rsidR="00737A4C" w:rsidRPr="002F528A" w:rsidTr="00545DAD">
        <w:trPr>
          <w:trHeight w:val="567"/>
        </w:trPr>
        <w:tc>
          <w:tcPr>
            <w:tcW w:w="1985" w:type="dxa"/>
          </w:tcPr>
          <w:p w:rsidR="00737A4C" w:rsidRPr="00545DAD" w:rsidRDefault="00737A4C" w:rsidP="00545DAD">
            <w:pPr>
              <w:pStyle w:val="BodyText1"/>
              <w:spacing w:before="60" w:after="60"/>
              <w:jc w:val="center"/>
              <w:rPr>
                <w:rFonts w:asciiTheme="majorHAnsi" w:hAnsiTheme="majorHAnsi" w:cs="Arial"/>
                <w:sz w:val="22"/>
                <w:szCs w:val="22"/>
              </w:rPr>
            </w:pPr>
            <w:r w:rsidRPr="00545DAD">
              <w:rPr>
                <w:rFonts w:asciiTheme="majorHAnsi" w:hAnsiTheme="majorHAnsi" w:cs="Arial"/>
                <w:sz w:val="22"/>
                <w:szCs w:val="22"/>
              </w:rPr>
              <w:t>R</w:t>
            </w:r>
          </w:p>
        </w:tc>
        <w:tc>
          <w:tcPr>
            <w:tcW w:w="12332" w:type="dxa"/>
            <w:vAlign w:val="top"/>
          </w:tcPr>
          <w:p w:rsidR="00737A4C" w:rsidRPr="00E43BEA" w:rsidDel="00737A4C" w:rsidRDefault="00737A4C" w:rsidP="00545DAD">
            <w:pPr>
              <w:pStyle w:val="BodyText1"/>
              <w:spacing w:before="60" w:after="60"/>
              <w:rPr>
                <w:rFonts w:asciiTheme="majorHAnsi" w:hAnsiTheme="majorHAnsi"/>
                <w:sz w:val="22"/>
              </w:rPr>
            </w:pPr>
            <w:r w:rsidRPr="00545DAD">
              <w:rPr>
                <w:rFonts w:asciiTheme="majorHAnsi" w:hAnsiTheme="majorHAnsi"/>
                <w:sz w:val="22"/>
              </w:rPr>
              <w:t>Regulatory supervision. The insurer is under the supervision of a regulator and a resolution to determine its future is pending. In these situations, the company may be rescued through a sale to another insurer; it may become bankrupt, insolvent or subject to a winding-up statute; or it may be liquidated or put into run-off.</w:t>
            </w:r>
          </w:p>
        </w:tc>
      </w:tr>
    </w:tbl>
    <w:p w:rsidR="009465F5" w:rsidRDefault="00B16A01" w:rsidP="00547E34">
      <w:pPr>
        <w:pStyle w:val="FootnoteText"/>
      </w:pPr>
      <w:bookmarkStart w:id="10" w:name="_Ref384802409"/>
      <w:r>
        <w:t>Source: DBRS</w:t>
      </w:r>
      <w:r w:rsidR="009465F5">
        <w:br w:type="page"/>
      </w:r>
    </w:p>
    <w:p w:rsidR="009465F5" w:rsidRDefault="009465F5" w:rsidP="009465F5">
      <w:pPr>
        <w:pStyle w:val="FootnoteText"/>
      </w:pPr>
    </w:p>
    <w:p w:rsidR="00B16A01" w:rsidRDefault="00B16A01" w:rsidP="004C48AE">
      <w:pPr>
        <w:pStyle w:val="FootnoteText"/>
      </w:pPr>
    </w:p>
    <w:p w:rsidR="00245FF8" w:rsidRPr="00AA7E36" w:rsidRDefault="0041788D" w:rsidP="00CD7BD7">
      <w:pPr>
        <w:pStyle w:val="Figuretitle"/>
      </w:pPr>
      <w:bookmarkStart w:id="11" w:name="_Ref388972218"/>
      <w:r w:rsidRPr="0041788D">
        <w:rPr>
          <w:szCs w:val="22"/>
        </w:rPr>
        <w:t xml:space="preserve">Figure </w:t>
      </w:r>
      <w:bookmarkEnd w:id="10"/>
      <w:bookmarkEnd w:id="11"/>
      <w:r w:rsidR="0082161F">
        <w:rPr>
          <w:szCs w:val="22"/>
        </w:rPr>
        <w:t>6</w:t>
      </w:r>
      <w:r w:rsidR="00C45D4A">
        <w:t>:</w:t>
      </w:r>
      <w:r w:rsidR="00245FF8" w:rsidRPr="002F528A">
        <w:t xml:space="preserve"> Internal relationship between </w:t>
      </w:r>
      <w:r w:rsidR="00B16A01">
        <w:t>DBRS</w:t>
      </w:r>
      <w:r w:rsidR="00E43BEA">
        <w:t>’</w:t>
      </w:r>
      <w:r w:rsidR="00245FF8" w:rsidRPr="002F528A">
        <w:t xml:space="preserve"> </w:t>
      </w:r>
      <w:r w:rsidR="00B778A1">
        <w:t>l</w:t>
      </w:r>
      <w:r w:rsidR="00245FF8" w:rsidRPr="002F528A">
        <w:t>ong-ter</w:t>
      </w:r>
      <w:r w:rsidR="00B778A1">
        <w:t>m and short-term ratings</w:t>
      </w:r>
      <w:r w:rsidR="009F67F0">
        <w:t xml:space="preserve"> scales</w:t>
      </w:r>
    </w:p>
    <w:tbl>
      <w:tblPr>
        <w:tblW w:w="10871" w:type="dxa"/>
        <w:tblInd w:w="108" w:type="dxa"/>
        <w:tblLook w:val="04A0" w:firstRow="1" w:lastRow="0" w:firstColumn="1" w:lastColumn="0" w:noHBand="0" w:noVBand="1"/>
      </w:tblPr>
      <w:tblGrid>
        <w:gridCol w:w="3544"/>
        <w:gridCol w:w="479"/>
        <w:gridCol w:w="320"/>
        <w:gridCol w:w="907"/>
        <w:gridCol w:w="709"/>
        <w:gridCol w:w="850"/>
        <w:gridCol w:w="851"/>
        <w:gridCol w:w="769"/>
        <w:gridCol w:w="769"/>
        <w:gridCol w:w="596"/>
        <w:gridCol w:w="352"/>
        <w:gridCol w:w="246"/>
        <w:gridCol w:w="479"/>
      </w:tblGrid>
      <w:tr w:rsidR="00B773DF" w:rsidRPr="00AD0988" w:rsidTr="00377254">
        <w:trPr>
          <w:trHeight w:val="300"/>
        </w:trPr>
        <w:tc>
          <w:tcPr>
            <w:tcW w:w="3544" w:type="dxa"/>
            <w:tcBorders>
              <w:bottom w:val="single" w:sz="18" w:space="0" w:color="E98E31" w:themeColor="background2"/>
            </w:tcBorders>
            <w:shd w:val="clear" w:color="auto" w:fill="auto"/>
            <w:noWrap/>
            <w:vAlign w:val="bottom"/>
            <w:hideMark/>
          </w:tcPr>
          <w:p w:rsidR="00B773DF" w:rsidRPr="00AD0988" w:rsidRDefault="00B773DF" w:rsidP="00E43BEA">
            <w:pPr>
              <w:spacing w:before="40" w:after="40"/>
              <w:jc w:val="center"/>
              <w:rPr>
                <w:rFonts w:asciiTheme="majorHAnsi" w:hAnsiTheme="majorHAnsi"/>
                <w:b/>
                <w:bCs/>
                <w:color w:val="000000"/>
                <w:szCs w:val="22"/>
              </w:rPr>
            </w:pPr>
            <w:r w:rsidRPr="00AD0988">
              <w:rPr>
                <w:rFonts w:asciiTheme="majorHAnsi" w:hAnsiTheme="majorHAnsi"/>
                <w:b/>
                <w:bCs/>
                <w:color w:val="000000"/>
                <w:szCs w:val="22"/>
              </w:rPr>
              <w:t xml:space="preserve">Long-term </w:t>
            </w:r>
            <w:r>
              <w:rPr>
                <w:rFonts w:asciiTheme="majorHAnsi" w:hAnsiTheme="majorHAnsi"/>
                <w:b/>
                <w:bCs/>
                <w:color w:val="000000"/>
                <w:szCs w:val="22"/>
              </w:rPr>
              <w:t>obligations</w:t>
            </w:r>
            <w:r w:rsidRPr="00AD0988">
              <w:rPr>
                <w:rFonts w:asciiTheme="majorHAnsi" w:hAnsiTheme="majorHAnsi"/>
                <w:b/>
                <w:bCs/>
                <w:color w:val="000000"/>
                <w:szCs w:val="22"/>
              </w:rPr>
              <w:t xml:space="preserve"> ratings</w:t>
            </w:r>
            <w:r w:rsidR="009F67F0">
              <w:rPr>
                <w:rFonts w:asciiTheme="majorHAnsi" w:hAnsiTheme="majorHAnsi"/>
                <w:b/>
                <w:bCs/>
                <w:color w:val="000000"/>
                <w:szCs w:val="22"/>
              </w:rPr>
              <w:t xml:space="preserve"> scale</w:t>
            </w:r>
          </w:p>
        </w:tc>
        <w:tc>
          <w:tcPr>
            <w:tcW w:w="479" w:type="dxa"/>
            <w:tcBorders>
              <w:bottom w:val="single" w:sz="18" w:space="0" w:color="E98E31" w:themeColor="background2"/>
            </w:tcBorders>
          </w:tcPr>
          <w:p w:rsidR="00B773DF" w:rsidRPr="00E43BEA" w:rsidRDefault="00B773DF" w:rsidP="002613A6">
            <w:pPr>
              <w:spacing w:before="40" w:after="40"/>
              <w:jc w:val="center"/>
              <w:rPr>
                <w:rFonts w:asciiTheme="majorHAnsi" w:hAnsiTheme="majorHAnsi"/>
                <w:b/>
                <w:bCs/>
                <w:color w:val="000000"/>
                <w:szCs w:val="22"/>
              </w:rPr>
            </w:pPr>
          </w:p>
        </w:tc>
        <w:tc>
          <w:tcPr>
            <w:tcW w:w="6848" w:type="dxa"/>
            <w:gridSpan w:val="11"/>
            <w:tcBorders>
              <w:bottom w:val="single" w:sz="18" w:space="0" w:color="E98E31" w:themeColor="background2"/>
            </w:tcBorders>
            <w:shd w:val="clear" w:color="auto" w:fill="auto"/>
            <w:noWrap/>
            <w:vAlign w:val="bottom"/>
            <w:hideMark/>
          </w:tcPr>
          <w:p w:rsidR="00B773DF" w:rsidRPr="00AD0988" w:rsidRDefault="00B773DF" w:rsidP="002613A6">
            <w:pPr>
              <w:spacing w:before="40" w:after="40"/>
              <w:jc w:val="center"/>
              <w:rPr>
                <w:rFonts w:asciiTheme="majorHAnsi" w:hAnsiTheme="majorHAnsi"/>
                <w:b/>
                <w:bCs/>
                <w:color w:val="000000"/>
                <w:szCs w:val="22"/>
              </w:rPr>
            </w:pPr>
            <w:r w:rsidRPr="00E43BEA">
              <w:rPr>
                <w:rFonts w:asciiTheme="majorHAnsi" w:hAnsiTheme="majorHAnsi"/>
                <w:b/>
                <w:bCs/>
                <w:color w:val="000000"/>
                <w:szCs w:val="22"/>
              </w:rPr>
              <w:t>Commercial paper and short-term debt rating scale</w:t>
            </w:r>
          </w:p>
        </w:tc>
      </w:tr>
      <w:tr w:rsidR="00B773DF" w:rsidRPr="00AD0988" w:rsidTr="00377254">
        <w:trPr>
          <w:trHeight w:val="300"/>
        </w:trPr>
        <w:tc>
          <w:tcPr>
            <w:tcW w:w="3544" w:type="dxa"/>
            <w:tcBorders>
              <w:top w:val="single" w:sz="18" w:space="0" w:color="E98E31" w:themeColor="background2"/>
            </w:tcBorders>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AAA</w:t>
            </w:r>
          </w:p>
        </w:tc>
        <w:tc>
          <w:tcPr>
            <w:tcW w:w="799" w:type="dxa"/>
            <w:gridSpan w:val="2"/>
            <w:vMerge w:val="restart"/>
            <w:tcBorders>
              <w:top w:val="single" w:sz="18" w:space="0" w:color="E98E31" w:themeColor="background2"/>
            </w:tcBorders>
            <w:shd w:val="clear" w:color="auto" w:fill="auto"/>
            <w:noWrap/>
            <w:vAlign w:val="center"/>
            <w:hideMark/>
          </w:tcPr>
          <w:p w:rsidR="00B773DF" w:rsidRPr="00AD0988" w:rsidRDefault="00B773DF" w:rsidP="00E43BEA">
            <w:pPr>
              <w:spacing w:before="40" w:after="40"/>
              <w:jc w:val="center"/>
              <w:rPr>
                <w:rFonts w:asciiTheme="majorHAnsi" w:hAnsiTheme="majorHAnsi"/>
                <w:color w:val="000000"/>
                <w:szCs w:val="22"/>
              </w:rPr>
            </w:pPr>
            <w:r>
              <w:rPr>
                <w:rFonts w:asciiTheme="majorHAnsi" w:hAnsiTheme="majorHAnsi"/>
                <w:color w:val="000000"/>
                <w:szCs w:val="22"/>
              </w:rPr>
              <w:t>R-</w:t>
            </w:r>
            <w:r w:rsidRPr="00AD0988">
              <w:rPr>
                <w:rFonts w:asciiTheme="majorHAnsi" w:hAnsiTheme="majorHAnsi"/>
                <w:color w:val="000000"/>
                <w:szCs w:val="22"/>
              </w:rPr>
              <w:t>1</w:t>
            </w:r>
            <w:r>
              <w:rPr>
                <w:rFonts w:asciiTheme="majorHAnsi" w:hAnsiTheme="majorHAnsi"/>
                <w:color w:val="000000"/>
                <w:szCs w:val="22"/>
              </w:rPr>
              <w:t xml:space="preserve"> H</w:t>
            </w:r>
          </w:p>
        </w:tc>
        <w:tc>
          <w:tcPr>
            <w:tcW w:w="907" w:type="dxa"/>
            <w:tcBorders>
              <w:top w:val="single" w:sz="18" w:space="0" w:color="E98E31" w:themeColor="background2"/>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tcBorders>
              <w:top w:val="single" w:sz="18" w:space="0" w:color="E98E31" w:themeColor="background2"/>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tcBorders>
              <w:top w:val="single" w:sz="18" w:space="0" w:color="E98E31" w:themeColor="background2"/>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tcBorders>
              <w:top w:val="single" w:sz="18" w:space="0" w:color="E98E31" w:themeColor="background2"/>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single" w:sz="18" w:space="0" w:color="E98E31" w:themeColor="background2"/>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single" w:sz="18" w:space="0" w:color="E98E31" w:themeColor="background2"/>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tcBorders>
              <w:top w:val="single" w:sz="18" w:space="0" w:color="E98E31" w:themeColor="background2"/>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top w:val="single" w:sz="18" w:space="0" w:color="E98E31" w:themeColor="background2"/>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tcBorders>
              <w:top w:val="single" w:sz="18" w:space="0" w:color="E98E31" w:themeColor="background2"/>
            </w:tcBorders>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tcBorders>
              <w:top w:val="single" w:sz="18" w:space="0" w:color="E98E31" w:themeColor="background2"/>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tcBorders>
              <w:top w:val="nil"/>
            </w:tcBorders>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AA (high)</w:t>
            </w:r>
          </w:p>
        </w:tc>
        <w:tc>
          <w:tcPr>
            <w:tcW w:w="799" w:type="dxa"/>
            <w:gridSpan w:val="2"/>
            <w:vMerge/>
            <w:shd w:val="clear" w:color="auto" w:fill="auto"/>
            <w:vAlign w:val="center"/>
            <w:hideMark/>
          </w:tcPr>
          <w:p w:rsidR="00B773DF" w:rsidRPr="00AD0988" w:rsidRDefault="00B773DF" w:rsidP="002613A6">
            <w:pPr>
              <w:spacing w:before="40" w:after="40"/>
              <w:rPr>
                <w:rFonts w:asciiTheme="majorHAnsi" w:hAnsiTheme="majorHAnsi"/>
                <w:color w:val="000000"/>
                <w:szCs w:val="22"/>
              </w:rPr>
            </w:pPr>
          </w:p>
        </w:tc>
        <w:tc>
          <w:tcPr>
            <w:tcW w:w="907" w:type="dxa"/>
            <w:tcBorders>
              <w:top w:val="nil"/>
            </w:tcBorders>
            <w:shd w:val="clear" w:color="auto" w:fill="F2F2F2" w:themeFill="background1" w:themeFillShade="F2"/>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tcBorders>
              <w:top w:val="nil"/>
            </w:tcBorders>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tcBorders>
              <w:top w:val="nil"/>
            </w:tcBorders>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AA</w:t>
            </w:r>
          </w:p>
        </w:tc>
        <w:tc>
          <w:tcPr>
            <w:tcW w:w="799" w:type="dxa"/>
            <w:gridSpan w:val="2"/>
            <w:tcBorders>
              <w:top w:val="nil"/>
            </w:tcBorders>
            <w:shd w:val="clear" w:color="auto" w:fill="F2F2F2" w:themeFill="background1" w:themeFillShade="F2"/>
            <w:vAlign w:val="center"/>
            <w:hideMark/>
          </w:tcPr>
          <w:p w:rsidR="00B773DF" w:rsidRPr="00AD0988" w:rsidRDefault="00B773DF" w:rsidP="002613A6">
            <w:pPr>
              <w:spacing w:before="40" w:after="40"/>
              <w:rPr>
                <w:rFonts w:asciiTheme="majorHAnsi" w:hAnsiTheme="majorHAnsi"/>
                <w:color w:val="000000"/>
                <w:szCs w:val="22"/>
              </w:rPr>
            </w:pPr>
          </w:p>
        </w:tc>
        <w:tc>
          <w:tcPr>
            <w:tcW w:w="907" w:type="dxa"/>
            <w:vMerge w:val="restart"/>
            <w:tcBorders>
              <w:top w:val="nil"/>
            </w:tcBorders>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r>
              <w:rPr>
                <w:rFonts w:asciiTheme="majorHAnsi" w:hAnsiTheme="majorHAnsi"/>
                <w:color w:val="000000"/>
                <w:szCs w:val="22"/>
              </w:rPr>
              <w:t>R-1 M</w:t>
            </w:r>
          </w:p>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tcBorders>
              <w:top w:val="nil"/>
            </w:tcBorders>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tcBorders>
              <w:top w:val="nil"/>
            </w:tcBorders>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AA (low)</w:t>
            </w:r>
          </w:p>
        </w:tc>
        <w:tc>
          <w:tcPr>
            <w:tcW w:w="799" w:type="dxa"/>
            <w:gridSpan w:val="2"/>
            <w:tcBorders>
              <w:top w:val="nil"/>
            </w:tcBorders>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907" w:type="dxa"/>
            <w:vMerge/>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709" w:type="dxa"/>
            <w:tcBorders>
              <w:top w:val="nil"/>
            </w:tcBorders>
            <w:shd w:val="clear" w:color="auto" w:fill="F2F2F2" w:themeFill="background1" w:themeFillShade="F2"/>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tcBorders>
              <w:top w:val="nil"/>
            </w:tcBorders>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tcBorders>
              <w:top w:val="nil"/>
            </w:tcBorders>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A (high)</w:t>
            </w:r>
          </w:p>
        </w:tc>
        <w:tc>
          <w:tcPr>
            <w:tcW w:w="799" w:type="dxa"/>
            <w:gridSpan w:val="2"/>
            <w:shd w:val="clear" w:color="auto" w:fill="D9D9D9" w:themeFill="background1" w:themeFillShade="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auto" w:fill="F2F2F2" w:themeFill="background1" w:themeFillShade="F2"/>
            <w:noWrap/>
            <w:vAlign w:val="center"/>
          </w:tcPr>
          <w:p w:rsidR="00B773DF" w:rsidRPr="00AD0988" w:rsidRDefault="00B773DF" w:rsidP="002613A6">
            <w:pPr>
              <w:spacing w:before="40" w:after="40"/>
              <w:jc w:val="center"/>
              <w:rPr>
                <w:rFonts w:asciiTheme="majorHAnsi" w:hAnsiTheme="majorHAnsi"/>
                <w:color w:val="000000"/>
                <w:szCs w:val="22"/>
              </w:rPr>
            </w:pPr>
          </w:p>
        </w:tc>
        <w:tc>
          <w:tcPr>
            <w:tcW w:w="709" w:type="dxa"/>
            <w:vMerge w:val="restart"/>
            <w:shd w:val="clear" w:color="auto" w:fill="FFFFFF" w:themeFill="background1"/>
            <w:noWrap/>
            <w:vAlign w:val="center"/>
          </w:tcPr>
          <w:p w:rsidR="00B773DF" w:rsidRPr="00AD0988" w:rsidRDefault="00B773DF" w:rsidP="002613A6">
            <w:pPr>
              <w:spacing w:before="40" w:after="40"/>
              <w:jc w:val="center"/>
              <w:rPr>
                <w:rFonts w:asciiTheme="majorHAnsi" w:hAnsiTheme="majorHAnsi"/>
                <w:color w:val="000000"/>
                <w:szCs w:val="22"/>
              </w:rPr>
            </w:pPr>
            <w:r>
              <w:rPr>
                <w:rFonts w:asciiTheme="majorHAnsi" w:hAnsiTheme="majorHAnsi"/>
                <w:color w:val="000000"/>
                <w:szCs w:val="22"/>
              </w:rPr>
              <w:t>R-1 L</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A</w:t>
            </w:r>
          </w:p>
        </w:tc>
        <w:tc>
          <w:tcPr>
            <w:tcW w:w="799" w:type="dxa"/>
            <w:gridSpan w:val="2"/>
            <w:shd w:val="clear" w:color="auto" w:fill="D9D9D9" w:themeFill="background1" w:themeFillShade="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auto" w:fill="D9D9D9" w:themeFill="background1" w:themeFillShade="D9"/>
            <w:vAlign w:val="center"/>
          </w:tcPr>
          <w:p w:rsidR="00B773DF" w:rsidRPr="00AD0988" w:rsidRDefault="00B773DF" w:rsidP="002613A6">
            <w:pPr>
              <w:spacing w:before="40" w:after="40"/>
              <w:rPr>
                <w:rFonts w:asciiTheme="majorHAnsi" w:hAnsiTheme="majorHAnsi"/>
                <w:color w:val="000000"/>
                <w:szCs w:val="22"/>
              </w:rPr>
            </w:pPr>
          </w:p>
        </w:tc>
        <w:tc>
          <w:tcPr>
            <w:tcW w:w="709" w:type="dxa"/>
            <w:vMerge/>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A (low)</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auto" w:fill="D9D9D9" w:themeFill="background1" w:themeFillShade="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vMerge/>
            <w:shd w:val="clear" w:color="auto" w:fill="FFFFFF" w:themeFill="background1"/>
            <w:vAlign w:val="center"/>
            <w:hideMark/>
          </w:tcPr>
          <w:p w:rsidR="00B773DF" w:rsidRPr="00AD0988" w:rsidRDefault="00B773DF" w:rsidP="002613A6">
            <w:pPr>
              <w:spacing w:before="40" w:after="40"/>
              <w:rPr>
                <w:rFonts w:asciiTheme="majorHAnsi" w:hAnsiTheme="majorHAnsi"/>
                <w:color w:val="000000"/>
                <w:szCs w:val="22"/>
              </w:rPr>
            </w:pPr>
          </w:p>
        </w:tc>
        <w:tc>
          <w:tcPr>
            <w:tcW w:w="850" w:type="dxa"/>
            <w:shd w:val="clear" w:color="auto" w:fill="F2F2F2" w:themeFill="background1" w:themeFillShade="F2"/>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BBB (high)</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auto" w:fill="D9D9D9" w:themeFill="background1" w:themeFillShade="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auto" w:fill="F2F2F2" w:themeFill="background1" w:themeFillShade="F2"/>
            <w:vAlign w:val="center"/>
            <w:hideMark/>
          </w:tcPr>
          <w:p w:rsidR="00B773DF" w:rsidRPr="00AD0988" w:rsidRDefault="00B773DF" w:rsidP="002613A6">
            <w:pPr>
              <w:spacing w:before="40" w:after="40"/>
              <w:rPr>
                <w:rFonts w:asciiTheme="majorHAnsi" w:hAnsiTheme="majorHAnsi"/>
                <w:color w:val="000000"/>
                <w:szCs w:val="22"/>
              </w:rPr>
            </w:pPr>
          </w:p>
        </w:tc>
        <w:tc>
          <w:tcPr>
            <w:tcW w:w="850" w:type="dxa"/>
            <w:shd w:val="clear" w:color="auto" w:fill="FFFFFF" w:themeFill="background1"/>
            <w:noWrap/>
            <w:vAlign w:val="center"/>
          </w:tcPr>
          <w:p w:rsidR="00B773DF" w:rsidRPr="00AD0988" w:rsidRDefault="00B773DF" w:rsidP="002613A6">
            <w:pPr>
              <w:spacing w:before="40" w:after="40"/>
              <w:jc w:val="center"/>
              <w:rPr>
                <w:rFonts w:asciiTheme="majorHAnsi" w:hAnsiTheme="majorHAnsi"/>
                <w:color w:val="000000"/>
                <w:szCs w:val="22"/>
              </w:rPr>
            </w:pPr>
            <w:r>
              <w:rPr>
                <w:rFonts w:asciiTheme="majorHAnsi" w:hAnsiTheme="majorHAnsi"/>
                <w:color w:val="000000"/>
                <w:szCs w:val="22"/>
              </w:rPr>
              <w:t>R-2 H</w:t>
            </w:r>
          </w:p>
        </w:tc>
        <w:tc>
          <w:tcPr>
            <w:tcW w:w="851"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BBB</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850" w:type="dxa"/>
            <w:shd w:val="clear" w:color="auto" w:fill="F2F2F2" w:themeFill="background1" w:themeFillShade="F2"/>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851" w:type="dxa"/>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r>
              <w:rPr>
                <w:rFonts w:asciiTheme="majorHAnsi" w:hAnsiTheme="majorHAnsi"/>
                <w:color w:val="000000"/>
                <w:szCs w:val="22"/>
              </w:rPr>
              <w:t>R-2 M</w:t>
            </w: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BBB (low)</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851" w:type="dxa"/>
            <w:shd w:val="clear" w:color="auto" w:fill="F2F2F2" w:themeFill="background1" w:themeFillShade="F2"/>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r>
              <w:rPr>
                <w:rFonts w:asciiTheme="majorHAnsi" w:hAnsiTheme="majorHAnsi"/>
                <w:color w:val="000000"/>
                <w:szCs w:val="22"/>
              </w:rPr>
              <w:t>R-2 L</w:t>
            </w:r>
            <w:r w:rsidRPr="00AD0988">
              <w:rPr>
                <w:rFonts w:asciiTheme="majorHAnsi" w:hAnsiTheme="majorHAnsi"/>
                <w:color w:val="000000"/>
                <w:szCs w:val="22"/>
              </w:rPr>
              <w:t> </w:t>
            </w:r>
          </w:p>
        </w:tc>
        <w:tc>
          <w:tcPr>
            <w:tcW w:w="769" w:type="dxa"/>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r>
              <w:rPr>
                <w:rFonts w:asciiTheme="majorHAnsi" w:hAnsiTheme="majorHAnsi"/>
                <w:color w:val="000000"/>
                <w:szCs w:val="22"/>
              </w:rPr>
              <w:t>R-3</w:t>
            </w:r>
          </w:p>
        </w:tc>
        <w:tc>
          <w:tcPr>
            <w:tcW w:w="596"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BB (high)</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851" w:type="dxa"/>
            <w:shd w:val="clear" w:color="auto" w:fill="D9D9D9" w:themeFill="background1" w:themeFillShade="D9"/>
            <w:vAlign w:val="center"/>
            <w:hideMark/>
          </w:tcPr>
          <w:p w:rsidR="00B773DF" w:rsidRPr="00AD0988" w:rsidRDefault="00B773DF" w:rsidP="002613A6">
            <w:pPr>
              <w:spacing w:before="40" w:after="40"/>
              <w:jc w:val="center"/>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jc w:val="center"/>
              <w:rPr>
                <w:rFonts w:asciiTheme="majorHAnsi" w:hAnsiTheme="majorHAnsi"/>
                <w:color w:val="000000"/>
                <w:szCs w:val="22"/>
              </w:rPr>
            </w:pPr>
          </w:p>
        </w:tc>
        <w:tc>
          <w:tcPr>
            <w:tcW w:w="769" w:type="dxa"/>
            <w:shd w:val="clear" w:color="auto" w:fill="F2F2F2" w:themeFill="background1" w:themeFillShade="F2"/>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vMerge w:val="restart"/>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r>
              <w:rPr>
                <w:rFonts w:asciiTheme="majorHAnsi" w:hAnsiTheme="majorHAnsi"/>
                <w:color w:val="000000"/>
                <w:szCs w:val="22"/>
              </w:rPr>
              <w:t>R-4</w:t>
            </w: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BB</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jc w:val="center"/>
              <w:rPr>
                <w:rFonts w:asciiTheme="majorHAnsi" w:hAnsiTheme="majorHAnsi"/>
                <w:color w:val="000000"/>
                <w:szCs w:val="22"/>
              </w:rPr>
            </w:pPr>
          </w:p>
        </w:tc>
        <w:tc>
          <w:tcPr>
            <w:tcW w:w="596" w:type="dxa"/>
            <w:vMerge/>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BB (low)</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rPr>
                <w:rFonts w:asciiTheme="majorHAnsi" w:hAnsiTheme="majorHAnsi"/>
                <w:color w:val="000000"/>
                <w:szCs w:val="22"/>
              </w:rPr>
            </w:pPr>
          </w:p>
        </w:tc>
        <w:tc>
          <w:tcPr>
            <w:tcW w:w="596" w:type="dxa"/>
            <w:vMerge/>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B (high)</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rPr>
                <w:rFonts w:asciiTheme="majorHAnsi" w:hAnsiTheme="majorHAnsi"/>
                <w:color w:val="000000"/>
                <w:szCs w:val="22"/>
              </w:rPr>
            </w:pPr>
          </w:p>
        </w:tc>
        <w:tc>
          <w:tcPr>
            <w:tcW w:w="596" w:type="dxa"/>
            <w:vMerge/>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B</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rPr>
                <w:rFonts w:asciiTheme="majorHAnsi" w:hAnsiTheme="majorHAnsi"/>
                <w:color w:val="000000"/>
                <w:szCs w:val="22"/>
              </w:rPr>
            </w:pPr>
          </w:p>
        </w:tc>
        <w:tc>
          <w:tcPr>
            <w:tcW w:w="596" w:type="dxa"/>
            <w:shd w:val="clear" w:color="auto" w:fill="F2F2F2" w:themeFill="background1" w:themeFillShade="F2"/>
            <w:vAlign w:val="center"/>
            <w:hideMark/>
          </w:tcPr>
          <w:p w:rsidR="00B773DF" w:rsidRPr="00AD0988" w:rsidRDefault="00B773DF" w:rsidP="002613A6">
            <w:pPr>
              <w:spacing w:before="40" w:after="40"/>
              <w:jc w:val="center"/>
              <w:rPr>
                <w:rFonts w:asciiTheme="majorHAnsi" w:hAnsiTheme="majorHAnsi"/>
                <w:color w:val="000000"/>
                <w:szCs w:val="22"/>
              </w:rPr>
            </w:pPr>
          </w:p>
        </w:tc>
        <w:tc>
          <w:tcPr>
            <w:tcW w:w="598" w:type="dxa"/>
            <w:gridSpan w:val="2"/>
            <w:vMerge w:val="restart"/>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r>
              <w:rPr>
                <w:rFonts w:asciiTheme="majorHAnsi" w:hAnsiTheme="majorHAnsi"/>
                <w:color w:val="000000"/>
                <w:szCs w:val="22"/>
              </w:rPr>
              <w:t>R-5</w:t>
            </w: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B (low)</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tcPr>
          <w:p w:rsidR="00B773DF" w:rsidRPr="00AD0988" w:rsidRDefault="00B773DF" w:rsidP="002613A6">
            <w:pPr>
              <w:spacing w:before="40" w:after="40"/>
              <w:rPr>
                <w:rFonts w:asciiTheme="majorHAnsi" w:hAnsiTheme="majorHAnsi"/>
                <w:color w:val="000000"/>
                <w:szCs w:val="22"/>
              </w:rPr>
            </w:pPr>
          </w:p>
        </w:tc>
        <w:tc>
          <w:tcPr>
            <w:tcW w:w="769"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596"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598" w:type="dxa"/>
            <w:gridSpan w:val="2"/>
            <w:vMerge/>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CCC</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auto" w:fill="D9D9D9" w:themeFill="background1" w:themeFillShade="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auto" w:fill="D9D9D9" w:themeFill="background1" w:themeFillShade="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596"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598" w:type="dxa"/>
            <w:gridSpan w:val="2"/>
            <w:vMerge/>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CC</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auto" w:fill="D9D9D9" w:themeFill="background1" w:themeFillShade="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596"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598" w:type="dxa"/>
            <w:gridSpan w:val="2"/>
            <w:vMerge/>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C</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auto" w:fill="D9D9D9" w:themeFill="background1" w:themeFillShade="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598" w:type="dxa"/>
            <w:gridSpan w:val="2"/>
            <w:vMerge/>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B773DF" w:rsidRPr="00AD0988" w:rsidTr="00377254">
        <w:trPr>
          <w:trHeight w:val="300"/>
        </w:trPr>
        <w:tc>
          <w:tcPr>
            <w:tcW w:w="3544" w:type="dxa"/>
            <w:shd w:val="clear" w:color="auto" w:fill="auto"/>
            <w:noWrap/>
            <w:vAlign w:val="bottom"/>
            <w:hideMark/>
          </w:tcPr>
          <w:p w:rsidR="00B773DF" w:rsidRPr="003667C2" w:rsidRDefault="00B773DF" w:rsidP="00B773DF">
            <w:pPr>
              <w:jc w:val="center"/>
              <w:rPr>
                <w:rFonts w:ascii="Calibri" w:hAnsi="Calibri"/>
                <w:color w:val="000000"/>
                <w:szCs w:val="22"/>
              </w:rPr>
            </w:pPr>
            <w:r w:rsidRPr="003667C2">
              <w:rPr>
                <w:rFonts w:ascii="Calibri" w:hAnsi="Calibri"/>
                <w:color w:val="000000"/>
                <w:szCs w:val="22"/>
              </w:rPr>
              <w:t>D</w:t>
            </w:r>
          </w:p>
        </w:tc>
        <w:tc>
          <w:tcPr>
            <w:tcW w:w="799" w:type="dxa"/>
            <w:gridSpan w:val="2"/>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907"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0"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851"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shd w:val="clear" w:color="auto" w:fill="D9D9D9" w:themeFill="background1" w:themeFillShade="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596" w:type="dxa"/>
            <w:shd w:val="clear" w:color="auto" w:fill="D9D9D9" w:themeFill="background1" w:themeFillShade="D9"/>
            <w:vAlign w:val="center"/>
            <w:hideMark/>
          </w:tcPr>
          <w:p w:rsidR="00B773DF" w:rsidRPr="00AD0988" w:rsidRDefault="00B773DF" w:rsidP="002613A6">
            <w:pPr>
              <w:spacing w:before="40" w:after="40"/>
              <w:rPr>
                <w:rFonts w:asciiTheme="majorHAnsi" w:hAnsiTheme="majorHAnsi"/>
                <w:color w:val="000000"/>
                <w:szCs w:val="22"/>
              </w:rPr>
            </w:pPr>
          </w:p>
        </w:tc>
        <w:tc>
          <w:tcPr>
            <w:tcW w:w="352" w:type="dxa"/>
            <w:shd w:val="clear" w:color="000000" w:fill="D9D9D9"/>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246" w:type="dxa"/>
            <w:shd w:val="clear" w:color="000000" w:fill="D9D9D9"/>
          </w:tcPr>
          <w:p w:rsidR="00B773DF" w:rsidRPr="00AD0988" w:rsidRDefault="00B773DF" w:rsidP="002613A6">
            <w:pPr>
              <w:spacing w:before="40" w:after="40"/>
              <w:jc w:val="center"/>
              <w:rPr>
                <w:rFonts w:asciiTheme="majorHAnsi" w:hAnsiTheme="majorHAnsi"/>
                <w:color w:val="000000"/>
                <w:szCs w:val="22"/>
              </w:rPr>
            </w:pPr>
          </w:p>
        </w:tc>
        <w:tc>
          <w:tcPr>
            <w:tcW w:w="479" w:type="dxa"/>
            <w:shd w:val="clear" w:color="auto" w:fill="FFFFFF" w:themeFill="background1"/>
            <w:noWrap/>
            <w:vAlign w:val="center"/>
            <w:hideMark/>
          </w:tcPr>
          <w:p w:rsidR="00B773DF" w:rsidRPr="00AD0988" w:rsidRDefault="00B773DF"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r>
              <w:rPr>
                <w:rFonts w:asciiTheme="majorHAnsi" w:hAnsiTheme="majorHAnsi"/>
                <w:color w:val="000000"/>
                <w:szCs w:val="22"/>
              </w:rPr>
              <w:t>D</w:t>
            </w:r>
          </w:p>
        </w:tc>
      </w:tr>
    </w:tbl>
    <w:p w:rsidR="00B16A01" w:rsidRDefault="00B16A01" w:rsidP="004C48AE">
      <w:pPr>
        <w:pStyle w:val="FootnoteText"/>
      </w:pPr>
      <w:r>
        <w:t>Source: DBRS</w:t>
      </w:r>
    </w:p>
    <w:p w:rsidR="00B16A01" w:rsidRDefault="00B16A01" w:rsidP="004C48AE">
      <w:pPr>
        <w:pStyle w:val="FootnoteText"/>
      </w:pPr>
    </w:p>
    <w:p w:rsidR="00B16A01" w:rsidRDefault="00B16A01" w:rsidP="004C48AE">
      <w:pPr>
        <w:pStyle w:val="FootnoteText"/>
        <w:sectPr w:rsidR="00B16A01" w:rsidSect="00377254">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p>
    <w:p w:rsidR="00F434D1" w:rsidRPr="00BE6527" w:rsidRDefault="00F434D1" w:rsidP="00AF0256">
      <w:pPr>
        <w:pStyle w:val="Titlelevel2"/>
        <w:outlineLvl w:val="0"/>
      </w:pPr>
      <w:r w:rsidRPr="00BE6527">
        <w:lastRenderedPageBreak/>
        <w:t xml:space="preserve">Appendix 2: </w:t>
      </w:r>
      <w:r w:rsidRPr="007C7B33">
        <w:t>Definition</w:t>
      </w:r>
      <w:r w:rsidRPr="00BE6527">
        <w:t xml:space="preserve"> of </w:t>
      </w:r>
      <w:r w:rsidRPr="007C7B33">
        <w:t>default</w:t>
      </w:r>
    </w:p>
    <w:p w:rsidR="00B773DF" w:rsidRDefault="003C0914" w:rsidP="00B773DF">
      <w:pPr>
        <w:pStyle w:val="numberedparagraph"/>
        <w:numPr>
          <w:ilvl w:val="0"/>
          <w:numId w:val="0"/>
        </w:numPr>
      </w:pPr>
      <w:r>
        <w:t>According to DBRS, d</w:t>
      </w:r>
      <w:r w:rsidR="00B773DF">
        <w:t>efault rating status is represented by either ‘D’ (“default”) or ‘SD’ (“selective default”) on DBRS rating scales, depending on the nature of the situation.</w:t>
      </w:r>
    </w:p>
    <w:p w:rsidR="00B773DF" w:rsidRDefault="00B773DF" w:rsidP="006F3DA2">
      <w:pPr>
        <w:pStyle w:val="numberedparagraph"/>
        <w:numPr>
          <w:ilvl w:val="0"/>
          <w:numId w:val="12"/>
        </w:numPr>
        <w:ind w:left="426"/>
      </w:pPr>
      <w:r>
        <w:t>Issuer and security ratings may all be moved to “</w:t>
      </w:r>
      <w:r w:rsidRPr="00946F17">
        <w:rPr>
          <w:b/>
        </w:rPr>
        <w:t>D</w:t>
      </w:r>
      <w:r>
        <w:t>” when:</w:t>
      </w:r>
    </w:p>
    <w:p w:rsidR="00B773DF" w:rsidRDefault="00B773DF" w:rsidP="006F3DA2">
      <w:pPr>
        <w:pStyle w:val="numberedparagraph"/>
        <w:numPr>
          <w:ilvl w:val="0"/>
          <w:numId w:val="15"/>
        </w:numPr>
        <w:ind w:left="851"/>
      </w:pPr>
      <w:r>
        <w:t>The issuer has filed under any applicable bankruptcy, insolvency or winding up statute.</w:t>
      </w:r>
    </w:p>
    <w:p w:rsidR="00B773DF" w:rsidRDefault="00B773DF" w:rsidP="006F3DA2">
      <w:pPr>
        <w:pStyle w:val="numberedparagraph"/>
        <w:numPr>
          <w:ilvl w:val="0"/>
          <w:numId w:val="15"/>
        </w:numPr>
        <w:ind w:left="851"/>
      </w:pPr>
      <w:r>
        <w:t>There is failure to pay or satisfy an obligation (subject to applicable grace periods and/or waiver of such failure) in accordance with the underlying transaction documents and DBRS believes that this default will subsequently be general in nature and include all obligations.</w:t>
      </w:r>
    </w:p>
    <w:p w:rsidR="00766B0D" w:rsidRDefault="00766B0D" w:rsidP="006F3DA2">
      <w:pPr>
        <w:pStyle w:val="numberedparagraph"/>
        <w:numPr>
          <w:ilvl w:val="0"/>
          <w:numId w:val="15"/>
        </w:numPr>
        <w:ind w:left="851"/>
      </w:pPr>
      <w:r>
        <w:t>Independent of the issuer rating, securities described as a Distressed Exchange are downgraded to D.</w:t>
      </w:r>
    </w:p>
    <w:p w:rsidR="00766B0D" w:rsidRDefault="00B773DF" w:rsidP="006F3DA2">
      <w:pPr>
        <w:pStyle w:val="numberedparagraph"/>
        <w:numPr>
          <w:ilvl w:val="0"/>
          <w:numId w:val="15"/>
        </w:numPr>
        <w:ind w:left="851"/>
      </w:pPr>
      <w:r>
        <w:t>DBRS also reserves the right to move ratings to</w:t>
      </w:r>
      <w:r w:rsidR="00766B0D">
        <w:t>:</w:t>
      </w:r>
    </w:p>
    <w:p w:rsidR="00B773DF" w:rsidRDefault="00766B0D" w:rsidP="00525478">
      <w:pPr>
        <w:pStyle w:val="numberedparagraph"/>
        <w:numPr>
          <w:ilvl w:val="0"/>
          <w:numId w:val="18"/>
        </w:numPr>
      </w:pPr>
      <w:r>
        <w:t xml:space="preserve">Downgrade ratings to </w:t>
      </w:r>
      <w:r w:rsidR="00B773DF">
        <w:t>‘D’ when it believes that a general default is imminent and unavoidable, although this is a less frequent and a more subjective decision.</w:t>
      </w:r>
    </w:p>
    <w:p w:rsidR="00766B0D" w:rsidRDefault="00766B0D" w:rsidP="00525478">
      <w:pPr>
        <w:pStyle w:val="numberedparagraph"/>
        <w:numPr>
          <w:ilvl w:val="0"/>
          <w:numId w:val="18"/>
        </w:numPr>
      </w:pPr>
      <w:r>
        <w:t xml:space="preserve">Discontinue – </w:t>
      </w:r>
      <w:r w:rsidRPr="00766B0D">
        <w:t>Withdraw</w:t>
      </w:r>
      <w:r>
        <w:t xml:space="preserve"> ‘</w:t>
      </w:r>
      <w:r w:rsidRPr="00766B0D">
        <w:t>D</w:t>
      </w:r>
      <w:r>
        <w:t>’</w:t>
      </w:r>
      <w:r w:rsidRPr="00766B0D">
        <w:t xml:space="preserve"> ratings after 30 business days</w:t>
      </w:r>
      <w:r w:rsidR="004020D6">
        <w:t>.</w:t>
      </w:r>
    </w:p>
    <w:p w:rsidR="00B773DF" w:rsidRDefault="00785694" w:rsidP="006F3DA2">
      <w:pPr>
        <w:pStyle w:val="numberedparagraph"/>
        <w:numPr>
          <w:ilvl w:val="0"/>
          <w:numId w:val="12"/>
        </w:numPr>
        <w:ind w:left="426"/>
      </w:pPr>
      <w:r>
        <w:t xml:space="preserve">Issuer ratings </w:t>
      </w:r>
      <w:r w:rsidR="00B773DF">
        <w:t>may be moved to “</w:t>
      </w:r>
      <w:r w:rsidR="00B773DF" w:rsidRPr="00946F17">
        <w:rPr>
          <w:b/>
        </w:rPr>
        <w:t>SD</w:t>
      </w:r>
      <w:r w:rsidR="00B773DF">
        <w:t>” in the following circumstances:</w:t>
      </w:r>
    </w:p>
    <w:p w:rsidR="00785694" w:rsidRDefault="00785694" w:rsidP="00785694">
      <w:pPr>
        <w:pStyle w:val="numberedparagraph"/>
        <w:numPr>
          <w:ilvl w:val="0"/>
          <w:numId w:val="13"/>
        </w:numPr>
      </w:pPr>
      <w:r>
        <w:t xml:space="preserve">The issuer has failed to satisfy an obligation on a debt issue but DBRS views this as being Selective in that the issuer is expected to continue to meet obligations in a timely manner on other securities and/or classes of securities. This case often relates to a Distressed Exchange. As noted in Section A., securities that qualify as a Distressed Exchange are downgraded to </w:t>
      </w:r>
      <w:r w:rsidR="00836474">
        <w:t>‘</w:t>
      </w:r>
      <w:r>
        <w:t>D</w:t>
      </w:r>
      <w:r w:rsidR="00836474">
        <w:t>’</w:t>
      </w:r>
      <w:r>
        <w:t>. The latter occurs when an issuer makes an offer to exchange debt securities and either (a) and (b) both apply, or (c) applies:</w:t>
      </w:r>
    </w:p>
    <w:p w:rsidR="00785694" w:rsidRDefault="00785694" w:rsidP="00525478">
      <w:pPr>
        <w:pStyle w:val="numberedparagraph"/>
        <w:numPr>
          <w:ilvl w:val="0"/>
          <w:numId w:val="17"/>
        </w:numPr>
      </w:pPr>
      <w:r>
        <w:t>Terms of the exchange are disadvantageous to bondholders (typically either with respect to the value of the new security package or a change in the duration of maturity).</w:t>
      </w:r>
    </w:p>
    <w:p w:rsidR="00785694" w:rsidRDefault="00785694" w:rsidP="00525478">
      <w:pPr>
        <w:pStyle w:val="numberedparagraph"/>
        <w:numPr>
          <w:ilvl w:val="0"/>
          <w:numId w:val="17"/>
        </w:numPr>
      </w:pPr>
      <w:r>
        <w:t>Bondholders are being compelled to consent to an exchange because failure to do so would likely lead to the company’s inability to continue to make legally scheduled payments as agreed; as opposed to an offer that is purely opportunistic.</w:t>
      </w:r>
    </w:p>
    <w:p w:rsidR="00785694" w:rsidRDefault="00785694" w:rsidP="00525478">
      <w:pPr>
        <w:pStyle w:val="numberedparagraph"/>
        <w:numPr>
          <w:ilvl w:val="0"/>
          <w:numId w:val="17"/>
        </w:numPr>
      </w:pPr>
      <w:r>
        <w:t xml:space="preserve">A Distressed Exchange may also occur if the borrower repurchases a sizeable amount of bonds at a major discount, and DBRS views this as a means of debt restructuring. This would likely only apply to very low rated entities and the SD decision would not apply if it was clear that the focus of the repurchases reflected </w:t>
      </w:r>
      <w:r>
        <w:lastRenderedPageBreak/>
        <w:t>considerations more related to the opportunity to benefit from changing term or interest rates and less related to the discount.</w:t>
      </w:r>
    </w:p>
    <w:p w:rsidR="00785694" w:rsidRDefault="00785694" w:rsidP="00785694">
      <w:pPr>
        <w:pStyle w:val="numberedparagraph"/>
        <w:numPr>
          <w:ilvl w:val="0"/>
          <w:numId w:val="13"/>
        </w:numPr>
      </w:pPr>
      <w:r>
        <w:t xml:space="preserve">Issuer ratings that are classified as </w:t>
      </w:r>
      <w:r w:rsidR="00DD77A0">
        <w:t>‘</w:t>
      </w:r>
      <w:r>
        <w:t>SD</w:t>
      </w:r>
      <w:r w:rsidR="00DD77A0">
        <w:t>’</w:t>
      </w:r>
      <w:r>
        <w:t xml:space="preserve"> may be reassessed in the future and a subsequent rating action may be taken.</w:t>
      </w:r>
    </w:p>
    <w:p w:rsidR="00B773DF" w:rsidRDefault="00B773DF" w:rsidP="006F3DA2">
      <w:pPr>
        <w:pStyle w:val="numberedparagraph"/>
        <w:numPr>
          <w:ilvl w:val="0"/>
          <w:numId w:val="12"/>
        </w:numPr>
        <w:ind w:left="426"/>
      </w:pPr>
      <w:r>
        <w:t>Structured Finance Transactions:</w:t>
      </w:r>
    </w:p>
    <w:p w:rsidR="00B773DF" w:rsidRDefault="00B773DF" w:rsidP="006F3DA2">
      <w:pPr>
        <w:pStyle w:val="numberedparagraph"/>
        <w:numPr>
          <w:ilvl w:val="0"/>
          <w:numId w:val="16"/>
        </w:numPr>
        <w:ind w:left="851"/>
      </w:pPr>
      <w:r>
        <w:t>For securitization transactions where assets are highly unlikely to repay future obligations, DBRS shall generally downgrade the security to ‘C’ until the legal maturity final date of such obligation.</w:t>
      </w:r>
    </w:p>
    <w:p w:rsidR="00B773DF" w:rsidRDefault="00B773DF" w:rsidP="006F3DA2">
      <w:pPr>
        <w:pStyle w:val="numberedparagraph"/>
        <w:numPr>
          <w:ilvl w:val="0"/>
          <w:numId w:val="16"/>
        </w:numPr>
        <w:ind w:left="851"/>
      </w:pPr>
      <w:r>
        <w:t>For transactions where assets are structured and firewalled with a very high level of certainty to be bankruptcy remote (for example, a first mortgage on a property that will almost certainly result in an ongoing ability to keep payments current and fully repay principal), the Rating Committee shall have the discretion to deviate from the principle that on the occurrence of an insolvency event, all debt lines should be moved to ‘D’.</w:t>
      </w:r>
    </w:p>
    <w:p w:rsidR="00B773DF" w:rsidRDefault="00B773DF" w:rsidP="006F3DA2">
      <w:pPr>
        <w:pStyle w:val="numberedparagraph"/>
        <w:numPr>
          <w:ilvl w:val="0"/>
          <w:numId w:val="12"/>
        </w:numPr>
        <w:ind w:left="426"/>
      </w:pPr>
      <w:r>
        <w:t>Recovery Ratings:</w:t>
      </w:r>
    </w:p>
    <w:p w:rsidR="00B773DF" w:rsidRDefault="00B773DF" w:rsidP="00B773DF">
      <w:pPr>
        <w:pStyle w:val="numberedparagraph"/>
        <w:numPr>
          <w:ilvl w:val="0"/>
          <w:numId w:val="0"/>
        </w:numPr>
        <w:ind w:left="360"/>
      </w:pPr>
      <w:r>
        <w:t>Where an issuer rating is assigned default status, any related recovery rating is discontinued. For additional information on DBRS recovery ratings, see “DBRS Recovery Ratings for Non-Investment Grade Corporate Issuers”.</w:t>
      </w:r>
    </w:p>
    <w:p w:rsidR="00B773DF" w:rsidRDefault="00B773DF" w:rsidP="006F3DA2">
      <w:pPr>
        <w:pStyle w:val="numberedparagraph"/>
        <w:numPr>
          <w:ilvl w:val="0"/>
          <w:numId w:val="12"/>
        </w:numPr>
        <w:ind w:left="426"/>
      </w:pPr>
      <w:r>
        <w:t>Preferred Share Securities:</w:t>
      </w:r>
    </w:p>
    <w:p w:rsidR="00016B04" w:rsidRDefault="00B773DF" w:rsidP="00016B04">
      <w:pPr>
        <w:pStyle w:val="numberedparagraph"/>
        <w:numPr>
          <w:ilvl w:val="0"/>
          <w:numId w:val="0"/>
        </w:numPr>
        <w:ind w:left="360"/>
      </w:pPr>
      <w:r>
        <w:t>With respect to preferred share securities, the non-payment of a dividend is only a “default” if the non-payment constitutes default per the legal documents. As such, the non-payment of a dividend does not necessarily give rise to the assignment of a ‘D’ rating.</w:t>
      </w:r>
    </w:p>
    <w:p w:rsidR="00B16A01" w:rsidRDefault="00B16A01" w:rsidP="004C48AE">
      <w:pPr>
        <w:pStyle w:val="FootnoteText"/>
      </w:pPr>
      <w:r>
        <w:t>Source: DBRS</w:t>
      </w:r>
    </w:p>
    <w:p w:rsidR="00010D71" w:rsidRDefault="00010D71" w:rsidP="00016B04">
      <w:pPr>
        <w:pStyle w:val="numberedparagraph"/>
        <w:numPr>
          <w:ilvl w:val="0"/>
          <w:numId w:val="0"/>
        </w:numPr>
        <w:ind w:left="360"/>
        <w:sectPr w:rsidR="00010D71" w:rsidSect="002F6CF0">
          <w:pgSz w:w="11900" w:h="16840"/>
          <w:pgMar w:top="2268" w:right="1418" w:bottom="1134" w:left="1701" w:header="709" w:footer="709" w:gutter="0"/>
          <w:cols w:space="708"/>
          <w:titlePg/>
          <w:docGrid w:linePitch="299"/>
        </w:sectPr>
      </w:pPr>
    </w:p>
    <w:p w:rsidR="00F434D1" w:rsidRPr="00BE6527" w:rsidRDefault="00F434D1" w:rsidP="00AF0256">
      <w:pPr>
        <w:pStyle w:val="Titlelevel2"/>
        <w:outlineLvl w:val="0"/>
      </w:pPr>
      <w:r w:rsidRPr="00BE6527">
        <w:lastRenderedPageBreak/>
        <w:t>Appendix 3: Default rates of each rating category</w:t>
      </w:r>
    </w:p>
    <w:p w:rsidR="00010D71" w:rsidRDefault="0041788D" w:rsidP="00CD7BD7">
      <w:pPr>
        <w:pStyle w:val="Figuretitle"/>
      </w:pPr>
      <w:bookmarkStart w:id="12" w:name="_Ref384828127"/>
      <w:r w:rsidRPr="0041788D">
        <w:t>Figure</w:t>
      </w:r>
      <w:bookmarkEnd w:id="12"/>
      <w:r w:rsidR="00AF4774">
        <w:t xml:space="preserve"> </w:t>
      </w:r>
      <w:r w:rsidR="0082161F">
        <w:t>7</w:t>
      </w:r>
      <w:r w:rsidR="00C45D4A">
        <w:t>:</w:t>
      </w:r>
      <w:r w:rsidR="00010D71">
        <w:t xml:space="preserve"> </w:t>
      </w:r>
      <w:r w:rsidR="008A12E8">
        <w:t>Number of rated items</w:t>
      </w:r>
    </w:p>
    <w:p w:rsidR="00DC6802" w:rsidRPr="00361F71" w:rsidRDefault="00DC6802" w:rsidP="00545DAD"/>
    <w:tbl>
      <w:tblPr>
        <w:tblW w:w="8520" w:type="dxa"/>
        <w:tblInd w:w="93" w:type="dxa"/>
        <w:tblLayout w:type="fixed"/>
        <w:tblLook w:val="04A0" w:firstRow="1" w:lastRow="0" w:firstColumn="1" w:lastColumn="0" w:noHBand="0" w:noVBand="1"/>
      </w:tblPr>
      <w:tblGrid>
        <w:gridCol w:w="1361"/>
        <w:gridCol w:w="1022"/>
        <w:gridCol w:w="1023"/>
        <w:gridCol w:w="1023"/>
        <w:gridCol w:w="1022"/>
        <w:gridCol w:w="1023"/>
        <w:gridCol w:w="1023"/>
        <w:gridCol w:w="1023"/>
      </w:tblGrid>
      <w:tr w:rsidR="00DC6802" w:rsidRPr="005607FD" w:rsidTr="00545DAD">
        <w:trPr>
          <w:trHeight w:hRule="exact" w:val="397"/>
        </w:trPr>
        <w:tc>
          <w:tcPr>
            <w:tcW w:w="1361" w:type="dxa"/>
            <w:tcBorders>
              <w:bottom w:val="single" w:sz="18" w:space="0" w:color="E98E31" w:themeColor="background2"/>
            </w:tcBorders>
            <w:shd w:val="clear" w:color="auto" w:fill="auto"/>
            <w:noWrap/>
            <w:vAlign w:val="center"/>
          </w:tcPr>
          <w:p w:rsidR="00DC6802" w:rsidRPr="005607FD" w:rsidRDefault="00DC6802" w:rsidP="00545DAD">
            <w:pPr>
              <w:jc w:val="center"/>
              <w:rPr>
                <w:b/>
                <w:bCs/>
                <w:color w:val="000000"/>
                <w:szCs w:val="22"/>
              </w:rPr>
            </w:pPr>
            <w:r w:rsidRPr="005607FD">
              <w:rPr>
                <w:b/>
                <w:bCs/>
                <w:color w:val="000000"/>
                <w:szCs w:val="22"/>
              </w:rPr>
              <w:t>Date</w:t>
            </w:r>
          </w:p>
        </w:tc>
        <w:tc>
          <w:tcPr>
            <w:tcW w:w="1022" w:type="dxa"/>
            <w:tcBorders>
              <w:bottom w:val="single" w:sz="18" w:space="0" w:color="E98E31" w:themeColor="background2"/>
            </w:tcBorders>
            <w:shd w:val="clear" w:color="auto" w:fill="auto"/>
            <w:noWrap/>
            <w:vAlign w:val="center"/>
          </w:tcPr>
          <w:p w:rsidR="00DC6802" w:rsidRPr="005607FD" w:rsidRDefault="00DC6802" w:rsidP="00545DAD">
            <w:pPr>
              <w:jc w:val="center"/>
              <w:rPr>
                <w:b/>
                <w:bCs/>
                <w:color w:val="000000"/>
                <w:szCs w:val="22"/>
              </w:rPr>
            </w:pPr>
            <w:r w:rsidRPr="005607FD">
              <w:rPr>
                <w:b/>
                <w:bCs/>
                <w:color w:val="000000"/>
                <w:szCs w:val="22"/>
              </w:rPr>
              <w:t>AAA</w:t>
            </w:r>
          </w:p>
        </w:tc>
        <w:tc>
          <w:tcPr>
            <w:tcW w:w="1023" w:type="dxa"/>
            <w:tcBorders>
              <w:bottom w:val="single" w:sz="18" w:space="0" w:color="E98E31" w:themeColor="background2"/>
            </w:tcBorders>
            <w:shd w:val="clear" w:color="auto" w:fill="auto"/>
            <w:noWrap/>
            <w:vAlign w:val="center"/>
          </w:tcPr>
          <w:p w:rsidR="00DC6802" w:rsidRPr="005607FD" w:rsidRDefault="00DC6802" w:rsidP="00545DAD">
            <w:pPr>
              <w:jc w:val="center"/>
              <w:rPr>
                <w:b/>
                <w:bCs/>
                <w:color w:val="000000"/>
                <w:szCs w:val="22"/>
              </w:rPr>
            </w:pPr>
            <w:r w:rsidRPr="005607FD">
              <w:rPr>
                <w:b/>
                <w:bCs/>
                <w:color w:val="000000"/>
                <w:szCs w:val="22"/>
              </w:rPr>
              <w:t>AA</w:t>
            </w:r>
          </w:p>
        </w:tc>
        <w:tc>
          <w:tcPr>
            <w:tcW w:w="1023" w:type="dxa"/>
            <w:tcBorders>
              <w:bottom w:val="single" w:sz="18" w:space="0" w:color="E98E31" w:themeColor="background2"/>
            </w:tcBorders>
            <w:shd w:val="clear" w:color="auto" w:fill="auto"/>
            <w:noWrap/>
            <w:vAlign w:val="center"/>
          </w:tcPr>
          <w:p w:rsidR="00DC6802" w:rsidRPr="005607FD" w:rsidRDefault="00DC6802" w:rsidP="00545DAD">
            <w:pPr>
              <w:jc w:val="center"/>
              <w:rPr>
                <w:color w:val="000000"/>
                <w:szCs w:val="22"/>
              </w:rPr>
            </w:pPr>
            <w:r w:rsidRPr="005607FD">
              <w:rPr>
                <w:b/>
                <w:bCs/>
                <w:color w:val="000000"/>
                <w:szCs w:val="22"/>
              </w:rPr>
              <w:t>A</w:t>
            </w:r>
          </w:p>
        </w:tc>
        <w:tc>
          <w:tcPr>
            <w:tcW w:w="1022" w:type="dxa"/>
            <w:tcBorders>
              <w:bottom w:val="single" w:sz="18" w:space="0" w:color="E98E31" w:themeColor="background2"/>
            </w:tcBorders>
            <w:shd w:val="clear" w:color="auto" w:fill="auto"/>
            <w:noWrap/>
            <w:vAlign w:val="center"/>
          </w:tcPr>
          <w:p w:rsidR="00DC6802" w:rsidRPr="005607FD" w:rsidRDefault="00DC6802" w:rsidP="00545DAD">
            <w:pPr>
              <w:jc w:val="center"/>
              <w:rPr>
                <w:color w:val="000000"/>
                <w:szCs w:val="22"/>
              </w:rPr>
            </w:pPr>
            <w:r w:rsidRPr="005607FD">
              <w:rPr>
                <w:b/>
                <w:bCs/>
                <w:color w:val="000000"/>
                <w:szCs w:val="22"/>
              </w:rPr>
              <w:t>BBB</w:t>
            </w:r>
          </w:p>
        </w:tc>
        <w:tc>
          <w:tcPr>
            <w:tcW w:w="1023" w:type="dxa"/>
            <w:tcBorders>
              <w:bottom w:val="single" w:sz="18" w:space="0" w:color="E98E31" w:themeColor="background2"/>
            </w:tcBorders>
            <w:shd w:val="clear" w:color="auto" w:fill="auto"/>
            <w:noWrap/>
            <w:vAlign w:val="center"/>
          </w:tcPr>
          <w:p w:rsidR="00DC6802" w:rsidRPr="005607FD" w:rsidRDefault="00DC6802" w:rsidP="00545DAD">
            <w:pPr>
              <w:jc w:val="center"/>
              <w:rPr>
                <w:color w:val="000000"/>
                <w:szCs w:val="22"/>
              </w:rPr>
            </w:pPr>
            <w:r w:rsidRPr="005607FD">
              <w:rPr>
                <w:b/>
                <w:bCs/>
                <w:color w:val="000000"/>
                <w:szCs w:val="22"/>
              </w:rPr>
              <w:t>BB</w:t>
            </w:r>
          </w:p>
        </w:tc>
        <w:tc>
          <w:tcPr>
            <w:tcW w:w="1023" w:type="dxa"/>
            <w:tcBorders>
              <w:bottom w:val="single" w:sz="18" w:space="0" w:color="E98E31" w:themeColor="background2"/>
            </w:tcBorders>
            <w:shd w:val="clear" w:color="auto" w:fill="auto"/>
            <w:noWrap/>
            <w:vAlign w:val="center"/>
          </w:tcPr>
          <w:p w:rsidR="00DC6802" w:rsidRPr="005607FD" w:rsidRDefault="00DC6802" w:rsidP="00545DAD">
            <w:pPr>
              <w:jc w:val="center"/>
              <w:rPr>
                <w:color w:val="000000"/>
                <w:szCs w:val="22"/>
              </w:rPr>
            </w:pPr>
            <w:r w:rsidRPr="005607FD">
              <w:rPr>
                <w:b/>
                <w:bCs/>
                <w:color w:val="000000"/>
                <w:szCs w:val="22"/>
              </w:rPr>
              <w:t>B</w:t>
            </w:r>
          </w:p>
        </w:tc>
        <w:tc>
          <w:tcPr>
            <w:tcW w:w="1023" w:type="dxa"/>
            <w:tcBorders>
              <w:bottom w:val="single" w:sz="18" w:space="0" w:color="E98E31" w:themeColor="background2"/>
            </w:tcBorders>
            <w:vAlign w:val="center"/>
          </w:tcPr>
          <w:p w:rsidR="00DC6802" w:rsidRPr="005607FD" w:rsidRDefault="00DC6802" w:rsidP="00545DAD">
            <w:pPr>
              <w:jc w:val="center"/>
              <w:rPr>
                <w:b/>
                <w:color w:val="000000"/>
                <w:szCs w:val="22"/>
              </w:rPr>
            </w:pPr>
            <w:r>
              <w:rPr>
                <w:b/>
                <w:color w:val="000000"/>
                <w:szCs w:val="22"/>
              </w:rPr>
              <w:t>CCC-C</w:t>
            </w:r>
          </w:p>
        </w:tc>
      </w:tr>
      <w:tr w:rsidR="00DC6802" w:rsidRPr="00AC5F7A" w:rsidTr="00545DAD">
        <w:trPr>
          <w:trHeight w:hRule="exact" w:val="397"/>
        </w:trPr>
        <w:tc>
          <w:tcPr>
            <w:tcW w:w="1361" w:type="dxa"/>
            <w:tcBorders>
              <w:top w:val="single" w:sz="18" w:space="0" w:color="E98E31" w:themeColor="background2"/>
            </w:tcBorders>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01/01/2000</w:t>
            </w:r>
          </w:p>
        </w:tc>
        <w:tc>
          <w:tcPr>
            <w:tcW w:w="1022" w:type="dxa"/>
            <w:tcBorders>
              <w:top w:val="single" w:sz="18" w:space="0" w:color="E98E31" w:themeColor="background2"/>
            </w:tcBorders>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4.0</w:t>
            </w:r>
          </w:p>
        </w:tc>
        <w:tc>
          <w:tcPr>
            <w:tcW w:w="1023" w:type="dxa"/>
            <w:tcBorders>
              <w:top w:val="single" w:sz="18" w:space="0" w:color="E98E31" w:themeColor="background2"/>
            </w:tcBorders>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33.5</w:t>
            </w:r>
          </w:p>
        </w:tc>
        <w:tc>
          <w:tcPr>
            <w:tcW w:w="1023" w:type="dxa"/>
            <w:tcBorders>
              <w:top w:val="single" w:sz="18" w:space="0" w:color="E98E31" w:themeColor="background2"/>
            </w:tcBorders>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91.5</w:t>
            </w:r>
          </w:p>
        </w:tc>
        <w:tc>
          <w:tcPr>
            <w:tcW w:w="1022" w:type="dxa"/>
            <w:tcBorders>
              <w:top w:val="single" w:sz="18" w:space="0" w:color="E98E31" w:themeColor="background2"/>
            </w:tcBorders>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56.0</w:t>
            </w:r>
          </w:p>
        </w:tc>
        <w:tc>
          <w:tcPr>
            <w:tcW w:w="1023" w:type="dxa"/>
            <w:tcBorders>
              <w:top w:val="single" w:sz="18" w:space="0" w:color="E98E31" w:themeColor="background2"/>
            </w:tcBorders>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10.0</w:t>
            </w:r>
          </w:p>
        </w:tc>
        <w:tc>
          <w:tcPr>
            <w:tcW w:w="1023" w:type="dxa"/>
            <w:tcBorders>
              <w:top w:val="single" w:sz="18" w:space="0" w:color="E98E31" w:themeColor="background2"/>
            </w:tcBorders>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2.5</w:t>
            </w:r>
          </w:p>
        </w:tc>
        <w:tc>
          <w:tcPr>
            <w:tcW w:w="1023" w:type="dxa"/>
            <w:tcBorders>
              <w:top w:val="single" w:sz="18" w:space="0" w:color="E98E31" w:themeColor="background2"/>
            </w:tcBorders>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5.0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36.5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100.5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55.0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3.0</w:t>
            </w:r>
          </w:p>
        </w:tc>
        <w:tc>
          <w:tcPr>
            <w:tcW w:w="1023" w:type="dxa"/>
            <w:vAlign w:val="center"/>
          </w:tcPr>
          <w:p w:rsidR="00DC6802" w:rsidRPr="00545DAD" w:rsidRDefault="00DC6802" w:rsidP="00545DAD">
            <w:pPr>
              <w:jc w:val="center"/>
              <w:rPr>
                <w:color w:val="000000"/>
                <w:szCs w:val="22"/>
              </w:rPr>
            </w:pPr>
            <w:r w:rsidRPr="00AC5F7A">
              <w:rPr>
                <w:rFonts w:eastAsia="Times New Roman" w:cs="Arial"/>
                <w:color w:val="000000"/>
                <w:szCs w:val="22"/>
                <w:lang w:eastAsia="en-GB"/>
              </w:rPr>
              <w:t>0.0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01/01/2001</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40.5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100.0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60.5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11.0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2.5</w:t>
            </w:r>
          </w:p>
        </w:tc>
        <w:tc>
          <w:tcPr>
            <w:tcW w:w="1023" w:type="dxa"/>
            <w:vAlign w:val="center"/>
          </w:tcPr>
          <w:p w:rsidR="00DC6802" w:rsidRPr="00545DAD" w:rsidRDefault="00DC6802" w:rsidP="00545DAD">
            <w:pPr>
              <w:jc w:val="center"/>
              <w:rPr>
                <w:color w:val="000000"/>
                <w:szCs w:val="22"/>
              </w:rPr>
            </w:pPr>
            <w:r w:rsidRPr="00AC5F7A">
              <w:rPr>
                <w:rFonts w:eastAsia="Times New Roman" w:cs="Arial"/>
                <w:color w:val="000000"/>
                <w:szCs w:val="22"/>
                <w:lang w:eastAsia="en-GB"/>
              </w:rPr>
              <w:t>0.0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01/07/2001</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48.5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104.5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60.5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11.5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2.5</w:t>
            </w:r>
          </w:p>
        </w:tc>
        <w:tc>
          <w:tcPr>
            <w:tcW w:w="1023" w:type="dxa"/>
            <w:vAlign w:val="center"/>
          </w:tcPr>
          <w:p w:rsidR="00DC6802" w:rsidRPr="00545DAD" w:rsidRDefault="00DC6802" w:rsidP="00545DAD">
            <w:pPr>
              <w:jc w:val="center"/>
              <w:rPr>
                <w:color w:val="000000"/>
                <w:szCs w:val="22"/>
              </w:rPr>
            </w:pPr>
            <w:r w:rsidRPr="00AC5F7A">
              <w:rPr>
                <w:rFonts w:eastAsia="Times New Roman" w:cs="Arial"/>
                <w:color w:val="000000"/>
                <w:szCs w:val="22"/>
                <w:lang w:eastAsia="en-GB"/>
              </w:rPr>
              <w:t>0.0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01/01/2002</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96.0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68.5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3.0</w:t>
            </w:r>
          </w:p>
        </w:tc>
        <w:tc>
          <w:tcPr>
            <w:tcW w:w="1023" w:type="dxa"/>
            <w:vAlign w:val="center"/>
          </w:tcPr>
          <w:p w:rsidR="00DC6802" w:rsidRPr="00545DAD" w:rsidRDefault="00DC6802" w:rsidP="00545DAD">
            <w:pPr>
              <w:jc w:val="center"/>
              <w:rPr>
                <w:color w:val="000000"/>
                <w:szCs w:val="22"/>
              </w:rPr>
            </w:pPr>
            <w:r w:rsidRPr="00AC5F7A">
              <w:rPr>
                <w:rFonts w:eastAsia="Times New Roman" w:cs="Arial"/>
                <w:color w:val="000000"/>
                <w:szCs w:val="22"/>
                <w:lang w:eastAsia="en-GB"/>
              </w:rPr>
              <w:t>0.0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01/07/2002</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45.0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96.0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2.0</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01/01/2003</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8.0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43.0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96.0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65.0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2.0</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01/07/2003</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8.0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42.0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91.5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66.5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14.0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01/01/2004</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37.5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96.0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68.5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19.5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01/07/2004</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38.0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97.0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87.0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24.5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8.5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42.5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115.0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101.0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31.0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52.5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141.0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129.0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34.5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11.0</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01/01/2006</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61.5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160.0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147.5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37.5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13.5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01/07/2006</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139.0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128.5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32.0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2.5</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01/01/2007</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72.5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139.5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131.5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29.5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11.0</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2.5</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01/07/2007</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5.5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75.0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135.5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126.0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28.5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11.5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3.5</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01/01/2008</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76.5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131.5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117.0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29.0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12.0</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4.5</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01/07/2008</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75.0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128.5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110.0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22.0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13.5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2.5</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01/01/2009</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71.0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124.5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108.5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20.0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9.5</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01/07/2009</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58.5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116.5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85.0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17.0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4.0</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6.5</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01/01/2010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58.0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120.5</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86.5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14.0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6.0</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4.0</w:t>
            </w:r>
          </w:p>
        </w:tc>
      </w:tr>
      <w:tr w:rsidR="00DC6802" w:rsidRPr="00AC5F7A" w:rsidTr="00545DAD">
        <w:trPr>
          <w:trHeight w:hRule="exact" w:val="397"/>
        </w:trPr>
        <w:tc>
          <w:tcPr>
            <w:tcW w:w="1361" w:type="dxa"/>
            <w:shd w:val="clear" w:color="auto" w:fill="auto"/>
            <w:noWrap/>
            <w:vAlign w:val="center"/>
            <w:hideMark/>
          </w:tcPr>
          <w:p w:rsidR="00DC6802" w:rsidRPr="005607FD" w:rsidRDefault="00DC6802" w:rsidP="00545DAD">
            <w:pPr>
              <w:jc w:val="center"/>
              <w:rPr>
                <w:color w:val="000000"/>
                <w:szCs w:val="22"/>
              </w:rPr>
            </w:pPr>
            <w:r w:rsidRPr="005607FD">
              <w:rPr>
                <w:color w:val="000000"/>
                <w:szCs w:val="22"/>
              </w:rPr>
              <w:t>01/07/2010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4.0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57.5</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122.0</w:t>
            </w:r>
          </w:p>
        </w:tc>
        <w:tc>
          <w:tcPr>
            <w:tcW w:w="1022"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95.0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14.0</w:t>
            </w:r>
          </w:p>
        </w:tc>
        <w:tc>
          <w:tcPr>
            <w:tcW w:w="1023" w:type="dxa"/>
            <w:shd w:val="clear" w:color="auto" w:fill="auto"/>
            <w:noWrap/>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7.5</w:t>
            </w:r>
          </w:p>
        </w:tc>
        <w:tc>
          <w:tcPr>
            <w:tcW w:w="1023" w:type="dxa"/>
            <w:vAlign w:val="center"/>
          </w:tcPr>
          <w:p w:rsidR="00DC6802" w:rsidRPr="00545DAD" w:rsidRDefault="00DC6802" w:rsidP="00545DAD">
            <w:pPr>
              <w:jc w:val="center"/>
              <w:rPr>
                <w:color w:val="000000"/>
                <w:szCs w:val="22"/>
              </w:rPr>
            </w:pPr>
            <w:r w:rsidRPr="00545DAD">
              <w:rPr>
                <w:rFonts w:eastAsia="Times New Roman" w:cs="Arial"/>
                <w:color w:val="000000"/>
                <w:szCs w:val="22"/>
                <w:lang w:eastAsia="en-GB"/>
              </w:rPr>
              <w:t>3.0</w:t>
            </w:r>
          </w:p>
        </w:tc>
      </w:tr>
      <w:tr w:rsidR="00DC6802" w:rsidRPr="00AC5F7A" w:rsidTr="00545DAD">
        <w:trPr>
          <w:trHeight w:hRule="exact" w:val="397"/>
        </w:trPr>
        <w:tc>
          <w:tcPr>
            <w:tcW w:w="1361" w:type="dxa"/>
            <w:shd w:val="clear" w:color="auto" w:fill="auto"/>
            <w:noWrap/>
            <w:vAlign w:val="center"/>
          </w:tcPr>
          <w:p w:rsidR="00DC6802" w:rsidRPr="005607FD" w:rsidRDefault="00DC6802" w:rsidP="00545DAD">
            <w:pPr>
              <w:jc w:val="center"/>
              <w:rPr>
                <w:color w:val="000000"/>
                <w:szCs w:val="22"/>
              </w:rPr>
            </w:pPr>
            <w:r>
              <w:rPr>
                <w:color w:val="000000"/>
                <w:szCs w:val="22"/>
              </w:rPr>
              <w:t>01/01/2011</w:t>
            </w:r>
          </w:p>
        </w:tc>
        <w:tc>
          <w:tcPr>
            <w:tcW w:w="1022"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2.0</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55.0</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125.0</w:t>
            </w:r>
          </w:p>
        </w:tc>
        <w:tc>
          <w:tcPr>
            <w:tcW w:w="1022"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96.0</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20.0</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4.5</w:t>
            </w:r>
          </w:p>
        </w:tc>
        <w:tc>
          <w:tcPr>
            <w:tcW w:w="1023" w:type="dxa"/>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2.0</w:t>
            </w:r>
          </w:p>
        </w:tc>
      </w:tr>
      <w:tr w:rsidR="00DC6802" w:rsidRPr="00AC5F7A" w:rsidTr="00545DAD">
        <w:trPr>
          <w:trHeight w:hRule="exact" w:val="397"/>
        </w:trPr>
        <w:tc>
          <w:tcPr>
            <w:tcW w:w="1361" w:type="dxa"/>
            <w:shd w:val="clear" w:color="auto" w:fill="auto"/>
            <w:noWrap/>
            <w:vAlign w:val="center"/>
          </w:tcPr>
          <w:p w:rsidR="00DC6802" w:rsidRPr="005607FD" w:rsidRDefault="00DC6802" w:rsidP="00545DAD">
            <w:pPr>
              <w:jc w:val="center"/>
              <w:rPr>
                <w:color w:val="000000"/>
                <w:szCs w:val="22"/>
              </w:rPr>
            </w:pPr>
            <w:r>
              <w:rPr>
                <w:color w:val="000000"/>
                <w:szCs w:val="22"/>
              </w:rPr>
              <w:t>01/07/2011</w:t>
            </w:r>
          </w:p>
        </w:tc>
        <w:tc>
          <w:tcPr>
            <w:tcW w:w="1022"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2.0</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56.0</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122.0</w:t>
            </w:r>
          </w:p>
        </w:tc>
        <w:tc>
          <w:tcPr>
            <w:tcW w:w="1022"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97.0</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21.5</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7.0</w:t>
            </w:r>
          </w:p>
        </w:tc>
        <w:tc>
          <w:tcPr>
            <w:tcW w:w="1023" w:type="dxa"/>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3.0</w:t>
            </w:r>
          </w:p>
        </w:tc>
      </w:tr>
      <w:tr w:rsidR="00DC6802" w:rsidRPr="00AC5F7A" w:rsidTr="00545DAD">
        <w:trPr>
          <w:trHeight w:hRule="exact" w:val="397"/>
        </w:trPr>
        <w:tc>
          <w:tcPr>
            <w:tcW w:w="1361" w:type="dxa"/>
            <w:shd w:val="clear" w:color="auto" w:fill="auto"/>
            <w:noWrap/>
            <w:vAlign w:val="center"/>
          </w:tcPr>
          <w:p w:rsidR="00DC6802" w:rsidRPr="005607FD" w:rsidRDefault="00DC6802" w:rsidP="00545DAD">
            <w:pPr>
              <w:jc w:val="center"/>
              <w:rPr>
                <w:color w:val="000000"/>
                <w:szCs w:val="22"/>
              </w:rPr>
            </w:pPr>
            <w:r w:rsidRPr="005607FD">
              <w:rPr>
                <w:color w:val="000000"/>
                <w:szCs w:val="22"/>
              </w:rPr>
              <w:t>01/01/201</w:t>
            </w:r>
            <w:r>
              <w:rPr>
                <w:color w:val="000000"/>
                <w:szCs w:val="22"/>
              </w:rPr>
              <w:t>2</w:t>
            </w:r>
          </w:p>
        </w:tc>
        <w:tc>
          <w:tcPr>
            <w:tcW w:w="1022"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1.5</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54.5</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118.5</w:t>
            </w:r>
          </w:p>
        </w:tc>
        <w:tc>
          <w:tcPr>
            <w:tcW w:w="1022"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91.5</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23.5</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9.0</w:t>
            </w:r>
          </w:p>
        </w:tc>
        <w:tc>
          <w:tcPr>
            <w:tcW w:w="1023" w:type="dxa"/>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3.0</w:t>
            </w:r>
          </w:p>
        </w:tc>
      </w:tr>
      <w:tr w:rsidR="00DC6802" w:rsidRPr="00AC5F7A" w:rsidTr="00545DAD">
        <w:trPr>
          <w:trHeight w:hRule="exact" w:val="397"/>
        </w:trPr>
        <w:tc>
          <w:tcPr>
            <w:tcW w:w="1361" w:type="dxa"/>
            <w:shd w:val="clear" w:color="auto" w:fill="auto"/>
            <w:noWrap/>
            <w:vAlign w:val="center"/>
          </w:tcPr>
          <w:p w:rsidR="00DC6802" w:rsidRPr="005607FD" w:rsidRDefault="00DC6802" w:rsidP="00545DAD">
            <w:pPr>
              <w:jc w:val="center"/>
              <w:rPr>
                <w:color w:val="000000"/>
                <w:szCs w:val="22"/>
              </w:rPr>
            </w:pPr>
            <w:r w:rsidRPr="005607FD">
              <w:rPr>
                <w:color w:val="000000"/>
                <w:szCs w:val="22"/>
              </w:rPr>
              <w:t>01/07/201</w:t>
            </w:r>
            <w:r>
              <w:rPr>
                <w:color w:val="000000"/>
                <w:szCs w:val="22"/>
              </w:rPr>
              <w:t>2</w:t>
            </w:r>
          </w:p>
        </w:tc>
        <w:tc>
          <w:tcPr>
            <w:tcW w:w="1022"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1.5</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53.0</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124.0</w:t>
            </w:r>
          </w:p>
        </w:tc>
        <w:tc>
          <w:tcPr>
            <w:tcW w:w="1022"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88.5</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24.5</w:t>
            </w:r>
          </w:p>
        </w:tc>
        <w:tc>
          <w:tcPr>
            <w:tcW w:w="1023" w:type="dxa"/>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8.0</w:t>
            </w:r>
          </w:p>
        </w:tc>
        <w:tc>
          <w:tcPr>
            <w:tcW w:w="1023" w:type="dxa"/>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2.0</w:t>
            </w:r>
          </w:p>
        </w:tc>
      </w:tr>
      <w:tr w:rsidR="00DC6802" w:rsidRPr="00AC5F7A" w:rsidTr="00545DAD">
        <w:trPr>
          <w:trHeight w:hRule="exact" w:val="397"/>
        </w:trPr>
        <w:tc>
          <w:tcPr>
            <w:tcW w:w="1361" w:type="dxa"/>
            <w:tcBorders>
              <w:bottom w:val="single" w:sz="2" w:space="0" w:color="auto"/>
            </w:tcBorders>
            <w:shd w:val="clear" w:color="auto" w:fill="auto"/>
            <w:noWrap/>
            <w:vAlign w:val="center"/>
          </w:tcPr>
          <w:p w:rsidR="00DC6802" w:rsidRPr="005607FD" w:rsidRDefault="00DC6802" w:rsidP="00545DAD">
            <w:pPr>
              <w:jc w:val="center"/>
              <w:rPr>
                <w:color w:val="000000"/>
                <w:szCs w:val="22"/>
              </w:rPr>
            </w:pPr>
            <w:r w:rsidRPr="005607FD">
              <w:rPr>
                <w:color w:val="000000"/>
                <w:szCs w:val="22"/>
              </w:rPr>
              <w:t>01/0</w:t>
            </w:r>
            <w:r>
              <w:rPr>
                <w:color w:val="000000"/>
                <w:szCs w:val="22"/>
              </w:rPr>
              <w:t>1</w:t>
            </w:r>
            <w:r w:rsidRPr="005607FD">
              <w:rPr>
                <w:color w:val="000000"/>
                <w:szCs w:val="22"/>
              </w:rPr>
              <w:t>/201</w:t>
            </w:r>
            <w:r>
              <w:rPr>
                <w:color w:val="000000"/>
                <w:szCs w:val="22"/>
              </w:rPr>
              <w:t>3</w:t>
            </w:r>
          </w:p>
        </w:tc>
        <w:tc>
          <w:tcPr>
            <w:tcW w:w="1022" w:type="dxa"/>
            <w:tcBorders>
              <w:bottom w:val="single" w:sz="2" w:space="0" w:color="auto"/>
            </w:tcBorders>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1.5</w:t>
            </w:r>
          </w:p>
        </w:tc>
        <w:tc>
          <w:tcPr>
            <w:tcW w:w="1023" w:type="dxa"/>
            <w:tcBorders>
              <w:bottom w:val="single" w:sz="2" w:space="0" w:color="auto"/>
            </w:tcBorders>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55.5</w:t>
            </w:r>
          </w:p>
        </w:tc>
        <w:tc>
          <w:tcPr>
            <w:tcW w:w="1023" w:type="dxa"/>
            <w:tcBorders>
              <w:bottom w:val="single" w:sz="2" w:space="0" w:color="auto"/>
            </w:tcBorders>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131.5</w:t>
            </w:r>
          </w:p>
        </w:tc>
        <w:tc>
          <w:tcPr>
            <w:tcW w:w="1022" w:type="dxa"/>
            <w:tcBorders>
              <w:bottom w:val="single" w:sz="2" w:space="0" w:color="auto"/>
            </w:tcBorders>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91.5</w:t>
            </w:r>
          </w:p>
        </w:tc>
        <w:tc>
          <w:tcPr>
            <w:tcW w:w="1023" w:type="dxa"/>
            <w:tcBorders>
              <w:bottom w:val="single" w:sz="2" w:space="0" w:color="auto"/>
            </w:tcBorders>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24.0</w:t>
            </w:r>
          </w:p>
        </w:tc>
        <w:tc>
          <w:tcPr>
            <w:tcW w:w="1023" w:type="dxa"/>
            <w:tcBorders>
              <w:bottom w:val="single" w:sz="2" w:space="0" w:color="auto"/>
            </w:tcBorders>
            <w:shd w:val="clear" w:color="auto" w:fill="auto"/>
            <w:noWrap/>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10.5</w:t>
            </w:r>
          </w:p>
        </w:tc>
        <w:tc>
          <w:tcPr>
            <w:tcW w:w="1023" w:type="dxa"/>
            <w:tcBorders>
              <w:bottom w:val="single" w:sz="2" w:space="0" w:color="auto"/>
            </w:tcBorders>
            <w:vAlign w:val="center"/>
          </w:tcPr>
          <w:p w:rsidR="00DC6802" w:rsidRPr="00545DAD" w:rsidDel="00DC6802" w:rsidRDefault="00DC6802" w:rsidP="00545DAD">
            <w:pPr>
              <w:jc w:val="center"/>
              <w:rPr>
                <w:color w:val="000000"/>
                <w:szCs w:val="22"/>
              </w:rPr>
            </w:pPr>
            <w:r w:rsidRPr="00545DAD">
              <w:rPr>
                <w:rFonts w:eastAsia="Times New Roman" w:cs="Arial"/>
                <w:color w:val="000000"/>
                <w:szCs w:val="22"/>
                <w:lang w:eastAsia="en-GB"/>
              </w:rPr>
              <w:t>1.0</w:t>
            </w:r>
          </w:p>
        </w:tc>
      </w:tr>
    </w:tbl>
    <w:p w:rsidR="00B16A01" w:rsidRDefault="00B16A01" w:rsidP="004C48AE">
      <w:pPr>
        <w:pStyle w:val="FootnoteText"/>
      </w:pPr>
      <w:bookmarkStart w:id="13" w:name="_Ref384828134"/>
      <w:r>
        <w:t xml:space="preserve">Source: </w:t>
      </w:r>
      <w:r w:rsidR="008D736C">
        <w:t>Joint Committee calculations based on CEREP data</w:t>
      </w:r>
    </w:p>
    <w:p w:rsidR="00B16A01" w:rsidRDefault="00B16A01" w:rsidP="004C48AE">
      <w:pPr>
        <w:pStyle w:val="FootnoteText"/>
        <w:sectPr w:rsidR="00B16A01" w:rsidSect="00010D71">
          <w:headerReference w:type="even" r:id="rId20"/>
          <w:headerReference w:type="default" r:id="rId21"/>
          <w:footerReference w:type="even" r:id="rId22"/>
          <w:footerReference w:type="default" r:id="rId23"/>
          <w:headerReference w:type="first" r:id="rId24"/>
          <w:footerReference w:type="first" r:id="rId25"/>
          <w:pgSz w:w="11900" w:h="16840"/>
          <w:pgMar w:top="2268" w:right="1418" w:bottom="1134" w:left="1701" w:header="709" w:footer="709" w:gutter="0"/>
          <w:cols w:space="708"/>
          <w:titlePg/>
          <w:docGrid w:linePitch="299"/>
        </w:sectPr>
      </w:pPr>
    </w:p>
    <w:p w:rsidR="008E4A6D" w:rsidRDefault="0041788D" w:rsidP="00CD7BD7">
      <w:pPr>
        <w:pStyle w:val="Figuretitle"/>
      </w:pPr>
      <w:r w:rsidRPr="0041788D">
        <w:rPr>
          <w:szCs w:val="22"/>
        </w:rPr>
        <w:lastRenderedPageBreak/>
        <w:t xml:space="preserve">Figure </w:t>
      </w:r>
      <w:bookmarkEnd w:id="13"/>
      <w:r w:rsidR="0082161F">
        <w:rPr>
          <w:szCs w:val="22"/>
        </w:rPr>
        <w:t>8</w:t>
      </w:r>
      <w:r w:rsidR="00C45D4A">
        <w:t>:</w:t>
      </w:r>
      <w:r w:rsidR="008E4A6D">
        <w:t xml:space="preserve"> </w:t>
      </w:r>
      <w:r w:rsidR="008A12E8">
        <w:t>Number of defaulted rated items</w:t>
      </w:r>
    </w:p>
    <w:p w:rsidR="00DC6802" w:rsidRDefault="00DC6802" w:rsidP="00545DAD"/>
    <w:tbl>
      <w:tblPr>
        <w:tblW w:w="8520" w:type="dxa"/>
        <w:tblInd w:w="93" w:type="dxa"/>
        <w:tblLayout w:type="fixed"/>
        <w:tblLook w:val="04A0" w:firstRow="1" w:lastRow="0" w:firstColumn="1" w:lastColumn="0" w:noHBand="0" w:noVBand="1"/>
      </w:tblPr>
      <w:tblGrid>
        <w:gridCol w:w="1361"/>
        <w:gridCol w:w="1022"/>
        <w:gridCol w:w="1023"/>
        <w:gridCol w:w="1023"/>
        <w:gridCol w:w="1022"/>
        <w:gridCol w:w="1023"/>
        <w:gridCol w:w="1023"/>
        <w:gridCol w:w="1023"/>
      </w:tblGrid>
      <w:tr w:rsidR="00DC6802" w:rsidRPr="005607FD" w:rsidTr="00DC6802">
        <w:trPr>
          <w:trHeight w:hRule="exact" w:val="397"/>
        </w:trPr>
        <w:tc>
          <w:tcPr>
            <w:tcW w:w="1361" w:type="dxa"/>
            <w:tcBorders>
              <w:bottom w:val="single" w:sz="18" w:space="0" w:color="E98E31" w:themeColor="background2"/>
            </w:tcBorders>
            <w:shd w:val="clear" w:color="auto" w:fill="auto"/>
            <w:noWrap/>
            <w:vAlign w:val="center"/>
          </w:tcPr>
          <w:p w:rsidR="00DC6802" w:rsidRPr="005607FD" w:rsidRDefault="00DC6802" w:rsidP="00DC6802">
            <w:pPr>
              <w:jc w:val="center"/>
              <w:rPr>
                <w:b/>
                <w:bCs/>
                <w:color w:val="000000"/>
                <w:szCs w:val="22"/>
              </w:rPr>
            </w:pPr>
            <w:r w:rsidRPr="005607FD">
              <w:rPr>
                <w:b/>
                <w:bCs/>
                <w:color w:val="000000"/>
                <w:szCs w:val="22"/>
              </w:rPr>
              <w:t>Date</w:t>
            </w:r>
          </w:p>
        </w:tc>
        <w:tc>
          <w:tcPr>
            <w:tcW w:w="1022" w:type="dxa"/>
            <w:tcBorders>
              <w:bottom w:val="single" w:sz="18" w:space="0" w:color="E98E31" w:themeColor="background2"/>
            </w:tcBorders>
            <w:shd w:val="clear" w:color="auto" w:fill="auto"/>
            <w:noWrap/>
            <w:vAlign w:val="center"/>
          </w:tcPr>
          <w:p w:rsidR="00DC6802" w:rsidRPr="005607FD" w:rsidRDefault="00DC6802" w:rsidP="00DC6802">
            <w:pPr>
              <w:jc w:val="center"/>
              <w:rPr>
                <w:b/>
                <w:bCs/>
                <w:color w:val="000000"/>
                <w:szCs w:val="22"/>
              </w:rPr>
            </w:pPr>
            <w:r w:rsidRPr="005607FD">
              <w:rPr>
                <w:b/>
                <w:bCs/>
                <w:color w:val="000000"/>
                <w:szCs w:val="22"/>
              </w:rPr>
              <w:t>AAA</w:t>
            </w:r>
          </w:p>
        </w:tc>
        <w:tc>
          <w:tcPr>
            <w:tcW w:w="1023" w:type="dxa"/>
            <w:tcBorders>
              <w:bottom w:val="single" w:sz="18" w:space="0" w:color="E98E31" w:themeColor="background2"/>
            </w:tcBorders>
            <w:shd w:val="clear" w:color="auto" w:fill="auto"/>
            <w:noWrap/>
            <w:vAlign w:val="center"/>
          </w:tcPr>
          <w:p w:rsidR="00DC6802" w:rsidRPr="005607FD" w:rsidRDefault="00DC6802" w:rsidP="00DC6802">
            <w:pPr>
              <w:jc w:val="center"/>
              <w:rPr>
                <w:b/>
                <w:bCs/>
                <w:color w:val="000000"/>
                <w:szCs w:val="22"/>
              </w:rPr>
            </w:pPr>
            <w:r w:rsidRPr="005607FD">
              <w:rPr>
                <w:b/>
                <w:bCs/>
                <w:color w:val="000000"/>
                <w:szCs w:val="22"/>
              </w:rPr>
              <w:t>AA</w:t>
            </w:r>
          </w:p>
        </w:tc>
        <w:tc>
          <w:tcPr>
            <w:tcW w:w="1023" w:type="dxa"/>
            <w:tcBorders>
              <w:bottom w:val="single" w:sz="18" w:space="0" w:color="E98E31" w:themeColor="background2"/>
            </w:tcBorders>
            <w:shd w:val="clear" w:color="auto" w:fill="auto"/>
            <w:noWrap/>
            <w:vAlign w:val="center"/>
          </w:tcPr>
          <w:p w:rsidR="00DC6802" w:rsidRPr="005607FD" w:rsidRDefault="00DC6802" w:rsidP="00DC6802">
            <w:pPr>
              <w:jc w:val="center"/>
              <w:rPr>
                <w:color w:val="000000"/>
                <w:szCs w:val="22"/>
              </w:rPr>
            </w:pPr>
            <w:r w:rsidRPr="005607FD">
              <w:rPr>
                <w:b/>
                <w:bCs/>
                <w:color w:val="000000"/>
                <w:szCs w:val="22"/>
              </w:rPr>
              <w:t>A</w:t>
            </w:r>
          </w:p>
        </w:tc>
        <w:tc>
          <w:tcPr>
            <w:tcW w:w="1022" w:type="dxa"/>
            <w:tcBorders>
              <w:bottom w:val="single" w:sz="18" w:space="0" w:color="E98E31" w:themeColor="background2"/>
            </w:tcBorders>
            <w:shd w:val="clear" w:color="auto" w:fill="auto"/>
            <w:noWrap/>
            <w:vAlign w:val="center"/>
          </w:tcPr>
          <w:p w:rsidR="00DC6802" w:rsidRPr="005607FD" w:rsidRDefault="00DC6802" w:rsidP="00DC6802">
            <w:pPr>
              <w:jc w:val="center"/>
              <w:rPr>
                <w:color w:val="000000"/>
                <w:szCs w:val="22"/>
              </w:rPr>
            </w:pPr>
            <w:r w:rsidRPr="005607FD">
              <w:rPr>
                <w:b/>
                <w:bCs/>
                <w:color w:val="000000"/>
                <w:szCs w:val="22"/>
              </w:rPr>
              <w:t>BBB</w:t>
            </w:r>
          </w:p>
        </w:tc>
        <w:tc>
          <w:tcPr>
            <w:tcW w:w="1023" w:type="dxa"/>
            <w:tcBorders>
              <w:bottom w:val="single" w:sz="18" w:space="0" w:color="E98E31" w:themeColor="background2"/>
            </w:tcBorders>
            <w:shd w:val="clear" w:color="auto" w:fill="auto"/>
            <w:noWrap/>
            <w:vAlign w:val="center"/>
          </w:tcPr>
          <w:p w:rsidR="00DC6802" w:rsidRPr="005607FD" w:rsidRDefault="00DC6802" w:rsidP="00DC6802">
            <w:pPr>
              <w:jc w:val="center"/>
              <w:rPr>
                <w:color w:val="000000"/>
                <w:szCs w:val="22"/>
              </w:rPr>
            </w:pPr>
            <w:r w:rsidRPr="005607FD">
              <w:rPr>
                <w:b/>
                <w:bCs/>
                <w:color w:val="000000"/>
                <w:szCs w:val="22"/>
              </w:rPr>
              <w:t>BB</w:t>
            </w:r>
          </w:p>
        </w:tc>
        <w:tc>
          <w:tcPr>
            <w:tcW w:w="1023" w:type="dxa"/>
            <w:tcBorders>
              <w:bottom w:val="single" w:sz="18" w:space="0" w:color="E98E31" w:themeColor="background2"/>
            </w:tcBorders>
            <w:shd w:val="clear" w:color="auto" w:fill="auto"/>
            <w:noWrap/>
            <w:vAlign w:val="center"/>
          </w:tcPr>
          <w:p w:rsidR="00DC6802" w:rsidRPr="005607FD" w:rsidRDefault="00DC6802" w:rsidP="00DC6802">
            <w:pPr>
              <w:jc w:val="center"/>
              <w:rPr>
                <w:color w:val="000000"/>
                <w:szCs w:val="22"/>
              </w:rPr>
            </w:pPr>
            <w:r w:rsidRPr="005607FD">
              <w:rPr>
                <w:b/>
                <w:bCs/>
                <w:color w:val="000000"/>
                <w:szCs w:val="22"/>
              </w:rPr>
              <w:t>B</w:t>
            </w:r>
          </w:p>
        </w:tc>
        <w:tc>
          <w:tcPr>
            <w:tcW w:w="1023" w:type="dxa"/>
            <w:tcBorders>
              <w:bottom w:val="single" w:sz="18" w:space="0" w:color="E98E31" w:themeColor="background2"/>
            </w:tcBorders>
            <w:vAlign w:val="center"/>
          </w:tcPr>
          <w:p w:rsidR="00DC6802" w:rsidRPr="005607FD" w:rsidRDefault="00DC6802" w:rsidP="00DC6802">
            <w:pPr>
              <w:jc w:val="center"/>
              <w:rPr>
                <w:b/>
                <w:color w:val="000000"/>
                <w:szCs w:val="22"/>
              </w:rPr>
            </w:pPr>
            <w:r>
              <w:rPr>
                <w:b/>
                <w:color w:val="000000"/>
                <w:szCs w:val="22"/>
              </w:rPr>
              <w:t>CCC-C</w:t>
            </w:r>
          </w:p>
        </w:tc>
      </w:tr>
      <w:tr w:rsidR="00DC6802" w:rsidRPr="005607FD" w:rsidTr="00DC6802">
        <w:trPr>
          <w:trHeight w:hRule="exact" w:val="397"/>
        </w:trPr>
        <w:tc>
          <w:tcPr>
            <w:tcW w:w="1361" w:type="dxa"/>
            <w:tcBorders>
              <w:top w:val="single" w:sz="18" w:space="0" w:color="E98E31" w:themeColor="background2"/>
            </w:tcBorders>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01/01/2000</w:t>
            </w:r>
          </w:p>
        </w:tc>
        <w:tc>
          <w:tcPr>
            <w:tcW w:w="1022" w:type="dxa"/>
            <w:tcBorders>
              <w:top w:val="single" w:sz="18" w:space="0" w:color="E98E31" w:themeColor="background2"/>
            </w:tcBorders>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tcBorders>
              <w:top w:val="single" w:sz="18" w:space="0" w:color="E98E31" w:themeColor="background2"/>
            </w:tcBorders>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tcBorders>
              <w:top w:val="single" w:sz="18" w:space="0" w:color="E98E31" w:themeColor="background2"/>
            </w:tcBorders>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tcBorders>
              <w:top w:val="single" w:sz="18" w:space="0" w:color="E98E31" w:themeColor="background2"/>
            </w:tcBorders>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tcBorders>
              <w:top w:val="single" w:sz="18" w:space="0" w:color="E98E31" w:themeColor="background2"/>
            </w:tcBorders>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tcBorders>
              <w:top w:val="single" w:sz="18" w:space="0" w:color="E98E31" w:themeColor="background2"/>
            </w:tcBorders>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tcBorders>
              <w:top w:val="single" w:sz="18" w:space="0" w:color="E98E31" w:themeColor="background2"/>
            </w:tcBorders>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vAlign w:val="center"/>
          </w:tcPr>
          <w:p w:rsidR="00DC6802" w:rsidRPr="00AC5F7A" w:rsidRDefault="00562863" w:rsidP="00DC6802">
            <w:pPr>
              <w:jc w:val="center"/>
              <w:rPr>
                <w:color w:val="000000"/>
                <w:szCs w:val="22"/>
              </w:rPr>
            </w:pPr>
            <w:r w:rsidRPr="00545DAD">
              <w:rPr>
                <w:rFonts w:eastAsia="Times New Roman" w:cs="Arial"/>
                <w:color w:val="000000"/>
                <w:szCs w:val="22"/>
                <w:lang w:eastAsia="en-GB"/>
              </w:rPr>
              <w:t>0.0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01/01/2001</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vAlign w:val="center"/>
          </w:tcPr>
          <w:p w:rsidR="00DC6802" w:rsidRPr="00AC5F7A" w:rsidRDefault="00562863" w:rsidP="00DC6802">
            <w:pPr>
              <w:jc w:val="center"/>
              <w:rPr>
                <w:color w:val="000000"/>
                <w:szCs w:val="22"/>
              </w:rPr>
            </w:pPr>
            <w:r w:rsidRPr="00545DAD">
              <w:rPr>
                <w:rFonts w:eastAsia="Times New Roman" w:cs="Arial"/>
                <w:color w:val="000000"/>
                <w:szCs w:val="22"/>
                <w:lang w:eastAsia="en-GB"/>
              </w:rPr>
              <w:t>0.0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01/07/2001</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vAlign w:val="center"/>
          </w:tcPr>
          <w:p w:rsidR="00DC6802" w:rsidRPr="00AC5F7A" w:rsidRDefault="00562863" w:rsidP="00DC6802">
            <w:pPr>
              <w:jc w:val="center"/>
              <w:rPr>
                <w:color w:val="000000"/>
                <w:szCs w:val="22"/>
              </w:rPr>
            </w:pPr>
            <w:r w:rsidRPr="00545DAD">
              <w:rPr>
                <w:rFonts w:eastAsia="Times New Roman" w:cs="Arial"/>
                <w:color w:val="000000"/>
                <w:szCs w:val="22"/>
                <w:lang w:eastAsia="en-GB"/>
              </w:rPr>
              <w:t>0.0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01/01/2002</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c>
          <w:tcPr>
            <w:tcW w:w="1023" w:type="dxa"/>
            <w:vAlign w:val="center"/>
          </w:tcPr>
          <w:p w:rsidR="00DC6802" w:rsidRPr="00AC5F7A" w:rsidRDefault="00562863" w:rsidP="00DC6802">
            <w:pPr>
              <w:jc w:val="center"/>
              <w:rPr>
                <w:color w:val="000000"/>
                <w:szCs w:val="22"/>
              </w:rPr>
            </w:pPr>
            <w:r w:rsidRPr="00545DAD">
              <w:rPr>
                <w:rFonts w:eastAsia="Times New Roman" w:cs="Arial"/>
                <w:color w:val="000000"/>
                <w:szCs w:val="22"/>
                <w:lang w:eastAsia="en-GB"/>
              </w:rPr>
              <w:t>0.0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01/07/2002</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01/01/2003</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01/07/2003</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01/01/2004</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01/07/2004</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vAlign w:val="center"/>
          </w:tcPr>
          <w:p w:rsidR="00DC6802" w:rsidRPr="00AC5F7A" w:rsidRDefault="00562863" w:rsidP="00DC6802">
            <w:pPr>
              <w:jc w:val="center"/>
              <w:rPr>
                <w:color w:val="000000"/>
                <w:szCs w:val="22"/>
              </w:rPr>
            </w:pPr>
            <w:r w:rsidRPr="00545DAD">
              <w:rPr>
                <w:rFonts w:eastAsia="Times New Roman" w:cs="Arial"/>
                <w:color w:val="000000"/>
                <w:szCs w:val="22"/>
                <w:lang w:eastAsia="en-GB"/>
              </w:rPr>
              <w:t>0.0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01/01/2005</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01/07/2005</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01/01/2006</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01/07/2006</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5.0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01/01/2007</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6.0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01/07/2007</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4.0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4.0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01/01/2008</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4.0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4.0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01/07/2008</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5.0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01/01/2009</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4.0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01/07/2009</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3.0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01/01/2010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r>
      <w:tr w:rsidR="00DC6802" w:rsidRPr="005607FD" w:rsidTr="00DC6802">
        <w:trPr>
          <w:trHeight w:hRule="exact" w:val="397"/>
        </w:trPr>
        <w:tc>
          <w:tcPr>
            <w:tcW w:w="1361" w:type="dxa"/>
            <w:shd w:val="clear" w:color="auto" w:fill="auto"/>
            <w:noWrap/>
            <w:vAlign w:val="center"/>
            <w:hideMark/>
          </w:tcPr>
          <w:p w:rsidR="00DC6802" w:rsidRPr="00AC5F7A" w:rsidRDefault="00DC6802" w:rsidP="00DC6802">
            <w:pPr>
              <w:jc w:val="center"/>
              <w:rPr>
                <w:color w:val="000000"/>
                <w:szCs w:val="22"/>
              </w:rPr>
            </w:pPr>
            <w:r w:rsidRPr="00AC5F7A">
              <w:rPr>
                <w:color w:val="000000"/>
                <w:szCs w:val="22"/>
              </w:rPr>
              <w:t>01/07/2010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2"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0.0</w:t>
            </w:r>
          </w:p>
        </w:tc>
        <w:tc>
          <w:tcPr>
            <w:tcW w:w="1023" w:type="dxa"/>
            <w:vAlign w:val="center"/>
          </w:tcPr>
          <w:p w:rsidR="00DC6802" w:rsidRPr="00AC5F7A" w:rsidRDefault="00DC6802" w:rsidP="00DC6802">
            <w:pPr>
              <w:jc w:val="center"/>
              <w:rPr>
                <w:color w:val="000000"/>
                <w:szCs w:val="22"/>
              </w:rPr>
            </w:pPr>
            <w:r w:rsidRPr="00545DAD">
              <w:rPr>
                <w:rFonts w:eastAsia="Times New Roman" w:cs="Arial"/>
                <w:color w:val="000000"/>
                <w:szCs w:val="22"/>
                <w:lang w:eastAsia="en-GB"/>
              </w:rPr>
              <w:t>2.0</w:t>
            </w:r>
          </w:p>
        </w:tc>
      </w:tr>
      <w:tr w:rsidR="00DC6802" w:rsidRPr="005607FD" w:rsidTr="00DC6802">
        <w:trPr>
          <w:trHeight w:hRule="exact" w:val="397"/>
        </w:trPr>
        <w:tc>
          <w:tcPr>
            <w:tcW w:w="1361" w:type="dxa"/>
            <w:shd w:val="clear" w:color="auto" w:fill="auto"/>
            <w:noWrap/>
            <w:vAlign w:val="center"/>
          </w:tcPr>
          <w:p w:rsidR="00DC6802" w:rsidRPr="00AC5F7A" w:rsidRDefault="00DC6802" w:rsidP="00DC6802">
            <w:pPr>
              <w:jc w:val="center"/>
              <w:rPr>
                <w:color w:val="000000"/>
                <w:szCs w:val="22"/>
              </w:rPr>
            </w:pPr>
            <w:r w:rsidRPr="00AC5F7A">
              <w:rPr>
                <w:color w:val="000000"/>
                <w:szCs w:val="22"/>
              </w:rPr>
              <w:t>01/01/2011</w:t>
            </w:r>
          </w:p>
        </w:tc>
        <w:tc>
          <w:tcPr>
            <w:tcW w:w="1022"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2.0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2.0</w:t>
            </w:r>
          </w:p>
        </w:tc>
      </w:tr>
      <w:tr w:rsidR="00DC6802" w:rsidRPr="005607FD" w:rsidTr="00DC6802">
        <w:trPr>
          <w:trHeight w:hRule="exact" w:val="397"/>
        </w:trPr>
        <w:tc>
          <w:tcPr>
            <w:tcW w:w="1361" w:type="dxa"/>
            <w:shd w:val="clear" w:color="auto" w:fill="auto"/>
            <w:noWrap/>
            <w:vAlign w:val="center"/>
          </w:tcPr>
          <w:p w:rsidR="00DC6802" w:rsidRPr="00AC5F7A" w:rsidRDefault="00DC6802" w:rsidP="00DC6802">
            <w:pPr>
              <w:jc w:val="center"/>
              <w:rPr>
                <w:color w:val="000000"/>
                <w:szCs w:val="22"/>
              </w:rPr>
            </w:pPr>
            <w:r w:rsidRPr="00AC5F7A">
              <w:rPr>
                <w:color w:val="000000"/>
                <w:szCs w:val="22"/>
              </w:rPr>
              <w:t>01/07/2011</w:t>
            </w:r>
          </w:p>
        </w:tc>
        <w:tc>
          <w:tcPr>
            <w:tcW w:w="1022"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3.0</w:t>
            </w:r>
          </w:p>
        </w:tc>
      </w:tr>
      <w:tr w:rsidR="00DC6802" w:rsidRPr="005607FD" w:rsidTr="00DC6802">
        <w:trPr>
          <w:trHeight w:hRule="exact" w:val="397"/>
        </w:trPr>
        <w:tc>
          <w:tcPr>
            <w:tcW w:w="1361" w:type="dxa"/>
            <w:shd w:val="clear" w:color="auto" w:fill="auto"/>
            <w:noWrap/>
            <w:vAlign w:val="center"/>
          </w:tcPr>
          <w:p w:rsidR="00DC6802" w:rsidRPr="00AC5F7A" w:rsidRDefault="00DC6802" w:rsidP="00DC6802">
            <w:pPr>
              <w:jc w:val="center"/>
              <w:rPr>
                <w:color w:val="000000"/>
                <w:szCs w:val="22"/>
              </w:rPr>
            </w:pPr>
            <w:r w:rsidRPr="00AC5F7A">
              <w:rPr>
                <w:color w:val="000000"/>
                <w:szCs w:val="22"/>
              </w:rPr>
              <w:t>01/01/2012</w:t>
            </w:r>
          </w:p>
        </w:tc>
        <w:tc>
          <w:tcPr>
            <w:tcW w:w="1022"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3.0</w:t>
            </w:r>
          </w:p>
        </w:tc>
      </w:tr>
      <w:tr w:rsidR="00DC6802" w:rsidRPr="005607FD" w:rsidTr="00DC6802">
        <w:trPr>
          <w:trHeight w:hRule="exact" w:val="397"/>
        </w:trPr>
        <w:tc>
          <w:tcPr>
            <w:tcW w:w="1361" w:type="dxa"/>
            <w:shd w:val="clear" w:color="auto" w:fill="auto"/>
            <w:noWrap/>
            <w:vAlign w:val="center"/>
          </w:tcPr>
          <w:p w:rsidR="00DC6802" w:rsidRPr="00AC5F7A" w:rsidRDefault="00DC6802" w:rsidP="00DC6802">
            <w:pPr>
              <w:jc w:val="center"/>
              <w:rPr>
                <w:color w:val="000000"/>
                <w:szCs w:val="22"/>
              </w:rPr>
            </w:pPr>
            <w:r w:rsidRPr="00AC5F7A">
              <w:rPr>
                <w:color w:val="000000"/>
                <w:szCs w:val="22"/>
              </w:rPr>
              <w:t>01/07/2012</w:t>
            </w:r>
          </w:p>
        </w:tc>
        <w:tc>
          <w:tcPr>
            <w:tcW w:w="1022"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2"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1.0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1.0</w:t>
            </w:r>
          </w:p>
        </w:tc>
        <w:tc>
          <w:tcPr>
            <w:tcW w:w="1023" w:type="dxa"/>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2.0</w:t>
            </w:r>
          </w:p>
        </w:tc>
      </w:tr>
      <w:tr w:rsidR="00DC6802" w:rsidRPr="005607FD" w:rsidTr="00DC6802">
        <w:trPr>
          <w:trHeight w:hRule="exact" w:val="397"/>
        </w:trPr>
        <w:tc>
          <w:tcPr>
            <w:tcW w:w="1361" w:type="dxa"/>
            <w:tcBorders>
              <w:bottom w:val="single" w:sz="2" w:space="0" w:color="auto"/>
            </w:tcBorders>
            <w:shd w:val="clear" w:color="auto" w:fill="auto"/>
            <w:noWrap/>
            <w:vAlign w:val="center"/>
          </w:tcPr>
          <w:p w:rsidR="00DC6802" w:rsidRPr="00AC5F7A" w:rsidRDefault="00DC6802" w:rsidP="00DC6802">
            <w:pPr>
              <w:jc w:val="center"/>
              <w:rPr>
                <w:color w:val="000000"/>
                <w:szCs w:val="22"/>
              </w:rPr>
            </w:pPr>
            <w:r w:rsidRPr="00AC5F7A">
              <w:rPr>
                <w:color w:val="000000"/>
                <w:szCs w:val="22"/>
              </w:rPr>
              <w:t>01/01/2013</w:t>
            </w:r>
          </w:p>
        </w:tc>
        <w:tc>
          <w:tcPr>
            <w:tcW w:w="1022" w:type="dxa"/>
            <w:tcBorders>
              <w:bottom w:val="single" w:sz="2" w:space="0" w:color="auto"/>
            </w:tcBorders>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tcBorders>
              <w:bottom w:val="single" w:sz="2" w:space="0" w:color="auto"/>
            </w:tcBorders>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tcBorders>
              <w:bottom w:val="single" w:sz="2" w:space="0" w:color="auto"/>
            </w:tcBorders>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2" w:type="dxa"/>
            <w:tcBorders>
              <w:bottom w:val="single" w:sz="2" w:space="0" w:color="auto"/>
            </w:tcBorders>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1.0</w:t>
            </w:r>
          </w:p>
        </w:tc>
        <w:tc>
          <w:tcPr>
            <w:tcW w:w="1023" w:type="dxa"/>
            <w:tcBorders>
              <w:bottom w:val="single" w:sz="2" w:space="0" w:color="auto"/>
            </w:tcBorders>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0.0</w:t>
            </w:r>
          </w:p>
        </w:tc>
        <w:tc>
          <w:tcPr>
            <w:tcW w:w="1023" w:type="dxa"/>
            <w:tcBorders>
              <w:bottom w:val="single" w:sz="2" w:space="0" w:color="auto"/>
            </w:tcBorders>
            <w:shd w:val="clear" w:color="auto" w:fill="auto"/>
            <w:noWrap/>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1.0</w:t>
            </w:r>
          </w:p>
        </w:tc>
        <w:tc>
          <w:tcPr>
            <w:tcW w:w="1023" w:type="dxa"/>
            <w:tcBorders>
              <w:bottom w:val="single" w:sz="2" w:space="0" w:color="auto"/>
            </w:tcBorders>
            <w:vAlign w:val="center"/>
          </w:tcPr>
          <w:p w:rsidR="00DC6802" w:rsidRPr="00AC5F7A" w:rsidDel="00DC6802" w:rsidRDefault="00DC6802" w:rsidP="00DC6802">
            <w:pPr>
              <w:jc w:val="center"/>
              <w:rPr>
                <w:color w:val="000000"/>
                <w:szCs w:val="22"/>
              </w:rPr>
            </w:pPr>
            <w:r w:rsidRPr="00545DAD">
              <w:rPr>
                <w:rFonts w:eastAsia="Times New Roman" w:cs="Arial"/>
                <w:color w:val="000000"/>
                <w:szCs w:val="22"/>
                <w:lang w:eastAsia="en-GB"/>
              </w:rPr>
              <w:t>1.0</w:t>
            </w:r>
          </w:p>
        </w:tc>
      </w:tr>
    </w:tbl>
    <w:p w:rsidR="00DC6802" w:rsidRPr="00361F71" w:rsidRDefault="00DC6802" w:rsidP="00545DAD"/>
    <w:p w:rsidR="00B16A01" w:rsidRDefault="00B16A01" w:rsidP="004C48AE">
      <w:pPr>
        <w:pStyle w:val="FootnoteText"/>
      </w:pPr>
      <w:r>
        <w:t xml:space="preserve">Source: </w:t>
      </w:r>
      <w:r w:rsidR="008D736C">
        <w:t>Joint Committee calculations based on CEREP data</w:t>
      </w:r>
    </w:p>
    <w:p w:rsidR="008A12E8" w:rsidRDefault="008A12E8">
      <w:pPr>
        <w:rPr>
          <w:rFonts w:eastAsia="Times New Roman" w:cstheme="minorHAnsi"/>
          <w:bCs/>
          <w:color w:val="000000"/>
          <w:sz w:val="20"/>
          <w:szCs w:val="22"/>
          <w:lang w:val="en-US"/>
        </w:rPr>
      </w:pPr>
      <w:r>
        <w:rPr>
          <w:lang w:val="en-US"/>
        </w:rPr>
        <w:br w:type="page"/>
      </w:r>
    </w:p>
    <w:p w:rsidR="00010D71" w:rsidRDefault="0041788D" w:rsidP="00CD7BD7">
      <w:pPr>
        <w:pStyle w:val="Figuretitle"/>
      </w:pPr>
      <w:bookmarkStart w:id="14" w:name="_Ref384827792"/>
      <w:r w:rsidRPr="0041788D">
        <w:rPr>
          <w:szCs w:val="22"/>
        </w:rPr>
        <w:lastRenderedPageBreak/>
        <w:t xml:space="preserve">Figure </w:t>
      </w:r>
      <w:bookmarkEnd w:id="14"/>
      <w:r w:rsidR="0082161F">
        <w:rPr>
          <w:szCs w:val="22"/>
        </w:rPr>
        <w:t>9</w:t>
      </w:r>
      <w:r w:rsidR="00C45D4A">
        <w:t>:</w:t>
      </w:r>
      <w:r w:rsidR="00010D71">
        <w:t xml:space="preserve"> Short-run and long-run observed default rates</w:t>
      </w:r>
      <w:r w:rsidR="00010D71">
        <w:tab/>
      </w:r>
    </w:p>
    <w:p w:rsidR="00DC6802" w:rsidRPr="00361F71" w:rsidRDefault="00DC6802" w:rsidP="00545DAD"/>
    <w:tbl>
      <w:tblPr>
        <w:tblW w:w="7555" w:type="dxa"/>
        <w:tblInd w:w="93" w:type="dxa"/>
        <w:tblLayout w:type="fixed"/>
        <w:tblLook w:val="04A0" w:firstRow="1" w:lastRow="0" w:firstColumn="1" w:lastColumn="0" w:noHBand="0" w:noVBand="1"/>
      </w:tblPr>
      <w:tblGrid>
        <w:gridCol w:w="2425"/>
        <w:gridCol w:w="1710"/>
        <w:gridCol w:w="1710"/>
        <w:gridCol w:w="1710"/>
      </w:tblGrid>
      <w:tr w:rsidR="00DC6802" w:rsidRPr="005607FD" w:rsidTr="00545DAD">
        <w:trPr>
          <w:trHeight w:hRule="exact" w:val="397"/>
        </w:trPr>
        <w:tc>
          <w:tcPr>
            <w:tcW w:w="2425" w:type="dxa"/>
            <w:tcBorders>
              <w:bottom w:val="single" w:sz="18" w:space="0" w:color="E98E31" w:themeColor="background2"/>
            </w:tcBorders>
            <w:shd w:val="clear" w:color="auto" w:fill="auto"/>
            <w:noWrap/>
            <w:vAlign w:val="center"/>
          </w:tcPr>
          <w:p w:rsidR="00DC6802" w:rsidRPr="005607FD" w:rsidRDefault="00DC6802" w:rsidP="00DC6802">
            <w:pPr>
              <w:jc w:val="center"/>
              <w:rPr>
                <w:b/>
                <w:bCs/>
                <w:color w:val="000000"/>
                <w:szCs w:val="22"/>
              </w:rPr>
            </w:pPr>
            <w:r w:rsidRPr="005607FD">
              <w:rPr>
                <w:b/>
                <w:bCs/>
                <w:color w:val="000000"/>
                <w:szCs w:val="22"/>
              </w:rPr>
              <w:t>Date</w:t>
            </w:r>
          </w:p>
        </w:tc>
        <w:tc>
          <w:tcPr>
            <w:tcW w:w="1710" w:type="dxa"/>
            <w:tcBorders>
              <w:bottom w:val="single" w:sz="18" w:space="0" w:color="E98E31" w:themeColor="background2"/>
            </w:tcBorders>
            <w:shd w:val="clear" w:color="auto" w:fill="auto"/>
            <w:noWrap/>
            <w:vAlign w:val="center"/>
          </w:tcPr>
          <w:p w:rsidR="00DC6802" w:rsidRPr="005607FD" w:rsidRDefault="00DC6802" w:rsidP="00DC6802">
            <w:pPr>
              <w:jc w:val="center"/>
              <w:rPr>
                <w:color w:val="000000"/>
                <w:szCs w:val="22"/>
              </w:rPr>
            </w:pPr>
            <w:r w:rsidRPr="005607FD">
              <w:rPr>
                <w:b/>
                <w:bCs/>
                <w:color w:val="000000"/>
                <w:szCs w:val="22"/>
              </w:rPr>
              <w:t>BBB</w:t>
            </w:r>
          </w:p>
        </w:tc>
        <w:tc>
          <w:tcPr>
            <w:tcW w:w="1710" w:type="dxa"/>
            <w:tcBorders>
              <w:bottom w:val="single" w:sz="18" w:space="0" w:color="E98E31" w:themeColor="background2"/>
            </w:tcBorders>
            <w:shd w:val="clear" w:color="auto" w:fill="auto"/>
            <w:noWrap/>
            <w:vAlign w:val="center"/>
          </w:tcPr>
          <w:p w:rsidR="00DC6802" w:rsidRPr="005607FD" w:rsidRDefault="00DC6802" w:rsidP="00DC6802">
            <w:pPr>
              <w:jc w:val="center"/>
              <w:rPr>
                <w:color w:val="000000"/>
                <w:szCs w:val="22"/>
              </w:rPr>
            </w:pPr>
            <w:r w:rsidRPr="005607FD">
              <w:rPr>
                <w:b/>
                <w:bCs/>
                <w:color w:val="000000"/>
                <w:szCs w:val="22"/>
              </w:rPr>
              <w:t>BB</w:t>
            </w:r>
          </w:p>
        </w:tc>
        <w:tc>
          <w:tcPr>
            <w:tcW w:w="1710" w:type="dxa"/>
            <w:tcBorders>
              <w:bottom w:val="single" w:sz="18" w:space="0" w:color="E98E31" w:themeColor="background2"/>
            </w:tcBorders>
            <w:shd w:val="clear" w:color="auto" w:fill="auto"/>
            <w:noWrap/>
            <w:vAlign w:val="center"/>
          </w:tcPr>
          <w:p w:rsidR="00DC6802" w:rsidRPr="005607FD" w:rsidRDefault="00DC6802" w:rsidP="00DC6802">
            <w:pPr>
              <w:jc w:val="center"/>
              <w:rPr>
                <w:color w:val="000000"/>
                <w:szCs w:val="22"/>
              </w:rPr>
            </w:pPr>
            <w:r w:rsidRPr="005607FD">
              <w:rPr>
                <w:b/>
                <w:bCs/>
                <w:color w:val="000000"/>
                <w:szCs w:val="22"/>
              </w:rPr>
              <w:t>B</w:t>
            </w:r>
          </w:p>
        </w:tc>
      </w:tr>
      <w:tr w:rsidR="00464437" w:rsidRPr="005607FD" w:rsidTr="00545DAD">
        <w:trPr>
          <w:trHeight w:hRule="exact" w:val="397"/>
        </w:trPr>
        <w:tc>
          <w:tcPr>
            <w:tcW w:w="2425" w:type="dxa"/>
            <w:tcBorders>
              <w:top w:val="single" w:sz="18" w:space="0" w:color="E98E31" w:themeColor="background2"/>
            </w:tcBorders>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01/01/2000</w:t>
            </w:r>
          </w:p>
        </w:tc>
        <w:tc>
          <w:tcPr>
            <w:tcW w:w="1710" w:type="dxa"/>
            <w:tcBorders>
              <w:top w:val="single" w:sz="18" w:space="0" w:color="E98E31" w:themeColor="background2"/>
            </w:tcBorders>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3.57%</w:t>
            </w:r>
          </w:p>
        </w:tc>
        <w:tc>
          <w:tcPr>
            <w:tcW w:w="1710" w:type="dxa"/>
            <w:tcBorders>
              <w:top w:val="single" w:sz="18" w:space="0" w:color="E98E31" w:themeColor="background2"/>
            </w:tcBorders>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tcBorders>
              <w:top w:val="single" w:sz="18" w:space="0" w:color="E98E31" w:themeColor="background2"/>
            </w:tcBorders>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80.00%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5.45%</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66.67%</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01/01/2001</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3.31%</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9.09%</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80.00%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01/07/2001</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4.96%</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8.70%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80.00%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01/01/2002</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1.46%</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16.00%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100.00%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01/07/2002</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8.00%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100.00%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01/01/2003</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8.00%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50.00%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01/07/2003</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7.14%</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01/01/2004</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22.22%</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01/07/2004</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01/01/2005</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3.23%</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01/07/2005</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0.78%</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2.90%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9.09%</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01/01/2006</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5.33%</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14.81%</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01/07/2006</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1.56%</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15.63%</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31.58%</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01/01/2007</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2.28%</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20.34%</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27.27%</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01/07/2007</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1.59%</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14.04%</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34.78%</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01/01/2008</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0.85%</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10.34%</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33.33%</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01/07/2008</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0.91%</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4.55%</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37.04%</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01/01/2009</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0.92%</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26.67%</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01/07/2009</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11.76%</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01/01/2010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1.16%</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16.67%</w:t>
            </w:r>
          </w:p>
        </w:tc>
      </w:tr>
      <w:tr w:rsidR="00464437" w:rsidRPr="005607FD" w:rsidTr="00545DAD">
        <w:trPr>
          <w:trHeight w:hRule="exact" w:val="397"/>
        </w:trPr>
        <w:tc>
          <w:tcPr>
            <w:tcW w:w="2425" w:type="dxa"/>
            <w:shd w:val="clear" w:color="auto" w:fill="auto"/>
            <w:noWrap/>
            <w:vAlign w:val="center"/>
            <w:hideMark/>
          </w:tcPr>
          <w:p w:rsidR="00464437" w:rsidRPr="00466E8C" w:rsidRDefault="00464437" w:rsidP="00DC6802">
            <w:pPr>
              <w:jc w:val="center"/>
              <w:rPr>
                <w:color w:val="000000"/>
                <w:szCs w:val="22"/>
              </w:rPr>
            </w:pPr>
            <w:r w:rsidRPr="00466E8C">
              <w:rPr>
                <w:color w:val="000000"/>
                <w:szCs w:val="22"/>
              </w:rPr>
              <w:t>01/07/2010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1.05%</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RDefault="00464437" w:rsidP="00DC6802">
            <w:pPr>
              <w:jc w:val="center"/>
              <w:rPr>
                <w:color w:val="000000"/>
                <w:szCs w:val="22"/>
              </w:rPr>
            </w:pPr>
            <w:r w:rsidRPr="00545DAD">
              <w:rPr>
                <w:rFonts w:eastAsia="Times New Roman" w:cs="Arial"/>
                <w:color w:val="000000"/>
                <w:szCs w:val="22"/>
                <w:lang w:eastAsia="en-GB"/>
              </w:rPr>
              <w:t>0.00%</w:t>
            </w:r>
          </w:p>
        </w:tc>
      </w:tr>
      <w:tr w:rsidR="00464437" w:rsidRPr="005607FD" w:rsidTr="00545DAD">
        <w:trPr>
          <w:trHeight w:hRule="exact" w:val="397"/>
        </w:trPr>
        <w:tc>
          <w:tcPr>
            <w:tcW w:w="2425" w:type="dxa"/>
            <w:shd w:val="clear" w:color="auto" w:fill="auto"/>
            <w:noWrap/>
            <w:vAlign w:val="center"/>
          </w:tcPr>
          <w:p w:rsidR="00464437" w:rsidRPr="00466E8C" w:rsidRDefault="00464437" w:rsidP="00DC6802">
            <w:pPr>
              <w:jc w:val="center"/>
              <w:rPr>
                <w:color w:val="000000"/>
                <w:szCs w:val="22"/>
              </w:rPr>
            </w:pPr>
            <w:r w:rsidRPr="00466E8C">
              <w:rPr>
                <w:color w:val="000000"/>
                <w:szCs w:val="22"/>
              </w:rPr>
              <w:t>01/01/2011</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2.08%</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0.00%</w:t>
            </w:r>
          </w:p>
        </w:tc>
      </w:tr>
      <w:tr w:rsidR="00464437" w:rsidRPr="005607FD" w:rsidTr="00545DAD">
        <w:trPr>
          <w:trHeight w:hRule="exact" w:val="397"/>
        </w:trPr>
        <w:tc>
          <w:tcPr>
            <w:tcW w:w="2425" w:type="dxa"/>
            <w:shd w:val="clear" w:color="auto" w:fill="auto"/>
            <w:noWrap/>
            <w:vAlign w:val="center"/>
          </w:tcPr>
          <w:p w:rsidR="00464437" w:rsidRPr="00466E8C" w:rsidRDefault="00464437" w:rsidP="00DC6802">
            <w:pPr>
              <w:jc w:val="center"/>
              <w:rPr>
                <w:color w:val="000000"/>
                <w:szCs w:val="22"/>
              </w:rPr>
            </w:pPr>
            <w:r w:rsidRPr="00466E8C">
              <w:rPr>
                <w:color w:val="000000"/>
                <w:szCs w:val="22"/>
              </w:rPr>
              <w:t>01/07/2011</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1.03%</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0.00%</w:t>
            </w:r>
          </w:p>
        </w:tc>
      </w:tr>
      <w:tr w:rsidR="00464437" w:rsidRPr="005607FD" w:rsidTr="00545DAD">
        <w:trPr>
          <w:trHeight w:hRule="exact" w:val="397"/>
        </w:trPr>
        <w:tc>
          <w:tcPr>
            <w:tcW w:w="2425" w:type="dxa"/>
            <w:shd w:val="clear" w:color="auto" w:fill="auto"/>
            <w:noWrap/>
            <w:vAlign w:val="center"/>
          </w:tcPr>
          <w:p w:rsidR="00464437" w:rsidRPr="00466E8C" w:rsidRDefault="00464437" w:rsidP="00DC6802">
            <w:pPr>
              <w:jc w:val="center"/>
              <w:rPr>
                <w:color w:val="000000"/>
                <w:szCs w:val="22"/>
              </w:rPr>
            </w:pPr>
            <w:r w:rsidRPr="00466E8C">
              <w:rPr>
                <w:color w:val="000000"/>
                <w:szCs w:val="22"/>
              </w:rPr>
              <w:t>01/01/2012</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1.09%</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4.26%</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0.00%</w:t>
            </w:r>
          </w:p>
        </w:tc>
      </w:tr>
      <w:tr w:rsidR="00464437" w:rsidRPr="005607FD" w:rsidTr="00545DAD">
        <w:trPr>
          <w:trHeight w:hRule="exact" w:val="397"/>
        </w:trPr>
        <w:tc>
          <w:tcPr>
            <w:tcW w:w="2425" w:type="dxa"/>
            <w:shd w:val="clear" w:color="auto" w:fill="auto"/>
            <w:noWrap/>
            <w:vAlign w:val="center"/>
          </w:tcPr>
          <w:p w:rsidR="00464437" w:rsidRPr="00466E8C" w:rsidRDefault="00464437" w:rsidP="00DC6802">
            <w:pPr>
              <w:jc w:val="center"/>
              <w:rPr>
                <w:color w:val="000000"/>
                <w:szCs w:val="22"/>
              </w:rPr>
            </w:pPr>
            <w:r w:rsidRPr="00466E8C">
              <w:rPr>
                <w:color w:val="000000"/>
                <w:szCs w:val="22"/>
              </w:rPr>
              <w:t>01/07/2012</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1.13%</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0.00%</w:t>
            </w:r>
          </w:p>
        </w:tc>
        <w:tc>
          <w:tcPr>
            <w:tcW w:w="1710" w:type="dxa"/>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12.50%</w:t>
            </w:r>
          </w:p>
        </w:tc>
      </w:tr>
      <w:tr w:rsidR="00464437" w:rsidRPr="005607FD" w:rsidTr="00545DAD">
        <w:trPr>
          <w:trHeight w:hRule="exact" w:val="397"/>
        </w:trPr>
        <w:tc>
          <w:tcPr>
            <w:tcW w:w="2425" w:type="dxa"/>
            <w:tcBorders>
              <w:bottom w:val="single" w:sz="2" w:space="0" w:color="000000" w:themeColor="text1"/>
            </w:tcBorders>
            <w:shd w:val="clear" w:color="auto" w:fill="auto"/>
            <w:noWrap/>
            <w:vAlign w:val="center"/>
          </w:tcPr>
          <w:p w:rsidR="00464437" w:rsidRPr="00466E8C" w:rsidRDefault="00464437" w:rsidP="00DC6802">
            <w:pPr>
              <w:jc w:val="center"/>
              <w:rPr>
                <w:color w:val="000000"/>
                <w:szCs w:val="22"/>
              </w:rPr>
            </w:pPr>
            <w:r w:rsidRPr="00466E8C">
              <w:rPr>
                <w:color w:val="000000"/>
                <w:szCs w:val="22"/>
              </w:rPr>
              <w:t>01/01/2013</w:t>
            </w:r>
          </w:p>
        </w:tc>
        <w:tc>
          <w:tcPr>
            <w:tcW w:w="1710" w:type="dxa"/>
            <w:tcBorders>
              <w:bottom w:val="single" w:sz="2" w:space="0" w:color="000000" w:themeColor="text1"/>
            </w:tcBorders>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1.09%</w:t>
            </w:r>
          </w:p>
        </w:tc>
        <w:tc>
          <w:tcPr>
            <w:tcW w:w="1710" w:type="dxa"/>
            <w:tcBorders>
              <w:bottom w:val="single" w:sz="2" w:space="0" w:color="000000" w:themeColor="text1"/>
            </w:tcBorders>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0.00%</w:t>
            </w:r>
          </w:p>
        </w:tc>
        <w:tc>
          <w:tcPr>
            <w:tcW w:w="1710" w:type="dxa"/>
            <w:tcBorders>
              <w:bottom w:val="single" w:sz="2" w:space="0" w:color="000000" w:themeColor="text1"/>
            </w:tcBorders>
            <w:shd w:val="clear" w:color="auto" w:fill="auto"/>
            <w:noWrap/>
            <w:vAlign w:val="center"/>
          </w:tcPr>
          <w:p w:rsidR="00464437" w:rsidRPr="00466E8C" w:rsidDel="00DC6802" w:rsidRDefault="00464437" w:rsidP="00DC6802">
            <w:pPr>
              <w:jc w:val="center"/>
              <w:rPr>
                <w:color w:val="000000"/>
                <w:szCs w:val="22"/>
              </w:rPr>
            </w:pPr>
            <w:r w:rsidRPr="00545DAD">
              <w:rPr>
                <w:rFonts w:eastAsia="Times New Roman" w:cs="Arial"/>
                <w:color w:val="000000"/>
                <w:szCs w:val="22"/>
                <w:lang w:eastAsia="en-GB"/>
              </w:rPr>
              <w:t>9.52%</w:t>
            </w:r>
          </w:p>
        </w:tc>
      </w:tr>
      <w:tr w:rsidR="00464437" w:rsidRPr="00464437" w:rsidTr="00545DAD">
        <w:trPr>
          <w:trHeight w:hRule="exact" w:val="489"/>
        </w:trPr>
        <w:tc>
          <w:tcPr>
            <w:tcW w:w="2425" w:type="dxa"/>
            <w:tcBorders>
              <w:top w:val="single" w:sz="2" w:space="0" w:color="000000" w:themeColor="text1"/>
              <w:bottom w:val="single" w:sz="2" w:space="0" w:color="000000" w:themeColor="text1"/>
            </w:tcBorders>
            <w:shd w:val="clear" w:color="auto" w:fill="auto"/>
            <w:noWrap/>
            <w:vAlign w:val="center"/>
          </w:tcPr>
          <w:p w:rsidR="00464437" w:rsidRPr="00545DAD" w:rsidRDefault="00464437" w:rsidP="00DC6802">
            <w:pPr>
              <w:jc w:val="center"/>
              <w:rPr>
                <w:b/>
                <w:color w:val="000000"/>
                <w:szCs w:val="22"/>
              </w:rPr>
            </w:pPr>
            <w:r w:rsidRPr="00545DAD">
              <w:rPr>
                <w:b/>
                <w:color w:val="000000"/>
                <w:szCs w:val="22"/>
              </w:rPr>
              <w:t>Weighted average</w:t>
            </w:r>
          </w:p>
        </w:tc>
        <w:tc>
          <w:tcPr>
            <w:tcW w:w="1710" w:type="dxa"/>
            <w:tcBorders>
              <w:top w:val="single" w:sz="2" w:space="0" w:color="000000" w:themeColor="text1"/>
              <w:bottom w:val="single" w:sz="2" w:space="0" w:color="000000" w:themeColor="text1"/>
            </w:tcBorders>
            <w:shd w:val="clear" w:color="auto" w:fill="auto"/>
            <w:noWrap/>
            <w:vAlign w:val="center"/>
          </w:tcPr>
          <w:p w:rsidR="00464437" w:rsidRPr="00545DAD" w:rsidDel="00DC6802" w:rsidRDefault="00464437" w:rsidP="00DC6802">
            <w:pPr>
              <w:jc w:val="center"/>
              <w:rPr>
                <w:b/>
                <w:color w:val="000000"/>
                <w:szCs w:val="22"/>
              </w:rPr>
            </w:pPr>
            <w:r w:rsidRPr="00545DAD">
              <w:rPr>
                <w:rFonts w:eastAsia="Times New Roman" w:cs="Arial"/>
                <w:b/>
                <w:color w:val="000000"/>
                <w:szCs w:val="22"/>
                <w:lang w:eastAsia="en-GB"/>
              </w:rPr>
              <w:t>1.21%</w:t>
            </w:r>
          </w:p>
        </w:tc>
        <w:tc>
          <w:tcPr>
            <w:tcW w:w="1710" w:type="dxa"/>
            <w:tcBorders>
              <w:top w:val="single" w:sz="2" w:space="0" w:color="000000" w:themeColor="text1"/>
              <w:bottom w:val="single" w:sz="2" w:space="0" w:color="000000" w:themeColor="text1"/>
            </w:tcBorders>
            <w:shd w:val="clear" w:color="auto" w:fill="auto"/>
            <w:noWrap/>
            <w:vAlign w:val="center"/>
          </w:tcPr>
          <w:p w:rsidR="00464437" w:rsidRPr="00545DAD" w:rsidDel="00DC6802" w:rsidRDefault="00464437" w:rsidP="00DC6802">
            <w:pPr>
              <w:jc w:val="center"/>
              <w:rPr>
                <w:b/>
                <w:color w:val="000000"/>
                <w:szCs w:val="22"/>
              </w:rPr>
            </w:pPr>
            <w:r w:rsidRPr="00545DAD">
              <w:rPr>
                <w:rFonts w:eastAsia="Times New Roman" w:cs="Arial"/>
                <w:b/>
                <w:color w:val="000000"/>
                <w:szCs w:val="22"/>
                <w:lang w:eastAsia="en-GB"/>
              </w:rPr>
              <w:t>5.89%</w:t>
            </w:r>
          </w:p>
        </w:tc>
        <w:tc>
          <w:tcPr>
            <w:tcW w:w="1710" w:type="dxa"/>
            <w:tcBorders>
              <w:top w:val="single" w:sz="2" w:space="0" w:color="000000" w:themeColor="text1"/>
              <w:bottom w:val="single" w:sz="2" w:space="0" w:color="000000" w:themeColor="text1"/>
            </w:tcBorders>
            <w:shd w:val="clear" w:color="auto" w:fill="auto"/>
            <w:noWrap/>
            <w:vAlign w:val="center"/>
          </w:tcPr>
          <w:p w:rsidR="00464437" w:rsidRPr="00545DAD" w:rsidDel="00DC6802" w:rsidRDefault="00464437" w:rsidP="00DC6802">
            <w:pPr>
              <w:jc w:val="center"/>
              <w:rPr>
                <w:b/>
                <w:color w:val="000000"/>
                <w:szCs w:val="22"/>
              </w:rPr>
            </w:pPr>
            <w:r w:rsidRPr="00545DAD">
              <w:rPr>
                <w:rFonts w:eastAsia="Times New Roman" w:cs="Arial"/>
                <w:b/>
                <w:color w:val="000000"/>
                <w:szCs w:val="22"/>
                <w:lang w:eastAsia="en-GB"/>
              </w:rPr>
              <w:t>22.16%</w:t>
            </w:r>
          </w:p>
        </w:tc>
      </w:tr>
    </w:tbl>
    <w:p w:rsidR="00683926" w:rsidRDefault="00B16A01" w:rsidP="004C48AE">
      <w:pPr>
        <w:pStyle w:val="FootnoteText"/>
        <w:rPr>
          <w:rFonts w:eastAsia="Times New Roman" w:cstheme="minorHAnsi"/>
          <w:bCs/>
          <w:color w:val="000000"/>
          <w:sz w:val="20"/>
          <w:szCs w:val="22"/>
        </w:rPr>
      </w:pPr>
      <w:r>
        <w:t>Source: Joint Committee calculations based on CEREP data</w:t>
      </w:r>
      <w:r w:rsidR="00683926">
        <w:br w:type="page"/>
      </w:r>
    </w:p>
    <w:p w:rsidR="00DB634B" w:rsidRDefault="0041788D" w:rsidP="00CD7BD7">
      <w:pPr>
        <w:pStyle w:val="Figuretitle"/>
      </w:pPr>
      <w:bookmarkStart w:id="15" w:name="_Ref385338101"/>
      <w:r w:rsidRPr="0041788D">
        <w:rPr>
          <w:szCs w:val="22"/>
        </w:rPr>
        <w:lastRenderedPageBreak/>
        <w:t xml:space="preserve">Figure </w:t>
      </w:r>
      <w:bookmarkEnd w:id="15"/>
      <w:r w:rsidR="00AF4774">
        <w:rPr>
          <w:szCs w:val="22"/>
        </w:rPr>
        <w:t>1</w:t>
      </w:r>
      <w:r w:rsidR="0082161F">
        <w:rPr>
          <w:szCs w:val="22"/>
        </w:rPr>
        <w:t>0</w:t>
      </w:r>
      <w:r w:rsidR="00C45D4A">
        <w:t>:</w:t>
      </w:r>
      <w:r w:rsidR="00DB634B" w:rsidRPr="00C45D4A">
        <w:t xml:space="preserve"> Short-run and long-run observed default rates</w:t>
      </w:r>
      <w:r w:rsidR="00DB634B" w:rsidRPr="00C45D4A">
        <w:tab/>
        <w:t xml:space="preserve"> of </w:t>
      </w:r>
      <w:r w:rsidR="00AE6929" w:rsidRPr="00C45D4A">
        <w:t>BBB</w:t>
      </w:r>
      <w:r w:rsidR="00DB634B" w:rsidRPr="00C45D4A">
        <w:t xml:space="preserve"> rating category</w:t>
      </w:r>
    </w:p>
    <w:p w:rsidR="00464437" w:rsidRPr="00361F71" w:rsidRDefault="00464437" w:rsidP="00545DAD"/>
    <w:p w:rsidR="00464437" w:rsidRPr="00361F71" w:rsidRDefault="00464437" w:rsidP="00545DAD">
      <w:r>
        <w:rPr>
          <w:noProof/>
          <w:lang w:eastAsia="en-GB"/>
        </w:rPr>
        <w:drawing>
          <wp:inline distT="0" distB="0" distL="0" distR="0" wp14:anchorId="767243B5">
            <wp:extent cx="4572635"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rsidR="00016B04" w:rsidRDefault="00B16A01" w:rsidP="004C48AE">
      <w:pPr>
        <w:pStyle w:val="FootnoteText"/>
        <w:rPr>
          <w:szCs w:val="22"/>
        </w:rPr>
      </w:pPr>
      <w:r w:rsidRPr="00377254">
        <w:t xml:space="preserve">Source: Joint Committee calculations based on </w:t>
      </w:r>
      <w:r w:rsidRPr="00377254">
        <w:rPr>
          <w:rStyle w:val="FootnoteReference"/>
          <w:sz w:val="18"/>
          <w:vertAlign w:val="baseline"/>
        </w:rPr>
        <w:t>CEREP</w:t>
      </w:r>
      <w:r w:rsidRPr="00377254">
        <w:t xml:space="preserve"> data</w:t>
      </w:r>
    </w:p>
    <w:p w:rsidR="00B16A01" w:rsidRDefault="00B16A01" w:rsidP="004C48AE">
      <w:pPr>
        <w:pStyle w:val="FootnoteText"/>
      </w:pPr>
    </w:p>
    <w:p w:rsidR="00DB634B" w:rsidRDefault="0041788D" w:rsidP="00CD7BD7">
      <w:pPr>
        <w:pStyle w:val="Figuretitle"/>
      </w:pPr>
      <w:r w:rsidRPr="0041788D">
        <w:rPr>
          <w:szCs w:val="22"/>
        </w:rPr>
        <w:t xml:space="preserve">Figure </w:t>
      </w:r>
      <w:r w:rsidR="00AF4774">
        <w:rPr>
          <w:szCs w:val="22"/>
        </w:rPr>
        <w:t>1</w:t>
      </w:r>
      <w:r w:rsidR="0082161F">
        <w:rPr>
          <w:szCs w:val="22"/>
        </w:rPr>
        <w:t>1</w:t>
      </w:r>
      <w:r w:rsidR="00C45D4A">
        <w:t>:</w:t>
      </w:r>
      <w:r w:rsidR="00DB634B" w:rsidRPr="00FC5912">
        <w:t xml:space="preserve"> Short-run and long-run observed default rates</w:t>
      </w:r>
      <w:r w:rsidR="00DB634B" w:rsidRPr="00FC5912">
        <w:tab/>
      </w:r>
      <w:r w:rsidR="00DB634B">
        <w:t xml:space="preserve"> of </w:t>
      </w:r>
      <w:r w:rsidR="00F23FB7">
        <w:t>BB</w:t>
      </w:r>
      <w:r w:rsidR="00DB634B">
        <w:t xml:space="preserve"> rating category</w:t>
      </w:r>
    </w:p>
    <w:p w:rsidR="00464437" w:rsidRDefault="00464437" w:rsidP="00DB634B">
      <w:r>
        <w:rPr>
          <w:noProof/>
          <w:lang w:eastAsia="en-GB"/>
        </w:rPr>
        <w:drawing>
          <wp:inline distT="0" distB="0" distL="0" distR="0" wp14:anchorId="73C4E18B" wp14:editId="630D75E6">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16A01" w:rsidRDefault="00B16A01" w:rsidP="004C48AE">
      <w:pPr>
        <w:pStyle w:val="FootnoteText"/>
      </w:pPr>
      <w:r w:rsidRPr="00852583">
        <w:t xml:space="preserve">Source: Joint Committee calculations based on </w:t>
      </w:r>
      <w:r w:rsidRPr="00852583">
        <w:rPr>
          <w:rStyle w:val="FootnoteReference"/>
          <w:sz w:val="18"/>
          <w:vertAlign w:val="baseline"/>
        </w:rPr>
        <w:t>CEREP</w:t>
      </w:r>
      <w:r w:rsidRPr="00852583">
        <w:t xml:space="preserve"> data</w:t>
      </w:r>
      <w:r>
        <w:br w:type="page"/>
      </w:r>
    </w:p>
    <w:p w:rsidR="00DB634B" w:rsidRDefault="0041788D" w:rsidP="00CD7BD7">
      <w:pPr>
        <w:pStyle w:val="Figuretitle"/>
      </w:pPr>
      <w:bookmarkStart w:id="16" w:name="_Ref385409038"/>
      <w:r w:rsidRPr="0041788D">
        <w:rPr>
          <w:szCs w:val="22"/>
        </w:rPr>
        <w:lastRenderedPageBreak/>
        <w:t xml:space="preserve">Figure </w:t>
      </w:r>
      <w:bookmarkEnd w:id="16"/>
      <w:r w:rsidR="00AF4774">
        <w:rPr>
          <w:szCs w:val="22"/>
        </w:rPr>
        <w:t>1</w:t>
      </w:r>
      <w:r w:rsidR="0082161F">
        <w:rPr>
          <w:szCs w:val="22"/>
        </w:rPr>
        <w:t>2</w:t>
      </w:r>
      <w:r w:rsidR="00C45D4A">
        <w:t xml:space="preserve">: </w:t>
      </w:r>
      <w:r w:rsidR="00DB634B" w:rsidRPr="00C45D4A">
        <w:t>Short-run and long-run observed default rates</w:t>
      </w:r>
      <w:r w:rsidR="00DB634B" w:rsidRPr="00C45D4A">
        <w:tab/>
        <w:t xml:space="preserve"> of </w:t>
      </w:r>
      <w:r w:rsidR="00F23FB7" w:rsidRPr="00C45D4A">
        <w:t>B</w:t>
      </w:r>
      <w:r w:rsidR="00DB634B" w:rsidRPr="00C45D4A">
        <w:t xml:space="preserve"> rating category</w:t>
      </w:r>
    </w:p>
    <w:p w:rsidR="00464437" w:rsidRPr="00361F71" w:rsidRDefault="00464437" w:rsidP="00545DAD">
      <w:r>
        <w:rPr>
          <w:noProof/>
          <w:lang w:eastAsia="en-GB"/>
        </w:rPr>
        <w:drawing>
          <wp:inline distT="0" distB="0" distL="0" distR="0" wp14:anchorId="026649E0">
            <wp:extent cx="4572635" cy="274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rsidR="00D979FF" w:rsidRDefault="00B16A01" w:rsidP="004C48AE">
      <w:pPr>
        <w:pStyle w:val="FootnoteText"/>
        <w:rPr>
          <w:rFonts w:eastAsia="Times New Roman" w:cs="Times New Roman"/>
          <w:bCs/>
          <w:noProof/>
          <w:color w:val="2F5773" w:themeColor="text2"/>
          <w:szCs w:val="22"/>
          <w:lang w:eastAsia="en-GB"/>
        </w:rPr>
      </w:pPr>
      <w:bookmarkStart w:id="17" w:name="_Ref384827774"/>
      <w:r w:rsidRPr="00852583">
        <w:t xml:space="preserve">Source: Joint Committee calculations based on </w:t>
      </w:r>
      <w:r w:rsidRPr="00852583">
        <w:rPr>
          <w:rStyle w:val="FootnoteReference"/>
          <w:sz w:val="18"/>
          <w:vertAlign w:val="baseline"/>
        </w:rPr>
        <w:t>CEREP</w:t>
      </w:r>
      <w:r w:rsidRPr="00852583">
        <w:t xml:space="preserve"> data</w:t>
      </w:r>
      <w:bookmarkStart w:id="18" w:name="_Ref385336390"/>
      <w:bookmarkEnd w:id="17"/>
      <w:r w:rsidR="00D979FF">
        <w:rPr>
          <w:szCs w:val="22"/>
        </w:rPr>
        <w:br w:type="page"/>
      </w:r>
    </w:p>
    <w:p w:rsidR="00AA5A56" w:rsidRDefault="00AA5A56" w:rsidP="00CD7BD7">
      <w:pPr>
        <w:pStyle w:val="Figuretitle"/>
      </w:pPr>
      <w:bookmarkStart w:id="19" w:name="_Ref430700683"/>
      <w:bookmarkStart w:id="20" w:name="_Ref388972354"/>
      <w:r w:rsidRPr="0025433C">
        <w:lastRenderedPageBreak/>
        <w:t xml:space="preserve">Figure </w:t>
      </w:r>
      <w:bookmarkEnd w:id="19"/>
      <w:r w:rsidR="00AF4774">
        <w:t>1</w:t>
      </w:r>
      <w:r w:rsidR="0082161F">
        <w:t>3</w:t>
      </w:r>
      <w:r w:rsidRPr="0025433C">
        <w:t xml:space="preserve">: Mapping proposal for rating categories </w:t>
      </w:r>
      <w:r>
        <w:t>with a non-sufficient number of credit ratings</w:t>
      </w:r>
    </w:p>
    <w:p w:rsidR="00DC6802" w:rsidRDefault="00DC6802" w:rsidP="00545DAD"/>
    <w:tbl>
      <w:tblPr>
        <w:tblW w:w="8490" w:type="dxa"/>
        <w:tblInd w:w="93" w:type="dxa"/>
        <w:tblLook w:val="04A0" w:firstRow="1" w:lastRow="0" w:firstColumn="1" w:lastColumn="0" w:noHBand="0" w:noVBand="1"/>
      </w:tblPr>
      <w:tblGrid>
        <w:gridCol w:w="4693"/>
        <w:gridCol w:w="1496"/>
        <w:gridCol w:w="830"/>
        <w:gridCol w:w="1471"/>
      </w:tblGrid>
      <w:tr w:rsidR="008E09CB" w:rsidRPr="007827EF" w:rsidTr="00545DAD">
        <w:trPr>
          <w:trHeight w:hRule="exact" w:val="454"/>
        </w:trPr>
        <w:tc>
          <w:tcPr>
            <w:tcW w:w="4693" w:type="dxa"/>
            <w:tcBorders>
              <w:top w:val="nil"/>
              <w:left w:val="nil"/>
              <w:bottom w:val="single" w:sz="18" w:space="0" w:color="E98E31" w:themeColor="background2"/>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2000-2004</w:t>
            </w:r>
          </w:p>
        </w:tc>
        <w:tc>
          <w:tcPr>
            <w:tcW w:w="1496" w:type="dxa"/>
            <w:tcBorders>
              <w:top w:val="nil"/>
              <w:left w:val="nil"/>
              <w:bottom w:val="single" w:sz="18" w:space="0" w:color="E98E31" w:themeColor="background2"/>
              <w:right w:val="nil"/>
            </w:tcBorders>
            <w:shd w:val="clear" w:color="auto" w:fill="auto"/>
            <w:vAlign w:val="center"/>
            <w:hideMark/>
          </w:tcPr>
          <w:p w:rsidR="008E09CB" w:rsidRPr="007827EF" w:rsidRDefault="008E09CB" w:rsidP="00DC6802">
            <w:pPr>
              <w:jc w:val="center"/>
              <w:rPr>
                <w:rFonts w:ascii="Calibri" w:eastAsia="Times New Roman" w:hAnsi="Calibri" w:cs="Times New Roman"/>
                <w:b/>
                <w:bCs/>
                <w:color w:val="000000"/>
                <w:szCs w:val="22"/>
                <w:lang w:eastAsia="en-GB"/>
              </w:rPr>
            </w:pPr>
            <w:r w:rsidRPr="007827EF">
              <w:rPr>
                <w:rFonts w:ascii="Calibri" w:eastAsia="Times New Roman" w:hAnsi="Calibri" w:cs="Times New Roman"/>
                <w:b/>
                <w:bCs/>
                <w:color w:val="000000"/>
                <w:szCs w:val="22"/>
                <w:lang w:eastAsia="en-GB"/>
              </w:rPr>
              <w:t>AAA/AA</w:t>
            </w:r>
          </w:p>
        </w:tc>
        <w:tc>
          <w:tcPr>
            <w:tcW w:w="830" w:type="dxa"/>
            <w:tcBorders>
              <w:top w:val="nil"/>
              <w:left w:val="nil"/>
              <w:bottom w:val="single" w:sz="18" w:space="0" w:color="E98E31" w:themeColor="background2"/>
              <w:right w:val="nil"/>
            </w:tcBorders>
            <w:vAlign w:val="center"/>
          </w:tcPr>
          <w:p w:rsidR="008E09CB" w:rsidRPr="007827EF" w:rsidRDefault="008E09CB" w:rsidP="00DC6802">
            <w:pPr>
              <w:jc w:val="center"/>
              <w:rPr>
                <w:rFonts w:ascii="Calibri" w:eastAsia="Times New Roman" w:hAnsi="Calibri" w:cs="Times New Roman"/>
                <w:b/>
                <w:bCs/>
                <w:color w:val="000000"/>
                <w:szCs w:val="22"/>
                <w:lang w:eastAsia="en-GB"/>
              </w:rPr>
            </w:pPr>
            <w:r w:rsidRPr="007827EF">
              <w:rPr>
                <w:rFonts w:ascii="Calibri" w:eastAsia="Times New Roman" w:hAnsi="Calibri" w:cs="Times New Roman"/>
                <w:b/>
                <w:bCs/>
                <w:color w:val="000000"/>
                <w:szCs w:val="22"/>
                <w:lang w:eastAsia="en-GB"/>
              </w:rPr>
              <w:t>A</w:t>
            </w:r>
          </w:p>
        </w:tc>
        <w:tc>
          <w:tcPr>
            <w:tcW w:w="1471" w:type="dxa"/>
            <w:tcBorders>
              <w:top w:val="nil"/>
              <w:left w:val="nil"/>
              <w:bottom w:val="single" w:sz="18" w:space="0" w:color="E98E31" w:themeColor="background2"/>
              <w:right w:val="nil"/>
            </w:tcBorders>
            <w:shd w:val="clear" w:color="auto" w:fill="auto"/>
            <w:vAlign w:val="center"/>
          </w:tcPr>
          <w:p w:rsidR="008E09CB" w:rsidRPr="007827EF" w:rsidRDefault="008E09CB" w:rsidP="00DC6802">
            <w:pPr>
              <w:jc w:val="center"/>
              <w:rPr>
                <w:rFonts w:ascii="Calibri" w:eastAsia="Times New Roman" w:hAnsi="Calibri" w:cs="Times New Roman"/>
                <w:b/>
                <w:bCs/>
                <w:color w:val="000000"/>
                <w:szCs w:val="22"/>
                <w:lang w:eastAsia="en-GB"/>
              </w:rPr>
            </w:pPr>
            <w:r>
              <w:rPr>
                <w:rFonts w:ascii="Calibri" w:hAnsi="Calibri"/>
                <w:b/>
                <w:bCs/>
                <w:color w:val="000000"/>
                <w:szCs w:val="22"/>
              </w:rPr>
              <w:t>CCC/CC/C</w:t>
            </w:r>
          </w:p>
        </w:tc>
      </w:tr>
      <w:tr w:rsidR="008E09CB" w:rsidRPr="007827EF" w:rsidTr="00545DAD">
        <w:trPr>
          <w:trHeight w:hRule="exact" w:val="454"/>
        </w:trPr>
        <w:tc>
          <w:tcPr>
            <w:tcW w:w="4693" w:type="dxa"/>
            <w:tcBorders>
              <w:top w:val="single" w:sz="18" w:space="0" w:color="E98E31" w:themeColor="background2"/>
              <w:left w:val="nil"/>
              <w:bottom w:val="nil"/>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 of equivalent international rating category</w:t>
            </w:r>
          </w:p>
        </w:tc>
        <w:tc>
          <w:tcPr>
            <w:tcW w:w="1496" w:type="dxa"/>
            <w:tcBorders>
              <w:top w:val="single" w:sz="18" w:space="0" w:color="E98E31" w:themeColor="background2"/>
              <w:left w:val="nil"/>
              <w:bottom w:val="nil"/>
              <w:right w:val="nil"/>
            </w:tcBorders>
            <w:shd w:val="clear" w:color="auto" w:fill="auto"/>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CQS1</w:t>
            </w:r>
          </w:p>
        </w:tc>
        <w:tc>
          <w:tcPr>
            <w:tcW w:w="830" w:type="dxa"/>
            <w:tcBorders>
              <w:top w:val="single" w:sz="18" w:space="0" w:color="E98E31" w:themeColor="background2"/>
              <w:left w:val="nil"/>
              <w:bottom w:val="nil"/>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 2</w:t>
            </w:r>
          </w:p>
        </w:tc>
        <w:tc>
          <w:tcPr>
            <w:tcW w:w="1471" w:type="dxa"/>
            <w:tcBorders>
              <w:top w:val="single" w:sz="18" w:space="0" w:color="E98E31" w:themeColor="background2"/>
              <w:left w:val="nil"/>
              <w:bottom w:val="nil"/>
              <w:right w:val="nil"/>
            </w:tcBorders>
            <w:shd w:val="clear" w:color="auto" w:fill="auto"/>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CQS 6</w:t>
            </w:r>
          </w:p>
        </w:tc>
      </w:tr>
      <w:tr w:rsidR="008E09CB" w:rsidRPr="007827EF" w:rsidTr="00545DAD">
        <w:trPr>
          <w:trHeight w:hRule="exact" w:val="454"/>
        </w:trPr>
        <w:tc>
          <w:tcPr>
            <w:tcW w:w="4693" w:type="dxa"/>
            <w:tcBorders>
              <w:top w:val="nil"/>
              <w:left w:val="nil"/>
              <w:bottom w:val="nil"/>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N. observed defaulted items</w:t>
            </w:r>
          </w:p>
        </w:tc>
        <w:tc>
          <w:tcPr>
            <w:tcW w:w="1496" w:type="dxa"/>
            <w:tcBorders>
              <w:top w:val="nil"/>
              <w:left w:val="nil"/>
              <w:bottom w:val="nil"/>
              <w:right w:val="nil"/>
            </w:tcBorders>
            <w:shd w:val="clear" w:color="auto" w:fill="auto"/>
            <w:noWrap/>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0</w:t>
            </w:r>
          </w:p>
        </w:tc>
        <w:tc>
          <w:tcPr>
            <w:tcW w:w="830" w:type="dxa"/>
            <w:tcBorders>
              <w:top w:val="nil"/>
              <w:left w:val="nil"/>
              <w:bottom w:val="nil"/>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0</w:t>
            </w:r>
          </w:p>
        </w:tc>
        <w:tc>
          <w:tcPr>
            <w:tcW w:w="1471" w:type="dxa"/>
            <w:tcBorders>
              <w:top w:val="nil"/>
              <w:left w:val="nil"/>
              <w:bottom w:val="nil"/>
              <w:right w:val="nil"/>
            </w:tcBorders>
            <w:shd w:val="clear" w:color="auto" w:fill="auto"/>
            <w:noWrap/>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6</w:t>
            </w:r>
          </w:p>
        </w:tc>
      </w:tr>
      <w:tr w:rsidR="008E09CB" w:rsidRPr="007827EF" w:rsidTr="00545DAD">
        <w:trPr>
          <w:trHeight w:hRule="exact" w:val="454"/>
        </w:trPr>
        <w:tc>
          <w:tcPr>
            <w:tcW w:w="4693" w:type="dxa"/>
            <w:tcBorders>
              <w:top w:val="nil"/>
              <w:left w:val="nil"/>
              <w:bottom w:val="nil"/>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Minimum N. rated items</w:t>
            </w:r>
          </w:p>
        </w:tc>
        <w:tc>
          <w:tcPr>
            <w:tcW w:w="1496" w:type="dxa"/>
            <w:tcBorders>
              <w:top w:val="nil"/>
              <w:left w:val="nil"/>
              <w:bottom w:val="nil"/>
              <w:right w:val="nil"/>
            </w:tcBorders>
            <w:shd w:val="clear" w:color="auto" w:fill="auto"/>
            <w:noWrap/>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0</w:t>
            </w:r>
          </w:p>
        </w:tc>
        <w:tc>
          <w:tcPr>
            <w:tcW w:w="830" w:type="dxa"/>
            <w:tcBorders>
              <w:top w:val="nil"/>
              <w:left w:val="nil"/>
              <w:bottom w:val="nil"/>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0</w:t>
            </w:r>
          </w:p>
        </w:tc>
        <w:tc>
          <w:tcPr>
            <w:tcW w:w="1471" w:type="dxa"/>
            <w:tcBorders>
              <w:top w:val="nil"/>
              <w:left w:val="nil"/>
              <w:bottom w:val="nil"/>
              <w:right w:val="nil"/>
            </w:tcBorders>
            <w:shd w:val="clear" w:color="auto" w:fill="auto"/>
            <w:noWrap/>
            <w:vAlign w:val="center"/>
          </w:tcPr>
          <w:p w:rsidR="008E09CB" w:rsidRPr="007827EF" w:rsidRDefault="008E09CB" w:rsidP="00DC6802">
            <w:pPr>
              <w:jc w:val="center"/>
              <w:rPr>
                <w:rFonts w:ascii="Calibri" w:eastAsia="Times New Roman" w:hAnsi="Calibri" w:cs="Times New Roman"/>
                <w:color w:val="000000"/>
                <w:szCs w:val="22"/>
                <w:lang w:eastAsia="en-GB"/>
              </w:rPr>
            </w:pPr>
            <w:proofErr w:type="spellStart"/>
            <w:r>
              <w:rPr>
                <w:rFonts w:ascii="Calibri" w:hAnsi="Calibri"/>
                <w:color w:val="000000"/>
                <w:szCs w:val="22"/>
              </w:rPr>
              <w:t>n.a</w:t>
            </w:r>
            <w:proofErr w:type="spellEnd"/>
            <w:r>
              <w:rPr>
                <w:rFonts w:ascii="Calibri" w:hAnsi="Calibri"/>
                <w:color w:val="000000"/>
                <w:szCs w:val="22"/>
              </w:rPr>
              <w:t>.</w:t>
            </w:r>
          </w:p>
        </w:tc>
      </w:tr>
      <w:tr w:rsidR="008E09CB" w:rsidRPr="007827EF" w:rsidTr="00545DAD">
        <w:trPr>
          <w:trHeight w:hRule="exact" w:val="454"/>
        </w:trPr>
        <w:tc>
          <w:tcPr>
            <w:tcW w:w="4693" w:type="dxa"/>
            <w:tcBorders>
              <w:top w:val="nil"/>
              <w:left w:val="nil"/>
              <w:bottom w:val="single" w:sz="8" w:space="0" w:color="000000"/>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Observed N. rated items</w:t>
            </w:r>
          </w:p>
        </w:tc>
        <w:tc>
          <w:tcPr>
            <w:tcW w:w="1496" w:type="dxa"/>
            <w:tcBorders>
              <w:top w:val="nil"/>
              <w:left w:val="nil"/>
              <w:bottom w:val="single" w:sz="8" w:space="0" w:color="000000"/>
              <w:right w:val="nil"/>
            </w:tcBorders>
            <w:shd w:val="clear" w:color="auto" w:fill="auto"/>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478.0</w:t>
            </w:r>
          </w:p>
        </w:tc>
        <w:tc>
          <w:tcPr>
            <w:tcW w:w="830" w:type="dxa"/>
            <w:tcBorders>
              <w:top w:val="nil"/>
              <w:left w:val="nil"/>
              <w:bottom w:val="single" w:sz="8" w:space="0" w:color="000000"/>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969.0</w:t>
            </w:r>
          </w:p>
        </w:tc>
        <w:tc>
          <w:tcPr>
            <w:tcW w:w="1471" w:type="dxa"/>
            <w:tcBorders>
              <w:top w:val="nil"/>
              <w:left w:val="nil"/>
              <w:bottom w:val="single" w:sz="8" w:space="0" w:color="000000"/>
              <w:right w:val="nil"/>
            </w:tcBorders>
            <w:shd w:val="clear" w:color="auto" w:fill="auto"/>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6.0</w:t>
            </w:r>
          </w:p>
        </w:tc>
      </w:tr>
      <w:tr w:rsidR="008E09CB" w:rsidRPr="007827EF" w:rsidTr="00545DAD">
        <w:trPr>
          <w:trHeight w:hRule="exact" w:val="454"/>
        </w:trPr>
        <w:tc>
          <w:tcPr>
            <w:tcW w:w="4693" w:type="dxa"/>
            <w:tcBorders>
              <w:top w:val="nil"/>
              <w:left w:val="nil"/>
              <w:bottom w:val="single" w:sz="8" w:space="0" w:color="000000"/>
              <w:right w:val="nil"/>
            </w:tcBorders>
            <w:shd w:val="clear" w:color="auto" w:fill="auto"/>
            <w:vAlign w:val="center"/>
            <w:hideMark/>
          </w:tcPr>
          <w:p w:rsidR="008E09CB" w:rsidRPr="007827EF" w:rsidRDefault="008E09CB" w:rsidP="00DC6802">
            <w:pPr>
              <w:rPr>
                <w:rFonts w:ascii="Calibri" w:eastAsia="Times New Roman" w:hAnsi="Calibri" w:cs="Times New Roman"/>
                <w:b/>
                <w:bCs/>
                <w:color w:val="000000"/>
                <w:szCs w:val="22"/>
                <w:lang w:eastAsia="en-GB"/>
              </w:rPr>
            </w:pPr>
            <w:r w:rsidRPr="007827EF">
              <w:rPr>
                <w:rFonts w:ascii="Calibri" w:eastAsia="Times New Roman" w:hAnsi="Calibri" w:cs="Times New Roman"/>
                <w:b/>
                <w:bCs/>
                <w:color w:val="000000"/>
                <w:szCs w:val="22"/>
                <w:lang w:eastAsia="en-GB"/>
              </w:rPr>
              <w:t>Mapping proposal</w:t>
            </w:r>
          </w:p>
        </w:tc>
        <w:tc>
          <w:tcPr>
            <w:tcW w:w="1496" w:type="dxa"/>
            <w:tcBorders>
              <w:top w:val="nil"/>
              <w:left w:val="nil"/>
              <w:bottom w:val="single" w:sz="8" w:space="0" w:color="000000"/>
              <w:right w:val="nil"/>
            </w:tcBorders>
            <w:shd w:val="clear" w:color="auto" w:fill="auto"/>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CQS1</w:t>
            </w:r>
          </w:p>
        </w:tc>
        <w:tc>
          <w:tcPr>
            <w:tcW w:w="830" w:type="dxa"/>
            <w:tcBorders>
              <w:top w:val="nil"/>
              <w:left w:val="nil"/>
              <w:bottom w:val="single" w:sz="8" w:space="0" w:color="000000"/>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 2</w:t>
            </w:r>
          </w:p>
        </w:tc>
        <w:tc>
          <w:tcPr>
            <w:tcW w:w="1471" w:type="dxa"/>
            <w:tcBorders>
              <w:top w:val="nil"/>
              <w:left w:val="nil"/>
              <w:bottom w:val="single" w:sz="8" w:space="0" w:color="000000"/>
              <w:right w:val="nil"/>
            </w:tcBorders>
            <w:shd w:val="clear" w:color="auto" w:fill="auto"/>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CQS 6</w:t>
            </w:r>
          </w:p>
        </w:tc>
      </w:tr>
      <w:tr w:rsidR="008E09CB" w:rsidRPr="007827EF" w:rsidTr="00545DAD">
        <w:trPr>
          <w:trHeight w:hRule="exact" w:val="340"/>
        </w:trPr>
        <w:tc>
          <w:tcPr>
            <w:tcW w:w="4693" w:type="dxa"/>
            <w:tcBorders>
              <w:top w:val="nil"/>
              <w:left w:val="nil"/>
              <w:right w:val="nil"/>
            </w:tcBorders>
            <w:shd w:val="clear" w:color="auto" w:fill="auto"/>
            <w:noWrap/>
            <w:vAlign w:val="bottom"/>
            <w:hideMark/>
          </w:tcPr>
          <w:p w:rsidR="008E09CB" w:rsidRPr="007827EF" w:rsidRDefault="008E09CB" w:rsidP="00DC6802">
            <w:pPr>
              <w:rPr>
                <w:rFonts w:ascii="Calibri" w:eastAsia="Times New Roman" w:hAnsi="Calibri" w:cs="Times New Roman"/>
                <w:color w:val="000000"/>
                <w:szCs w:val="22"/>
                <w:lang w:eastAsia="en-GB"/>
              </w:rPr>
            </w:pPr>
          </w:p>
        </w:tc>
        <w:tc>
          <w:tcPr>
            <w:tcW w:w="1496" w:type="dxa"/>
            <w:tcBorders>
              <w:top w:val="nil"/>
              <w:left w:val="nil"/>
              <w:right w:val="nil"/>
            </w:tcBorders>
            <w:shd w:val="clear" w:color="auto" w:fill="auto"/>
            <w:noWrap/>
            <w:vAlign w:val="bottom"/>
            <w:hideMark/>
          </w:tcPr>
          <w:p w:rsidR="008E09CB" w:rsidRPr="007827EF" w:rsidRDefault="008E09CB" w:rsidP="00DC6802">
            <w:pPr>
              <w:rPr>
                <w:rFonts w:ascii="Calibri" w:eastAsia="Times New Roman" w:hAnsi="Calibri" w:cs="Times New Roman"/>
                <w:color w:val="000000"/>
                <w:szCs w:val="22"/>
                <w:lang w:eastAsia="en-GB"/>
              </w:rPr>
            </w:pPr>
          </w:p>
        </w:tc>
        <w:tc>
          <w:tcPr>
            <w:tcW w:w="830" w:type="dxa"/>
            <w:tcBorders>
              <w:top w:val="nil"/>
              <w:left w:val="nil"/>
              <w:right w:val="nil"/>
            </w:tcBorders>
            <w:vAlign w:val="bottom"/>
          </w:tcPr>
          <w:p w:rsidR="008E09CB" w:rsidRPr="007827EF" w:rsidRDefault="008E09CB" w:rsidP="00DC6802">
            <w:pPr>
              <w:rPr>
                <w:rFonts w:ascii="Calibri" w:eastAsia="Times New Roman" w:hAnsi="Calibri" w:cs="Times New Roman"/>
                <w:color w:val="000000"/>
                <w:szCs w:val="22"/>
                <w:lang w:eastAsia="en-GB"/>
              </w:rPr>
            </w:pPr>
          </w:p>
        </w:tc>
        <w:tc>
          <w:tcPr>
            <w:tcW w:w="1471" w:type="dxa"/>
            <w:tcBorders>
              <w:top w:val="nil"/>
              <w:left w:val="nil"/>
              <w:right w:val="nil"/>
            </w:tcBorders>
            <w:shd w:val="clear" w:color="auto" w:fill="auto"/>
            <w:noWrap/>
            <w:vAlign w:val="bottom"/>
          </w:tcPr>
          <w:p w:rsidR="008E09CB" w:rsidRPr="007827EF" w:rsidRDefault="008E09CB" w:rsidP="00DC6802">
            <w:pPr>
              <w:rPr>
                <w:rFonts w:ascii="Calibri" w:eastAsia="Times New Roman" w:hAnsi="Calibri" w:cs="Times New Roman"/>
                <w:color w:val="000000"/>
                <w:szCs w:val="22"/>
                <w:lang w:eastAsia="en-GB"/>
              </w:rPr>
            </w:pPr>
          </w:p>
        </w:tc>
      </w:tr>
      <w:tr w:rsidR="008E09CB" w:rsidRPr="007827EF" w:rsidTr="00545DAD">
        <w:trPr>
          <w:trHeight w:hRule="exact" w:val="454"/>
        </w:trPr>
        <w:tc>
          <w:tcPr>
            <w:tcW w:w="4693" w:type="dxa"/>
            <w:tcBorders>
              <w:top w:val="nil"/>
              <w:left w:val="nil"/>
              <w:bottom w:val="single" w:sz="18" w:space="0" w:color="E98E31" w:themeColor="background2"/>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2005-2009</w:t>
            </w:r>
          </w:p>
        </w:tc>
        <w:tc>
          <w:tcPr>
            <w:tcW w:w="1496" w:type="dxa"/>
            <w:tcBorders>
              <w:top w:val="nil"/>
              <w:left w:val="nil"/>
              <w:bottom w:val="single" w:sz="18" w:space="0" w:color="E98E31" w:themeColor="background2"/>
              <w:right w:val="nil"/>
            </w:tcBorders>
            <w:shd w:val="clear" w:color="auto" w:fill="auto"/>
            <w:vAlign w:val="center"/>
            <w:hideMark/>
          </w:tcPr>
          <w:p w:rsidR="008E09CB" w:rsidRPr="007827EF" w:rsidRDefault="008E09CB" w:rsidP="00DC6802">
            <w:pPr>
              <w:jc w:val="center"/>
              <w:rPr>
                <w:rFonts w:ascii="Calibri" w:eastAsia="Times New Roman" w:hAnsi="Calibri" w:cs="Times New Roman"/>
                <w:b/>
                <w:bCs/>
                <w:color w:val="000000"/>
                <w:szCs w:val="22"/>
                <w:lang w:eastAsia="en-GB"/>
              </w:rPr>
            </w:pPr>
            <w:r w:rsidRPr="007827EF">
              <w:rPr>
                <w:rFonts w:ascii="Calibri" w:eastAsia="Times New Roman" w:hAnsi="Calibri" w:cs="Times New Roman"/>
                <w:b/>
                <w:bCs/>
                <w:color w:val="000000"/>
                <w:szCs w:val="22"/>
                <w:lang w:eastAsia="en-GB"/>
              </w:rPr>
              <w:t>AAA/AA</w:t>
            </w:r>
          </w:p>
        </w:tc>
        <w:tc>
          <w:tcPr>
            <w:tcW w:w="830" w:type="dxa"/>
            <w:tcBorders>
              <w:top w:val="nil"/>
              <w:left w:val="nil"/>
              <w:bottom w:val="single" w:sz="18" w:space="0" w:color="E98E31" w:themeColor="background2"/>
              <w:right w:val="nil"/>
            </w:tcBorders>
            <w:vAlign w:val="center"/>
          </w:tcPr>
          <w:p w:rsidR="008E09CB" w:rsidRPr="007827EF" w:rsidRDefault="008E09CB" w:rsidP="00DC6802">
            <w:pPr>
              <w:jc w:val="center"/>
              <w:rPr>
                <w:rFonts w:ascii="Calibri" w:eastAsia="Times New Roman" w:hAnsi="Calibri" w:cs="Times New Roman"/>
                <w:b/>
                <w:bCs/>
                <w:color w:val="000000"/>
                <w:szCs w:val="22"/>
                <w:lang w:eastAsia="en-GB"/>
              </w:rPr>
            </w:pPr>
            <w:r w:rsidRPr="007827EF">
              <w:rPr>
                <w:rFonts w:ascii="Calibri" w:eastAsia="Times New Roman" w:hAnsi="Calibri" w:cs="Times New Roman"/>
                <w:b/>
                <w:bCs/>
                <w:color w:val="000000"/>
                <w:szCs w:val="22"/>
                <w:lang w:eastAsia="en-GB"/>
              </w:rPr>
              <w:t>A</w:t>
            </w:r>
          </w:p>
        </w:tc>
        <w:tc>
          <w:tcPr>
            <w:tcW w:w="1471" w:type="dxa"/>
            <w:tcBorders>
              <w:top w:val="nil"/>
              <w:left w:val="nil"/>
              <w:bottom w:val="single" w:sz="18" w:space="0" w:color="E98E31" w:themeColor="background2"/>
              <w:right w:val="nil"/>
            </w:tcBorders>
            <w:shd w:val="clear" w:color="auto" w:fill="auto"/>
            <w:vAlign w:val="center"/>
          </w:tcPr>
          <w:p w:rsidR="008E09CB" w:rsidRPr="007827EF" w:rsidRDefault="008E09CB" w:rsidP="00DC6802">
            <w:pPr>
              <w:jc w:val="center"/>
              <w:rPr>
                <w:rFonts w:ascii="Calibri" w:eastAsia="Times New Roman" w:hAnsi="Calibri" w:cs="Times New Roman"/>
                <w:b/>
                <w:bCs/>
                <w:color w:val="000000"/>
                <w:szCs w:val="22"/>
                <w:lang w:eastAsia="en-GB"/>
              </w:rPr>
            </w:pPr>
            <w:r>
              <w:rPr>
                <w:rFonts w:ascii="Calibri" w:hAnsi="Calibri"/>
                <w:b/>
                <w:bCs/>
                <w:color w:val="000000"/>
                <w:szCs w:val="22"/>
              </w:rPr>
              <w:t>CCC/CC/C</w:t>
            </w:r>
          </w:p>
        </w:tc>
      </w:tr>
      <w:tr w:rsidR="008E09CB" w:rsidRPr="007827EF" w:rsidTr="00545DAD">
        <w:trPr>
          <w:trHeight w:hRule="exact" w:val="454"/>
        </w:trPr>
        <w:tc>
          <w:tcPr>
            <w:tcW w:w="4693" w:type="dxa"/>
            <w:tcBorders>
              <w:top w:val="single" w:sz="18" w:space="0" w:color="E98E31" w:themeColor="background2"/>
              <w:left w:val="nil"/>
              <w:bottom w:val="nil"/>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 of equivalent international rating category</w:t>
            </w:r>
          </w:p>
        </w:tc>
        <w:tc>
          <w:tcPr>
            <w:tcW w:w="1496" w:type="dxa"/>
            <w:tcBorders>
              <w:top w:val="single" w:sz="18" w:space="0" w:color="E98E31" w:themeColor="background2"/>
              <w:left w:val="nil"/>
              <w:bottom w:val="nil"/>
              <w:right w:val="nil"/>
            </w:tcBorders>
            <w:shd w:val="clear" w:color="auto" w:fill="auto"/>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CQS1</w:t>
            </w:r>
          </w:p>
        </w:tc>
        <w:tc>
          <w:tcPr>
            <w:tcW w:w="830" w:type="dxa"/>
            <w:tcBorders>
              <w:top w:val="single" w:sz="18" w:space="0" w:color="E98E31" w:themeColor="background2"/>
              <w:left w:val="nil"/>
              <w:bottom w:val="nil"/>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 2</w:t>
            </w:r>
          </w:p>
        </w:tc>
        <w:tc>
          <w:tcPr>
            <w:tcW w:w="1471" w:type="dxa"/>
            <w:tcBorders>
              <w:top w:val="single" w:sz="18" w:space="0" w:color="E98E31" w:themeColor="background2"/>
              <w:left w:val="nil"/>
              <w:bottom w:val="nil"/>
              <w:right w:val="nil"/>
            </w:tcBorders>
            <w:shd w:val="clear" w:color="auto" w:fill="auto"/>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CQS 6</w:t>
            </w:r>
          </w:p>
        </w:tc>
      </w:tr>
      <w:tr w:rsidR="008E09CB" w:rsidRPr="007827EF" w:rsidTr="00545DAD">
        <w:trPr>
          <w:trHeight w:hRule="exact" w:val="454"/>
        </w:trPr>
        <w:tc>
          <w:tcPr>
            <w:tcW w:w="4693" w:type="dxa"/>
            <w:tcBorders>
              <w:top w:val="nil"/>
              <w:left w:val="nil"/>
              <w:bottom w:val="nil"/>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N. observed defaulted items</w:t>
            </w:r>
          </w:p>
        </w:tc>
        <w:tc>
          <w:tcPr>
            <w:tcW w:w="1496" w:type="dxa"/>
            <w:tcBorders>
              <w:top w:val="nil"/>
              <w:left w:val="nil"/>
              <w:bottom w:val="nil"/>
              <w:right w:val="nil"/>
            </w:tcBorders>
            <w:shd w:val="clear" w:color="auto" w:fill="auto"/>
            <w:noWrap/>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6</w:t>
            </w:r>
          </w:p>
        </w:tc>
        <w:tc>
          <w:tcPr>
            <w:tcW w:w="830" w:type="dxa"/>
            <w:tcBorders>
              <w:top w:val="nil"/>
              <w:left w:val="nil"/>
              <w:bottom w:val="nil"/>
              <w:right w:val="nil"/>
            </w:tcBorders>
            <w:vAlign w:val="center"/>
          </w:tcPr>
          <w:p w:rsidR="008E09CB" w:rsidRDefault="008E09CB" w:rsidP="00DC6802">
            <w:pPr>
              <w:jc w:val="center"/>
              <w:rPr>
                <w:rFonts w:ascii="Calibri" w:eastAsia="Times New Roman" w:hAnsi="Calibri" w:cs="Times New Roman"/>
                <w:color w:val="000000"/>
                <w:szCs w:val="22"/>
                <w:lang w:eastAsia="en-GB"/>
              </w:rPr>
            </w:pPr>
            <w:r>
              <w:rPr>
                <w:rFonts w:ascii="Calibri" w:eastAsia="Times New Roman" w:hAnsi="Calibri" w:cs="Times New Roman"/>
                <w:color w:val="000000"/>
                <w:szCs w:val="22"/>
                <w:lang w:eastAsia="en-GB"/>
              </w:rPr>
              <w:t>12</w:t>
            </w:r>
          </w:p>
        </w:tc>
        <w:tc>
          <w:tcPr>
            <w:tcW w:w="1471" w:type="dxa"/>
            <w:tcBorders>
              <w:top w:val="nil"/>
              <w:left w:val="nil"/>
              <w:bottom w:val="nil"/>
              <w:right w:val="nil"/>
            </w:tcBorders>
            <w:shd w:val="clear" w:color="auto" w:fill="auto"/>
            <w:noWrap/>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16</w:t>
            </w:r>
          </w:p>
        </w:tc>
      </w:tr>
      <w:tr w:rsidR="008E09CB" w:rsidRPr="007827EF" w:rsidTr="00545DAD">
        <w:trPr>
          <w:trHeight w:hRule="exact" w:val="454"/>
        </w:trPr>
        <w:tc>
          <w:tcPr>
            <w:tcW w:w="4693" w:type="dxa"/>
            <w:tcBorders>
              <w:top w:val="nil"/>
              <w:left w:val="nil"/>
              <w:bottom w:val="nil"/>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Minimum N. rated items</w:t>
            </w:r>
          </w:p>
        </w:tc>
        <w:tc>
          <w:tcPr>
            <w:tcW w:w="1496" w:type="dxa"/>
            <w:tcBorders>
              <w:top w:val="nil"/>
              <w:left w:val="nil"/>
              <w:bottom w:val="nil"/>
              <w:right w:val="nil"/>
            </w:tcBorders>
            <w:shd w:val="clear" w:color="auto" w:fill="auto"/>
            <w:noWrap/>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3336</w:t>
            </w:r>
          </w:p>
        </w:tc>
        <w:tc>
          <w:tcPr>
            <w:tcW w:w="830" w:type="dxa"/>
            <w:tcBorders>
              <w:top w:val="nil"/>
              <w:left w:val="nil"/>
              <w:bottom w:val="nil"/>
              <w:right w:val="nil"/>
            </w:tcBorders>
            <w:vAlign w:val="center"/>
          </w:tcPr>
          <w:p w:rsidR="008E09CB" w:rsidRDefault="008E09CB" w:rsidP="00DC6802">
            <w:pPr>
              <w:jc w:val="center"/>
              <w:rPr>
                <w:rFonts w:ascii="Calibri" w:eastAsia="Times New Roman" w:hAnsi="Calibri" w:cs="Times New Roman"/>
                <w:color w:val="000000"/>
                <w:szCs w:val="22"/>
                <w:lang w:eastAsia="en-GB"/>
              </w:rPr>
            </w:pPr>
            <w:r>
              <w:rPr>
                <w:rFonts w:ascii="Calibri" w:eastAsia="Times New Roman" w:hAnsi="Calibri" w:cs="Times New Roman"/>
                <w:color w:val="000000"/>
                <w:szCs w:val="22"/>
                <w:lang w:eastAsia="en-GB"/>
              </w:rPr>
              <w:t>1711</w:t>
            </w:r>
          </w:p>
        </w:tc>
        <w:tc>
          <w:tcPr>
            <w:tcW w:w="1471" w:type="dxa"/>
            <w:tcBorders>
              <w:top w:val="nil"/>
              <w:left w:val="nil"/>
              <w:bottom w:val="nil"/>
              <w:right w:val="nil"/>
            </w:tcBorders>
            <w:shd w:val="clear" w:color="auto" w:fill="auto"/>
            <w:noWrap/>
            <w:vAlign w:val="center"/>
          </w:tcPr>
          <w:p w:rsidR="008E09CB" w:rsidRPr="007827EF" w:rsidRDefault="008E09CB" w:rsidP="00DC6802">
            <w:pPr>
              <w:jc w:val="center"/>
              <w:rPr>
                <w:rFonts w:ascii="Calibri" w:eastAsia="Times New Roman" w:hAnsi="Calibri" w:cs="Times New Roman"/>
                <w:color w:val="000000"/>
                <w:szCs w:val="22"/>
                <w:lang w:eastAsia="en-GB"/>
              </w:rPr>
            </w:pPr>
            <w:proofErr w:type="spellStart"/>
            <w:r>
              <w:rPr>
                <w:rFonts w:ascii="Calibri" w:hAnsi="Calibri"/>
                <w:color w:val="000000"/>
                <w:szCs w:val="22"/>
              </w:rPr>
              <w:t>n.a</w:t>
            </w:r>
            <w:proofErr w:type="spellEnd"/>
            <w:r>
              <w:rPr>
                <w:rFonts w:ascii="Calibri" w:hAnsi="Calibri"/>
                <w:color w:val="000000"/>
                <w:szCs w:val="22"/>
              </w:rPr>
              <w:t>.</w:t>
            </w:r>
          </w:p>
        </w:tc>
      </w:tr>
      <w:tr w:rsidR="008E09CB" w:rsidRPr="007827EF" w:rsidTr="00545DAD">
        <w:trPr>
          <w:trHeight w:hRule="exact" w:val="454"/>
        </w:trPr>
        <w:tc>
          <w:tcPr>
            <w:tcW w:w="4693" w:type="dxa"/>
            <w:tcBorders>
              <w:top w:val="nil"/>
              <w:left w:val="nil"/>
              <w:bottom w:val="single" w:sz="8" w:space="0" w:color="000000"/>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Observed N. rated items</w:t>
            </w:r>
          </w:p>
        </w:tc>
        <w:tc>
          <w:tcPr>
            <w:tcW w:w="1496" w:type="dxa"/>
            <w:tcBorders>
              <w:top w:val="nil"/>
              <w:left w:val="nil"/>
              <w:bottom w:val="single" w:sz="8" w:space="0" w:color="000000"/>
              <w:right w:val="nil"/>
            </w:tcBorders>
            <w:shd w:val="clear" w:color="auto" w:fill="auto"/>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638.0</w:t>
            </w:r>
          </w:p>
        </w:tc>
        <w:tc>
          <w:tcPr>
            <w:tcW w:w="830" w:type="dxa"/>
            <w:tcBorders>
              <w:top w:val="nil"/>
              <w:left w:val="nil"/>
              <w:bottom w:val="single" w:sz="8" w:space="0" w:color="000000"/>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1214.5</w:t>
            </w:r>
          </w:p>
        </w:tc>
        <w:tc>
          <w:tcPr>
            <w:tcW w:w="1471" w:type="dxa"/>
            <w:tcBorders>
              <w:top w:val="nil"/>
              <w:left w:val="nil"/>
              <w:bottom w:val="single" w:sz="8" w:space="0" w:color="000000"/>
              <w:right w:val="nil"/>
            </w:tcBorders>
            <w:shd w:val="clear" w:color="auto" w:fill="auto"/>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16.0</w:t>
            </w:r>
          </w:p>
        </w:tc>
      </w:tr>
      <w:tr w:rsidR="008E09CB" w:rsidRPr="007827EF" w:rsidTr="00545DAD">
        <w:trPr>
          <w:trHeight w:hRule="exact" w:val="454"/>
        </w:trPr>
        <w:tc>
          <w:tcPr>
            <w:tcW w:w="4693" w:type="dxa"/>
            <w:tcBorders>
              <w:top w:val="nil"/>
              <w:left w:val="nil"/>
              <w:bottom w:val="single" w:sz="8" w:space="0" w:color="000000"/>
              <w:right w:val="nil"/>
            </w:tcBorders>
            <w:shd w:val="clear" w:color="auto" w:fill="auto"/>
            <w:vAlign w:val="center"/>
            <w:hideMark/>
          </w:tcPr>
          <w:p w:rsidR="008E09CB" w:rsidRPr="007827EF" w:rsidRDefault="008E09CB" w:rsidP="00DC6802">
            <w:pPr>
              <w:rPr>
                <w:rFonts w:ascii="Calibri" w:eastAsia="Times New Roman" w:hAnsi="Calibri" w:cs="Times New Roman"/>
                <w:b/>
                <w:bCs/>
                <w:color w:val="000000"/>
                <w:szCs w:val="22"/>
                <w:lang w:eastAsia="en-GB"/>
              </w:rPr>
            </w:pPr>
            <w:r w:rsidRPr="007827EF">
              <w:rPr>
                <w:rFonts w:ascii="Calibri" w:eastAsia="Times New Roman" w:hAnsi="Calibri" w:cs="Times New Roman"/>
                <w:b/>
                <w:bCs/>
                <w:color w:val="000000"/>
                <w:szCs w:val="22"/>
                <w:lang w:eastAsia="en-GB"/>
              </w:rPr>
              <w:t>Mapping proposal</w:t>
            </w:r>
          </w:p>
        </w:tc>
        <w:tc>
          <w:tcPr>
            <w:tcW w:w="1496" w:type="dxa"/>
            <w:tcBorders>
              <w:top w:val="nil"/>
              <w:left w:val="nil"/>
              <w:bottom w:val="single" w:sz="8" w:space="0" w:color="000000"/>
              <w:right w:val="nil"/>
            </w:tcBorders>
            <w:shd w:val="clear" w:color="auto" w:fill="auto"/>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CQS2</w:t>
            </w:r>
          </w:p>
        </w:tc>
        <w:tc>
          <w:tcPr>
            <w:tcW w:w="830" w:type="dxa"/>
            <w:tcBorders>
              <w:top w:val="nil"/>
              <w:left w:val="nil"/>
              <w:bottom w:val="single" w:sz="8" w:space="0" w:color="000000"/>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 2</w:t>
            </w:r>
          </w:p>
        </w:tc>
        <w:tc>
          <w:tcPr>
            <w:tcW w:w="1471" w:type="dxa"/>
            <w:tcBorders>
              <w:top w:val="nil"/>
              <w:left w:val="nil"/>
              <w:bottom w:val="single" w:sz="8" w:space="0" w:color="000000"/>
              <w:right w:val="nil"/>
            </w:tcBorders>
            <w:shd w:val="clear" w:color="auto" w:fill="auto"/>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CQS 6</w:t>
            </w:r>
          </w:p>
        </w:tc>
      </w:tr>
      <w:tr w:rsidR="008E09CB" w:rsidRPr="007827EF" w:rsidTr="00545DAD">
        <w:trPr>
          <w:trHeight w:hRule="exact" w:val="340"/>
        </w:trPr>
        <w:tc>
          <w:tcPr>
            <w:tcW w:w="4693" w:type="dxa"/>
            <w:tcBorders>
              <w:top w:val="nil"/>
              <w:left w:val="nil"/>
              <w:right w:val="nil"/>
            </w:tcBorders>
            <w:shd w:val="clear" w:color="auto" w:fill="auto"/>
            <w:noWrap/>
            <w:vAlign w:val="bottom"/>
            <w:hideMark/>
          </w:tcPr>
          <w:p w:rsidR="008E09CB" w:rsidRPr="007827EF" w:rsidRDefault="008E09CB" w:rsidP="00DC6802">
            <w:pPr>
              <w:rPr>
                <w:rFonts w:ascii="Calibri" w:eastAsia="Times New Roman" w:hAnsi="Calibri" w:cs="Times New Roman"/>
                <w:color w:val="000000"/>
                <w:szCs w:val="22"/>
                <w:lang w:eastAsia="en-GB"/>
              </w:rPr>
            </w:pPr>
          </w:p>
        </w:tc>
        <w:tc>
          <w:tcPr>
            <w:tcW w:w="1496" w:type="dxa"/>
            <w:tcBorders>
              <w:top w:val="nil"/>
              <w:left w:val="nil"/>
              <w:right w:val="nil"/>
            </w:tcBorders>
            <w:shd w:val="clear" w:color="auto" w:fill="auto"/>
            <w:noWrap/>
            <w:vAlign w:val="bottom"/>
            <w:hideMark/>
          </w:tcPr>
          <w:p w:rsidR="008E09CB" w:rsidRPr="007827EF" w:rsidRDefault="008E09CB" w:rsidP="00DC6802">
            <w:pPr>
              <w:rPr>
                <w:rFonts w:ascii="Calibri" w:eastAsia="Times New Roman" w:hAnsi="Calibri" w:cs="Times New Roman"/>
                <w:color w:val="000000"/>
                <w:szCs w:val="22"/>
                <w:lang w:eastAsia="en-GB"/>
              </w:rPr>
            </w:pPr>
          </w:p>
        </w:tc>
        <w:tc>
          <w:tcPr>
            <w:tcW w:w="830" w:type="dxa"/>
            <w:tcBorders>
              <w:top w:val="nil"/>
              <w:left w:val="nil"/>
              <w:right w:val="nil"/>
            </w:tcBorders>
            <w:vAlign w:val="bottom"/>
          </w:tcPr>
          <w:p w:rsidR="008E09CB" w:rsidRPr="007827EF" w:rsidRDefault="008E09CB" w:rsidP="00DC6802">
            <w:pPr>
              <w:rPr>
                <w:rFonts w:ascii="Calibri" w:eastAsia="Times New Roman" w:hAnsi="Calibri" w:cs="Times New Roman"/>
                <w:color w:val="000000"/>
                <w:szCs w:val="22"/>
                <w:lang w:eastAsia="en-GB"/>
              </w:rPr>
            </w:pPr>
          </w:p>
        </w:tc>
        <w:tc>
          <w:tcPr>
            <w:tcW w:w="1471" w:type="dxa"/>
            <w:tcBorders>
              <w:top w:val="nil"/>
              <w:left w:val="nil"/>
              <w:right w:val="nil"/>
            </w:tcBorders>
            <w:shd w:val="clear" w:color="auto" w:fill="auto"/>
            <w:noWrap/>
            <w:vAlign w:val="bottom"/>
          </w:tcPr>
          <w:p w:rsidR="008E09CB" w:rsidRPr="007827EF" w:rsidRDefault="008E09CB" w:rsidP="00DC6802">
            <w:pPr>
              <w:rPr>
                <w:rFonts w:ascii="Calibri" w:eastAsia="Times New Roman" w:hAnsi="Calibri" w:cs="Times New Roman"/>
                <w:color w:val="000000"/>
                <w:szCs w:val="22"/>
                <w:lang w:eastAsia="en-GB"/>
              </w:rPr>
            </w:pPr>
          </w:p>
        </w:tc>
      </w:tr>
      <w:tr w:rsidR="008E09CB" w:rsidRPr="007827EF" w:rsidTr="00545DAD">
        <w:trPr>
          <w:trHeight w:hRule="exact" w:val="454"/>
        </w:trPr>
        <w:tc>
          <w:tcPr>
            <w:tcW w:w="4693" w:type="dxa"/>
            <w:tcBorders>
              <w:top w:val="nil"/>
              <w:left w:val="nil"/>
              <w:bottom w:val="single" w:sz="18" w:space="0" w:color="E98E31" w:themeColor="background2"/>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2010-2013</w:t>
            </w:r>
          </w:p>
        </w:tc>
        <w:tc>
          <w:tcPr>
            <w:tcW w:w="1496" w:type="dxa"/>
            <w:tcBorders>
              <w:top w:val="nil"/>
              <w:left w:val="nil"/>
              <w:bottom w:val="single" w:sz="18" w:space="0" w:color="E98E31" w:themeColor="background2"/>
              <w:right w:val="nil"/>
            </w:tcBorders>
            <w:shd w:val="clear" w:color="auto" w:fill="auto"/>
            <w:vAlign w:val="center"/>
            <w:hideMark/>
          </w:tcPr>
          <w:p w:rsidR="008E09CB" w:rsidRPr="007827EF" w:rsidRDefault="008E09CB" w:rsidP="00DC6802">
            <w:pPr>
              <w:jc w:val="center"/>
              <w:rPr>
                <w:rFonts w:ascii="Calibri" w:eastAsia="Times New Roman" w:hAnsi="Calibri" w:cs="Times New Roman"/>
                <w:b/>
                <w:bCs/>
                <w:color w:val="000000"/>
                <w:szCs w:val="22"/>
                <w:lang w:eastAsia="en-GB"/>
              </w:rPr>
            </w:pPr>
            <w:r w:rsidRPr="007827EF">
              <w:rPr>
                <w:rFonts w:ascii="Calibri" w:eastAsia="Times New Roman" w:hAnsi="Calibri" w:cs="Times New Roman"/>
                <w:b/>
                <w:bCs/>
                <w:color w:val="000000"/>
                <w:szCs w:val="22"/>
                <w:lang w:eastAsia="en-GB"/>
              </w:rPr>
              <w:t>AAA/AA</w:t>
            </w:r>
          </w:p>
        </w:tc>
        <w:tc>
          <w:tcPr>
            <w:tcW w:w="830" w:type="dxa"/>
            <w:tcBorders>
              <w:top w:val="nil"/>
              <w:left w:val="nil"/>
              <w:bottom w:val="single" w:sz="18" w:space="0" w:color="E98E31" w:themeColor="background2"/>
              <w:right w:val="nil"/>
            </w:tcBorders>
            <w:vAlign w:val="center"/>
          </w:tcPr>
          <w:p w:rsidR="008E09CB" w:rsidRPr="007827EF" w:rsidRDefault="008E09CB" w:rsidP="00DC6802">
            <w:pPr>
              <w:jc w:val="center"/>
              <w:rPr>
                <w:rFonts w:ascii="Calibri" w:eastAsia="Times New Roman" w:hAnsi="Calibri" w:cs="Times New Roman"/>
                <w:b/>
                <w:bCs/>
                <w:color w:val="000000"/>
                <w:szCs w:val="22"/>
                <w:lang w:eastAsia="en-GB"/>
              </w:rPr>
            </w:pPr>
            <w:r w:rsidRPr="007827EF">
              <w:rPr>
                <w:rFonts w:ascii="Calibri" w:eastAsia="Times New Roman" w:hAnsi="Calibri" w:cs="Times New Roman"/>
                <w:b/>
                <w:bCs/>
                <w:color w:val="000000"/>
                <w:szCs w:val="22"/>
                <w:lang w:eastAsia="en-GB"/>
              </w:rPr>
              <w:t>A</w:t>
            </w:r>
          </w:p>
        </w:tc>
        <w:tc>
          <w:tcPr>
            <w:tcW w:w="1471" w:type="dxa"/>
            <w:tcBorders>
              <w:top w:val="nil"/>
              <w:left w:val="nil"/>
              <w:bottom w:val="single" w:sz="18" w:space="0" w:color="E98E31" w:themeColor="background2"/>
              <w:right w:val="nil"/>
            </w:tcBorders>
            <w:shd w:val="clear" w:color="auto" w:fill="auto"/>
            <w:vAlign w:val="center"/>
          </w:tcPr>
          <w:p w:rsidR="008E09CB" w:rsidRPr="007827EF" w:rsidRDefault="008E09CB" w:rsidP="00DC6802">
            <w:pPr>
              <w:jc w:val="center"/>
              <w:rPr>
                <w:rFonts w:ascii="Calibri" w:eastAsia="Times New Roman" w:hAnsi="Calibri" w:cs="Times New Roman"/>
                <w:b/>
                <w:bCs/>
                <w:color w:val="000000"/>
                <w:szCs w:val="22"/>
                <w:lang w:eastAsia="en-GB"/>
              </w:rPr>
            </w:pPr>
            <w:r>
              <w:rPr>
                <w:rFonts w:ascii="Calibri" w:hAnsi="Calibri"/>
                <w:b/>
                <w:bCs/>
                <w:color w:val="000000"/>
                <w:szCs w:val="22"/>
              </w:rPr>
              <w:t>CCC/CC/C</w:t>
            </w:r>
          </w:p>
        </w:tc>
      </w:tr>
      <w:tr w:rsidR="008E09CB" w:rsidRPr="007827EF" w:rsidTr="00545DAD">
        <w:trPr>
          <w:trHeight w:hRule="exact" w:val="454"/>
        </w:trPr>
        <w:tc>
          <w:tcPr>
            <w:tcW w:w="4693" w:type="dxa"/>
            <w:tcBorders>
              <w:top w:val="single" w:sz="18" w:space="0" w:color="E98E31" w:themeColor="background2"/>
              <w:left w:val="nil"/>
              <w:bottom w:val="nil"/>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 of equivalent international rating category</w:t>
            </w:r>
          </w:p>
        </w:tc>
        <w:tc>
          <w:tcPr>
            <w:tcW w:w="1496" w:type="dxa"/>
            <w:tcBorders>
              <w:top w:val="single" w:sz="18" w:space="0" w:color="E98E31" w:themeColor="background2"/>
              <w:left w:val="nil"/>
              <w:bottom w:val="nil"/>
              <w:right w:val="nil"/>
            </w:tcBorders>
            <w:shd w:val="clear" w:color="auto" w:fill="auto"/>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CQS1</w:t>
            </w:r>
          </w:p>
        </w:tc>
        <w:tc>
          <w:tcPr>
            <w:tcW w:w="830" w:type="dxa"/>
            <w:tcBorders>
              <w:top w:val="single" w:sz="18" w:space="0" w:color="E98E31" w:themeColor="background2"/>
              <w:left w:val="nil"/>
              <w:bottom w:val="nil"/>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 2</w:t>
            </w:r>
          </w:p>
        </w:tc>
        <w:tc>
          <w:tcPr>
            <w:tcW w:w="1471" w:type="dxa"/>
            <w:tcBorders>
              <w:top w:val="single" w:sz="18" w:space="0" w:color="E98E31" w:themeColor="background2"/>
              <w:left w:val="nil"/>
              <w:bottom w:val="nil"/>
              <w:right w:val="nil"/>
            </w:tcBorders>
            <w:shd w:val="clear" w:color="auto" w:fill="auto"/>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CQS 6</w:t>
            </w:r>
          </w:p>
        </w:tc>
      </w:tr>
      <w:tr w:rsidR="008E09CB" w:rsidRPr="007827EF" w:rsidTr="00545DAD">
        <w:trPr>
          <w:trHeight w:hRule="exact" w:val="454"/>
        </w:trPr>
        <w:tc>
          <w:tcPr>
            <w:tcW w:w="4693" w:type="dxa"/>
            <w:tcBorders>
              <w:top w:val="nil"/>
              <w:left w:val="nil"/>
              <w:bottom w:val="nil"/>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N. observed defaulted items</w:t>
            </w:r>
          </w:p>
        </w:tc>
        <w:tc>
          <w:tcPr>
            <w:tcW w:w="1496" w:type="dxa"/>
            <w:tcBorders>
              <w:top w:val="nil"/>
              <w:left w:val="nil"/>
              <w:bottom w:val="nil"/>
              <w:right w:val="nil"/>
            </w:tcBorders>
            <w:shd w:val="clear" w:color="auto" w:fill="auto"/>
            <w:noWrap/>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0</w:t>
            </w:r>
          </w:p>
        </w:tc>
        <w:tc>
          <w:tcPr>
            <w:tcW w:w="830" w:type="dxa"/>
            <w:tcBorders>
              <w:top w:val="nil"/>
              <w:left w:val="nil"/>
              <w:bottom w:val="nil"/>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0</w:t>
            </w:r>
          </w:p>
        </w:tc>
        <w:tc>
          <w:tcPr>
            <w:tcW w:w="1471" w:type="dxa"/>
            <w:tcBorders>
              <w:top w:val="nil"/>
              <w:left w:val="nil"/>
              <w:bottom w:val="nil"/>
              <w:right w:val="nil"/>
            </w:tcBorders>
            <w:shd w:val="clear" w:color="auto" w:fill="auto"/>
            <w:noWrap/>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17</w:t>
            </w:r>
          </w:p>
        </w:tc>
      </w:tr>
      <w:tr w:rsidR="008E09CB" w:rsidRPr="007827EF" w:rsidTr="00545DAD">
        <w:trPr>
          <w:trHeight w:hRule="exact" w:val="454"/>
        </w:trPr>
        <w:tc>
          <w:tcPr>
            <w:tcW w:w="4693" w:type="dxa"/>
            <w:tcBorders>
              <w:top w:val="nil"/>
              <w:left w:val="nil"/>
              <w:bottom w:val="nil"/>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Minimum N. rated items</w:t>
            </w:r>
          </w:p>
        </w:tc>
        <w:tc>
          <w:tcPr>
            <w:tcW w:w="1496" w:type="dxa"/>
            <w:tcBorders>
              <w:top w:val="nil"/>
              <w:left w:val="nil"/>
              <w:bottom w:val="nil"/>
              <w:right w:val="nil"/>
            </w:tcBorders>
            <w:shd w:val="clear" w:color="auto" w:fill="auto"/>
            <w:noWrap/>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0</w:t>
            </w:r>
          </w:p>
        </w:tc>
        <w:tc>
          <w:tcPr>
            <w:tcW w:w="830" w:type="dxa"/>
            <w:tcBorders>
              <w:top w:val="nil"/>
              <w:left w:val="nil"/>
              <w:bottom w:val="nil"/>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0</w:t>
            </w:r>
          </w:p>
        </w:tc>
        <w:tc>
          <w:tcPr>
            <w:tcW w:w="1471" w:type="dxa"/>
            <w:tcBorders>
              <w:top w:val="nil"/>
              <w:left w:val="nil"/>
              <w:bottom w:val="nil"/>
              <w:right w:val="nil"/>
            </w:tcBorders>
            <w:shd w:val="clear" w:color="auto" w:fill="auto"/>
            <w:noWrap/>
            <w:vAlign w:val="center"/>
          </w:tcPr>
          <w:p w:rsidR="008E09CB" w:rsidRPr="007827EF" w:rsidRDefault="008E09CB" w:rsidP="00DC6802">
            <w:pPr>
              <w:jc w:val="center"/>
              <w:rPr>
                <w:rFonts w:ascii="Calibri" w:eastAsia="Times New Roman" w:hAnsi="Calibri" w:cs="Times New Roman"/>
                <w:color w:val="000000"/>
                <w:szCs w:val="22"/>
                <w:lang w:eastAsia="en-GB"/>
              </w:rPr>
            </w:pPr>
            <w:proofErr w:type="spellStart"/>
            <w:r>
              <w:rPr>
                <w:rFonts w:ascii="Calibri" w:hAnsi="Calibri"/>
                <w:color w:val="000000"/>
                <w:szCs w:val="22"/>
              </w:rPr>
              <w:t>n.a</w:t>
            </w:r>
            <w:proofErr w:type="spellEnd"/>
            <w:r>
              <w:rPr>
                <w:rFonts w:ascii="Calibri" w:hAnsi="Calibri"/>
                <w:color w:val="000000"/>
                <w:szCs w:val="22"/>
              </w:rPr>
              <w:t>.</w:t>
            </w:r>
          </w:p>
        </w:tc>
      </w:tr>
      <w:tr w:rsidR="008E09CB" w:rsidRPr="007827EF" w:rsidTr="00545DAD">
        <w:trPr>
          <w:trHeight w:hRule="exact" w:val="454"/>
        </w:trPr>
        <w:tc>
          <w:tcPr>
            <w:tcW w:w="4693" w:type="dxa"/>
            <w:tcBorders>
              <w:top w:val="nil"/>
              <w:left w:val="nil"/>
              <w:bottom w:val="single" w:sz="8" w:space="0" w:color="000000"/>
              <w:right w:val="nil"/>
            </w:tcBorders>
            <w:shd w:val="clear" w:color="auto" w:fill="auto"/>
            <w:vAlign w:val="center"/>
            <w:hideMark/>
          </w:tcPr>
          <w:p w:rsidR="008E09CB" w:rsidRPr="007827EF" w:rsidRDefault="008E09CB" w:rsidP="00DC6802">
            <w:pP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Observed N. rated items</w:t>
            </w:r>
          </w:p>
        </w:tc>
        <w:tc>
          <w:tcPr>
            <w:tcW w:w="1496" w:type="dxa"/>
            <w:tcBorders>
              <w:top w:val="nil"/>
              <w:left w:val="nil"/>
              <w:bottom w:val="single" w:sz="8" w:space="0" w:color="000000"/>
              <w:right w:val="nil"/>
            </w:tcBorders>
            <w:shd w:val="clear" w:color="auto" w:fill="auto"/>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467.0</w:t>
            </w:r>
          </w:p>
        </w:tc>
        <w:tc>
          <w:tcPr>
            <w:tcW w:w="830" w:type="dxa"/>
            <w:tcBorders>
              <w:top w:val="nil"/>
              <w:left w:val="nil"/>
              <w:bottom w:val="single" w:sz="8" w:space="0" w:color="000000"/>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980.0</w:t>
            </w:r>
          </w:p>
        </w:tc>
        <w:tc>
          <w:tcPr>
            <w:tcW w:w="1471" w:type="dxa"/>
            <w:tcBorders>
              <w:top w:val="nil"/>
              <w:left w:val="nil"/>
              <w:bottom w:val="single" w:sz="8" w:space="0" w:color="000000"/>
              <w:right w:val="nil"/>
            </w:tcBorders>
            <w:shd w:val="clear" w:color="auto" w:fill="auto"/>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24.5</w:t>
            </w:r>
          </w:p>
        </w:tc>
      </w:tr>
      <w:tr w:rsidR="008E09CB" w:rsidRPr="007827EF" w:rsidTr="00545DAD">
        <w:trPr>
          <w:trHeight w:hRule="exact" w:val="454"/>
        </w:trPr>
        <w:tc>
          <w:tcPr>
            <w:tcW w:w="4693" w:type="dxa"/>
            <w:tcBorders>
              <w:top w:val="nil"/>
              <w:left w:val="nil"/>
              <w:bottom w:val="single" w:sz="8" w:space="0" w:color="000000"/>
              <w:right w:val="nil"/>
            </w:tcBorders>
            <w:shd w:val="clear" w:color="auto" w:fill="auto"/>
            <w:vAlign w:val="center"/>
            <w:hideMark/>
          </w:tcPr>
          <w:p w:rsidR="008E09CB" w:rsidRPr="007827EF" w:rsidRDefault="008E09CB" w:rsidP="00DC6802">
            <w:pPr>
              <w:rPr>
                <w:rFonts w:ascii="Calibri" w:eastAsia="Times New Roman" w:hAnsi="Calibri" w:cs="Times New Roman"/>
                <w:b/>
                <w:bCs/>
                <w:color w:val="000000"/>
                <w:szCs w:val="22"/>
                <w:lang w:eastAsia="en-GB"/>
              </w:rPr>
            </w:pPr>
            <w:r w:rsidRPr="007827EF">
              <w:rPr>
                <w:rFonts w:ascii="Calibri" w:eastAsia="Times New Roman" w:hAnsi="Calibri" w:cs="Times New Roman"/>
                <w:b/>
                <w:bCs/>
                <w:color w:val="000000"/>
                <w:szCs w:val="22"/>
                <w:lang w:eastAsia="en-GB"/>
              </w:rPr>
              <w:t>Mapping proposal</w:t>
            </w:r>
          </w:p>
        </w:tc>
        <w:tc>
          <w:tcPr>
            <w:tcW w:w="1496" w:type="dxa"/>
            <w:tcBorders>
              <w:top w:val="nil"/>
              <w:left w:val="nil"/>
              <w:bottom w:val="single" w:sz="8" w:space="0" w:color="000000"/>
              <w:right w:val="nil"/>
            </w:tcBorders>
            <w:shd w:val="clear" w:color="auto" w:fill="auto"/>
            <w:vAlign w:val="center"/>
            <w:hideMark/>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CQS1</w:t>
            </w:r>
          </w:p>
        </w:tc>
        <w:tc>
          <w:tcPr>
            <w:tcW w:w="830" w:type="dxa"/>
            <w:tcBorders>
              <w:top w:val="nil"/>
              <w:left w:val="nil"/>
              <w:bottom w:val="single" w:sz="8" w:space="0" w:color="000000"/>
              <w:right w:val="nil"/>
            </w:tcBorders>
            <w:vAlign w:val="center"/>
          </w:tcPr>
          <w:p w:rsidR="008E09CB" w:rsidRPr="007827EF" w:rsidRDefault="008E09CB" w:rsidP="00DC6802">
            <w:pPr>
              <w:jc w:val="center"/>
              <w:rPr>
                <w:rFonts w:ascii="Calibri" w:eastAsia="Times New Roman" w:hAnsi="Calibri" w:cs="Times New Roman"/>
                <w:color w:val="000000"/>
                <w:szCs w:val="22"/>
                <w:lang w:eastAsia="en-GB"/>
              </w:rPr>
            </w:pPr>
            <w:r w:rsidRPr="007827EF">
              <w:rPr>
                <w:rFonts w:ascii="Calibri" w:eastAsia="Times New Roman" w:hAnsi="Calibri" w:cs="Times New Roman"/>
                <w:color w:val="000000"/>
                <w:szCs w:val="22"/>
                <w:lang w:eastAsia="en-GB"/>
              </w:rPr>
              <w:t>CQS 2</w:t>
            </w:r>
          </w:p>
        </w:tc>
        <w:tc>
          <w:tcPr>
            <w:tcW w:w="1471" w:type="dxa"/>
            <w:tcBorders>
              <w:top w:val="nil"/>
              <w:left w:val="nil"/>
              <w:bottom w:val="single" w:sz="8" w:space="0" w:color="000000"/>
              <w:right w:val="nil"/>
            </w:tcBorders>
            <w:shd w:val="clear" w:color="auto" w:fill="auto"/>
            <w:vAlign w:val="center"/>
          </w:tcPr>
          <w:p w:rsidR="008E09CB" w:rsidRPr="007827EF" w:rsidRDefault="008E09CB" w:rsidP="00DC6802">
            <w:pPr>
              <w:jc w:val="center"/>
              <w:rPr>
                <w:rFonts w:ascii="Calibri" w:eastAsia="Times New Roman" w:hAnsi="Calibri" w:cs="Times New Roman"/>
                <w:color w:val="000000"/>
                <w:szCs w:val="22"/>
                <w:lang w:eastAsia="en-GB"/>
              </w:rPr>
            </w:pPr>
            <w:r>
              <w:rPr>
                <w:rFonts w:ascii="Calibri" w:hAnsi="Calibri"/>
                <w:color w:val="000000"/>
                <w:szCs w:val="22"/>
              </w:rPr>
              <w:t>CQS 6</w:t>
            </w:r>
          </w:p>
        </w:tc>
      </w:tr>
    </w:tbl>
    <w:p w:rsidR="00BB58AD" w:rsidRDefault="00BB58AD" w:rsidP="004C48AE">
      <w:pPr>
        <w:pStyle w:val="FootnoteText"/>
      </w:pPr>
      <w:r w:rsidRPr="00852583">
        <w:t xml:space="preserve">Source: Joint Committee calculations based on </w:t>
      </w:r>
      <w:r w:rsidRPr="00852583">
        <w:rPr>
          <w:rStyle w:val="FootnoteReference"/>
          <w:sz w:val="18"/>
          <w:vertAlign w:val="baseline"/>
        </w:rPr>
        <w:t>CEREP</w:t>
      </w:r>
      <w:r w:rsidRPr="00852583">
        <w:t xml:space="preserve"> data</w:t>
      </w:r>
    </w:p>
    <w:p w:rsidR="00AA5A56" w:rsidRDefault="00AA5A56">
      <w:pPr>
        <w:pStyle w:val="Figuretitle"/>
      </w:pPr>
    </w:p>
    <w:p w:rsidR="00AA5A56" w:rsidRDefault="00AA5A56">
      <w:pPr>
        <w:pStyle w:val="Figuretitle"/>
      </w:pPr>
    </w:p>
    <w:bookmarkEnd w:id="18"/>
    <w:bookmarkEnd w:id="20"/>
    <w:p w:rsidR="00010D71" w:rsidRDefault="00010D71" w:rsidP="00545DAD">
      <w:pPr>
        <w:pStyle w:val="Figuretitle"/>
      </w:pPr>
    </w:p>
    <w:p w:rsidR="00683B02" w:rsidRPr="00FC5912" w:rsidRDefault="00683B02" w:rsidP="00DB634B">
      <w:pPr>
        <w:sectPr w:rsidR="00683B02" w:rsidRPr="00FC5912" w:rsidSect="00010D71">
          <w:pgSz w:w="11900" w:h="16840"/>
          <w:pgMar w:top="2268" w:right="1418" w:bottom="1134" w:left="1701" w:header="709" w:footer="709" w:gutter="0"/>
          <w:cols w:space="708"/>
          <w:titlePg/>
          <w:docGrid w:linePitch="299"/>
        </w:sectPr>
      </w:pPr>
    </w:p>
    <w:p w:rsidR="00F815E0" w:rsidRDefault="00F434D1" w:rsidP="00AF0256">
      <w:pPr>
        <w:pStyle w:val="Titlelevel2"/>
        <w:outlineLvl w:val="0"/>
      </w:pPr>
      <w:r w:rsidRPr="00BE6527">
        <w:lastRenderedPageBreak/>
        <w:t>Appendix 4: Mappings of each rating scale</w:t>
      </w:r>
    </w:p>
    <w:p w:rsidR="00157D76" w:rsidRPr="00E25C65" w:rsidRDefault="0041788D">
      <w:pPr>
        <w:pStyle w:val="Figuretitle"/>
      </w:pPr>
      <w:bookmarkStart w:id="21" w:name="_Ref384809626"/>
      <w:r w:rsidRPr="0041788D">
        <w:rPr>
          <w:szCs w:val="22"/>
        </w:rPr>
        <w:t xml:space="preserve">Figure </w:t>
      </w:r>
      <w:bookmarkEnd w:id="21"/>
      <w:r w:rsidR="00AF4774">
        <w:rPr>
          <w:szCs w:val="22"/>
        </w:rPr>
        <w:t>1</w:t>
      </w:r>
      <w:r w:rsidR="0082161F">
        <w:rPr>
          <w:szCs w:val="22"/>
        </w:rPr>
        <w:t>4</w:t>
      </w:r>
      <w:r w:rsidR="00157D76">
        <w:t>:</w:t>
      </w:r>
      <w:r w:rsidR="00157D76" w:rsidRPr="00E25C65">
        <w:t xml:space="preserve"> Mapping of </w:t>
      </w:r>
      <w:r w:rsidR="00D37536">
        <w:t>DBRS</w:t>
      </w:r>
      <w:r w:rsidR="00157D76" w:rsidRPr="00E25C65">
        <w:t xml:space="preserve">’s </w:t>
      </w:r>
      <w:r w:rsidR="00546279" w:rsidRPr="00546279">
        <w:t>Long-term obligations rating scale</w:t>
      </w:r>
    </w:p>
    <w:tbl>
      <w:tblPr>
        <w:tblStyle w:val="TableGrid"/>
        <w:tblW w:w="14318" w:type="dxa"/>
        <w:tblInd w:w="108" w:type="dxa"/>
        <w:tblLayout w:type="fixed"/>
        <w:tblLook w:val="04A0" w:firstRow="1" w:lastRow="0" w:firstColumn="1" w:lastColumn="0" w:noHBand="0" w:noVBand="1"/>
      </w:tblPr>
      <w:tblGrid>
        <w:gridCol w:w="1418"/>
        <w:gridCol w:w="1701"/>
        <w:gridCol w:w="1418"/>
        <w:gridCol w:w="1417"/>
        <w:gridCol w:w="8364"/>
      </w:tblGrid>
      <w:tr w:rsidR="00157D76" w:rsidRPr="00157D76" w:rsidTr="00493AC5">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157D76" w:rsidRPr="00157D76" w:rsidRDefault="00157D76"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701"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8"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i/>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7" w:type="dxa"/>
            <w:tcBorders>
              <w:bottom w:val="single" w:sz="18" w:space="0" w:color="E98E31" w:themeColor="background2"/>
            </w:tcBorders>
          </w:tcPr>
          <w:p w:rsidR="00157D76" w:rsidRPr="00157D76" w:rsidRDefault="00157D76" w:rsidP="00493AC5">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sidRPr="00157D76">
              <w:rPr>
                <w:rFonts w:asciiTheme="majorHAnsi" w:hAnsiTheme="majorHAnsi" w:cs="Arial"/>
                <w:b/>
                <w:sz w:val="22"/>
                <w:szCs w:val="22"/>
              </w:rPr>
              <w:t xml:space="preserve"> (CQS)</w:t>
            </w:r>
          </w:p>
        </w:tc>
        <w:tc>
          <w:tcPr>
            <w:tcW w:w="8364"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1520BE" w:rsidRPr="00157D76" w:rsidTr="00493AC5">
        <w:trPr>
          <w:trHeight w:val="567"/>
        </w:trPr>
        <w:tc>
          <w:tcPr>
            <w:tcW w:w="1418" w:type="dxa"/>
            <w:tcBorders>
              <w:top w:val="single" w:sz="18" w:space="0" w:color="E98E31" w:themeColor="background2"/>
              <w:bottom w:val="dashed" w:sz="4" w:space="0" w:color="auto"/>
            </w:tcBorders>
          </w:tcPr>
          <w:p w:rsidR="001520BE" w:rsidRPr="00157D76" w:rsidRDefault="001520BE"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1701" w:type="dxa"/>
            <w:tcBorders>
              <w:top w:val="single" w:sz="18" w:space="0" w:color="E98E31" w:themeColor="background2"/>
              <w:bottom w:val="dashed" w:sz="4" w:space="0" w:color="auto"/>
            </w:tcBorders>
          </w:tcPr>
          <w:p w:rsidR="001520BE" w:rsidRPr="007A6320" w:rsidRDefault="001520BE"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1/2</w:t>
            </w:r>
          </w:p>
        </w:tc>
        <w:tc>
          <w:tcPr>
            <w:tcW w:w="1418" w:type="dxa"/>
            <w:tcBorders>
              <w:top w:val="single" w:sz="18" w:space="0" w:color="E98E31" w:themeColor="background2"/>
              <w:bottom w:val="dashed" w:sz="4" w:space="0" w:color="auto"/>
            </w:tcBorders>
          </w:tcPr>
          <w:p w:rsidR="001520BE" w:rsidRPr="007A6320" w:rsidRDefault="001520BE" w:rsidP="00CB29F4">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7" w:type="dxa"/>
            <w:tcBorders>
              <w:top w:val="single" w:sz="18" w:space="0" w:color="E98E31" w:themeColor="background2"/>
              <w:bottom w:val="single" w:sz="4" w:space="0" w:color="auto"/>
            </w:tcBorders>
          </w:tcPr>
          <w:p w:rsidR="001520BE" w:rsidRPr="007A6320" w:rsidRDefault="001520BE"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val="restart"/>
            <w:tcBorders>
              <w:top w:val="single" w:sz="18" w:space="0" w:color="E98E31" w:themeColor="background2"/>
            </w:tcBorders>
          </w:tcPr>
          <w:p w:rsidR="001520BE" w:rsidRPr="00157D76" w:rsidRDefault="001520BE">
            <w:pPr>
              <w:pStyle w:val="BodyText1"/>
              <w:spacing w:before="120" w:after="120"/>
              <w:rPr>
                <w:rFonts w:asciiTheme="majorHAnsi" w:hAnsiTheme="majorHAnsi"/>
                <w:sz w:val="22"/>
                <w:szCs w:val="22"/>
              </w:rPr>
            </w:pPr>
            <w:r>
              <w:rPr>
                <w:rFonts w:asciiTheme="majorHAnsi" w:hAnsiTheme="majorHAnsi"/>
                <w:sz w:val="22"/>
                <w:szCs w:val="22"/>
              </w:rPr>
              <w:t>Additional data collected after the original draft ITS was produced reinforced the mapping to CQS1</w:t>
            </w:r>
          </w:p>
        </w:tc>
      </w:tr>
      <w:tr w:rsidR="001520BE" w:rsidRPr="00157D76" w:rsidTr="00C11519">
        <w:trPr>
          <w:trHeight w:val="567"/>
        </w:trPr>
        <w:tc>
          <w:tcPr>
            <w:tcW w:w="1418" w:type="dxa"/>
            <w:tcBorders>
              <w:bottom w:val="dashed" w:sz="4" w:space="0" w:color="auto"/>
            </w:tcBorders>
          </w:tcPr>
          <w:p w:rsidR="001520BE" w:rsidRPr="00157D76" w:rsidRDefault="001520BE"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1701" w:type="dxa"/>
            <w:tcBorders>
              <w:bottom w:val="dashed" w:sz="4" w:space="0" w:color="auto"/>
            </w:tcBorders>
          </w:tcPr>
          <w:p w:rsidR="001520BE" w:rsidRPr="007A6320" w:rsidRDefault="001520BE"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1/2</w:t>
            </w:r>
          </w:p>
        </w:tc>
        <w:tc>
          <w:tcPr>
            <w:tcW w:w="1418" w:type="dxa"/>
            <w:tcBorders>
              <w:bottom w:val="dashed" w:sz="4" w:space="0" w:color="auto"/>
            </w:tcBorders>
          </w:tcPr>
          <w:p w:rsidR="001520BE" w:rsidRPr="007A6320" w:rsidRDefault="001520BE" w:rsidP="00D74683">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7" w:type="dxa"/>
            <w:tcBorders>
              <w:top w:val="single" w:sz="4" w:space="0" w:color="auto"/>
              <w:bottom w:val="single" w:sz="4" w:space="0" w:color="auto"/>
            </w:tcBorders>
          </w:tcPr>
          <w:p w:rsidR="001520BE" w:rsidRPr="007A6320" w:rsidRDefault="001520BE"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tcPr>
          <w:p w:rsidR="001520BE" w:rsidRPr="00157D76" w:rsidRDefault="001520BE" w:rsidP="009802BE">
            <w:pPr>
              <w:pStyle w:val="BodyText1"/>
              <w:spacing w:before="120" w:after="120"/>
              <w:rPr>
                <w:rFonts w:asciiTheme="majorHAnsi" w:hAnsiTheme="majorHAnsi"/>
                <w:sz w:val="22"/>
                <w:szCs w:val="22"/>
              </w:rPr>
            </w:pPr>
          </w:p>
        </w:tc>
      </w:tr>
      <w:tr w:rsidR="001520BE" w:rsidRPr="00157D76" w:rsidTr="00493AC5">
        <w:trPr>
          <w:trHeight w:val="567"/>
        </w:trPr>
        <w:tc>
          <w:tcPr>
            <w:tcW w:w="1418" w:type="dxa"/>
            <w:tcBorders>
              <w:bottom w:val="dashed" w:sz="4" w:space="0" w:color="auto"/>
            </w:tcBorders>
          </w:tcPr>
          <w:p w:rsidR="001520BE" w:rsidRPr="00157D76" w:rsidRDefault="001520BE"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1701" w:type="dxa"/>
            <w:tcBorders>
              <w:bottom w:val="dashed" w:sz="4" w:space="0" w:color="auto"/>
            </w:tcBorders>
          </w:tcPr>
          <w:p w:rsidR="001520BE" w:rsidRPr="007A6320" w:rsidRDefault="001520BE"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2/3</w:t>
            </w:r>
          </w:p>
        </w:tc>
        <w:tc>
          <w:tcPr>
            <w:tcW w:w="1418" w:type="dxa"/>
            <w:tcBorders>
              <w:bottom w:val="dashed" w:sz="4" w:space="0" w:color="auto"/>
            </w:tcBorders>
          </w:tcPr>
          <w:p w:rsidR="001520BE" w:rsidRPr="007A6320" w:rsidRDefault="001520BE" w:rsidP="00D74683">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417" w:type="dxa"/>
            <w:tcBorders>
              <w:top w:val="single" w:sz="4" w:space="0" w:color="auto"/>
              <w:bottom w:val="single" w:sz="4" w:space="0" w:color="auto"/>
            </w:tcBorders>
          </w:tcPr>
          <w:p w:rsidR="001520BE" w:rsidRPr="007A6320" w:rsidRDefault="001520BE"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8364" w:type="dxa"/>
            <w:vMerge/>
            <w:tcBorders>
              <w:bottom w:val="dashed" w:sz="4" w:space="0" w:color="auto"/>
            </w:tcBorders>
          </w:tcPr>
          <w:p w:rsidR="001520BE" w:rsidRPr="00157D76" w:rsidRDefault="001520BE" w:rsidP="009802BE">
            <w:pPr>
              <w:pStyle w:val="BodyText1"/>
              <w:spacing w:before="120" w:after="120"/>
              <w:rPr>
                <w:rFonts w:asciiTheme="majorHAnsi" w:hAnsiTheme="majorHAnsi"/>
                <w:sz w:val="22"/>
                <w:szCs w:val="22"/>
              </w:rPr>
            </w:pPr>
          </w:p>
        </w:tc>
      </w:tr>
      <w:tr w:rsidR="00D74683" w:rsidRPr="00157D76" w:rsidTr="00493AC5">
        <w:trPr>
          <w:trHeight w:val="567"/>
        </w:trPr>
        <w:tc>
          <w:tcPr>
            <w:tcW w:w="1418" w:type="dxa"/>
          </w:tcPr>
          <w:p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1701"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3</w:t>
            </w:r>
          </w:p>
        </w:tc>
        <w:tc>
          <w:tcPr>
            <w:tcW w:w="1418"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3</w:t>
            </w:r>
          </w:p>
        </w:tc>
        <w:tc>
          <w:tcPr>
            <w:tcW w:w="1417" w:type="dxa"/>
            <w:tcBorders>
              <w:top w:val="single" w:sz="4" w:space="0" w:color="auto"/>
            </w:tcBorders>
          </w:tcPr>
          <w:p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c>
          <w:tcPr>
            <w:tcW w:w="8364" w:type="dxa"/>
          </w:tcPr>
          <w:p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rsidTr="00493AC5">
        <w:trPr>
          <w:trHeight w:val="567"/>
        </w:trPr>
        <w:tc>
          <w:tcPr>
            <w:tcW w:w="1418" w:type="dxa"/>
          </w:tcPr>
          <w:p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1701"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4</w:t>
            </w:r>
          </w:p>
        </w:tc>
        <w:tc>
          <w:tcPr>
            <w:tcW w:w="1418"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4</w:t>
            </w:r>
          </w:p>
        </w:tc>
        <w:tc>
          <w:tcPr>
            <w:tcW w:w="1417" w:type="dxa"/>
            <w:tcBorders>
              <w:top w:val="single" w:sz="4" w:space="0" w:color="auto"/>
            </w:tcBorders>
          </w:tcPr>
          <w:p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8364" w:type="dxa"/>
          </w:tcPr>
          <w:p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rsidTr="00493AC5">
        <w:trPr>
          <w:trHeight w:val="567"/>
        </w:trPr>
        <w:tc>
          <w:tcPr>
            <w:tcW w:w="1418" w:type="dxa"/>
          </w:tcPr>
          <w:p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701"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5</w:t>
            </w:r>
          </w:p>
        </w:tc>
        <w:tc>
          <w:tcPr>
            <w:tcW w:w="1418"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5</w:t>
            </w:r>
          </w:p>
        </w:tc>
        <w:tc>
          <w:tcPr>
            <w:tcW w:w="1417" w:type="dxa"/>
            <w:tcBorders>
              <w:top w:val="single" w:sz="4" w:space="0" w:color="auto"/>
            </w:tcBorders>
          </w:tcPr>
          <w:p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w:t>
            </w:r>
          </w:p>
        </w:tc>
        <w:tc>
          <w:tcPr>
            <w:tcW w:w="8364" w:type="dxa"/>
          </w:tcPr>
          <w:p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rsidTr="00493AC5">
        <w:trPr>
          <w:trHeight w:val="567"/>
        </w:trPr>
        <w:tc>
          <w:tcPr>
            <w:tcW w:w="1418" w:type="dxa"/>
          </w:tcPr>
          <w:p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1701"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7" w:type="dxa"/>
            <w:tcBorders>
              <w:top w:val="single" w:sz="4" w:space="0" w:color="auto"/>
            </w:tcBorders>
          </w:tcPr>
          <w:p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rsidTr="00493AC5">
        <w:trPr>
          <w:trHeight w:val="567"/>
        </w:trPr>
        <w:tc>
          <w:tcPr>
            <w:tcW w:w="1418" w:type="dxa"/>
          </w:tcPr>
          <w:p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p>
        </w:tc>
        <w:tc>
          <w:tcPr>
            <w:tcW w:w="1701"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tcPr>
          <w:p w:rsidR="00D74683" w:rsidRPr="00157D76" w:rsidRDefault="00D7468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7" w:type="dxa"/>
            <w:tcBorders>
              <w:top w:val="single" w:sz="4" w:space="0" w:color="auto"/>
            </w:tcBorders>
          </w:tcPr>
          <w:p w:rsidR="00D74683" w:rsidRPr="00157D76" w:rsidRDefault="00D7468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rsidR="00D74683" w:rsidRPr="00157D76" w:rsidRDefault="00D7468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C46362" w:rsidRPr="00157D76" w:rsidTr="00576D60">
        <w:trPr>
          <w:trHeight w:val="567"/>
        </w:trPr>
        <w:tc>
          <w:tcPr>
            <w:tcW w:w="1418" w:type="dxa"/>
          </w:tcPr>
          <w:p w:rsidR="00C46362" w:rsidRPr="00157D76" w:rsidRDefault="00D61408" w:rsidP="00D7468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w:t>
            </w:r>
          </w:p>
        </w:tc>
        <w:tc>
          <w:tcPr>
            <w:tcW w:w="1701" w:type="dxa"/>
          </w:tcPr>
          <w:p w:rsidR="00C46362" w:rsidRDefault="00A61B86" w:rsidP="00576D60">
            <w:pPr>
              <w:jc w:val="center"/>
            </w:pPr>
            <w:r w:rsidRPr="00157D76">
              <w:rPr>
                <w:rFonts w:asciiTheme="majorHAnsi" w:hAnsiTheme="majorHAnsi" w:cs="Arial"/>
                <w:szCs w:val="22"/>
              </w:rPr>
              <w:t>6</w:t>
            </w:r>
          </w:p>
        </w:tc>
        <w:tc>
          <w:tcPr>
            <w:tcW w:w="1418" w:type="dxa"/>
          </w:tcPr>
          <w:p w:rsidR="00C46362" w:rsidRDefault="00A61B86" w:rsidP="008A10C6">
            <w:pPr>
              <w:jc w:val="center"/>
            </w:pPr>
            <w:r w:rsidRPr="00157D76">
              <w:rPr>
                <w:rFonts w:asciiTheme="majorHAnsi" w:hAnsiTheme="majorHAnsi" w:cs="Arial"/>
                <w:szCs w:val="22"/>
              </w:rPr>
              <w:t>6</w:t>
            </w:r>
          </w:p>
        </w:tc>
        <w:tc>
          <w:tcPr>
            <w:tcW w:w="1417" w:type="dxa"/>
            <w:tcBorders>
              <w:top w:val="single" w:sz="4" w:space="0" w:color="auto"/>
            </w:tcBorders>
          </w:tcPr>
          <w:p w:rsidR="00C46362" w:rsidRPr="00157D76" w:rsidRDefault="00C46362"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rsidR="00C46362" w:rsidRPr="00157D76" w:rsidRDefault="00C46362" w:rsidP="00D74683">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r w:rsidR="00C46362" w:rsidRPr="00157D76" w:rsidTr="00576D60">
        <w:trPr>
          <w:trHeight w:val="567"/>
        </w:trPr>
        <w:tc>
          <w:tcPr>
            <w:tcW w:w="1418" w:type="dxa"/>
          </w:tcPr>
          <w:p w:rsidR="00C46362" w:rsidRPr="00157D76" w:rsidRDefault="00C46362" w:rsidP="00F25FC9">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D</w:t>
            </w:r>
          </w:p>
        </w:tc>
        <w:tc>
          <w:tcPr>
            <w:tcW w:w="1701" w:type="dxa"/>
          </w:tcPr>
          <w:p w:rsidR="00C46362" w:rsidRDefault="00C46362" w:rsidP="00576D60">
            <w:pPr>
              <w:jc w:val="center"/>
            </w:pPr>
            <w:proofErr w:type="spellStart"/>
            <w:r w:rsidRPr="00A26E02">
              <w:rPr>
                <w:rFonts w:asciiTheme="majorHAnsi" w:hAnsiTheme="majorHAnsi" w:cs="Arial"/>
                <w:szCs w:val="22"/>
              </w:rPr>
              <w:t>n.a</w:t>
            </w:r>
            <w:proofErr w:type="spellEnd"/>
            <w:r w:rsidRPr="00A26E02">
              <w:rPr>
                <w:rFonts w:asciiTheme="majorHAnsi" w:hAnsiTheme="majorHAnsi" w:cs="Arial"/>
                <w:szCs w:val="22"/>
              </w:rPr>
              <w:t>.</w:t>
            </w:r>
          </w:p>
        </w:tc>
        <w:tc>
          <w:tcPr>
            <w:tcW w:w="1418" w:type="dxa"/>
          </w:tcPr>
          <w:p w:rsidR="00C46362" w:rsidRDefault="00C46362" w:rsidP="008A10C6">
            <w:pPr>
              <w:jc w:val="center"/>
            </w:pPr>
            <w:proofErr w:type="spellStart"/>
            <w:r w:rsidRPr="00A26E02">
              <w:rPr>
                <w:rFonts w:asciiTheme="majorHAnsi" w:hAnsiTheme="majorHAnsi" w:cs="Arial"/>
                <w:szCs w:val="22"/>
              </w:rPr>
              <w:t>n.a</w:t>
            </w:r>
            <w:proofErr w:type="spellEnd"/>
            <w:r w:rsidRPr="00A26E02">
              <w:rPr>
                <w:rFonts w:asciiTheme="majorHAnsi" w:hAnsiTheme="majorHAnsi" w:cs="Arial"/>
                <w:szCs w:val="22"/>
              </w:rPr>
              <w:t>.</w:t>
            </w:r>
          </w:p>
        </w:tc>
        <w:tc>
          <w:tcPr>
            <w:tcW w:w="1417" w:type="dxa"/>
            <w:tcBorders>
              <w:top w:val="single" w:sz="4" w:space="0" w:color="auto"/>
            </w:tcBorders>
          </w:tcPr>
          <w:p w:rsidR="00C46362" w:rsidRPr="00157D76" w:rsidRDefault="00C46362"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rsidR="00C46362" w:rsidRPr="00157D76" w:rsidRDefault="00C46362" w:rsidP="00D74683">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bl>
    <w:p w:rsidR="0062736A" w:rsidRDefault="0062736A">
      <w:pPr>
        <w:pStyle w:val="Figuretitle"/>
      </w:pPr>
      <w:bookmarkStart w:id="22" w:name="_Ref384834744"/>
    </w:p>
    <w:p w:rsidR="00493AC5" w:rsidRPr="00EF13CD" w:rsidRDefault="0041788D">
      <w:pPr>
        <w:pStyle w:val="Figuretitle"/>
      </w:pPr>
      <w:bookmarkStart w:id="23" w:name="_Ref431384259"/>
      <w:r w:rsidRPr="0041788D">
        <w:rPr>
          <w:szCs w:val="22"/>
        </w:rPr>
        <w:t xml:space="preserve">Figure </w:t>
      </w:r>
      <w:bookmarkEnd w:id="22"/>
      <w:bookmarkEnd w:id="23"/>
      <w:r w:rsidR="00AF4774">
        <w:rPr>
          <w:szCs w:val="22"/>
        </w:rPr>
        <w:t>1</w:t>
      </w:r>
      <w:r w:rsidR="0082161F">
        <w:rPr>
          <w:szCs w:val="22"/>
        </w:rPr>
        <w:t>5</w:t>
      </w:r>
      <w:r w:rsidR="00157D76">
        <w:t>:</w:t>
      </w:r>
      <w:r w:rsidR="00157D76" w:rsidRPr="00E25C65">
        <w:t xml:space="preserve"> Mapping of </w:t>
      </w:r>
      <w:r w:rsidR="00493AC5">
        <w:t>DBRS</w:t>
      </w:r>
      <w:r w:rsidR="00157D76" w:rsidRPr="00E25C65">
        <w:t xml:space="preserve"> </w:t>
      </w:r>
      <w:r w:rsidR="00493AC5" w:rsidRPr="00E43BEA">
        <w:t>Commercial paper and short-term debt rating scale</w:t>
      </w:r>
      <w:r w:rsidR="008266E0">
        <w:t xml:space="preserve"> </w:t>
      </w:r>
    </w:p>
    <w:tbl>
      <w:tblPr>
        <w:tblStyle w:val="TableGrid"/>
        <w:tblW w:w="14175" w:type="dxa"/>
        <w:tblInd w:w="108" w:type="dxa"/>
        <w:tblLayout w:type="fixed"/>
        <w:tblLook w:val="04A0" w:firstRow="1" w:lastRow="0" w:firstColumn="1" w:lastColumn="0" w:noHBand="0" w:noVBand="1"/>
      </w:tblPr>
      <w:tblGrid>
        <w:gridCol w:w="1418"/>
        <w:gridCol w:w="1984"/>
        <w:gridCol w:w="1701"/>
        <w:gridCol w:w="1304"/>
        <w:gridCol w:w="7768"/>
      </w:tblGrid>
      <w:tr w:rsidR="00157D76" w:rsidRPr="004F73DB" w:rsidTr="00493AC5">
        <w:trPr>
          <w:cnfStyle w:val="100000000000" w:firstRow="1" w:lastRow="0" w:firstColumn="0" w:lastColumn="0" w:oddVBand="0" w:evenVBand="0" w:oddHBand="0" w:evenHBand="0" w:firstRowFirstColumn="0" w:firstRowLastColumn="0" w:lastRowFirstColumn="0" w:lastRowLastColumn="0"/>
          <w:trHeight w:val="1740"/>
        </w:trPr>
        <w:tc>
          <w:tcPr>
            <w:tcW w:w="1418" w:type="dxa"/>
            <w:tcBorders>
              <w:bottom w:val="single" w:sz="18" w:space="0" w:color="E98E31" w:themeColor="background2"/>
            </w:tcBorders>
          </w:tcPr>
          <w:p w:rsidR="00157D76" w:rsidRPr="004F73DB" w:rsidRDefault="00157D76" w:rsidP="00157D76">
            <w:pPr>
              <w:pStyle w:val="BodyText1"/>
              <w:spacing w:before="60" w:after="60"/>
              <w:jc w:val="center"/>
              <w:rPr>
                <w:rFonts w:asciiTheme="majorHAnsi" w:hAnsiTheme="majorHAnsi" w:cs="Arial"/>
                <w:b/>
                <w:sz w:val="22"/>
                <w:szCs w:val="22"/>
              </w:rPr>
            </w:pPr>
            <w:r w:rsidRPr="004F73DB">
              <w:rPr>
                <w:rFonts w:asciiTheme="majorHAnsi" w:hAnsiTheme="majorHAnsi" w:cs="Arial"/>
                <w:b/>
                <w:sz w:val="22"/>
                <w:szCs w:val="22"/>
              </w:rPr>
              <w:t>Credit assessment</w:t>
            </w:r>
          </w:p>
        </w:tc>
        <w:tc>
          <w:tcPr>
            <w:tcW w:w="1984" w:type="dxa"/>
            <w:tcBorders>
              <w:bottom w:val="single" w:sz="18" w:space="0" w:color="E98E31" w:themeColor="background2"/>
            </w:tcBorders>
          </w:tcPr>
          <w:p w:rsidR="00157D76" w:rsidRPr="004F73DB" w:rsidRDefault="00157D76" w:rsidP="00493AC5">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Corresponding Long-term </w:t>
            </w:r>
            <w:r w:rsidR="00493AC5">
              <w:rPr>
                <w:rFonts w:asciiTheme="majorHAnsi" w:hAnsiTheme="majorHAnsi" w:cs="Arial"/>
                <w:b/>
                <w:sz w:val="22"/>
                <w:szCs w:val="22"/>
              </w:rPr>
              <w:t xml:space="preserve">obligations </w:t>
            </w:r>
            <w:r w:rsidRPr="004F73DB">
              <w:rPr>
                <w:rFonts w:asciiTheme="majorHAnsi" w:hAnsiTheme="majorHAnsi" w:cs="Arial"/>
                <w:b/>
                <w:sz w:val="22"/>
                <w:szCs w:val="22"/>
              </w:rPr>
              <w:t>ratings scal</w:t>
            </w:r>
            <w:r w:rsidR="00493AC5">
              <w:rPr>
                <w:rFonts w:asciiTheme="majorHAnsi" w:hAnsiTheme="majorHAnsi" w:cs="Arial"/>
                <w:b/>
                <w:sz w:val="22"/>
                <w:szCs w:val="22"/>
              </w:rPr>
              <w:t>e assessment (established by DBRS</w:t>
            </w:r>
            <w:r w:rsidRPr="004F73DB">
              <w:rPr>
                <w:rFonts w:asciiTheme="majorHAnsi" w:hAnsiTheme="majorHAnsi" w:cs="Arial"/>
                <w:b/>
                <w:sz w:val="22"/>
                <w:szCs w:val="22"/>
              </w:rPr>
              <w:t>)</w:t>
            </w:r>
          </w:p>
        </w:tc>
        <w:tc>
          <w:tcPr>
            <w:tcW w:w="1701" w:type="dxa"/>
            <w:tcBorders>
              <w:bottom w:val="single" w:sz="18" w:space="0" w:color="E98E31" w:themeColor="background2"/>
            </w:tcBorders>
          </w:tcPr>
          <w:p w:rsidR="00157D76" w:rsidRPr="004F73DB" w:rsidRDefault="00157D76" w:rsidP="00493AC5">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Range of CQS of corresponding Long-term </w:t>
            </w:r>
            <w:r w:rsidR="00493AC5">
              <w:rPr>
                <w:rFonts w:asciiTheme="majorHAnsi" w:hAnsiTheme="majorHAnsi" w:cs="Arial"/>
                <w:b/>
                <w:sz w:val="22"/>
                <w:szCs w:val="22"/>
              </w:rPr>
              <w:t>obligations</w:t>
            </w:r>
            <w:r w:rsidRPr="004F73DB">
              <w:rPr>
                <w:rFonts w:asciiTheme="majorHAnsi" w:hAnsiTheme="majorHAnsi" w:cs="Arial"/>
                <w:b/>
                <w:sz w:val="22"/>
                <w:szCs w:val="22"/>
              </w:rPr>
              <w:t xml:space="preserve"> ratings scale</w:t>
            </w:r>
          </w:p>
        </w:tc>
        <w:tc>
          <w:tcPr>
            <w:tcW w:w="1304" w:type="dxa"/>
            <w:tcBorders>
              <w:bottom w:val="single" w:sz="18" w:space="0" w:color="E98E31" w:themeColor="background2"/>
            </w:tcBorders>
            <w:shd w:val="clear" w:color="auto" w:fill="auto"/>
          </w:tcPr>
          <w:p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Final review </w:t>
            </w:r>
            <w:r w:rsidRPr="004F73DB">
              <w:rPr>
                <w:rFonts w:asciiTheme="majorHAnsi" w:hAnsiTheme="majorHAnsi" w:cs="Arial"/>
                <w:b/>
                <w:i/>
                <w:sz w:val="22"/>
                <w:szCs w:val="22"/>
              </w:rPr>
              <w:t>based on qualitative factors</w:t>
            </w:r>
          </w:p>
          <w:p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 (CQS)</w:t>
            </w:r>
          </w:p>
        </w:tc>
        <w:tc>
          <w:tcPr>
            <w:tcW w:w="7768" w:type="dxa"/>
            <w:tcBorders>
              <w:bottom w:val="single" w:sz="18" w:space="0" w:color="E98E31" w:themeColor="background2"/>
            </w:tcBorders>
          </w:tcPr>
          <w:p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Main reason for the mapping</w:t>
            </w:r>
          </w:p>
        </w:tc>
      </w:tr>
      <w:tr w:rsidR="0023494F" w:rsidRPr="00157D76" w:rsidTr="00545DAD">
        <w:trPr>
          <w:trHeight w:val="397"/>
        </w:trPr>
        <w:tc>
          <w:tcPr>
            <w:tcW w:w="1418" w:type="dxa"/>
            <w:tcBorders>
              <w:top w:val="single" w:sz="18" w:space="0" w:color="E98E31" w:themeColor="background2"/>
              <w:bottom w:val="dashed" w:sz="4" w:space="0" w:color="auto"/>
            </w:tcBorders>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R-1 H</w:t>
            </w:r>
          </w:p>
        </w:tc>
        <w:tc>
          <w:tcPr>
            <w:tcW w:w="1984" w:type="dxa"/>
            <w:tcBorders>
              <w:top w:val="single" w:sz="18" w:space="0" w:color="E98E31" w:themeColor="background2"/>
              <w:bottom w:val="dashed" w:sz="4" w:space="0" w:color="auto"/>
            </w:tcBorders>
          </w:tcPr>
          <w:p w:rsidR="0023494F" w:rsidRPr="00493AC5" w:rsidRDefault="0023494F" w:rsidP="00785694">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AAA/AA</w:t>
            </w:r>
            <w:r>
              <w:rPr>
                <w:rFonts w:asciiTheme="majorHAnsi" w:hAnsiTheme="majorHAnsi" w:cs="Arial"/>
                <w:sz w:val="22"/>
                <w:szCs w:val="22"/>
              </w:rPr>
              <w:t>(H)</w:t>
            </w:r>
          </w:p>
        </w:tc>
        <w:tc>
          <w:tcPr>
            <w:tcW w:w="1701" w:type="dxa"/>
            <w:tcBorders>
              <w:top w:val="single" w:sz="18" w:space="0" w:color="E98E31" w:themeColor="background2"/>
              <w:bottom w:val="single" w:sz="4" w:space="0" w:color="auto"/>
            </w:tcBorders>
          </w:tcPr>
          <w:p w:rsidR="0023494F" w:rsidRPr="00493AC5" w:rsidRDefault="0023494F" w:rsidP="00493AC5">
            <w:pPr>
              <w:pStyle w:val="BodyText1"/>
              <w:spacing w:before="120" w:after="120"/>
              <w:jc w:val="center"/>
              <w:rPr>
                <w:rFonts w:asciiTheme="majorHAnsi" w:hAnsiTheme="majorHAnsi" w:cs="Arial"/>
                <w:sz w:val="22"/>
                <w:szCs w:val="22"/>
              </w:rPr>
            </w:pPr>
            <w:r>
              <w:rPr>
                <w:rFonts w:asciiTheme="majorHAnsi" w:hAnsiTheme="majorHAnsi" w:cs="Arial"/>
                <w:sz w:val="22"/>
                <w:szCs w:val="22"/>
              </w:rPr>
              <w:t>1</w:t>
            </w:r>
          </w:p>
        </w:tc>
        <w:tc>
          <w:tcPr>
            <w:tcW w:w="1304" w:type="dxa"/>
            <w:tcBorders>
              <w:top w:val="single" w:sz="18" w:space="0" w:color="E98E31" w:themeColor="background2"/>
              <w:bottom w:val="single" w:sz="4" w:space="0" w:color="auto"/>
            </w:tcBorders>
          </w:tcPr>
          <w:p w:rsidR="0023494F" w:rsidRPr="00493AC5" w:rsidRDefault="0023494F" w:rsidP="00493AC5">
            <w:pPr>
              <w:pStyle w:val="BodyText1"/>
              <w:spacing w:before="120" w:after="120"/>
              <w:jc w:val="center"/>
              <w:rPr>
                <w:rFonts w:asciiTheme="majorHAnsi" w:hAnsiTheme="majorHAnsi" w:cs="Arial"/>
                <w:b/>
                <w:sz w:val="22"/>
                <w:szCs w:val="22"/>
              </w:rPr>
            </w:pPr>
            <w:r>
              <w:rPr>
                <w:rFonts w:asciiTheme="majorHAnsi" w:hAnsiTheme="majorHAnsi" w:cs="Arial"/>
                <w:b/>
                <w:sz w:val="22"/>
                <w:szCs w:val="22"/>
              </w:rPr>
              <w:t>1</w:t>
            </w:r>
          </w:p>
        </w:tc>
        <w:tc>
          <w:tcPr>
            <w:tcW w:w="7768" w:type="dxa"/>
            <w:vMerge w:val="restart"/>
            <w:tcBorders>
              <w:top w:val="single" w:sz="18" w:space="0" w:color="E98E31" w:themeColor="background2"/>
            </w:tcBorders>
          </w:tcPr>
          <w:p w:rsidR="0023494F" w:rsidRPr="00157D76" w:rsidRDefault="0023494F" w:rsidP="00545DAD">
            <w:pPr>
              <w:pStyle w:val="BodyText1"/>
              <w:spacing w:line="240" w:lineRule="exact"/>
              <w:jc w:val="lef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most frequent step associated with the corresponding long-term credit rating category. </w:t>
            </w:r>
          </w:p>
          <w:p w:rsidR="0023494F" w:rsidRPr="00157D76" w:rsidRDefault="0023494F" w:rsidP="00545DAD">
            <w:pPr>
              <w:pStyle w:val="BodyText1"/>
              <w:spacing w:line="240" w:lineRule="exact"/>
              <w:jc w:val="left"/>
              <w:rPr>
                <w:rFonts w:asciiTheme="majorHAnsi" w:hAnsiTheme="majorHAnsi"/>
                <w:sz w:val="22"/>
                <w:szCs w:val="22"/>
              </w:rPr>
            </w:pPr>
          </w:p>
          <w:p w:rsidR="0023494F" w:rsidRPr="00157D76" w:rsidRDefault="0023494F" w:rsidP="00545DAD">
            <w:pPr>
              <w:pStyle w:val="BodyText1"/>
              <w:spacing w:line="240" w:lineRule="exact"/>
              <w:jc w:val="left"/>
              <w:rPr>
                <w:rFonts w:asciiTheme="majorHAnsi" w:hAnsiTheme="majorHAnsi"/>
                <w:sz w:val="22"/>
                <w:szCs w:val="22"/>
              </w:rPr>
            </w:pPr>
          </w:p>
          <w:p w:rsidR="0023494F" w:rsidRPr="00157D76" w:rsidRDefault="0023494F" w:rsidP="00545DAD">
            <w:pPr>
              <w:pStyle w:val="BodyText1"/>
              <w:spacing w:line="240" w:lineRule="exact"/>
              <w:jc w:val="left"/>
              <w:rPr>
                <w:rFonts w:asciiTheme="majorHAnsi" w:hAnsiTheme="majorHAnsi"/>
                <w:sz w:val="22"/>
                <w:szCs w:val="22"/>
              </w:rPr>
            </w:pPr>
          </w:p>
          <w:p w:rsidR="0023494F" w:rsidRPr="00157D76" w:rsidRDefault="0023494F" w:rsidP="00545DAD">
            <w:pPr>
              <w:pStyle w:val="BodyText1"/>
              <w:spacing w:line="240" w:lineRule="exact"/>
              <w:jc w:val="left"/>
              <w:rPr>
                <w:rFonts w:asciiTheme="majorHAnsi" w:hAnsiTheme="majorHAnsi"/>
                <w:sz w:val="22"/>
                <w:szCs w:val="22"/>
              </w:rPr>
            </w:pPr>
          </w:p>
        </w:tc>
      </w:tr>
      <w:tr w:rsidR="0023494F" w:rsidRPr="00157D76" w:rsidTr="00545DAD">
        <w:trPr>
          <w:trHeight w:val="397"/>
        </w:trPr>
        <w:tc>
          <w:tcPr>
            <w:tcW w:w="1418" w:type="dxa"/>
            <w:tcBorders>
              <w:bottom w:val="dashed" w:sz="4" w:space="0" w:color="auto"/>
            </w:tcBorders>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R-1 M</w:t>
            </w:r>
          </w:p>
        </w:tc>
        <w:tc>
          <w:tcPr>
            <w:tcW w:w="1984" w:type="dxa"/>
            <w:tcBorders>
              <w:bottom w:val="dashed" w:sz="4" w:space="0" w:color="auto"/>
            </w:tcBorders>
          </w:tcPr>
          <w:p w:rsidR="0023494F" w:rsidRPr="00493AC5" w:rsidRDefault="0023494F">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AA/AA</w:t>
            </w:r>
            <w:r>
              <w:rPr>
                <w:rFonts w:asciiTheme="majorHAnsi" w:hAnsiTheme="majorHAnsi" w:cs="Arial"/>
                <w:sz w:val="22"/>
                <w:szCs w:val="22"/>
              </w:rPr>
              <w:t>(L)</w:t>
            </w:r>
          </w:p>
        </w:tc>
        <w:tc>
          <w:tcPr>
            <w:tcW w:w="1701" w:type="dxa"/>
            <w:tcBorders>
              <w:bottom w:val="single" w:sz="4" w:space="0" w:color="auto"/>
            </w:tcBorders>
          </w:tcPr>
          <w:p w:rsidR="0023494F" w:rsidRPr="00493AC5" w:rsidRDefault="0023494F" w:rsidP="00493AC5">
            <w:pPr>
              <w:pStyle w:val="BodyText1"/>
              <w:spacing w:before="120" w:after="120"/>
              <w:jc w:val="center"/>
              <w:rPr>
                <w:rFonts w:asciiTheme="majorHAnsi" w:hAnsiTheme="majorHAnsi" w:cs="Arial"/>
                <w:sz w:val="22"/>
                <w:szCs w:val="22"/>
              </w:rPr>
            </w:pPr>
            <w:r>
              <w:rPr>
                <w:rFonts w:asciiTheme="majorHAnsi" w:hAnsiTheme="majorHAnsi" w:cs="Arial"/>
                <w:sz w:val="22"/>
                <w:szCs w:val="22"/>
              </w:rPr>
              <w:t>1</w:t>
            </w:r>
          </w:p>
        </w:tc>
        <w:tc>
          <w:tcPr>
            <w:tcW w:w="1304" w:type="dxa"/>
            <w:tcBorders>
              <w:bottom w:val="single" w:sz="4" w:space="0" w:color="auto"/>
            </w:tcBorders>
          </w:tcPr>
          <w:p w:rsidR="0023494F" w:rsidRPr="00493AC5" w:rsidRDefault="0023494F" w:rsidP="00493AC5">
            <w:pPr>
              <w:pStyle w:val="BodyText1"/>
              <w:spacing w:before="120" w:after="120"/>
              <w:jc w:val="center"/>
              <w:rPr>
                <w:rFonts w:asciiTheme="majorHAnsi" w:hAnsiTheme="majorHAnsi" w:cs="Arial"/>
                <w:b/>
                <w:sz w:val="22"/>
                <w:szCs w:val="22"/>
              </w:rPr>
            </w:pPr>
            <w:r>
              <w:rPr>
                <w:rFonts w:asciiTheme="majorHAnsi" w:hAnsiTheme="majorHAnsi" w:cs="Arial"/>
                <w:b/>
                <w:sz w:val="22"/>
                <w:szCs w:val="22"/>
              </w:rPr>
              <w:t>1</w:t>
            </w:r>
          </w:p>
        </w:tc>
        <w:tc>
          <w:tcPr>
            <w:tcW w:w="7768" w:type="dxa"/>
            <w:vMerge/>
          </w:tcPr>
          <w:p w:rsidR="0023494F" w:rsidRPr="00157D76" w:rsidRDefault="0023494F" w:rsidP="00493AC5">
            <w:pPr>
              <w:pStyle w:val="BodyText1"/>
              <w:spacing w:before="120" w:after="120" w:line="240" w:lineRule="exact"/>
              <w:rPr>
                <w:rFonts w:asciiTheme="majorHAnsi" w:hAnsiTheme="majorHAnsi"/>
                <w:sz w:val="22"/>
                <w:szCs w:val="22"/>
              </w:rPr>
            </w:pPr>
          </w:p>
        </w:tc>
      </w:tr>
      <w:tr w:rsidR="0023494F" w:rsidRPr="00157D76" w:rsidTr="00545DAD">
        <w:trPr>
          <w:trHeight w:val="397"/>
        </w:trPr>
        <w:tc>
          <w:tcPr>
            <w:tcW w:w="1418" w:type="dxa"/>
            <w:tcBorders>
              <w:bottom w:val="dashed" w:sz="4" w:space="0" w:color="auto"/>
            </w:tcBorders>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R-1 L</w:t>
            </w:r>
          </w:p>
        </w:tc>
        <w:tc>
          <w:tcPr>
            <w:tcW w:w="1984" w:type="dxa"/>
            <w:tcBorders>
              <w:bottom w:val="dashed" w:sz="4" w:space="0" w:color="auto"/>
            </w:tcBorders>
          </w:tcPr>
          <w:p w:rsidR="0023494F" w:rsidRPr="00493AC5" w:rsidRDefault="0023494F" w:rsidP="00785694">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A</w:t>
            </w:r>
            <w:r>
              <w:rPr>
                <w:rFonts w:asciiTheme="majorHAnsi" w:hAnsiTheme="majorHAnsi" w:cs="Arial"/>
                <w:sz w:val="22"/>
                <w:szCs w:val="22"/>
              </w:rPr>
              <w:t>(H)</w:t>
            </w:r>
            <w:r w:rsidRPr="00493AC5">
              <w:rPr>
                <w:rFonts w:asciiTheme="majorHAnsi" w:hAnsiTheme="majorHAnsi" w:cs="Arial"/>
                <w:sz w:val="22"/>
                <w:szCs w:val="22"/>
              </w:rPr>
              <w:t>/A</w:t>
            </w:r>
            <w:r>
              <w:rPr>
                <w:rFonts w:asciiTheme="majorHAnsi" w:hAnsiTheme="majorHAnsi" w:cs="Arial"/>
                <w:sz w:val="22"/>
                <w:szCs w:val="22"/>
              </w:rPr>
              <w:t>(L)</w:t>
            </w:r>
          </w:p>
        </w:tc>
        <w:tc>
          <w:tcPr>
            <w:tcW w:w="1701" w:type="dxa"/>
            <w:tcBorders>
              <w:bottom w:val="single" w:sz="4" w:space="0" w:color="auto"/>
            </w:tcBorders>
          </w:tcPr>
          <w:p w:rsidR="0023494F" w:rsidRPr="00493AC5" w:rsidRDefault="0023494F" w:rsidP="00493AC5">
            <w:pPr>
              <w:pStyle w:val="BodyText1"/>
              <w:spacing w:before="120" w:after="120"/>
              <w:jc w:val="center"/>
              <w:rPr>
                <w:rFonts w:asciiTheme="majorHAnsi" w:hAnsiTheme="majorHAnsi" w:cs="Arial"/>
                <w:sz w:val="22"/>
                <w:szCs w:val="22"/>
              </w:rPr>
            </w:pPr>
            <w:r>
              <w:rPr>
                <w:rFonts w:asciiTheme="majorHAnsi" w:hAnsiTheme="majorHAnsi" w:cs="Arial"/>
                <w:sz w:val="22"/>
                <w:szCs w:val="22"/>
              </w:rPr>
              <w:t>2</w:t>
            </w:r>
          </w:p>
        </w:tc>
        <w:tc>
          <w:tcPr>
            <w:tcW w:w="1304" w:type="dxa"/>
            <w:tcBorders>
              <w:bottom w:val="single" w:sz="4" w:space="0" w:color="auto"/>
            </w:tcBorders>
          </w:tcPr>
          <w:p w:rsidR="0023494F" w:rsidRPr="00493AC5" w:rsidRDefault="0023494F" w:rsidP="00493AC5">
            <w:pPr>
              <w:pStyle w:val="BodyText1"/>
              <w:spacing w:before="120" w:after="120"/>
              <w:jc w:val="center"/>
              <w:rPr>
                <w:rFonts w:asciiTheme="majorHAnsi" w:hAnsiTheme="majorHAnsi" w:cs="Arial"/>
                <w:b/>
                <w:sz w:val="22"/>
                <w:szCs w:val="22"/>
              </w:rPr>
            </w:pPr>
            <w:r>
              <w:rPr>
                <w:rFonts w:asciiTheme="majorHAnsi" w:hAnsiTheme="majorHAnsi" w:cs="Arial"/>
                <w:b/>
                <w:sz w:val="22"/>
                <w:szCs w:val="22"/>
              </w:rPr>
              <w:t>2</w:t>
            </w:r>
          </w:p>
        </w:tc>
        <w:tc>
          <w:tcPr>
            <w:tcW w:w="7768" w:type="dxa"/>
            <w:vMerge/>
          </w:tcPr>
          <w:p w:rsidR="0023494F" w:rsidRPr="00157D76" w:rsidRDefault="0023494F" w:rsidP="00493AC5">
            <w:pPr>
              <w:pStyle w:val="BodyText1"/>
              <w:spacing w:before="120" w:after="120" w:line="240" w:lineRule="exact"/>
              <w:rPr>
                <w:rFonts w:asciiTheme="majorHAnsi" w:hAnsiTheme="majorHAnsi"/>
                <w:sz w:val="22"/>
                <w:szCs w:val="22"/>
              </w:rPr>
            </w:pPr>
          </w:p>
        </w:tc>
      </w:tr>
      <w:tr w:rsidR="0023494F" w:rsidRPr="00157D76" w:rsidTr="00493AC5">
        <w:trPr>
          <w:trHeight w:val="397"/>
        </w:trPr>
        <w:tc>
          <w:tcPr>
            <w:tcW w:w="1418"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R-2</w:t>
            </w:r>
            <w:r>
              <w:rPr>
                <w:rFonts w:asciiTheme="majorHAnsi" w:hAnsiTheme="majorHAnsi" w:cs="Arial"/>
                <w:b/>
                <w:sz w:val="22"/>
                <w:szCs w:val="22"/>
              </w:rPr>
              <w:t xml:space="preserve"> H</w:t>
            </w:r>
          </w:p>
        </w:tc>
        <w:tc>
          <w:tcPr>
            <w:tcW w:w="1984" w:type="dxa"/>
          </w:tcPr>
          <w:p w:rsidR="0023494F" w:rsidRPr="00493AC5" w:rsidRDefault="0023494F">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BBB</w:t>
            </w:r>
            <w:r>
              <w:rPr>
                <w:rFonts w:asciiTheme="majorHAnsi" w:hAnsiTheme="majorHAnsi" w:cs="Arial"/>
                <w:sz w:val="22"/>
                <w:szCs w:val="22"/>
              </w:rPr>
              <w:t>(H)</w:t>
            </w:r>
          </w:p>
        </w:tc>
        <w:tc>
          <w:tcPr>
            <w:tcW w:w="1701" w:type="dxa"/>
          </w:tcPr>
          <w:p w:rsidR="0023494F" w:rsidRPr="00493AC5" w:rsidRDefault="0023494F" w:rsidP="00493AC5">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3</w:t>
            </w:r>
          </w:p>
        </w:tc>
        <w:tc>
          <w:tcPr>
            <w:tcW w:w="1304"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3</w:t>
            </w:r>
          </w:p>
        </w:tc>
        <w:tc>
          <w:tcPr>
            <w:tcW w:w="7768" w:type="dxa"/>
            <w:vMerge/>
          </w:tcPr>
          <w:p w:rsidR="0023494F" w:rsidRPr="00157D76" w:rsidRDefault="0023494F" w:rsidP="00493AC5">
            <w:pPr>
              <w:pStyle w:val="BodyText1"/>
              <w:spacing w:before="120" w:after="120" w:line="240" w:lineRule="exact"/>
              <w:rPr>
                <w:rFonts w:asciiTheme="majorHAnsi" w:hAnsiTheme="majorHAnsi"/>
                <w:sz w:val="22"/>
                <w:szCs w:val="22"/>
              </w:rPr>
            </w:pPr>
          </w:p>
        </w:tc>
      </w:tr>
      <w:tr w:rsidR="0023494F" w:rsidRPr="00157D76" w:rsidTr="00545DAD">
        <w:trPr>
          <w:trHeight w:val="397"/>
        </w:trPr>
        <w:tc>
          <w:tcPr>
            <w:tcW w:w="1418" w:type="dxa"/>
          </w:tcPr>
          <w:p w:rsidR="0023494F" w:rsidRPr="00493AC5" w:rsidRDefault="0023494F">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R-2</w:t>
            </w:r>
            <w:r>
              <w:rPr>
                <w:rFonts w:asciiTheme="majorHAnsi" w:hAnsiTheme="majorHAnsi" w:cs="Arial"/>
                <w:b/>
                <w:sz w:val="22"/>
                <w:szCs w:val="22"/>
              </w:rPr>
              <w:t xml:space="preserve"> M</w:t>
            </w:r>
          </w:p>
        </w:tc>
        <w:tc>
          <w:tcPr>
            <w:tcW w:w="1984" w:type="dxa"/>
          </w:tcPr>
          <w:p w:rsidR="0023494F" w:rsidRPr="00493AC5" w:rsidRDefault="0023494F">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BBB</w:t>
            </w:r>
          </w:p>
        </w:tc>
        <w:tc>
          <w:tcPr>
            <w:tcW w:w="1701" w:type="dxa"/>
          </w:tcPr>
          <w:p w:rsidR="0023494F" w:rsidRPr="00493AC5" w:rsidRDefault="0023494F" w:rsidP="00545DAD">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3</w:t>
            </w:r>
          </w:p>
        </w:tc>
        <w:tc>
          <w:tcPr>
            <w:tcW w:w="1304" w:type="dxa"/>
          </w:tcPr>
          <w:p w:rsidR="0023494F" w:rsidRPr="00493AC5" w:rsidRDefault="0023494F" w:rsidP="00545DAD">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3</w:t>
            </w:r>
          </w:p>
        </w:tc>
        <w:tc>
          <w:tcPr>
            <w:tcW w:w="7768" w:type="dxa"/>
            <w:vMerge/>
          </w:tcPr>
          <w:p w:rsidR="0023494F" w:rsidRPr="00157D76" w:rsidRDefault="0023494F" w:rsidP="00493AC5">
            <w:pPr>
              <w:pStyle w:val="BodyText1"/>
              <w:spacing w:before="120" w:after="120" w:line="240" w:lineRule="exact"/>
              <w:rPr>
                <w:rFonts w:asciiTheme="majorHAnsi" w:hAnsiTheme="majorHAnsi"/>
                <w:sz w:val="22"/>
                <w:szCs w:val="22"/>
              </w:rPr>
            </w:pPr>
          </w:p>
        </w:tc>
      </w:tr>
      <w:tr w:rsidR="0023494F" w:rsidRPr="00157D76" w:rsidTr="00545DAD">
        <w:trPr>
          <w:trHeight w:val="397"/>
        </w:trPr>
        <w:tc>
          <w:tcPr>
            <w:tcW w:w="1418" w:type="dxa"/>
          </w:tcPr>
          <w:p w:rsidR="0023494F" w:rsidRPr="00493AC5" w:rsidRDefault="0023494F">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R-2</w:t>
            </w:r>
            <w:r>
              <w:rPr>
                <w:rFonts w:asciiTheme="majorHAnsi" w:hAnsiTheme="majorHAnsi" w:cs="Arial"/>
                <w:b/>
                <w:sz w:val="22"/>
                <w:szCs w:val="22"/>
              </w:rPr>
              <w:t xml:space="preserve"> L</w:t>
            </w:r>
          </w:p>
        </w:tc>
        <w:tc>
          <w:tcPr>
            <w:tcW w:w="1984" w:type="dxa"/>
          </w:tcPr>
          <w:p w:rsidR="0023494F" w:rsidRPr="00493AC5" w:rsidRDefault="0023494F" w:rsidP="00545DAD">
            <w:pPr>
              <w:pStyle w:val="BodyText1"/>
              <w:spacing w:before="120" w:after="120"/>
              <w:jc w:val="center"/>
              <w:rPr>
                <w:rFonts w:asciiTheme="majorHAnsi" w:hAnsiTheme="majorHAnsi" w:cs="Arial"/>
                <w:sz w:val="22"/>
                <w:szCs w:val="22"/>
              </w:rPr>
            </w:pPr>
            <w:r>
              <w:rPr>
                <w:rFonts w:asciiTheme="majorHAnsi" w:hAnsiTheme="majorHAnsi" w:cs="Arial"/>
                <w:sz w:val="22"/>
                <w:szCs w:val="22"/>
              </w:rPr>
              <w:t>BBB(L)</w:t>
            </w:r>
          </w:p>
        </w:tc>
        <w:tc>
          <w:tcPr>
            <w:tcW w:w="1701" w:type="dxa"/>
          </w:tcPr>
          <w:p w:rsidR="0023494F" w:rsidRPr="00493AC5" w:rsidRDefault="0023494F" w:rsidP="00545DAD">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3</w:t>
            </w:r>
          </w:p>
        </w:tc>
        <w:tc>
          <w:tcPr>
            <w:tcW w:w="1304" w:type="dxa"/>
          </w:tcPr>
          <w:p w:rsidR="0023494F" w:rsidRPr="00493AC5" w:rsidRDefault="0023494F" w:rsidP="00545DAD">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3</w:t>
            </w:r>
          </w:p>
        </w:tc>
        <w:tc>
          <w:tcPr>
            <w:tcW w:w="7768" w:type="dxa"/>
            <w:vMerge/>
          </w:tcPr>
          <w:p w:rsidR="0023494F" w:rsidRPr="00157D76" w:rsidRDefault="0023494F" w:rsidP="00493AC5">
            <w:pPr>
              <w:pStyle w:val="BodyText1"/>
              <w:spacing w:before="120" w:after="120" w:line="240" w:lineRule="exact"/>
              <w:rPr>
                <w:rFonts w:asciiTheme="majorHAnsi" w:hAnsiTheme="majorHAnsi"/>
                <w:sz w:val="22"/>
                <w:szCs w:val="22"/>
              </w:rPr>
            </w:pPr>
          </w:p>
        </w:tc>
      </w:tr>
      <w:tr w:rsidR="0023494F" w:rsidRPr="00157D76" w:rsidTr="00493AC5">
        <w:trPr>
          <w:trHeight w:val="397"/>
        </w:trPr>
        <w:tc>
          <w:tcPr>
            <w:tcW w:w="1418"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R-3</w:t>
            </w:r>
          </w:p>
        </w:tc>
        <w:tc>
          <w:tcPr>
            <w:tcW w:w="1984" w:type="dxa"/>
          </w:tcPr>
          <w:p w:rsidR="0023494F" w:rsidRPr="00493AC5" w:rsidRDefault="0023494F" w:rsidP="00493AC5">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BBB</w:t>
            </w:r>
            <w:r>
              <w:rPr>
                <w:rFonts w:asciiTheme="majorHAnsi" w:hAnsiTheme="majorHAnsi" w:cs="Arial"/>
                <w:sz w:val="22"/>
                <w:szCs w:val="22"/>
              </w:rPr>
              <w:t>(L)</w:t>
            </w:r>
          </w:p>
        </w:tc>
        <w:tc>
          <w:tcPr>
            <w:tcW w:w="1701" w:type="dxa"/>
          </w:tcPr>
          <w:p w:rsidR="0023494F" w:rsidRPr="00493AC5" w:rsidRDefault="0023494F" w:rsidP="00493AC5">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3</w:t>
            </w:r>
          </w:p>
        </w:tc>
        <w:tc>
          <w:tcPr>
            <w:tcW w:w="1304"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3</w:t>
            </w:r>
          </w:p>
        </w:tc>
        <w:tc>
          <w:tcPr>
            <w:tcW w:w="7768" w:type="dxa"/>
            <w:vMerge/>
          </w:tcPr>
          <w:p w:rsidR="0023494F" w:rsidRPr="00157D76" w:rsidRDefault="0023494F" w:rsidP="00493AC5">
            <w:pPr>
              <w:pStyle w:val="BodyText1"/>
              <w:spacing w:before="120" w:after="120" w:line="240" w:lineRule="exact"/>
              <w:rPr>
                <w:rFonts w:asciiTheme="majorHAnsi" w:hAnsiTheme="majorHAnsi"/>
                <w:sz w:val="22"/>
                <w:szCs w:val="22"/>
              </w:rPr>
            </w:pPr>
          </w:p>
        </w:tc>
      </w:tr>
      <w:tr w:rsidR="0023494F" w:rsidRPr="00157D76" w:rsidTr="00545DAD">
        <w:trPr>
          <w:trHeight w:val="397"/>
        </w:trPr>
        <w:tc>
          <w:tcPr>
            <w:tcW w:w="1418"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R-4</w:t>
            </w:r>
          </w:p>
        </w:tc>
        <w:tc>
          <w:tcPr>
            <w:tcW w:w="1984" w:type="dxa"/>
          </w:tcPr>
          <w:p w:rsidR="0023494F" w:rsidRPr="00493AC5" w:rsidRDefault="0023494F">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BB</w:t>
            </w:r>
            <w:r>
              <w:rPr>
                <w:rFonts w:asciiTheme="majorHAnsi" w:hAnsiTheme="majorHAnsi" w:cs="Arial"/>
                <w:sz w:val="22"/>
                <w:szCs w:val="22"/>
              </w:rPr>
              <w:t xml:space="preserve">(H) to </w:t>
            </w:r>
            <w:r w:rsidRPr="00493AC5">
              <w:rPr>
                <w:rFonts w:asciiTheme="majorHAnsi" w:hAnsiTheme="majorHAnsi" w:cs="Arial"/>
                <w:sz w:val="22"/>
                <w:szCs w:val="22"/>
              </w:rPr>
              <w:t>B</w:t>
            </w:r>
            <w:r>
              <w:rPr>
                <w:rFonts w:asciiTheme="majorHAnsi" w:hAnsiTheme="majorHAnsi" w:cs="Arial"/>
                <w:sz w:val="22"/>
                <w:szCs w:val="22"/>
              </w:rPr>
              <w:t>(H)</w:t>
            </w:r>
          </w:p>
        </w:tc>
        <w:tc>
          <w:tcPr>
            <w:tcW w:w="1701" w:type="dxa"/>
          </w:tcPr>
          <w:p w:rsidR="0023494F" w:rsidRPr="00493AC5" w:rsidRDefault="0023494F" w:rsidP="00493AC5">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4-5</w:t>
            </w:r>
          </w:p>
        </w:tc>
        <w:tc>
          <w:tcPr>
            <w:tcW w:w="1304"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4</w:t>
            </w:r>
          </w:p>
        </w:tc>
        <w:tc>
          <w:tcPr>
            <w:tcW w:w="7768" w:type="dxa"/>
            <w:vMerge w:val="restart"/>
          </w:tcPr>
          <w:p w:rsidR="0023494F" w:rsidRPr="00157D76" w:rsidRDefault="0023494F" w:rsidP="00545DAD">
            <w:pPr>
              <w:pStyle w:val="BodyText1"/>
              <w:spacing w:line="240" w:lineRule="exact"/>
              <w:jc w:val="lef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determined based on the most frequent step associated with the corresponding long-term credit rating category. The risk weights assigned to CQS 4 to 6 are all 150%, therefore CQS 4.</w:t>
            </w:r>
          </w:p>
          <w:p w:rsidR="0023494F" w:rsidRPr="00157D76" w:rsidRDefault="0023494F" w:rsidP="00545DAD">
            <w:pPr>
              <w:pStyle w:val="BodyText1"/>
              <w:spacing w:line="240" w:lineRule="exact"/>
              <w:jc w:val="left"/>
              <w:rPr>
                <w:rFonts w:asciiTheme="majorHAnsi" w:hAnsiTheme="majorHAnsi"/>
                <w:sz w:val="22"/>
                <w:szCs w:val="22"/>
              </w:rPr>
            </w:pPr>
          </w:p>
          <w:p w:rsidR="0023494F" w:rsidRPr="00157D76" w:rsidRDefault="0023494F" w:rsidP="00545DAD">
            <w:pPr>
              <w:pStyle w:val="BodyText1"/>
              <w:spacing w:line="240" w:lineRule="exact"/>
              <w:jc w:val="left"/>
              <w:rPr>
                <w:rFonts w:asciiTheme="majorHAnsi" w:hAnsiTheme="majorHAnsi"/>
                <w:sz w:val="22"/>
                <w:szCs w:val="22"/>
              </w:rPr>
            </w:pPr>
          </w:p>
        </w:tc>
      </w:tr>
      <w:tr w:rsidR="0023494F" w:rsidRPr="00157D76" w:rsidTr="00493AC5">
        <w:trPr>
          <w:trHeight w:val="397"/>
        </w:trPr>
        <w:tc>
          <w:tcPr>
            <w:tcW w:w="1418"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R-5</w:t>
            </w:r>
          </w:p>
        </w:tc>
        <w:tc>
          <w:tcPr>
            <w:tcW w:w="1984" w:type="dxa"/>
          </w:tcPr>
          <w:p w:rsidR="0023494F" w:rsidRPr="00493AC5" w:rsidRDefault="0023494F">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B</w:t>
            </w:r>
            <w:r>
              <w:rPr>
                <w:rFonts w:asciiTheme="majorHAnsi" w:hAnsiTheme="majorHAnsi" w:cs="Arial"/>
                <w:sz w:val="22"/>
                <w:szCs w:val="22"/>
              </w:rPr>
              <w:t xml:space="preserve"> to </w:t>
            </w:r>
            <w:r w:rsidRPr="00493AC5">
              <w:rPr>
                <w:rFonts w:asciiTheme="majorHAnsi" w:hAnsiTheme="majorHAnsi" w:cs="Arial"/>
                <w:sz w:val="22"/>
                <w:szCs w:val="22"/>
              </w:rPr>
              <w:t>C</w:t>
            </w:r>
          </w:p>
        </w:tc>
        <w:tc>
          <w:tcPr>
            <w:tcW w:w="1701" w:type="dxa"/>
          </w:tcPr>
          <w:p w:rsidR="0023494F" w:rsidRPr="00493AC5" w:rsidRDefault="0023494F" w:rsidP="00493AC5">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5-6</w:t>
            </w:r>
          </w:p>
        </w:tc>
        <w:tc>
          <w:tcPr>
            <w:tcW w:w="1304"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4</w:t>
            </w:r>
          </w:p>
        </w:tc>
        <w:tc>
          <w:tcPr>
            <w:tcW w:w="7768" w:type="dxa"/>
            <w:vMerge/>
          </w:tcPr>
          <w:p w:rsidR="0023494F" w:rsidRPr="00157D76" w:rsidRDefault="0023494F" w:rsidP="00D057CD">
            <w:pPr>
              <w:pStyle w:val="BodyText1"/>
              <w:spacing w:before="120" w:after="120" w:line="240" w:lineRule="exact"/>
              <w:rPr>
                <w:rFonts w:asciiTheme="majorHAnsi" w:hAnsiTheme="majorHAnsi"/>
                <w:sz w:val="22"/>
                <w:szCs w:val="22"/>
              </w:rPr>
            </w:pPr>
          </w:p>
        </w:tc>
      </w:tr>
      <w:tr w:rsidR="0023494F" w:rsidRPr="00157D76" w:rsidTr="00493AC5">
        <w:trPr>
          <w:trHeight w:val="397"/>
        </w:trPr>
        <w:tc>
          <w:tcPr>
            <w:tcW w:w="1418"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D</w:t>
            </w:r>
          </w:p>
        </w:tc>
        <w:tc>
          <w:tcPr>
            <w:tcW w:w="1984" w:type="dxa"/>
          </w:tcPr>
          <w:p w:rsidR="0023494F" w:rsidRPr="00493AC5" w:rsidRDefault="0023494F" w:rsidP="00493AC5">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D</w:t>
            </w:r>
          </w:p>
        </w:tc>
        <w:tc>
          <w:tcPr>
            <w:tcW w:w="1701" w:type="dxa"/>
          </w:tcPr>
          <w:p w:rsidR="0023494F" w:rsidRPr="00493AC5" w:rsidRDefault="0023494F" w:rsidP="00493AC5">
            <w:pPr>
              <w:pStyle w:val="BodyText1"/>
              <w:spacing w:before="120" w:after="120"/>
              <w:jc w:val="center"/>
              <w:rPr>
                <w:rFonts w:asciiTheme="majorHAnsi" w:hAnsiTheme="majorHAnsi" w:cs="Arial"/>
                <w:sz w:val="22"/>
                <w:szCs w:val="22"/>
              </w:rPr>
            </w:pPr>
            <w:r w:rsidRPr="00493AC5">
              <w:rPr>
                <w:rFonts w:asciiTheme="majorHAnsi" w:hAnsiTheme="majorHAnsi" w:cs="Arial"/>
                <w:sz w:val="22"/>
                <w:szCs w:val="22"/>
              </w:rPr>
              <w:t>6</w:t>
            </w:r>
          </w:p>
        </w:tc>
        <w:tc>
          <w:tcPr>
            <w:tcW w:w="1304" w:type="dxa"/>
          </w:tcPr>
          <w:p w:rsidR="0023494F" w:rsidRPr="00493AC5" w:rsidRDefault="0023494F" w:rsidP="00493AC5">
            <w:pPr>
              <w:pStyle w:val="BodyText1"/>
              <w:spacing w:before="120" w:after="120"/>
              <w:jc w:val="center"/>
              <w:rPr>
                <w:rFonts w:asciiTheme="majorHAnsi" w:hAnsiTheme="majorHAnsi" w:cs="Arial"/>
                <w:b/>
                <w:sz w:val="22"/>
                <w:szCs w:val="22"/>
              </w:rPr>
            </w:pPr>
            <w:r w:rsidRPr="00493AC5">
              <w:rPr>
                <w:rFonts w:asciiTheme="majorHAnsi" w:hAnsiTheme="majorHAnsi" w:cs="Arial"/>
                <w:b/>
                <w:sz w:val="22"/>
                <w:szCs w:val="22"/>
              </w:rPr>
              <w:t>4</w:t>
            </w:r>
          </w:p>
        </w:tc>
        <w:tc>
          <w:tcPr>
            <w:tcW w:w="7768" w:type="dxa"/>
            <w:vMerge/>
          </w:tcPr>
          <w:p w:rsidR="0023494F" w:rsidRPr="00157D76" w:rsidRDefault="0023494F" w:rsidP="00D057CD">
            <w:pPr>
              <w:pStyle w:val="BodyText1"/>
              <w:spacing w:before="120" w:after="120" w:line="240" w:lineRule="exact"/>
              <w:rPr>
                <w:rFonts w:asciiTheme="majorHAnsi" w:hAnsiTheme="majorHAnsi"/>
                <w:sz w:val="22"/>
                <w:szCs w:val="22"/>
              </w:rPr>
            </w:pPr>
          </w:p>
        </w:tc>
      </w:tr>
    </w:tbl>
    <w:p w:rsidR="0023494F" w:rsidRDefault="0023494F" w:rsidP="00737A4C">
      <w:pPr>
        <w:pStyle w:val="Figuretitle"/>
      </w:pPr>
      <w:bookmarkStart w:id="24" w:name="_Ref384835242"/>
    </w:p>
    <w:p w:rsidR="0023494F" w:rsidRDefault="0023494F">
      <w:pPr>
        <w:rPr>
          <w:rFonts w:eastAsia="Times New Roman" w:cs="Times New Roman"/>
          <w:bCs/>
          <w:noProof/>
          <w:color w:val="2F5773" w:themeColor="text2"/>
          <w:szCs w:val="20"/>
          <w:lang w:eastAsia="en-GB"/>
        </w:rPr>
      </w:pPr>
      <w:r>
        <w:br w:type="page"/>
      </w:r>
    </w:p>
    <w:p w:rsidR="0062736A" w:rsidRDefault="0062736A">
      <w:pPr>
        <w:pStyle w:val="Figuretitle"/>
      </w:pPr>
    </w:p>
    <w:p w:rsidR="00157D76" w:rsidRDefault="0041788D">
      <w:pPr>
        <w:pStyle w:val="Figuretitle"/>
      </w:pPr>
      <w:bookmarkStart w:id="25" w:name="_Ref431384269"/>
      <w:r w:rsidRPr="0041788D">
        <w:rPr>
          <w:szCs w:val="22"/>
        </w:rPr>
        <w:t xml:space="preserve">Figure </w:t>
      </w:r>
      <w:bookmarkEnd w:id="24"/>
      <w:bookmarkEnd w:id="25"/>
      <w:r w:rsidR="00AF4774">
        <w:rPr>
          <w:szCs w:val="22"/>
        </w:rPr>
        <w:t>1</w:t>
      </w:r>
      <w:r w:rsidR="0082161F">
        <w:rPr>
          <w:szCs w:val="22"/>
        </w:rPr>
        <w:t>6</w:t>
      </w:r>
      <w:r w:rsidR="00CD1257">
        <w:t>:</w:t>
      </w:r>
      <w:r w:rsidR="00157D76" w:rsidRPr="00E97C99">
        <w:t xml:space="preserve"> Mapping of </w:t>
      </w:r>
      <w:r w:rsidR="00493AC5">
        <w:t>DBRS</w:t>
      </w:r>
      <w:r w:rsidR="00157D76">
        <w:t>’</w:t>
      </w:r>
      <w:r w:rsidR="00157D76" w:rsidRPr="00E97C99">
        <w:t xml:space="preserve"> </w:t>
      </w:r>
      <w:r w:rsidR="00FB11B7">
        <w:t>Financial Strength</w:t>
      </w:r>
      <w:r w:rsidR="00493AC5" w:rsidRPr="00E43BEA">
        <w:t xml:space="preserve"> rating scale</w:t>
      </w:r>
    </w:p>
    <w:tbl>
      <w:tblPr>
        <w:tblStyle w:val="TableGrid"/>
        <w:tblW w:w="14318" w:type="dxa"/>
        <w:tblInd w:w="108" w:type="dxa"/>
        <w:tblLayout w:type="fixed"/>
        <w:tblLook w:val="04A0" w:firstRow="1" w:lastRow="0" w:firstColumn="1" w:lastColumn="0" w:noHBand="0" w:noVBand="1"/>
      </w:tblPr>
      <w:tblGrid>
        <w:gridCol w:w="1418"/>
        <w:gridCol w:w="1843"/>
        <w:gridCol w:w="1701"/>
        <w:gridCol w:w="1559"/>
        <w:gridCol w:w="7797"/>
      </w:tblGrid>
      <w:tr w:rsidR="00FB11B7" w:rsidRPr="00CD1257" w:rsidTr="00545DAD">
        <w:trPr>
          <w:cnfStyle w:val="100000000000" w:firstRow="1" w:lastRow="0" w:firstColumn="0" w:lastColumn="0" w:oddVBand="0" w:evenVBand="0" w:oddHBand="0" w:evenHBand="0" w:firstRowFirstColumn="0" w:firstRowLastColumn="0" w:lastRowFirstColumn="0" w:lastRowLastColumn="0"/>
          <w:trHeight w:val="1882"/>
        </w:trPr>
        <w:tc>
          <w:tcPr>
            <w:tcW w:w="1418" w:type="dxa"/>
            <w:tcBorders>
              <w:bottom w:val="single" w:sz="18" w:space="0" w:color="E98E31" w:themeColor="background2"/>
            </w:tcBorders>
          </w:tcPr>
          <w:p w:rsidR="00FB11B7" w:rsidRPr="00CD1257" w:rsidRDefault="00FB11B7" w:rsidP="00545DAD">
            <w:pPr>
              <w:pStyle w:val="body"/>
              <w:jc w:val="center"/>
              <w:rPr>
                <w:rFonts w:asciiTheme="majorHAnsi" w:hAnsiTheme="majorHAnsi" w:cs="Arial"/>
                <w:b/>
                <w:szCs w:val="22"/>
              </w:rPr>
            </w:pPr>
            <w:r w:rsidRPr="00CD1257">
              <w:rPr>
                <w:rFonts w:asciiTheme="majorHAnsi" w:hAnsiTheme="majorHAnsi" w:cs="Arial"/>
                <w:b/>
                <w:szCs w:val="22"/>
              </w:rPr>
              <w:t>Credit assessment</w:t>
            </w:r>
          </w:p>
        </w:tc>
        <w:tc>
          <w:tcPr>
            <w:tcW w:w="1843" w:type="dxa"/>
            <w:tcBorders>
              <w:bottom w:val="single" w:sz="18" w:space="0" w:color="E98E31" w:themeColor="background2"/>
            </w:tcBorders>
          </w:tcPr>
          <w:p w:rsidR="00FB11B7" w:rsidRPr="00CD1257" w:rsidRDefault="00FB11B7" w:rsidP="00545DAD">
            <w:pPr>
              <w:pStyle w:val="body"/>
              <w:jc w:val="center"/>
              <w:rPr>
                <w:rFonts w:asciiTheme="majorHAnsi" w:hAnsiTheme="majorHAnsi" w:cs="Arial"/>
                <w:b/>
                <w:szCs w:val="22"/>
              </w:rPr>
            </w:pPr>
            <w:r w:rsidRPr="00CD1257">
              <w:rPr>
                <w:rFonts w:asciiTheme="majorHAnsi" w:hAnsiTheme="majorHAnsi" w:cs="Arial"/>
                <w:b/>
                <w:szCs w:val="22"/>
              </w:rPr>
              <w:t xml:space="preserve">Corresponding Long-term issuer rating </w:t>
            </w:r>
            <w:r w:rsidRPr="00CD1257">
              <w:rPr>
                <w:rFonts w:asciiTheme="majorHAnsi" w:hAnsiTheme="majorHAnsi"/>
                <w:b/>
                <w:szCs w:val="22"/>
              </w:rPr>
              <w:t xml:space="preserve">scale </w:t>
            </w:r>
            <w:r w:rsidRPr="00CD1257">
              <w:rPr>
                <w:rFonts w:asciiTheme="majorHAnsi" w:hAnsiTheme="majorHAnsi" w:cs="Arial"/>
                <w:b/>
                <w:szCs w:val="22"/>
              </w:rPr>
              <w:t xml:space="preserve">assessment (assessed by </w:t>
            </w:r>
            <w:r>
              <w:rPr>
                <w:rFonts w:asciiTheme="majorHAnsi" w:hAnsiTheme="majorHAnsi" w:cs="Arial"/>
                <w:b/>
                <w:szCs w:val="22"/>
              </w:rPr>
              <w:t>JC</w:t>
            </w:r>
            <w:r w:rsidRPr="00CD1257">
              <w:rPr>
                <w:rFonts w:asciiTheme="majorHAnsi" w:hAnsiTheme="majorHAnsi" w:cs="Arial"/>
                <w:b/>
                <w:szCs w:val="22"/>
              </w:rPr>
              <w:t>)</w:t>
            </w:r>
          </w:p>
        </w:tc>
        <w:tc>
          <w:tcPr>
            <w:tcW w:w="1701" w:type="dxa"/>
            <w:tcBorders>
              <w:bottom w:val="single" w:sz="18" w:space="0" w:color="E98E31" w:themeColor="background2"/>
            </w:tcBorders>
          </w:tcPr>
          <w:p w:rsidR="00FB11B7" w:rsidRPr="00CD1257" w:rsidRDefault="00FB11B7" w:rsidP="00545DAD">
            <w:pPr>
              <w:pStyle w:val="body"/>
              <w:jc w:val="center"/>
              <w:rPr>
                <w:rFonts w:asciiTheme="majorHAnsi" w:hAnsiTheme="majorHAnsi" w:cs="Arial"/>
                <w:b/>
                <w:szCs w:val="22"/>
              </w:rPr>
            </w:pPr>
            <w:r w:rsidRPr="00CD1257">
              <w:rPr>
                <w:rFonts w:asciiTheme="majorHAnsi" w:hAnsiTheme="majorHAnsi" w:cs="Arial"/>
                <w:b/>
                <w:szCs w:val="22"/>
              </w:rPr>
              <w:t>Range of CQS of corresponding Long-term issuer ratings scale</w:t>
            </w:r>
          </w:p>
        </w:tc>
        <w:tc>
          <w:tcPr>
            <w:tcW w:w="1559" w:type="dxa"/>
            <w:tcBorders>
              <w:bottom w:val="single" w:sz="18" w:space="0" w:color="E98E31" w:themeColor="background2"/>
            </w:tcBorders>
          </w:tcPr>
          <w:p w:rsidR="00FB11B7" w:rsidRPr="00CD1257" w:rsidRDefault="00FB11B7" w:rsidP="00545DAD">
            <w:pPr>
              <w:pStyle w:val="body"/>
              <w:jc w:val="center"/>
              <w:rPr>
                <w:rFonts w:asciiTheme="majorHAnsi" w:hAnsiTheme="majorHAnsi" w:cs="Arial"/>
                <w:b/>
                <w:szCs w:val="22"/>
              </w:rPr>
            </w:pPr>
            <w:r w:rsidRPr="00CD1257">
              <w:rPr>
                <w:rFonts w:asciiTheme="majorHAnsi" w:hAnsiTheme="majorHAnsi" w:cs="Arial"/>
                <w:b/>
                <w:szCs w:val="22"/>
              </w:rPr>
              <w:t xml:space="preserve">Final review </w:t>
            </w:r>
            <w:r w:rsidRPr="00CD1257">
              <w:rPr>
                <w:rFonts w:asciiTheme="majorHAnsi" w:hAnsiTheme="majorHAnsi" w:cs="Arial"/>
                <w:b/>
                <w:i/>
                <w:szCs w:val="22"/>
              </w:rPr>
              <w:t>based on qualitative factors</w:t>
            </w:r>
            <w:r>
              <w:rPr>
                <w:rFonts w:asciiTheme="majorHAnsi" w:hAnsiTheme="majorHAnsi" w:cs="Arial"/>
                <w:b/>
                <w:szCs w:val="22"/>
              </w:rPr>
              <w:t xml:space="preserve"> </w:t>
            </w:r>
            <w:r w:rsidRPr="00CD1257">
              <w:rPr>
                <w:rFonts w:asciiTheme="majorHAnsi" w:hAnsiTheme="majorHAnsi" w:cs="Arial"/>
                <w:b/>
                <w:szCs w:val="22"/>
              </w:rPr>
              <w:t>(CQS)</w:t>
            </w:r>
          </w:p>
        </w:tc>
        <w:tc>
          <w:tcPr>
            <w:tcW w:w="7797" w:type="dxa"/>
            <w:tcBorders>
              <w:bottom w:val="single" w:sz="18" w:space="0" w:color="E98E31" w:themeColor="background2"/>
            </w:tcBorders>
          </w:tcPr>
          <w:p w:rsidR="00FB11B7" w:rsidRPr="00CD1257" w:rsidRDefault="00FB11B7" w:rsidP="00545DAD">
            <w:pPr>
              <w:pStyle w:val="body"/>
              <w:jc w:val="center"/>
              <w:rPr>
                <w:rFonts w:asciiTheme="majorHAnsi" w:hAnsiTheme="majorHAnsi" w:cs="Arial"/>
                <w:b/>
                <w:szCs w:val="22"/>
              </w:rPr>
            </w:pPr>
            <w:r w:rsidRPr="00CD1257">
              <w:rPr>
                <w:rFonts w:asciiTheme="majorHAnsi" w:hAnsiTheme="majorHAnsi" w:cs="Arial"/>
                <w:b/>
                <w:szCs w:val="22"/>
              </w:rPr>
              <w:t>Main reason for the mapping</w:t>
            </w:r>
          </w:p>
        </w:tc>
      </w:tr>
      <w:tr w:rsidR="00FB11B7" w:rsidRPr="00CD1257" w:rsidTr="00545DAD">
        <w:trPr>
          <w:trHeight w:hRule="exact" w:val="510"/>
        </w:trPr>
        <w:tc>
          <w:tcPr>
            <w:tcW w:w="1418" w:type="dxa"/>
            <w:tcBorders>
              <w:top w:val="single" w:sz="18" w:space="0" w:color="E98E31" w:themeColor="background2"/>
              <w:bottom w:val="dashed" w:sz="4" w:space="0" w:color="auto"/>
            </w:tcBorders>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AAA</w:t>
            </w:r>
          </w:p>
        </w:tc>
        <w:tc>
          <w:tcPr>
            <w:tcW w:w="1843" w:type="dxa"/>
            <w:tcBorders>
              <w:top w:val="single" w:sz="18" w:space="0" w:color="E98E31" w:themeColor="background2"/>
              <w:bottom w:val="dashed" w:sz="4" w:space="0" w:color="auto"/>
            </w:tcBorders>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AAA</w:t>
            </w:r>
          </w:p>
        </w:tc>
        <w:tc>
          <w:tcPr>
            <w:tcW w:w="1701" w:type="dxa"/>
            <w:tcBorders>
              <w:top w:val="single" w:sz="18" w:space="0" w:color="E98E31" w:themeColor="background2"/>
              <w:bottom w:val="single" w:sz="4" w:space="0" w:color="auto"/>
            </w:tcBorders>
          </w:tcPr>
          <w:p w:rsidR="00FB11B7" w:rsidRPr="007F4BF1" w:rsidRDefault="00FB11B7" w:rsidP="00545DAD">
            <w:pPr>
              <w:pStyle w:val="body"/>
              <w:spacing w:before="0" w:after="0"/>
              <w:jc w:val="center"/>
              <w:rPr>
                <w:rFonts w:asciiTheme="majorHAnsi" w:hAnsiTheme="majorHAnsi" w:cs="Arial"/>
                <w:szCs w:val="22"/>
              </w:rPr>
            </w:pPr>
            <w:r>
              <w:rPr>
                <w:rFonts w:asciiTheme="majorHAnsi" w:hAnsiTheme="majorHAnsi" w:cs="Arial"/>
                <w:szCs w:val="22"/>
              </w:rPr>
              <w:t>1</w:t>
            </w:r>
          </w:p>
        </w:tc>
        <w:tc>
          <w:tcPr>
            <w:tcW w:w="1559" w:type="dxa"/>
            <w:tcBorders>
              <w:top w:val="single" w:sz="18" w:space="0" w:color="E98E31" w:themeColor="background2"/>
              <w:bottom w:val="single" w:sz="4" w:space="0" w:color="auto"/>
            </w:tcBorders>
          </w:tcPr>
          <w:p w:rsidR="00FB11B7" w:rsidRPr="00CD1257" w:rsidRDefault="00FB11B7" w:rsidP="00545DAD">
            <w:pPr>
              <w:pStyle w:val="body"/>
              <w:spacing w:before="0" w:after="0"/>
              <w:jc w:val="center"/>
              <w:rPr>
                <w:rFonts w:asciiTheme="majorHAnsi" w:hAnsiTheme="majorHAnsi" w:cs="Arial"/>
                <w:b/>
                <w:szCs w:val="22"/>
              </w:rPr>
            </w:pPr>
            <w:r>
              <w:rPr>
                <w:rFonts w:asciiTheme="majorHAnsi" w:hAnsiTheme="majorHAnsi" w:cs="Arial"/>
                <w:b/>
                <w:szCs w:val="22"/>
              </w:rPr>
              <w:t>1</w:t>
            </w:r>
          </w:p>
        </w:tc>
        <w:tc>
          <w:tcPr>
            <w:tcW w:w="7797" w:type="dxa"/>
            <w:vMerge w:val="restart"/>
            <w:tcBorders>
              <w:top w:val="single" w:sz="18" w:space="0" w:color="E98E31" w:themeColor="background2"/>
            </w:tcBorders>
          </w:tcPr>
          <w:p w:rsidR="00FB11B7" w:rsidRPr="00157D76" w:rsidRDefault="00FB11B7" w:rsidP="00545DAD">
            <w:pPr>
              <w:pStyle w:val="body"/>
              <w:spacing w:before="0" w:after="0"/>
              <w:rPr>
                <w:rFonts w:asciiTheme="majorHAnsi" w:hAnsiTheme="majorHAnsi"/>
                <w:szCs w:val="22"/>
              </w:rPr>
            </w:pPr>
            <w:r w:rsidRPr="00157D76">
              <w:rPr>
                <w:rFonts w:asciiTheme="majorHAnsi" w:hAnsiTheme="majorHAnsi"/>
                <w:szCs w:val="22"/>
              </w:rPr>
              <w:t xml:space="preserve">The final CQS </w:t>
            </w:r>
            <w:r>
              <w:rPr>
                <w:rFonts w:asciiTheme="majorHAnsi" w:hAnsiTheme="majorHAnsi"/>
                <w:szCs w:val="22"/>
              </w:rPr>
              <w:t xml:space="preserve">has been </w:t>
            </w:r>
            <w:r w:rsidRPr="00157D76">
              <w:rPr>
                <w:rFonts w:asciiTheme="majorHAnsi" w:hAnsiTheme="majorHAnsi"/>
                <w:szCs w:val="22"/>
              </w:rPr>
              <w:t xml:space="preserve">determined based on the most frequent step associated with the corresponding long-term </w:t>
            </w:r>
            <w:r>
              <w:rPr>
                <w:rFonts w:asciiTheme="majorHAnsi" w:hAnsiTheme="majorHAnsi"/>
                <w:szCs w:val="22"/>
              </w:rPr>
              <w:t>issuer</w:t>
            </w:r>
            <w:r w:rsidRPr="00157D76">
              <w:rPr>
                <w:rFonts w:asciiTheme="majorHAnsi" w:hAnsiTheme="majorHAnsi"/>
                <w:szCs w:val="22"/>
              </w:rPr>
              <w:t xml:space="preserve"> rating category. </w:t>
            </w:r>
          </w:p>
        </w:tc>
      </w:tr>
      <w:tr w:rsidR="00FB11B7" w:rsidRPr="00CD1257" w:rsidTr="00545DAD">
        <w:trPr>
          <w:trHeight w:hRule="exact" w:val="510"/>
        </w:trPr>
        <w:tc>
          <w:tcPr>
            <w:tcW w:w="1418" w:type="dxa"/>
            <w:tcBorders>
              <w:bottom w:val="dashed" w:sz="4" w:space="0" w:color="auto"/>
            </w:tcBorders>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AA</w:t>
            </w:r>
          </w:p>
        </w:tc>
        <w:tc>
          <w:tcPr>
            <w:tcW w:w="1843" w:type="dxa"/>
            <w:tcBorders>
              <w:bottom w:val="dashed" w:sz="4" w:space="0" w:color="auto"/>
            </w:tcBorders>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AA</w:t>
            </w:r>
          </w:p>
        </w:tc>
        <w:tc>
          <w:tcPr>
            <w:tcW w:w="1701" w:type="dxa"/>
            <w:tcBorders>
              <w:bottom w:val="single" w:sz="4" w:space="0" w:color="auto"/>
            </w:tcBorders>
          </w:tcPr>
          <w:p w:rsidR="00FB11B7" w:rsidRPr="007F4BF1" w:rsidRDefault="00FB11B7" w:rsidP="00545DAD">
            <w:pPr>
              <w:pStyle w:val="body"/>
              <w:spacing w:before="0" w:after="0"/>
              <w:jc w:val="center"/>
              <w:rPr>
                <w:rFonts w:asciiTheme="majorHAnsi" w:hAnsiTheme="majorHAnsi" w:cs="Arial"/>
                <w:szCs w:val="22"/>
              </w:rPr>
            </w:pPr>
            <w:r>
              <w:rPr>
                <w:rFonts w:asciiTheme="majorHAnsi" w:hAnsiTheme="majorHAnsi" w:cs="Arial"/>
                <w:szCs w:val="22"/>
              </w:rPr>
              <w:t>1</w:t>
            </w:r>
          </w:p>
        </w:tc>
        <w:tc>
          <w:tcPr>
            <w:tcW w:w="1559" w:type="dxa"/>
            <w:tcBorders>
              <w:bottom w:val="single" w:sz="4" w:space="0" w:color="auto"/>
            </w:tcBorders>
          </w:tcPr>
          <w:p w:rsidR="00FB11B7" w:rsidRPr="00CD1257" w:rsidRDefault="00FB11B7" w:rsidP="00545DAD">
            <w:pPr>
              <w:pStyle w:val="body"/>
              <w:spacing w:before="0" w:after="0"/>
              <w:jc w:val="center"/>
              <w:rPr>
                <w:rFonts w:asciiTheme="majorHAnsi" w:hAnsiTheme="majorHAnsi" w:cs="Arial"/>
                <w:b/>
                <w:szCs w:val="22"/>
              </w:rPr>
            </w:pPr>
            <w:r>
              <w:rPr>
                <w:rFonts w:asciiTheme="majorHAnsi" w:hAnsiTheme="majorHAnsi" w:cs="Arial"/>
                <w:b/>
                <w:szCs w:val="22"/>
              </w:rPr>
              <w:t>1</w:t>
            </w:r>
          </w:p>
        </w:tc>
        <w:tc>
          <w:tcPr>
            <w:tcW w:w="7797" w:type="dxa"/>
            <w:vMerge/>
          </w:tcPr>
          <w:p w:rsidR="00FB11B7" w:rsidRPr="00157D76" w:rsidRDefault="00FB11B7" w:rsidP="00545DAD">
            <w:pPr>
              <w:pStyle w:val="body"/>
              <w:spacing w:before="0" w:after="0"/>
              <w:rPr>
                <w:rFonts w:asciiTheme="majorHAnsi" w:hAnsiTheme="majorHAnsi"/>
                <w:szCs w:val="22"/>
              </w:rPr>
            </w:pPr>
          </w:p>
        </w:tc>
      </w:tr>
      <w:tr w:rsidR="00FB11B7" w:rsidRPr="00CD1257" w:rsidTr="00545DAD">
        <w:trPr>
          <w:trHeight w:hRule="exact" w:val="510"/>
        </w:trPr>
        <w:tc>
          <w:tcPr>
            <w:tcW w:w="1418" w:type="dxa"/>
            <w:tcBorders>
              <w:bottom w:val="dashed" w:sz="4" w:space="0" w:color="auto"/>
            </w:tcBorders>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A</w:t>
            </w:r>
          </w:p>
        </w:tc>
        <w:tc>
          <w:tcPr>
            <w:tcW w:w="1843" w:type="dxa"/>
            <w:tcBorders>
              <w:bottom w:val="dashed" w:sz="4" w:space="0" w:color="auto"/>
            </w:tcBorders>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A</w:t>
            </w:r>
          </w:p>
        </w:tc>
        <w:tc>
          <w:tcPr>
            <w:tcW w:w="1701" w:type="dxa"/>
            <w:tcBorders>
              <w:bottom w:val="single" w:sz="4" w:space="0" w:color="auto"/>
            </w:tcBorders>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2</w:t>
            </w:r>
          </w:p>
        </w:tc>
        <w:tc>
          <w:tcPr>
            <w:tcW w:w="1559" w:type="dxa"/>
            <w:tcBorders>
              <w:bottom w:val="single" w:sz="4" w:space="0" w:color="auto"/>
            </w:tcBorders>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2</w:t>
            </w:r>
          </w:p>
        </w:tc>
        <w:tc>
          <w:tcPr>
            <w:tcW w:w="7797" w:type="dxa"/>
            <w:vMerge/>
          </w:tcPr>
          <w:p w:rsidR="00FB11B7" w:rsidRPr="00157D76" w:rsidRDefault="00FB11B7" w:rsidP="00545DAD">
            <w:pPr>
              <w:pStyle w:val="body"/>
              <w:spacing w:before="0" w:after="0"/>
              <w:rPr>
                <w:rFonts w:asciiTheme="majorHAnsi" w:hAnsiTheme="majorHAnsi"/>
                <w:szCs w:val="22"/>
              </w:rPr>
            </w:pPr>
          </w:p>
        </w:tc>
      </w:tr>
      <w:tr w:rsidR="00FB11B7" w:rsidRPr="00CD1257" w:rsidTr="00545DAD">
        <w:trPr>
          <w:trHeight w:hRule="exact" w:val="510"/>
        </w:trPr>
        <w:tc>
          <w:tcPr>
            <w:tcW w:w="1418"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BBB</w:t>
            </w:r>
          </w:p>
        </w:tc>
        <w:tc>
          <w:tcPr>
            <w:tcW w:w="1843"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BBB</w:t>
            </w:r>
          </w:p>
        </w:tc>
        <w:tc>
          <w:tcPr>
            <w:tcW w:w="1701"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3</w:t>
            </w:r>
          </w:p>
        </w:tc>
        <w:tc>
          <w:tcPr>
            <w:tcW w:w="1559"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3</w:t>
            </w:r>
          </w:p>
        </w:tc>
        <w:tc>
          <w:tcPr>
            <w:tcW w:w="7797" w:type="dxa"/>
            <w:vMerge/>
          </w:tcPr>
          <w:p w:rsidR="00FB11B7" w:rsidRPr="00157D76" w:rsidRDefault="00FB11B7" w:rsidP="00545DAD">
            <w:pPr>
              <w:pStyle w:val="body"/>
              <w:spacing w:before="0" w:after="0"/>
              <w:rPr>
                <w:rFonts w:asciiTheme="majorHAnsi" w:hAnsiTheme="majorHAnsi"/>
                <w:szCs w:val="22"/>
              </w:rPr>
            </w:pPr>
          </w:p>
        </w:tc>
      </w:tr>
      <w:tr w:rsidR="00FB11B7" w:rsidRPr="00CD1257" w:rsidTr="00545DAD">
        <w:trPr>
          <w:trHeight w:hRule="exact" w:val="510"/>
        </w:trPr>
        <w:tc>
          <w:tcPr>
            <w:tcW w:w="1418"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BB</w:t>
            </w:r>
          </w:p>
        </w:tc>
        <w:tc>
          <w:tcPr>
            <w:tcW w:w="1843"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BB</w:t>
            </w:r>
          </w:p>
        </w:tc>
        <w:tc>
          <w:tcPr>
            <w:tcW w:w="1701"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4</w:t>
            </w:r>
          </w:p>
        </w:tc>
        <w:tc>
          <w:tcPr>
            <w:tcW w:w="1559"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4</w:t>
            </w:r>
          </w:p>
        </w:tc>
        <w:tc>
          <w:tcPr>
            <w:tcW w:w="7797" w:type="dxa"/>
            <w:vMerge/>
          </w:tcPr>
          <w:p w:rsidR="00FB11B7" w:rsidRPr="00157D76" w:rsidRDefault="00FB11B7" w:rsidP="00545DAD">
            <w:pPr>
              <w:pStyle w:val="body"/>
              <w:spacing w:before="0" w:after="0"/>
              <w:rPr>
                <w:rFonts w:asciiTheme="majorHAnsi" w:hAnsiTheme="majorHAnsi"/>
                <w:szCs w:val="22"/>
              </w:rPr>
            </w:pPr>
          </w:p>
        </w:tc>
      </w:tr>
      <w:tr w:rsidR="00FB11B7" w:rsidRPr="00CD1257" w:rsidTr="00545DAD">
        <w:trPr>
          <w:trHeight w:hRule="exact" w:val="510"/>
        </w:trPr>
        <w:tc>
          <w:tcPr>
            <w:tcW w:w="1418"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B</w:t>
            </w:r>
          </w:p>
        </w:tc>
        <w:tc>
          <w:tcPr>
            <w:tcW w:w="1843"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B</w:t>
            </w:r>
          </w:p>
        </w:tc>
        <w:tc>
          <w:tcPr>
            <w:tcW w:w="1701"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5</w:t>
            </w:r>
          </w:p>
        </w:tc>
        <w:tc>
          <w:tcPr>
            <w:tcW w:w="1559"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5</w:t>
            </w:r>
          </w:p>
        </w:tc>
        <w:tc>
          <w:tcPr>
            <w:tcW w:w="7797" w:type="dxa"/>
            <w:vMerge/>
          </w:tcPr>
          <w:p w:rsidR="00FB11B7" w:rsidRPr="00157D76" w:rsidRDefault="00FB11B7" w:rsidP="00545DAD">
            <w:pPr>
              <w:pStyle w:val="body"/>
              <w:spacing w:before="0" w:after="0"/>
              <w:rPr>
                <w:rFonts w:asciiTheme="majorHAnsi" w:hAnsiTheme="majorHAnsi"/>
                <w:szCs w:val="22"/>
              </w:rPr>
            </w:pPr>
          </w:p>
        </w:tc>
      </w:tr>
      <w:tr w:rsidR="00FB11B7" w:rsidRPr="00CD1257" w:rsidTr="00545DAD">
        <w:trPr>
          <w:trHeight w:hRule="exact" w:val="510"/>
        </w:trPr>
        <w:tc>
          <w:tcPr>
            <w:tcW w:w="1418"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CCC</w:t>
            </w:r>
          </w:p>
        </w:tc>
        <w:tc>
          <w:tcPr>
            <w:tcW w:w="1843"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CCC</w:t>
            </w:r>
          </w:p>
        </w:tc>
        <w:tc>
          <w:tcPr>
            <w:tcW w:w="1701"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6</w:t>
            </w:r>
          </w:p>
        </w:tc>
        <w:tc>
          <w:tcPr>
            <w:tcW w:w="1559"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FB11B7" w:rsidRPr="00157D76" w:rsidRDefault="00FB11B7" w:rsidP="00545DAD">
            <w:pPr>
              <w:pStyle w:val="body"/>
              <w:spacing w:before="0" w:after="0"/>
              <w:rPr>
                <w:rFonts w:asciiTheme="majorHAnsi" w:hAnsiTheme="majorHAnsi"/>
                <w:szCs w:val="22"/>
              </w:rPr>
            </w:pPr>
          </w:p>
        </w:tc>
      </w:tr>
      <w:tr w:rsidR="00FB11B7" w:rsidRPr="00CD1257" w:rsidTr="00545DAD">
        <w:trPr>
          <w:trHeight w:hRule="exact" w:val="510"/>
        </w:trPr>
        <w:tc>
          <w:tcPr>
            <w:tcW w:w="1418"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CC</w:t>
            </w:r>
          </w:p>
        </w:tc>
        <w:tc>
          <w:tcPr>
            <w:tcW w:w="1843"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CC</w:t>
            </w:r>
          </w:p>
        </w:tc>
        <w:tc>
          <w:tcPr>
            <w:tcW w:w="1701"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6</w:t>
            </w:r>
          </w:p>
        </w:tc>
        <w:tc>
          <w:tcPr>
            <w:tcW w:w="1559"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FB11B7" w:rsidRPr="00157D76" w:rsidRDefault="00FB11B7" w:rsidP="00545DAD">
            <w:pPr>
              <w:pStyle w:val="body"/>
              <w:spacing w:before="0" w:after="0"/>
              <w:rPr>
                <w:rFonts w:asciiTheme="majorHAnsi" w:hAnsiTheme="majorHAnsi"/>
                <w:szCs w:val="22"/>
              </w:rPr>
            </w:pPr>
          </w:p>
        </w:tc>
      </w:tr>
      <w:tr w:rsidR="00FB11B7" w:rsidRPr="00CD1257" w:rsidTr="00545DAD">
        <w:trPr>
          <w:trHeight w:hRule="exact" w:val="510"/>
        </w:trPr>
        <w:tc>
          <w:tcPr>
            <w:tcW w:w="1418"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C</w:t>
            </w:r>
          </w:p>
        </w:tc>
        <w:tc>
          <w:tcPr>
            <w:tcW w:w="1843"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C</w:t>
            </w:r>
          </w:p>
        </w:tc>
        <w:tc>
          <w:tcPr>
            <w:tcW w:w="1701" w:type="dxa"/>
          </w:tcPr>
          <w:p w:rsidR="00FB11B7" w:rsidRPr="007F4BF1" w:rsidRDefault="00FB11B7" w:rsidP="00545DAD">
            <w:pPr>
              <w:pStyle w:val="body"/>
              <w:spacing w:before="0" w:after="0"/>
              <w:jc w:val="center"/>
              <w:rPr>
                <w:rFonts w:asciiTheme="majorHAnsi" w:hAnsiTheme="majorHAnsi" w:cs="Arial"/>
                <w:szCs w:val="22"/>
              </w:rPr>
            </w:pPr>
            <w:r w:rsidRPr="007F4BF1">
              <w:rPr>
                <w:rFonts w:asciiTheme="majorHAnsi" w:hAnsiTheme="majorHAnsi" w:cs="Arial"/>
                <w:szCs w:val="22"/>
              </w:rPr>
              <w:t>6</w:t>
            </w:r>
          </w:p>
        </w:tc>
        <w:tc>
          <w:tcPr>
            <w:tcW w:w="1559"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FB11B7" w:rsidRPr="00157D76" w:rsidRDefault="00FB11B7" w:rsidP="00545DAD">
            <w:pPr>
              <w:pStyle w:val="body"/>
              <w:spacing w:before="0" w:after="0"/>
              <w:rPr>
                <w:rFonts w:asciiTheme="majorHAnsi" w:hAnsiTheme="majorHAnsi"/>
                <w:szCs w:val="22"/>
              </w:rPr>
            </w:pPr>
          </w:p>
        </w:tc>
      </w:tr>
      <w:tr w:rsidR="00FB11B7" w:rsidRPr="00CD1257" w:rsidTr="00545DAD">
        <w:trPr>
          <w:trHeight w:hRule="exact" w:val="510"/>
        </w:trPr>
        <w:tc>
          <w:tcPr>
            <w:tcW w:w="1418" w:type="dxa"/>
          </w:tcPr>
          <w:p w:rsidR="00FB11B7" w:rsidRPr="00CD1257" w:rsidRDefault="00FB11B7" w:rsidP="00545DAD">
            <w:pPr>
              <w:pStyle w:val="body"/>
              <w:spacing w:before="0" w:after="0"/>
              <w:jc w:val="center"/>
              <w:rPr>
                <w:rFonts w:asciiTheme="majorHAnsi" w:hAnsiTheme="majorHAnsi" w:cs="Arial"/>
                <w:b/>
                <w:szCs w:val="22"/>
              </w:rPr>
            </w:pPr>
            <w:r>
              <w:rPr>
                <w:rFonts w:asciiTheme="majorHAnsi" w:hAnsiTheme="majorHAnsi" w:cs="Arial"/>
                <w:b/>
                <w:szCs w:val="22"/>
              </w:rPr>
              <w:t>R</w:t>
            </w:r>
          </w:p>
        </w:tc>
        <w:tc>
          <w:tcPr>
            <w:tcW w:w="1843" w:type="dxa"/>
          </w:tcPr>
          <w:p w:rsidR="00FB11B7" w:rsidRPr="00443B7B" w:rsidRDefault="00FB11B7" w:rsidP="00545DAD">
            <w:pPr>
              <w:pStyle w:val="body"/>
              <w:spacing w:before="0" w:after="0"/>
              <w:jc w:val="center"/>
              <w:rPr>
                <w:rFonts w:asciiTheme="majorHAnsi" w:hAnsiTheme="majorHAnsi" w:cs="Arial"/>
                <w:szCs w:val="22"/>
              </w:rPr>
            </w:pPr>
            <w:r w:rsidRPr="007151B3">
              <w:rPr>
                <w:rFonts w:asciiTheme="majorHAnsi" w:hAnsiTheme="majorHAnsi" w:cs="Arial"/>
                <w:szCs w:val="22"/>
              </w:rPr>
              <w:t>D</w:t>
            </w:r>
          </w:p>
        </w:tc>
        <w:tc>
          <w:tcPr>
            <w:tcW w:w="1701" w:type="dxa"/>
          </w:tcPr>
          <w:p w:rsidR="00FB11B7" w:rsidRPr="00443B7B" w:rsidRDefault="00FB11B7" w:rsidP="00545DAD">
            <w:pPr>
              <w:pStyle w:val="body"/>
              <w:spacing w:before="0" w:after="0"/>
              <w:jc w:val="center"/>
              <w:rPr>
                <w:rFonts w:asciiTheme="majorHAnsi" w:hAnsiTheme="majorHAnsi" w:cs="Arial"/>
                <w:szCs w:val="22"/>
              </w:rPr>
            </w:pPr>
            <w:r w:rsidRPr="007151B3">
              <w:rPr>
                <w:rFonts w:asciiTheme="majorHAnsi" w:hAnsiTheme="majorHAnsi" w:cs="Arial"/>
                <w:szCs w:val="22"/>
              </w:rPr>
              <w:t>6</w:t>
            </w:r>
          </w:p>
        </w:tc>
        <w:tc>
          <w:tcPr>
            <w:tcW w:w="1559" w:type="dxa"/>
          </w:tcPr>
          <w:p w:rsidR="00FB11B7" w:rsidRPr="00CD1257" w:rsidRDefault="00FB11B7" w:rsidP="00545DAD">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FB11B7" w:rsidRPr="00157D76" w:rsidRDefault="00FB11B7" w:rsidP="00545DAD">
            <w:pPr>
              <w:pStyle w:val="body"/>
              <w:spacing w:before="0" w:after="0"/>
              <w:rPr>
                <w:rFonts w:asciiTheme="majorHAnsi" w:hAnsiTheme="majorHAnsi"/>
                <w:szCs w:val="22"/>
              </w:rPr>
            </w:pPr>
          </w:p>
        </w:tc>
      </w:tr>
    </w:tbl>
    <w:p w:rsidR="009F3F21" w:rsidRDefault="009F3F21" w:rsidP="00CF7DB9"/>
    <w:p w:rsidR="00CF7DB9" w:rsidRDefault="00CF7DB9" w:rsidP="00CF7DB9"/>
    <w:p w:rsidR="00CF7DB9" w:rsidRDefault="00CF7DB9" w:rsidP="00CF7DB9"/>
    <w:p w:rsidR="00CF7DB9" w:rsidRDefault="00CF7DB9" w:rsidP="00CF7DB9"/>
    <w:p w:rsidR="00CF7DB9" w:rsidRDefault="00CF7DB9" w:rsidP="00CF7DB9"/>
    <w:sectPr w:rsidR="00CF7DB9" w:rsidSect="0022612B">
      <w:pgSz w:w="16840" w:h="11900" w:orient="landscape"/>
      <w:pgMar w:top="1701" w:right="2268" w:bottom="567"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8F" w:rsidRDefault="00EB358F" w:rsidP="00A00E34">
      <w:r>
        <w:separator/>
      </w:r>
    </w:p>
    <w:p w:rsidR="00EB358F" w:rsidRDefault="00EB358F"/>
  </w:endnote>
  <w:endnote w:type="continuationSeparator" w:id="0">
    <w:p w:rsidR="00EB358F" w:rsidRDefault="00EB358F" w:rsidP="00A00E34">
      <w:r>
        <w:continuationSeparator/>
      </w:r>
    </w:p>
    <w:p w:rsidR="00EB358F" w:rsidRDefault="00EB3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EB358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58F" w:rsidRDefault="00EB358F"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EB358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3875">
      <w:rPr>
        <w:rStyle w:val="PageNumber"/>
        <w:noProof/>
      </w:rPr>
      <w:t>10</w:t>
    </w:r>
    <w:r>
      <w:rPr>
        <w:rStyle w:val="PageNumber"/>
      </w:rPr>
      <w:fldChar w:fldCharType="end"/>
    </w:r>
  </w:p>
  <w:p w:rsidR="00EB358F" w:rsidRDefault="00EB358F" w:rsidP="00610305">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2F1FCBB1" wp14:editId="71D611CD">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EBA36"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r>
      <w:t>EBA REGULAR USE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EB358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358F" w:rsidRDefault="00EB358F"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14:anchorId="674C3335" wp14:editId="71557768">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44102"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EB358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58F" w:rsidRDefault="00EB358F"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EB358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3875">
      <w:rPr>
        <w:rStyle w:val="PageNumber"/>
        <w:noProof/>
      </w:rPr>
      <w:t>18</w:t>
    </w:r>
    <w:r>
      <w:rPr>
        <w:rStyle w:val="PageNumber"/>
      </w:rPr>
      <w:fldChar w:fldCharType="end"/>
    </w:r>
  </w:p>
  <w:p w:rsidR="00EB358F" w:rsidRDefault="00EB358F" w:rsidP="00610305">
    <w:pPr>
      <w:pStyle w:val="Footer"/>
      <w:ind w:right="360"/>
    </w:pPr>
    <w:r>
      <w:rPr>
        <w:noProof/>
        <w:lang w:eastAsia="en-GB"/>
      </w:rPr>
      <mc:AlternateContent>
        <mc:Choice Requires="wps">
          <w:drawing>
            <wp:anchor distT="4294967295" distB="4294967295" distL="114300" distR="114300" simplePos="0" relativeHeight="251669504" behindDoc="1" locked="1" layoutInCell="1" allowOverlap="1" wp14:anchorId="2B27D82B" wp14:editId="329CBD2B">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D3E59" id="Straight Connector 1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EB358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3875">
      <w:rPr>
        <w:rStyle w:val="PageNumber"/>
        <w:noProof/>
      </w:rPr>
      <w:t>17</w:t>
    </w:r>
    <w:r>
      <w:rPr>
        <w:rStyle w:val="PageNumber"/>
      </w:rPr>
      <w:fldChar w:fldCharType="end"/>
    </w:r>
  </w:p>
  <w:p w:rsidR="00EB358F" w:rsidRDefault="00EB358F" w:rsidP="002F6CF0">
    <w:pPr>
      <w:pStyle w:val="Footer"/>
      <w:ind w:right="360"/>
    </w:pPr>
    <w:r>
      <w:rPr>
        <w:noProof/>
        <w:lang w:eastAsia="en-GB"/>
      </w:rPr>
      <mc:AlternateContent>
        <mc:Choice Requires="wps">
          <w:drawing>
            <wp:anchor distT="4294967295" distB="4294967295" distL="114300" distR="114300" simplePos="0" relativeHeight="251670528" behindDoc="1" locked="1" layoutInCell="1" allowOverlap="1" wp14:anchorId="5928EBDF" wp14:editId="11EDB10B">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902AA" id="Straight Connector 1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EB358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58F" w:rsidRDefault="00EB358F"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EB358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3875">
      <w:rPr>
        <w:rStyle w:val="PageNumber"/>
        <w:noProof/>
      </w:rPr>
      <w:t>27</w:t>
    </w:r>
    <w:r>
      <w:rPr>
        <w:rStyle w:val="PageNumber"/>
      </w:rPr>
      <w:fldChar w:fldCharType="end"/>
    </w:r>
  </w:p>
  <w:p w:rsidR="00EB358F" w:rsidRDefault="00EB358F"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3CE125EF" wp14:editId="2479117A">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793C5"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EB358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3875">
      <w:rPr>
        <w:rStyle w:val="PageNumber"/>
        <w:noProof/>
      </w:rPr>
      <w:t>20</w:t>
    </w:r>
    <w:r>
      <w:rPr>
        <w:rStyle w:val="PageNumber"/>
      </w:rPr>
      <w:fldChar w:fldCharType="end"/>
    </w:r>
  </w:p>
  <w:p w:rsidR="00EB358F" w:rsidRDefault="00EB358F"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2EBAFA58" wp14:editId="5622E04D">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B0C1A"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8F" w:rsidRPr="00DB5E8F" w:rsidRDefault="00EB358F">
      <w:pPr>
        <w:rPr>
          <w:sz w:val="12"/>
          <w:szCs w:val="12"/>
        </w:rPr>
      </w:pPr>
      <w:r w:rsidRPr="00DB5E8F">
        <w:rPr>
          <w:sz w:val="12"/>
          <w:szCs w:val="12"/>
        </w:rPr>
        <w:separator/>
      </w:r>
    </w:p>
  </w:footnote>
  <w:footnote w:type="continuationSeparator" w:id="0">
    <w:p w:rsidR="00EB358F" w:rsidRDefault="00EB358F" w:rsidP="00A00E34">
      <w:r>
        <w:continuationSeparator/>
      </w:r>
    </w:p>
    <w:p w:rsidR="00EB358F" w:rsidRDefault="00EB358F"/>
  </w:footnote>
  <w:footnote w:type="continuationNotice" w:id="1">
    <w:p w:rsidR="00EB358F" w:rsidRDefault="00EB358F"/>
  </w:footnote>
  <w:footnote w:id="2">
    <w:p w:rsidR="00EB358F" w:rsidRPr="00873D40" w:rsidRDefault="00EB358F" w:rsidP="003D4AD4">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rsidR="00EB358F" w:rsidRPr="007B26B2" w:rsidRDefault="00EB358F" w:rsidP="003D4AD4">
      <w:pPr>
        <w:pStyle w:val="FootnoteText"/>
      </w:pPr>
      <w:r>
        <w:rPr>
          <w:rStyle w:val="FootnoteReference"/>
        </w:rPr>
        <w:footnoteRef/>
      </w:r>
      <w:r>
        <w:t xml:space="preserve"> </w:t>
      </w:r>
      <w:r w:rsidRPr="00B849CA">
        <w:t>OJ L 275, 12.10.2016, p. 3-18</w:t>
      </w:r>
    </w:p>
  </w:footnote>
  <w:footnote w:id="4">
    <w:p w:rsidR="00EB358F" w:rsidRPr="00111518" w:rsidRDefault="00EB358F">
      <w:pPr>
        <w:pStyle w:val="FootnoteText"/>
        <w:rPr>
          <w:lang w:val="en-GB"/>
        </w:rPr>
      </w:pPr>
      <w:r>
        <w:rPr>
          <w:rStyle w:val="FootnoteReference"/>
        </w:rPr>
        <w:footnoteRef/>
      </w:r>
      <w:r>
        <w:t xml:space="preserve"> In this regard, please consider </w:t>
      </w:r>
      <w:hyperlink r:id="rId1" w:history="1">
        <w:r w:rsidRPr="003C0914">
          <w:rPr>
            <w:rStyle w:val="Hyperlink"/>
          </w:rPr>
          <w:t>https://www.esma.europa.eu/sites/default/files/library/esma_2015-1473_report_on_the_possibility_of_establishing_one_or_more_mapping.pdf</w:t>
        </w:r>
      </w:hyperlink>
      <w:r>
        <w:t>.</w:t>
      </w:r>
    </w:p>
  </w:footnote>
  <w:footnote w:id="5">
    <w:p w:rsidR="00EB358F" w:rsidRPr="008B7151" w:rsidRDefault="00EB358F" w:rsidP="004C48AE">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DBRS</w:t>
      </w:r>
      <w:r w:rsidRPr="00540BB7">
        <w:t xml:space="preserve"> carried out by ESMA.</w:t>
      </w:r>
    </w:p>
  </w:footnote>
  <w:footnote w:id="6">
    <w:p w:rsidR="00EB358F" w:rsidRPr="00B849CA" w:rsidRDefault="00EB358F" w:rsidP="00E11F38">
      <w:pPr>
        <w:pStyle w:val="FootnoteText"/>
        <w:rPr>
          <w:lang w:val="en-GB"/>
        </w:rPr>
      </w:pPr>
      <w:r>
        <w:rPr>
          <w:rStyle w:val="FootnoteReference"/>
        </w:rPr>
        <w:footnoteRef/>
      </w:r>
      <w:r>
        <w:t xml:space="preserve"> </w:t>
      </w:r>
      <w:hyperlink r:id="rId2" w:history="1">
        <w:r w:rsidRPr="009E3382">
          <w:rPr>
            <w:rStyle w:val="Hyperlink"/>
          </w:rPr>
          <w:t>https://cerep.esma.europa.eu/cerep-web/</w:t>
        </w:r>
      </w:hyperlink>
    </w:p>
  </w:footnote>
  <w:footnote w:id="7">
    <w:p w:rsidR="00EB358F" w:rsidRPr="00111518" w:rsidRDefault="00EB358F">
      <w:pPr>
        <w:pStyle w:val="FootnoteText"/>
        <w:rPr>
          <w:lang w:val="en-GB"/>
        </w:rPr>
      </w:pPr>
      <w:r>
        <w:rPr>
          <w:rStyle w:val="FootnoteReference"/>
        </w:rPr>
        <w:footnoteRef/>
      </w:r>
      <w:r>
        <w:t xml:space="preserve"> As explained in recital 4 of the ITS 2016/1799, Article 4(1) CRA allows the use of the credit assessments for the determination of the risk-weighted exposure amounts as specified in Article 113(1) CRR as long as they meet the definition of credit rating in Article 3(1</w:t>
      </w:r>
      <w:proofErr w:type="gramStart"/>
      <w:r>
        <w:t>)(</w:t>
      </w:r>
      <w:proofErr w:type="gramEnd"/>
      <w:r>
        <w:t>a) CRA.</w:t>
      </w:r>
    </w:p>
  </w:footnote>
  <w:footnote w:id="8">
    <w:p w:rsidR="00EB358F" w:rsidRPr="000763D1" w:rsidRDefault="00EB358F">
      <w:pPr>
        <w:pStyle w:val="FootnoteText"/>
        <w:rPr>
          <w:lang w:val="en-GB"/>
        </w:rPr>
      </w:pPr>
      <w:r>
        <w:rPr>
          <w:rStyle w:val="FootnoteReference"/>
        </w:rPr>
        <w:footnoteRef/>
      </w:r>
      <w:r>
        <w:t xml:space="preserve"> For AAA, AA and A rating categories, the number of credit ratings cannot be considered to be sufficient and therefore no calculation of the short run default rate has been made. In the case of rating</w:t>
      </w:r>
      <w:r>
        <w:rPr>
          <w:lang w:val="en-GB"/>
        </w:rPr>
        <w:t xml:space="preserve"> categories CCC to C, the review of the short run default rates is not necessary since they have been mapped to CQS6.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103875">
    <w:sdt>
      <w:sdtPr>
        <w:id w:val="1051503992"/>
        <w:temporary/>
        <w:showingPlcHdr/>
      </w:sdtPr>
      <w:sdtEndPr/>
      <w:sdtContent>
        <w:r w:rsidR="00EB358F">
          <w:t>[Type text]</w:t>
        </w:r>
      </w:sdtContent>
    </w:sdt>
    <w:r w:rsidR="00EB358F">
      <w:ptab w:relativeTo="margin" w:alignment="center" w:leader="none"/>
    </w:r>
    <w:sdt>
      <w:sdtPr>
        <w:id w:val="731575129"/>
        <w:temporary/>
        <w:showingPlcHdr/>
      </w:sdtPr>
      <w:sdtEndPr/>
      <w:sdtContent>
        <w:r w:rsidR="00EB358F">
          <w:t>[Type text]</w:t>
        </w:r>
      </w:sdtContent>
    </w:sdt>
    <w:r w:rsidR="00EB358F">
      <w:ptab w:relativeTo="margin" w:alignment="right" w:leader="none"/>
    </w:r>
    <w:sdt>
      <w:sdtPr>
        <w:id w:val="364179191"/>
        <w:temporary/>
        <w:showingPlcHdr/>
      </w:sdtPr>
      <w:sdtEndPr/>
      <w:sdtContent>
        <w:r w:rsidR="00EB358F">
          <w:t>[Type text]</w:t>
        </w:r>
      </w:sdtContent>
    </w:sdt>
  </w:p>
  <w:p w:rsidR="00EB358F" w:rsidRDefault="00EB35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Pr="000069A9" w:rsidRDefault="00EB358F" w:rsidP="000069A9">
    <w:pPr>
      <w:pStyle w:val="Header"/>
    </w:pPr>
    <w:r w:rsidRPr="000069A9">
      <w:rPr>
        <w:noProof/>
        <w:lang w:eastAsia="en-GB"/>
      </w:rPr>
      <w:drawing>
        <wp:inline distT="0" distB="0" distL="0" distR="0" wp14:anchorId="39C1A72A" wp14:editId="5536B738">
          <wp:extent cx="5547360" cy="60960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Pr="000069A9" w:rsidRDefault="00EB358F" w:rsidP="000069A9">
    <w:pPr>
      <w:pStyle w:val="Header"/>
    </w:pPr>
    <w:r w:rsidRPr="000069A9">
      <w:rPr>
        <w:noProof/>
        <w:lang w:eastAsia="en-GB"/>
      </w:rPr>
      <w:drawing>
        <wp:inline distT="0" distB="0" distL="0" distR="0" wp14:anchorId="3C75D0C5" wp14:editId="0ED6F39B">
          <wp:extent cx="5547360" cy="609600"/>
          <wp:effectExtent l="0" t="0" r="0" b="0"/>
          <wp:docPr id="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103875">
    <w:sdt>
      <w:sdtPr>
        <w:id w:val="-1184431198"/>
        <w:temporary/>
        <w:showingPlcHdr/>
      </w:sdtPr>
      <w:sdtEndPr/>
      <w:sdtContent>
        <w:r w:rsidR="00EB358F">
          <w:t>[Type text]</w:t>
        </w:r>
      </w:sdtContent>
    </w:sdt>
    <w:r w:rsidR="00EB358F">
      <w:ptab w:relativeTo="margin" w:alignment="center" w:leader="none"/>
    </w:r>
    <w:sdt>
      <w:sdtPr>
        <w:id w:val="-1623911100"/>
        <w:temporary/>
        <w:showingPlcHdr/>
      </w:sdtPr>
      <w:sdtEndPr/>
      <w:sdtContent>
        <w:r w:rsidR="00EB358F">
          <w:t>[Type text]</w:t>
        </w:r>
      </w:sdtContent>
    </w:sdt>
    <w:r w:rsidR="00EB358F">
      <w:ptab w:relativeTo="margin" w:alignment="right" w:leader="none"/>
    </w:r>
    <w:sdt>
      <w:sdtPr>
        <w:id w:val="422302315"/>
        <w:temporary/>
        <w:showingPlcHdr/>
      </w:sdtPr>
      <w:sdtEndPr/>
      <w:sdtContent>
        <w:r w:rsidR="00EB358F">
          <w:t>[Type text]</w:t>
        </w:r>
      </w:sdtContent>
    </w:sdt>
  </w:p>
  <w:p w:rsidR="00EB358F" w:rsidRDefault="00EB358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Pr="000069A9" w:rsidRDefault="00EB358F" w:rsidP="000069A9">
    <w:pPr>
      <w:pStyle w:val="Header"/>
    </w:pPr>
    <w:r w:rsidRPr="000069A9">
      <w:rPr>
        <w:noProof/>
        <w:lang w:eastAsia="en-GB"/>
      </w:rPr>
      <w:drawing>
        <wp:inline distT="0" distB="0" distL="0" distR="0" wp14:anchorId="5401F63D" wp14:editId="6A5071BA">
          <wp:extent cx="5547360" cy="609600"/>
          <wp:effectExtent l="0" t="0" r="0" b="0"/>
          <wp:docPr id="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Pr="000069A9" w:rsidRDefault="00EB358F" w:rsidP="000069A9">
    <w:pPr>
      <w:pStyle w:val="Header"/>
    </w:pPr>
    <w:r w:rsidRPr="000069A9">
      <w:rPr>
        <w:noProof/>
        <w:lang w:eastAsia="en-GB"/>
      </w:rPr>
      <w:drawing>
        <wp:inline distT="0" distB="0" distL="0" distR="0" wp14:anchorId="4211E267" wp14:editId="432763B5">
          <wp:extent cx="5547360" cy="609600"/>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Default="00103875">
    <w:sdt>
      <w:sdtPr>
        <w:id w:val="56209852"/>
        <w:temporary/>
        <w:showingPlcHdr/>
      </w:sdtPr>
      <w:sdtEndPr/>
      <w:sdtContent>
        <w:r w:rsidR="00EB358F">
          <w:t>[Type text]</w:t>
        </w:r>
      </w:sdtContent>
    </w:sdt>
    <w:r w:rsidR="00EB358F">
      <w:ptab w:relativeTo="margin" w:alignment="center" w:leader="none"/>
    </w:r>
    <w:sdt>
      <w:sdtPr>
        <w:id w:val="-795980892"/>
        <w:temporary/>
        <w:showingPlcHdr/>
      </w:sdtPr>
      <w:sdtEndPr/>
      <w:sdtContent>
        <w:r w:rsidR="00EB358F">
          <w:t>[Type text]</w:t>
        </w:r>
      </w:sdtContent>
    </w:sdt>
    <w:r w:rsidR="00EB358F">
      <w:ptab w:relativeTo="margin" w:alignment="right" w:leader="none"/>
    </w:r>
    <w:sdt>
      <w:sdtPr>
        <w:id w:val="383686528"/>
        <w:temporary/>
        <w:showingPlcHdr/>
      </w:sdtPr>
      <w:sdtEndPr/>
      <w:sdtContent>
        <w:r w:rsidR="00EB358F">
          <w:t>[Type text]</w:t>
        </w:r>
      </w:sdtContent>
    </w:sdt>
  </w:p>
  <w:p w:rsidR="00EB358F" w:rsidRDefault="00EB358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Pr="000069A9" w:rsidRDefault="00EB358F" w:rsidP="000069A9">
    <w:pPr>
      <w:pStyle w:val="Header"/>
    </w:pPr>
    <w:r w:rsidRPr="000069A9">
      <w:rPr>
        <w:noProof/>
        <w:lang w:eastAsia="en-GB"/>
      </w:rPr>
      <w:drawing>
        <wp:inline distT="0" distB="0" distL="0" distR="0" wp14:anchorId="3D941E67" wp14:editId="765F30D4">
          <wp:extent cx="5547360" cy="609600"/>
          <wp:effectExtent l="0" t="0" r="0" b="0"/>
          <wp:docPr id="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8F" w:rsidRPr="000069A9" w:rsidRDefault="00EB358F" w:rsidP="000069A9">
    <w:pPr>
      <w:pStyle w:val="Header"/>
    </w:pPr>
    <w:r w:rsidRPr="000069A9">
      <w:rPr>
        <w:noProof/>
        <w:lang w:eastAsia="en-GB"/>
      </w:rPr>
      <w:drawing>
        <wp:inline distT="0" distB="0" distL="0" distR="0" wp14:anchorId="53A02C04" wp14:editId="42C58638">
          <wp:extent cx="5547360" cy="609600"/>
          <wp:effectExtent l="0" t="0" r="0" b="0"/>
          <wp:docPr id="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C68A3"/>
    <w:multiLevelType w:val="hybridMultilevel"/>
    <w:tmpl w:val="C792B8A4"/>
    <w:lvl w:ilvl="0" w:tplc="1ED08850">
      <w:start w:val="1"/>
      <w:numFmt w:val="lowerLetter"/>
      <w:lvlText w:val="(%1)"/>
      <w:lvlJc w:val="left"/>
      <w:pPr>
        <w:ind w:left="1445" w:hanging="360"/>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8388C"/>
    <w:multiLevelType w:val="hybridMultilevel"/>
    <w:tmpl w:val="CF14BA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C64042"/>
    <w:multiLevelType w:val="hybridMultilevel"/>
    <w:tmpl w:val="AB50982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530862"/>
    <w:multiLevelType w:val="hybridMultilevel"/>
    <w:tmpl w:val="BA3AD7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9E22FAA"/>
    <w:multiLevelType w:val="hybridMultilevel"/>
    <w:tmpl w:val="CBFC054C"/>
    <w:lvl w:ilvl="0" w:tplc="EEFA80B2">
      <w:start w:val="28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65781"/>
    <w:multiLevelType w:val="hybridMultilevel"/>
    <w:tmpl w:val="7C30A3B8"/>
    <w:lvl w:ilvl="0" w:tplc="EC225A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1E450014"/>
    <w:multiLevelType w:val="hybridMultilevel"/>
    <w:tmpl w:val="6A64F55C"/>
    <w:lvl w:ilvl="0" w:tplc="08090017">
      <w:start w:val="1"/>
      <w:numFmt w:val="lowerLetter"/>
      <w:lvlText w:val="%1)"/>
      <w:lvlJc w:val="left"/>
      <w:pPr>
        <w:ind w:left="1081" w:hanging="360"/>
      </w:p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1"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2DE848A2"/>
    <w:multiLevelType w:val="hybridMultilevel"/>
    <w:tmpl w:val="41B6494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F17F1F"/>
    <w:multiLevelType w:val="hybridMultilevel"/>
    <w:tmpl w:val="3F7AA7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1F51EAD"/>
    <w:multiLevelType w:val="hybridMultilevel"/>
    <w:tmpl w:val="06C62610"/>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227369"/>
    <w:multiLevelType w:val="hybridMultilevel"/>
    <w:tmpl w:val="3A1A644C"/>
    <w:lvl w:ilvl="0" w:tplc="45347176">
      <w:start w:val="1"/>
      <w:numFmt w:val="decimal"/>
      <w:pStyle w:val="numberedparagraph"/>
      <w:lvlText w:val="%1."/>
      <w:lvlJc w:val="left"/>
      <w:pPr>
        <w:tabs>
          <w:tab w:val="num" w:pos="710"/>
        </w:tabs>
        <w:ind w:left="710" w:hanging="284"/>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20"/>
  </w:num>
  <w:num w:numId="5">
    <w:abstractNumId w:val="1"/>
  </w:num>
  <w:num w:numId="6">
    <w:abstractNumId w:val="18"/>
  </w:num>
  <w:num w:numId="7">
    <w:abstractNumId w:val="17"/>
  </w:num>
  <w:num w:numId="8">
    <w:abstractNumId w:val="0"/>
  </w:num>
  <w:num w:numId="9">
    <w:abstractNumId w:val="5"/>
  </w:num>
  <w:num w:numId="10">
    <w:abstractNumId w:val="11"/>
  </w:num>
  <w:num w:numId="11">
    <w:abstractNumId w:val="19"/>
  </w:num>
  <w:num w:numId="12">
    <w:abstractNumId w:val="4"/>
  </w:num>
  <w:num w:numId="13">
    <w:abstractNumId w:val="15"/>
  </w:num>
  <w:num w:numId="14">
    <w:abstractNumId w:val="10"/>
  </w:num>
  <w:num w:numId="15">
    <w:abstractNumId w:val="6"/>
  </w:num>
  <w:num w:numId="16">
    <w:abstractNumId w:val="13"/>
  </w:num>
  <w:num w:numId="17">
    <w:abstractNumId w:val="2"/>
  </w:num>
  <w:num w:numId="18">
    <w:abstractNumId w:val="9"/>
  </w:num>
  <w:num w:numId="19">
    <w:abstractNumId w:val="8"/>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4"/>
  </w:num>
  <w:num w:numId="45">
    <w:abstractNumId w:val="17"/>
  </w:num>
  <w:num w:numId="46">
    <w:abstractNumId w:val="5"/>
  </w:num>
  <w:num w:numId="47">
    <w:abstractNumId w:val="17"/>
  </w:num>
  <w:num w:numId="48">
    <w:abstractNumId w:val="17"/>
  </w:num>
  <w:num w:numId="49">
    <w:abstractNumId w:val="17"/>
  </w:num>
  <w:num w:numId="5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SHORT REPORT"/>
  </w:docVars>
  <w:rsids>
    <w:rsidRoot w:val="004E160A"/>
    <w:rsid w:val="00003F50"/>
    <w:rsid w:val="00006205"/>
    <w:rsid w:val="000066DD"/>
    <w:rsid w:val="000069A9"/>
    <w:rsid w:val="00010A0D"/>
    <w:rsid w:val="00010D71"/>
    <w:rsid w:val="000122AE"/>
    <w:rsid w:val="00013281"/>
    <w:rsid w:val="000139D5"/>
    <w:rsid w:val="00015276"/>
    <w:rsid w:val="00016B04"/>
    <w:rsid w:val="000231B7"/>
    <w:rsid w:val="00027CA0"/>
    <w:rsid w:val="00030D65"/>
    <w:rsid w:val="00032E18"/>
    <w:rsid w:val="00033932"/>
    <w:rsid w:val="00036322"/>
    <w:rsid w:val="000374E1"/>
    <w:rsid w:val="00037C70"/>
    <w:rsid w:val="0004112B"/>
    <w:rsid w:val="00046D8D"/>
    <w:rsid w:val="00052FFB"/>
    <w:rsid w:val="00053F6F"/>
    <w:rsid w:val="000554BC"/>
    <w:rsid w:val="00057350"/>
    <w:rsid w:val="00060F40"/>
    <w:rsid w:val="00063369"/>
    <w:rsid w:val="000662C8"/>
    <w:rsid w:val="00067009"/>
    <w:rsid w:val="00075651"/>
    <w:rsid w:val="000763D1"/>
    <w:rsid w:val="000805E6"/>
    <w:rsid w:val="00083EE2"/>
    <w:rsid w:val="000843CD"/>
    <w:rsid w:val="00095D8A"/>
    <w:rsid w:val="00097F2B"/>
    <w:rsid w:val="000A1C81"/>
    <w:rsid w:val="000B1645"/>
    <w:rsid w:val="000B2903"/>
    <w:rsid w:val="000B5784"/>
    <w:rsid w:val="000C1E33"/>
    <w:rsid w:val="000C2645"/>
    <w:rsid w:val="000C29A3"/>
    <w:rsid w:val="000C5A8A"/>
    <w:rsid w:val="000C7207"/>
    <w:rsid w:val="000D66F6"/>
    <w:rsid w:val="000D6F21"/>
    <w:rsid w:val="000D7A44"/>
    <w:rsid w:val="000E0C27"/>
    <w:rsid w:val="000E3581"/>
    <w:rsid w:val="000E6D15"/>
    <w:rsid w:val="000E6E82"/>
    <w:rsid w:val="000E7CD6"/>
    <w:rsid w:val="000F6495"/>
    <w:rsid w:val="000F6D2D"/>
    <w:rsid w:val="000F6FD8"/>
    <w:rsid w:val="00103875"/>
    <w:rsid w:val="00105985"/>
    <w:rsid w:val="00106BAF"/>
    <w:rsid w:val="00111518"/>
    <w:rsid w:val="00112904"/>
    <w:rsid w:val="0011332C"/>
    <w:rsid w:val="0011517F"/>
    <w:rsid w:val="00121BB0"/>
    <w:rsid w:val="00125AFF"/>
    <w:rsid w:val="0012623D"/>
    <w:rsid w:val="00127879"/>
    <w:rsid w:val="0013090C"/>
    <w:rsid w:val="00131C5D"/>
    <w:rsid w:val="001327DE"/>
    <w:rsid w:val="00141DDB"/>
    <w:rsid w:val="00145D24"/>
    <w:rsid w:val="001520BE"/>
    <w:rsid w:val="0015211D"/>
    <w:rsid w:val="00152832"/>
    <w:rsid w:val="00153C26"/>
    <w:rsid w:val="0015469A"/>
    <w:rsid w:val="0015764E"/>
    <w:rsid w:val="00157D76"/>
    <w:rsid w:val="001600FC"/>
    <w:rsid w:val="001610F7"/>
    <w:rsid w:val="00164987"/>
    <w:rsid w:val="00164ABD"/>
    <w:rsid w:val="001662D3"/>
    <w:rsid w:val="00166DCD"/>
    <w:rsid w:val="001708C6"/>
    <w:rsid w:val="00171121"/>
    <w:rsid w:val="00172007"/>
    <w:rsid w:val="0017242E"/>
    <w:rsid w:val="0017446F"/>
    <w:rsid w:val="001747FD"/>
    <w:rsid w:val="001755CA"/>
    <w:rsid w:val="0017676B"/>
    <w:rsid w:val="001767CA"/>
    <w:rsid w:val="001834D4"/>
    <w:rsid w:val="001836A7"/>
    <w:rsid w:val="001858E6"/>
    <w:rsid w:val="00190E5E"/>
    <w:rsid w:val="00191244"/>
    <w:rsid w:val="00192287"/>
    <w:rsid w:val="00193512"/>
    <w:rsid w:val="00193DF3"/>
    <w:rsid w:val="001A016C"/>
    <w:rsid w:val="001A023A"/>
    <w:rsid w:val="001A236F"/>
    <w:rsid w:val="001A25B9"/>
    <w:rsid w:val="001A2A81"/>
    <w:rsid w:val="001A690D"/>
    <w:rsid w:val="001A716E"/>
    <w:rsid w:val="001B2C0D"/>
    <w:rsid w:val="001B3A5E"/>
    <w:rsid w:val="001B3CD8"/>
    <w:rsid w:val="001B6017"/>
    <w:rsid w:val="001B6308"/>
    <w:rsid w:val="001B7417"/>
    <w:rsid w:val="001B7A0B"/>
    <w:rsid w:val="001B7EB3"/>
    <w:rsid w:val="001C1FD9"/>
    <w:rsid w:val="001C290A"/>
    <w:rsid w:val="001C5043"/>
    <w:rsid w:val="001C5BC2"/>
    <w:rsid w:val="001D0179"/>
    <w:rsid w:val="001D0ECA"/>
    <w:rsid w:val="001D3204"/>
    <w:rsid w:val="001D4785"/>
    <w:rsid w:val="001E1188"/>
    <w:rsid w:val="001E3599"/>
    <w:rsid w:val="001E73E0"/>
    <w:rsid w:val="001F1CB9"/>
    <w:rsid w:val="001F1E8A"/>
    <w:rsid w:val="001F39FB"/>
    <w:rsid w:val="001F572A"/>
    <w:rsid w:val="001F7501"/>
    <w:rsid w:val="00205878"/>
    <w:rsid w:val="002075DB"/>
    <w:rsid w:val="00213D7B"/>
    <w:rsid w:val="00214DEC"/>
    <w:rsid w:val="002214CC"/>
    <w:rsid w:val="00224761"/>
    <w:rsid w:val="00224A3F"/>
    <w:rsid w:val="0022612B"/>
    <w:rsid w:val="00227FA4"/>
    <w:rsid w:val="002306C7"/>
    <w:rsid w:val="002326C6"/>
    <w:rsid w:val="0023494F"/>
    <w:rsid w:val="00237173"/>
    <w:rsid w:val="00240789"/>
    <w:rsid w:val="002411C2"/>
    <w:rsid w:val="00241BD8"/>
    <w:rsid w:val="002434B0"/>
    <w:rsid w:val="00245B9F"/>
    <w:rsid w:val="00245FF8"/>
    <w:rsid w:val="00246934"/>
    <w:rsid w:val="0025433C"/>
    <w:rsid w:val="00257F99"/>
    <w:rsid w:val="00260E8C"/>
    <w:rsid w:val="002613A6"/>
    <w:rsid w:val="002628D8"/>
    <w:rsid w:val="00263258"/>
    <w:rsid w:val="0027418E"/>
    <w:rsid w:val="00285AB7"/>
    <w:rsid w:val="00287055"/>
    <w:rsid w:val="00290DA3"/>
    <w:rsid w:val="0029217E"/>
    <w:rsid w:val="00295F98"/>
    <w:rsid w:val="00297EA3"/>
    <w:rsid w:val="002A7D7C"/>
    <w:rsid w:val="002B3344"/>
    <w:rsid w:val="002B6F3D"/>
    <w:rsid w:val="002C0453"/>
    <w:rsid w:val="002C0DCF"/>
    <w:rsid w:val="002C1041"/>
    <w:rsid w:val="002C1389"/>
    <w:rsid w:val="002C3E7A"/>
    <w:rsid w:val="002C439F"/>
    <w:rsid w:val="002C5B8A"/>
    <w:rsid w:val="002D1867"/>
    <w:rsid w:val="002D55D1"/>
    <w:rsid w:val="002D7110"/>
    <w:rsid w:val="002F1296"/>
    <w:rsid w:val="002F1940"/>
    <w:rsid w:val="002F2009"/>
    <w:rsid w:val="002F289E"/>
    <w:rsid w:val="002F29E8"/>
    <w:rsid w:val="002F3C18"/>
    <w:rsid w:val="002F528A"/>
    <w:rsid w:val="002F6CF0"/>
    <w:rsid w:val="00300924"/>
    <w:rsid w:val="003025A8"/>
    <w:rsid w:val="00302BDE"/>
    <w:rsid w:val="00312622"/>
    <w:rsid w:val="003129B6"/>
    <w:rsid w:val="00312C58"/>
    <w:rsid w:val="00314909"/>
    <w:rsid w:val="00314D6E"/>
    <w:rsid w:val="00320E57"/>
    <w:rsid w:val="003221EF"/>
    <w:rsid w:val="003248A2"/>
    <w:rsid w:val="0032547E"/>
    <w:rsid w:val="00325E6D"/>
    <w:rsid w:val="003311F5"/>
    <w:rsid w:val="003327A3"/>
    <w:rsid w:val="00333509"/>
    <w:rsid w:val="00341A07"/>
    <w:rsid w:val="003470D2"/>
    <w:rsid w:val="003477BA"/>
    <w:rsid w:val="00350F94"/>
    <w:rsid w:val="0035415A"/>
    <w:rsid w:val="0035477B"/>
    <w:rsid w:val="00356AC5"/>
    <w:rsid w:val="00361F71"/>
    <w:rsid w:val="00364524"/>
    <w:rsid w:val="00366D05"/>
    <w:rsid w:val="00372BEC"/>
    <w:rsid w:val="00374A18"/>
    <w:rsid w:val="00377254"/>
    <w:rsid w:val="00380BD7"/>
    <w:rsid w:val="0038116B"/>
    <w:rsid w:val="00386317"/>
    <w:rsid w:val="0038667E"/>
    <w:rsid w:val="0039037C"/>
    <w:rsid w:val="00392385"/>
    <w:rsid w:val="003A1AE9"/>
    <w:rsid w:val="003A28B6"/>
    <w:rsid w:val="003B5496"/>
    <w:rsid w:val="003C0914"/>
    <w:rsid w:val="003C463B"/>
    <w:rsid w:val="003C5C7C"/>
    <w:rsid w:val="003C70FC"/>
    <w:rsid w:val="003D2BB3"/>
    <w:rsid w:val="003D4AD4"/>
    <w:rsid w:val="003D7A72"/>
    <w:rsid w:val="003E06FF"/>
    <w:rsid w:val="003E3163"/>
    <w:rsid w:val="003F4170"/>
    <w:rsid w:val="00400FB6"/>
    <w:rsid w:val="004020D6"/>
    <w:rsid w:val="004022D6"/>
    <w:rsid w:val="00412567"/>
    <w:rsid w:val="00413691"/>
    <w:rsid w:val="0041788D"/>
    <w:rsid w:val="004244C9"/>
    <w:rsid w:val="00424530"/>
    <w:rsid w:val="004303B1"/>
    <w:rsid w:val="00432D8F"/>
    <w:rsid w:val="0043577F"/>
    <w:rsid w:val="00441F85"/>
    <w:rsid w:val="0044655D"/>
    <w:rsid w:val="004475E0"/>
    <w:rsid w:val="00450321"/>
    <w:rsid w:val="0045301B"/>
    <w:rsid w:val="00455E0E"/>
    <w:rsid w:val="00464437"/>
    <w:rsid w:val="00464CFE"/>
    <w:rsid w:val="00466E8C"/>
    <w:rsid w:val="00470FA4"/>
    <w:rsid w:val="004719B4"/>
    <w:rsid w:val="00471CA1"/>
    <w:rsid w:val="00471CCE"/>
    <w:rsid w:val="0047217D"/>
    <w:rsid w:val="004721F7"/>
    <w:rsid w:val="00474C2E"/>
    <w:rsid w:val="00474DED"/>
    <w:rsid w:val="00475282"/>
    <w:rsid w:val="00476B59"/>
    <w:rsid w:val="00481679"/>
    <w:rsid w:val="00481AC4"/>
    <w:rsid w:val="00481EF9"/>
    <w:rsid w:val="00482FB6"/>
    <w:rsid w:val="0048384C"/>
    <w:rsid w:val="00484CD8"/>
    <w:rsid w:val="00487B27"/>
    <w:rsid w:val="00491157"/>
    <w:rsid w:val="00493AC5"/>
    <w:rsid w:val="00495201"/>
    <w:rsid w:val="004A5D8B"/>
    <w:rsid w:val="004B1D8D"/>
    <w:rsid w:val="004B2FC0"/>
    <w:rsid w:val="004B7065"/>
    <w:rsid w:val="004B7784"/>
    <w:rsid w:val="004C1B19"/>
    <w:rsid w:val="004C39C2"/>
    <w:rsid w:val="004C48AE"/>
    <w:rsid w:val="004C5C3A"/>
    <w:rsid w:val="004C6392"/>
    <w:rsid w:val="004C6D9C"/>
    <w:rsid w:val="004D0EE6"/>
    <w:rsid w:val="004D7484"/>
    <w:rsid w:val="004E160A"/>
    <w:rsid w:val="004E405B"/>
    <w:rsid w:val="004E4246"/>
    <w:rsid w:val="004E46F7"/>
    <w:rsid w:val="004F0AB6"/>
    <w:rsid w:val="004F63DB"/>
    <w:rsid w:val="004F73DB"/>
    <w:rsid w:val="00502E7C"/>
    <w:rsid w:val="00504D91"/>
    <w:rsid w:val="005105EF"/>
    <w:rsid w:val="005144FF"/>
    <w:rsid w:val="00516E76"/>
    <w:rsid w:val="00517549"/>
    <w:rsid w:val="00523548"/>
    <w:rsid w:val="00523895"/>
    <w:rsid w:val="00525478"/>
    <w:rsid w:val="00532352"/>
    <w:rsid w:val="00540BB7"/>
    <w:rsid w:val="005410AB"/>
    <w:rsid w:val="00545DAD"/>
    <w:rsid w:val="00546279"/>
    <w:rsid w:val="00547E34"/>
    <w:rsid w:val="00547ECC"/>
    <w:rsid w:val="005506D4"/>
    <w:rsid w:val="005512E6"/>
    <w:rsid w:val="00551699"/>
    <w:rsid w:val="005522ED"/>
    <w:rsid w:val="00553D2F"/>
    <w:rsid w:val="005554DD"/>
    <w:rsid w:val="00561520"/>
    <w:rsid w:val="00562863"/>
    <w:rsid w:val="00565691"/>
    <w:rsid w:val="005656DB"/>
    <w:rsid w:val="00567919"/>
    <w:rsid w:val="00571BB6"/>
    <w:rsid w:val="00575BA7"/>
    <w:rsid w:val="00576D60"/>
    <w:rsid w:val="00582AA7"/>
    <w:rsid w:val="005833F0"/>
    <w:rsid w:val="0058477C"/>
    <w:rsid w:val="00591F9E"/>
    <w:rsid w:val="005A256F"/>
    <w:rsid w:val="005A56F7"/>
    <w:rsid w:val="005B342A"/>
    <w:rsid w:val="005B424D"/>
    <w:rsid w:val="005B5529"/>
    <w:rsid w:val="005B5C09"/>
    <w:rsid w:val="005C2F41"/>
    <w:rsid w:val="005C40AB"/>
    <w:rsid w:val="005C498B"/>
    <w:rsid w:val="005C569C"/>
    <w:rsid w:val="005C6F53"/>
    <w:rsid w:val="005D32C0"/>
    <w:rsid w:val="005D4005"/>
    <w:rsid w:val="005D40D1"/>
    <w:rsid w:val="005D6BD6"/>
    <w:rsid w:val="005E10C8"/>
    <w:rsid w:val="005E2101"/>
    <w:rsid w:val="005E2D1D"/>
    <w:rsid w:val="005E3F9A"/>
    <w:rsid w:val="005E4CD9"/>
    <w:rsid w:val="005F0395"/>
    <w:rsid w:val="005F05D7"/>
    <w:rsid w:val="005F12D5"/>
    <w:rsid w:val="005F3ADF"/>
    <w:rsid w:val="005F3FEE"/>
    <w:rsid w:val="006012F0"/>
    <w:rsid w:val="00605F00"/>
    <w:rsid w:val="0060676E"/>
    <w:rsid w:val="00607B1D"/>
    <w:rsid w:val="00607FD8"/>
    <w:rsid w:val="00610305"/>
    <w:rsid w:val="00610419"/>
    <w:rsid w:val="00611DDB"/>
    <w:rsid w:val="00612C7B"/>
    <w:rsid w:val="00613ED7"/>
    <w:rsid w:val="006224C1"/>
    <w:rsid w:val="006269B7"/>
    <w:rsid w:val="0062736A"/>
    <w:rsid w:val="00630892"/>
    <w:rsid w:val="0063132A"/>
    <w:rsid w:val="006336AC"/>
    <w:rsid w:val="00633DC7"/>
    <w:rsid w:val="00636E1D"/>
    <w:rsid w:val="00637EBA"/>
    <w:rsid w:val="00641015"/>
    <w:rsid w:val="00643795"/>
    <w:rsid w:val="00650BE2"/>
    <w:rsid w:val="006559EB"/>
    <w:rsid w:val="00656AE2"/>
    <w:rsid w:val="00662C54"/>
    <w:rsid w:val="00663B0A"/>
    <w:rsid w:val="006641F8"/>
    <w:rsid w:val="00665747"/>
    <w:rsid w:val="00665925"/>
    <w:rsid w:val="00665FD3"/>
    <w:rsid w:val="00667D7D"/>
    <w:rsid w:val="00670254"/>
    <w:rsid w:val="006738F5"/>
    <w:rsid w:val="00674D7F"/>
    <w:rsid w:val="00683926"/>
    <w:rsid w:val="00683B02"/>
    <w:rsid w:val="006860A5"/>
    <w:rsid w:val="00696E7D"/>
    <w:rsid w:val="006973AC"/>
    <w:rsid w:val="006A2EFD"/>
    <w:rsid w:val="006A4317"/>
    <w:rsid w:val="006A4A1D"/>
    <w:rsid w:val="006A5845"/>
    <w:rsid w:val="006B30EB"/>
    <w:rsid w:val="006B6222"/>
    <w:rsid w:val="006C0B4D"/>
    <w:rsid w:val="006C186D"/>
    <w:rsid w:val="006C342C"/>
    <w:rsid w:val="006C4821"/>
    <w:rsid w:val="006C6CA8"/>
    <w:rsid w:val="006D7B15"/>
    <w:rsid w:val="006E0627"/>
    <w:rsid w:val="006E23EA"/>
    <w:rsid w:val="006F3DA2"/>
    <w:rsid w:val="006F445D"/>
    <w:rsid w:val="006F56C6"/>
    <w:rsid w:val="006F6281"/>
    <w:rsid w:val="00703E4E"/>
    <w:rsid w:val="007071C6"/>
    <w:rsid w:val="00711E1C"/>
    <w:rsid w:val="00713719"/>
    <w:rsid w:val="00713EFB"/>
    <w:rsid w:val="00713F6E"/>
    <w:rsid w:val="00717E68"/>
    <w:rsid w:val="00721FBA"/>
    <w:rsid w:val="00723CA2"/>
    <w:rsid w:val="00724F1F"/>
    <w:rsid w:val="007250A7"/>
    <w:rsid w:val="007264CD"/>
    <w:rsid w:val="00730012"/>
    <w:rsid w:val="00730352"/>
    <w:rsid w:val="007304AC"/>
    <w:rsid w:val="00732F25"/>
    <w:rsid w:val="007330D5"/>
    <w:rsid w:val="00736BF1"/>
    <w:rsid w:val="00737A4C"/>
    <w:rsid w:val="007409DB"/>
    <w:rsid w:val="00742839"/>
    <w:rsid w:val="00747D43"/>
    <w:rsid w:val="0075044F"/>
    <w:rsid w:val="007506A9"/>
    <w:rsid w:val="00752AC6"/>
    <w:rsid w:val="00755505"/>
    <w:rsid w:val="00755874"/>
    <w:rsid w:val="007612E1"/>
    <w:rsid w:val="0076316D"/>
    <w:rsid w:val="007647EB"/>
    <w:rsid w:val="007668EC"/>
    <w:rsid w:val="00766B0D"/>
    <w:rsid w:val="00770272"/>
    <w:rsid w:val="007724C9"/>
    <w:rsid w:val="00772993"/>
    <w:rsid w:val="00775496"/>
    <w:rsid w:val="00777E87"/>
    <w:rsid w:val="00780580"/>
    <w:rsid w:val="007815FB"/>
    <w:rsid w:val="00781D80"/>
    <w:rsid w:val="007836BA"/>
    <w:rsid w:val="00785694"/>
    <w:rsid w:val="0078590E"/>
    <w:rsid w:val="007861AC"/>
    <w:rsid w:val="007909F1"/>
    <w:rsid w:val="00796869"/>
    <w:rsid w:val="007A0054"/>
    <w:rsid w:val="007A44A6"/>
    <w:rsid w:val="007A5353"/>
    <w:rsid w:val="007A6320"/>
    <w:rsid w:val="007B3685"/>
    <w:rsid w:val="007B3D63"/>
    <w:rsid w:val="007B4C0B"/>
    <w:rsid w:val="007B6937"/>
    <w:rsid w:val="007C05FC"/>
    <w:rsid w:val="007C258C"/>
    <w:rsid w:val="007C4C8E"/>
    <w:rsid w:val="007C55D0"/>
    <w:rsid w:val="007C7B33"/>
    <w:rsid w:val="007D15E5"/>
    <w:rsid w:val="007D4E5E"/>
    <w:rsid w:val="007E3004"/>
    <w:rsid w:val="007E428E"/>
    <w:rsid w:val="007E4384"/>
    <w:rsid w:val="007E5DE3"/>
    <w:rsid w:val="007E6A40"/>
    <w:rsid w:val="007E7CB3"/>
    <w:rsid w:val="007F74EA"/>
    <w:rsid w:val="00803AE6"/>
    <w:rsid w:val="00804343"/>
    <w:rsid w:val="00810224"/>
    <w:rsid w:val="00810EDF"/>
    <w:rsid w:val="00813562"/>
    <w:rsid w:val="00813BAC"/>
    <w:rsid w:val="00813CD4"/>
    <w:rsid w:val="00815932"/>
    <w:rsid w:val="00821472"/>
    <w:rsid w:val="0082161F"/>
    <w:rsid w:val="00821B9D"/>
    <w:rsid w:val="008266E0"/>
    <w:rsid w:val="008313A3"/>
    <w:rsid w:val="00833963"/>
    <w:rsid w:val="008354B2"/>
    <w:rsid w:val="008357F6"/>
    <w:rsid w:val="00836474"/>
    <w:rsid w:val="0083756A"/>
    <w:rsid w:val="008404CE"/>
    <w:rsid w:val="0084468C"/>
    <w:rsid w:val="00847035"/>
    <w:rsid w:val="008508EF"/>
    <w:rsid w:val="008552A0"/>
    <w:rsid w:val="0085566B"/>
    <w:rsid w:val="0086289D"/>
    <w:rsid w:val="00865492"/>
    <w:rsid w:val="00865D70"/>
    <w:rsid w:val="00867CB4"/>
    <w:rsid w:val="00870636"/>
    <w:rsid w:val="008708AB"/>
    <w:rsid w:val="00873312"/>
    <w:rsid w:val="00873D40"/>
    <w:rsid w:val="00874A94"/>
    <w:rsid w:val="00874ED5"/>
    <w:rsid w:val="008752C1"/>
    <w:rsid w:val="0087603A"/>
    <w:rsid w:val="0087756A"/>
    <w:rsid w:val="008825D8"/>
    <w:rsid w:val="00883E4D"/>
    <w:rsid w:val="008868FB"/>
    <w:rsid w:val="008920C9"/>
    <w:rsid w:val="00892B01"/>
    <w:rsid w:val="00893536"/>
    <w:rsid w:val="008A01A6"/>
    <w:rsid w:val="008A10C6"/>
    <w:rsid w:val="008A12E8"/>
    <w:rsid w:val="008A1F18"/>
    <w:rsid w:val="008A2942"/>
    <w:rsid w:val="008A42CE"/>
    <w:rsid w:val="008A4E54"/>
    <w:rsid w:val="008A7D3E"/>
    <w:rsid w:val="008B2DCC"/>
    <w:rsid w:val="008B7151"/>
    <w:rsid w:val="008B7AB3"/>
    <w:rsid w:val="008C2229"/>
    <w:rsid w:val="008C35A2"/>
    <w:rsid w:val="008C5B82"/>
    <w:rsid w:val="008C64DC"/>
    <w:rsid w:val="008C67F4"/>
    <w:rsid w:val="008D0886"/>
    <w:rsid w:val="008D6082"/>
    <w:rsid w:val="008D736C"/>
    <w:rsid w:val="008E09CB"/>
    <w:rsid w:val="008E3E96"/>
    <w:rsid w:val="008E4A6D"/>
    <w:rsid w:val="008E63DC"/>
    <w:rsid w:val="008E66EE"/>
    <w:rsid w:val="008F138D"/>
    <w:rsid w:val="008F3908"/>
    <w:rsid w:val="008F473E"/>
    <w:rsid w:val="008F73CF"/>
    <w:rsid w:val="008F7F58"/>
    <w:rsid w:val="009014B6"/>
    <w:rsid w:val="009058AF"/>
    <w:rsid w:val="00907E07"/>
    <w:rsid w:val="00910418"/>
    <w:rsid w:val="009122D8"/>
    <w:rsid w:val="00912882"/>
    <w:rsid w:val="00912895"/>
    <w:rsid w:val="0091548C"/>
    <w:rsid w:val="009167D8"/>
    <w:rsid w:val="00917D87"/>
    <w:rsid w:val="009210DE"/>
    <w:rsid w:val="0092128C"/>
    <w:rsid w:val="00921EDE"/>
    <w:rsid w:val="009250E4"/>
    <w:rsid w:val="00936DE2"/>
    <w:rsid w:val="009372AC"/>
    <w:rsid w:val="00940E14"/>
    <w:rsid w:val="00941810"/>
    <w:rsid w:val="0094238C"/>
    <w:rsid w:val="00943B87"/>
    <w:rsid w:val="009465F5"/>
    <w:rsid w:val="00946F17"/>
    <w:rsid w:val="0095076D"/>
    <w:rsid w:val="00952C61"/>
    <w:rsid w:val="00955AA5"/>
    <w:rsid w:val="00956E23"/>
    <w:rsid w:val="00957036"/>
    <w:rsid w:val="0096160F"/>
    <w:rsid w:val="0096246F"/>
    <w:rsid w:val="00964A21"/>
    <w:rsid w:val="00965B80"/>
    <w:rsid w:val="00966B13"/>
    <w:rsid w:val="00971D4E"/>
    <w:rsid w:val="0097323B"/>
    <w:rsid w:val="0097396D"/>
    <w:rsid w:val="00973FC9"/>
    <w:rsid w:val="009743E4"/>
    <w:rsid w:val="00974CC8"/>
    <w:rsid w:val="00975580"/>
    <w:rsid w:val="009802BE"/>
    <w:rsid w:val="009929ED"/>
    <w:rsid w:val="00995CD7"/>
    <w:rsid w:val="00995FEC"/>
    <w:rsid w:val="009A3300"/>
    <w:rsid w:val="009A5127"/>
    <w:rsid w:val="009A56CF"/>
    <w:rsid w:val="009B03BA"/>
    <w:rsid w:val="009B2CEA"/>
    <w:rsid w:val="009B2E0A"/>
    <w:rsid w:val="009B30F9"/>
    <w:rsid w:val="009C0C33"/>
    <w:rsid w:val="009C11C7"/>
    <w:rsid w:val="009C12C9"/>
    <w:rsid w:val="009C1CE7"/>
    <w:rsid w:val="009C2E13"/>
    <w:rsid w:val="009D0E70"/>
    <w:rsid w:val="009D55F7"/>
    <w:rsid w:val="009D6BE1"/>
    <w:rsid w:val="009E76BE"/>
    <w:rsid w:val="009E79BF"/>
    <w:rsid w:val="009F3F21"/>
    <w:rsid w:val="009F3FE6"/>
    <w:rsid w:val="009F53AF"/>
    <w:rsid w:val="009F655A"/>
    <w:rsid w:val="009F67F0"/>
    <w:rsid w:val="009F6FB7"/>
    <w:rsid w:val="00A00E34"/>
    <w:rsid w:val="00A0216B"/>
    <w:rsid w:val="00A02F8A"/>
    <w:rsid w:val="00A05B06"/>
    <w:rsid w:val="00A10257"/>
    <w:rsid w:val="00A10EF3"/>
    <w:rsid w:val="00A11873"/>
    <w:rsid w:val="00A14007"/>
    <w:rsid w:val="00A14332"/>
    <w:rsid w:val="00A14CBB"/>
    <w:rsid w:val="00A2024D"/>
    <w:rsid w:val="00A26763"/>
    <w:rsid w:val="00A2787D"/>
    <w:rsid w:val="00A27940"/>
    <w:rsid w:val="00A27D88"/>
    <w:rsid w:val="00A304D0"/>
    <w:rsid w:val="00A3276E"/>
    <w:rsid w:val="00A32AFE"/>
    <w:rsid w:val="00A36D55"/>
    <w:rsid w:val="00A4000F"/>
    <w:rsid w:val="00A4607D"/>
    <w:rsid w:val="00A53EC9"/>
    <w:rsid w:val="00A55627"/>
    <w:rsid w:val="00A561A3"/>
    <w:rsid w:val="00A578A1"/>
    <w:rsid w:val="00A61B86"/>
    <w:rsid w:val="00A651D6"/>
    <w:rsid w:val="00A6595E"/>
    <w:rsid w:val="00A71B99"/>
    <w:rsid w:val="00A73D0C"/>
    <w:rsid w:val="00A774CB"/>
    <w:rsid w:val="00A8796D"/>
    <w:rsid w:val="00A87D9F"/>
    <w:rsid w:val="00A92440"/>
    <w:rsid w:val="00A94C96"/>
    <w:rsid w:val="00AA223D"/>
    <w:rsid w:val="00AA33A9"/>
    <w:rsid w:val="00AA4857"/>
    <w:rsid w:val="00AA5A56"/>
    <w:rsid w:val="00AB0252"/>
    <w:rsid w:val="00AB104D"/>
    <w:rsid w:val="00AB23E8"/>
    <w:rsid w:val="00AB3336"/>
    <w:rsid w:val="00AB396A"/>
    <w:rsid w:val="00AB5C82"/>
    <w:rsid w:val="00AB747E"/>
    <w:rsid w:val="00AC0A43"/>
    <w:rsid w:val="00AC1D58"/>
    <w:rsid w:val="00AC1EE9"/>
    <w:rsid w:val="00AC2FE6"/>
    <w:rsid w:val="00AC5F7A"/>
    <w:rsid w:val="00AD0988"/>
    <w:rsid w:val="00AD0C73"/>
    <w:rsid w:val="00AE1A2D"/>
    <w:rsid w:val="00AE39E3"/>
    <w:rsid w:val="00AE5347"/>
    <w:rsid w:val="00AE55F6"/>
    <w:rsid w:val="00AE56DB"/>
    <w:rsid w:val="00AE6929"/>
    <w:rsid w:val="00AE7B35"/>
    <w:rsid w:val="00AF0256"/>
    <w:rsid w:val="00AF19CF"/>
    <w:rsid w:val="00AF2077"/>
    <w:rsid w:val="00AF263D"/>
    <w:rsid w:val="00AF4774"/>
    <w:rsid w:val="00AF58B2"/>
    <w:rsid w:val="00B02717"/>
    <w:rsid w:val="00B04A92"/>
    <w:rsid w:val="00B04CA9"/>
    <w:rsid w:val="00B06A3B"/>
    <w:rsid w:val="00B13C87"/>
    <w:rsid w:val="00B14230"/>
    <w:rsid w:val="00B16A01"/>
    <w:rsid w:val="00B16CDE"/>
    <w:rsid w:val="00B1710D"/>
    <w:rsid w:val="00B25D9B"/>
    <w:rsid w:val="00B32405"/>
    <w:rsid w:val="00B32510"/>
    <w:rsid w:val="00B3553D"/>
    <w:rsid w:val="00B36A68"/>
    <w:rsid w:val="00B36D5E"/>
    <w:rsid w:val="00B40176"/>
    <w:rsid w:val="00B44B3A"/>
    <w:rsid w:val="00B4521D"/>
    <w:rsid w:val="00B526A8"/>
    <w:rsid w:val="00B52935"/>
    <w:rsid w:val="00B538C3"/>
    <w:rsid w:val="00B55FAB"/>
    <w:rsid w:val="00B5696C"/>
    <w:rsid w:val="00B607DA"/>
    <w:rsid w:val="00B61349"/>
    <w:rsid w:val="00B63458"/>
    <w:rsid w:val="00B6734E"/>
    <w:rsid w:val="00B676C2"/>
    <w:rsid w:val="00B70017"/>
    <w:rsid w:val="00B773DF"/>
    <w:rsid w:val="00B778A1"/>
    <w:rsid w:val="00B83D9D"/>
    <w:rsid w:val="00B842FE"/>
    <w:rsid w:val="00B84529"/>
    <w:rsid w:val="00B85D67"/>
    <w:rsid w:val="00B87939"/>
    <w:rsid w:val="00B87B5B"/>
    <w:rsid w:val="00B903B8"/>
    <w:rsid w:val="00B930A4"/>
    <w:rsid w:val="00B944B7"/>
    <w:rsid w:val="00B96AF9"/>
    <w:rsid w:val="00B96F7F"/>
    <w:rsid w:val="00BB0AC5"/>
    <w:rsid w:val="00BB2111"/>
    <w:rsid w:val="00BB2729"/>
    <w:rsid w:val="00BB58AD"/>
    <w:rsid w:val="00BB5F16"/>
    <w:rsid w:val="00BB6BE3"/>
    <w:rsid w:val="00BB7E48"/>
    <w:rsid w:val="00BC0F62"/>
    <w:rsid w:val="00BC689F"/>
    <w:rsid w:val="00BC7FD2"/>
    <w:rsid w:val="00BD01BB"/>
    <w:rsid w:val="00BE384C"/>
    <w:rsid w:val="00BE6199"/>
    <w:rsid w:val="00BE6527"/>
    <w:rsid w:val="00BE6DB8"/>
    <w:rsid w:val="00BE7A34"/>
    <w:rsid w:val="00BF09F7"/>
    <w:rsid w:val="00BF116E"/>
    <w:rsid w:val="00C00E91"/>
    <w:rsid w:val="00C014A6"/>
    <w:rsid w:val="00C01AEA"/>
    <w:rsid w:val="00C03AE7"/>
    <w:rsid w:val="00C05D9D"/>
    <w:rsid w:val="00C0644B"/>
    <w:rsid w:val="00C10413"/>
    <w:rsid w:val="00C11519"/>
    <w:rsid w:val="00C13158"/>
    <w:rsid w:val="00C20E0B"/>
    <w:rsid w:val="00C27C4E"/>
    <w:rsid w:val="00C35165"/>
    <w:rsid w:val="00C35592"/>
    <w:rsid w:val="00C356AF"/>
    <w:rsid w:val="00C41927"/>
    <w:rsid w:val="00C439D6"/>
    <w:rsid w:val="00C43FD9"/>
    <w:rsid w:val="00C44EB2"/>
    <w:rsid w:val="00C459CF"/>
    <w:rsid w:val="00C45D4A"/>
    <w:rsid w:val="00C46362"/>
    <w:rsid w:val="00C46E50"/>
    <w:rsid w:val="00C47A5A"/>
    <w:rsid w:val="00C47E8F"/>
    <w:rsid w:val="00C50206"/>
    <w:rsid w:val="00C519C1"/>
    <w:rsid w:val="00C572D9"/>
    <w:rsid w:val="00C60555"/>
    <w:rsid w:val="00C60915"/>
    <w:rsid w:val="00C61574"/>
    <w:rsid w:val="00C62913"/>
    <w:rsid w:val="00C632C6"/>
    <w:rsid w:val="00C65217"/>
    <w:rsid w:val="00C65DE9"/>
    <w:rsid w:val="00C677EB"/>
    <w:rsid w:val="00C67A5F"/>
    <w:rsid w:val="00C67B7C"/>
    <w:rsid w:val="00C746C8"/>
    <w:rsid w:val="00C76E4C"/>
    <w:rsid w:val="00C91B21"/>
    <w:rsid w:val="00C964B8"/>
    <w:rsid w:val="00C96FD3"/>
    <w:rsid w:val="00CA097E"/>
    <w:rsid w:val="00CA7EBA"/>
    <w:rsid w:val="00CB0D36"/>
    <w:rsid w:val="00CB29F4"/>
    <w:rsid w:val="00CB4108"/>
    <w:rsid w:val="00CB48C9"/>
    <w:rsid w:val="00CB7B4A"/>
    <w:rsid w:val="00CC173C"/>
    <w:rsid w:val="00CC50AA"/>
    <w:rsid w:val="00CC6198"/>
    <w:rsid w:val="00CD1257"/>
    <w:rsid w:val="00CD5BC4"/>
    <w:rsid w:val="00CD7BD7"/>
    <w:rsid w:val="00CE04D9"/>
    <w:rsid w:val="00CE41B4"/>
    <w:rsid w:val="00CE4522"/>
    <w:rsid w:val="00CE627F"/>
    <w:rsid w:val="00CF1430"/>
    <w:rsid w:val="00CF2311"/>
    <w:rsid w:val="00CF3412"/>
    <w:rsid w:val="00CF5A63"/>
    <w:rsid w:val="00CF6895"/>
    <w:rsid w:val="00CF7DB9"/>
    <w:rsid w:val="00D01670"/>
    <w:rsid w:val="00D057CD"/>
    <w:rsid w:val="00D06B60"/>
    <w:rsid w:val="00D13BBF"/>
    <w:rsid w:val="00D14035"/>
    <w:rsid w:val="00D15249"/>
    <w:rsid w:val="00D152E7"/>
    <w:rsid w:val="00D21F91"/>
    <w:rsid w:val="00D2291E"/>
    <w:rsid w:val="00D248E3"/>
    <w:rsid w:val="00D30519"/>
    <w:rsid w:val="00D37536"/>
    <w:rsid w:val="00D42A3E"/>
    <w:rsid w:val="00D42A90"/>
    <w:rsid w:val="00D44360"/>
    <w:rsid w:val="00D50E72"/>
    <w:rsid w:val="00D50FFD"/>
    <w:rsid w:val="00D54686"/>
    <w:rsid w:val="00D549B9"/>
    <w:rsid w:val="00D557EE"/>
    <w:rsid w:val="00D56058"/>
    <w:rsid w:val="00D57F4B"/>
    <w:rsid w:val="00D61408"/>
    <w:rsid w:val="00D63A88"/>
    <w:rsid w:val="00D656AD"/>
    <w:rsid w:val="00D665F8"/>
    <w:rsid w:val="00D671D4"/>
    <w:rsid w:val="00D7084A"/>
    <w:rsid w:val="00D71439"/>
    <w:rsid w:val="00D74683"/>
    <w:rsid w:val="00D76E91"/>
    <w:rsid w:val="00D81561"/>
    <w:rsid w:val="00D84540"/>
    <w:rsid w:val="00D848B3"/>
    <w:rsid w:val="00D872D1"/>
    <w:rsid w:val="00D94CDD"/>
    <w:rsid w:val="00D95722"/>
    <w:rsid w:val="00D9728E"/>
    <w:rsid w:val="00D979FF"/>
    <w:rsid w:val="00DA5265"/>
    <w:rsid w:val="00DB4203"/>
    <w:rsid w:val="00DB4809"/>
    <w:rsid w:val="00DB5E8F"/>
    <w:rsid w:val="00DB634B"/>
    <w:rsid w:val="00DB7954"/>
    <w:rsid w:val="00DC1511"/>
    <w:rsid w:val="00DC4B65"/>
    <w:rsid w:val="00DC6802"/>
    <w:rsid w:val="00DC7359"/>
    <w:rsid w:val="00DC7C3E"/>
    <w:rsid w:val="00DD129E"/>
    <w:rsid w:val="00DD227B"/>
    <w:rsid w:val="00DD546F"/>
    <w:rsid w:val="00DD77A0"/>
    <w:rsid w:val="00DE082A"/>
    <w:rsid w:val="00DE0CD5"/>
    <w:rsid w:val="00DE30E0"/>
    <w:rsid w:val="00DE79E9"/>
    <w:rsid w:val="00DF1288"/>
    <w:rsid w:val="00DF3067"/>
    <w:rsid w:val="00DF5656"/>
    <w:rsid w:val="00E00BB5"/>
    <w:rsid w:val="00E03B00"/>
    <w:rsid w:val="00E0491F"/>
    <w:rsid w:val="00E11150"/>
    <w:rsid w:val="00E11F38"/>
    <w:rsid w:val="00E1277B"/>
    <w:rsid w:val="00E12A26"/>
    <w:rsid w:val="00E14C9C"/>
    <w:rsid w:val="00E2023A"/>
    <w:rsid w:val="00E20A17"/>
    <w:rsid w:val="00E22132"/>
    <w:rsid w:val="00E22BCE"/>
    <w:rsid w:val="00E326FF"/>
    <w:rsid w:val="00E361B0"/>
    <w:rsid w:val="00E4051D"/>
    <w:rsid w:val="00E41C08"/>
    <w:rsid w:val="00E43BEA"/>
    <w:rsid w:val="00E46B4F"/>
    <w:rsid w:val="00E46F63"/>
    <w:rsid w:val="00E52267"/>
    <w:rsid w:val="00E60407"/>
    <w:rsid w:val="00E6146A"/>
    <w:rsid w:val="00E61E43"/>
    <w:rsid w:val="00E62DB8"/>
    <w:rsid w:val="00E64563"/>
    <w:rsid w:val="00E677EF"/>
    <w:rsid w:val="00E768EC"/>
    <w:rsid w:val="00E77739"/>
    <w:rsid w:val="00E83939"/>
    <w:rsid w:val="00E859DF"/>
    <w:rsid w:val="00E85A88"/>
    <w:rsid w:val="00E87041"/>
    <w:rsid w:val="00E91434"/>
    <w:rsid w:val="00E95201"/>
    <w:rsid w:val="00E97C2F"/>
    <w:rsid w:val="00EA1807"/>
    <w:rsid w:val="00EA4947"/>
    <w:rsid w:val="00EB358F"/>
    <w:rsid w:val="00EB46A4"/>
    <w:rsid w:val="00EC0C41"/>
    <w:rsid w:val="00EC1594"/>
    <w:rsid w:val="00ED0519"/>
    <w:rsid w:val="00ED4B67"/>
    <w:rsid w:val="00ED61BA"/>
    <w:rsid w:val="00EE3E0C"/>
    <w:rsid w:val="00EE456B"/>
    <w:rsid w:val="00EE5E3A"/>
    <w:rsid w:val="00EF48E0"/>
    <w:rsid w:val="00F00C37"/>
    <w:rsid w:val="00F013F8"/>
    <w:rsid w:val="00F034AC"/>
    <w:rsid w:val="00F04125"/>
    <w:rsid w:val="00F045E9"/>
    <w:rsid w:val="00F05038"/>
    <w:rsid w:val="00F05FAA"/>
    <w:rsid w:val="00F07A0F"/>
    <w:rsid w:val="00F10ADA"/>
    <w:rsid w:val="00F14F6D"/>
    <w:rsid w:val="00F160D2"/>
    <w:rsid w:val="00F166AB"/>
    <w:rsid w:val="00F20607"/>
    <w:rsid w:val="00F23638"/>
    <w:rsid w:val="00F23B3D"/>
    <w:rsid w:val="00F23FB7"/>
    <w:rsid w:val="00F25FC9"/>
    <w:rsid w:val="00F27C86"/>
    <w:rsid w:val="00F27D39"/>
    <w:rsid w:val="00F32217"/>
    <w:rsid w:val="00F361CA"/>
    <w:rsid w:val="00F4093D"/>
    <w:rsid w:val="00F434D1"/>
    <w:rsid w:val="00F4748D"/>
    <w:rsid w:val="00F54797"/>
    <w:rsid w:val="00F6101E"/>
    <w:rsid w:val="00F612B3"/>
    <w:rsid w:val="00F66A4C"/>
    <w:rsid w:val="00F66F0E"/>
    <w:rsid w:val="00F7064A"/>
    <w:rsid w:val="00F747AD"/>
    <w:rsid w:val="00F76E9E"/>
    <w:rsid w:val="00F80FB3"/>
    <w:rsid w:val="00F815E0"/>
    <w:rsid w:val="00F85D46"/>
    <w:rsid w:val="00F942CA"/>
    <w:rsid w:val="00F9452C"/>
    <w:rsid w:val="00F96B88"/>
    <w:rsid w:val="00FA183A"/>
    <w:rsid w:val="00FA6F71"/>
    <w:rsid w:val="00FB11B7"/>
    <w:rsid w:val="00FB2FE8"/>
    <w:rsid w:val="00FB7206"/>
    <w:rsid w:val="00FC1D72"/>
    <w:rsid w:val="00FC25CF"/>
    <w:rsid w:val="00FC5496"/>
    <w:rsid w:val="00FC5912"/>
    <w:rsid w:val="00FC6B11"/>
    <w:rsid w:val="00FE5577"/>
    <w:rsid w:val="00FF188A"/>
    <w:rsid w:val="00FF34CA"/>
    <w:rsid w:val="00FF39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F24A6C2"/>
  <w15:docId w15:val="{E8AB576A-B2B0-413C-91C1-57276F73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6"/>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9"/>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lang w:val="en-GB"/>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lang w:val="en-GB"/>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lang w:val="en-GB"/>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4"/>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5"/>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737A4C"/>
    <w:pPr>
      <w:keepNext/>
      <w:spacing w:before="0" w:after="0"/>
      <w:jc w:val="left"/>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4C48AE"/>
    <w:pPr>
      <w:spacing w:before="80" w:after="0" w:line="200" w:lineRule="exact"/>
      <w:jc w:val="left"/>
    </w:pPr>
    <w:rPr>
      <w:sz w:val="18"/>
      <w:szCs w:val="18"/>
    </w:rPr>
  </w:style>
  <w:style w:type="character" w:customStyle="1" w:styleId="FootnoteTextChar">
    <w:name w:val="Footnote Text Char"/>
    <w:basedOn w:val="DefaultParagraphFont"/>
    <w:link w:val="FootnoteText"/>
    <w:rsid w:val="004C48AE"/>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9"/>
      </w:numPr>
      <w:ind w:left="510" w:hanging="51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9"/>
      </w:numPr>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8"/>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F05038"/>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10"/>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11"/>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customStyle="1" w:styleId="numberedparagraphChar">
    <w:name w:val="numbered paragraph Char"/>
    <w:basedOn w:val="DefaultParagraphFont"/>
    <w:link w:val="numberedparagraph"/>
    <w:rsid w:val="00C677EB"/>
    <w:rPr>
      <w:sz w:val="22"/>
    </w:rPr>
  </w:style>
  <w:style w:type="paragraph" w:customStyle="1" w:styleId="Default">
    <w:name w:val="Default"/>
    <w:rsid w:val="00737A4C"/>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chart" Target="charts/chart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erep.esma.europa.eu/cerep-web/" TargetMode="External"/><Relationship Id="rId1" Type="http://schemas.openxmlformats.org/officeDocument/2006/relationships/hyperlink" Target="https://www.esma.europa.eu/sites/default/files/library/esma_2015-1473_report_on_the_possibility_of_establishing_one_or_more_mapp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EBVPR-FS02\Team\RGCR\Unit\Credit%20Risk%20Team\80_ECAIs\2017_07_Bilateral_ECAIs_notifications\DBRS\DBRS_Quant_2015H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Data_CEREP_2015H2!$X$2</c:f>
              <c:strCache>
                <c:ptCount val="1"/>
                <c:pt idx="0">
                  <c:v>BB</c:v>
                </c:pt>
              </c:strCache>
            </c:strRef>
          </c:tx>
          <c:spPr>
            <a:ln>
              <a:solidFill>
                <a:sysClr val="windowText" lastClr="000000"/>
              </a:solidFill>
            </a:ln>
          </c:spPr>
          <c:marker>
            <c:symbol val="none"/>
          </c:marker>
          <c:cat>
            <c:strRef>
              <c:f>Data_CEREP_2015H2!$S$3:$S$29</c:f>
              <c:strCache>
                <c:ptCount val="27"/>
                <c:pt idx="0">
                  <c:v>01JAN2000</c:v>
                </c:pt>
                <c:pt idx="1">
                  <c:v>01JUL2000</c:v>
                </c:pt>
                <c:pt idx="2">
                  <c:v>01JAN2001</c:v>
                </c:pt>
                <c:pt idx="3">
                  <c:v>01JUL2001</c:v>
                </c:pt>
                <c:pt idx="4">
                  <c:v>01JAN2002</c:v>
                </c:pt>
                <c:pt idx="5">
                  <c:v>01JUL2002</c:v>
                </c:pt>
                <c:pt idx="6">
                  <c:v>01JAN2003</c:v>
                </c:pt>
                <c:pt idx="7">
                  <c:v>01JUL2003</c:v>
                </c:pt>
                <c:pt idx="8">
                  <c:v>01JAN2004</c:v>
                </c:pt>
                <c:pt idx="9">
                  <c:v>01JUL2004</c:v>
                </c:pt>
                <c:pt idx="10">
                  <c:v>01JAN2005</c:v>
                </c:pt>
                <c:pt idx="11">
                  <c:v>01JUL2005</c:v>
                </c:pt>
                <c:pt idx="12">
                  <c:v>01JAN2006</c:v>
                </c:pt>
                <c:pt idx="13">
                  <c:v>01JUL2006</c:v>
                </c:pt>
                <c:pt idx="14">
                  <c:v>01JAN2007</c:v>
                </c:pt>
                <c:pt idx="15">
                  <c:v>01JUL2007</c:v>
                </c:pt>
                <c:pt idx="16">
                  <c:v>01JAN2008</c:v>
                </c:pt>
                <c:pt idx="17">
                  <c:v>01JUL2008</c:v>
                </c:pt>
                <c:pt idx="18">
                  <c:v>01JAN2009</c:v>
                </c:pt>
                <c:pt idx="19">
                  <c:v>01JUL2009</c:v>
                </c:pt>
                <c:pt idx="20">
                  <c:v>01JAN2010</c:v>
                </c:pt>
                <c:pt idx="21">
                  <c:v>01JUL2010</c:v>
                </c:pt>
                <c:pt idx="22">
                  <c:v>01JAN2011</c:v>
                </c:pt>
                <c:pt idx="23">
                  <c:v>01JUL2011</c:v>
                </c:pt>
                <c:pt idx="24">
                  <c:v>01JAN2012</c:v>
                </c:pt>
                <c:pt idx="25">
                  <c:v>01JUL2012</c:v>
                </c:pt>
                <c:pt idx="26">
                  <c:v>01JAN2013</c:v>
                </c:pt>
              </c:strCache>
            </c:strRef>
          </c:cat>
          <c:val>
            <c:numRef>
              <c:f>Data_CEREP_2015H2!$X$3:$X$29</c:f>
              <c:numCache>
                <c:formatCode>0.00%</c:formatCode>
                <c:ptCount val="27"/>
                <c:pt idx="0">
                  <c:v>0</c:v>
                </c:pt>
                <c:pt idx="1">
                  <c:v>0</c:v>
                </c:pt>
                <c:pt idx="2">
                  <c:v>9.0899999999999995E-2</c:v>
                </c:pt>
                <c:pt idx="3">
                  <c:v>8.6999999999999994E-2</c:v>
                </c:pt>
                <c:pt idx="4">
                  <c:v>0.16</c:v>
                </c:pt>
                <c:pt idx="5">
                  <c:v>0.08</c:v>
                </c:pt>
                <c:pt idx="6">
                  <c:v>0.08</c:v>
                </c:pt>
                <c:pt idx="7">
                  <c:v>7.1400000000000005E-2</c:v>
                </c:pt>
                <c:pt idx="8">
                  <c:v>0</c:v>
                </c:pt>
                <c:pt idx="9">
                  <c:v>0</c:v>
                </c:pt>
                <c:pt idx="10">
                  <c:v>3.2300000000000002E-2</c:v>
                </c:pt>
                <c:pt idx="11">
                  <c:v>2.9000000000000001E-2</c:v>
                </c:pt>
                <c:pt idx="12">
                  <c:v>5.33E-2</c:v>
                </c:pt>
                <c:pt idx="13">
                  <c:v>0.15629999999999999</c:v>
                </c:pt>
                <c:pt idx="14">
                  <c:v>0.2034</c:v>
                </c:pt>
                <c:pt idx="15">
                  <c:v>0.1404</c:v>
                </c:pt>
                <c:pt idx="16">
                  <c:v>0.10340000000000001</c:v>
                </c:pt>
                <c:pt idx="17">
                  <c:v>4.5499999999999999E-2</c:v>
                </c:pt>
                <c:pt idx="18">
                  <c:v>0</c:v>
                </c:pt>
                <c:pt idx="19">
                  <c:v>0.1176</c:v>
                </c:pt>
                <c:pt idx="20">
                  <c:v>0</c:v>
                </c:pt>
                <c:pt idx="21">
                  <c:v>0</c:v>
                </c:pt>
                <c:pt idx="22">
                  <c:v>0</c:v>
                </c:pt>
                <c:pt idx="23">
                  <c:v>0</c:v>
                </c:pt>
                <c:pt idx="24">
                  <c:v>4.2599999999999999E-2</c:v>
                </c:pt>
                <c:pt idx="25">
                  <c:v>0</c:v>
                </c:pt>
                <c:pt idx="26">
                  <c:v>0</c:v>
                </c:pt>
              </c:numCache>
            </c:numRef>
          </c:val>
          <c:smooth val="0"/>
          <c:extLst>
            <c:ext xmlns:c16="http://schemas.microsoft.com/office/drawing/2014/chart" uri="{C3380CC4-5D6E-409C-BE32-E72D297353CC}">
              <c16:uniqueId val="{00000000-D13F-41A0-BFEF-AB722C6CCC71}"/>
            </c:ext>
          </c:extLst>
        </c:ser>
        <c:ser>
          <c:idx val="1"/>
          <c:order val="1"/>
          <c:tx>
            <c:strRef>
              <c:f>Data_CEREP_2015H2!$AA$2</c:f>
              <c:strCache>
                <c:ptCount val="1"/>
                <c:pt idx="0">
                  <c:v>Monitoring</c:v>
                </c:pt>
              </c:strCache>
            </c:strRef>
          </c:tx>
          <c:spPr>
            <a:ln>
              <a:solidFill>
                <a:schemeClr val="tx1"/>
              </a:solidFill>
              <a:prstDash val="dash"/>
            </a:ln>
          </c:spPr>
          <c:marker>
            <c:symbol val="none"/>
          </c:marker>
          <c:cat>
            <c:strRef>
              <c:f>Data_CEREP_2015H2!$S$3:$S$29</c:f>
              <c:strCache>
                <c:ptCount val="27"/>
                <c:pt idx="0">
                  <c:v>01JAN2000</c:v>
                </c:pt>
                <c:pt idx="1">
                  <c:v>01JUL2000</c:v>
                </c:pt>
                <c:pt idx="2">
                  <c:v>01JAN2001</c:v>
                </c:pt>
                <c:pt idx="3">
                  <c:v>01JUL2001</c:v>
                </c:pt>
                <c:pt idx="4">
                  <c:v>01JAN2002</c:v>
                </c:pt>
                <c:pt idx="5">
                  <c:v>01JUL2002</c:v>
                </c:pt>
                <c:pt idx="6">
                  <c:v>01JAN2003</c:v>
                </c:pt>
                <c:pt idx="7">
                  <c:v>01JUL2003</c:v>
                </c:pt>
                <c:pt idx="8">
                  <c:v>01JAN2004</c:v>
                </c:pt>
                <c:pt idx="9">
                  <c:v>01JUL2004</c:v>
                </c:pt>
                <c:pt idx="10">
                  <c:v>01JAN2005</c:v>
                </c:pt>
                <c:pt idx="11">
                  <c:v>01JUL2005</c:v>
                </c:pt>
                <c:pt idx="12">
                  <c:v>01JAN2006</c:v>
                </c:pt>
                <c:pt idx="13">
                  <c:v>01JUL2006</c:v>
                </c:pt>
                <c:pt idx="14">
                  <c:v>01JAN2007</c:v>
                </c:pt>
                <c:pt idx="15">
                  <c:v>01JUL2007</c:v>
                </c:pt>
                <c:pt idx="16">
                  <c:v>01JAN2008</c:v>
                </c:pt>
                <c:pt idx="17">
                  <c:v>01JUL2008</c:v>
                </c:pt>
                <c:pt idx="18">
                  <c:v>01JAN2009</c:v>
                </c:pt>
                <c:pt idx="19">
                  <c:v>01JUL2009</c:v>
                </c:pt>
                <c:pt idx="20">
                  <c:v>01JAN2010</c:v>
                </c:pt>
                <c:pt idx="21">
                  <c:v>01JUL2010</c:v>
                </c:pt>
                <c:pt idx="22">
                  <c:v>01JAN2011</c:v>
                </c:pt>
                <c:pt idx="23">
                  <c:v>01JUL2011</c:v>
                </c:pt>
                <c:pt idx="24">
                  <c:v>01JAN2012</c:v>
                </c:pt>
                <c:pt idx="25">
                  <c:v>01JUL2012</c:v>
                </c:pt>
                <c:pt idx="26">
                  <c:v>01JAN2013</c:v>
                </c:pt>
              </c:strCache>
            </c:strRef>
          </c:cat>
          <c:val>
            <c:numRef>
              <c:f>Data_CEREP_2015H2!$AA$3:$AA$29</c:f>
              <c:numCache>
                <c:formatCode>0.00%</c:formatCode>
                <c:ptCount val="27"/>
                <c:pt idx="0">
                  <c:v>0.28599999999999998</c:v>
                </c:pt>
                <c:pt idx="1">
                  <c:v>0.28599999999999998</c:v>
                </c:pt>
                <c:pt idx="2">
                  <c:v>0.28599999999999998</c:v>
                </c:pt>
                <c:pt idx="3">
                  <c:v>0.28599999999999998</c:v>
                </c:pt>
                <c:pt idx="4">
                  <c:v>0.28599999999999998</c:v>
                </c:pt>
                <c:pt idx="5">
                  <c:v>0.28599999999999998</c:v>
                </c:pt>
                <c:pt idx="6">
                  <c:v>0.28599999999999998</c:v>
                </c:pt>
                <c:pt idx="7">
                  <c:v>0.28599999999999998</c:v>
                </c:pt>
                <c:pt idx="8">
                  <c:v>0.28599999999999998</c:v>
                </c:pt>
                <c:pt idx="9">
                  <c:v>0.28599999999999998</c:v>
                </c:pt>
                <c:pt idx="10">
                  <c:v>0.28599999999999998</c:v>
                </c:pt>
                <c:pt idx="11">
                  <c:v>0.28599999999999998</c:v>
                </c:pt>
                <c:pt idx="12">
                  <c:v>0.28599999999999998</c:v>
                </c:pt>
                <c:pt idx="13">
                  <c:v>0.28599999999999998</c:v>
                </c:pt>
                <c:pt idx="14">
                  <c:v>0.28599999999999998</c:v>
                </c:pt>
                <c:pt idx="15">
                  <c:v>0.28599999999999998</c:v>
                </c:pt>
                <c:pt idx="16">
                  <c:v>0.28599999999999998</c:v>
                </c:pt>
                <c:pt idx="17">
                  <c:v>0.28599999999999998</c:v>
                </c:pt>
                <c:pt idx="18">
                  <c:v>0.28599999999999998</c:v>
                </c:pt>
                <c:pt idx="19">
                  <c:v>0.28599999999999998</c:v>
                </c:pt>
                <c:pt idx="20">
                  <c:v>0.28599999999999998</c:v>
                </c:pt>
                <c:pt idx="21">
                  <c:v>0.28599999999999998</c:v>
                </c:pt>
                <c:pt idx="22">
                  <c:v>0.28599999999999998</c:v>
                </c:pt>
                <c:pt idx="23">
                  <c:v>0.28599999999999998</c:v>
                </c:pt>
                <c:pt idx="24">
                  <c:v>0.28599999999999998</c:v>
                </c:pt>
                <c:pt idx="25">
                  <c:v>0.28599999999999998</c:v>
                </c:pt>
                <c:pt idx="26">
                  <c:v>0.28599999999999998</c:v>
                </c:pt>
              </c:numCache>
            </c:numRef>
          </c:val>
          <c:smooth val="0"/>
          <c:extLst>
            <c:ext xmlns:c16="http://schemas.microsoft.com/office/drawing/2014/chart" uri="{C3380CC4-5D6E-409C-BE32-E72D297353CC}">
              <c16:uniqueId val="{00000001-D13F-41A0-BFEF-AB722C6CCC71}"/>
            </c:ext>
          </c:extLst>
        </c:ser>
        <c:ser>
          <c:idx val="2"/>
          <c:order val="2"/>
          <c:tx>
            <c:strRef>
              <c:f>Data_CEREP_2015H2!$AB$2</c:f>
              <c:strCache>
                <c:ptCount val="1"/>
                <c:pt idx="0">
                  <c:v>Trigger</c:v>
                </c:pt>
              </c:strCache>
            </c:strRef>
          </c:tx>
          <c:spPr>
            <a:ln>
              <a:solidFill>
                <a:schemeClr val="tx1"/>
              </a:solidFill>
              <a:prstDash val="sysDot"/>
            </a:ln>
          </c:spPr>
          <c:marker>
            <c:symbol val="none"/>
          </c:marker>
          <c:cat>
            <c:strRef>
              <c:f>Data_CEREP_2015H2!$S$3:$S$29</c:f>
              <c:strCache>
                <c:ptCount val="27"/>
                <c:pt idx="0">
                  <c:v>01JAN2000</c:v>
                </c:pt>
                <c:pt idx="1">
                  <c:v>01JUL2000</c:v>
                </c:pt>
                <c:pt idx="2">
                  <c:v>01JAN2001</c:v>
                </c:pt>
                <c:pt idx="3">
                  <c:v>01JUL2001</c:v>
                </c:pt>
                <c:pt idx="4">
                  <c:v>01JAN2002</c:v>
                </c:pt>
                <c:pt idx="5">
                  <c:v>01JUL2002</c:v>
                </c:pt>
                <c:pt idx="6">
                  <c:v>01JAN2003</c:v>
                </c:pt>
                <c:pt idx="7">
                  <c:v>01JUL2003</c:v>
                </c:pt>
                <c:pt idx="8">
                  <c:v>01JAN2004</c:v>
                </c:pt>
                <c:pt idx="9">
                  <c:v>01JUL2004</c:v>
                </c:pt>
                <c:pt idx="10">
                  <c:v>01JAN2005</c:v>
                </c:pt>
                <c:pt idx="11">
                  <c:v>01JUL2005</c:v>
                </c:pt>
                <c:pt idx="12">
                  <c:v>01JAN2006</c:v>
                </c:pt>
                <c:pt idx="13">
                  <c:v>01JUL2006</c:v>
                </c:pt>
                <c:pt idx="14">
                  <c:v>01JAN2007</c:v>
                </c:pt>
                <c:pt idx="15">
                  <c:v>01JUL2007</c:v>
                </c:pt>
                <c:pt idx="16">
                  <c:v>01JAN2008</c:v>
                </c:pt>
                <c:pt idx="17">
                  <c:v>01JUL2008</c:v>
                </c:pt>
                <c:pt idx="18">
                  <c:v>01JAN2009</c:v>
                </c:pt>
                <c:pt idx="19">
                  <c:v>01JUL2009</c:v>
                </c:pt>
                <c:pt idx="20">
                  <c:v>01JAN2010</c:v>
                </c:pt>
                <c:pt idx="21">
                  <c:v>01JUL2010</c:v>
                </c:pt>
                <c:pt idx="22">
                  <c:v>01JAN2011</c:v>
                </c:pt>
                <c:pt idx="23">
                  <c:v>01JUL2011</c:v>
                </c:pt>
                <c:pt idx="24">
                  <c:v>01JAN2012</c:v>
                </c:pt>
                <c:pt idx="25">
                  <c:v>01JUL2012</c:v>
                </c:pt>
                <c:pt idx="26">
                  <c:v>01JAN2013</c:v>
                </c:pt>
              </c:strCache>
            </c:strRef>
          </c:cat>
          <c:val>
            <c:numRef>
              <c:f>Data_CEREP_2015H2!$AB$3:$AB$29</c:f>
              <c:numCache>
                <c:formatCode>0.00%</c:formatCode>
                <c:ptCount val="27"/>
                <c:pt idx="0">
                  <c:v>0.35</c:v>
                </c:pt>
                <c:pt idx="1">
                  <c:v>0.35</c:v>
                </c:pt>
                <c:pt idx="2">
                  <c:v>0.35</c:v>
                </c:pt>
                <c:pt idx="3">
                  <c:v>0.35</c:v>
                </c:pt>
                <c:pt idx="4">
                  <c:v>0.35</c:v>
                </c:pt>
                <c:pt idx="5">
                  <c:v>0.35</c:v>
                </c:pt>
                <c:pt idx="6">
                  <c:v>0.35</c:v>
                </c:pt>
                <c:pt idx="7">
                  <c:v>0.35</c:v>
                </c:pt>
                <c:pt idx="8">
                  <c:v>0.35</c:v>
                </c:pt>
                <c:pt idx="9">
                  <c:v>0.35</c:v>
                </c:pt>
                <c:pt idx="10">
                  <c:v>0.35</c:v>
                </c:pt>
                <c:pt idx="11">
                  <c:v>0.35</c:v>
                </c:pt>
                <c:pt idx="12">
                  <c:v>0.35</c:v>
                </c:pt>
                <c:pt idx="13">
                  <c:v>0.35</c:v>
                </c:pt>
                <c:pt idx="14">
                  <c:v>0.35</c:v>
                </c:pt>
                <c:pt idx="15">
                  <c:v>0.35</c:v>
                </c:pt>
                <c:pt idx="16">
                  <c:v>0.35</c:v>
                </c:pt>
                <c:pt idx="17">
                  <c:v>0.35</c:v>
                </c:pt>
                <c:pt idx="18">
                  <c:v>0.35</c:v>
                </c:pt>
                <c:pt idx="19">
                  <c:v>0.35</c:v>
                </c:pt>
                <c:pt idx="20">
                  <c:v>0.35</c:v>
                </c:pt>
                <c:pt idx="21">
                  <c:v>0.35</c:v>
                </c:pt>
                <c:pt idx="22">
                  <c:v>0.35</c:v>
                </c:pt>
                <c:pt idx="23">
                  <c:v>0.35</c:v>
                </c:pt>
                <c:pt idx="24">
                  <c:v>0.35</c:v>
                </c:pt>
                <c:pt idx="25">
                  <c:v>0.35</c:v>
                </c:pt>
                <c:pt idx="26">
                  <c:v>0.35</c:v>
                </c:pt>
              </c:numCache>
            </c:numRef>
          </c:val>
          <c:smooth val="0"/>
          <c:extLst>
            <c:ext xmlns:c16="http://schemas.microsoft.com/office/drawing/2014/chart" uri="{C3380CC4-5D6E-409C-BE32-E72D297353CC}">
              <c16:uniqueId val="{00000002-D13F-41A0-BFEF-AB722C6CCC71}"/>
            </c:ext>
          </c:extLst>
        </c:ser>
        <c:dLbls>
          <c:showLegendKey val="0"/>
          <c:showVal val="0"/>
          <c:showCatName val="0"/>
          <c:showSerName val="0"/>
          <c:showPercent val="0"/>
          <c:showBubbleSize val="0"/>
        </c:dLbls>
        <c:smooth val="0"/>
        <c:axId val="181955200"/>
        <c:axId val="181981568"/>
      </c:lineChart>
      <c:catAx>
        <c:axId val="181955200"/>
        <c:scaling>
          <c:orientation val="minMax"/>
        </c:scaling>
        <c:delete val="0"/>
        <c:axPos val="b"/>
        <c:numFmt formatCode="General" sourceLinked="0"/>
        <c:majorTickMark val="out"/>
        <c:minorTickMark val="none"/>
        <c:tickLblPos val="nextTo"/>
        <c:txPr>
          <a:bodyPr rot="-5400000" vert="horz"/>
          <a:lstStyle/>
          <a:p>
            <a:pPr>
              <a:defRPr>
                <a:latin typeface="Arial Narrow" panose="020B0606020202030204" pitchFamily="34" charset="0"/>
              </a:defRPr>
            </a:pPr>
            <a:endParaRPr lang="en-US"/>
          </a:p>
        </c:txPr>
        <c:crossAx val="181981568"/>
        <c:crosses val="autoZero"/>
        <c:auto val="1"/>
        <c:lblAlgn val="ctr"/>
        <c:lblOffset val="100"/>
        <c:tickLblSkip val="2"/>
        <c:noMultiLvlLbl val="0"/>
      </c:catAx>
      <c:valAx>
        <c:axId val="181981568"/>
        <c:scaling>
          <c:orientation val="minMax"/>
        </c:scaling>
        <c:delete val="0"/>
        <c:axPos val="l"/>
        <c:majorGridlines/>
        <c:numFmt formatCode="0%" sourceLinked="0"/>
        <c:majorTickMark val="out"/>
        <c:minorTickMark val="none"/>
        <c:tickLblPos val="nextTo"/>
        <c:txPr>
          <a:bodyPr/>
          <a:lstStyle/>
          <a:p>
            <a:pPr>
              <a:defRPr>
                <a:latin typeface="Arial Narrow" panose="020B0606020202030204" pitchFamily="34" charset="0"/>
              </a:defRPr>
            </a:pPr>
            <a:endParaRPr lang="en-US"/>
          </a:p>
        </c:txPr>
        <c:crossAx val="181955200"/>
        <c:crosses val="autoZero"/>
        <c:crossBetween val="between"/>
      </c:valAx>
      <c:spPr>
        <a:ln>
          <a:solidFill>
            <a:schemeClr val="tx1"/>
          </a:solidFill>
        </a:ln>
      </c:spPr>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48384-3591-474D-9BFB-BA05C902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6403</Words>
  <Characters>36500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amarcelo</dc:creator>
  <cp:lastModifiedBy>Clara Garcia</cp:lastModifiedBy>
  <cp:revision>5</cp:revision>
  <cp:lastPrinted>2017-10-30T09:25:00Z</cp:lastPrinted>
  <dcterms:created xsi:type="dcterms:W3CDTF">2019-02-13T14:16:00Z</dcterms:created>
  <dcterms:modified xsi:type="dcterms:W3CDTF">2019-05-13T15:53:00Z</dcterms:modified>
</cp:coreProperties>
</file>