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7AA4B86" w14:textId="77777777" w:rsidR="003B18CD" w:rsidRDefault="003B18CD">
      <w:pPr>
        <w:pStyle w:val="Body"/>
      </w:pPr>
    </w:p>
    <w:tbl>
      <w:tblPr>
        <w:tblW w:w="36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BCFD4"/>
        <w:tblLayout w:type="fixed"/>
        <w:tblLook w:val="04A0" w:firstRow="1" w:lastRow="0" w:firstColumn="1" w:lastColumn="0" w:noHBand="0" w:noVBand="1"/>
      </w:tblPr>
      <w:tblGrid>
        <w:gridCol w:w="3686"/>
      </w:tblGrid>
      <w:tr w:rsidR="003B18CD" w14:paraId="0CABCF75" w14:textId="77777777">
        <w:trPr>
          <w:trHeight w:val="250"/>
        </w:trPr>
        <w:tc>
          <w:tcPr>
            <w:tcW w:w="3686" w:type="dxa"/>
            <w:tcBorders>
              <w:top w:val="single" w:sz="4" w:space="0" w:color="A6A6A6"/>
              <w:left w:val="nil"/>
              <w:bottom w:val="single" w:sz="4" w:space="0" w:color="A6A6A6"/>
              <w:right w:val="nil"/>
            </w:tcBorders>
            <w:shd w:val="clear" w:color="auto" w:fill="auto"/>
            <w:tcMar>
              <w:top w:w="80" w:type="dxa"/>
              <w:left w:w="80" w:type="dxa"/>
              <w:bottom w:w="80" w:type="dxa"/>
              <w:right w:w="80" w:type="dxa"/>
            </w:tcMar>
          </w:tcPr>
          <w:p w14:paraId="34611D3F" w14:textId="36A7DF0B" w:rsidR="003B18CD" w:rsidRDefault="00973283">
            <w:pPr>
              <w:pStyle w:val="Body"/>
            </w:pPr>
            <w:r>
              <w:rPr>
                <w:lang w:val="en-US"/>
              </w:rPr>
              <w:t>14</w:t>
            </w:r>
            <w:r w:rsidR="001E016E">
              <w:rPr>
                <w:lang w:val="en-US"/>
              </w:rPr>
              <w:t xml:space="preserve"> December 2018</w:t>
            </w:r>
          </w:p>
        </w:tc>
      </w:tr>
    </w:tbl>
    <w:p w14:paraId="4B92AA88" w14:textId="77777777" w:rsidR="003B18CD" w:rsidRDefault="003B18CD">
      <w:pPr>
        <w:pStyle w:val="Body"/>
        <w:widowControl w:val="0"/>
      </w:pPr>
    </w:p>
    <w:p w14:paraId="54A50C9B" w14:textId="77777777" w:rsidR="003B18CD" w:rsidRDefault="001E016E">
      <w:pPr>
        <w:pStyle w:val="Titlelevel1"/>
      </w:pPr>
      <w:r>
        <w:t xml:space="preserve">Call for expressions of interest to the EBA’s </w:t>
      </w:r>
      <w:r w:rsidR="00044AD3">
        <w:t>W</w:t>
      </w:r>
      <w:r w:rsidR="00C12B7D">
        <w:t xml:space="preserve">orking </w:t>
      </w:r>
      <w:r w:rsidR="00044AD3">
        <w:t>G</w:t>
      </w:r>
      <w:r w:rsidR="004F4580">
        <w:t>roup on APIs under PSD2 (</w:t>
      </w:r>
      <w:r w:rsidR="00C12B7D">
        <w:t>W</w:t>
      </w:r>
      <w:r>
        <w:t>G-API)</w:t>
      </w:r>
    </w:p>
    <w:p w14:paraId="5AE1710C" w14:textId="77777777" w:rsidR="003B18CD" w:rsidRDefault="001E016E">
      <w:pPr>
        <w:pStyle w:val="Titlelevel2"/>
      </w:pPr>
      <w:r>
        <w:t xml:space="preserve">Background </w:t>
      </w:r>
    </w:p>
    <w:p w14:paraId="15BAB1ED" w14:textId="77777777" w:rsidR="003B18CD" w:rsidRDefault="001E016E">
      <w:pPr>
        <w:pStyle w:val="ListParagraph"/>
        <w:numPr>
          <w:ilvl w:val="0"/>
          <w:numId w:val="2"/>
        </w:numPr>
        <w:spacing w:before="240" w:after="240" w:line="300" w:lineRule="exact"/>
        <w:jc w:val="both"/>
      </w:pPr>
      <w:r>
        <w:t xml:space="preserve">In March 2018, the EBA’s RTS on Strong Customer Authentication and Common and Secure Communication was published in the Official Journal of the EU as Commission Delegated Regulation (EU) 2018/389. The RTS requires </w:t>
      </w:r>
      <w:r>
        <w:rPr>
          <w:i/>
          <w:iCs/>
        </w:rPr>
        <w:t>inter alia</w:t>
      </w:r>
      <w:r>
        <w:t xml:space="preserve"> that account servicing payment service providers (ASPSPs) provide at least one interface for third party payment service providers (TPPs, comprising account information service providers, payment initiation service providers and card-based payment instrument issuers) to be able to access payment account information and initiate payments. </w:t>
      </w:r>
    </w:p>
    <w:p w14:paraId="36489F66" w14:textId="77777777" w:rsidR="003B18CD" w:rsidRDefault="001E016E" w:rsidP="00DD5655">
      <w:pPr>
        <w:pStyle w:val="ListParagraph"/>
        <w:numPr>
          <w:ilvl w:val="0"/>
          <w:numId w:val="2"/>
        </w:numPr>
        <w:spacing w:before="240" w:after="240" w:line="300" w:lineRule="exact"/>
        <w:jc w:val="both"/>
      </w:pPr>
      <w:r>
        <w:t xml:space="preserve">To that end, many ASPSPs have decided to develop dedicated interfaces, and more specifically application programming interfaces (APIs). In such cases, the RTS further requires ASPSPs to also adapt their customer-facing interface, to allow access by TPPs through such interface as a fall back in the event that the dedicated interface does not perform in accordance with the service level targets mandated by the RTS. However, the RTS also provides that ASPSPs may obtain an exemption for the obligation of having such fall back, provided they meet the conditions set out in Article 33(6) of the RTS and further detailed in the EBA Guidelines on the exemption (EBA/GL/2018/07). </w:t>
      </w:r>
    </w:p>
    <w:p w14:paraId="1B17DEC7" w14:textId="77777777" w:rsidR="00C12B7D" w:rsidRDefault="00C12B7D">
      <w:pPr>
        <w:pStyle w:val="ListParagraph"/>
        <w:numPr>
          <w:ilvl w:val="0"/>
          <w:numId w:val="2"/>
        </w:numPr>
        <w:spacing w:before="240" w:after="240" w:line="300" w:lineRule="exact"/>
        <w:jc w:val="both"/>
      </w:pPr>
      <w:r>
        <w:t>However, t</w:t>
      </w:r>
      <w:r w:rsidR="001E016E">
        <w:t>he timelines for payment service providers to become compliant with the RTS and the Guidelines</w:t>
      </w:r>
      <w:r w:rsidR="00213304" w:rsidRPr="00213304">
        <w:t xml:space="preserve"> </w:t>
      </w:r>
      <w:r w:rsidR="00213304">
        <w:t>are demanding</w:t>
      </w:r>
      <w:r w:rsidR="001E016E">
        <w:t>, in particular for ASPSPs to meet the conditions for an exemption from the obligation to implement the fall back mechanism. The EBA is the</w:t>
      </w:r>
      <w:r>
        <w:t>refore setting up a working</w:t>
      </w:r>
      <w:r w:rsidR="001E016E">
        <w:t xml:space="preserve"> group on APIs under PSD2 (</w:t>
      </w:r>
      <w:r>
        <w:t>WG</w:t>
      </w:r>
      <w:r w:rsidR="001E016E">
        <w:t xml:space="preserve">-API), with a view to facilitate industry preparedness for the RTS and to support the development of high-performing and customer-focused APIs </w:t>
      </w:r>
      <w:r>
        <w:t>under PSD2</w:t>
      </w:r>
      <w:r w:rsidR="001E016E">
        <w:t xml:space="preserve">. </w:t>
      </w:r>
    </w:p>
    <w:p w14:paraId="7DCA4025" w14:textId="77777777" w:rsidR="00C12B7D" w:rsidRDefault="00C12B7D">
      <w:pPr>
        <w:rPr>
          <w:rFonts w:ascii="Calibri" w:eastAsia="Calibri" w:hAnsi="Calibri" w:cs="Calibri"/>
          <w:color w:val="000000"/>
          <w:sz w:val="22"/>
          <w:szCs w:val="22"/>
          <w:u w:color="000000"/>
          <w:lang w:eastAsia="en-GB"/>
        </w:rPr>
      </w:pPr>
      <w:r>
        <w:br w:type="page"/>
      </w:r>
    </w:p>
    <w:p w14:paraId="530BD310" w14:textId="77777777" w:rsidR="00C12B7D" w:rsidRDefault="00C12B7D" w:rsidP="00C12B7D">
      <w:pPr>
        <w:pStyle w:val="Titlelevel2"/>
      </w:pPr>
      <w:r>
        <w:lastRenderedPageBreak/>
        <w:t>Aims</w:t>
      </w:r>
    </w:p>
    <w:p w14:paraId="07ACDDF7" w14:textId="36E099EF" w:rsidR="003B18CD" w:rsidRDefault="00213304">
      <w:pPr>
        <w:pStyle w:val="ListParagraph"/>
        <w:numPr>
          <w:ilvl w:val="0"/>
          <w:numId w:val="2"/>
        </w:numPr>
        <w:spacing w:before="240" w:after="240" w:line="300" w:lineRule="exact"/>
        <w:jc w:val="both"/>
      </w:pPr>
      <w:r>
        <w:t xml:space="preserve">The </w:t>
      </w:r>
      <w:r w:rsidR="00DB58B7">
        <w:t>WG-API</w:t>
      </w:r>
      <w:r>
        <w:t xml:space="preserve"> will consist of EBA staff</w:t>
      </w:r>
      <w:r w:rsidR="00DB58B7">
        <w:t xml:space="preserve">, </w:t>
      </w:r>
      <w:r>
        <w:t>national authorities</w:t>
      </w:r>
      <w:r w:rsidR="00DB58B7">
        <w:t>, EU institutions</w:t>
      </w:r>
      <w:r>
        <w:t xml:space="preserve">, </w:t>
      </w:r>
      <w:r w:rsidR="00DB58B7">
        <w:t xml:space="preserve">plus external stakeholders from whom the EBA is herewith inviting expressions of interests. </w:t>
      </w:r>
      <w:r w:rsidR="00C12B7D">
        <w:t>T</w:t>
      </w:r>
      <w:r w:rsidR="001E016E">
        <w:t xml:space="preserve">he group will identify issues and challenges that market participants </w:t>
      </w:r>
      <w:r w:rsidR="008E6C04">
        <w:t xml:space="preserve">will face </w:t>
      </w:r>
      <w:r w:rsidR="001E016E">
        <w:t xml:space="preserve">during the testing and use of ASPSPs’ production interfaces in the crucial period leading up to September 2019. The </w:t>
      </w:r>
      <w:r w:rsidR="00DB58B7">
        <w:t xml:space="preserve">external stakeholders </w:t>
      </w:r>
      <w:r w:rsidR="001E016E">
        <w:t>will also be asked</w:t>
      </w:r>
      <w:r w:rsidR="00F30FB0">
        <w:t xml:space="preserve"> </w:t>
      </w:r>
      <w:r w:rsidR="001E016E">
        <w:t>to propose</w:t>
      </w:r>
      <w:r w:rsidR="00F30FB0">
        <w:t>, in a collaborative environment,</w:t>
      </w:r>
      <w:r w:rsidR="001E016E">
        <w:t xml:space="preserve"> solutions on how to </w:t>
      </w:r>
      <w:r w:rsidR="00F30FB0">
        <w:t xml:space="preserve">the identified issues could addressed, </w:t>
      </w:r>
      <w:r w:rsidR="005F52C5">
        <w:t>which</w:t>
      </w:r>
      <w:r w:rsidR="00F30FB0">
        <w:t xml:space="preserve"> the EBA and national authorities </w:t>
      </w:r>
      <w:r w:rsidR="005F52C5">
        <w:t xml:space="preserve">will </w:t>
      </w:r>
      <w:r w:rsidR="00F30FB0">
        <w:t>consider</w:t>
      </w:r>
      <w:r w:rsidR="001E016E">
        <w:t xml:space="preserve">. </w:t>
      </w:r>
    </w:p>
    <w:p w14:paraId="0DCBF558" w14:textId="0864209D" w:rsidR="003B18CD" w:rsidRDefault="001E016E">
      <w:pPr>
        <w:pStyle w:val="ListParagraph"/>
        <w:numPr>
          <w:ilvl w:val="0"/>
          <w:numId w:val="2"/>
        </w:numPr>
        <w:spacing w:before="240" w:after="240" w:line="300" w:lineRule="exact"/>
        <w:jc w:val="both"/>
      </w:pPr>
      <w:r>
        <w:t xml:space="preserve">The resultant discussions will help inform the approaches taken by the EBA and national authorities in respect of the supervision of applicable requirements and will contribute to a harmonised approach across the 28 EU Member States. </w:t>
      </w:r>
      <w:r w:rsidR="00DB58B7">
        <w:t xml:space="preserve">The </w:t>
      </w:r>
      <w:r w:rsidR="005F52C5">
        <w:t xml:space="preserve">outcomes of the </w:t>
      </w:r>
      <w:r w:rsidR="00DB58B7">
        <w:t xml:space="preserve">discussions of the meetings of the group will be published </w:t>
      </w:r>
      <w:r w:rsidR="005F52C5">
        <w:t xml:space="preserve">on an anonymous basis </w:t>
      </w:r>
      <w:r w:rsidR="00DB58B7">
        <w:t>on the EBA’s website, in a form yet to be decided by the EBA.</w:t>
      </w:r>
      <w:r w:rsidR="00A30A1B">
        <w:t xml:space="preserve"> </w:t>
      </w:r>
    </w:p>
    <w:p w14:paraId="0443D771" w14:textId="75B35425" w:rsidR="00A30A1B" w:rsidRDefault="00A30A1B" w:rsidP="00DD5655">
      <w:pPr>
        <w:pStyle w:val="ListParagraph"/>
        <w:numPr>
          <w:ilvl w:val="0"/>
          <w:numId w:val="2"/>
        </w:numPr>
        <w:spacing w:before="240" w:after="240" w:line="300" w:lineRule="exact"/>
        <w:jc w:val="both"/>
      </w:pPr>
      <w:r>
        <w:t xml:space="preserve">The first meeting is envisaged to take place in the third week of February 2019, on the EBA’s premises in London, with one or two further meetings held in the first half of 2019. Details of subsequent meetings will be decided at a later stage. </w:t>
      </w:r>
    </w:p>
    <w:p w14:paraId="648FF5AD" w14:textId="77777777" w:rsidR="003B18CD" w:rsidRDefault="001E016E">
      <w:pPr>
        <w:pStyle w:val="Titlelevel2"/>
      </w:pPr>
      <w:r>
        <w:t>Composition</w:t>
      </w:r>
    </w:p>
    <w:p w14:paraId="01D0DD58" w14:textId="77777777" w:rsidR="003B18CD" w:rsidRDefault="00DB58B7">
      <w:pPr>
        <w:pStyle w:val="ListParagraph"/>
        <w:numPr>
          <w:ilvl w:val="0"/>
          <w:numId w:val="2"/>
        </w:numPr>
        <w:spacing w:before="240" w:after="240" w:line="300" w:lineRule="exact"/>
        <w:jc w:val="both"/>
      </w:pPr>
      <w:r>
        <w:t xml:space="preserve">In addition to EBA staff, </w:t>
      </w:r>
      <w:r w:rsidR="00C12B7D">
        <w:t>national authorities and other EU institutions</w:t>
      </w:r>
      <w:r>
        <w:t xml:space="preserve">, </w:t>
      </w:r>
      <w:r w:rsidR="00413529">
        <w:t>expressions of interest are sought from the following</w:t>
      </w:r>
      <w:r>
        <w:t xml:space="preserve"> </w:t>
      </w:r>
      <w:r w:rsidR="00413529">
        <w:t>types</w:t>
      </w:r>
      <w:r>
        <w:t xml:space="preserve"> of market participants</w:t>
      </w:r>
      <w:r w:rsidR="001E016E">
        <w:t>:</w:t>
      </w:r>
    </w:p>
    <w:p w14:paraId="44C8373C" w14:textId="77777777" w:rsidR="003B18CD" w:rsidRDefault="001E016E" w:rsidP="00402F57">
      <w:pPr>
        <w:pStyle w:val="ListParagraph"/>
        <w:numPr>
          <w:ilvl w:val="0"/>
          <w:numId w:val="9"/>
        </w:numPr>
        <w:spacing w:before="60" w:line="276" w:lineRule="auto"/>
        <w:ind w:hanging="513"/>
        <w:jc w:val="both"/>
      </w:pPr>
      <w:r>
        <w:t>A</w:t>
      </w:r>
      <w:r w:rsidR="00061DEF">
        <w:t xml:space="preserve">ccount servicing payment services providers </w:t>
      </w:r>
      <w:r w:rsidR="008E6C04">
        <w:t>(banks and non-banks)</w:t>
      </w:r>
      <w:r>
        <w:t>;</w:t>
      </w:r>
    </w:p>
    <w:p w14:paraId="4FFBD077" w14:textId="77777777" w:rsidR="003B18CD" w:rsidRDefault="001E016E" w:rsidP="00402F57">
      <w:pPr>
        <w:pStyle w:val="ListParagraph"/>
        <w:numPr>
          <w:ilvl w:val="0"/>
          <w:numId w:val="9"/>
        </w:numPr>
        <w:spacing w:before="60" w:line="276" w:lineRule="auto"/>
        <w:ind w:hanging="513"/>
        <w:jc w:val="both"/>
      </w:pPr>
      <w:r>
        <w:t xml:space="preserve">Account information service providers; </w:t>
      </w:r>
    </w:p>
    <w:p w14:paraId="0A7943A5" w14:textId="77777777" w:rsidR="003B18CD" w:rsidRDefault="001E016E" w:rsidP="00402F57">
      <w:pPr>
        <w:pStyle w:val="ListParagraph"/>
        <w:numPr>
          <w:ilvl w:val="0"/>
          <w:numId w:val="9"/>
        </w:numPr>
        <w:spacing w:before="60" w:line="276" w:lineRule="auto"/>
        <w:ind w:hanging="513"/>
        <w:jc w:val="both"/>
      </w:pPr>
      <w:r>
        <w:t>Payment initiation service providers;</w:t>
      </w:r>
    </w:p>
    <w:p w14:paraId="6924BF52" w14:textId="77777777" w:rsidR="003B18CD" w:rsidRDefault="001E016E" w:rsidP="00402F57">
      <w:pPr>
        <w:pStyle w:val="ListParagraph"/>
        <w:numPr>
          <w:ilvl w:val="0"/>
          <w:numId w:val="9"/>
        </w:numPr>
        <w:spacing w:before="60" w:line="276" w:lineRule="auto"/>
        <w:ind w:hanging="513"/>
        <w:jc w:val="both"/>
      </w:pPr>
      <w:r>
        <w:t>Card-based payment instrument issuers</w:t>
      </w:r>
      <w:r w:rsidR="008E6C04">
        <w:t>;</w:t>
      </w:r>
    </w:p>
    <w:p w14:paraId="25445BE7" w14:textId="44FA1336" w:rsidR="003B18CD" w:rsidRDefault="001E016E" w:rsidP="00402F57">
      <w:pPr>
        <w:pStyle w:val="ListParagraph"/>
        <w:numPr>
          <w:ilvl w:val="0"/>
          <w:numId w:val="9"/>
        </w:numPr>
        <w:spacing w:before="60" w:line="276" w:lineRule="auto"/>
        <w:ind w:hanging="513"/>
        <w:jc w:val="both"/>
      </w:pPr>
      <w:r>
        <w:t>API initiatives</w:t>
      </w:r>
      <w:r w:rsidR="008E6C04">
        <w:t>;</w:t>
      </w:r>
      <w:r w:rsidR="005F52C5">
        <w:t xml:space="preserve"> an</w:t>
      </w:r>
      <w:r w:rsidR="008E6C04">
        <w:t>d</w:t>
      </w:r>
    </w:p>
    <w:p w14:paraId="4A8681F6" w14:textId="54B27F01" w:rsidR="003B18CD" w:rsidRDefault="001E016E" w:rsidP="00402F57">
      <w:pPr>
        <w:pStyle w:val="ListParagraph"/>
        <w:numPr>
          <w:ilvl w:val="0"/>
          <w:numId w:val="9"/>
        </w:numPr>
        <w:spacing w:before="60" w:line="276" w:lineRule="auto"/>
        <w:ind w:hanging="513"/>
        <w:jc w:val="both"/>
      </w:pPr>
      <w:r>
        <w:t>Other</w:t>
      </w:r>
      <w:r w:rsidR="00413529">
        <w:t>s (e.g. technical service providers, standardisation bodies</w:t>
      </w:r>
      <w:r w:rsidR="005F52C5">
        <w:t>, consumer associations, retailers, etc.</w:t>
      </w:r>
      <w:r w:rsidR="00413529">
        <w:t>)</w:t>
      </w:r>
      <w:r w:rsidR="005F52C5">
        <w:t>.</w:t>
      </w:r>
    </w:p>
    <w:p w14:paraId="25349A6D" w14:textId="77777777" w:rsidR="003B18CD" w:rsidRDefault="001E016E">
      <w:pPr>
        <w:pStyle w:val="Titlelevel2"/>
      </w:pPr>
      <w:r>
        <w:t>Selection criteria</w:t>
      </w:r>
    </w:p>
    <w:p w14:paraId="6E151C30" w14:textId="77777777" w:rsidR="003B18CD" w:rsidRDefault="001E016E">
      <w:pPr>
        <w:pStyle w:val="ListParagraph"/>
        <w:numPr>
          <w:ilvl w:val="0"/>
          <w:numId w:val="5"/>
        </w:numPr>
        <w:spacing w:before="240" w:after="240"/>
      </w:pPr>
      <w:r>
        <w:t xml:space="preserve">Nominations to become a member of the </w:t>
      </w:r>
      <w:r w:rsidR="008E6C04">
        <w:t>WG-</w:t>
      </w:r>
      <w:r>
        <w:t>API are invited from individuals with</w:t>
      </w:r>
      <w:r>
        <w:rPr>
          <w:color w:val="1F497D"/>
          <w:u w:color="1F497D"/>
        </w:rPr>
        <w:t xml:space="preserve">: </w:t>
      </w:r>
    </w:p>
    <w:p w14:paraId="3AE7606A" w14:textId="6C98F9D9" w:rsidR="003B18CD" w:rsidRDefault="00361E85" w:rsidP="00061DEF">
      <w:pPr>
        <w:pStyle w:val="ListParagraph"/>
        <w:numPr>
          <w:ilvl w:val="0"/>
          <w:numId w:val="7"/>
        </w:numPr>
        <w:spacing w:before="60" w:line="276" w:lineRule="auto"/>
        <w:ind w:left="924" w:hanging="357"/>
        <w:jc w:val="both"/>
      </w:pPr>
      <w:r>
        <w:t>Demonstrable e</w:t>
      </w:r>
      <w:r w:rsidR="001E016E">
        <w:t xml:space="preserve">xperience </w:t>
      </w:r>
      <w:r w:rsidR="00413529">
        <w:t>in</w:t>
      </w:r>
      <w:r w:rsidR="001E016E">
        <w:t xml:space="preserve"> the design, implementation</w:t>
      </w:r>
      <w:r w:rsidR="00413529">
        <w:t>,</w:t>
      </w:r>
      <w:r w:rsidR="001E016E">
        <w:t xml:space="preserve"> and/or use of APIs, or their standardisation;</w:t>
      </w:r>
    </w:p>
    <w:p w14:paraId="596A8977" w14:textId="269FFA13" w:rsidR="003B18CD" w:rsidRDefault="00361E85" w:rsidP="00061DEF">
      <w:pPr>
        <w:pStyle w:val="ListParagraph"/>
        <w:numPr>
          <w:ilvl w:val="0"/>
          <w:numId w:val="7"/>
        </w:numPr>
        <w:spacing w:before="60" w:line="276" w:lineRule="auto"/>
        <w:ind w:left="924" w:hanging="357"/>
        <w:jc w:val="both"/>
      </w:pPr>
      <w:r>
        <w:t xml:space="preserve">Demonstrable experience </w:t>
      </w:r>
      <w:r w:rsidR="00402F57">
        <w:t xml:space="preserve">in </w:t>
      </w:r>
      <w:r>
        <w:t xml:space="preserve">representing the views </w:t>
      </w:r>
      <w:r w:rsidR="00402F57">
        <w:t xml:space="preserve">that are in the interest of a particular type of stakeholder </w:t>
      </w:r>
      <w:r>
        <w:t xml:space="preserve">but also </w:t>
      </w:r>
      <w:r w:rsidR="00402F57">
        <w:t xml:space="preserve">conducive to </w:t>
      </w:r>
      <w:r>
        <w:t>the wider objective of the PSD2 in achieving a competitive and innovative market for payment services</w:t>
      </w:r>
      <w:r w:rsidR="00402F57">
        <w:t xml:space="preserve"> in the EU;</w:t>
      </w:r>
      <w:r>
        <w:t xml:space="preserve"> and </w:t>
      </w:r>
    </w:p>
    <w:p w14:paraId="67287498" w14:textId="62DFE268" w:rsidR="003B18CD" w:rsidRDefault="00361E85" w:rsidP="00061DEF">
      <w:pPr>
        <w:pStyle w:val="ListParagraph"/>
        <w:numPr>
          <w:ilvl w:val="0"/>
          <w:numId w:val="7"/>
        </w:numPr>
        <w:spacing w:before="60" w:line="276" w:lineRule="auto"/>
        <w:ind w:left="924" w:hanging="357"/>
        <w:jc w:val="both"/>
        <w:rPr>
          <w:color w:val="1F497D"/>
        </w:rPr>
      </w:pPr>
      <w:r>
        <w:t>Demonstrable knowledge of</w:t>
      </w:r>
      <w:r w:rsidR="001E016E">
        <w:t xml:space="preserve"> the PSD2 and the EBA’s regulatory requirements pertaining to dedicated interfaces, as set out in the EBA’s </w:t>
      </w:r>
      <w:hyperlink r:id="rId7" w:history="1">
        <w:r w:rsidR="001E016E">
          <w:rPr>
            <w:rStyle w:val="Hyperlink0"/>
          </w:rPr>
          <w:t>EBA RTS on SCA&amp;CSC</w:t>
        </w:r>
      </w:hyperlink>
      <w:r w:rsidR="001E016E">
        <w:rPr>
          <w:color w:val="1F497D"/>
          <w:u w:color="1F497D"/>
        </w:rPr>
        <w:t xml:space="preserve">, </w:t>
      </w:r>
      <w:r w:rsidR="001E016E">
        <w:t>the</w:t>
      </w:r>
      <w:r w:rsidR="001E016E">
        <w:rPr>
          <w:color w:val="1F497D"/>
          <w:u w:color="1F497D"/>
        </w:rPr>
        <w:t xml:space="preserve"> </w:t>
      </w:r>
      <w:hyperlink r:id="rId8" w:history="1">
        <w:r w:rsidR="001E016E">
          <w:rPr>
            <w:rStyle w:val="Hyperlink0"/>
          </w:rPr>
          <w:t>EBA Guidelines on the exemptions from contingency measures</w:t>
        </w:r>
      </w:hyperlink>
      <w:r w:rsidR="001E016E">
        <w:rPr>
          <w:color w:val="1F497D"/>
          <w:u w:color="1F497D"/>
        </w:rPr>
        <w:t>;</w:t>
      </w:r>
      <w:r>
        <w:rPr>
          <w:color w:val="1F497D"/>
          <w:u w:color="1F497D"/>
        </w:rPr>
        <w:t xml:space="preserve"> </w:t>
      </w:r>
      <w:r w:rsidRPr="00361E85">
        <w:rPr>
          <w:color w:val="auto"/>
          <w:u w:color="1F497D"/>
        </w:rPr>
        <w:t>the</w:t>
      </w:r>
      <w:r>
        <w:rPr>
          <w:color w:val="1F497D"/>
          <w:u w:color="1F497D"/>
        </w:rPr>
        <w:t xml:space="preserve"> </w:t>
      </w:r>
      <w:hyperlink r:id="rId9" w:history="1">
        <w:r w:rsidR="001E016E">
          <w:rPr>
            <w:rStyle w:val="Hyperlink0"/>
          </w:rPr>
          <w:t xml:space="preserve">EBA Opinion on the implementation </w:t>
        </w:r>
        <w:r w:rsidR="001E016E">
          <w:rPr>
            <w:rStyle w:val="Hyperlink0"/>
          </w:rPr>
          <w:lastRenderedPageBreak/>
          <w:t>of the RTS on SCA&amp;CSC</w:t>
        </w:r>
      </w:hyperlink>
      <w:r w:rsidR="001E016E">
        <w:t xml:space="preserve">; </w:t>
      </w:r>
      <w:r w:rsidR="005F52C5">
        <w:t xml:space="preserve">the </w:t>
      </w:r>
      <w:hyperlink r:id="rId10" w:history="1">
        <w:r w:rsidR="005F52C5" w:rsidRPr="00361E85">
          <w:rPr>
            <w:rStyle w:val="Hyperlink"/>
            <w:color w:val="2F5773" w:themeColor="accent1"/>
          </w:rPr>
          <w:t>EBA Opinion on the use of eIDAS certificates</w:t>
        </w:r>
      </w:hyperlink>
      <w:r w:rsidR="005F52C5">
        <w:t xml:space="preserve">, </w:t>
      </w:r>
      <w:r w:rsidR="001E016E">
        <w:t xml:space="preserve">and relevant questions and answers in the </w:t>
      </w:r>
      <w:hyperlink r:id="rId11" w:history="1">
        <w:r w:rsidR="001E016E">
          <w:rPr>
            <w:rStyle w:val="Hyperlink0"/>
          </w:rPr>
          <w:t>EBA</w:t>
        </w:r>
        <w:r w:rsidR="00213304">
          <w:rPr>
            <w:rStyle w:val="Hyperlink0"/>
          </w:rPr>
          <w:t>’s</w:t>
        </w:r>
        <w:r w:rsidR="001E016E">
          <w:rPr>
            <w:rStyle w:val="Hyperlink0"/>
          </w:rPr>
          <w:t xml:space="preserve"> Q&amp;A tool</w:t>
        </w:r>
      </w:hyperlink>
      <w:r w:rsidR="001E016E">
        <w:rPr>
          <w:color w:val="1F497D"/>
          <w:u w:color="1F497D"/>
        </w:rPr>
        <w:t>.</w:t>
      </w:r>
    </w:p>
    <w:p w14:paraId="7D842924" w14:textId="1AF4E513" w:rsidR="002F3680" w:rsidRDefault="008C0C03" w:rsidP="00A30A1B">
      <w:pPr>
        <w:pStyle w:val="ListParagraph"/>
        <w:numPr>
          <w:ilvl w:val="0"/>
          <w:numId w:val="2"/>
        </w:numPr>
        <w:spacing w:before="240" w:after="240"/>
        <w:jc w:val="both"/>
      </w:pPr>
      <w:r>
        <w:t xml:space="preserve">Expressions of interest should be submitted </w:t>
      </w:r>
      <w:r w:rsidR="005F52C5">
        <w:t xml:space="preserve">to the EBA </w:t>
      </w:r>
      <w:r w:rsidR="00402F57" w:rsidRPr="00DD5655">
        <w:rPr>
          <w:b/>
        </w:rPr>
        <w:t>by</w:t>
      </w:r>
      <w:r w:rsidR="00402F57">
        <w:rPr>
          <w:b/>
        </w:rPr>
        <w:t xml:space="preserve"> 14 </w:t>
      </w:r>
      <w:r w:rsidR="00402F57" w:rsidRPr="00DD5655">
        <w:rPr>
          <w:b/>
        </w:rPr>
        <w:t>January 2019 cob</w:t>
      </w:r>
      <w:r w:rsidR="00402F57">
        <w:rPr>
          <w:b/>
        </w:rPr>
        <w:t>,</w:t>
      </w:r>
      <w:r w:rsidR="00402F57">
        <w:t xml:space="preserve"> </w:t>
      </w:r>
      <w:r w:rsidR="002F3680">
        <w:t xml:space="preserve">by </w:t>
      </w:r>
      <w:r w:rsidR="00361E85">
        <w:t>using the link provided</w:t>
      </w:r>
      <w:r w:rsidR="00FD7285">
        <w:t xml:space="preserve"> </w:t>
      </w:r>
      <w:hyperlink r:id="rId12" w:history="1">
        <w:r w:rsidR="00FD7285" w:rsidRPr="00FD7285">
          <w:rPr>
            <w:rStyle w:val="Hyperlink"/>
          </w:rPr>
          <w:t>her</w:t>
        </w:r>
        <w:bookmarkStart w:id="0" w:name="_GoBack"/>
        <w:bookmarkEnd w:id="0"/>
        <w:r w:rsidR="00FD7285" w:rsidRPr="00FD7285">
          <w:rPr>
            <w:rStyle w:val="Hyperlink"/>
          </w:rPr>
          <w:t>e</w:t>
        </w:r>
      </w:hyperlink>
      <w:r w:rsidR="00402F57">
        <w:t>.</w:t>
      </w:r>
      <w:r w:rsidR="005F52C5">
        <w:t xml:space="preserve"> </w:t>
      </w:r>
    </w:p>
    <w:p w14:paraId="72DF0764" w14:textId="28022204" w:rsidR="00A30A1B" w:rsidRDefault="001E016E" w:rsidP="00D246DD">
      <w:pPr>
        <w:pStyle w:val="ListParagraph"/>
        <w:numPr>
          <w:ilvl w:val="0"/>
          <w:numId w:val="2"/>
        </w:numPr>
        <w:spacing w:before="240" w:after="240"/>
        <w:jc w:val="both"/>
      </w:pPr>
      <w:r>
        <w:t xml:space="preserve">The EBA will </w:t>
      </w:r>
      <w:r w:rsidR="00C12B7D">
        <w:t xml:space="preserve">chair the group and </w:t>
      </w:r>
      <w:r w:rsidR="00402F57">
        <w:t xml:space="preserve">will </w:t>
      </w:r>
      <w:r>
        <w:t xml:space="preserve">select </w:t>
      </w:r>
      <w:r w:rsidR="00C12B7D">
        <w:t xml:space="preserve">its participants based </w:t>
      </w:r>
      <w:r>
        <w:t>on the aforementioned criteria</w:t>
      </w:r>
      <w:r w:rsidR="00C12B7D">
        <w:t xml:space="preserve">. In so doing, </w:t>
      </w:r>
      <w:r w:rsidR="00413529">
        <w:t xml:space="preserve">and </w:t>
      </w:r>
      <w:r>
        <w:t>for the group to be effective</w:t>
      </w:r>
      <w:r w:rsidR="00413529">
        <w:t xml:space="preserve"> and have a balanced composition </w:t>
      </w:r>
      <w:r w:rsidR="005E7BB2">
        <w:t xml:space="preserve">for example </w:t>
      </w:r>
      <w:r w:rsidR="00413529">
        <w:t xml:space="preserve">in terms of geography and </w:t>
      </w:r>
      <w:r w:rsidR="004F4580">
        <w:t>type of market participant</w:t>
      </w:r>
      <w:r w:rsidR="00413529">
        <w:t xml:space="preserve">, </w:t>
      </w:r>
      <w:r w:rsidR="00044AD3">
        <w:t xml:space="preserve">the EBA may not be able to accommodate all </w:t>
      </w:r>
      <w:r w:rsidR="00402F57">
        <w:t>applicants</w:t>
      </w:r>
      <w:r>
        <w:t xml:space="preserve">. </w:t>
      </w:r>
      <w:r w:rsidR="00044AD3">
        <w:t xml:space="preserve">The EBA will inform all applicants </w:t>
      </w:r>
      <w:r w:rsidR="005E7BB2">
        <w:t xml:space="preserve">by 4 </w:t>
      </w:r>
      <w:r w:rsidR="008C0C03">
        <w:t xml:space="preserve">February 2019 </w:t>
      </w:r>
      <w:r w:rsidR="00044AD3">
        <w:t>whether or not they have been accepted</w:t>
      </w:r>
      <w:r w:rsidR="005E7BB2">
        <w:t xml:space="preserve"> as a participant</w:t>
      </w:r>
      <w:r w:rsidR="004F4580">
        <w:t>.</w:t>
      </w:r>
      <w:r w:rsidR="005E7BB2">
        <w:t xml:space="preserve"> </w:t>
      </w:r>
      <w:r w:rsidR="00A30A1B">
        <w:t>Participants will be expected to cover their travel costs</w:t>
      </w:r>
      <w:r w:rsidR="00402F57">
        <w:t xml:space="preserve"> for attending the meeting</w:t>
      </w:r>
      <w:r w:rsidR="00A30A1B">
        <w:t xml:space="preserve">. </w:t>
      </w:r>
    </w:p>
    <w:p w14:paraId="160DC74F" w14:textId="4C2ADF34" w:rsidR="003B18CD" w:rsidRDefault="002F3680" w:rsidP="008C0C03">
      <w:pPr>
        <w:pStyle w:val="ListParagraph"/>
        <w:numPr>
          <w:ilvl w:val="0"/>
          <w:numId w:val="2"/>
        </w:numPr>
        <w:spacing w:before="240" w:after="240"/>
        <w:jc w:val="both"/>
      </w:pPr>
      <w:r>
        <w:t xml:space="preserve">Once the group is established, and should additional expertise that is not represented in the group be required </w:t>
      </w:r>
      <w:r w:rsidR="005E7BB2">
        <w:t xml:space="preserve">for </w:t>
      </w:r>
      <w:r w:rsidR="00346CD0">
        <w:t xml:space="preserve">a particular topic, </w:t>
      </w:r>
      <w:r w:rsidR="005E7BB2">
        <w:t>the EBA may decide to invite additional individuals to p</w:t>
      </w:r>
      <w:r>
        <w:t>articular meetings of the group.</w:t>
      </w:r>
    </w:p>
    <w:p w14:paraId="20003F16" w14:textId="77777777" w:rsidR="003B18CD" w:rsidRDefault="003B18CD">
      <w:pPr>
        <w:pStyle w:val="Body"/>
        <w:spacing w:before="240" w:after="240"/>
        <w:jc w:val="both"/>
      </w:pPr>
    </w:p>
    <w:sectPr w:rsidR="003B18CD">
      <w:headerReference w:type="even" r:id="rId13"/>
      <w:headerReference w:type="default" r:id="rId14"/>
      <w:footerReference w:type="even" r:id="rId15"/>
      <w:footerReference w:type="default" r:id="rId16"/>
      <w:headerReference w:type="first" r:id="rId17"/>
      <w:footerReference w:type="first" r:id="rId18"/>
      <w:pgSz w:w="11900" w:h="16840"/>
      <w:pgMar w:top="2268" w:right="1418"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689B2" w14:textId="77777777" w:rsidR="00562B41" w:rsidRDefault="00562B41">
      <w:r>
        <w:separator/>
      </w:r>
    </w:p>
  </w:endnote>
  <w:endnote w:type="continuationSeparator" w:id="0">
    <w:p w14:paraId="34A159FC" w14:textId="77777777" w:rsidR="00562B41" w:rsidRDefault="0056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48E5E" w14:textId="77777777" w:rsidR="00973283" w:rsidRDefault="009732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14C1A" w14:textId="1B68E518" w:rsidR="00DD5655" w:rsidRDefault="00DD5655">
    <w:pPr>
      <w:pStyle w:val="Footer"/>
      <w:jc w:val="right"/>
    </w:pPr>
    <w:r>
      <w:fldChar w:fldCharType="begin"/>
    </w:r>
    <w:r>
      <w:instrText xml:space="preserve"> PAGE </w:instrText>
    </w:r>
    <w:r>
      <w:fldChar w:fldCharType="separate"/>
    </w:r>
    <w:r w:rsidR="00FD7285">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B7C99" w14:textId="3E3C6E44" w:rsidR="00DD5655" w:rsidRDefault="00DD5655">
    <w:pPr>
      <w:pStyle w:val="Footer"/>
      <w:jc w:val="right"/>
    </w:pPr>
    <w:r>
      <w:fldChar w:fldCharType="begin"/>
    </w:r>
    <w:r>
      <w:instrText xml:space="preserve"> PAGE </w:instrText>
    </w:r>
    <w:r>
      <w:fldChar w:fldCharType="separate"/>
    </w:r>
    <w:r w:rsidR="00FD728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7F199" w14:textId="77777777" w:rsidR="00562B41" w:rsidRDefault="00562B41">
      <w:r>
        <w:separator/>
      </w:r>
    </w:p>
  </w:footnote>
  <w:footnote w:type="continuationSeparator" w:id="0">
    <w:p w14:paraId="55ACE740" w14:textId="77777777" w:rsidR="00562B41" w:rsidRDefault="00562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79978" w14:textId="77777777" w:rsidR="00973283" w:rsidRDefault="009732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3DA6A" w14:textId="5379BD05" w:rsidR="00DD5655" w:rsidRDefault="00DD5655">
    <w:pPr>
      <w:pStyle w:val="Runningtitle"/>
    </w:pPr>
    <w:r>
      <w:rPr>
        <w:noProof/>
        <w:lang w:eastAsia="en-US"/>
      </w:rPr>
      <w:drawing>
        <wp:anchor distT="152400" distB="152400" distL="152400" distR="152400" simplePos="0" relativeHeight="251656192" behindDoc="1" locked="0" layoutInCell="1" allowOverlap="1" wp14:anchorId="6EA35452" wp14:editId="0AE6CE85">
          <wp:simplePos x="0" y="0"/>
          <wp:positionH relativeFrom="page">
            <wp:posOffset>5448300</wp:posOffset>
          </wp:positionH>
          <wp:positionV relativeFrom="page">
            <wp:posOffset>467994</wp:posOffset>
          </wp:positionV>
          <wp:extent cx="1207770" cy="447675"/>
          <wp:effectExtent l="0" t="0" r="0" b="0"/>
          <wp:wrapNone/>
          <wp:docPr id="1073741825" name="officeArt object" descr="EBA-logo-full-colour.png"/>
          <wp:cNvGraphicFramePr/>
          <a:graphic xmlns:a="http://schemas.openxmlformats.org/drawingml/2006/main">
            <a:graphicData uri="http://schemas.openxmlformats.org/drawingml/2006/picture">
              <pic:pic xmlns:pic="http://schemas.openxmlformats.org/drawingml/2006/picture">
                <pic:nvPicPr>
                  <pic:cNvPr id="1073741825" name="EBA-logo-full-colour.png" descr="EBA-logo-full-colour.png"/>
                  <pic:cNvPicPr>
                    <a:picLocks noChangeAspect="1"/>
                  </pic:cNvPicPr>
                </pic:nvPicPr>
                <pic:blipFill>
                  <a:blip r:embed="rId1">
                    <a:extLst/>
                  </a:blip>
                  <a:stretch>
                    <a:fillRect/>
                  </a:stretch>
                </pic:blipFill>
                <pic:spPr>
                  <a:xfrm>
                    <a:off x="0" y="0"/>
                    <a:ext cx="1207770" cy="447675"/>
                  </a:xfrm>
                  <a:prstGeom prst="rect">
                    <a:avLst/>
                  </a:prstGeom>
                  <a:ln w="12700" cap="flat">
                    <a:noFill/>
                    <a:miter lim="400000"/>
                  </a:ln>
                  <a:effectLst/>
                </pic:spPr>
              </pic:pic>
            </a:graphicData>
          </a:graphic>
        </wp:anchor>
      </w:drawing>
    </w:r>
    <w:r>
      <w:rPr>
        <w:noProof/>
        <w:lang w:eastAsia="en-US"/>
      </w:rPr>
      <mc:AlternateContent>
        <mc:Choice Requires="wps">
          <w:drawing>
            <wp:anchor distT="152400" distB="152400" distL="152400" distR="152400" simplePos="0" relativeHeight="251658240" behindDoc="1" locked="0" layoutInCell="1" allowOverlap="1" wp14:anchorId="538D7A30" wp14:editId="75957447">
              <wp:simplePos x="0" y="0"/>
              <wp:positionH relativeFrom="page">
                <wp:posOffset>1009014</wp:posOffset>
              </wp:positionH>
              <wp:positionV relativeFrom="page">
                <wp:posOffset>9973309</wp:posOffset>
              </wp:positionV>
              <wp:extent cx="5723891" cy="0"/>
              <wp:effectExtent l="0" t="0" r="0" b="0"/>
              <wp:wrapNone/>
              <wp:docPr id="1073741826" name="officeArt object" descr="Straight Connector 2"/>
              <wp:cNvGraphicFramePr/>
              <a:graphic xmlns:a="http://schemas.openxmlformats.org/drawingml/2006/main">
                <a:graphicData uri="http://schemas.microsoft.com/office/word/2010/wordprocessingShape">
                  <wps:wsp>
                    <wps:cNvCnPr/>
                    <wps:spPr>
                      <a:xfrm>
                        <a:off x="0" y="0"/>
                        <a:ext cx="5723891" cy="0"/>
                      </a:xfrm>
                      <a:prstGeom prst="line">
                        <a:avLst/>
                      </a:prstGeom>
                      <a:noFill/>
                      <a:ln w="12700" cap="flat">
                        <a:solidFill>
                          <a:schemeClr val="accent1"/>
                        </a:solidFill>
                        <a:prstDash val="solid"/>
                        <a:round/>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id="_x0000_s1026" style="visibility:visible;position:absolute;margin-left:79.4pt;margin-top:785.3pt;width:450.7pt;height:0.0pt;z-index:-251657216;mso-position-horizontal:absolute;mso-position-horizontal-relative:page;mso-position-vertical:absolute;mso-position-vertical-relative:page;mso-wrap-distance-left:12.0pt;mso-wrap-distance-top:12.0pt;mso-wrap-distance-right:12.0pt;mso-wrap-distance-bottom:12.0pt;">
              <v:fill on="f"/>
              <v:stroke filltype="solid" color="#2F5773" opacity="100.0%" weight="1.0pt" dashstyle="solid" endcap="flat" joinstyle="round" linestyle="single" startarrow="none" startarrowwidth="medium" startarrowlength="medium" endarrow="none" endarrowwidth="medium" endarrowlength="medium"/>
              <w10:wrap type="none" side="bothSides" anchorx="page" anchory="page"/>
            </v:line>
          </w:pict>
        </mc:Fallback>
      </mc:AlternateContent>
    </w:r>
    <w:r>
      <w:t xml:space="preserve"> call for candidates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A453D" w14:textId="5582BD73" w:rsidR="00DD5655" w:rsidRDefault="00DD5655">
    <w:pPr>
      <w:pStyle w:val="Runningtitle"/>
    </w:pPr>
    <w:r>
      <w:rPr>
        <w:noProof/>
        <w:lang w:eastAsia="en-US"/>
      </w:rPr>
      <w:drawing>
        <wp:anchor distT="152400" distB="152400" distL="152400" distR="152400" simplePos="0" relativeHeight="251657216" behindDoc="1" locked="0" layoutInCell="1" allowOverlap="1" wp14:anchorId="019AB6C4" wp14:editId="27623121">
          <wp:simplePos x="0" y="0"/>
          <wp:positionH relativeFrom="page">
            <wp:posOffset>4702175</wp:posOffset>
          </wp:positionH>
          <wp:positionV relativeFrom="page">
            <wp:posOffset>450215</wp:posOffset>
          </wp:positionV>
          <wp:extent cx="1941830" cy="719456"/>
          <wp:effectExtent l="0" t="0" r="0" b="0"/>
          <wp:wrapNone/>
          <wp:docPr id="1073741827" name="officeArt object" descr="EBA-logo-full-colour.png"/>
          <wp:cNvGraphicFramePr/>
          <a:graphic xmlns:a="http://schemas.openxmlformats.org/drawingml/2006/main">
            <a:graphicData uri="http://schemas.openxmlformats.org/drawingml/2006/picture">
              <pic:pic xmlns:pic="http://schemas.openxmlformats.org/drawingml/2006/picture">
                <pic:nvPicPr>
                  <pic:cNvPr id="1073741827" name="EBA-logo-full-colour.png" descr="EBA-logo-full-colour.png"/>
                  <pic:cNvPicPr>
                    <a:picLocks noChangeAspect="1"/>
                  </pic:cNvPicPr>
                </pic:nvPicPr>
                <pic:blipFill>
                  <a:blip r:embed="rId1">
                    <a:extLst/>
                  </a:blip>
                  <a:stretch>
                    <a:fillRect/>
                  </a:stretch>
                </pic:blipFill>
                <pic:spPr>
                  <a:xfrm>
                    <a:off x="0" y="0"/>
                    <a:ext cx="1941830" cy="719456"/>
                  </a:xfrm>
                  <a:prstGeom prst="rect">
                    <a:avLst/>
                  </a:prstGeom>
                  <a:ln w="12700" cap="flat">
                    <a:noFill/>
                    <a:miter lim="400000"/>
                  </a:ln>
                  <a:effectLst/>
                </pic:spPr>
              </pic:pic>
            </a:graphicData>
          </a:graphic>
        </wp:anchor>
      </w:drawing>
    </w:r>
    <w:r>
      <w:rPr>
        <w:noProof/>
        <w:lang w:eastAsia="en-US"/>
      </w:rPr>
      <mc:AlternateContent>
        <mc:Choice Requires="wps">
          <w:drawing>
            <wp:anchor distT="152400" distB="152400" distL="152400" distR="152400" simplePos="0" relativeHeight="251659264" behindDoc="1" locked="0" layoutInCell="1" allowOverlap="1" wp14:anchorId="7D03941B" wp14:editId="0D55C257">
              <wp:simplePos x="0" y="0"/>
              <wp:positionH relativeFrom="page">
                <wp:posOffset>1009014</wp:posOffset>
              </wp:positionH>
              <wp:positionV relativeFrom="page">
                <wp:posOffset>9973309</wp:posOffset>
              </wp:positionV>
              <wp:extent cx="5723891" cy="0"/>
              <wp:effectExtent l="0" t="0" r="0" b="0"/>
              <wp:wrapNone/>
              <wp:docPr id="1073741828" name="officeArt object" descr="Straight Connector 3"/>
              <wp:cNvGraphicFramePr/>
              <a:graphic xmlns:a="http://schemas.openxmlformats.org/drawingml/2006/main">
                <a:graphicData uri="http://schemas.microsoft.com/office/word/2010/wordprocessingShape">
                  <wps:wsp>
                    <wps:cNvCnPr/>
                    <wps:spPr>
                      <a:xfrm>
                        <a:off x="0" y="0"/>
                        <a:ext cx="5723891" cy="0"/>
                      </a:xfrm>
                      <a:prstGeom prst="line">
                        <a:avLst/>
                      </a:prstGeom>
                      <a:noFill/>
                      <a:ln w="12700" cap="flat">
                        <a:solidFill>
                          <a:schemeClr val="accent1"/>
                        </a:solidFill>
                        <a:prstDash val="solid"/>
                        <a:round/>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id="_x0000_s1027" style="visibility:visible;position:absolute;margin-left:79.4pt;margin-top:785.3pt;width:450.7pt;height:0.0pt;z-index:-251657216;mso-position-horizontal:absolute;mso-position-horizontal-relative:page;mso-position-vertical:absolute;mso-position-vertical-relative:page;mso-wrap-distance-left:12.0pt;mso-wrap-distance-top:12.0pt;mso-wrap-distance-right:12.0pt;mso-wrap-distance-bottom:12.0pt;">
              <v:fill on="f"/>
              <v:stroke filltype="solid" color="#2F5773" opacity="100.0%" weight="1.0pt" dashstyle="solid" endcap="flat" joinstyle="round" linestyle="single" startarrow="none" startarrowwidth="medium" startarrowlength="medium" endarrow="none" endarrowwidth="medium" endarrowlength="medium"/>
              <w10:wrap type="none" side="bothSides" anchorx="page" anchory="page"/>
            </v:line>
          </w:pict>
        </mc:Fallback>
      </mc:AlternateContent>
    </w:r>
    <w:r>
      <w:t>CALL for expression of interests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C4F2B"/>
    <w:multiLevelType w:val="hybridMultilevel"/>
    <w:tmpl w:val="E118E290"/>
    <w:styleLink w:val="ImportedStyle4"/>
    <w:lvl w:ilvl="0" w:tplc="581C7FB6">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068D6B6">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F3C6842">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A9408E2">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14C86DA">
      <w:start w:val="1"/>
      <w:numFmt w:val="bullet"/>
      <w:lvlText w:val="o"/>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ABCCA14">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092429C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3563E0C">
      <w:start w:val="1"/>
      <w:numFmt w:val="bullet"/>
      <w:lvlText w:val="o"/>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C903E74">
      <w:start w:val="1"/>
      <w:numFmt w:val="bullet"/>
      <w:lvlText w:val="▪"/>
      <w:lvlJc w:val="left"/>
      <w:pPr>
        <w:ind w:left="68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AA55C6E"/>
    <w:multiLevelType w:val="hybridMultilevel"/>
    <w:tmpl w:val="F0CC4914"/>
    <w:numStyleLink w:val="ImportedStyle3"/>
  </w:abstractNum>
  <w:abstractNum w:abstractNumId="2" w15:restartNumberingAfterBreak="0">
    <w:nsid w:val="20E1168E"/>
    <w:multiLevelType w:val="hybridMultilevel"/>
    <w:tmpl w:val="AF6EACD8"/>
    <w:numStyleLink w:val="ImportedStyle5"/>
  </w:abstractNum>
  <w:abstractNum w:abstractNumId="3" w15:restartNumberingAfterBreak="0">
    <w:nsid w:val="2F103A0B"/>
    <w:multiLevelType w:val="hybridMultilevel"/>
    <w:tmpl w:val="F0CC4914"/>
    <w:styleLink w:val="ImportedStyle3"/>
    <w:lvl w:ilvl="0" w:tplc="DCFEBCF8">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32E4E84">
      <w:start w:val="1"/>
      <w:numFmt w:val="decimal"/>
      <w:lvlText w:val="%2."/>
      <w:lvlJc w:val="left"/>
      <w:pPr>
        <w:ind w:left="1077" w:hanging="325"/>
      </w:pPr>
      <w:rPr>
        <w:rFonts w:hAnsi="Arial Unicode MS"/>
        <w:caps w:val="0"/>
        <w:smallCaps w:val="0"/>
        <w:strike w:val="0"/>
        <w:dstrike w:val="0"/>
        <w:outline w:val="0"/>
        <w:emboss w:val="0"/>
        <w:imprint w:val="0"/>
        <w:spacing w:val="0"/>
        <w:w w:val="100"/>
        <w:kern w:val="0"/>
        <w:position w:val="0"/>
        <w:highlight w:val="none"/>
        <w:vertAlign w:val="baseline"/>
      </w:rPr>
    </w:lvl>
    <w:lvl w:ilvl="2" w:tplc="8C76F3C2">
      <w:start w:val="1"/>
      <w:numFmt w:val="lowerRoman"/>
      <w:lvlText w:val="%3."/>
      <w:lvlJc w:val="left"/>
      <w:pPr>
        <w:ind w:left="1797"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08B6A7B4">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0D5A846E">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159EC11C">
      <w:start w:val="1"/>
      <w:numFmt w:val="lowerRoman"/>
      <w:lvlText w:val="%6."/>
      <w:lvlJc w:val="left"/>
      <w:pPr>
        <w:ind w:left="3957"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DC842D74">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40685282">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DC404432">
      <w:start w:val="1"/>
      <w:numFmt w:val="lowerRoman"/>
      <w:lvlText w:val="%9."/>
      <w:lvlJc w:val="left"/>
      <w:pPr>
        <w:ind w:left="6117"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F5141F2"/>
    <w:multiLevelType w:val="hybridMultilevel"/>
    <w:tmpl w:val="E118E290"/>
    <w:numStyleLink w:val="ImportedStyle4"/>
  </w:abstractNum>
  <w:abstractNum w:abstractNumId="5" w15:restartNumberingAfterBreak="0">
    <w:nsid w:val="4B3F6AD5"/>
    <w:multiLevelType w:val="hybridMultilevel"/>
    <w:tmpl w:val="705CE632"/>
    <w:lvl w:ilvl="0" w:tplc="08090015">
      <w:start w:val="1"/>
      <w:numFmt w:val="upperLetter"/>
      <w:lvlText w:val="%1."/>
      <w:lvlJc w:val="left"/>
      <w:pPr>
        <w:ind w:left="1080" w:hanging="360"/>
      </w:pPr>
      <w:rPr>
        <w:b w:val="0"/>
        <w:bCs w:val="0"/>
        <w:i w:val="0"/>
        <w:iCs w:val="0"/>
        <w:caps w:val="0"/>
        <w:smallCaps w:val="0"/>
        <w:strike w:val="0"/>
        <w:dstrike w:val="0"/>
        <w:outline w:val="0"/>
        <w:emboss w:val="0"/>
        <w:imprint w:val="0"/>
        <w:spacing w:val="0"/>
        <w:w w:val="100"/>
        <w:kern w:val="0"/>
        <w:position w:val="0"/>
        <w:highlight w:val="none"/>
        <w:vertAlign w:val="baseline"/>
      </w:rPr>
    </w:lvl>
    <w:lvl w:ilvl="1" w:tplc="8612F4C6">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FB4D0CC">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494B39A">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7369AB4">
      <w:start w:val="1"/>
      <w:numFmt w:val="bullet"/>
      <w:lvlText w:val="o"/>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BC6400E">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83C585E">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864C3AE">
      <w:start w:val="1"/>
      <w:numFmt w:val="bullet"/>
      <w:lvlText w:val="o"/>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A1188254">
      <w:start w:val="1"/>
      <w:numFmt w:val="bullet"/>
      <w:lvlText w:val="▪"/>
      <w:lvlJc w:val="left"/>
      <w:pPr>
        <w:ind w:left="68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76D2C6C"/>
    <w:multiLevelType w:val="hybridMultilevel"/>
    <w:tmpl w:val="AF6EACD8"/>
    <w:styleLink w:val="ImportedStyle5"/>
    <w:lvl w:ilvl="0" w:tplc="8E281A7C">
      <w:start w:val="1"/>
      <w:numFmt w:val="bullet"/>
      <w:lvlText w:val="-"/>
      <w:lvlJc w:val="left"/>
      <w:pPr>
        <w:ind w:left="927"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56606F6">
      <w:start w:val="1"/>
      <w:numFmt w:val="bullet"/>
      <w:lvlText w:val="o"/>
      <w:lvlJc w:val="left"/>
      <w:pPr>
        <w:ind w:left="1647"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170361A">
      <w:start w:val="1"/>
      <w:numFmt w:val="bullet"/>
      <w:lvlText w:val="▪"/>
      <w:lvlJc w:val="left"/>
      <w:pPr>
        <w:ind w:left="2367"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A14F8C8">
      <w:start w:val="1"/>
      <w:numFmt w:val="bullet"/>
      <w:lvlText w:val="•"/>
      <w:lvlJc w:val="left"/>
      <w:pPr>
        <w:ind w:left="3087"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76A4756">
      <w:start w:val="1"/>
      <w:numFmt w:val="bullet"/>
      <w:lvlText w:val="o"/>
      <w:lvlJc w:val="left"/>
      <w:pPr>
        <w:ind w:left="3807"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534592A">
      <w:start w:val="1"/>
      <w:numFmt w:val="bullet"/>
      <w:lvlText w:val="▪"/>
      <w:lvlJc w:val="left"/>
      <w:pPr>
        <w:ind w:left="4527"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9602406">
      <w:start w:val="1"/>
      <w:numFmt w:val="bullet"/>
      <w:lvlText w:val="•"/>
      <w:lvlJc w:val="left"/>
      <w:pPr>
        <w:ind w:left="5247"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31EE154">
      <w:start w:val="1"/>
      <w:numFmt w:val="bullet"/>
      <w:lvlText w:val="o"/>
      <w:lvlJc w:val="left"/>
      <w:pPr>
        <w:ind w:left="5967"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BA810FA">
      <w:start w:val="1"/>
      <w:numFmt w:val="bullet"/>
      <w:lvlText w:val="▪"/>
      <w:lvlJc w:val="left"/>
      <w:pPr>
        <w:ind w:left="6687"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3"/>
  </w:num>
  <w:num w:numId="2">
    <w:abstractNumId w:val="1"/>
  </w:num>
  <w:num w:numId="3">
    <w:abstractNumId w:val="0"/>
  </w:num>
  <w:num w:numId="4">
    <w:abstractNumId w:val="4"/>
  </w:num>
  <w:num w:numId="5">
    <w:abstractNumId w:val="1"/>
    <w:lvlOverride w:ilvl="0">
      <w:startOverride w:val="8"/>
      <w:lvl w:ilvl="0" w:tplc="05AC1146">
        <w:start w:val="8"/>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5629CF0">
        <w:start w:val="1"/>
        <w:numFmt w:val="decimal"/>
        <w:lvlText w:val="%2."/>
        <w:lvlJc w:val="left"/>
        <w:pPr>
          <w:ind w:left="1080" w:hanging="3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0547C8A">
        <w:start w:val="1"/>
        <w:numFmt w:val="lowerRoman"/>
        <w:lvlText w:val="%3."/>
        <w:lvlJc w:val="left"/>
        <w:pPr>
          <w:ind w:left="180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DA4839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61E20A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062C854">
        <w:start w:val="1"/>
        <w:numFmt w:val="lowerRoman"/>
        <w:lvlText w:val="%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9CC475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79C188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01A6EC0">
        <w:start w:val="1"/>
        <w:numFmt w:val="lowerRoman"/>
        <w:lvlText w:val="%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6"/>
  </w:num>
  <w:num w:numId="7">
    <w:abstractNumId w:val="2"/>
  </w:num>
  <w:num w:numId="8">
    <w:abstractNumId w:val="1"/>
    <w:lvlOverride w:ilvl="0">
      <w:startOverride w:val="9"/>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B18CD"/>
    <w:rsid w:val="00044AD3"/>
    <w:rsid w:val="000547B5"/>
    <w:rsid w:val="00061DEF"/>
    <w:rsid w:val="001E016E"/>
    <w:rsid w:val="001F2128"/>
    <w:rsid w:val="00213304"/>
    <w:rsid w:val="002F3680"/>
    <w:rsid w:val="00331DC4"/>
    <w:rsid w:val="00346CD0"/>
    <w:rsid w:val="00361E85"/>
    <w:rsid w:val="003B18CD"/>
    <w:rsid w:val="004017F3"/>
    <w:rsid w:val="00402F57"/>
    <w:rsid w:val="00413529"/>
    <w:rsid w:val="00436620"/>
    <w:rsid w:val="0049364B"/>
    <w:rsid w:val="004F4580"/>
    <w:rsid w:val="0055553A"/>
    <w:rsid w:val="00562B41"/>
    <w:rsid w:val="005E7BB2"/>
    <w:rsid w:val="005F52C5"/>
    <w:rsid w:val="007345A4"/>
    <w:rsid w:val="00757179"/>
    <w:rsid w:val="008C0C03"/>
    <w:rsid w:val="008E6C04"/>
    <w:rsid w:val="00973283"/>
    <w:rsid w:val="00A30A1B"/>
    <w:rsid w:val="00AD600D"/>
    <w:rsid w:val="00C12B7D"/>
    <w:rsid w:val="00DB58B7"/>
    <w:rsid w:val="00DD5655"/>
    <w:rsid w:val="00F30FB0"/>
    <w:rsid w:val="00FD7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D459C"/>
  <w15:docId w15:val="{EC973960-04FC-435D-988B-97C83A21B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Runningtitle">
    <w:name w:val="Running title"/>
    <w:rPr>
      <w:rFonts w:ascii="Calibri" w:eastAsia="Calibri" w:hAnsi="Calibri" w:cs="Calibri"/>
      <w:caps/>
      <w:color w:val="000000"/>
      <w:sz w:val="16"/>
      <w:szCs w:val="16"/>
      <w:u w:color="000000"/>
      <w:lang w:val="en-US"/>
    </w:rPr>
  </w:style>
  <w:style w:type="paragraph" w:styleId="Footer">
    <w:name w:val="footer"/>
    <w:pPr>
      <w:tabs>
        <w:tab w:val="center" w:pos="4320"/>
        <w:tab w:val="right" w:pos="8640"/>
      </w:tabs>
    </w:pPr>
    <w:rPr>
      <w:rFonts w:ascii="Calibri" w:eastAsia="Calibri" w:hAnsi="Calibri" w:cs="Calibri"/>
      <w:color w:val="000000"/>
      <w:sz w:val="22"/>
      <w:szCs w:val="22"/>
      <w:u w:color="000000"/>
      <w:lang w:val="en-US"/>
    </w:rPr>
  </w:style>
  <w:style w:type="paragraph" w:customStyle="1" w:styleId="Body">
    <w:name w:val="Body"/>
    <w:rPr>
      <w:rFonts w:ascii="Calibri" w:eastAsia="Calibri" w:hAnsi="Calibri" w:cs="Calibri"/>
      <w:color w:val="000000"/>
      <w:sz w:val="22"/>
      <w:szCs w:val="22"/>
      <w:u w:color="000000"/>
    </w:rPr>
  </w:style>
  <w:style w:type="paragraph" w:customStyle="1" w:styleId="Titlelevel1">
    <w:name w:val="Title level 1"/>
    <w:pPr>
      <w:pBdr>
        <w:bottom w:val="single" w:sz="8" w:space="0" w:color="2F5773"/>
      </w:pBdr>
      <w:spacing w:before="360" w:after="600" w:line="560" w:lineRule="exact"/>
    </w:pPr>
    <w:rPr>
      <w:rFonts w:ascii="Calibri" w:eastAsia="Calibri" w:hAnsi="Calibri" w:cs="Calibri"/>
      <w:color w:val="2F5773"/>
      <w:spacing w:val="5"/>
      <w:kern w:val="28"/>
      <w:sz w:val="52"/>
      <w:szCs w:val="52"/>
      <w:u w:color="2F5773"/>
      <w:lang w:val="en-US"/>
    </w:rPr>
  </w:style>
  <w:style w:type="paragraph" w:customStyle="1" w:styleId="Titlelevel2">
    <w:name w:val="Title level 2"/>
    <w:pPr>
      <w:spacing w:before="240" w:after="240"/>
    </w:pPr>
    <w:rPr>
      <w:rFonts w:ascii="Calibri" w:eastAsia="Calibri" w:hAnsi="Calibri" w:cs="Calibri"/>
      <w:color w:val="2F5773"/>
      <w:sz w:val="32"/>
      <w:szCs w:val="32"/>
      <w:u w:color="2F5773"/>
      <w:lang w:val="en-US"/>
    </w:rPr>
  </w:style>
  <w:style w:type="paragraph" w:styleId="ListParagraph">
    <w:name w:val="List Paragraph"/>
    <w:pPr>
      <w:ind w:left="720"/>
    </w:pPr>
    <w:rPr>
      <w:rFonts w:ascii="Calibri" w:eastAsia="Calibri" w:hAnsi="Calibri" w:cs="Calibri"/>
      <w:color w:val="000000"/>
      <w:sz w:val="22"/>
      <w:szCs w:val="22"/>
      <w:u w:color="000000"/>
      <w:lang w:val="en-US"/>
    </w:rPr>
  </w:style>
  <w:style w:type="numbering" w:customStyle="1" w:styleId="ImportedStyle3">
    <w:name w:val="Imported Style 3"/>
    <w:pPr>
      <w:numPr>
        <w:numId w:val="1"/>
      </w:numPr>
    </w:p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4">
    <w:name w:val="Imported Style 4"/>
    <w:pPr>
      <w:numPr>
        <w:numId w:val="3"/>
      </w:numPr>
    </w:pPr>
  </w:style>
  <w:style w:type="numbering" w:customStyle="1" w:styleId="ImportedStyle5">
    <w:name w:val="Imported Style 5"/>
    <w:pPr>
      <w:numPr>
        <w:numId w:val="6"/>
      </w:numPr>
    </w:pPr>
  </w:style>
  <w:style w:type="character" w:customStyle="1" w:styleId="Hyperlink0">
    <w:name w:val="Hyperlink.0"/>
    <w:basedOn w:val="Hyperlink"/>
    <w:rPr>
      <w:color w:val="2F5773"/>
      <w:u w:val="single" w:color="2F5773"/>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E01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16E"/>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8C0C03"/>
    <w:rPr>
      <w:b/>
      <w:bCs/>
    </w:rPr>
  </w:style>
  <w:style w:type="character" w:customStyle="1" w:styleId="CommentSubjectChar">
    <w:name w:val="Comment Subject Char"/>
    <w:basedOn w:val="CommentTextChar"/>
    <w:link w:val="CommentSubject"/>
    <w:uiPriority w:val="99"/>
    <w:semiHidden/>
    <w:rsid w:val="008C0C03"/>
    <w:rPr>
      <w:b/>
      <w:bCs/>
      <w:lang w:val="en-US" w:eastAsia="en-US"/>
    </w:rPr>
  </w:style>
  <w:style w:type="paragraph" w:styleId="Header">
    <w:name w:val="header"/>
    <w:basedOn w:val="Normal"/>
    <w:link w:val="HeaderChar"/>
    <w:uiPriority w:val="99"/>
    <w:unhideWhenUsed/>
    <w:rsid w:val="00973283"/>
    <w:pPr>
      <w:tabs>
        <w:tab w:val="center" w:pos="4513"/>
        <w:tab w:val="right" w:pos="9026"/>
      </w:tabs>
    </w:pPr>
  </w:style>
  <w:style w:type="character" w:customStyle="1" w:styleId="HeaderChar">
    <w:name w:val="Header Char"/>
    <w:basedOn w:val="DefaultParagraphFont"/>
    <w:link w:val="Header"/>
    <w:uiPriority w:val="99"/>
    <w:rsid w:val="00973283"/>
    <w:rPr>
      <w:sz w:val="24"/>
      <w:szCs w:val="24"/>
      <w:lang w:val="en-US" w:eastAsia="en-US"/>
    </w:rPr>
  </w:style>
  <w:style w:type="character" w:styleId="FollowedHyperlink">
    <w:name w:val="FollowedHyperlink"/>
    <w:basedOn w:val="DefaultParagraphFont"/>
    <w:uiPriority w:val="99"/>
    <w:semiHidden/>
    <w:unhideWhenUsed/>
    <w:rsid w:val="00FD7285"/>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ba.europa.eu/regulation-and-policy/payment-services-and-electronic-money/guidelines-on-the-conditions-to-be-met-to-benefit-from-an-exemption-from-contingency-measures-under-article-33-6-of-regulation-eu-2018/389-rts-on-sca-cs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ur-lex.europa.eu/legal-content/EN/TXT/?qid=1541765147249&amp;uri=CELEX:32018R0389" TargetMode="External"/><Relationship Id="rId12" Type="http://schemas.openxmlformats.org/officeDocument/2006/relationships/hyperlink" Target="https://eba.europa.eu/expression-of-interest-for-eba-working-group-on-apis-under-psd2"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ba.europa.eu/single-rule-book-q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ba.europa.eu/-/eba-publishes-an-opinion-on-the-use-of-eidas-certificates-under-psd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ba.europa.eu/-/eba-publishes-opinion-on-the-implementation-of-the-rts-on-strong-customer-authentication-and-common-and-secure-communicatio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BA template">
  <a:themeElements>
    <a:clrScheme name="EBA template">
      <a:dk1>
        <a:srgbClr val="000000"/>
      </a:dk1>
      <a:lt1>
        <a:srgbClr val="FFFFFF"/>
      </a:lt1>
      <a:dk2>
        <a:srgbClr val="A7A7A7"/>
      </a:dk2>
      <a:lt2>
        <a:srgbClr val="535353"/>
      </a:lt2>
      <a:accent1>
        <a:srgbClr val="2F5773"/>
      </a:accent1>
      <a:accent2>
        <a:srgbClr val="EA933B"/>
      </a:accent2>
      <a:accent3>
        <a:srgbClr val="D44D2A"/>
      </a:accent3>
      <a:accent4>
        <a:srgbClr val="49AB74"/>
      </a:accent4>
      <a:accent5>
        <a:srgbClr val="52666E"/>
      </a:accent5>
      <a:accent6>
        <a:srgbClr val="163A5A"/>
      </a:accent6>
      <a:hlink>
        <a:srgbClr val="0000FF"/>
      </a:hlink>
      <a:folHlink>
        <a:srgbClr val="FF00FF"/>
      </a:folHlink>
    </a:clrScheme>
    <a:fontScheme name="EBA template">
      <a:majorFont>
        <a:latin typeface="Helvetica Neue"/>
        <a:ea typeface="Helvetica Neue"/>
        <a:cs typeface="Helvetica Neue"/>
      </a:majorFont>
      <a:minorFont>
        <a:latin typeface="Helvetica Neue"/>
        <a:ea typeface="Helvetica Neue"/>
        <a:cs typeface="Helvetica Neue"/>
      </a:minorFont>
    </a:fontScheme>
    <a:fmtScheme name="EBA templa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European Banking Authority</Company>
  <LinksUpToDate>false</LinksUpToDate>
  <CharactersWithSpaces>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Dirk Haubrich</dc:creator>
  <cp:lastModifiedBy>Loukas Tzelis</cp:lastModifiedBy>
  <cp:revision>3</cp:revision>
  <dcterms:created xsi:type="dcterms:W3CDTF">2018-12-13T17:14:00Z</dcterms:created>
  <dcterms:modified xsi:type="dcterms:W3CDTF">2018-12-14T09:04:00Z</dcterms:modified>
</cp:coreProperties>
</file>