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84" w:rsidRPr="007F5684" w:rsidRDefault="007F5684" w:rsidP="007F5684">
      <w:pPr>
        <w:pStyle w:val="Instructionsberschrift2"/>
        <w:numPr>
          <w:ilvl w:val="0"/>
          <w:numId w:val="0"/>
        </w:numPr>
        <w:ind w:left="357"/>
        <w:rPr>
          <w:rFonts w:ascii="Times New Roman" w:hAnsi="Times New Roman" w:cs="Times New Roman"/>
          <w:sz w:val="24"/>
        </w:rPr>
      </w:pPr>
    </w:p>
    <w:p w:rsidR="007F5684" w:rsidRPr="00D36144" w:rsidRDefault="007F5684" w:rsidP="007F5684">
      <w:pPr>
        <w:pStyle w:val="Numberedheadinglevel2"/>
        <w:numPr>
          <w:ilvl w:val="0"/>
          <w:numId w:val="0"/>
        </w:numPr>
        <w:ind w:left="567" w:hanging="567"/>
      </w:pPr>
      <w:r w:rsidRPr="00D36144">
        <w:t>ANNEX</w:t>
      </w:r>
      <w:r>
        <w:t xml:space="preserve"> IV</w:t>
      </w:r>
    </w:p>
    <w:p w:rsidR="007F5684" w:rsidRPr="00392C32" w:rsidRDefault="007F5684" w:rsidP="007F5684">
      <w:pPr>
        <w:pStyle w:val="Heading2"/>
        <w:rPr>
          <w:rFonts w:ascii="Times New Roman" w:hAnsi="Times New Roman"/>
          <w:sz w:val="20"/>
          <w:szCs w:val="20"/>
        </w:rPr>
      </w:pPr>
      <w:r>
        <w:rPr>
          <w:rFonts w:ascii="Times New Roman" w:hAnsi="Times New Roman"/>
          <w:sz w:val="20"/>
          <w:szCs w:val="20"/>
        </w:rPr>
        <w:t xml:space="preserve">INSTRUCTIONS FOR COMPLETING THE ADDITIONAL MONITORING TOOLS </w:t>
      </w:r>
      <w:r w:rsidRPr="00392C32">
        <w:rPr>
          <w:rFonts w:ascii="Times New Roman" w:hAnsi="Times New Roman"/>
          <w:sz w:val="20"/>
          <w:szCs w:val="20"/>
        </w:rPr>
        <w:t xml:space="preserve">TEMPLATE </w:t>
      </w:r>
      <w:r>
        <w:rPr>
          <w:rFonts w:ascii="Times New Roman" w:hAnsi="Times New Roman"/>
          <w:sz w:val="20"/>
          <w:szCs w:val="20"/>
        </w:rPr>
        <w:t xml:space="preserve">OF ANNEX III </w:t>
      </w:r>
    </w:p>
    <w:p w:rsidR="007F5684" w:rsidRPr="007F5684" w:rsidRDefault="007F5684" w:rsidP="007F5684">
      <w:pPr>
        <w:pStyle w:val="Instructionsberschrift2"/>
        <w:numPr>
          <w:ilvl w:val="0"/>
          <w:numId w:val="0"/>
        </w:numPr>
        <w:ind w:left="357"/>
        <w:rPr>
          <w:rFonts w:ascii="Times New Roman" w:hAnsi="Times New Roman" w:cs="Times New Roman"/>
          <w:szCs w:val="20"/>
        </w:rPr>
      </w:pPr>
    </w:p>
    <w:p w:rsidR="00D02FE4" w:rsidRPr="007F5684" w:rsidRDefault="00181260" w:rsidP="00432D9F">
      <w:pPr>
        <w:pStyle w:val="Instructionsberschrift2"/>
        <w:numPr>
          <w:ilvl w:val="0"/>
          <w:numId w:val="2"/>
        </w:numPr>
        <w:rPr>
          <w:rFonts w:ascii="Times New Roman" w:hAnsi="Times New Roman" w:cs="Times New Roman"/>
          <w:szCs w:val="20"/>
        </w:rPr>
      </w:pPr>
      <w:r w:rsidRPr="007F5684">
        <w:rPr>
          <w:rFonts w:ascii="Times New Roman" w:hAnsi="Times New Roman" w:cs="Times New Roman"/>
          <w:szCs w:val="20"/>
        </w:rPr>
        <w:t>Additional Monitoring Tools</w:t>
      </w:r>
    </w:p>
    <w:p w:rsidR="00D02FE4" w:rsidRPr="007F5684" w:rsidRDefault="00D02FE4" w:rsidP="00432D9F">
      <w:pPr>
        <w:pStyle w:val="Instructionsberschrift2"/>
        <w:numPr>
          <w:ilvl w:val="1"/>
          <w:numId w:val="2"/>
        </w:numPr>
        <w:rPr>
          <w:rFonts w:ascii="Times New Roman" w:hAnsi="Times New Roman" w:cs="Times New Roman"/>
          <w:szCs w:val="20"/>
        </w:rPr>
      </w:pPr>
      <w:bookmarkStart w:id="0" w:name="_Toc308175819"/>
      <w:bookmarkStart w:id="1" w:name="_Toc310414966"/>
      <w:r w:rsidRPr="007F5684">
        <w:rPr>
          <w:rFonts w:ascii="Times New Roman" w:hAnsi="Times New Roman" w:cs="Times New Roman"/>
          <w:szCs w:val="20"/>
        </w:rPr>
        <w:t>General remarks</w:t>
      </w:r>
      <w:bookmarkEnd w:id="0"/>
      <w:bookmarkEnd w:id="1"/>
    </w:p>
    <w:p w:rsidR="00C079B7" w:rsidRPr="007F5684" w:rsidRDefault="005816E8" w:rsidP="00432D9F">
      <w:pPr>
        <w:pStyle w:val="InstructionsText2"/>
        <w:numPr>
          <w:ilvl w:val="0"/>
          <w:numId w:val="4"/>
        </w:numPr>
        <w:rPr>
          <w:szCs w:val="20"/>
          <w:u w:val="none"/>
        </w:rPr>
      </w:pPr>
      <w:r w:rsidRPr="007F5684">
        <w:rPr>
          <w:szCs w:val="20"/>
          <w:u w:val="none"/>
        </w:rPr>
        <w:t xml:space="preserve">The </w:t>
      </w:r>
      <w:r w:rsidR="000275A3" w:rsidRPr="007F5684">
        <w:rPr>
          <w:szCs w:val="20"/>
          <w:u w:val="none"/>
        </w:rPr>
        <w:t>summary template</w:t>
      </w:r>
      <w:r w:rsidRPr="007F5684">
        <w:rPr>
          <w:szCs w:val="20"/>
          <w:u w:val="none"/>
        </w:rPr>
        <w:t xml:space="preserve"> contained in Annex III</w:t>
      </w:r>
      <w:r w:rsidR="000275A3" w:rsidRPr="007F5684">
        <w:rPr>
          <w:szCs w:val="20"/>
          <w:u w:val="none"/>
        </w:rPr>
        <w:t xml:space="preserve"> is designed to monitor </w:t>
      </w:r>
      <w:r w:rsidR="00C079B7" w:rsidRPr="007F5684">
        <w:rPr>
          <w:szCs w:val="20"/>
          <w:u w:val="none"/>
        </w:rPr>
        <w:t>an institution’s</w:t>
      </w:r>
      <w:r w:rsidR="000275A3" w:rsidRPr="007F5684">
        <w:rPr>
          <w:szCs w:val="20"/>
          <w:u w:val="none"/>
        </w:rPr>
        <w:t xml:space="preserve"> liquidity</w:t>
      </w:r>
      <w:r w:rsidR="00C079B7" w:rsidRPr="007F5684">
        <w:rPr>
          <w:szCs w:val="20"/>
          <w:u w:val="none"/>
        </w:rPr>
        <w:t xml:space="preserve"> risk that</w:t>
      </w:r>
      <w:r w:rsidR="000275A3" w:rsidRPr="007F5684">
        <w:rPr>
          <w:szCs w:val="20"/>
          <w:u w:val="none"/>
        </w:rPr>
        <w:t xml:space="preserve"> falls outside of the scope of the reports on </w:t>
      </w:r>
      <w:r w:rsidR="00C079B7" w:rsidRPr="007F5684">
        <w:rPr>
          <w:szCs w:val="20"/>
          <w:u w:val="none"/>
        </w:rPr>
        <w:t>L</w:t>
      </w:r>
      <w:r w:rsidR="000275A3" w:rsidRPr="007F5684">
        <w:rPr>
          <w:szCs w:val="20"/>
          <w:u w:val="none"/>
        </w:rPr>
        <w:t xml:space="preserve">iquidity </w:t>
      </w:r>
      <w:r w:rsidR="00E179DF" w:rsidRPr="007F5684">
        <w:rPr>
          <w:szCs w:val="20"/>
          <w:u w:val="none"/>
        </w:rPr>
        <w:t>C</w:t>
      </w:r>
      <w:r w:rsidR="000275A3" w:rsidRPr="007F5684">
        <w:rPr>
          <w:szCs w:val="20"/>
          <w:u w:val="none"/>
        </w:rPr>
        <w:t xml:space="preserve">overage and </w:t>
      </w:r>
      <w:r w:rsidR="00C079B7" w:rsidRPr="007F5684">
        <w:rPr>
          <w:szCs w:val="20"/>
          <w:u w:val="none"/>
        </w:rPr>
        <w:t>Stable F</w:t>
      </w:r>
      <w:r w:rsidR="000275A3" w:rsidRPr="007F5684">
        <w:rPr>
          <w:szCs w:val="20"/>
          <w:u w:val="none"/>
        </w:rPr>
        <w:t xml:space="preserve">unding. </w:t>
      </w:r>
    </w:p>
    <w:p w:rsidR="00174208" w:rsidRPr="007F5684" w:rsidRDefault="00174208" w:rsidP="00174208">
      <w:pPr>
        <w:pStyle w:val="InstructionsText2"/>
        <w:numPr>
          <w:ilvl w:val="0"/>
          <w:numId w:val="0"/>
        </w:numPr>
        <w:spacing w:after="0"/>
        <w:ind w:left="714"/>
        <w:rPr>
          <w:szCs w:val="20"/>
          <w:u w:val="none"/>
        </w:rPr>
      </w:pPr>
    </w:p>
    <w:p w:rsidR="00174208" w:rsidRPr="007F5684" w:rsidRDefault="006000DF" w:rsidP="00432D9F">
      <w:pPr>
        <w:pStyle w:val="Instructionsberschrift2"/>
        <w:numPr>
          <w:ilvl w:val="1"/>
          <w:numId w:val="2"/>
        </w:numPr>
        <w:spacing w:before="0"/>
        <w:rPr>
          <w:rFonts w:ascii="Times New Roman" w:hAnsi="Times New Roman" w:cs="Times New Roman"/>
          <w:szCs w:val="20"/>
        </w:rPr>
      </w:pPr>
      <w:r w:rsidRPr="007F5684">
        <w:rPr>
          <w:rFonts w:ascii="Times New Roman" w:hAnsi="Times New Roman" w:cs="Times New Roman"/>
          <w:szCs w:val="20"/>
        </w:rPr>
        <w:t>Concentration of funding by counterparty</w:t>
      </w:r>
    </w:p>
    <w:p w:rsidR="00510487" w:rsidRPr="007F5684" w:rsidRDefault="00510487" w:rsidP="00432D9F">
      <w:pPr>
        <w:pStyle w:val="InstructionsText2"/>
        <w:numPr>
          <w:ilvl w:val="0"/>
          <w:numId w:val="6"/>
        </w:numPr>
        <w:rPr>
          <w:szCs w:val="20"/>
          <w:u w:val="none"/>
        </w:rPr>
      </w:pPr>
      <w:r w:rsidRPr="007F5684">
        <w:rPr>
          <w:szCs w:val="20"/>
          <w:u w:val="none"/>
        </w:rPr>
        <w:t>This template seeks to collect information about the reporting institutions’ concentration of funding by counterparty.</w:t>
      </w:r>
    </w:p>
    <w:p w:rsidR="00AC59C8" w:rsidRPr="007F5684" w:rsidRDefault="00AC59C8" w:rsidP="00432D9F">
      <w:pPr>
        <w:pStyle w:val="InstructionsText2"/>
        <w:numPr>
          <w:ilvl w:val="0"/>
          <w:numId w:val="6"/>
        </w:numPr>
        <w:rPr>
          <w:szCs w:val="20"/>
          <w:u w:val="none"/>
        </w:rPr>
      </w:pPr>
      <w:r w:rsidRPr="007F5684">
        <w:rPr>
          <w:szCs w:val="20"/>
          <w:u w:val="none"/>
        </w:rPr>
        <w:t>For the purpose of completing this template:</w:t>
      </w:r>
    </w:p>
    <w:p w:rsidR="00AC59C8" w:rsidRPr="007F5684" w:rsidRDefault="00AC59C8" w:rsidP="005816E8">
      <w:pPr>
        <w:pStyle w:val="InstructionsText2"/>
        <w:numPr>
          <w:ilvl w:val="1"/>
          <w:numId w:val="9"/>
        </w:numPr>
        <w:ind w:left="1080" w:hanging="360"/>
        <w:rPr>
          <w:szCs w:val="20"/>
          <w:u w:val="none"/>
        </w:rPr>
      </w:pPr>
      <w:r w:rsidRPr="007F5684">
        <w:rPr>
          <w:szCs w:val="20"/>
          <w:u w:val="none"/>
        </w:rPr>
        <w:t xml:space="preserve">Institutions </w:t>
      </w:r>
      <w:r w:rsidR="006A7234" w:rsidRPr="007F5684">
        <w:rPr>
          <w:szCs w:val="20"/>
          <w:u w:val="none"/>
        </w:rPr>
        <w:t>shall</w:t>
      </w:r>
      <w:r w:rsidRPr="007F5684">
        <w:rPr>
          <w:szCs w:val="20"/>
          <w:u w:val="none"/>
        </w:rPr>
        <w:t xml:space="preserve"> report </w:t>
      </w:r>
      <w:r w:rsidR="00A007A8" w:rsidRPr="007F5684">
        <w:rPr>
          <w:szCs w:val="20"/>
          <w:u w:val="none"/>
        </w:rPr>
        <w:t>the top ten largest</w:t>
      </w:r>
      <w:r w:rsidR="00DB0D87" w:rsidRPr="007F5684">
        <w:rPr>
          <w:szCs w:val="20"/>
          <w:u w:val="none"/>
        </w:rPr>
        <w:t xml:space="preserve"> counterparties </w:t>
      </w:r>
      <w:r w:rsidR="009C0493" w:rsidRPr="007F5684">
        <w:rPr>
          <w:szCs w:val="20"/>
          <w:u w:val="none"/>
        </w:rPr>
        <w:t xml:space="preserve">or a group of connected clients </w:t>
      </w:r>
      <w:r w:rsidR="008F741B" w:rsidRPr="007F5684">
        <w:rPr>
          <w:szCs w:val="20"/>
          <w:u w:val="none"/>
        </w:rPr>
        <w:t xml:space="preserve">according to Article 4 (46) CRR </w:t>
      </w:r>
      <w:r w:rsidR="00DB0D87" w:rsidRPr="007F5684">
        <w:rPr>
          <w:szCs w:val="20"/>
          <w:u w:val="none"/>
        </w:rPr>
        <w:t xml:space="preserve">from </w:t>
      </w:r>
      <w:r w:rsidR="002F687B" w:rsidRPr="007F5684">
        <w:rPr>
          <w:szCs w:val="20"/>
          <w:u w:val="none"/>
        </w:rPr>
        <w:t>which</w:t>
      </w:r>
      <w:r w:rsidR="00DB0D87" w:rsidRPr="007F5684">
        <w:rPr>
          <w:szCs w:val="20"/>
          <w:u w:val="none"/>
        </w:rPr>
        <w:t xml:space="preserve"> funding obtained exceeds </w:t>
      </w:r>
      <w:r w:rsidR="00AF270F" w:rsidRPr="007F5684">
        <w:rPr>
          <w:szCs w:val="20"/>
          <w:u w:val="none"/>
        </w:rPr>
        <w:t>a threshold of 1</w:t>
      </w:r>
      <w:r w:rsidR="00DB0D87" w:rsidRPr="007F5684">
        <w:rPr>
          <w:szCs w:val="20"/>
          <w:u w:val="none"/>
        </w:rPr>
        <w:t>% of total liabilities</w:t>
      </w:r>
      <w:r w:rsidR="00F16DD6" w:rsidRPr="007F5684">
        <w:rPr>
          <w:szCs w:val="20"/>
          <w:u w:val="none"/>
        </w:rPr>
        <w:t xml:space="preserve"> in the </w:t>
      </w:r>
      <w:proofErr w:type="spellStart"/>
      <w:r w:rsidR="00F16DD6" w:rsidRPr="007F5684">
        <w:rPr>
          <w:szCs w:val="20"/>
          <w:u w:val="none"/>
        </w:rPr>
        <w:t>sublines</w:t>
      </w:r>
      <w:proofErr w:type="spellEnd"/>
      <w:r w:rsidR="00F16DD6" w:rsidRPr="007F5684">
        <w:rPr>
          <w:szCs w:val="20"/>
          <w:u w:val="none"/>
        </w:rPr>
        <w:t xml:space="preserve"> of section 1 of the template</w:t>
      </w:r>
      <w:r w:rsidR="00DB0D87" w:rsidRPr="007F5684">
        <w:rPr>
          <w:szCs w:val="20"/>
          <w:u w:val="none"/>
        </w:rPr>
        <w:t>.</w:t>
      </w:r>
      <w:r w:rsidR="00F16DD6" w:rsidRPr="007F5684">
        <w:rPr>
          <w:szCs w:val="20"/>
          <w:u w:val="none"/>
        </w:rPr>
        <w:t xml:space="preserve"> </w:t>
      </w:r>
      <w:r w:rsidR="005816E8" w:rsidRPr="007F5684">
        <w:rPr>
          <w:szCs w:val="20"/>
          <w:u w:val="none"/>
        </w:rPr>
        <w:t>Thus</w:t>
      </w:r>
      <w:r w:rsidR="00AF270F" w:rsidRPr="007F5684">
        <w:rPr>
          <w:szCs w:val="20"/>
          <w:u w:val="none"/>
        </w:rPr>
        <w:t>, the counterparty reported</w:t>
      </w:r>
      <w:r w:rsidR="00DB0D87" w:rsidRPr="007F5684">
        <w:rPr>
          <w:szCs w:val="20"/>
          <w:u w:val="none"/>
        </w:rPr>
        <w:t xml:space="preserve"> in </w:t>
      </w:r>
      <w:r w:rsidRPr="007F5684">
        <w:rPr>
          <w:szCs w:val="20"/>
          <w:u w:val="none"/>
        </w:rPr>
        <w:t>item 1</w:t>
      </w:r>
      <w:r w:rsidR="00A007A8" w:rsidRPr="007F5684">
        <w:rPr>
          <w:szCs w:val="20"/>
          <w:u w:val="none"/>
        </w:rPr>
        <w:t xml:space="preserve">.01 </w:t>
      </w:r>
      <w:r w:rsidR="006A7234" w:rsidRPr="007F5684">
        <w:rPr>
          <w:szCs w:val="20"/>
          <w:u w:val="none"/>
        </w:rPr>
        <w:t>shall</w:t>
      </w:r>
      <w:r w:rsidR="00AF270F" w:rsidRPr="007F5684">
        <w:rPr>
          <w:szCs w:val="20"/>
          <w:u w:val="none"/>
        </w:rPr>
        <w:t xml:space="preserve"> be</w:t>
      </w:r>
      <w:r w:rsidRPr="007F5684">
        <w:rPr>
          <w:szCs w:val="20"/>
          <w:u w:val="none"/>
        </w:rPr>
        <w:t xml:space="preserve"> the largest amount of funding received from one counterparty</w:t>
      </w:r>
      <w:r w:rsidR="00DB0D87" w:rsidRPr="007F5684">
        <w:rPr>
          <w:szCs w:val="20"/>
          <w:u w:val="none"/>
        </w:rPr>
        <w:t xml:space="preserve"> which is above the </w:t>
      </w:r>
      <w:r w:rsidR="00AF270F" w:rsidRPr="007F5684">
        <w:rPr>
          <w:szCs w:val="20"/>
          <w:u w:val="none"/>
        </w:rPr>
        <w:t>1</w:t>
      </w:r>
      <w:r w:rsidR="00DB0D87" w:rsidRPr="007F5684">
        <w:rPr>
          <w:szCs w:val="20"/>
          <w:u w:val="none"/>
        </w:rPr>
        <w:t xml:space="preserve">% threshold as at the reporting date; </w:t>
      </w:r>
      <w:r w:rsidRPr="007F5684">
        <w:rPr>
          <w:szCs w:val="20"/>
          <w:u w:val="none"/>
        </w:rPr>
        <w:t>ite</w:t>
      </w:r>
      <w:r w:rsidR="00DB0D87" w:rsidRPr="007F5684">
        <w:rPr>
          <w:szCs w:val="20"/>
          <w:u w:val="none"/>
        </w:rPr>
        <w:t xml:space="preserve">m </w:t>
      </w:r>
      <w:r w:rsidR="00A007A8" w:rsidRPr="007F5684">
        <w:rPr>
          <w:szCs w:val="20"/>
          <w:u w:val="none"/>
        </w:rPr>
        <w:t>1.0</w:t>
      </w:r>
      <w:r w:rsidR="00DB0D87" w:rsidRPr="007F5684">
        <w:rPr>
          <w:szCs w:val="20"/>
          <w:u w:val="none"/>
        </w:rPr>
        <w:t xml:space="preserve">2 </w:t>
      </w:r>
      <w:r w:rsidR="006A7234" w:rsidRPr="007F5684">
        <w:rPr>
          <w:szCs w:val="20"/>
          <w:u w:val="none"/>
        </w:rPr>
        <w:t>shall</w:t>
      </w:r>
      <w:r w:rsidR="00AF270F" w:rsidRPr="007F5684">
        <w:rPr>
          <w:szCs w:val="20"/>
          <w:u w:val="none"/>
        </w:rPr>
        <w:t xml:space="preserve"> be</w:t>
      </w:r>
      <w:r w:rsidR="00DB0D87" w:rsidRPr="007F5684">
        <w:rPr>
          <w:szCs w:val="20"/>
          <w:u w:val="none"/>
        </w:rPr>
        <w:t xml:space="preserve"> the second largest;</w:t>
      </w:r>
      <w:r w:rsidRPr="007F5684">
        <w:rPr>
          <w:szCs w:val="20"/>
          <w:u w:val="none"/>
        </w:rPr>
        <w:t xml:space="preserve"> and so on.</w:t>
      </w:r>
    </w:p>
    <w:p w:rsidR="00F16DD6" w:rsidRPr="007F5684" w:rsidRDefault="00F16DD6" w:rsidP="00235A84">
      <w:pPr>
        <w:pStyle w:val="InstructionsText2"/>
        <w:numPr>
          <w:ilvl w:val="1"/>
          <w:numId w:val="9"/>
        </w:numPr>
        <w:ind w:left="1080" w:hanging="360"/>
        <w:rPr>
          <w:szCs w:val="20"/>
          <w:u w:val="none"/>
        </w:rPr>
      </w:pPr>
      <w:r w:rsidRPr="007F5684">
        <w:rPr>
          <w:szCs w:val="20"/>
          <w:u w:val="none"/>
        </w:rPr>
        <w:t xml:space="preserve">Institutions </w:t>
      </w:r>
      <w:r w:rsidR="006A7234" w:rsidRPr="007F5684">
        <w:rPr>
          <w:szCs w:val="20"/>
          <w:u w:val="none"/>
        </w:rPr>
        <w:t>shall</w:t>
      </w:r>
      <w:r w:rsidRPr="007F5684">
        <w:rPr>
          <w:szCs w:val="20"/>
          <w:u w:val="none"/>
        </w:rPr>
        <w:t xml:space="preserve"> report all other liabilities in section 2.</w:t>
      </w:r>
    </w:p>
    <w:p w:rsidR="00F16DD6" w:rsidRPr="007F5684" w:rsidRDefault="00F16DD6" w:rsidP="00235A84">
      <w:pPr>
        <w:pStyle w:val="InstructionsText2"/>
        <w:numPr>
          <w:ilvl w:val="1"/>
          <w:numId w:val="9"/>
        </w:numPr>
        <w:ind w:left="1080" w:hanging="360"/>
        <w:rPr>
          <w:szCs w:val="20"/>
          <w:u w:val="none"/>
        </w:rPr>
      </w:pPr>
      <w:r w:rsidRPr="007F5684">
        <w:rPr>
          <w:szCs w:val="20"/>
          <w:u w:val="none"/>
        </w:rPr>
        <w:t xml:space="preserve">The totals of section 1 and section 2 </w:t>
      </w:r>
      <w:r w:rsidR="006A7234" w:rsidRPr="007F5684">
        <w:rPr>
          <w:szCs w:val="20"/>
          <w:u w:val="none"/>
        </w:rPr>
        <w:t>shall</w:t>
      </w:r>
      <w:r w:rsidRPr="007F5684">
        <w:rPr>
          <w:szCs w:val="20"/>
          <w:u w:val="none"/>
        </w:rPr>
        <w:t xml:space="preserve"> equal an institution</w:t>
      </w:r>
      <w:r w:rsidR="005816E8" w:rsidRPr="007F5684">
        <w:rPr>
          <w:szCs w:val="20"/>
          <w:u w:val="none"/>
        </w:rPr>
        <w:t>’</w:t>
      </w:r>
      <w:r w:rsidRPr="007F5684">
        <w:rPr>
          <w:szCs w:val="20"/>
          <w:u w:val="none"/>
        </w:rPr>
        <w:t>s total liabilities as per its balance sheet.</w:t>
      </w:r>
    </w:p>
    <w:p w:rsidR="00AF270F" w:rsidRPr="007F5684" w:rsidRDefault="009032C6" w:rsidP="00AF270F">
      <w:pPr>
        <w:pStyle w:val="InstructionsText2"/>
        <w:numPr>
          <w:ilvl w:val="0"/>
          <w:numId w:val="6"/>
        </w:numPr>
        <w:rPr>
          <w:szCs w:val="20"/>
          <w:u w:val="none"/>
        </w:rPr>
      </w:pPr>
      <w:r w:rsidRPr="007F5684">
        <w:rPr>
          <w:szCs w:val="20"/>
          <w:u w:val="none"/>
        </w:rPr>
        <w:t xml:space="preserve">For each counterparty, institutions </w:t>
      </w:r>
      <w:r w:rsidR="006A7234" w:rsidRPr="007F5684">
        <w:rPr>
          <w:szCs w:val="20"/>
          <w:u w:val="none"/>
        </w:rPr>
        <w:t>shall</w:t>
      </w:r>
      <w:r w:rsidRPr="007F5684">
        <w:rPr>
          <w:szCs w:val="20"/>
          <w:u w:val="none"/>
        </w:rPr>
        <w:t xml:space="preserve"> record</w:t>
      </w:r>
      <w:r w:rsidR="0016014D" w:rsidRPr="007F5684">
        <w:rPr>
          <w:szCs w:val="20"/>
          <w:u w:val="none"/>
        </w:rPr>
        <w:t xml:space="preserve"> the following components:</w:t>
      </w:r>
    </w:p>
    <w:p w:rsidR="0016014D" w:rsidRPr="007F5684" w:rsidRDefault="0016014D" w:rsidP="005816E8">
      <w:pPr>
        <w:pStyle w:val="InstructionsText2"/>
        <w:numPr>
          <w:ilvl w:val="1"/>
          <w:numId w:val="10"/>
        </w:numPr>
        <w:ind w:left="993" w:hanging="273"/>
        <w:rPr>
          <w:szCs w:val="20"/>
          <w:u w:val="none"/>
        </w:rPr>
      </w:pPr>
      <w:r w:rsidRPr="007F5684">
        <w:rPr>
          <w:szCs w:val="20"/>
          <w:u w:val="none"/>
        </w:rPr>
        <w:t>counterparty name;</w:t>
      </w:r>
    </w:p>
    <w:p w:rsidR="0016014D" w:rsidRPr="007F5684" w:rsidRDefault="0016014D" w:rsidP="00235A84">
      <w:pPr>
        <w:pStyle w:val="InstructionsText2"/>
        <w:numPr>
          <w:ilvl w:val="1"/>
          <w:numId w:val="10"/>
        </w:numPr>
        <w:ind w:left="993" w:hanging="273"/>
        <w:rPr>
          <w:szCs w:val="20"/>
          <w:u w:val="none"/>
        </w:rPr>
      </w:pPr>
      <w:r w:rsidRPr="007F5684">
        <w:rPr>
          <w:szCs w:val="20"/>
          <w:u w:val="none"/>
        </w:rPr>
        <w:t>counterparty type;</w:t>
      </w:r>
    </w:p>
    <w:p w:rsidR="00AF270F" w:rsidRPr="007F5684" w:rsidRDefault="00AF270F" w:rsidP="00235A84">
      <w:pPr>
        <w:pStyle w:val="InstructionsText2"/>
        <w:numPr>
          <w:ilvl w:val="1"/>
          <w:numId w:val="10"/>
        </w:numPr>
        <w:ind w:left="993" w:hanging="273"/>
        <w:rPr>
          <w:szCs w:val="20"/>
          <w:u w:val="none"/>
        </w:rPr>
      </w:pPr>
      <w:r w:rsidRPr="007F5684">
        <w:rPr>
          <w:szCs w:val="20"/>
          <w:u w:val="none"/>
        </w:rPr>
        <w:t>counterparty location;</w:t>
      </w:r>
    </w:p>
    <w:p w:rsidR="0016014D" w:rsidRPr="007F5684" w:rsidRDefault="0016014D" w:rsidP="00235A84">
      <w:pPr>
        <w:pStyle w:val="InstructionsText2"/>
        <w:numPr>
          <w:ilvl w:val="1"/>
          <w:numId w:val="10"/>
        </w:numPr>
        <w:ind w:left="993" w:hanging="273"/>
        <w:rPr>
          <w:szCs w:val="20"/>
          <w:u w:val="none"/>
        </w:rPr>
      </w:pPr>
      <w:r w:rsidRPr="007F5684">
        <w:rPr>
          <w:szCs w:val="20"/>
          <w:u w:val="none"/>
        </w:rPr>
        <w:t>product type;</w:t>
      </w:r>
    </w:p>
    <w:p w:rsidR="00AF270F" w:rsidRPr="007F5684" w:rsidRDefault="00AF270F" w:rsidP="00235A84">
      <w:pPr>
        <w:pStyle w:val="InstructionsText2"/>
        <w:numPr>
          <w:ilvl w:val="1"/>
          <w:numId w:val="10"/>
        </w:numPr>
        <w:ind w:left="993" w:hanging="273"/>
        <w:rPr>
          <w:szCs w:val="20"/>
          <w:u w:val="none"/>
        </w:rPr>
      </w:pPr>
      <w:r w:rsidRPr="007F5684">
        <w:rPr>
          <w:szCs w:val="20"/>
          <w:u w:val="none"/>
        </w:rPr>
        <w:t>c</w:t>
      </w:r>
      <w:r w:rsidR="009032C6" w:rsidRPr="007F5684">
        <w:rPr>
          <w:szCs w:val="20"/>
          <w:u w:val="none"/>
        </w:rPr>
        <w:t>u</w:t>
      </w:r>
      <w:r w:rsidRPr="007F5684">
        <w:rPr>
          <w:szCs w:val="20"/>
          <w:u w:val="none"/>
        </w:rPr>
        <w:t>rrency;</w:t>
      </w:r>
    </w:p>
    <w:p w:rsidR="00AF270F" w:rsidRPr="007F5684" w:rsidRDefault="00AF270F" w:rsidP="00235A84">
      <w:pPr>
        <w:pStyle w:val="InstructionsText2"/>
        <w:numPr>
          <w:ilvl w:val="1"/>
          <w:numId w:val="10"/>
        </w:numPr>
        <w:ind w:left="993" w:hanging="273"/>
        <w:rPr>
          <w:szCs w:val="20"/>
          <w:u w:val="none"/>
        </w:rPr>
      </w:pPr>
      <w:r w:rsidRPr="007F5684">
        <w:rPr>
          <w:szCs w:val="20"/>
          <w:u w:val="none"/>
        </w:rPr>
        <w:t>amount received;</w:t>
      </w:r>
    </w:p>
    <w:p w:rsidR="00AF270F" w:rsidRPr="007F5684" w:rsidRDefault="00DB0D87" w:rsidP="00235A84">
      <w:pPr>
        <w:pStyle w:val="InstructionsText2"/>
        <w:numPr>
          <w:ilvl w:val="1"/>
          <w:numId w:val="10"/>
        </w:numPr>
        <w:ind w:left="993" w:hanging="273"/>
        <w:rPr>
          <w:szCs w:val="20"/>
          <w:u w:val="none"/>
        </w:rPr>
      </w:pPr>
      <w:r w:rsidRPr="007F5684">
        <w:rPr>
          <w:szCs w:val="20"/>
          <w:u w:val="none"/>
        </w:rPr>
        <w:t>we</w:t>
      </w:r>
      <w:r w:rsidR="00AF270F" w:rsidRPr="007F5684">
        <w:rPr>
          <w:szCs w:val="20"/>
          <w:u w:val="none"/>
        </w:rPr>
        <w:t>ighted average initial maturity; and</w:t>
      </w:r>
    </w:p>
    <w:p w:rsidR="009032C6" w:rsidRPr="007F5684" w:rsidRDefault="009032C6" w:rsidP="00235A84">
      <w:pPr>
        <w:pStyle w:val="InstructionsText2"/>
        <w:numPr>
          <w:ilvl w:val="1"/>
          <w:numId w:val="10"/>
        </w:numPr>
        <w:ind w:left="993" w:hanging="273"/>
        <w:rPr>
          <w:szCs w:val="20"/>
          <w:u w:val="none"/>
        </w:rPr>
      </w:pPr>
      <w:proofErr w:type="gramStart"/>
      <w:r w:rsidRPr="007F5684">
        <w:rPr>
          <w:szCs w:val="20"/>
          <w:u w:val="none"/>
        </w:rPr>
        <w:t>weighted</w:t>
      </w:r>
      <w:proofErr w:type="gramEnd"/>
      <w:r w:rsidRPr="007F5684">
        <w:rPr>
          <w:szCs w:val="20"/>
          <w:u w:val="none"/>
        </w:rPr>
        <w:t xml:space="preserve"> average residual maturity.</w:t>
      </w:r>
    </w:p>
    <w:p w:rsidR="0016014D" w:rsidRPr="007F5684" w:rsidRDefault="0016014D" w:rsidP="0016014D">
      <w:pPr>
        <w:pStyle w:val="InstructionsText2"/>
        <w:numPr>
          <w:ilvl w:val="0"/>
          <w:numId w:val="0"/>
        </w:numPr>
        <w:ind w:left="720"/>
        <w:rPr>
          <w:szCs w:val="20"/>
          <w:u w:val="none"/>
        </w:rPr>
      </w:pPr>
      <w:r w:rsidRPr="007F5684">
        <w:rPr>
          <w:szCs w:val="20"/>
          <w:u w:val="none"/>
        </w:rPr>
        <w:t>These components are explained in more detail in the table below.</w:t>
      </w:r>
    </w:p>
    <w:p w:rsidR="00AF270F" w:rsidRPr="007F5684" w:rsidRDefault="00AC59C8" w:rsidP="009032C6">
      <w:pPr>
        <w:pStyle w:val="InstructionsText2"/>
        <w:numPr>
          <w:ilvl w:val="0"/>
          <w:numId w:val="6"/>
        </w:numPr>
        <w:rPr>
          <w:szCs w:val="20"/>
          <w:u w:val="none"/>
        </w:rPr>
      </w:pPr>
      <w:r w:rsidRPr="007F5684">
        <w:rPr>
          <w:szCs w:val="20"/>
          <w:u w:val="none"/>
        </w:rPr>
        <w:lastRenderedPageBreak/>
        <w:t xml:space="preserve">For the purpose of </w:t>
      </w:r>
      <w:r w:rsidR="00AF270F" w:rsidRPr="007F5684">
        <w:rPr>
          <w:szCs w:val="20"/>
          <w:u w:val="none"/>
        </w:rPr>
        <w:t>determining</w:t>
      </w:r>
      <w:r w:rsidR="00DB0D87" w:rsidRPr="007F5684">
        <w:rPr>
          <w:szCs w:val="20"/>
          <w:u w:val="none"/>
        </w:rPr>
        <w:t xml:space="preserve"> those counterparties from </w:t>
      </w:r>
      <w:r w:rsidR="002F687B" w:rsidRPr="007F5684">
        <w:rPr>
          <w:szCs w:val="20"/>
          <w:u w:val="none"/>
        </w:rPr>
        <w:t>which</w:t>
      </w:r>
      <w:r w:rsidR="00DB0D87" w:rsidRPr="007F5684">
        <w:rPr>
          <w:szCs w:val="20"/>
          <w:u w:val="none"/>
        </w:rPr>
        <w:t xml:space="preserve"> funding obtained is greater than </w:t>
      </w:r>
      <w:r w:rsidR="00AF270F" w:rsidRPr="007F5684">
        <w:rPr>
          <w:szCs w:val="20"/>
          <w:u w:val="none"/>
        </w:rPr>
        <w:t>1%</w:t>
      </w:r>
      <w:r w:rsidR="00DB0D87" w:rsidRPr="007F5684">
        <w:rPr>
          <w:szCs w:val="20"/>
          <w:u w:val="none"/>
        </w:rPr>
        <w:t xml:space="preserve"> of total liabilities threshold, </w:t>
      </w:r>
      <w:r w:rsidRPr="007F5684">
        <w:rPr>
          <w:szCs w:val="20"/>
          <w:u w:val="none"/>
        </w:rPr>
        <w:t xml:space="preserve">the currency is irrelevant. However, the currency that the funding was received in </w:t>
      </w:r>
      <w:r w:rsidR="006A7234" w:rsidRPr="007F5684">
        <w:rPr>
          <w:szCs w:val="20"/>
          <w:u w:val="none"/>
        </w:rPr>
        <w:t>shall</w:t>
      </w:r>
      <w:r w:rsidRPr="007F5684">
        <w:rPr>
          <w:szCs w:val="20"/>
          <w:u w:val="none"/>
        </w:rPr>
        <w:t xml:space="preserve"> be recorded</w:t>
      </w:r>
      <w:r w:rsidR="009032C6" w:rsidRPr="007F5684">
        <w:rPr>
          <w:szCs w:val="20"/>
          <w:u w:val="none"/>
        </w:rPr>
        <w:t xml:space="preserve"> in column H</w:t>
      </w:r>
      <w:r w:rsidRPr="007F5684">
        <w:rPr>
          <w:szCs w:val="20"/>
          <w:u w:val="none"/>
        </w:rPr>
        <w:t>.</w:t>
      </w:r>
    </w:p>
    <w:p w:rsidR="00AC59C8" w:rsidRPr="007F5684" w:rsidRDefault="00AF270F" w:rsidP="009032C6">
      <w:pPr>
        <w:pStyle w:val="InstructionsText2"/>
        <w:numPr>
          <w:ilvl w:val="0"/>
          <w:numId w:val="6"/>
        </w:numPr>
        <w:rPr>
          <w:szCs w:val="20"/>
          <w:u w:val="none"/>
        </w:rPr>
      </w:pPr>
      <w:r w:rsidRPr="007F5684">
        <w:rPr>
          <w:szCs w:val="20"/>
          <w:u w:val="none"/>
        </w:rPr>
        <w:t>Where fundin</w:t>
      </w:r>
      <w:r w:rsidR="00711871" w:rsidRPr="007F5684">
        <w:rPr>
          <w:szCs w:val="20"/>
          <w:u w:val="none"/>
        </w:rPr>
        <w:t>g is obtained in more than one</w:t>
      </w:r>
      <w:r w:rsidRPr="007F5684">
        <w:rPr>
          <w:szCs w:val="20"/>
          <w:u w:val="none"/>
        </w:rPr>
        <w:t xml:space="preserve"> currency, the currency type reported </w:t>
      </w:r>
      <w:r w:rsidR="006A7234" w:rsidRPr="007F5684">
        <w:rPr>
          <w:szCs w:val="20"/>
          <w:u w:val="none"/>
        </w:rPr>
        <w:t>shall</w:t>
      </w:r>
      <w:r w:rsidRPr="007F5684">
        <w:rPr>
          <w:szCs w:val="20"/>
          <w:u w:val="none"/>
        </w:rPr>
        <w:t xml:space="preserve"> be the currency in which the largest proportion of funding was obtained. Separate information </w:t>
      </w:r>
      <w:r w:rsidR="006A7234" w:rsidRPr="007F5684">
        <w:rPr>
          <w:szCs w:val="20"/>
          <w:u w:val="none"/>
        </w:rPr>
        <w:t>shall</w:t>
      </w:r>
      <w:r w:rsidRPr="007F5684">
        <w:rPr>
          <w:szCs w:val="20"/>
          <w:u w:val="none"/>
        </w:rPr>
        <w:t xml:space="preserve"> be reported to the competent authority explaining the breakdown of </w:t>
      </w:r>
      <w:r w:rsidR="00510487" w:rsidRPr="007F5684">
        <w:rPr>
          <w:szCs w:val="20"/>
          <w:u w:val="none"/>
        </w:rPr>
        <w:t xml:space="preserve">funding received by </w:t>
      </w:r>
      <w:r w:rsidRPr="007F5684">
        <w:rPr>
          <w:szCs w:val="20"/>
          <w:u w:val="none"/>
        </w:rPr>
        <w:t>currency.</w:t>
      </w:r>
    </w:p>
    <w:p w:rsidR="00711871" w:rsidRPr="007F5684" w:rsidRDefault="00711871" w:rsidP="00711871">
      <w:pPr>
        <w:pStyle w:val="InstructionsText2"/>
        <w:numPr>
          <w:ilvl w:val="0"/>
          <w:numId w:val="6"/>
        </w:numPr>
        <w:rPr>
          <w:szCs w:val="20"/>
          <w:u w:val="none"/>
        </w:rPr>
      </w:pPr>
      <w:r w:rsidRPr="007F5684">
        <w:rPr>
          <w:szCs w:val="20"/>
          <w:u w:val="none"/>
        </w:rPr>
        <w:t xml:space="preserve">Where funding is obtained in more than one product type, the type reported </w:t>
      </w:r>
      <w:r w:rsidR="006A7234" w:rsidRPr="007F5684">
        <w:rPr>
          <w:szCs w:val="20"/>
          <w:u w:val="none"/>
        </w:rPr>
        <w:t>shall</w:t>
      </w:r>
      <w:r w:rsidRPr="007F5684">
        <w:rPr>
          <w:szCs w:val="20"/>
          <w:u w:val="none"/>
        </w:rPr>
        <w:t xml:space="preserve"> be the product in which the largest proportion of funding was obtained. Separate information </w:t>
      </w:r>
      <w:r w:rsidR="006A7234" w:rsidRPr="007F5684">
        <w:rPr>
          <w:szCs w:val="20"/>
          <w:u w:val="none"/>
        </w:rPr>
        <w:t>shall</w:t>
      </w:r>
      <w:r w:rsidRPr="007F5684">
        <w:rPr>
          <w:szCs w:val="20"/>
          <w:u w:val="none"/>
        </w:rPr>
        <w:t xml:space="preserve"> be reported to the competent authority explaining the breakdown of funding received by product type.</w:t>
      </w:r>
    </w:p>
    <w:p w:rsidR="00AC59C8" w:rsidRPr="007F5684" w:rsidRDefault="00AC59C8" w:rsidP="009032C6">
      <w:pPr>
        <w:pStyle w:val="InstructionsText2"/>
        <w:numPr>
          <w:ilvl w:val="0"/>
          <w:numId w:val="6"/>
        </w:numPr>
        <w:rPr>
          <w:szCs w:val="20"/>
          <w:u w:val="none"/>
        </w:rPr>
      </w:pPr>
      <w:r w:rsidRPr="007F5684">
        <w:rPr>
          <w:szCs w:val="20"/>
          <w:u w:val="none"/>
        </w:rPr>
        <w:t>Instructions concerning specific rows:</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242"/>
        <w:gridCol w:w="3641"/>
        <w:gridCol w:w="3639"/>
      </w:tblGrid>
      <w:tr w:rsidR="00AC59C8" w:rsidRPr="007F5684" w:rsidTr="003F0706">
        <w:trPr>
          <w:trHeight w:val="548"/>
        </w:trPr>
        <w:tc>
          <w:tcPr>
            <w:tcW w:w="729" w:type="pct"/>
            <w:shd w:val="clear" w:color="auto" w:fill="D9D9D9"/>
            <w:noWrap/>
            <w:vAlign w:val="center"/>
          </w:tcPr>
          <w:p w:rsidR="00AC59C8" w:rsidRPr="007F5684" w:rsidRDefault="000B288B" w:rsidP="000B288B">
            <w:pPr>
              <w:spacing w:before="0" w:after="0"/>
              <w:jc w:val="left"/>
              <w:rPr>
                <w:rFonts w:ascii="Times New Roman" w:hAnsi="Times New Roman"/>
                <w:color w:val="000000"/>
                <w:szCs w:val="20"/>
                <w:lang w:eastAsia="en-GB"/>
              </w:rPr>
            </w:pPr>
            <w:r w:rsidRPr="007F5684">
              <w:rPr>
                <w:rStyle w:val="InstructionsTabelleText"/>
                <w:rFonts w:ascii="Times New Roman" w:hAnsi="Times New Roman"/>
                <w:color w:val="000000"/>
                <w:szCs w:val="20"/>
                <w:lang w:eastAsia="en-GB"/>
              </w:rPr>
              <w:t>Column</w:t>
            </w:r>
          </w:p>
        </w:tc>
        <w:tc>
          <w:tcPr>
            <w:tcW w:w="4271" w:type="pct"/>
            <w:gridSpan w:val="2"/>
            <w:shd w:val="clear" w:color="auto" w:fill="D9D9D9"/>
            <w:vAlign w:val="center"/>
          </w:tcPr>
          <w:p w:rsidR="00AC59C8" w:rsidRPr="007F5684" w:rsidRDefault="00AC59C8" w:rsidP="000B288B">
            <w:pPr>
              <w:spacing w:before="0" w:after="0"/>
              <w:jc w:val="left"/>
              <w:rPr>
                <w:rFonts w:ascii="Times New Roman" w:hAnsi="Times New Roman"/>
                <w:szCs w:val="20"/>
                <w:lang w:eastAsia="en-GB"/>
              </w:rPr>
            </w:pPr>
            <w:r w:rsidRPr="007F5684">
              <w:rPr>
                <w:rStyle w:val="InstructionsTabelleText"/>
                <w:rFonts w:ascii="Times New Roman" w:hAnsi="Times New Roman"/>
                <w:szCs w:val="20"/>
                <w:lang w:eastAsia="en-GB"/>
              </w:rPr>
              <w:t>Legal references and instructions</w:t>
            </w:r>
          </w:p>
        </w:tc>
      </w:tr>
      <w:tr w:rsidR="00AC59C8" w:rsidRPr="007F5684" w:rsidTr="003F0706">
        <w:trPr>
          <w:trHeight w:val="765"/>
        </w:trPr>
        <w:tc>
          <w:tcPr>
            <w:tcW w:w="729" w:type="pct"/>
            <w:shd w:val="clear" w:color="auto" w:fill="auto"/>
            <w:noWrap/>
          </w:tcPr>
          <w:p w:rsidR="00AC59C8" w:rsidRPr="007F5684" w:rsidRDefault="00AC59C8"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D</w:t>
            </w:r>
          </w:p>
        </w:tc>
        <w:tc>
          <w:tcPr>
            <w:tcW w:w="4271" w:type="pct"/>
            <w:gridSpan w:val="2"/>
            <w:shd w:val="clear" w:color="auto" w:fill="auto"/>
          </w:tcPr>
          <w:p w:rsidR="00AC59C8" w:rsidRPr="007F5684" w:rsidRDefault="00AC59C8" w:rsidP="000B288B">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Counterparty Name</w:t>
            </w:r>
          </w:p>
          <w:p w:rsidR="0035239A" w:rsidRPr="007F5684" w:rsidRDefault="0035239A" w:rsidP="000B288B">
            <w:pPr>
              <w:spacing w:before="0" w:after="0"/>
              <w:jc w:val="left"/>
              <w:rPr>
                <w:rFonts w:ascii="Times New Roman" w:hAnsi="Times New Roman"/>
                <w:b/>
                <w:szCs w:val="20"/>
                <w:u w:val="single"/>
                <w:lang w:eastAsia="en-GB"/>
              </w:rPr>
            </w:pPr>
          </w:p>
          <w:p w:rsidR="0035239A" w:rsidRPr="007F5684" w:rsidRDefault="00A37110" w:rsidP="0075488E">
            <w:pPr>
              <w:spacing w:before="0" w:after="0"/>
              <w:rPr>
                <w:rFonts w:ascii="Times New Roman" w:hAnsi="Times New Roman"/>
                <w:szCs w:val="20"/>
                <w:lang w:eastAsia="en-GB"/>
              </w:rPr>
            </w:pPr>
            <w:r w:rsidRPr="007F5684">
              <w:rPr>
                <w:rFonts w:ascii="Times New Roman" w:hAnsi="Times New Roman"/>
                <w:szCs w:val="20"/>
                <w:lang w:eastAsia="en-GB"/>
              </w:rPr>
              <w:t>The</w:t>
            </w:r>
            <w:r w:rsidR="00AF270F" w:rsidRPr="007F5684">
              <w:rPr>
                <w:rFonts w:ascii="Times New Roman" w:hAnsi="Times New Roman"/>
                <w:szCs w:val="20"/>
                <w:lang w:eastAsia="en-GB"/>
              </w:rPr>
              <w:t xml:space="preserve"> name of those counterparties from </w:t>
            </w:r>
            <w:r w:rsidR="002F687B" w:rsidRPr="007F5684">
              <w:rPr>
                <w:rFonts w:ascii="Times New Roman" w:hAnsi="Times New Roman"/>
                <w:szCs w:val="20"/>
                <w:lang w:eastAsia="en-GB"/>
              </w:rPr>
              <w:t>which</w:t>
            </w:r>
            <w:r w:rsidR="00AF270F" w:rsidRPr="007F5684">
              <w:rPr>
                <w:rFonts w:ascii="Times New Roman" w:hAnsi="Times New Roman"/>
                <w:szCs w:val="20"/>
                <w:lang w:eastAsia="en-GB"/>
              </w:rPr>
              <w:t xml:space="preserve"> funding obtained exceeds 1% of total liabilities </w:t>
            </w:r>
            <w:r w:rsidR="006A7234" w:rsidRPr="007F5684">
              <w:rPr>
                <w:rFonts w:ascii="Times New Roman" w:hAnsi="Times New Roman"/>
                <w:szCs w:val="20"/>
                <w:lang w:eastAsia="en-GB"/>
              </w:rPr>
              <w:t>shall</w:t>
            </w:r>
            <w:r w:rsidR="0035239A" w:rsidRPr="007F5684">
              <w:rPr>
                <w:rFonts w:ascii="Times New Roman" w:hAnsi="Times New Roman"/>
                <w:szCs w:val="20"/>
                <w:lang w:eastAsia="en-GB"/>
              </w:rPr>
              <w:t xml:space="preserve"> be recorded in column D </w:t>
            </w:r>
            <w:r w:rsidR="00AF270F" w:rsidRPr="007F5684">
              <w:rPr>
                <w:rFonts w:ascii="Times New Roman" w:hAnsi="Times New Roman"/>
                <w:szCs w:val="20"/>
                <w:lang w:eastAsia="en-GB"/>
              </w:rPr>
              <w:t>in order of size of funding obtained.</w:t>
            </w:r>
          </w:p>
          <w:p w:rsidR="00AF270F" w:rsidRPr="007F5684" w:rsidRDefault="00AF270F" w:rsidP="0075488E">
            <w:pPr>
              <w:spacing w:before="0" w:after="0"/>
              <w:rPr>
                <w:rFonts w:ascii="Times New Roman" w:hAnsi="Times New Roman"/>
                <w:szCs w:val="20"/>
                <w:lang w:eastAsia="en-GB"/>
              </w:rPr>
            </w:pPr>
          </w:p>
          <w:p w:rsidR="0035239A" w:rsidRPr="007F5684" w:rsidRDefault="005816E8" w:rsidP="0075488E">
            <w:pPr>
              <w:spacing w:before="0" w:after="0"/>
              <w:rPr>
                <w:rFonts w:ascii="Times New Roman" w:hAnsi="Times New Roman"/>
                <w:szCs w:val="20"/>
                <w:lang w:eastAsia="en-GB"/>
              </w:rPr>
            </w:pPr>
            <w:r w:rsidRPr="007F5684">
              <w:rPr>
                <w:rFonts w:ascii="Times New Roman" w:hAnsi="Times New Roman"/>
                <w:szCs w:val="20"/>
                <w:lang w:eastAsia="en-GB"/>
              </w:rPr>
              <w:t>T</w:t>
            </w:r>
            <w:r w:rsidR="0035239A" w:rsidRPr="007F5684">
              <w:rPr>
                <w:rFonts w:ascii="Times New Roman" w:hAnsi="Times New Roman"/>
                <w:szCs w:val="20"/>
                <w:lang w:eastAsia="en-GB"/>
              </w:rPr>
              <w:t xml:space="preserve">he name of </w:t>
            </w:r>
            <w:r w:rsidR="002F687B" w:rsidRPr="007F5684">
              <w:rPr>
                <w:rFonts w:ascii="Times New Roman" w:hAnsi="Times New Roman"/>
                <w:szCs w:val="20"/>
                <w:lang w:eastAsia="en-GB"/>
              </w:rPr>
              <w:t>those counterparties</w:t>
            </w:r>
            <w:r w:rsidR="0035239A" w:rsidRPr="007F5684">
              <w:rPr>
                <w:rFonts w:ascii="Times New Roman" w:hAnsi="Times New Roman"/>
                <w:szCs w:val="20"/>
                <w:lang w:eastAsia="en-GB"/>
              </w:rPr>
              <w:t xml:space="preserve"> from </w:t>
            </w:r>
            <w:r w:rsidR="002F687B" w:rsidRPr="007F5684">
              <w:rPr>
                <w:rFonts w:ascii="Times New Roman" w:hAnsi="Times New Roman"/>
                <w:szCs w:val="20"/>
                <w:lang w:eastAsia="en-GB"/>
              </w:rPr>
              <w:t>which</w:t>
            </w:r>
            <w:r w:rsidR="0035239A" w:rsidRPr="007F5684">
              <w:rPr>
                <w:rFonts w:ascii="Times New Roman" w:hAnsi="Times New Roman"/>
                <w:szCs w:val="20"/>
                <w:lang w:eastAsia="en-GB"/>
              </w:rPr>
              <w:t xml:space="preserve"> </w:t>
            </w:r>
            <w:r w:rsidR="002F687B" w:rsidRPr="007F5684">
              <w:rPr>
                <w:rFonts w:ascii="Times New Roman" w:hAnsi="Times New Roman"/>
                <w:szCs w:val="20"/>
                <w:lang w:eastAsia="en-GB"/>
              </w:rPr>
              <w:t>unsecured wholesale funding obtained is greater than 1% of total liabilities</w:t>
            </w:r>
            <w:r w:rsidR="0035239A" w:rsidRPr="007F5684">
              <w:rPr>
                <w:rFonts w:ascii="Times New Roman" w:hAnsi="Times New Roman"/>
                <w:szCs w:val="20"/>
                <w:lang w:eastAsia="en-GB"/>
              </w:rPr>
              <w:t xml:space="preserve"> </w:t>
            </w:r>
            <w:r w:rsidR="006A7234" w:rsidRPr="007F5684">
              <w:rPr>
                <w:rFonts w:ascii="Times New Roman" w:hAnsi="Times New Roman"/>
                <w:szCs w:val="20"/>
                <w:lang w:eastAsia="en-GB"/>
              </w:rPr>
              <w:t>shall</w:t>
            </w:r>
            <w:r w:rsidR="0035239A" w:rsidRPr="007F5684">
              <w:rPr>
                <w:rFonts w:ascii="Times New Roman" w:hAnsi="Times New Roman"/>
                <w:szCs w:val="20"/>
                <w:lang w:eastAsia="en-GB"/>
              </w:rPr>
              <w:t xml:space="preserve"> be recorded in column D </w:t>
            </w:r>
            <w:r w:rsidR="002F687B" w:rsidRPr="007F5684">
              <w:rPr>
                <w:rFonts w:ascii="Times New Roman" w:hAnsi="Times New Roman"/>
                <w:szCs w:val="20"/>
                <w:lang w:eastAsia="en-GB"/>
              </w:rPr>
              <w:t>beginning with the largest in item 1</w:t>
            </w:r>
            <w:r w:rsidR="0075488E" w:rsidRPr="007F5684">
              <w:rPr>
                <w:rFonts w:ascii="Times New Roman" w:hAnsi="Times New Roman"/>
                <w:szCs w:val="20"/>
                <w:lang w:eastAsia="en-GB"/>
              </w:rPr>
              <w:t>.1</w:t>
            </w:r>
            <w:r w:rsidR="002F687B" w:rsidRPr="007F5684">
              <w:rPr>
                <w:rFonts w:ascii="Times New Roman" w:hAnsi="Times New Roman"/>
                <w:szCs w:val="20"/>
                <w:lang w:eastAsia="en-GB"/>
              </w:rPr>
              <w:t xml:space="preserve">, the second in line item </w:t>
            </w:r>
            <w:r w:rsidR="0075488E" w:rsidRPr="007F5684">
              <w:rPr>
                <w:rFonts w:ascii="Times New Roman" w:hAnsi="Times New Roman"/>
                <w:szCs w:val="20"/>
                <w:lang w:eastAsia="en-GB"/>
              </w:rPr>
              <w:t>1.2</w:t>
            </w:r>
            <w:r w:rsidR="002F687B" w:rsidRPr="007F5684">
              <w:rPr>
                <w:rFonts w:ascii="Times New Roman" w:hAnsi="Times New Roman"/>
                <w:szCs w:val="20"/>
                <w:lang w:eastAsia="en-GB"/>
              </w:rPr>
              <w:t>, and so on.</w:t>
            </w:r>
          </w:p>
          <w:p w:rsidR="0035239A" w:rsidRPr="007F5684" w:rsidRDefault="0035239A" w:rsidP="0075488E">
            <w:pPr>
              <w:spacing w:before="0" w:after="0"/>
              <w:rPr>
                <w:rFonts w:ascii="Times New Roman" w:hAnsi="Times New Roman"/>
                <w:szCs w:val="20"/>
                <w:lang w:eastAsia="en-GB"/>
              </w:rPr>
            </w:pPr>
          </w:p>
          <w:p w:rsidR="0035239A" w:rsidRPr="007F5684" w:rsidRDefault="0035239A" w:rsidP="0075488E">
            <w:pPr>
              <w:spacing w:before="0" w:after="0"/>
              <w:rPr>
                <w:rFonts w:ascii="Times New Roman" w:hAnsi="Times New Roman"/>
                <w:szCs w:val="20"/>
                <w:lang w:eastAsia="en-GB"/>
              </w:rPr>
            </w:pPr>
            <w:r w:rsidRPr="007F5684">
              <w:rPr>
                <w:rFonts w:ascii="Times New Roman" w:hAnsi="Times New Roman"/>
                <w:szCs w:val="20"/>
                <w:lang w:eastAsia="en-GB"/>
              </w:rPr>
              <w:t xml:space="preserve">The </w:t>
            </w:r>
            <w:r w:rsidR="002F687B" w:rsidRPr="007F5684">
              <w:rPr>
                <w:rFonts w:ascii="Times New Roman" w:hAnsi="Times New Roman"/>
                <w:szCs w:val="20"/>
                <w:lang w:eastAsia="en-GB"/>
              </w:rPr>
              <w:t>counterparty</w:t>
            </w:r>
            <w:r w:rsidRPr="007F5684">
              <w:rPr>
                <w:rFonts w:ascii="Times New Roman" w:hAnsi="Times New Roman"/>
                <w:szCs w:val="20"/>
                <w:lang w:eastAsia="en-GB"/>
              </w:rPr>
              <w:t xml:space="preserve"> name </w:t>
            </w:r>
            <w:r w:rsidR="002F687B" w:rsidRPr="007F5684">
              <w:rPr>
                <w:rFonts w:ascii="Times New Roman" w:hAnsi="Times New Roman"/>
                <w:szCs w:val="20"/>
                <w:lang w:eastAsia="en-GB"/>
              </w:rPr>
              <w:t xml:space="preserve">recorded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the legal entity title of the company from </w:t>
            </w:r>
            <w:r w:rsidR="002F687B" w:rsidRPr="007F5684">
              <w:rPr>
                <w:rFonts w:ascii="Times New Roman" w:hAnsi="Times New Roman"/>
                <w:szCs w:val="20"/>
                <w:lang w:eastAsia="en-GB"/>
              </w:rPr>
              <w:t>which</w:t>
            </w:r>
            <w:r w:rsidRPr="007F5684">
              <w:rPr>
                <w:rFonts w:ascii="Times New Roman" w:hAnsi="Times New Roman"/>
                <w:szCs w:val="20"/>
                <w:lang w:eastAsia="en-GB"/>
              </w:rPr>
              <w:t xml:space="preserve"> the funding is derived including any company type references </w:t>
            </w:r>
            <w:r w:rsidR="005816E8" w:rsidRPr="007F5684">
              <w:rPr>
                <w:rFonts w:ascii="Times New Roman" w:hAnsi="Times New Roman"/>
                <w:szCs w:val="20"/>
                <w:lang w:eastAsia="en-GB"/>
              </w:rPr>
              <w:t>such as</w:t>
            </w:r>
            <w:r w:rsidRPr="007F5684">
              <w:rPr>
                <w:rFonts w:ascii="Times New Roman" w:hAnsi="Times New Roman"/>
                <w:szCs w:val="20"/>
                <w:lang w:eastAsia="en-GB"/>
              </w:rPr>
              <w:t xml:space="preserve"> </w:t>
            </w:r>
            <w:r w:rsidRPr="007F5684">
              <w:rPr>
                <w:rFonts w:ascii="Times New Roman" w:hAnsi="Times New Roman"/>
                <w:szCs w:val="20"/>
              </w:rPr>
              <w:t>SA (</w:t>
            </w:r>
            <w:proofErr w:type="spellStart"/>
            <w:r w:rsidRPr="007F5684">
              <w:rPr>
                <w:rFonts w:ascii="Times New Roman" w:hAnsi="Times New Roman"/>
                <w:i/>
                <w:szCs w:val="20"/>
              </w:rPr>
              <w:t>Société</w:t>
            </w:r>
            <w:proofErr w:type="spellEnd"/>
            <w:r w:rsidRPr="007F5684">
              <w:rPr>
                <w:rFonts w:ascii="Times New Roman" w:hAnsi="Times New Roman"/>
                <w:i/>
                <w:szCs w:val="20"/>
              </w:rPr>
              <w:t xml:space="preserve"> </w:t>
            </w:r>
            <w:proofErr w:type="spellStart"/>
            <w:r w:rsidRPr="007F5684">
              <w:rPr>
                <w:rFonts w:ascii="Times New Roman" w:hAnsi="Times New Roman"/>
                <w:i/>
                <w:szCs w:val="20"/>
              </w:rPr>
              <w:t>anonyme</w:t>
            </w:r>
            <w:proofErr w:type="spellEnd"/>
            <w:r w:rsidRPr="007F5684">
              <w:rPr>
                <w:rFonts w:ascii="Times New Roman" w:hAnsi="Times New Roman"/>
                <w:i/>
                <w:szCs w:val="20"/>
              </w:rPr>
              <w:t xml:space="preserve"> </w:t>
            </w:r>
            <w:r w:rsidRPr="007F5684">
              <w:rPr>
                <w:rFonts w:ascii="Times New Roman" w:hAnsi="Times New Roman"/>
                <w:szCs w:val="20"/>
              </w:rPr>
              <w:t xml:space="preserve">in France), </w:t>
            </w:r>
            <w:r w:rsidR="002F687B" w:rsidRPr="007F5684">
              <w:rPr>
                <w:rFonts w:ascii="Times New Roman" w:hAnsi="Times New Roman"/>
                <w:szCs w:val="20"/>
              </w:rPr>
              <w:t>P</w:t>
            </w:r>
            <w:r w:rsidRPr="007F5684">
              <w:rPr>
                <w:rFonts w:ascii="Times New Roman" w:hAnsi="Times New Roman"/>
                <w:szCs w:val="20"/>
              </w:rPr>
              <w:t>lc</w:t>
            </w:r>
            <w:r w:rsidR="002F687B" w:rsidRPr="007F5684">
              <w:rPr>
                <w:rFonts w:ascii="Times New Roman" w:hAnsi="Times New Roman"/>
                <w:szCs w:val="20"/>
              </w:rPr>
              <w:t>.</w:t>
            </w:r>
            <w:r w:rsidRPr="007F5684">
              <w:rPr>
                <w:rFonts w:ascii="Times New Roman" w:hAnsi="Times New Roman"/>
                <w:szCs w:val="20"/>
              </w:rPr>
              <w:t xml:space="preserve"> (public limited company in the UK), or AG (</w:t>
            </w:r>
            <w:proofErr w:type="spellStart"/>
            <w:r w:rsidRPr="007F5684">
              <w:rPr>
                <w:rFonts w:ascii="Times New Roman" w:hAnsi="Times New Roman"/>
                <w:i/>
                <w:szCs w:val="20"/>
              </w:rPr>
              <w:t>Aktiengesellschaft</w:t>
            </w:r>
            <w:proofErr w:type="spellEnd"/>
            <w:r w:rsidRPr="007F5684">
              <w:rPr>
                <w:rFonts w:ascii="Times New Roman" w:hAnsi="Times New Roman"/>
                <w:szCs w:val="20"/>
              </w:rPr>
              <w:t xml:space="preserve"> in Germany).</w:t>
            </w:r>
          </w:p>
          <w:p w:rsidR="0035239A" w:rsidRPr="007F5684" w:rsidRDefault="0035239A" w:rsidP="000B288B">
            <w:pPr>
              <w:spacing w:before="0" w:after="0"/>
              <w:jc w:val="left"/>
              <w:rPr>
                <w:rFonts w:ascii="Times New Roman" w:hAnsi="Times New Roman"/>
                <w:szCs w:val="20"/>
                <w:lang w:eastAsia="en-GB"/>
              </w:rPr>
            </w:pPr>
          </w:p>
        </w:tc>
      </w:tr>
      <w:tr w:rsidR="003E50B7" w:rsidRPr="007F5684" w:rsidTr="003F0706">
        <w:trPr>
          <w:trHeight w:val="765"/>
        </w:trPr>
        <w:tc>
          <w:tcPr>
            <w:tcW w:w="729" w:type="pct"/>
            <w:shd w:val="clear" w:color="auto" w:fill="auto"/>
            <w:noWrap/>
          </w:tcPr>
          <w:p w:rsidR="003E50B7"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E</w:t>
            </w:r>
          </w:p>
        </w:tc>
        <w:tc>
          <w:tcPr>
            <w:tcW w:w="4271" w:type="pct"/>
            <w:gridSpan w:val="2"/>
            <w:shd w:val="clear" w:color="auto" w:fill="auto"/>
          </w:tcPr>
          <w:p w:rsidR="003E50B7" w:rsidRPr="007F5684" w:rsidRDefault="003E50B7" w:rsidP="003E50B7">
            <w:pPr>
              <w:pStyle w:val="InstructionsText"/>
              <w:rPr>
                <w:rStyle w:val="InstructionsTabelleberschrift"/>
                <w:rFonts w:ascii="Times New Roman" w:hAnsi="Times New Roman"/>
                <w:szCs w:val="20"/>
              </w:rPr>
            </w:pPr>
            <w:r w:rsidRPr="007F5684">
              <w:rPr>
                <w:rStyle w:val="InstructionsTabelleberschrift"/>
                <w:rFonts w:ascii="Times New Roman" w:hAnsi="Times New Roman"/>
                <w:szCs w:val="20"/>
              </w:rPr>
              <w:t>LEI Code</w:t>
            </w:r>
          </w:p>
          <w:p w:rsidR="003E50B7" w:rsidRPr="007F5684" w:rsidRDefault="003E50B7" w:rsidP="003E50B7">
            <w:pPr>
              <w:pStyle w:val="InstructionsText"/>
              <w:rPr>
                <w:rStyle w:val="InstructionsTabelleberschrift"/>
                <w:rFonts w:ascii="Times New Roman" w:hAnsi="Times New Roman"/>
                <w:szCs w:val="20"/>
              </w:rPr>
            </w:pPr>
          </w:p>
          <w:p w:rsidR="003E50B7" w:rsidRPr="007F5684" w:rsidRDefault="003E50B7" w:rsidP="003E50B7">
            <w:pPr>
              <w:pStyle w:val="InstructionsText"/>
              <w:rPr>
                <w:rStyle w:val="FormatvorlageInstructionsTabelleText"/>
                <w:rFonts w:ascii="Times New Roman" w:hAnsi="Times New Roman"/>
                <w:szCs w:val="20"/>
              </w:rPr>
            </w:pPr>
            <w:r w:rsidRPr="007F5684">
              <w:rPr>
                <w:rStyle w:val="FormatvorlageInstructionsTabelleText"/>
                <w:rFonts w:ascii="Times New Roman" w:hAnsi="Times New Roman"/>
                <w:szCs w:val="20"/>
              </w:rPr>
              <w:t xml:space="preserve">The legal entity identifier code of the counterparty. </w:t>
            </w:r>
          </w:p>
          <w:p w:rsidR="003E50B7" w:rsidRPr="007F5684" w:rsidRDefault="003E50B7" w:rsidP="000B288B">
            <w:pPr>
              <w:spacing w:before="0" w:after="0"/>
              <w:jc w:val="left"/>
              <w:rPr>
                <w:rFonts w:ascii="Times New Roman" w:hAnsi="Times New Roman"/>
                <w:b/>
                <w:szCs w:val="20"/>
                <w:u w:val="single"/>
                <w:lang w:eastAsia="en-GB"/>
              </w:rPr>
            </w:pPr>
          </w:p>
        </w:tc>
      </w:tr>
      <w:tr w:rsidR="00AC59C8" w:rsidRPr="007F5684" w:rsidTr="003D0976">
        <w:trPr>
          <w:trHeight w:val="510"/>
        </w:trPr>
        <w:tc>
          <w:tcPr>
            <w:tcW w:w="729" w:type="pct"/>
            <w:tcBorders>
              <w:bottom w:val="single" w:sz="4" w:space="0" w:color="auto"/>
            </w:tcBorders>
            <w:shd w:val="clear" w:color="auto" w:fill="auto"/>
            <w:noWrap/>
          </w:tcPr>
          <w:p w:rsidR="00AC59C8"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F</w:t>
            </w:r>
          </w:p>
        </w:tc>
        <w:tc>
          <w:tcPr>
            <w:tcW w:w="4271" w:type="pct"/>
            <w:gridSpan w:val="2"/>
            <w:tcBorders>
              <w:bottom w:val="single" w:sz="4" w:space="0" w:color="auto"/>
            </w:tcBorders>
            <w:shd w:val="clear" w:color="auto" w:fill="auto"/>
          </w:tcPr>
          <w:p w:rsidR="00AC59C8" w:rsidRPr="007F5684" w:rsidRDefault="00AC59C8" w:rsidP="000B288B">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 xml:space="preserve">Counterparty </w:t>
            </w:r>
            <w:r w:rsidR="009F10A9" w:rsidRPr="007F5684">
              <w:rPr>
                <w:rFonts w:ascii="Times New Roman" w:hAnsi="Times New Roman"/>
                <w:b/>
                <w:szCs w:val="20"/>
                <w:u w:val="single"/>
                <w:lang w:eastAsia="en-GB"/>
              </w:rPr>
              <w:t>Sector</w:t>
            </w:r>
          </w:p>
          <w:p w:rsidR="000C45A2" w:rsidRPr="007F5684" w:rsidRDefault="000C45A2" w:rsidP="000B288B">
            <w:pPr>
              <w:spacing w:before="0" w:after="0"/>
              <w:jc w:val="left"/>
              <w:rPr>
                <w:rFonts w:ascii="Times New Roman" w:hAnsi="Times New Roman"/>
                <w:b/>
                <w:szCs w:val="20"/>
                <w:u w:val="single"/>
                <w:lang w:eastAsia="en-GB"/>
              </w:rPr>
            </w:pPr>
          </w:p>
          <w:p w:rsidR="009F10A9" w:rsidRPr="007F5684" w:rsidRDefault="009F10A9" w:rsidP="009F10A9">
            <w:pPr>
              <w:pStyle w:val="InstructionsText"/>
              <w:rPr>
                <w:rStyle w:val="FormatvorlageInstructionsTabelleText"/>
                <w:rFonts w:ascii="Times New Roman" w:hAnsi="Times New Roman"/>
                <w:szCs w:val="20"/>
              </w:rPr>
            </w:pPr>
            <w:r w:rsidRPr="007F5684">
              <w:rPr>
                <w:rStyle w:val="FormatvorlageInstructionsTabelleText"/>
                <w:rFonts w:ascii="Times New Roman" w:hAnsi="Times New Roman"/>
                <w:szCs w:val="20"/>
              </w:rPr>
              <w:t>One sector shall be allocated to every counterparty on the basis of FINREP economic sector classes:</w:t>
            </w:r>
          </w:p>
          <w:p w:rsidR="009F10A9" w:rsidRPr="007F5684" w:rsidRDefault="009F10A9" w:rsidP="009F10A9">
            <w:pPr>
              <w:pStyle w:val="InstructionsText"/>
              <w:rPr>
                <w:rStyle w:val="FormatvorlageInstructionsTabelleText"/>
                <w:rFonts w:ascii="Times New Roman" w:hAnsi="Times New Roman"/>
                <w:szCs w:val="20"/>
              </w:rPr>
            </w:pPr>
          </w:p>
          <w:p w:rsidR="008805C2" w:rsidRPr="007F5684" w:rsidRDefault="009F10A9">
            <w:pPr>
              <w:pStyle w:val="InstructionsText"/>
              <w:numPr>
                <w:ilvl w:val="1"/>
                <w:numId w:val="10"/>
              </w:numPr>
              <w:rPr>
                <w:rStyle w:val="FormatvorlageInstructionsTabelleText"/>
                <w:rFonts w:ascii="Times New Roman" w:hAnsi="Times New Roman"/>
                <w:szCs w:val="20"/>
                <w:lang w:eastAsia="en-US"/>
              </w:rPr>
            </w:pPr>
            <w:r w:rsidRPr="007F5684">
              <w:rPr>
                <w:rStyle w:val="FormatvorlageInstructionsTabelleText"/>
                <w:rFonts w:ascii="Times New Roman" w:hAnsi="Times New Roman"/>
                <w:szCs w:val="20"/>
              </w:rPr>
              <w:t xml:space="preserve">Central Banks; (ii) General Governments; (iii) Credit institutions; (iv) Other financial </w:t>
            </w:r>
            <w:proofErr w:type="spellStart"/>
            <w:r w:rsidRPr="007F5684">
              <w:rPr>
                <w:rStyle w:val="FormatvorlageInstructionsTabelleText"/>
                <w:rFonts w:ascii="Times New Roman" w:hAnsi="Times New Roman"/>
                <w:szCs w:val="20"/>
              </w:rPr>
              <w:t>corporations</w:t>
            </w:r>
            <w:proofErr w:type="spellEnd"/>
            <w:r w:rsidRPr="007F5684">
              <w:rPr>
                <w:rStyle w:val="FormatvorlageInstructionsTabelleText"/>
                <w:rFonts w:ascii="Times New Roman" w:hAnsi="Times New Roman"/>
                <w:szCs w:val="20"/>
              </w:rPr>
              <w:t xml:space="preserve">; (v) Non-financial </w:t>
            </w:r>
            <w:proofErr w:type="spellStart"/>
            <w:r w:rsidRPr="007F5684">
              <w:rPr>
                <w:rStyle w:val="FormatvorlageInstructionsTabelleText"/>
                <w:rFonts w:ascii="Times New Roman" w:hAnsi="Times New Roman"/>
                <w:szCs w:val="20"/>
              </w:rPr>
              <w:t>corporations</w:t>
            </w:r>
            <w:proofErr w:type="spellEnd"/>
            <w:r w:rsidRPr="007F5684">
              <w:rPr>
                <w:rStyle w:val="FormatvorlageInstructionsTabelleText"/>
                <w:rFonts w:ascii="Times New Roman" w:hAnsi="Times New Roman"/>
                <w:szCs w:val="20"/>
              </w:rPr>
              <w:t xml:space="preserve">; (vi) households. </w:t>
            </w:r>
          </w:p>
          <w:p w:rsidR="008805C2" w:rsidRPr="007F5684" w:rsidRDefault="008805C2">
            <w:pPr>
              <w:pStyle w:val="InstructionsText"/>
              <w:ind w:left="714"/>
              <w:rPr>
                <w:rStyle w:val="FormatvorlageInstructionsTabelleText"/>
                <w:rFonts w:ascii="Times New Roman" w:hAnsi="Times New Roman"/>
                <w:szCs w:val="20"/>
                <w:lang w:eastAsia="en-US"/>
              </w:rPr>
            </w:pPr>
          </w:p>
          <w:p w:rsidR="00162424" w:rsidRPr="007F5684" w:rsidRDefault="00162424" w:rsidP="00162424">
            <w:pPr>
              <w:pStyle w:val="InstructionsText"/>
              <w:rPr>
                <w:rStyle w:val="FormatvorlageInstructionsTabelleText"/>
                <w:rFonts w:ascii="Times New Roman" w:hAnsi="Times New Roman"/>
                <w:i/>
                <w:szCs w:val="20"/>
              </w:rPr>
            </w:pPr>
            <w:r w:rsidRPr="007F5684">
              <w:rPr>
                <w:rStyle w:val="FormatvorlageInstructionsTabelleText"/>
                <w:rFonts w:ascii="Times New Roman" w:hAnsi="Times New Roman"/>
                <w:szCs w:val="20"/>
              </w:rPr>
              <w:t>For groups of connected clients, no sector shall be reported.</w:t>
            </w:r>
          </w:p>
          <w:p w:rsidR="008805C2" w:rsidRPr="007F5684" w:rsidRDefault="008805C2">
            <w:pPr>
              <w:pStyle w:val="InstructionsText"/>
              <w:ind w:left="714"/>
              <w:rPr>
                <w:rStyle w:val="FormatvorlageInstructionsTabelleText"/>
                <w:rFonts w:ascii="Times New Roman" w:hAnsi="Times New Roman"/>
                <w:szCs w:val="20"/>
                <w:lang w:eastAsia="en-US"/>
              </w:rPr>
            </w:pPr>
          </w:p>
          <w:p w:rsidR="007E35CC" w:rsidRPr="007F5684" w:rsidRDefault="007E35CC" w:rsidP="009F10A9">
            <w:pPr>
              <w:pStyle w:val="InstructionsText2"/>
              <w:numPr>
                <w:ilvl w:val="1"/>
                <w:numId w:val="12"/>
              </w:numPr>
              <w:rPr>
                <w:szCs w:val="20"/>
                <w:lang w:eastAsia="en-GB"/>
              </w:rPr>
            </w:pPr>
          </w:p>
        </w:tc>
      </w:tr>
      <w:tr w:rsidR="003F0706" w:rsidRPr="007F5684" w:rsidTr="003D0976">
        <w:trPr>
          <w:trHeight w:val="510"/>
        </w:trPr>
        <w:tc>
          <w:tcPr>
            <w:tcW w:w="729" w:type="pct"/>
            <w:tcBorders>
              <w:bottom w:val="nil"/>
            </w:tcBorders>
            <w:shd w:val="clear" w:color="auto" w:fill="auto"/>
            <w:noWrap/>
          </w:tcPr>
          <w:p w:rsidR="003F0706"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G</w:t>
            </w:r>
          </w:p>
        </w:tc>
        <w:tc>
          <w:tcPr>
            <w:tcW w:w="4271" w:type="pct"/>
            <w:gridSpan w:val="2"/>
            <w:tcBorders>
              <w:bottom w:val="nil"/>
            </w:tcBorders>
            <w:shd w:val="clear" w:color="auto" w:fill="auto"/>
          </w:tcPr>
          <w:p w:rsidR="006F651B" w:rsidRPr="007F5684" w:rsidRDefault="006F651B" w:rsidP="003F0706">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 xml:space="preserve">Residence of counterparty </w:t>
            </w:r>
          </w:p>
          <w:p w:rsidR="006F651B" w:rsidRPr="007F5684" w:rsidRDefault="006F651B" w:rsidP="006F651B">
            <w:pPr>
              <w:pStyle w:val="InstructionsText"/>
              <w:rPr>
                <w:rStyle w:val="FormatvorlageInstructionsTabelleText"/>
                <w:rFonts w:ascii="Times New Roman" w:hAnsi="Times New Roman"/>
                <w:b/>
                <w:szCs w:val="20"/>
              </w:rPr>
            </w:pPr>
          </w:p>
          <w:p w:rsidR="006F651B" w:rsidRPr="007F5684" w:rsidRDefault="006F651B" w:rsidP="006F651B">
            <w:pPr>
              <w:pStyle w:val="InstructionsText"/>
              <w:rPr>
                <w:rStyle w:val="FormatvorlageInstructionsTabelleText"/>
                <w:rFonts w:ascii="Times New Roman" w:hAnsi="Times New Roman"/>
                <w:szCs w:val="20"/>
              </w:rPr>
            </w:pPr>
            <w:r w:rsidRPr="007F5684">
              <w:rPr>
                <w:rStyle w:val="FormatvorlageInstructionsTabelleText"/>
                <w:rFonts w:ascii="Times New Roman" w:hAnsi="Times New Roman"/>
                <w:szCs w:val="20"/>
              </w:rPr>
              <w:t>ISO code 3166-1-alpha-2 of the country of incorporation of the counterparty shall be used (including pseudo-ISO codes for international organisations</w:t>
            </w:r>
            <w:r w:rsidRPr="007F5684">
              <w:rPr>
                <w:szCs w:val="20"/>
              </w:rPr>
              <w:t xml:space="preserve">, available in the last edition of the </w:t>
            </w:r>
            <w:proofErr w:type="spellStart"/>
            <w:r w:rsidRPr="007F5684">
              <w:rPr>
                <w:szCs w:val="20"/>
              </w:rPr>
              <w:t>Eurostat’s</w:t>
            </w:r>
            <w:proofErr w:type="spellEnd"/>
            <w:r w:rsidRPr="007F5684">
              <w:rPr>
                <w:szCs w:val="20"/>
              </w:rPr>
              <w:t xml:space="preserve"> “Balance of Payments </w:t>
            </w:r>
            <w:proofErr w:type="spellStart"/>
            <w:r w:rsidRPr="007F5684">
              <w:rPr>
                <w:szCs w:val="20"/>
              </w:rPr>
              <w:t>Vademecum</w:t>
            </w:r>
            <w:proofErr w:type="spellEnd"/>
            <w:r w:rsidRPr="007F5684">
              <w:rPr>
                <w:szCs w:val="20"/>
              </w:rPr>
              <w:t>”</w:t>
            </w:r>
            <w:r w:rsidRPr="007F5684">
              <w:rPr>
                <w:rStyle w:val="FormatvorlageInstructionsTabelleText"/>
                <w:rFonts w:ascii="Times New Roman" w:hAnsi="Times New Roman"/>
                <w:szCs w:val="20"/>
              </w:rPr>
              <w:t xml:space="preserve">). </w:t>
            </w:r>
          </w:p>
          <w:p w:rsidR="00162424" w:rsidRPr="007F5684" w:rsidRDefault="00162424" w:rsidP="006F651B">
            <w:pPr>
              <w:pStyle w:val="InstructionsText"/>
              <w:rPr>
                <w:rStyle w:val="FormatvorlageInstructionsTabelleText"/>
                <w:rFonts w:ascii="Times New Roman" w:hAnsi="Times New Roman"/>
                <w:szCs w:val="20"/>
              </w:rPr>
            </w:pPr>
          </w:p>
          <w:p w:rsidR="00162424" w:rsidRPr="007F5684" w:rsidRDefault="00162424" w:rsidP="00162424">
            <w:pPr>
              <w:pStyle w:val="InstructionsText"/>
              <w:rPr>
                <w:rStyle w:val="FormatvorlageInstructionsTabelleText"/>
                <w:rFonts w:ascii="Times New Roman" w:hAnsi="Times New Roman"/>
                <w:szCs w:val="20"/>
              </w:rPr>
            </w:pPr>
            <w:r w:rsidRPr="007F5684">
              <w:rPr>
                <w:rStyle w:val="FormatvorlageInstructionsTabelleText"/>
                <w:rFonts w:ascii="Times New Roman" w:hAnsi="Times New Roman"/>
                <w:szCs w:val="20"/>
              </w:rPr>
              <w:t xml:space="preserve">For groups of connected clients, no country shall be reported. </w:t>
            </w:r>
          </w:p>
          <w:p w:rsidR="00162424" w:rsidRPr="007F5684" w:rsidRDefault="00162424" w:rsidP="006F651B">
            <w:pPr>
              <w:pStyle w:val="InstructionsText"/>
              <w:rPr>
                <w:rStyle w:val="FormatvorlageInstructionsTabelleText"/>
                <w:rFonts w:ascii="Times New Roman" w:hAnsi="Times New Roman"/>
                <w:szCs w:val="20"/>
              </w:rPr>
            </w:pPr>
          </w:p>
          <w:p w:rsidR="006F651B" w:rsidRPr="007F5684" w:rsidRDefault="006F651B" w:rsidP="003F0706">
            <w:pPr>
              <w:spacing w:before="0" w:after="0"/>
              <w:jc w:val="left"/>
              <w:rPr>
                <w:rFonts w:ascii="Times New Roman" w:hAnsi="Times New Roman"/>
                <w:b/>
                <w:szCs w:val="20"/>
                <w:u w:val="single"/>
                <w:lang w:eastAsia="en-GB"/>
              </w:rPr>
            </w:pPr>
          </w:p>
          <w:p w:rsidR="00162424" w:rsidRPr="007F5684" w:rsidRDefault="00162424" w:rsidP="003F0706">
            <w:pPr>
              <w:spacing w:before="0" w:after="0"/>
              <w:jc w:val="left"/>
              <w:rPr>
                <w:rFonts w:ascii="Times New Roman" w:hAnsi="Times New Roman"/>
                <w:b/>
                <w:szCs w:val="20"/>
                <w:u w:val="single"/>
                <w:lang w:eastAsia="en-GB"/>
              </w:rPr>
            </w:pPr>
          </w:p>
          <w:p w:rsidR="003F0706" w:rsidRPr="007F5684" w:rsidRDefault="003F0706" w:rsidP="000B288B">
            <w:pPr>
              <w:spacing w:before="0" w:after="0"/>
              <w:jc w:val="left"/>
              <w:rPr>
                <w:rFonts w:ascii="Times New Roman" w:hAnsi="Times New Roman"/>
                <w:b/>
                <w:szCs w:val="20"/>
                <w:u w:val="single"/>
                <w:lang w:eastAsia="en-GB"/>
              </w:rPr>
            </w:pPr>
          </w:p>
        </w:tc>
      </w:tr>
      <w:tr w:rsidR="003F0706" w:rsidRPr="007F5684" w:rsidTr="003D0976">
        <w:trPr>
          <w:trHeight w:val="510"/>
        </w:trPr>
        <w:tc>
          <w:tcPr>
            <w:tcW w:w="729" w:type="pct"/>
            <w:tcBorders>
              <w:top w:val="nil"/>
              <w:bottom w:val="single" w:sz="4" w:space="0" w:color="auto"/>
            </w:tcBorders>
            <w:shd w:val="clear" w:color="auto" w:fill="auto"/>
            <w:noWrap/>
          </w:tcPr>
          <w:p w:rsidR="003F0706" w:rsidRPr="007F5684" w:rsidRDefault="003F0706" w:rsidP="000B288B">
            <w:pPr>
              <w:spacing w:before="0" w:after="0"/>
              <w:jc w:val="left"/>
              <w:rPr>
                <w:rFonts w:ascii="Times New Roman" w:hAnsi="Times New Roman"/>
                <w:color w:val="000000"/>
                <w:szCs w:val="20"/>
                <w:lang w:eastAsia="en-GB"/>
              </w:rPr>
            </w:pPr>
          </w:p>
        </w:tc>
        <w:tc>
          <w:tcPr>
            <w:tcW w:w="2136" w:type="pct"/>
            <w:tcBorders>
              <w:top w:val="nil"/>
              <w:bottom w:val="single" w:sz="4" w:space="0" w:color="auto"/>
              <w:right w:val="nil"/>
            </w:tcBorders>
            <w:shd w:val="clear" w:color="auto" w:fill="auto"/>
          </w:tcPr>
          <w:p w:rsidR="003F0706" w:rsidRPr="007F5684" w:rsidRDefault="003F0706" w:rsidP="00ED2EE2">
            <w:pPr>
              <w:spacing w:before="0" w:after="0"/>
              <w:ind w:left="18"/>
              <w:jc w:val="left"/>
              <w:rPr>
                <w:rFonts w:ascii="Times New Roman" w:hAnsi="Times New Roman"/>
                <w:b/>
                <w:szCs w:val="20"/>
                <w:u w:val="single"/>
                <w:lang w:eastAsia="en-GB"/>
              </w:rPr>
            </w:pPr>
          </w:p>
        </w:tc>
        <w:tc>
          <w:tcPr>
            <w:tcW w:w="2135" w:type="pct"/>
            <w:tcBorders>
              <w:top w:val="nil"/>
              <w:left w:val="nil"/>
              <w:bottom w:val="single" w:sz="4" w:space="0" w:color="auto"/>
            </w:tcBorders>
            <w:shd w:val="clear" w:color="auto" w:fill="auto"/>
          </w:tcPr>
          <w:p w:rsidR="003F0706" w:rsidRPr="007F5684" w:rsidRDefault="003F0706" w:rsidP="00ED2EE2">
            <w:pPr>
              <w:spacing w:before="0" w:after="0"/>
              <w:jc w:val="left"/>
              <w:rPr>
                <w:rFonts w:ascii="Times New Roman" w:hAnsi="Times New Roman"/>
                <w:b/>
                <w:szCs w:val="20"/>
                <w:u w:val="single"/>
                <w:lang w:eastAsia="en-GB"/>
              </w:rPr>
            </w:pPr>
          </w:p>
        </w:tc>
      </w:tr>
      <w:tr w:rsidR="003F0706" w:rsidRPr="007F5684" w:rsidTr="003D0976">
        <w:trPr>
          <w:trHeight w:val="765"/>
        </w:trPr>
        <w:tc>
          <w:tcPr>
            <w:tcW w:w="729" w:type="pct"/>
            <w:tcBorders>
              <w:top w:val="single" w:sz="4" w:space="0" w:color="auto"/>
              <w:bottom w:val="single" w:sz="4" w:space="0" w:color="auto"/>
            </w:tcBorders>
            <w:shd w:val="clear" w:color="auto" w:fill="auto"/>
            <w:noWrap/>
          </w:tcPr>
          <w:p w:rsidR="003F0706"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H</w:t>
            </w:r>
          </w:p>
        </w:tc>
        <w:tc>
          <w:tcPr>
            <w:tcW w:w="4271" w:type="pct"/>
            <w:gridSpan w:val="2"/>
            <w:tcBorders>
              <w:top w:val="single" w:sz="4" w:space="0" w:color="auto"/>
              <w:bottom w:val="single" w:sz="4" w:space="0" w:color="auto"/>
            </w:tcBorders>
            <w:shd w:val="clear" w:color="auto" w:fill="auto"/>
          </w:tcPr>
          <w:p w:rsidR="003F0706" w:rsidRPr="007F5684" w:rsidRDefault="003F0706" w:rsidP="004F085D">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Product type</w:t>
            </w:r>
          </w:p>
          <w:p w:rsidR="003F0706" w:rsidRPr="007F5684" w:rsidRDefault="003F0706" w:rsidP="004F085D">
            <w:pPr>
              <w:spacing w:before="0" w:after="0"/>
              <w:jc w:val="left"/>
              <w:rPr>
                <w:rFonts w:ascii="Times New Roman" w:hAnsi="Times New Roman"/>
                <w:b/>
                <w:szCs w:val="20"/>
                <w:u w:val="single"/>
                <w:lang w:eastAsia="en-GB"/>
              </w:rPr>
            </w:pPr>
          </w:p>
          <w:p w:rsidR="003F0706" w:rsidRPr="007F5684" w:rsidRDefault="003F0706" w:rsidP="00203985">
            <w:pPr>
              <w:spacing w:before="0" w:after="0"/>
              <w:rPr>
                <w:rFonts w:ascii="Times New Roman" w:hAnsi="Times New Roman"/>
                <w:szCs w:val="20"/>
                <w:lang w:eastAsia="en-GB"/>
              </w:rPr>
            </w:pPr>
            <w:r w:rsidRPr="007F5684">
              <w:rPr>
                <w:rFonts w:ascii="Times New Roman" w:hAnsi="Times New Roman"/>
                <w:szCs w:val="20"/>
                <w:lang w:eastAsia="en-GB"/>
              </w:rPr>
              <w:t xml:space="preserve">Counterparties recorded in column D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assigned a product type, corresponding to the product issued in which the funding was </w:t>
            </w:r>
            <w:r w:rsidR="00783120" w:rsidRPr="007F5684">
              <w:rPr>
                <w:rFonts w:ascii="Times New Roman" w:hAnsi="Times New Roman"/>
                <w:szCs w:val="20"/>
                <w:lang w:eastAsia="en-GB"/>
              </w:rPr>
              <w:t xml:space="preserve">received (or </w:t>
            </w:r>
            <w:r w:rsidR="00FB7E07" w:rsidRPr="007F5684">
              <w:rPr>
                <w:rFonts w:ascii="Times New Roman" w:hAnsi="Times New Roman"/>
                <w:szCs w:val="20"/>
                <w:lang w:eastAsia="en-GB"/>
              </w:rPr>
              <w:t xml:space="preserve">in which the </w:t>
            </w:r>
            <w:r w:rsidR="00783120" w:rsidRPr="007F5684">
              <w:rPr>
                <w:rFonts w:ascii="Times New Roman" w:hAnsi="Times New Roman"/>
                <w:szCs w:val="20"/>
                <w:lang w:eastAsia="en-GB"/>
              </w:rPr>
              <w:t xml:space="preserve">largest proportion of funding was received for mixed product types) </w:t>
            </w:r>
            <w:r w:rsidRPr="007F5684">
              <w:rPr>
                <w:rFonts w:ascii="Times New Roman" w:hAnsi="Times New Roman"/>
                <w:szCs w:val="20"/>
                <w:lang w:eastAsia="en-GB"/>
              </w:rPr>
              <w:t>using the following codes indicated in bold:</w:t>
            </w:r>
          </w:p>
          <w:p w:rsidR="00F73C93" w:rsidRPr="007F5684" w:rsidRDefault="00F73C93" w:rsidP="00203985">
            <w:pPr>
              <w:spacing w:before="0" w:after="0"/>
              <w:rPr>
                <w:rFonts w:ascii="Times New Roman" w:hAnsi="Times New Roman"/>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RSD</w:t>
            </w:r>
            <w:r w:rsidRPr="007F5684">
              <w:rPr>
                <w:rFonts w:ascii="Times New Roman" w:hAnsi="Times New Roman"/>
                <w:color w:val="000000"/>
                <w:szCs w:val="20"/>
                <w:lang w:eastAsia="en-GB"/>
              </w:rPr>
              <w:t xml:space="preserve"> (retail sight deposits)</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RFTDWP</w:t>
            </w:r>
            <w:r w:rsidRPr="007F5684">
              <w:rPr>
                <w:rFonts w:ascii="Times New Roman" w:hAnsi="Times New Roman"/>
                <w:color w:val="000000"/>
                <w:szCs w:val="20"/>
                <w:lang w:eastAsia="en-GB"/>
              </w:rPr>
              <w:t xml:space="preserve"> (retail fixed term deposits greater than 30 days with a penalty for early withdrawal significantly greater than the loss of interest)</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RFTDNP</w:t>
            </w:r>
            <w:r w:rsidRPr="007F5684">
              <w:rPr>
                <w:rFonts w:ascii="Times New Roman" w:hAnsi="Times New Roman"/>
                <w:color w:val="000000"/>
                <w:szCs w:val="20"/>
                <w:lang w:eastAsia="en-GB"/>
              </w:rPr>
              <w:t xml:space="preserve"> (retail fixed term deposits greater than 30 days with </w:t>
            </w:r>
            <w:r w:rsidRPr="007F5684">
              <w:rPr>
                <w:rFonts w:ascii="Times New Roman" w:hAnsi="Times New Roman"/>
                <w:color w:val="000000"/>
                <w:szCs w:val="20"/>
                <w:u w:val="single"/>
                <w:lang w:eastAsia="en-GB"/>
              </w:rPr>
              <w:t>no</w:t>
            </w:r>
            <w:r w:rsidRPr="007F5684">
              <w:rPr>
                <w:rFonts w:ascii="Times New Roman" w:hAnsi="Times New Roman"/>
                <w:color w:val="000000"/>
                <w:szCs w:val="20"/>
                <w:lang w:eastAsia="en-GB"/>
              </w:rPr>
              <w:t xml:space="preserve"> penalty for early withdrawal significantly greater than the loss of interest)</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RSWNP</w:t>
            </w:r>
            <w:r w:rsidRPr="007F5684">
              <w:rPr>
                <w:rFonts w:ascii="Times New Roman" w:hAnsi="Times New Roman"/>
                <w:color w:val="000000"/>
                <w:szCs w:val="20"/>
                <w:lang w:eastAsia="en-GB"/>
              </w:rPr>
              <w:t xml:space="preserve"> (retail savings accounts with a notice period for withdrawal greater than 30 days)</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RSWNNP</w:t>
            </w:r>
            <w:r w:rsidRPr="007F5684">
              <w:rPr>
                <w:rFonts w:ascii="Times New Roman" w:hAnsi="Times New Roman"/>
                <w:color w:val="000000"/>
                <w:szCs w:val="20"/>
                <w:lang w:eastAsia="en-GB"/>
              </w:rPr>
              <w:t xml:space="preserve"> (retail savings accounts with </w:t>
            </w:r>
            <w:r w:rsidRPr="007F5684">
              <w:rPr>
                <w:rFonts w:ascii="Times New Roman" w:hAnsi="Times New Roman"/>
                <w:color w:val="000000"/>
                <w:szCs w:val="20"/>
                <w:u w:val="single"/>
                <w:lang w:eastAsia="en-GB"/>
              </w:rPr>
              <w:t>no</w:t>
            </w:r>
            <w:r w:rsidRPr="007F5684">
              <w:rPr>
                <w:rFonts w:ascii="Times New Roman" w:hAnsi="Times New Roman"/>
                <w:color w:val="000000"/>
                <w:szCs w:val="20"/>
                <w:lang w:eastAsia="en-GB"/>
              </w:rPr>
              <w:t xml:space="preserve"> notice period for withdrawal greater than 30 days)</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UWF</w:t>
            </w:r>
            <w:r w:rsidRPr="007F5684">
              <w:rPr>
                <w:rFonts w:ascii="Times New Roman" w:hAnsi="Times New Roman"/>
                <w:color w:val="000000"/>
                <w:szCs w:val="20"/>
                <w:lang w:eastAsia="en-GB"/>
              </w:rPr>
              <w:t xml:space="preserve"> (unsecured wholesale funding obtained from financial customers including interbank money)</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UWNF</w:t>
            </w:r>
            <w:r w:rsidRPr="007F5684">
              <w:rPr>
                <w:rFonts w:ascii="Times New Roman" w:hAnsi="Times New Roman"/>
                <w:color w:val="000000"/>
                <w:szCs w:val="20"/>
                <w:lang w:eastAsia="en-GB"/>
              </w:rPr>
              <w:t xml:space="preserve"> (unsecured wholesale funding obtained from non-financial customers)</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REPO</w:t>
            </w:r>
            <w:r w:rsidRPr="007F5684">
              <w:rPr>
                <w:rFonts w:ascii="Times New Roman" w:hAnsi="Times New Roman"/>
                <w:color w:val="000000"/>
                <w:szCs w:val="20"/>
                <w:lang w:eastAsia="en-GB"/>
              </w:rPr>
              <w:t xml:space="preserve"> (funding obtained from repurchase agreements as defined in Article 188 of CRR)</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CB</w:t>
            </w:r>
            <w:r w:rsidRPr="007F5684">
              <w:rPr>
                <w:rFonts w:ascii="Times New Roman" w:hAnsi="Times New Roman"/>
                <w:color w:val="000000"/>
                <w:szCs w:val="20"/>
                <w:lang w:eastAsia="en-GB"/>
              </w:rPr>
              <w:t xml:space="preserve"> (funding obtained from covered bond issuance as defined in Article 124(3) or (4) of CRR OR Article 52(4) of Directive 2009/65/EC)</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 xml:space="preserve">ABS </w:t>
            </w:r>
            <w:r w:rsidRPr="007F5684">
              <w:rPr>
                <w:rFonts w:ascii="Times New Roman" w:hAnsi="Times New Roman"/>
                <w:color w:val="000000"/>
                <w:szCs w:val="20"/>
                <w:lang w:eastAsia="en-GB"/>
              </w:rPr>
              <w:t>(funding obtained from asset backed security issuance</w:t>
            </w:r>
            <w:r w:rsidR="009A329A" w:rsidRPr="007F5684">
              <w:rPr>
                <w:rFonts w:ascii="Times New Roman" w:hAnsi="Times New Roman"/>
                <w:color w:val="000000"/>
                <w:szCs w:val="20"/>
                <w:lang w:eastAsia="en-GB"/>
              </w:rPr>
              <w:t xml:space="preserve"> including asset backed commercial paper</w:t>
            </w:r>
            <w:r w:rsidRPr="007F5684">
              <w:rPr>
                <w:rFonts w:ascii="Times New Roman" w:hAnsi="Times New Roman"/>
                <w:color w:val="000000"/>
                <w:szCs w:val="20"/>
                <w:lang w:eastAsia="en-GB"/>
              </w:rPr>
              <w:t>)</w:t>
            </w:r>
          </w:p>
          <w:p w:rsidR="003F0706" w:rsidRPr="007F5684" w:rsidRDefault="003F0706" w:rsidP="00203985">
            <w:pPr>
              <w:spacing w:before="0" w:after="0"/>
              <w:ind w:left="108"/>
              <w:jc w:val="left"/>
              <w:rPr>
                <w:rFonts w:ascii="Times New Roman" w:hAnsi="Times New Roman"/>
                <w:color w:val="000000"/>
                <w:szCs w:val="20"/>
                <w:lang w:eastAsia="en-GB"/>
              </w:rPr>
            </w:pPr>
          </w:p>
          <w:p w:rsidR="003F0706" w:rsidRPr="007F5684" w:rsidRDefault="003F0706" w:rsidP="00203985">
            <w:pPr>
              <w:spacing w:before="0" w:after="0"/>
              <w:ind w:left="108"/>
              <w:jc w:val="left"/>
              <w:rPr>
                <w:rFonts w:ascii="Times New Roman" w:hAnsi="Times New Roman"/>
                <w:color w:val="000000"/>
                <w:szCs w:val="20"/>
                <w:lang w:eastAsia="en-GB"/>
              </w:rPr>
            </w:pPr>
            <w:r w:rsidRPr="007F5684">
              <w:rPr>
                <w:rFonts w:ascii="Times New Roman" w:hAnsi="Times New Roman"/>
                <w:b/>
                <w:color w:val="000000"/>
                <w:szCs w:val="20"/>
                <w:lang w:eastAsia="en-GB"/>
              </w:rPr>
              <w:t>IGCP</w:t>
            </w:r>
            <w:r w:rsidRPr="007F5684">
              <w:rPr>
                <w:rFonts w:ascii="Times New Roman" w:hAnsi="Times New Roman"/>
                <w:color w:val="000000"/>
                <w:szCs w:val="20"/>
                <w:lang w:eastAsia="en-GB"/>
              </w:rPr>
              <w:t xml:space="preserve"> (funding obtained from funding obtained from </w:t>
            </w:r>
            <w:proofErr w:type="spellStart"/>
            <w:r w:rsidRPr="007F5684">
              <w:rPr>
                <w:rFonts w:ascii="Times New Roman" w:hAnsi="Times New Roman"/>
                <w:color w:val="000000"/>
                <w:szCs w:val="20"/>
                <w:lang w:eastAsia="en-GB"/>
              </w:rPr>
              <w:t>intragroup</w:t>
            </w:r>
            <w:proofErr w:type="spellEnd"/>
            <w:r w:rsidRPr="007F5684">
              <w:rPr>
                <w:rFonts w:ascii="Times New Roman" w:hAnsi="Times New Roman"/>
                <w:color w:val="000000"/>
                <w:szCs w:val="20"/>
                <w:lang w:eastAsia="en-GB"/>
              </w:rPr>
              <w:t xml:space="preserve"> counterparties)</w:t>
            </w:r>
          </w:p>
          <w:p w:rsidR="003F0706" w:rsidRPr="007F5684" w:rsidRDefault="003F0706" w:rsidP="000B288B">
            <w:pPr>
              <w:spacing w:before="0" w:after="0"/>
              <w:jc w:val="left"/>
              <w:rPr>
                <w:rFonts w:ascii="Times New Roman" w:hAnsi="Times New Roman"/>
                <w:b/>
                <w:szCs w:val="20"/>
                <w:u w:val="single"/>
                <w:lang w:eastAsia="en-GB"/>
              </w:rPr>
            </w:pPr>
          </w:p>
        </w:tc>
      </w:tr>
      <w:tr w:rsidR="003D0976" w:rsidRPr="007F5684" w:rsidTr="003D0976">
        <w:trPr>
          <w:trHeight w:val="765"/>
        </w:trPr>
        <w:tc>
          <w:tcPr>
            <w:tcW w:w="729" w:type="pct"/>
            <w:tcBorders>
              <w:top w:val="single" w:sz="4" w:space="0" w:color="auto"/>
              <w:bottom w:val="nil"/>
            </w:tcBorders>
            <w:shd w:val="clear" w:color="auto" w:fill="auto"/>
            <w:noWrap/>
          </w:tcPr>
          <w:p w:rsidR="003D0976"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I</w:t>
            </w:r>
          </w:p>
        </w:tc>
        <w:tc>
          <w:tcPr>
            <w:tcW w:w="4271" w:type="pct"/>
            <w:gridSpan w:val="2"/>
            <w:tcBorders>
              <w:top w:val="single" w:sz="4" w:space="0" w:color="auto"/>
              <w:bottom w:val="nil"/>
            </w:tcBorders>
            <w:shd w:val="clear" w:color="auto" w:fill="auto"/>
          </w:tcPr>
          <w:p w:rsidR="003D0976" w:rsidRPr="007F5684" w:rsidRDefault="003D0976" w:rsidP="003D0976">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Currency</w:t>
            </w:r>
          </w:p>
          <w:p w:rsidR="003D0976" w:rsidRPr="007F5684" w:rsidRDefault="003D0976" w:rsidP="003D0976">
            <w:pPr>
              <w:spacing w:before="0" w:after="0"/>
              <w:jc w:val="left"/>
              <w:rPr>
                <w:rFonts w:ascii="Times New Roman" w:hAnsi="Times New Roman"/>
                <w:b/>
                <w:szCs w:val="20"/>
                <w:u w:val="single"/>
                <w:lang w:eastAsia="en-GB"/>
              </w:rPr>
            </w:pPr>
          </w:p>
          <w:p w:rsidR="003D0976" w:rsidRPr="007F5684" w:rsidRDefault="003D0976" w:rsidP="003D0976">
            <w:pPr>
              <w:spacing w:before="0" w:after="0"/>
              <w:rPr>
                <w:rFonts w:ascii="Times New Roman" w:hAnsi="Times New Roman"/>
                <w:szCs w:val="20"/>
                <w:lang w:eastAsia="en-GB"/>
              </w:rPr>
            </w:pPr>
            <w:r w:rsidRPr="007F5684">
              <w:rPr>
                <w:rFonts w:ascii="Times New Roman" w:hAnsi="Times New Roman"/>
                <w:szCs w:val="20"/>
                <w:lang w:eastAsia="en-GB"/>
              </w:rPr>
              <w:t xml:space="preserve">Counterparties recorded in column D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assigned a currency ISO code in column G corresponding to the denomination in which the funding was received (or largest proportion of funding was received for mixed currencies) as follows:</w:t>
            </w:r>
          </w:p>
          <w:p w:rsidR="003D0976" w:rsidRPr="007F5684" w:rsidRDefault="003D0976" w:rsidP="004F085D">
            <w:pPr>
              <w:spacing w:before="0" w:after="0"/>
              <w:jc w:val="left"/>
              <w:rPr>
                <w:rFonts w:ascii="Times New Roman" w:hAnsi="Times New Roman"/>
                <w:b/>
                <w:szCs w:val="20"/>
                <w:u w:val="single"/>
                <w:lang w:eastAsia="en-GB"/>
              </w:rPr>
            </w:pPr>
          </w:p>
        </w:tc>
      </w:tr>
      <w:tr w:rsidR="003D0976" w:rsidRPr="007F5684" w:rsidTr="003D0976">
        <w:trPr>
          <w:trHeight w:val="765"/>
        </w:trPr>
        <w:tc>
          <w:tcPr>
            <w:tcW w:w="729" w:type="pct"/>
            <w:tcBorders>
              <w:top w:val="nil"/>
              <w:bottom w:val="single" w:sz="4" w:space="0" w:color="auto"/>
            </w:tcBorders>
            <w:shd w:val="clear" w:color="auto" w:fill="auto"/>
            <w:noWrap/>
          </w:tcPr>
          <w:p w:rsidR="003D0976" w:rsidRPr="007F5684" w:rsidRDefault="003D0976" w:rsidP="000B288B">
            <w:pPr>
              <w:spacing w:before="0" w:after="0"/>
              <w:jc w:val="left"/>
              <w:rPr>
                <w:rFonts w:ascii="Times New Roman" w:hAnsi="Times New Roman"/>
                <w:color w:val="000000"/>
                <w:szCs w:val="20"/>
                <w:lang w:eastAsia="en-GB"/>
              </w:rPr>
            </w:pPr>
          </w:p>
        </w:tc>
        <w:tc>
          <w:tcPr>
            <w:tcW w:w="2136" w:type="pct"/>
            <w:tcBorders>
              <w:top w:val="nil"/>
              <w:bottom w:val="single" w:sz="4" w:space="0" w:color="auto"/>
              <w:right w:val="nil"/>
            </w:tcBorders>
            <w:shd w:val="clear" w:color="auto" w:fill="auto"/>
          </w:tcPr>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AED</w:t>
            </w:r>
            <w:r w:rsidRPr="007F5684">
              <w:rPr>
                <w:rFonts w:ascii="Times New Roman" w:hAnsi="Times New Roman"/>
                <w:color w:val="000000"/>
                <w:szCs w:val="20"/>
                <w:lang w:eastAsia="en-GB"/>
              </w:rPr>
              <w:tab/>
              <w:t>United Arab Emirates Dirham</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AFN</w:t>
            </w:r>
            <w:r w:rsidRPr="007F5684">
              <w:rPr>
                <w:rFonts w:ascii="Times New Roman" w:hAnsi="Times New Roman"/>
                <w:color w:val="000000"/>
                <w:szCs w:val="20"/>
                <w:lang w:eastAsia="en-GB"/>
              </w:rPr>
              <w:tab/>
              <w:t>Afghanistan Afghani</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ALL</w:t>
            </w:r>
            <w:r w:rsidRPr="007F5684">
              <w:rPr>
                <w:rFonts w:ascii="Times New Roman" w:hAnsi="Times New Roman"/>
                <w:color w:val="000000"/>
                <w:szCs w:val="20"/>
                <w:lang w:eastAsia="en-GB"/>
              </w:rPr>
              <w:tab/>
              <w:t xml:space="preserve">Albania </w:t>
            </w:r>
            <w:proofErr w:type="spellStart"/>
            <w:r w:rsidRPr="007F5684">
              <w:rPr>
                <w:rFonts w:ascii="Times New Roman" w:hAnsi="Times New Roman"/>
                <w:color w:val="000000"/>
                <w:szCs w:val="20"/>
                <w:lang w:eastAsia="en-GB"/>
              </w:rPr>
              <w:t>Lek</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AMD</w:t>
            </w:r>
            <w:r w:rsidRPr="007F5684">
              <w:rPr>
                <w:rFonts w:ascii="Times New Roman" w:hAnsi="Times New Roman"/>
                <w:color w:val="000000"/>
                <w:szCs w:val="20"/>
                <w:lang w:eastAsia="en-GB"/>
              </w:rPr>
              <w:tab/>
              <w:t>Armenia Dram</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ANG</w:t>
            </w:r>
            <w:r w:rsidRPr="007F5684">
              <w:rPr>
                <w:rFonts w:ascii="Times New Roman" w:hAnsi="Times New Roman"/>
                <w:color w:val="000000"/>
                <w:szCs w:val="20"/>
                <w:lang w:eastAsia="en-GB"/>
              </w:rPr>
              <w:tab/>
              <w:t>Netherlands Antilles Guilder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AOA</w:t>
            </w:r>
            <w:r w:rsidRPr="007F5684">
              <w:rPr>
                <w:rFonts w:ascii="Times New Roman" w:hAnsi="Times New Roman"/>
                <w:color w:val="000000"/>
                <w:szCs w:val="20"/>
                <w:lang w:val="pt-PT" w:eastAsia="en-GB"/>
              </w:rPr>
              <w:tab/>
              <w:t>Angola Kwanza</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ARS</w:t>
            </w:r>
            <w:r w:rsidRPr="007F5684">
              <w:rPr>
                <w:rFonts w:ascii="Times New Roman" w:hAnsi="Times New Roman"/>
                <w:color w:val="000000"/>
                <w:szCs w:val="20"/>
                <w:lang w:val="pt-PT" w:eastAsia="en-GB"/>
              </w:rPr>
              <w:tab/>
              <w:t>Argentina Peso</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AUD</w:t>
            </w:r>
            <w:r w:rsidRPr="007F5684">
              <w:rPr>
                <w:rFonts w:ascii="Times New Roman" w:hAnsi="Times New Roman"/>
                <w:color w:val="000000"/>
                <w:szCs w:val="20"/>
                <w:lang w:eastAsia="en-GB"/>
              </w:rPr>
              <w:tab/>
              <w:t>Australia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AWG</w:t>
            </w:r>
            <w:r w:rsidRPr="007F5684">
              <w:rPr>
                <w:rFonts w:ascii="Times New Roman" w:hAnsi="Times New Roman"/>
                <w:color w:val="000000"/>
                <w:szCs w:val="20"/>
                <w:lang w:eastAsia="en-GB"/>
              </w:rPr>
              <w:tab/>
              <w:t>Aruba Guilder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AZN</w:t>
            </w:r>
            <w:r w:rsidRPr="007F5684">
              <w:rPr>
                <w:rFonts w:ascii="Times New Roman" w:hAnsi="Times New Roman"/>
                <w:color w:val="000000"/>
                <w:szCs w:val="20"/>
                <w:lang w:eastAsia="en-GB"/>
              </w:rPr>
              <w:tab/>
              <w:t xml:space="preserve">Azerbaijan New </w:t>
            </w:r>
            <w:proofErr w:type="spellStart"/>
            <w:r w:rsidRPr="007F5684">
              <w:rPr>
                <w:rFonts w:ascii="Times New Roman" w:hAnsi="Times New Roman"/>
                <w:color w:val="000000"/>
                <w:szCs w:val="20"/>
                <w:lang w:eastAsia="en-GB"/>
              </w:rPr>
              <w:t>Manat</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BAM</w:t>
            </w:r>
            <w:r w:rsidRPr="007F5684">
              <w:rPr>
                <w:rFonts w:ascii="Times New Roman" w:hAnsi="Times New Roman"/>
                <w:color w:val="000000"/>
                <w:szCs w:val="20"/>
                <w:lang w:eastAsia="en-GB"/>
              </w:rPr>
              <w:tab/>
              <w:t xml:space="preserve">Bosnia and Herzegovina Convertible </w:t>
            </w:r>
            <w:proofErr w:type="spellStart"/>
            <w:r w:rsidRPr="007F5684">
              <w:rPr>
                <w:rFonts w:ascii="Times New Roman" w:hAnsi="Times New Roman"/>
                <w:color w:val="000000"/>
                <w:szCs w:val="20"/>
                <w:lang w:eastAsia="en-GB"/>
              </w:rPr>
              <w:t>Marka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BBD</w:t>
            </w:r>
            <w:r w:rsidRPr="007F5684">
              <w:rPr>
                <w:rFonts w:ascii="Times New Roman" w:hAnsi="Times New Roman"/>
                <w:color w:val="000000"/>
                <w:szCs w:val="20"/>
                <w:lang w:eastAsia="en-GB"/>
              </w:rPr>
              <w:tab/>
              <w:t>Barbados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BDT</w:t>
            </w:r>
            <w:r w:rsidRPr="007F5684">
              <w:rPr>
                <w:rFonts w:ascii="Times New Roman" w:hAnsi="Times New Roman"/>
                <w:color w:val="000000"/>
                <w:szCs w:val="20"/>
                <w:lang w:eastAsia="en-GB"/>
              </w:rPr>
              <w:tab/>
              <w:t>Bangladesh Taka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lastRenderedPageBreak/>
              <w:t>BGN</w:t>
            </w:r>
            <w:r w:rsidRPr="007F5684">
              <w:rPr>
                <w:rFonts w:ascii="Times New Roman" w:hAnsi="Times New Roman"/>
                <w:color w:val="000000"/>
                <w:szCs w:val="20"/>
                <w:lang w:eastAsia="en-GB"/>
              </w:rPr>
              <w:tab/>
              <w:t>Bulgaria Lev</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BHD</w:t>
            </w:r>
            <w:r w:rsidRPr="007F5684">
              <w:rPr>
                <w:rFonts w:ascii="Times New Roman" w:hAnsi="Times New Roman"/>
                <w:color w:val="000000"/>
                <w:szCs w:val="20"/>
                <w:lang w:eastAsia="en-GB"/>
              </w:rPr>
              <w:tab/>
              <w:t>Bahrain Dinar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BIF</w:t>
            </w:r>
            <w:r w:rsidRPr="007F5684">
              <w:rPr>
                <w:rFonts w:ascii="Times New Roman" w:hAnsi="Times New Roman"/>
                <w:color w:val="000000"/>
                <w:szCs w:val="20"/>
                <w:lang w:eastAsia="en-GB"/>
              </w:rPr>
              <w:tab/>
              <w:t>Burundi Franc</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BMD</w:t>
            </w:r>
            <w:r w:rsidRPr="007F5684">
              <w:rPr>
                <w:rFonts w:ascii="Times New Roman" w:hAnsi="Times New Roman"/>
                <w:color w:val="000000"/>
                <w:szCs w:val="20"/>
                <w:lang w:eastAsia="en-GB"/>
              </w:rPr>
              <w:tab/>
              <w:t>Bermuda Dollar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BND</w:t>
            </w:r>
            <w:r w:rsidRPr="007F5684">
              <w:rPr>
                <w:rFonts w:ascii="Times New Roman" w:hAnsi="Times New Roman"/>
                <w:color w:val="000000"/>
                <w:szCs w:val="20"/>
                <w:lang w:val="pt-PT" w:eastAsia="en-GB"/>
              </w:rPr>
              <w:tab/>
              <w:t>Brunei Darussalam Dollar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BOB</w:t>
            </w:r>
            <w:r w:rsidRPr="007F5684">
              <w:rPr>
                <w:rFonts w:ascii="Times New Roman" w:hAnsi="Times New Roman"/>
                <w:color w:val="000000"/>
                <w:szCs w:val="20"/>
                <w:lang w:val="pt-PT" w:eastAsia="en-GB"/>
              </w:rPr>
              <w:tab/>
              <w:t>Bolivia Boliviano</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BRL</w:t>
            </w:r>
            <w:r w:rsidRPr="007F5684">
              <w:rPr>
                <w:rFonts w:ascii="Times New Roman" w:hAnsi="Times New Roman"/>
                <w:color w:val="000000"/>
                <w:szCs w:val="20"/>
                <w:lang w:eastAsia="en-GB"/>
              </w:rPr>
              <w:tab/>
              <w:t>Brazil Real</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BSD</w:t>
            </w:r>
            <w:r w:rsidRPr="007F5684">
              <w:rPr>
                <w:rFonts w:ascii="Times New Roman" w:hAnsi="Times New Roman"/>
                <w:color w:val="000000"/>
                <w:szCs w:val="20"/>
                <w:lang w:eastAsia="en-GB"/>
              </w:rPr>
              <w:tab/>
              <w:t>Bahamas Dollar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BTN</w:t>
            </w:r>
            <w:r w:rsidRPr="007F5684">
              <w:rPr>
                <w:rFonts w:ascii="Times New Roman" w:hAnsi="Times New Roman"/>
                <w:color w:val="000000"/>
                <w:szCs w:val="20"/>
                <w:lang w:val="pt-PT" w:eastAsia="en-GB"/>
              </w:rPr>
              <w:tab/>
              <w:t>Bhutan Ngultrum</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BWP</w:t>
            </w:r>
            <w:r w:rsidRPr="007F5684">
              <w:rPr>
                <w:rFonts w:ascii="Times New Roman" w:hAnsi="Times New Roman"/>
                <w:color w:val="000000"/>
                <w:szCs w:val="20"/>
                <w:lang w:val="pt-PT" w:eastAsia="en-GB"/>
              </w:rPr>
              <w:tab/>
              <w:t>Botswana Pula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BYR</w:t>
            </w:r>
            <w:r w:rsidRPr="007F5684">
              <w:rPr>
                <w:rFonts w:ascii="Times New Roman" w:hAnsi="Times New Roman"/>
                <w:color w:val="000000"/>
                <w:szCs w:val="20"/>
                <w:lang w:eastAsia="en-GB"/>
              </w:rPr>
              <w:tab/>
              <w:t xml:space="preserve">Belarus </w:t>
            </w:r>
            <w:proofErr w:type="spellStart"/>
            <w:r w:rsidRPr="007F5684">
              <w:rPr>
                <w:rFonts w:ascii="Times New Roman" w:hAnsi="Times New Roman"/>
                <w:color w:val="000000"/>
                <w:szCs w:val="20"/>
                <w:lang w:eastAsia="en-GB"/>
              </w:rPr>
              <w:t>Ruble</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BZD</w:t>
            </w:r>
            <w:r w:rsidRPr="007F5684">
              <w:rPr>
                <w:rFonts w:ascii="Times New Roman" w:hAnsi="Times New Roman"/>
                <w:color w:val="000000"/>
                <w:szCs w:val="20"/>
                <w:lang w:eastAsia="en-GB"/>
              </w:rPr>
              <w:tab/>
              <w:t>Belize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CAD</w:t>
            </w:r>
            <w:r w:rsidRPr="007F5684">
              <w:rPr>
                <w:rFonts w:ascii="Times New Roman" w:hAnsi="Times New Roman"/>
                <w:color w:val="000000"/>
                <w:szCs w:val="20"/>
                <w:lang w:eastAsia="en-GB"/>
              </w:rPr>
              <w:tab/>
              <w:t>Canada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CDF</w:t>
            </w:r>
            <w:r w:rsidRPr="007F5684">
              <w:rPr>
                <w:rFonts w:ascii="Times New Roman" w:hAnsi="Times New Roman"/>
                <w:color w:val="000000"/>
                <w:szCs w:val="20"/>
                <w:lang w:eastAsia="en-GB"/>
              </w:rPr>
              <w:tab/>
              <w:t>Congo/Kinshasa Franc</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CHF</w:t>
            </w:r>
            <w:r w:rsidRPr="007F5684">
              <w:rPr>
                <w:rFonts w:ascii="Times New Roman" w:hAnsi="Times New Roman"/>
                <w:color w:val="000000"/>
                <w:szCs w:val="20"/>
                <w:lang w:eastAsia="en-GB"/>
              </w:rPr>
              <w:tab/>
              <w:t>Switzerland Franc</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CLP</w:t>
            </w:r>
            <w:r w:rsidRPr="007F5684">
              <w:rPr>
                <w:rFonts w:ascii="Times New Roman" w:hAnsi="Times New Roman"/>
                <w:color w:val="000000"/>
                <w:szCs w:val="20"/>
                <w:lang w:eastAsia="en-GB"/>
              </w:rPr>
              <w:tab/>
              <w:t>Chile Peso</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CNY</w:t>
            </w:r>
            <w:r w:rsidRPr="007F5684">
              <w:rPr>
                <w:rFonts w:ascii="Times New Roman" w:hAnsi="Times New Roman"/>
                <w:color w:val="000000"/>
                <w:szCs w:val="20"/>
                <w:lang w:eastAsia="en-GB"/>
              </w:rPr>
              <w:tab/>
              <w:t xml:space="preserve">China Yuan </w:t>
            </w:r>
            <w:proofErr w:type="spellStart"/>
            <w:r w:rsidRPr="007F5684">
              <w:rPr>
                <w:rFonts w:ascii="Times New Roman" w:hAnsi="Times New Roman"/>
                <w:color w:val="000000"/>
                <w:szCs w:val="20"/>
                <w:lang w:eastAsia="en-GB"/>
              </w:rPr>
              <w:t>Renminbi</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COP</w:t>
            </w:r>
            <w:r w:rsidRPr="007F5684">
              <w:rPr>
                <w:rFonts w:ascii="Times New Roman" w:hAnsi="Times New Roman"/>
                <w:color w:val="000000"/>
                <w:szCs w:val="20"/>
                <w:lang w:val="pt-PT" w:eastAsia="en-GB"/>
              </w:rPr>
              <w:tab/>
              <w:t>Colombia Peso</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CRC</w:t>
            </w:r>
            <w:r w:rsidRPr="007F5684">
              <w:rPr>
                <w:rFonts w:ascii="Times New Roman" w:hAnsi="Times New Roman"/>
                <w:color w:val="000000"/>
                <w:szCs w:val="20"/>
                <w:lang w:val="pt-PT" w:eastAsia="en-GB"/>
              </w:rPr>
              <w:tab/>
              <w:t>Costa Rica Colon</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CUC</w:t>
            </w:r>
            <w:r w:rsidRPr="007F5684">
              <w:rPr>
                <w:rFonts w:ascii="Times New Roman" w:hAnsi="Times New Roman"/>
                <w:color w:val="000000"/>
                <w:szCs w:val="20"/>
                <w:lang w:val="pt-PT" w:eastAsia="en-GB"/>
              </w:rPr>
              <w:tab/>
              <w:t>Cuba Convertible Peso</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CUP</w:t>
            </w:r>
            <w:r w:rsidRPr="007F5684">
              <w:rPr>
                <w:rFonts w:ascii="Times New Roman" w:hAnsi="Times New Roman"/>
                <w:color w:val="000000"/>
                <w:szCs w:val="20"/>
                <w:lang w:val="pt-PT" w:eastAsia="en-GB"/>
              </w:rPr>
              <w:tab/>
              <w:t>Cuba Peso</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CVE</w:t>
            </w:r>
            <w:r w:rsidRPr="007F5684">
              <w:rPr>
                <w:rFonts w:ascii="Times New Roman" w:hAnsi="Times New Roman"/>
                <w:color w:val="000000"/>
                <w:szCs w:val="20"/>
                <w:lang w:val="pt-PT" w:eastAsia="en-GB"/>
              </w:rPr>
              <w:tab/>
              <w:t>Cape Verde Escudo</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CZK</w:t>
            </w:r>
            <w:r w:rsidRPr="007F5684">
              <w:rPr>
                <w:rFonts w:ascii="Times New Roman" w:hAnsi="Times New Roman"/>
                <w:color w:val="000000"/>
                <w:szCs w:val="20"/>
                <w:lang w:eastAsia="en-GB"/>
              </w:rPr>
              <w:tab/>
              <w:t>Czech Republic Koruna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DJF</w:t>
            </w:r>
            <w:r w:rsidRPr="007F5684">
              <w:rPr>
                <w:rFonts w:ascii="Times New Roman" w:hAnsi="Times New Roman"/>
                <w:color w:val="000000"/>
                <w:szCs w:val="20"/>
                <w:lang w:eastAsia="en-GB"/>
              </w:rPr>
              <w:tab/>
              <w:t>Djibouti Franc</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DKK</w:t>
            </w:r>
            <w:r w:rsidRPr="007F5684">
              <w:rPr>
                <w:rFonts w:ascii="Times New Roman" w:hAnsi="Times New Roman"/>
                <w:color w:val="000000"/>
                <w:szCs w:val="20"/>
                <w:lang w:eastAsia="en-GB"/>
              </w:rPr>
              <w:tab/>
              <w:t xml:space="preserve">Denmark </w:t>
            </w:r>
            <w:proofErr w:type="spellStart"/>
            <w:r w:rsidRPr="007F5684">
              <w:rPr>
                <w:rFonts w:ascii="Times New Roman" w:hAnsi="Times New Roman"/>
                <w:color w:val="000000"/>
                <w:szCs w:val="20"/>
                <w:lang w:eastAsia="en-GB"/>
              </w:rPr>
              <w:t>Krone</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DOP</w:t>
            </w:r>
            <w:r w:rsidRPr="007F5684">
              <w:rPr>
                <w:rFonts w:ascii="Times New Roman" w:hAnsi="Times New Roman"/>
                <w:color w:val="000000"/>
                <w:szCs w:val="20"/>
                <w:lang w:eastAsia="en-GB"/>
              </w:rPr>
              <w:tab/>
              <w:t>Dominican Republic Peso</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DZD</w:t>
            </w:r>
            <w:r w:rsidRPr="007F5684">
              <w:rPr>
                <w:rFonts w:ascii="Times New Roman" w:hAnsi="Times New Roman"/>
                <w:color w:val="000000"/>
                <w:szCs w:val="20"/>
                <w:lang w:eastAsia="en-GB"/>
              </w:rPr>
              <w:tab/>
              <w:t>Algeria Dinar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EGP</w:t>
            </w:r>
            <w:r w:rsidRPr="007F5684">
              <w:rPr>
                <w:rFonts w:ascii="Times New Roman" w:hAnsi="Times New Roman"/>
                <w:color w:val="000000"/>
                <w:szCs w:val="20"/>
                <w:lang w:eastAsia="en-GB"/>
              </w:rPr>
              <w:tab/>
              <w:t>Egypt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ERN</w:t>
            </w:r>
            <w:r w:rsidRPr="007F5684">
              <w:rPr>
                <w:rFonts w:ascii="Times New Roman" w:hAnsi="Times New Roman"/>
                <w:color w:val="000000"/>
                <w:szCs w:val="20"/>
                <w:lang w:eastAsia="en-GB"/>
              </w:rPr>
              <w:tab/>
              <w:t xml:space="preserve">Eritrea </w:t>
            </w:r>
            <w:proofErr w:type="spellStart"/>
            <w:r w:rsidRPr="007F5684">
              <w:rPr>
                <w:rFonts w:ascii="Times New Roman" w:hAnsi="Times New Roman"/>
                <w:color w:val="000000"/>
                <w:szCs w:val="20"/>
                <w:lang w:eastAsia="en-GB"/>
              </w:rPr>
              <w:t>Nakfa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ETB</w:t>
            </w:r>
            <w:r w:rsidRPr="007F5684">
              <w:rPr>
                <w:rFonts w:ascii="Times New Roman" w:hAnsi="Times New Roman"/>
                <w:color w:val="000000"/>
                <w:szCs w:val="20"/>
                <w:lang w:eastAsia="en-GB"/>
              </w:rPr>
              <w:tab/>
              <w:t>Ethiopia Birr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EUR</w:t>
            </w:r>
            <w:r w:rsidRPr="007F5684">
              <w:rPr>
                <w:rFonts w:ascii="Times New Roman" w:hAnsi="Times New Roman"/>
                <w:color w:val="000000"/>
                <w:szCs w:val="20"/>
                <w:lang w:eastAsia="en-GB"/>
              </w:rPr>
              <w:tab/>
              <w:t>Euro Member Countries</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FJD</w:t>
            </w:r>
            <w:r w:rsidRPr="007F5684">
              <w:rPr>
                <w:rFonts w:ascii="Times New Roman" w:hAnsi="Times New Roman"/>
                <w:color w:val="000000"/>
                <w:szCs w:val="20"/>
                <w:lang w:eastAsia="en-GB"/>
              </w:rPr>
              <w:tab/>
              <w:t>Fiji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FKP</w:t>
            </w:r>
            <w:r w:rsidRPr="007F5684">
              <w:rPr>
                <w:rFonts w:ascii="Times New Roman" w:hAnsi="Times New Roman"/>
                <w:color w:val="000000"/>
                <w:szCs w:val="20"/>
                <w:lang w:eastAsia="en-GB"/>
              </w:rPr>
              <w:tab/>
              <w:t>Falkland Islands (Malvinas)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GBP</w:t>
            </w:r>
            <w:r w:rsidRPr="007F5684">
              <w:rPr>
                <w:rFonts w:ascii="Times New Roman" w:hAnsi="Times New Roman"/>
                <w:color w:val="000000"/>
                <w:szCs w:val="20"/>
                <w:lang w:eastAsia="en-GB"/>
              </w:rPr>
              <w:tab/>
              <w:t>United Kingdom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GEL</w:t>
            </w:r>
            <w:r w:rsidRPr="007F5684">
              <w:rPr>
                <w:rFonts w:ascii="Times New Roman" w:hAnsi="Times New Roman"/>
                <w:color w:val="000000"/>
                <w:szCs w:val="20"/>
                <w:lang w:eastAsia="en-GB"/>
              </w:rPr>
              <w:tab/>
              <w:t xml:space="preserve">Georgia </w:t>
            </w:r>
            <w:proofErr w:type="spellStart"/>
            <w:r w:rsidRPr="007F5684">
              <w:rPr>
                <w:rFonts w:ascii="Times New Roman" w:hAnsi="Times New Roman"/>
                <w:color w:val="000000"/>
                <w:szCs w:val="20"/>
                <w:lang w:eastAsia="en-GB"/>
              </w:rPr>
              <w:t>Lari</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GGP</w:t>
            </w:r>
            <w:r w:rsidRPr="007F5684">
              <w:rPr>
                <w:rFonts w:ascii="Times New Roman" w:hAnsi="Times New Roman"/>
                <w:color w:val="000000"/>
                <w:szCs w:val="20"/>
                <w:lang w:eastAsia="en-GB"/>
              </w:rPr>
              <w:tab/>
              <w:t>Guernsey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GHS</w:t>
            </w:r>
            <w:r w:rsidRPr="007F5684">
              <w:rPr>
                <w:rFonts w:ascii="Times New Roman" w:hAnsi="Times New Roman"/>
                <w:color w:val="000000"/>
                <w:szCs w:val="20"/>
                <w:lang w:eastAsia="en-GB"/>
              </w:rPr>
              <w:tab/>
              <w:t>Ghana Cedi</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GIP</w:t>
            </w:r>
            <w:r w:rsidRPr="007F5684">
              <w:rPr>
                <w:rFonts w:ascii="Times New Roman" w:hAnsi="Times New Roman"/>
                <w:color w:val="000000"/>
                <w:szCs w:val="20"/>
                <w:lang w:val="pt-PT" w:eastAsia="en-GB"/>
              </w:rPr>
              <w:tab/>
              <w:t>Gibraltar Pound</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GMD</w:t>
            </w:r>
            <w:r w:rsidRPr="007F5684">
              <w:rPr>
                <w:rFonts w:ascii="Times New Roman" w:hAnsi="Times New Roman"/>
                <w:color w:val="000000"/>
                <w:szCs w:val="20"/>
                <w:lang w:val="pt-PT" w:eastAsia="en-GB"/>
              </w:rPr>
              <w:tab/>
              <w:t>Gambia Dalasi</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GNF</w:t>
            </w:r>
            <w:r w:rsidRPr="007F5684">
              <w:rPr>
                <w:rFonts w:ascii="Times New Roman" w:hAnsi="Times New Roman"/>
                <w:color w:val="000000"/>
                <w:szCs w:val="20"/>
                <w:lang w:val="pt-PT" w:eastAsia="en-GB"/>
              </w:rPr>
              <w:tab/>
              <w:t>Guinea Franc</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GTQ</w:t>
            </w:r>
            <w:r w:rsidRPr="007F5684">
              <w:rPr>
                <w:rFonts w:ascii="Times New Roman" w:hAnsi="Times New Roman"/>
                <w:color w:val="000000"/>
                <w:szCs w:val="20"/>
                <w:lang w:val="pt-PT" w:eastAsia="en-GB"/>
              </w:rPr>
              <w:tab/>
              <w:t>Guatemala Quetzal</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GYD</w:t>
            </w:r>
            <w:r w:rsidRPr="007F5684">
              <w:rPr>
                <w:rFonts w:ascii="Times New Roman" w:hAnsi="Times New Roman"/>
                <w:color w:val="000000"/>
                <w:szCs w:val="20"/>
                <w:lang w:eastAsia="en-GB"/>
              </w:rPr>
              <w:tab/>
              <w:t>Guyana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HKD</w:t>
            </w:r>
            <w:r w:rsidRPr="007F5684">
              <w:rPr>
                <w:rFonts w:ascii="Times New Roman" w:hAnsi="Times New Roman"/>
                <w:color w:val="000000"/>
                <w:szCs w:val="20"/>
                <w:lang w:eastAsia="en-GB"/>
              </w:rPr>
              <w:tab/>
              <w:t>Hong Kong Dollar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HNL</w:t>
            </w:r>
            <w:r w:rsidRPr="007F5684">
              <w:rPr>
                <w:rFonts w:ascii="Times New Roman" w:hAnsi="Times New Roman"/>
                <w:color w:val="000000"/>
                <w:szCs w:val="20"/>
                <w:lang w:val="pt-PT" w:eastAsia="en-GB"/>
              </w:rPr>
              <w:tab/>
              <w:t>Honduras Lempira</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HRK</w:t>
            </w:r>
            <w:r w:rsidRPr="007F5684">
              <w:rPr>
                <w:rFonts w:ascii="Times New Roman" w:hAnsi="Times New Roman"/>
                <w:color w:val="000000"/>
                <w:szCs w:val="20"/>
                <w:lang w:val="pt-PT" w:eastAsia="en-GB"/>
              </w:rPr>
              <w:tab/>
              <w:t>Croatia Kuna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HTG</w:t>
            </w:r>
            <w:r w:rsidRPr="007F5684">
              <w:rPr>
                <w:rFonts w:ascii="Times New Roman" w:hAnsi="Times New Roman"/>
                <w:color w:val="000000"/>
                <w:szCs w:val="20"/>
                <w:lang w:eastAsia="en-GB"/>
              </w:rPr>
              <w:tab/>
              <w:t>Haiti Gourde</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HUF</w:t>
            </w:r>
            <w:r w:rsidRPr="007F5684">
              <w:rPr>
                <w:rFonts w:ascii="Times New Roman" w:hAnsi="Times New Roman"/>
                <w:color w:val="000000"/>
                <w:szCs w:val="20"/>
                <w:lang w:eastAsia="en-GB"/>
              </w:rPr>
              <w:tab/>
              <w:t>Hungary Forint</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IDR</w:t>
            </w:r>
            <w:r w:rsidRPr="007F5684">
              <w:rPr>
                <w:rFonts w:ascii="Times New Roman" w:hAnsi="Times New Roman"/>
                <w:color w:val="000000"/>
                <w:szCs w:val="20"/>
                <w:lang w:eastAsia="en-GB"/>
              </w:rPr>
              <w:tab/>
              <w:t>Indonesia Rupiah</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ILS</w:t>
            </w:r>
            <w:r w:rsidRPr="007F5684">
              <w:rPr>
                <w:rFonts w:ascii="Times New Roman" w:hAnsi="Times New Roman"/>
                <w:color w:val="000000"/>
                <w:szCs w:val="20"/>
                <w:lang w:eastAsia="en-GB"/>
              </w:rPr>
              <w:tab/>
              <w:t>Israel Shekel</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IMP</w:t>
            </w:r>
            <w:r w:rsidRPr="007F5684">
              <w:rPr>
                <w:rFonts w:ascii="Times New Roman" w:hAnsi="Times New Roman"/>
                <w:color w:val="000000"/>
                <w:szCs w:val="20"/>
                <w:lang w:eastAsia="en-GB"/>
              </w:rPr>
              <w:tab/>
              <w:t>Isle of Man Pound</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INR</w:t>
            </w:r>
            <w:r w:rsidRPr="007F5684">
              <w:rPr>
                <w:rFonts w:ascii="Times New Roman" w:hAnsi="Times New Roman"/>
                <w:color w:val="000000"/>
                <w:szCs w:val="20"/>
                <w:lang w:val="pt-PT" w:eastAsia="en-GB"/>
              </w:rPr>
              <w:tab/>
              <w:t>India Rupee</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IQD</w:t>
            </w:r>
            <w:r w:rsidRPr="007F5684">
              <w:rPr>
                <w:rFonts w:ascii="Times New Roman" w:hAnsi="Times New Roman"/>
                <w:color w:val="000000"/>
                <w:szCs w:val="20"/>
                <w:lang w:val="pt-PT" w:eastAsia="en-GB"/>
              </w:rPr>
              <w:tab/>
              <w:t>Iraq Dinar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IRR</w:t>
            </w:r>
            <w:r w:rsidRPr="007F5684">
              <w:rPr>
                <w:rFonts w:ascii="Times New Roman" w:hAnsi="Times New Roman"/>
                <w:color w:val="000000"/>
                <w:szCs w:val="20"/>
                <w:lang w:eastAsia="en-GB"/>
              </w:rPr>
              <w:tab/>
              <w:t xml:space="preserve">Iran </w:t>
            </w:r>
            <w:proofErr w:type="spellStart"/>
            <w:r w:rsidRPr="007F5684">
              <w:rPr>
                <w:rFonts w:ascii="Times New Roman" w:hAnsi="Times New Roman"/>
                <w:color w:val="000000"/>
                <w:szCs w:val="20"/>
                <w:lang w:eastAsia="en-GB"/>
              </w:rPr>
              <w:t>Rial</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ISK</w:t>
            </w:r>
            <w:r w:rsidRPr="007F5684">
              <w:rPr>
                <w:rFonts w:ascii="Times New Roman" w:hAnsi="Times New Roman"/>
                <w:color w:val="000000"/>
                <w:szCs w:val="20"/>
                <w:lang w:eastAsia="en-GB"/>
              </w:rPr>
              <w:tab/>
              <w:t xml:space="preserve">Iceland </w:t>
            </w:r>
            <w:proofErr w:type="spellStart"/>
            <w:r w:rsidRPr="007F5684">
              <w:rPr>
                <w:rFonts w:ascii="Times New Roman" w:hAnsi="Times New Roman"/>
                <w:color w:val="000000"/>
                <w:szCs w:val="20"/>
                <w:lang w:eastAsia="en-GB"/>
              </w:rPr>
              <w:t>Krona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JEP</w:t>
            </w:r>
            <w:r w:rsidRPr="007F5684">
              <w:rPr>
                <w:rFonts w:ascii="Times New Roman" w:hAnsi="Times New Roman"/>
                <w:color w:val="000000"/>
                <w:szCs w:val="20"/>
                <w:lang w:eastAsia="en-GB"/>
              </w:rPr>
              <w:tab/>
              <w:t>Jersey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JMD</w:t>
            </w:r>
            <w:r w:rsidRPr="007F5684">
              <w:rPr>
                <w:rFonts w:ascii="Times New Roman" w:hAnsi="Times New Roman"/>
                <w:color w:val="000000"/>
                <w:szCs w:val="20"/>
                <w:lang w:eastAsia="en-GB"/>
              </w:rPr>
              <w:tab/>
              <w:t>Jamaica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JOD</w:t>
            </w:r>
            <w:r w:rsidRPr="007F5684">
              <w:rPr>
                <w:rFonts w:ascii="Times New Roman" w:hAnsi="Times New Roman"/>
                <w:color w:val="000000"/>
                <w:szCs w:val="20"/>
                <w:lang w:eastAsia="en-GB"/>
              </w:rPr>
              <w:tab/>
              <w:t>Jordan Dinar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JPY</w:t>
            </w:r>
            <w:r w:rsidRPr="007F5684">
              <w:rPr>
                <w:rFonts w:ascii="Times New Roman" w:hAnsi="Times New Roman"/>
                <w:color w:val="000000"/>
                <w:szCs w:val="20"/>
                <w:lang w:eastAsia="en-GB"/>
              </w:rPr>
              <w:tab/>
              <w:t>Japan Yen</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KES</w:t>
            </w:r>
            <w:r w:rsidRPr="007F5684">
              <w:rPr>
                <w:rFonts w:ascii="Times New Roman" w:hAnsi="Times New Roman"/>
                <w:color w:val="000000"/>
                <w:szCs w:val="20"/>
                <w:lang w:eastAsia="en-GB"/>
              </w:rPr>
              <w:tab/>
              <w:t>Kenya Shilling</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lastRenderedPageBreak/>
              <w:t>KGS</w:t>
            </w:r>
            <w:r w:rsidRPr="007F5684">
              <w:rPr>
                <w:rFonts w:ascii="Times New Roman" w:hAnsi="Times New Roman"/>
                <w:color w:val="000000"/>
                <w:szCs w:val="20"/>
                <w:lang w:eastAsia="en-GB"/>
              </w:rPr>
              <w:tab/>
              <w:t xml:space="preserve">Kyrgyzstan </w:t>
            </w:r>
            <w:proofErr w:type="spellStart"/>
            <w:r w:rsidRPr="007F5684">
              <w:rPr>
                <w:rFonts w:ascii="Times New Roman" w:hAnsi="Times New Roman"/>
                <w:color w:val="000000"/>
                <w:szCs w:val="20"/>
                <w:lang w:eastAsia="en-GB"/>
              </w:rPr>
              <w:t>Som</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KHR</w:t>
            </w:r>
            <w:r w:rsidRPr="007F5684">
              <w:rPr>
                <w:rFonts w:ascii="Times New Roman" w:hAnsi="Times New Roman"/>
                <w:color w:val="000000"/>
                <w:szCs w:val="20"/>
                <w:lang w:val="pt-PT" w:eastAsia="en-GB"/>
              </w:rPr>
              <w:tab/>
              <w:t>Cambodia Riel</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KMF</w:t>
            </w:r>
            <w:r w:rsidRPr="007F5684">
              <w:rPr>
                <w:rFonts w:ascii="Times New Roman" w:hAnsi="Times New Roman"/>
                <w:color w:val="000000"/>
                <w:szCs w:val="20"/>
                <w:lang w:val="pt-PT" w:eastAsia="en-GB"/>
              </w:rPr>
              <w:tab/>
              <w:t>Comoros Franc</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KPW</w:t>
            </w:r>
            <w:r w:rsidRPr="007F5684">
              <w:rPr>
                <w:rFonts w:ascii="Times New Roman" w:hAnsi="Times New Roman"/>
                <w:color w:val="000000"/>
                <w:szCs w:val="20"/>
                <w:lang w:eastAsia="en-GB"/>
              </w:rPr>
              <w:tab/>
              <w:t>Korea (North) Won</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KRW</w:t>
            </w:r>
            <w:r w:rsidRPr="007F5684">
              <w:rPr>
                <w:rFonts w:ascii="Times New Roman" w:hAnsi="Times New Roman"/>
                <w:color w:val="000000"/>
                <w:szCs w:val="20"/>
                <w:lang w:eastAsia="en-GB"/>
              </w:rPr>
              <w:tab/>
              <w:t>Korea (South) Won</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KWD</w:t>
            </w:r>
            <w:r w:rsidRPr="007F5684">
              <w:rPr>
                <w:rFonts w:ascii="Times New Roman" w:hAnsi="Times New Roman"/>
                <w:color w:val="000000"/>
                <w:szCs w:val="20"/>
                <w:lang w:eastAsia="en-GB"/>
              </w:rPr>
              <w:tab/>
              <w:t>Kuwait Dinar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KYD</w:t>
            </w:r>
            <w:r w:rsidRPr="007F5684">
              <w:rPr>
                <w:rFonts w:ascii="Times New Roman" w:hAnsi="Times New Roman"/>
                <w:color w:val="000000"/>
                <w:szCs w:val="20"/>
                <w:lang w:eastAsia="en-GB"/>
              </w:rPr>
              <w:tab/>
              <w:t>Cayman Islands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KZT</w:t>
            </w:r>
            <w:r w:rsidRPr="007F5684">
              <w:rPr>
                <w:rFonts w:ascii="Times New Roman" w:hAnsi="Times New Roman"/>
                <w:color w:val="000000"/>
                <w:szCs w:val="20"/>
                <w:lang w:eastAsia="en-GB"/>
              </w:rPr>
              <w:tab/>
              <w:t xml:space="preserve">Kazakhstan </w:t>
            </w:r>
            <w:proofErr w:type="spellStart"/>
            <w:r w:rsidRPr="007F5684">
              <w:rPr>
                <w:rFonts w:ascii="Times New Roman" w:hAnsi="Times New Roman"/>
                <w:color w:val="000000"/>
                <w:szCs w:val="20"/>
                <w:lang w:eastAsia="en-GB"/>
              </w:rPr>
              <w:t>Tenge</w:t>
            </w:r>
            <w:proofErr w:type="spellEnd"/>
          </w:p>
          <w:p w:rsidR="003D0976" w:rsidRPr="007F5684" w:rsidRDefault="003D0976" w:rsidP="00ED2EE2">
            <w:pPr>
              <w:spacing w:before="0" w:after="0"/>
              <w:jc w:val="left"/>
              <w:rPr>
                <w:rFonts w:ascii="Times New Roman" w:hAnsi="Times New Roman"/>
                <w:b/>
                <w:szCs w:val="20"/>
                <w:u w:val="single"/>
                <w:lang w:eastAsia="en-GB"/>
              </w:rPr>
            </w:pPr>
          </w:p>
        </w:tc>
        <w:tc>
          <w:tcPr>
            <w:tcW w:w="2135" w:type="pct"/>
            <w:tcBorders>
              <w:top w:val="nil"/>
              <w:left w:val="nil"/>
              <w:bottom w:val="single" w:sz="4" w:space="0" w:color="auto"/>
            </w:tcBorders>
            <w:shd w:val="clear" w:color="auto" w:fill="auto"/>
          </w:tcPr>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lastRenderedPageBreak/>
              <w:t>LAK</w:t>
            </w:r>
            <w:r w:rsidRPr="007F5684">
              <w:rPr>
                <w:rFonts w:ascii="Times New Roman" w:hAnsi="Times New Roman"/>
                <w:color w:val="000000"/>
                <w:szCs w:val="20"/>
                <w:lang w:eastAsia="en-GB"/>
              </w:rPr>
              <w:tab/>
              <w:t>Laos Kip</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LBP</w:t>
            </w:r>
            <w:r w:rsidRPr="007F5684">
              <w:rPr>
                <w:rFonts w:ascii="Times New Roman" w:hAnsi="Times New Roman"/>
                <w:color w:val="000000"/>
                <w:szCs w:val="20"/>
                <w:lang w:eastAsia="en-GB"/>
              </w:rPr>
              <w:tab/>
              <w:t>Lebanon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LKR</w:t>
            </w:r>
            <w:r w:rsidRPr="007F5684">
              <w:rPr>
                <w:rFonts w:ascii="Times New Roman" w:hAnsi="Times New Roman"/>
                <w:color w:val="000000"/>
                <w:szCs w:val="20"/>
                <w:lang w:eastAsia="en-GB"/>
              </w:rPr>
              <w:tab/>
              <w:t>Sri Lanka Rupee</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LRD</w:t>
            </w:r>
            <w:r w:rsidRPr="007F5684">
              <w:rPr>
                <w:rFonts w:ascii="Times New Roman" w:hAnsi="Times New Roman"/>
                <w:color w:val="000000"/>
                <w:szCs w:val="20"/>
                <w:lang w:eastAsia="en-GB"/>
              </w:rPr>
              <w:tab/>
              <w:t>Liberia Dollar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LSL</w:t>
            </w:r>
            <w:r w:rsidRPr="007F5684">
              <w:rPr>
                <w:rFonts w:ascii="Times New Roman" w:hAnsi="Times New Roman"/>
                <w:color w:val="000000"/>
                <w:szCs w:val="20"/>
                <w:lang w:val="pt-PT" w:eastAsia="en-GB"/>
              </w:rPr>
              <w:tab/>
              <w:t>Lesotho Loti</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LTL</w:t>
            </w:r>
            <w:r w:rsidRPr="007F5684">
              <w:rPr>
                <w:rFonts w:ascii="Times New Roman" w:hAnsi="Times New Roman"/>
                <w:color w:val="000000"/>
                <w:szCs w:val="20"/>
                <w:lang w:val="pt-PT" w:eastAsia="en-GB"/>
              </w:rPr>
              <w:tab/>
              <w:t>Lithuania Litas</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LVL</w:t>
            </w:r>
            <w:r w:rsidRPr="007F5684">
              <w:rPr>
                <w:rFonts w:ascii="Times New Roman" w:hAnsi="Times New Roman"/>
                <w:color w:val="000000"/>
                <w:szCs w:val="20"/>
                <w:lang w:val="pt-PT" w:eastAsia="en-GB"/>
              </w:rPr>
              <w:tab/>
              <w:t>Latvia Lat</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LYD</w:t>
            </w:r>
            <w:r w:rsidRPr="007F5684">
              <w:rPr>
                <w:rFonts w:ascii="Times New Roman" w:hAnsi="Times New Roman"/>
                <w:color w:val="000000"/>
                <w:szCs w:val="20"/>
                <w:lang w:val="pt-PT" w:eastAsia="en-GB"/>
              </w:rPr>
              <w:tab/>
              <w:t>Libya Dinar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MAD</w:t>
            </w:r>
            <w:r w:rsidRPr="007F5684">
              <w:rPr>
                <w:rFonts w:ascii="Times New Roman" w:hAnsi="Times New Roman"/>
                <w:color w:val="000000"/>
                <w:szCs w:val="20"/>
                <w:lang w:val="pt-PT" w:eastAsia="en-GB"/>
              </w:rPr>
              <w:tab/>
              <w:t>Morocco Dirham</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MDL</w:t>
            </w:r>
            <w:r w:rsidRPr="007F5684">
              <w:rPr>
                <w:rFonts w:ascii="Times New Roman" w:hAnsi="Times New Roman"/>
                <w:color w:val="000000"/>
                <w:szCs w:val="20"/>
                <w:lang w:val="pt-PT" w:eastAsia="en-GB"/>
              </w:rPr>
              <w:tab/>
              <w:t>Moldova Leu</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MGA</w:t>
            </w:r>
            <w:r w:rsidRPr="007F5684">
              <w:rPr>
                <w:rFonts w:ascii="Times New Roman" w:hAnsi="Times New Roman"/>
                <w:color w:val="000000"/>
                <w:szCs w:val="20"/>
                <w:lang w:val="pt-PT" w:eastAsia="en-GB"/>
              </w:rPr>
              <w:tab/>
              <w:t>Madagascar Ariary</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MKD</w:t>
            </w:r>
            <w:r w:rsidRPr="007F5684">
              <w:rPr>
                <w:rFonts w:ascii="Times New Roman" w:hAnsi="Times New Roman"/>
                <w:color w:val="000000"/>
                <w:szCs w:val="20"/>
                <w:lang w:val="pt-PT" w:eastAsia="en-GB"/>
              </w:rPr>
              <w:tab/>
            </w:r>
            <w:r w:rsidR="00FB7E07" w:rsidRPr="007F5684">
              <w:rPr>
                <w:rFonts w:ascii="Times New Roman" w:hAnsi="Times New Roman"/>
                <w:color w:val="000000"/>
                <w:szCs w:val="20"/>
                <w:lang w:val="pt-PT" w:eastAsia="en-GB"/>
              </w:rPr>
              <w:t xml:space="preserve">FYROM </w:t>
            </w:r>
            <w:r w:rsidRPr="007F5684">
              <w:rPr>
                <w:rFonts w:ascii="Times New Roman" w:hAnsi="Times New Roman"/>
                <w:color w:val="000000"/>
                <w:szCs w:val="20"/>
                <w:lang w:val="pt-PT" w:eastAsia="en-GB"/>
              </w:rPr>
              <w:t>Denar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MMK</w:t>
            </w:r>
            <w:r w:rsidRPr="007F5684">
              <w:rPr>
                <w:rFonts w:ascii="Times New Roman" w:hAnsi="Times New Roman"/>
                <w:color w:val="000000"/>
                <w:szCs w:val="20"/>
                <w:lang w:eastAsia="en-GB"/>
              </w:rPr>
              <w:tab/>
              <w:t>Myanmar (Burma) Kyat</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MNT</w:t>
            </w:r>
            <w:r w:rsidRPr="007F5684">
              <w:rPr>
                <w:rFonts w:ascii="Times New Roman" w:hAnsi="Times New Roman"/>
                <w:color w:val="000000"/>
                <w:szCs w:val="20"/>
                <w:lang w:eastAsia="en-GB"/>
              </w:rPr>
              <w:tab/>
              <w:t xml:space="preserve">Mongolia </w:t>
            </w:r>
            <w:proofErr w:type="spellStart"/>
            <w:r w:rsidRPr="007F5684">
              <w:rPr>
                <w:rFonts w:ascii="Times New Roman" w:hAnsi="Times New Roman"/>
                <w:color w:val="000000"/>
                <w:szCs w:val="20"/>
                <w:lang w:eastAsia="en-GB"/>
              </w:rPr>
              <w:t>Tughrik</w:t>
            </w:r>
            <w:proofErr w:type="spellEnd"/>
          </w:p>
          <w:p w:rsidR="003D0976" w:rsidRPr="007F5684" w:rsidRDefault="008805C2"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MOP</w:t>
            </w:r>
            <w:r w:rsidRPr="007F5684">
              <w:rPr>
                <w:rFonts w:ascii="Times New Roman" w:hAnsi="Times New Roman"/>
                <w:color w:val="000000"/>
                <w:szCs w:val="20"/>
                <w:lang w:val="fr-FR" w:eastAsia="en-GB"/>
              </w:rPr>
              <w:tab/>
            </w:r>
            <w:proofErr w:type="spellStart"/>
            <w:r w:rsidRPr="007F5684">
              <w:rPr>
                <w:rFonts w:ascii="Times New Roman" w:hAnsi="Times New Roman"/>
                <w:color w:val="000000"/>
                <w:szCs w:val="20"/>
                <w:lang w:val="fr-FR" w:eastAsia="en-GB"/>
              </w:rPr>
              <w:t>Macau</w:t>
            </w:r>
            <w:proofErr w:type="spellEnd"/>
            <w:r w:rsidRPr="007F5684">
              <w:rPr>
                <w:rFonts w:ascii="Times New Roman" w:hAnsi="Times New Roman"/>
                <w:color w:val="000000"/>
                <w:szCs w:val="20"/>
                <w:lang w:val="fr-FR" w:eastAsia="en-GB"/>
              </w:rPr>
              <w:t xml:space="preserve"> </w:t>
            </w:r>
            <w:proofErr w:type="spellStart"/>
            <w:r w:rsidRPr="007F5684">
              <w:rPr>
                <w:rFonts w:ascii="Times New Roman" w:hAnsi="Times New Roman"/>
                <w:color w:val="000000"/>
                <w:szCs w:val="20"/>
                <w:lang w:val="fr-FR" w:eastAsia="en-GB"/>
              </w:rPr>
              <w:t>Pataca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lastRenderedPageBreak/>
              <w:t>MRO</w:t>
            </w:r>
            <w:r w:rsidRPr="007F5684">
              <w:rPr>
                <w:rFonts w:ascii="Times New Roman" w:hAnsi="Times New Roman"/>
                <w:color w:val="000000"/>
                <w:szCs w:val="20"/>
                <w:lang w:val="fr-FR" w:eastAsia="en-GB"/>
              </w:rPr>
              <w:tab/>
            </w:r>
            <w:proofErr w:type="spellStart"/>
            <w:r w:rsidRPr="007F5684">
              <w:rPr>
                <w:rFonts w:ascii="Times New Roman" w:hAnsi="Times New Roman"/>
                <w:color w:val="000000"/>
                <w:szCs w:val="20"/>
                <w:lang w:val="fr-FR" w:eastAsia="en-GB"/>
              </w:rPr>
              <w:t>Mauritania</w:t>
            </w:r>
            <w:proofErr w:type="spellEnd"/>
            <w:r w:rsidRPr="007F5684">
              <w:rPr>
                <w:rFonts w:ascii="Times New Roman" w:hAnsi="Times New Roman"/>
                <w:color w:val="000000"/>
                <w:szCs w:val="20"/>
                <w:lang w:val="fr-FR" w:eastAsia="en-GB"/>
              </w:rPr>
              <w:t xml:space="preserve"> Ouguiya</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MUR</w:t>
            </w:r>
            <w:r w:rsidRPr="007F5684">
              <w:rPr>
                <w:rFonts w:ascii="Times New Roman" w:hAnsi="Times New Roman"/>
                <w:color w:val="000000"/>
                <w:szCs w:val="20"/>
                <w:lang w:val="fr-FR" w:eastAsia="en-GB"/>
              </w:rPr>
              <w:tab/>
            </w:r>
            <w:proofErr w:type="spellStart"/>
            <w:r w:rsidRPr="007F5684">
              <w:rPr>
                <w:rFonts w:ascii="Times New Roman" w:hAnsi="Times New Roman"/>
                <w:color w:val="000000"/>
                <w:szCs w:val="20"/>
                <w:lang w:val="fr-FR" w:eastAsia="en-GB"/>
              </w:rPr>
              <w:t>Mauritius</w:t>
            </w:r>
            <w:proofErr w:type="spellEnd"/>
            <w:r w:rsidRPr="007F5684">
              <w:rPr>
                <w:rFonts w:ascii="Times New Roman" w:hAnsi="Times New Roman"/>
                <w:color w:val="000000"/>
                <w:szCs w:val="20"/>
                <w:lang w:val="fr-FR" w:eastAsia="en-GB"/>
              </w:rPr>
              <w:t xml:space="preserve"> </w:t>
            </w:r>
            <w:proofErr w:type="spellStart"/>
            <w:r w:rsidRPr="007F5684">
              <w:rPr>
                <w:rFonts w:ascii="Times New Roman" w:hAnsi="Times New Roman"/>
                <w:color w:val="000000"/>
                <w:szCs w:val="20"/>
                <w:lang w:val="fr-FR" w:eastAsia="en-GB"/>
              </w:rPr>
              <w:t>Rupee</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MVR</w:t>
            </w:r>
            <w:r w:rsidRPr="007F5684">
              <w:rPr>
                <w:rFonts w:ascii="Times New Roman" w:hAnsi="Times New Roman"/>
                <w:color w:val="000000"/>
                <w:szCs w:val="20"/>
                <w:lang w:val="fr-FR" w:eastAsia="en-GB"/>
              </w:rPr>
              <w:tab/>
              <w:t>Maldives (</w:t>
            </w:r>
            <w:proofErr w:type="spellStart"/>
            <w:r w:rsidRPr="007F5684">
              <w:rPr>
                <w:rFonts w:ascii="Times New Roman" w:hAnsi="Times New Roman"/>
                <w:color w:val="000000"/>
                <w:szCs w:val="20"/>
                <w:lang w:val="fr-FR" w:eastAsia="en-GB"/>
              </w:rPr>
              <w:t>Maldive</w:t>
            </w:r>
            <w:proofErr w:type="spellEnd"/>
            <w:r w:rsidRPr="007F5684">
              <w:rPr>
                <w:rFonts w:ascii="Times New Roman" w:hAnsi="Times New Roman"/>
                <w:color w:val="000000"/>
                <w:szCs w:val="20"/>
                <w:lang w:val="fr-FR" w:eastAsia="en-GB"/>
              </w:rPr>
              <w:t xml:space="preserve"> </w:t>
            </w:r>
            <w:proofErr w:type="spellStart"/>
            <w:r w:rsidRPr="007F5684">
              <w:rPr>
                <w:rFonts w:ascii="Times New Roman" w:hAnsi="Times New Roman"/>
                <w:color w:val="000000"/>
                <w:szCs w:val="20"/>
                <w:lang w:val="fr-FR" w:eastAsia="en-GB"/>
              </w:rPr>
              <w:t>Islands</w:t>
            </w:r>
            <w:proofErr w:type="spellEnd"/>
            <w:r w:rsidRPr="007F5684">
              <w:rPr>
                <w:rFonts w:ascii="Times New Roman" w:hAnsi="Times New Roman"/>
                <w:color w:val="000000"/>
                <w:szCs w:val="20"/>
                <w:lang w:val="fr-FR" w:eastAsia="en-GB"/>
              </w:rPr>
              <w:t xml:space="preserve">) </w:t>
            </w:r>
            <w:proofErr w:type="spellStart"/>
            <w:r w:rsidRPr="007F5684">
              <w:rPr>
                <w:rFonts w:ascii="Times New Roman" w:hAnsi="Times New Roman"/>
                <w:color w:val="000000"/>
                <w:szCs w:val="20"/>
                <w:lang w:val="fr-FR" w:eastAsia="en-GB"/>
              </w:rPr>
              <w:t>Rufiyaa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MWK</w:t>
            </w:r>
            <w:r w:rsidRPr="007F5684">
              <w:rPr>
                <w:rFonts w:ascii="Times New Roman" w:hAnsi="Times New Roman"/>
                <w:color w:val="000000"/>
                <w:szCs w:val="20"/>
                <w:lang w:val="fr-FR" w:eastAsia="en-GB"/>
              </w:rPr>
              <w:tab/>
              <w:t xml:space="preserve">Malawi </w:t>
            </w:r>
            <w:proofErr w:type="spellStart"/>
            <w:r w:rsidRPr="007F5684">
              <w:rPr>
                <w:rFonts w:ascii="Times New Roman" w:hAnsi="Times New Roman"/>
                <w:color w:val="000000"/>
                <w:szCs w:val="20"/>
                <w:lang w:val="fr-FR" w:eastAsia="en-GB"/>
              </w:rPr>
              <w:t>Kwacha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MXN</w:t>
            </w:r>
            <w:r w:rsidRPr="007F5684">
              <w:rPr>
                <w:rFonts w:ascii="Times New Roman" w:hAnsi="Times New Roman"/>
                <w:color w:val="000000"/>
                <w:szCs w:val="20"/>
                <w:lang w:val="fr-FR" w:eastAsia="en-GB"/>
              </w:rPr>
              <w:tab/>
              <w:t>Mexico Peso</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MYR</w:t>
            </w:r>
            <w:r w:rsidRPr="007F5684">
              <w:rPr>
                <w:rFonts w:ascii="Times New Roman" w:hAnsi="Times New Roman"/>
                <w:color w:val="000000"/>
                <w:szCs w:val="20"/>
                <w:lang w:val="fr-FR" w:eastAsia="en-GB"/>
              </w:rPr>
              <w:tab/>
              <w:t>Malaysia Ringgit</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MZN</w:t>
            </w:r>
            <w:r w:rsidRPr="007F5684">
              <w:rPr>
                <w:rFonts w:ascii="Times New Roman" w:hAnsi="Times New Roman"/>
                <w:color w:val="000000"/>
                <w:szCs w:val="20"/>
                <w:lang w:val="pt-PT" w:eastAsia="en-GB"/>
              </w:rPr>
              <w:tab/>
              <w:t>Mozambique Metical</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NAD</w:t>
            </w:r>
            <w:r w:rsidRPr="007F5684">
              <w:rPr>
                <w:rFonts w:ascii="Times New Roman" w:hAnsi="Times New Roman"/>
                <w:color w:val="000000"/>
                <w:szCs w:val="20"/>
                <w:lang w:val="pt-PT" w:eastAsia="en-GB"/>
              </w:rPr>
              <w:tab/>
              <w:t>Namibia Dollar</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NGN</w:t>
            </w:r>
            <w:r w:rsidRPr="007F5684">
              <w:rPr>
                <w:rFonts w:ascii="Times New Roman" w:hAnsi="Times New Roman"/>
                <w:color w:val="000000"/>
                <w:szCs w:val="20"/>
                <w:lang w:val="fr-FR" w:eastAsia="en-GB"/>
              </w:rPr>
              <w:tab/>
              <w:t>Nigeria Naira</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NIO</w:t>
            </w:r>
            <w:r w:rsidRPr="007F5684">
              <w:rPr>
                <w:rFonts w:ascii="Times New Roman" w:hAnsi="Times New Roman"/>
                <w:color w:val="000000"/>
                <w:szCs w:val="20"/>
                <w:lang w:val="fr-FR" w:eastAsia="en-GB"/>
              </w:rPr>
              <w:tab/>
              <w:t>Nicaragua Cordoba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NOK</w:t>
            </w:r>
            <w:r w:rsidRPr="007F5684">
              <w:rPr>
                <w:rFonts w:ascii="Times New Roman" w:hAnsi="Times New Roman"/>
                <w:color w:val="000000"/>
                <w:szCs w:val="20"/>
                <w:lang w:eastAsia="en-GB"/>
              </w:rPr>
              <w:tab/>
              <w:t xml:space="preserve">Norway </w:t>
            </w:r>
            <w:proofErr w:type="spellStart"/>
            <w:r w:rsidRPr="007F5684">
              <w:rPr>
                <w:rFonts w:ascii="Times New Roman" w:hAnsi="Times New Roman"/>
                <w:color w:val="000000"/>
                <w:szCs w:val="20"/>
                <w:lang w:eastAsia="en-GB"/>
              </w:rPr>
              <w:t>Krone</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NPR</w:t>
            </w:r>
            <w:r w:rsidRPr="007F5684">
              <w:rPr>
                <w:rFonts w:ascii="Times New Roman" w:hAnsi="Times New Roman"/>
                <w:color w:val="000000"/>
                <w:szCs w:val="20"/>
                <w:lang w:eastAsia="en-GB"/>
              </w:rPr>
              <w:tab/>
              <w:t>Nepal Rupee</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NZD</w:t>
            </w:r>
            <w:r w:rsidRPr="007F5684">
              <w:rPr>
                <w:rFonts w:ascii="Times New Roman" w:hAnsi="Times New Roman"/>
                <w:color w:val="000000"/>
                <w:szCs w:val="20"/>
                <w:lang w:eastAsia="en-GB"/>
              </w:rPr>
              <w:tab/>
              <w:t>New Zealand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OMR</w:t>
            </w:r>
            <w:r w:rsidRPr="007F5684">
              <w:rPr>
                <w:rFonts w:ascii="Times New Roman" w:hAnsi="Times New Roman"/>
                <w:color w:val="000000"/>
                <w:szCs w:val="20"/>
                <w:lang w:eastAsia="en-GB"/>
              </w:rPr>
              <w:tab/>
              <w:t xml:space="preserve">Oman </w:t>
            </w:r>
            <w:proofErr w:type="spellStart"/>
            <w:r w:rsidRPr="007F5684">
              <w:rPr>
                <w:rFonts w:ascii="Times New Roman" w:hAnsi="Times New Roman"/>
                <w:color w:val="000000"/>
                <w:szCs w:val="20"/>
                <w:lang w:eastAsia="en-GB"/>
              </w:rPr>
              <w:t>Rial</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PAB</w:t>
            </w:r>
            <w:r w:rsidRPr="007F5684">
              <w:rPr>
                <w:rFonts w:ascii="Times New Roman" w:hAnsi="Times New Roman"/>
                <w:color w:val="000000"/>
                <w:szCs w:val="20"/>
                <w:lang w:val="fr-FR" w:eastAsia="en-GB"/>
              </w:rPr>
              <w:tab/>
              <w:t>Panama Balboa</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PEN</w:t>
            </w:r>
            <w:r w:rsidRPr="007F5684">
              <w:rPr>
                <w:rFonts w:ascii="Times New Roman" w:hAnsi="Times New Roman"/>
                <w:color w:val="000000"/>
                <w:szCs w:val="20"/>
                <w:lang w:val="fr-FR" w:eastAsia="en-GB"/>
              </w:rPr>
              <w:tab/>
            </w:r>
            <w:proofErr w:type="spellStart"/>
            <w:r w:rsidRPr="007F5684">
              <w:rPr>
                <w:rFonts w:ascii="Times New Roman" w:hAnsi="Times New Roman"/>
                <w:color w:val="000000"/>
                <w:szCs w:val="20"/>
                <w:lang w:val="fr-FR" w:eastAsia="en-GB"/>
              </w:rPr>
              <w:t>Peru</w:t>
            </w:r>
            <w:proofErr w:type="spellEnd"/>
            <w:r w:rsidRPr="007F5684">
              <w:rPr>
                <w:rFonts w:ascii="Times New Roman" w:hAnsi="Times New Roman"/>
                <w:color w:val="000000"/>
                <w:szCs w:val="20"/>
                <w:lang w:val="fr-FR" w:eastAsia="en-GB"/>
              </w:rPr>
              <w:t xml:space="preserve"> </w:t>
            </w:r>
            <w:proofErr w:type="spellStart"/>
            <w:r w:rsidRPr="007F5684">
              <w:rPr>
                <w:rFonts w:ascii="Times New Roman" w:hAnsi="Times New Roman"/>
                <w:color w:val="000000"/>
                <w:szCs w:val="20"/>
                <w:lang w:val="fr-FR" w:eastAsia="en-GB"/>
              </w:rPr>
              <w:t>Nuevo</w:t>
            </w:r>
            <w:proofErr w:type="spellEnd"/>
            <w:r w:rsidRPr="007F5684">
              <w:rPr>
                <w:rFonts w:ascii="Times New Roman" w:hAnsi="Times New Roman"/>
                <w:color w:val="000000"/>
                <w:szCs w:val="20"/>
                <w:lang w:val="fr-FR" w:eastAsia="en-GB"/>
              </w:rPr>
              <w:t xml:space="preserve"> Sol</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PGK</w:t>
            </w:r>
            <w:r w:rsidRPr="007F5684">
              <w:rPr>
                <w:rFonts w:ascii="Times New Roman" w:hAnsi="Times New Roman"/>
                <w:color w:val="000000"/>
                <w:szCs w:val="20"/>
                <w:lang w:eastAsia="en-GB"/>
              </w:rPr>
              <w:tab/>
              <w:t>Papua New Guinea Kina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PHP</w:t>
            </w:r>
            <w:r w:rsidRPr="007F5684">
              <w:rPr>
                <w:rFonts w:ascii="Times New Roman" w:hAnsi="Times New Roman"/>
                <w:color w:val="000000"/>
                <w:szCs w:val="20"/>
                <w:lang w:eastAsia="en-GB"/>
              </w:rPr>
              <w:tab/>
              <w:t>Philippines Peso</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PKR</w:t>
            </w:r>
            <w:r w:rsidRPr="007F5684">
              <w:rPr>
                <w:rFonts w:ascii="Times New Roman" w:hAnsi="Times New Roman"/>
                <w:color w:val="000000"/>
                <w:szCs w:val="20"/>
                <w:lang w:eastAsia="en-GB"/>
              </w:rPr>
              <w:tab/>
              <w:t>Pakistan Rupee</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PLN</w:t>
            </w:r>
            <w:r w:rsidRPr="007F5684">
              <w:rPr>
                <w:rFonts w:ascii="Times New Roman" w:hAnsi="Times New Roman"/>
                <w:color w:val="000000"/>
                <w:szCs w:val="20"/>
                <w:lang w:eastAsia="en-GB"/>
              </w:rPr>
              <w:tab/>
              <w:t>Poland Zloty</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PYG</w:t>
            </w:r>
            <w:r w:rsidRPr="007F5684">
              <w:rPr>
                <w:rFonts w:ascii="Times New Roman" w:hAnsi="Times New Roman"/>
                <w:color w:val="000000"/>
                <w:szCs w:val="20"/>
                <w:lang w:val="pt-PT" w:eastAsia="en-GB"/>
              </w:rPr>
              <w:tab/>
              <w:t>Paraguay Guarani</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QAR</w:t>
            </w:r>
            <w:r w:rsidRPr="007F5684">
              <w:rPr>
                <w:rFonts w:ascii="Times New Roman" w:hAnsi="Times New Roman"/>
                <w:color w:val="000000"/>
                <w:szCs w:val="20"/>
                <w:lang w:val="pt-PT" w:eastAsia="en-GB"/>
              </w:rPr>
              <w:tab/>
              <w:t>Qatar Riyal</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RON</w:t>
            </w:r>
            <w:r w:rsidRPr="007F5684">
              <w:rPr>
                <w:rFonts w:ascii="Times New Roman" w:hAnsi="Times New Roman"/>
                <w:color w:val="000000"/>
                <w:szCs w:val="20"/>
                <w:lang w:eastAsia="en-GB"/>
              </w:rPr>
              <w:tab/>
              <w:t xml:space="preserve">Romania New </w:t>
            </w:r>
            <w:proofErr w:type="spellStart"/>
            <w:r w:rsidRPr="007F5684">
              <w:rPr>
                <w:rFonts w:ascii="Times New Roman" w:hAnsi="Times New Roman"/>
                <w:color w:val="000000"/>
                <w:szCs w:val="20"/>
                <w:lang w:eastAsia="en-GB"/>
              </w:rPr>
              <w:t>Leu</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RSD</w:t>
            </w:r>
            <w:r w:rsidRPr="007F5684">
              <w:rPr>
                <w:rFonts w:ascii="Times New Roman" w:hAnsi="Times New Roman"/>
                <w:color w:val="000000"/>
                <w:szCs w:val="20"/>
                <w:lang w:eastAsia="en-GB"/>
              </w:rPr>
              <w:tab/>
              <w:t>Serbia Dinar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RUB</w:t>
            </w:r>
            <w:r w:rsidRPr="007F5684">
              <w:rPr>
                <w:rFonts w:ascii="Times New Roman" w:hAnsi="Times New Roman"/>
                <w:color w:val="000000"/>
                <w:szCs w:val="20"/>
                <w:lang w:eastAsia="en-GB"/>
              </w:rPr>
              <w:tab/>
              <w:t xml:space="preserve">Russia </w:t>
            </w:r>
            <w:proofErr w:type="spellStart"/>
            <w:r w:rsidRPr="007F5684">
              <w:rPr>
                <w:rFonts w:ascii="Times New Roman" w:hAnsi="Times New Roman"/>
                <w:color w:val="000000"/>
                <w:szCs w:val="20"/>
                <w:lang w:eastAsia="en-GB"/>
              </w:rPr>
              <w:t>Ruble</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RWF</w:t>
            </w:r>
            <w:r w:rsidRPr="007F5684">
              <w:rPr>
                <w:rFonts w:ascii="Times New Roman" w:hAnsi="Times New Roman"/>
                <w:color w:val="000000"/>
                <w:szCs w:val="20"/>
                <w:lang w:val="pt-PT" w:eastAsia="en-GB"/>
              </w:rPr>
              <w:tab/>
              <w:t>Rwanda Franc</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SAR</w:t>
            </w:r>
            <w:r w:rsidRPr="007F5684">
              <w:rPr>
                <w:rFonts w:ascii="Times New Roman" w:hAnsi="Times New Roman"/>
                <w:color w:val="000000"/>
                <w:szCs w:val="20"/>
                <w:lang w:val="pt-PT" w:eastAsia="en-GB"/>
              </w:rPr>
              <w:tab/>
              <w:t>Saudi Arabia Riyal</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SBD</w:t>
            </w:r>
            <w:r w:rsidRPr="007F5684">
              <w:rPr>
                <w:rFonts w:ascii="Times New Roman" w:hAnsi="Times New Roman"/>
                <w:color w:val="000000"/>
                <w:szCs w:val="20"/>
                <w:lang w:eastAsia="en-GB"/>
              </w:rPr>
              <w:tab/>
              <w:t>Solomon Islands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SCR</w:t>
            </w:r>
            <w:r w:rsidRPr="007F5684">
              <w:rPr>
                <w:rFonts w:ascii="Times New Roman" w:hAnsi="Times New Roman"/>
                <w:color w:val="000000"/>
                <w:szCs w:val="20"/>
                <w:lang w:eastAsia="en-GB"/>
              </w:rPr>
              <w:tab/>
              <w:t>Seychelles Rupee</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SDG</w:t>
            </w:r>
            <w:r w:rsidRPr="007F5684">
              <w:rPr>
                <w:rFonts w:ascii="Times New Roman" w:hAnsi="Times New Roman"/>
                <w:color w:val="000000"/>
                <w:szCs w:val="20"/>
                <w:lang w:eastAsia="en-GB"/>
              </w:rPr>
              <w:tab/>
              <w:t>Sudan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SEK</w:t>
            </w:r>
            <w:r w:rsidRPr="007F5684">
              <w:rPr>
                <w:rFonts w:ascii="Times New Roman" w:hAnsi="Times New Roman"/>
                <w:color w:val="000000"/>
                <w:szCs w:val="20"/>
                <w:lang w:eastAsia="en-GB"/>
              </w:rPr>
              <w:tab/>
              <w:t xml:space="preserve">Sweden </w:t>
            </w:r>
            <w:proofErr w:type="spellStart"/>
            <w:r w:rsidRPr="007F5684">
              <w:rPr>
                <w:rFonts w:ascii="Times New Roman" w:hAnsi="Times New Roman"/>
                <w:color w:val="000000"/>
                <w:szCs w:val="20"/>
                <w:lang w:eastAsia="en-GB"/>
              </w:rPr>
              <w:t>Krona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SGD</w:t>
            </w:r>
            <w:r w:rsidRPr="007F5684">
              <w:rPr>
                <w:rFonts w:ascii="Times New Roman" w:hAnsi="Times New Roman"/>
                <w:color w:val="000000"/>
                <w:szCs w:val="20"/>
                <w:lang w:eastAsia="en-GB"/>
              </w:rPr>
              <w:tab/>
              <w:t>Singapore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SHP</w:t>
            </w:r>
            <w:r w:rsidRPr="007F5684">
              <w:rPr>
                <w:rFonts w:ascii="Times New Roman" w:hAnsi="Times New Roman"/>
                <w:color w:val="000000"/>
                <w:szCs w:val="20"/>
                <w:lang w:eastAsia="en-GB"/>
              </w:rPr>
              <w:tab/>
              <w:t>Saint Helena Pound</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SLL</w:t>
            </w:r>
            <w:r w:rsidRPr="007F5684">
              <w:rPr>
                <w:rFonts w:ascii="Times New Roman" w:hAnsi="Times New Roman"/>
                <w:color w:val="000000"/>
                <w:szCs w:val="20"/>
                <w:lang w:val="pt-PT" w:eastAsia="en-GB"/>
              </w:rPr>
              <w:tab/>
              <w:t>Sierra Leone Leone</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SOS</w:t>
            </w:r>
            <w:r w:rsidRPr="007F5684">
              <w:rPr>
                <w:rFonts w:ascii="Times New Roman" w:hAnsi="Times New Roman"/>
                <w:color w:val="000000"/>
                <w:szCs w:val="20"/>
                <w:lang w:val="pt-PT" w:eastAsia="en-GB"/>
              </w:rPr>
              <w:tab/>
              <w:t>Somalia Shilling</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SPL*</w:t>
            </w:r>
            <w:r w:rsidRPr="007F5684">
              <w:rPr>
                <w:rFonts w:ascii="Times New Roman" w:hAnsi="Times New Roman"/>
                <w:color w:val="000000"/>
                <w:szCs w:val="20"/>
                <w:lang w:val="pt-PT" w:eastAsia="en-GB"/>
              </w:rPr>
              <w:tab/>
              <w:t>Seborga Luigino</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SRD</w:t>
            </w:r>
            <w:r w:rsidRPr="007F5684">
              <w:rPr>
                <w:rFonts w:ascii="Times New Roman" w:hAnsi="Times New Roman"/>
                <w:color w:val="000000"/>
                <w:szCs w:val="20"/>
                <w:lang w:val="pt-PT" w:eastAsia="en-GB"/>
              </w:rPr>
              <w:tab/>
              <w:t>Suriname Dollar</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STD</w:t>
            </w:r>
            <w:r w:rsidRPr="007F5684">
              <w:rPr>
                <w:rFonts w:ascii="Times New Roman" w:hAnsi="Times New Roman"/>
                <w:color w:val="000000"/>
                <w:szCs w:val="20"/>
                <w:lang w:val="pt-PT" w:eastAsia="en-GB"/>
              </w:rPr>
              <w:tab/>
              <w:t>São Tomé and Príncipe Dobra</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SVC</w:t>
            </w:r>
            <w:r w:rsidRPr="007F5684">
              <w:rPr>
                <w:rFonts w:ascii="Times New Roman" w:hAnsi="Times New Roman"/>
                <w:color w:val="000000"/>
                <w:szCs w:val="20"/>
                <w:lang w:val="pt-PT" w:eastAsia="en-GB"/>
              </w:rPr>
              <w:tab/>
              <w:t>El Salvador Colon</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SYP</w:t>
            </w:r>
            <w:r w:rsidRPr="007F5684">
              <w:rPr>
                <w:rFonts w:ascii="Times New Roman" w:hAnsi="Times New Roman"/>
                <w:color w:val="000000"/>
                <w:szCs w:val="20"/>
                <w:lang w:val="pt-PT" w:eastAsia="en-GB"/>
              </w:rPr>
              <w:tab/>
              <w:t>Syria Pound</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SZL</w:t>
            </w:r>
            <w:r w:rsidRPr="007F5684">
              <w:rPr>
                <w:rFonts w:ascii="Times New Roman" w:hAnsi="Times New Roman"/>
                <w:color w:val="000000"/>
                <w:szCs w:val="20"/>
                <w:lang w:eastAsia="en-GB"/>
              </w:rPr>
              <w:tab/>
              <w:t>Swaziland Lilangeni</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THB</w:t>
            </w:r>
            <w:r w:rsidRPr="007F5684">
              <w:rPr>
                <w:rFonts w:ascii="Times New Roman" w:hAnsi="Times New Roman"/>
                <w:color w:val="000000"/>
                <w:szCs w:val="20"/>
                <w:lang w:eastAsia="en-GB"/>
              </w:rPr>
              <w:tab/>
              <w:t>Thailand Baht</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TJS</w:t>
            </w:r>
            <w:r w:rsidRPr="007F5684">
              <w:rPr>
                <w:rFonts w:ascii="Times New Roman" w:hAnsi="Times New Roman"/>
                <w:color w:val="000000"/>
                <w:szCs w:val="20"/>
                <w:lang w:eastAsia="en-GB"/>
              </w:rPr>
              <w:tab/>
              <w:t xml:space="preserve">Tajikistan </w:t>
            </w:r>
            <w:proofErr w:type="spellStart"/>
            <w:r w:rsidRPr="007F5684">
              <w:rPr>
                <w:rFonts w:ascii="Times New Roman" w:hAnsi="Times New Roman"/>
                <w:color w:val="000000"/>
                <w:szCs w:val="20"/>
                <w:lang w:eastAsia="en-GB"/>
              </w:rPr>
              <w:t>Somoni</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TMT</w:t>
            </w:r>
            <w:r w:rsidRPr="007F5684">
              <w:rPr>
                <w:rFonts w:ascii="Times New Roman" w:hAnsi="Times New Roman"/>
                <w:color w:val="000000"/>
                <w:szCs w:val="20"/>
                <w:lang w:eastAsia="en-GB"/>
              </w:rPr>
              <w:tab/>
              <w:t xml:space="preserve">Turkmenistan </w:t>
            </w:r>
            <w:proofErr w:type="spellStart"/>
            <w:r w:rsidRPr="007F5684">
              <w:rPr>
                <w:rFonts w:ascii="Times New Roman" w:hAnsi="Times New Roman"/>
                <w:color w:val="000000"/>
                <w:szCs w:val="20"/>
                <w:lang w:eastAsia="en-GB"/>
              </w:rPr>
              <w:t>Manat</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TND</w:t>
            </w:r>
            <w:r w:rsidRPr="007F5684">
              <w:rPr>
                <w:rFonts w:ascii="Times New Roman" w:hAnsi="Times New Roman"/>
                <w:color w:val="000000"/>
                <w:szCs w:val="20"/>
                <w:lang w:eastAsia="en-GB"/>
              </w:rPr>
              <w:tab/>
              <w:t>Tunisia Dinar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TOP</w:t>
            </w:r>
            <w:r w:rsidRPr="007F5684">
              <w:rPr>
                <w:rFonts w:ascii="Times New Roman" w:hAnsi="Times New Roman"/>
                <w:color w:val="000000"/>
                <w:szCs w:val="20"/>
                <w:lang w:eastAsia="en-GB"/>
              </w:rPr>
              <w:tab/>
              <w:t>Tonga Pa'anga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TRY</w:t>
            </w:r>
            <w:r w:rsidRPr="007F5684">
              <w:rPr>
                <w:rFonts w:ascii="Times New Roman" w:hAnsi="Times New Roman"/>
                <w:color w:val="000000"/>
                <w:szCs w:val="20"/>
                <w:lang w:eastAsia="en-GB"/>
              </w:rPr>
              <w:tab/>
              <w:t>Turkey Lira</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TTD</w:t>
            </w:r>
            <w:r w:rsidRPr="007F5684">
              <w:rPr>
                <w:rFonts w:ascii="Times New Roman" w:hAnsi="Times New Roman"/>
                <w:color w:val="000000"/>
                <w:szCs w:val="20"/>
                <w:lang w:eastAsia="en-GB"/>
              </w:rPr>
              <w:tab/>
              <w:t>Trinidad and Tobago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TVD</w:t>
            </w:r>
            <w:r w:rsidRPr="007F5684">
              <w:rPr>
                <w:rFonts w:ascii="Times New Roman" w:hAnsi="Times New Roman"/>
                <w:color w:val="000000"/>
                <w:szCs w:val="20"/>
                <w:lang w:eastAsia="en-GB"/>
              </w:rPr>
              <w:tab/>
              <w:t>Tuvalu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TWD</w:t>
            </w:r>
            <w:r w:rsidRPr="007F5684">
              <w:rPr>
                <w:rFonts w:ascii="Times New Roman" w:hAnsi="Times New Roman"/>
                <w:color w:val="000000"/>
                <w:szCs w:val="20"/>
                <w:lang w:eastAsia="en-GB"/>
              </w:rPr>
              <w:tab/>
              <w:t>Taiwan New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TZS</w:t>
            </w:r>
            <w:r w:rsidRPr="007F5684">
              <w:rPr>
                <w:rFonts w:ascii="Times New Roman" w:hAnsi="Times New Roman"/>
                <w:color w:val="000000"/>
                <w:szCs w:val="20"/>
                <w:lang w:eastAsia="en-GB"/>
              </w:rPr>
              <w:tab/>
              <w:t>Tanzania Shilling</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UAH</w:t>
            </w:r>
            <w:r w:rsidRPr="007F5684">
              <w:rPr>
                <w:rFonts w:ascii="Times New Roman" w:hAnsi="Times New Roman"/>
                <w:color w:val="000000"/>
                <w:szCs w:val="20"/>
                <w:lang w:eastAsia="en-GB"/>
              </w:rPr>
              <w:tab/>
              <w:t xml:space="preserve">Ukraine </w:t>
            </w:r>
            <w:proofErr w:type="spellStart"/>
            <w:r w:rsidRPr="007F5684">
              <w:rPr>
                <w:rFonts w:ascii="Times New Roman" w:hAnsi="Times New Roman"/>
                <w:color w:val="000000"/>
                <w:szCs w:val="20"/>
                <w:lang w:eastAsia="en-GB"/>
              </w:rPr>
              <w:t>Hryvna</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UGX</w:t>
            </w:r>
            <w:r w:rsidRPr="007F5684">
              <w:rPr>
                <w:rFonts w:ascii="Times New Roman" w:hAnsi="Times New Roman"/>
                <w:color w:val="000000"/>
                <w:szCs w:val="20"/>
                <w:lang w:eastAsia="en-GB"/>
              </w:rPr>
              <w:tab/>
              <w:t>Uganda Shilling</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USD</w:t>
            </w:r>
            <w:r w:rsidRPr="007F5684">
              <w:rPr>
                <w:rFonts w:ascii="Times New Roman" w:hAnsi="Times New Roman"/>
                <w:color w:val="000000"/>
                <w:szCs w:val="20"/>
                <w:lang w:eastAsia="en-GB"/>
              </w:rPr>
              <w:tab/>
              <w:t>United States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UYU</w:t>
            </w:r>
            <w:r w:rsidRPr="007F5684">
              <w:rPr>
                <w:rFonts w:ascii="Times New Roman" w:hAnsi="Times New Roman"/>
                <w:color w:val="000000"/>
                <w:szCs w:val="20"/>
                <w:lang w:eastAsia="en-GB"/>
              </w:rPr>
              <w:tab/>
              <w:t>Uruguay Peso</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UZS</w:t>
            </w:r>
            <w:r w:rsidRPr="007F5684">
              <w:rPr>
                <w:rFonts w:ascii="Times New Roman" w:hAnsi="Times New Roman"/>
                <w:color w:val="000000"/>
                <w:szCs w:val="20"/>
                <w:lang w:val="fr-FR" w:eastAsia="en-GB"/>
              </w:rPr>
              <w:tab/>
            </w:r>
            <w:proofErr w:type="spellStart"/>
            <w:r w:rsidRPr="007F5684">
              <w:rPr>
                <w:rFonts w:ascii="Times New Roman" w:hAnsi="Times New Roman"/>
                <w:color w:val="000000"/>
                <w:szCs w:val="20"/>
                <w:lang w:val="fr-FR" w:eastAsia="en-GB"/>
              </w:rPr>
              <w:t>Uzbekistan</w:t>
            </w:r>
            <w:proofErr w:type="spellEnd"/>
            <w:r w:rsidRPr="007F5684">
              <w:rPr>
                <w:rFonts w:ascii="Times New Roman" w:hAnsi="Times New Roman"/>
                <w:color w:val="000000"/>
                <w:szCs w:val="20"/>
                <w:lang w:val="fr-FR" w:eastAsia="en-GB"/>
              </w:rPr>
              <w:t xml:space="preserve"> </w:t>
            </w:r>
            <w:proofErr w:type="spellStart"/>
            <w:r w:rsidRPr="007F5684">
              <w:rPr>
                <w:rFonts w:ascii="Times New Roman" w:hAnsi="Times New Roman"/>
                <w:color w:val="000000"/>
                <w:szCs w:val="20"/>
                <w:lang w:val="fr-FR" w:eastAsia="en-GB"/>
              </w:rPr>
              <w:t>Som</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VEF</w:t>
            </w:r>
            <w:r w:rsidRPr="007F5684">
              <w:rPr>
                <w:rFonts w:ascii="Times New Roman" w:hAnsi="Times New Roman"/>
                <w:color w:val="000000"/>
                <w:szCs w:val="20"/>
                <w:lang w:val="fr-FR" w:eastAsia="en-GB"/>
              </w:rPr>
              <w:tab/>
              <w:t xml:space="preserve">Venezuela Bolivar </w:t>
            </w:r>
            <w:proofErr w:type="spellStart"/>
            <w:r w:rsidRPr="007F5684">
              <w:rPr>
                <w:rFonts w:ascii="Times New Roman" w:hAnsi="Times New Roman"/>
                <w:color w:val="000000"/>
                <w:szCs w:val="20"/>
                <w:lang w:val="fr-FR" w:eastAsia="en-GB"/>
              </w:rPr>
              <w:t>Fuerte</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VND</w:t>
            </w:r>
            <w:r w:rsidRPr="007F5684">
              <w:rPr>
                <w:rFonts w:ascii="Times New Roman" w:hAnsi="Times New Roman"/>
                <w:color w:val="000000"/>
                <w:szCs w:val="20"/>
                <w:lang w:eastAsia="en-GB"/>
              </w:rPr>
              <w:tab/>
              <w:t>Viet Nam Dong</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lastRenderedPageBreak/>
              <w:t>VUV</w:t>
            </w:r>
            <w:r w:rsidRPr="007F5684">
              <w:rPr>
                <w:rFonts w:ascii="Times New Roman" w:hAnsi="Times New Roman"/>
                <w:color w:val="000000"/>
                <w:szCs w:val="20"/>
                <w:lang w:eastAsia="en-GB"/>
              </w:rPr>
              <w:tab/>
              <w:t>Vanuatu Vatu</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WST</w:t>
            </w:r>
            <w:r w:rsidRPr="007F5684">
              <w:rPr>
                <w:rFonts w:ascii="Times New Roman" w:hAnsi="Times New Roman"/>
                <w:color w:val="000000"/>
                <w:szCs w:val="20"/>
                <w:lang w:val="fr-FR" w:eastAsia="en-GB"/>
              </w:rPr>
              <w:tab/>
              <w:t>Samoa Tala</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XAF</w:t>
            </w:r>
            <w:r w:rsidRPr="007F5684">
              <w:rPr>
                <w:rFonts w:ascii="Times New Roman" w:hAnsi="Times New Roman"/>
                <w:color w:val="000000"/>
                <w:szCs w:val="20"/>
                <w:lang w:val="fr-FR" w:eastAsia="en-GB"/>
              </w:rPr>
              <w:tab/>
              <w:t>Communauté Financière Africaine (BEAC) CFA Franc BEAC</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XCD</w:t>
            </w:r>
            <w:r w:rsidRPr="007F5684">
              <w:rPr>
                <w:rFonts w:ascii="Times New Roman" w:hAnsi="Times New Roman"/>
                <w:color w:val="000000"/>
                <w:szCs w:val="20"/>
                <w:lang w:eastAsia="en-GB"/>
              </w:rPr>
              <w:tab/>
              <w:t>East Caribbean Dollar</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XDR</w:t>
            </w:r>
            <w:r w:rsidRPr="007F5684">
              <w:rPr>
                <w:rFonts w:ascii="Times New Roman" w:hAnsi="Times New Roman"/>
                <w:color w:val="000000"/>
                <w:szCs w:val="20"/>
                <w:lang w:eastAsia="en-GB"/>
              </w:rPr>
              <w:tab/>
              <w:t>International Monetary Fund (IMF) Special Drawing Rights</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XOF</w:t>
            </w:r>
            <w:r w:rsidRPr="007F5684">
              <w:rPr>
                <w:rFonts w:ascii="Times New Roman" w:hAnsi="Times New Roman"/>
                <w:color w:val="000000"/>
                <w:szCs w:val="20"/>
                <w:lang w:val="fr-FR" w:eastAsia="en-GB"/>
              </w:rPr>
              <w:tab/>
              <w:t>Communauté Financière Africaine (BCEAO) Franc</w:t>
            </w:r>
          </w:p>
          <w:p w:rsidR="003D0976" w:rsidRPr="007F5684" w:rsidRDefault="003D0976" w:rsidP="00ED2EE2">
            <w:pPr>
              <w:tabs>
                <w:tab w:val="left" w:pos="1068"/>
              </w:tabs>
              <w:spacing w:before="0" w:after="0"/>
              <w:ind w:left="108"/>
              <w:jc w:val="left"/>
              <w:rPr>
                <w:rFonts w:ascii="Times New Roman" w:hAnsi="Times New Roman"/>
                <w:color w:val="000000"/>
                <w:szCs w:val="20"/>
                <w:lang w:val="fr-FR" w:eastAsia="en-GB"/>
              </w:rPr>
            </w:pPr>
            <w:r w:rsidRPr="007F5684">
              <w:rPr>
                <w:rFonts w:ascii="Times New Roman" w:hAnsi="Times New Roman"/>
                <w:color w:val="000000"/>
                <w:szCs w:val="20"/>
                <w:lang w:val="fr-FR" w:eastAsia="en-GB"/>
              </w:rPr>
              <w:t>XPF</w:t>
            </w:r>
            <w:r w:rsidRPr="007F5684">
              <w:rPr>
                <w:rFonts w:ascii="Times New Roman" w:hAnsi="Times New Roman"/>
                <w:color w:val="000000"/>
                <w:szCs w:val="20"/>
                <w:lang w:val="fr-FR" w:eastAsia="en-GB"/>
              </w:rPr>
              <w:tab/>
              <w:t>Comptoirs Français du Pacifique (CFP) Franc</w:t>
            </w:r>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YER</w:t>
            </w:r>
            <w:r w:rsidRPr="007F5684">
              <w:rPr>
                <w:rFonts w:ascii="Times New Roman" w:hAnsi="Times New Roman"/>
                <w:color w:val="000000"/>
                <w:szCs w:val="20"/>
                <w:lang w:eastAsia="en-GB"/>
              </w:rPr>
              <w:tab/>
              <w:t xml:space="preserve">Yemen </w:t>
            </w:r>
            <w:proofErr w:type="spellStart"/>
            <w:r w:rsidRPr="007F5684">
              <w:rPr>
                <w:rFonts w:ascii="Times New Roman" w:hAnsi="Times New Roman"/>
                <w:color w:val="000000"/>
                <w:szCs w:val="20"/>
                <w:lang w:eastAsia="en-GB"/>
              </w:rPr>
              <w:t>Rial</w:t>
            </w:r>
            <w:proofErr w:type="spellEnd"/>
          </w:p>
          <w:p w:rsidR="003D0976" w:rsidRPr="007F5684" w:rsidRDefault="003D0976" w:rsidP="00ED2EE2">
            <w:pPr>
              <w:tabs>
                <w:tab w:val="left" w:pos="1068"/>
              </w:tabs>
              <w:spacing w:before="0" w:after="0"/>
              <w:ind w:left="108"/>
              <w:jc w:val="left"/>
              <w:rPr>
                <w:rFonts w:ascii="Times New Roman" w:hAnsi="Times New Roman"/>
                <w:color w:val="000000"/>
                <w:szCs w:val="20"/>
                <w:lang w:eastAsia="en-GB"/>
              </w:rPr>
            </w:pPr>
            <w:r w:rsidRPr="007F5684">
              <w:rPr>
                <w:rFonts w:ascii="Times New Roman" w:hAnsi="Times New Roman"/>
                <w:color w:val="000000"/>
                <w:szCs w:val="20"/>
                <w:lang w:eastAsia="en-GB"/>
              </w:rPr>
              <w:t>ZAR</w:t>
            </w:r>
            <w:r w:rsidRPr="007F5684">
              <w:rPr>
                <w:rFonts w:ascii="Times New Roman" w:hAnsi="Times New Roman"/>
                <w:color w:val="000000"/>
                <w:szCs w:val="20"/>
                <w:lang w:eastAsia="en-GB"/>
              </w:rPr>
              <w:tab/>
              <w:t>South Africa Rand</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ZMK</w:t>
            </w:r>
            <w:r w:rsidRPr="007F5684">
              <w:rPr>
                <w:rFonts w:ascii="Times New Roman" w:hAnsi="Times New Roman"/>
                <w:color w:val="000000"/>
                <w:szCs w:val="20"/>
                <w:lang w:val="pt-PT" w:eastAsia="en-GB"/>
              </w:rPr>
              <w:tab/>
              <w:t>Zambia Kwacha</w:t>
            </w:r>
          </w:p>
          <w:p w:rsidR="003D0976" w:rsidRPr="007F5684" w:rsidRDefault="003D0976" w:rsidP="00ED2EE2">
            <w:pPr>
              <w:tabs>
                <w:tab w:val="left" w:pos="1068"/>
              </w:tabs>
              <w:spacing w:before="0" w:after="0"/>
              <w:ind w:left="108"/>
              <w:jc w:val="left"/>
              <w:rPr>
                <w:rFonts w:ascii="Times New Roman" w:hAnsi="Times New Roman"/>
                <w:color w:val="000000"/>
                <w:szCs w:val="20"/>
                <w:lang w:val="pt-PT" w:eastAsia="en-GB"/>
              </w:rPr>
            </w:pPr>
            <w:r w:rsidRPr="007F5684">
              <w:rPr>
                <w:rFonts w:ascii="Times New Roman" w:hAnsi="Times New Roman"/>
                <w:color w:val="000000"/>
                <w:szCs w:val="20"/>
                <w:lang w:val="pt-PT" w:eastAsia="en-GB"/>
              </w:rPr>
              <w:t>ZWD</w:t>
            </w:r>
            <w:r w:rsidRPr="007F5684">
              <w:rPr>
                <w:rFonts w:ascii="Times New Roman" w:hAnsi="Times New Roman"/>
                <w:color w:val="000000"/>
                <w:szCs w:val="20"/>
                <w:lang w:val="pt-PT" w:eastAsia="en-GB"/>
              </w:rPr>
              <w:tab/>
              <w:t>Zimbabwe Dollar</w:t>
            </w:r>
          </w:p>
          <w:p w:rsidR="003D0976" w:rsidRPr="007F5684" w:rsidRDefault="003D0976" w:rsidP="00ED2EE2">
            <w:pPr>
              <w:spacing w:before="0" w:after="0"/>
              <w:jc w:val="left"/>
              <w:rPr>
                <w:rFonts w:ascii="Times New Roman" w:hAnsi="Times New Roman"/>
                <w:b/>
                <w:szCs w:val="20"/>
                <w:u w:val="single"/>
                <w:lang w:val="pt-PT" w:eastAsia="en-GB"/>
              </w:rPr>
            </w:pPr>
          </w:p>
        </w:tc>
      </w:tr>
      <w:tr w:rsidR="003D0976" w:rsidRPr="007F5684" w:rsidTr="003D0976">
        <w:trPr>
          <w:trHeight w:val="510"/>
        </w:trPr>
        <w:tc>
          <w:tcPr>
            <w:tcW w:w="729" w:type="pct"/>
            <w:shd w:val="clear" w:color="auto" w:fill="auto"/>
            <w:noWrap/>
          </w:tcPr>
          <w:p w:rsidR="003D0976"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lastRenderedPageBreak/>
              <w:t>J</w:t>
            </w:r>
          </w:p>
        </w:tc>
        <w:tc>
          <w:tcPr>
            <w:tcW w:w="4271" w:type="pct"/>
            <w:gridSpan w:val="2"/>
            <w:tcBorders>
              <w:top w:val="single" w:sz="4" w:space="0" w:color="auto"/>
            </w:tcBorders>
            <w:shd w:val="clear" w:color="auto" w:fill="auto"/>
          </w:tcPr>
          <w:p w:rsidR="003D0976" w:rsidRPr="007F5684" w:rsidRDefault="003D0976" w:rsidP="000B288B">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Amount Received</w:t>
            </w:r>
          </w:p>
          <w:p w:rsidR="003D0976" w:rsidRPr="007F5684" w:rsidRDefault="003D0976" w:rsidP="000B288B">
            <w:pPr>
              <w:spacing w:before="0" w:after="0"/>
              <w:jc w:val="left"/>
              <w:rPr>
                <w:rFonts w:ascii="Times New Roman" w:hAnsi="Times New Roman"/>
                <w:b/>
                <w:szCs w:val="20"/>
                <w:u w:val="single"/>
                <w:lang w:eastAsia="en-GB"/>
              </w:rPr>
            </w:pPr>
          </w:p>
          <w:p w:rsidR="003D0976" w:rsidRPr="007F5684" w:rsidRDefault="003D0976" w:rsidP="004F085D">
            <w:pPr>
              <w:spacing w:before="0" w:after="0"/>
              <w:rPr>
                <w:rFonts w:ascii="Times New Roman" w:hAnsi="Times New Roman"/>
                <w:szCs w:val="20"/>
                <w:lang w:eastAsia="en-GB"/>
              </w:rPr>
            </w:pPr>
            <w:r w:rsidRPr="007F5684">
              <w:rPr>
                <w:rFonts w:ascii="Times New Roman" w:hAnsi="Times New Roman"/>
                <w:szCs w:val="20"/>
                <w:lang w:eastAsia="en-GB"/>
              </w:rPr>
              <w:t xml:space="preserve">Counterparties reported in column D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assigned an amount of funding received in column </w:t>
            </w:r>
            <w:r w:rsidR="00856DF7" w:rsidRPr="007F5684">
              <w:rPr>
                <w:rFonts w:ascii="Times New Roman" w:hAnsi="Times New Roman"/>
                <w:szCs w:val="20"/>
                <w:lang w:eastAsia="en-GB"/>
              </w:rPr>
              <w:t>I</w:t>
            </w:r>
            <w:r w:rsidRPr="007F5684">
              <w:rPr>
                <w:rFonts w:ascii="Times New Roman" w:hAnsi="Times New Roman"/>
                <w:szCs w:val="20"/>
                <w:lang w:eastAsia="en-GB"/>
              </w:rPr>
              <w:t xml:space="preserve">, in the units of currency applicable to the denomination of currency recorded in column </w:t>
            </w:r>
            <w:r w:rsidR="00856DF7" w:rsidRPr="007F5684">
              <w:rPr>
                <w:rFonts w:ascii="Times New Roman" w:hAnsi="Times New Roman"/>
                <w:szCs w:val="20"/>
                <w:lang w:eastAsia="en-GB"/>
              </w:rPr>
              <w:t>H</w:t>
            </w:r>
            <w:r w:rsidRPr="007F5684">
              <w:rPr>
                <w:rFonts w:ascii="Times New Roman" w:hAnsi="Times New Roman"/>
                <w:szCs w:val="20"/>
                <w:lang w:eastAsia="en-GB"/>
              </w:rPr>
              <w:t>.</w:t>
            </w:r>
          </w:p>
          <w:p w:rsidR="003D0976" w:rsidRPr="007F5684" w:rsidRDefault="003D0976" w:rsidP="000B288B">
            <w:pPr>
              <w:spacing w:before="0" w:after="0"/>
              <w:jc w:val="left"/>
              <w:rPr>
                <w:rFonts w:ascii="Times New Roman" w:hAnsi="Times New Roman"/>
                <w:b/>
                <w:szCs w:val="20"/>
                <w:u w:val="single"/>
                <w:lang w:eastAsia="en-GB"/>
              </w:rPr>
            </w:pPr>
          </w:p>
        </w:tc>
      </w:tr>
      <w:tr w:rsidR="003D0976" w:rsidRPr="007F5684" w:rsidTr="003F0706">
        <w:trPr>
          <w:trHeight w:val="1020"/>
        </w:trPr>
        <w:tc>
          <w:tcPr>
            <w:tcW w:w="729" w:type="pct"/>
            <w:shd w:val="clear" w:color="auto" w:fill="auto"/>
            <w:noWrap/>
          </w:tcPr>
          <w:p w:rsidR="003D0976"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K</w:t>
            </w:r>
          </w:p>
        </w:tc>
        <w:tc>
          <w:tcPr>
            <w:tcW w:w="4271" w:type="pct"/>
            <w:gridSpan w:val="2"/>
            <w:shd w:val="clear" w:color="auto" w:fill="auto"/>
          </w:tcPr>
          <w:p w:rsidR="003D0976" w:rsidRPr="007F5684" w:rsidRDefault="003D0976" w:rsidP="000B288B">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Weighted average initial maturity</w:t>
            </w:r>
          </w:p>
          <w:p w:rsidR="003D0976" w:rsidRPr="007F5684" w:rsidRDefault="003D0976" w:rsidP="000B288B">
            <w:pPr>
              <w:spacing w:before="0" w:after="0"/>
              <w:jc w:val="left"/>
              <w:rPr>
                <w:rFonts w:ascii="Times New Roman" w:hAnsi="Times New Roman"/>
                <w:b/>
                <w:szCs w:val="20"/>
                <w:u w:val="single"/>
                <w:lang w:eastAsia="en-GB"/>
              </w:rPr>
            </w:pPr>
          </w:p>
          <w:p w:rsidR="003D0976" w:rsidRPr="007F5684" w:rsidRDefault="003D0976" w:rsidP="000B288B">
            <w:pPr>
              <w:spacing w:before="0" w:after="0"/>
              <w:jc w:val="left"/>
              <w:rPr>
                <w:rFonts w:ascii="Times New Roman" w:hAnsi="Times New Roman"/>
                <w:szCs w:val="20"/>
                <w:lang w:eastAsia="en-GB"/>
              </w:rPr>
            </w:pPr>
            <w:r w:rsidRPr="007F5684">
              <w:rPr>
                <w:rFonts w:ascii="Times New Roman" w:hAnsi="Times New Roman"/>
                <w:szCs w:val="20"/>
                <w:lang w:eastAsia="en-GB"/>
              </w:rPr>
              <w:t xml:space="preserve">For the amount of funding received reported in column </w:t>
            </w:r>
            <w:r w:rsidR="00856DF7" w:rsidRPr="007F5684">
              <w:rPr>
                <w:rFonts w:ascii="Times New Roman" w:hAnsi="Times New Roman"/>
                <w:szCs w:val="20"/>
                <w:lang w:eastAsia="en-GB"/>
              </w:rPr>
              <w:t>I</w:t>
            </w:r>
            <w:r w:rsidRPr="007F5684">
              <w:rPr>
                <w:rFonts w:ascii="Times New Roman" w:hAnsi="Times New Roman"/>
                <w:szCs w:val="20"/>
                <w:lang w:eastAsia="en-GB"/>
              </w:rPr>
              <w:t xml:space="preserve">, from the counterparty reported in column D, a weighted average initial maturity for that funding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recorded in column </w:t>
            </w:r>
            <w:r w:rsidR="00856DF7" w:rsidRPr="007F5684">
              <w:rPr>
                <w:rFonts w:ascii="Times New Roman" w:hAnsi="Times New Roman"/>
                <w:szCs w:val="20"/>
                <w:lang w:eastAsia="en-GB"/>
              </w:rPr>
              <w:t>J</w:t>
            </w:r>
            <w:r w:rsidRPr="007F5684">
              <w:rPr>
                <w:rFonts w:ascii="Times New Roman" w:hAnsi="Times New Roman"/>
                <w:szCs w:val="20"/>
                <w:lang w:eastAsia="en-GB"/>
              </w:rPr>
              <w:t>.</w:t>
            </w:r>
          </w:p>
          <w:p w:rsidR="003D0976" w:rsidRPr="007F5684" w:rsidRDefault="003D0976" w:rsidP="000B288B">
            <w:pPr>
              <w:spacing w:before="0" w:after="0"/>
              <w:jc w:val="left"/>
              <w:rPr>
                <w:rFonts w:ascii="Times New Roman" w:hAnsi="Times New Roman"/>
                <w:szCs w:val="20"/>
                <w:lang w:eastAsia="en-GB"/>
              </w:rPr>
            </w:pPr>
          </w:p>
          <w:p w:rsidR="003D0976" w:rsidRPr="007F5684" w:rsidRDefault="003D0976" w:rsidP="000B288B">
            <w:pPr>
              <w:spacing w:before="0" w:after="0"/>
              <w:jc w:val="left"/>
              <w:rPr>
                <w:rFonts w:ascii="Times New Roman" w:hAnsi="Times New Roman"/>
                <w:szCs w:val="20"/>
                <w:lang w:eastAsia="en-GB"/>
              </w:rPr>
            </w:pPr>
            <w:r w:rsidRPr="007F5684">
              <w:rPr>
                <w:rFonts w:ascii="Times New Roman" w:hAnsi="Times New Roman"/>
                <w:szCs w:val="20"/>
                <w:lang w:eastAsia="en-GB"/>
              </w:rPr>
              <w:t>Weighted average initial maturity is the average initial maturity of the funding received from that counterparty based on the size of different amounts of funding received to total funding received.</w:t>
            </w:r>
          </w:p>
          <w:p w:rsidR="003D0976" w:rsidRPr="007F5684" w:rsidRDefault="003D0976" w:rsidP="000B288B">
            <w:pPr>
              <w:spacing w:before="0" w:after="0"/>
              <w:jc w:val="left"/>
              <w:rPr>
                <w:rFonts w:ascii="Times New Roman" w:hAnsi="Times New Roman"/>
                <w:szCs w:val="20"/>
                <w:lang w:eastAsia="en-GB"/>
              </w:rPr>
            </w:pPr>
          </w:p>
          <w:p w:rsidR="003D0976" w:rsidRPr="007F5684" w:rsidRDefault="003D0976" w:rsidP="000B288B">
            <w:pPr>
              <w:spacing w:before="0" w:after="0"/>
              <w:jc w:val="left"/>
              <w:rPr>
                <w:rFonts w:ascii="Times New Roman" w:hAnsi="Times New Roman"/>
                <w:szCs w:val="20"/>
                <w:lang w:eastAsia="en-GB"/>
              </w:rPr>
            </w:pPr>
            <w:r w:rsidRPr="007F5684">
              <w:rPr>
                <w:rFonts w:ascii="Times New Roman" w:hAnsi="Times New Roman"/>
                <w:szCs w:val="20"/>
                <w:lang w:eastAsia="en-GB"/>
              </w:rPr>
              <w:t>For example:</w:t>
            </w:r>
          </w:p>
          <w:p w:rsidR="003D0976" w:rsidRPr="007F5684" w:rsidRDefault="003D0976" w:rsidP="000B288B">
            <w:pPr>
              <w:spacing w:before="0" w:after="0"/>
              <w:jc w:val="left"/>
              <w:rPr>
                <w:rFonts w:ascii="Times New Roman" w:hAnsi="Times New Roman"/>
                <w:szCs w:val="20"/>
                <w:lang w:eastAsia="en-GB"/>
              </w:rPr>
            </w:pPr>
          </w:p>
          <w:p w:rsidR="003D0976" w:rsidRPr="007F5684" w:rsidRDefault="003D0976" w:rsidP="00432D9F">
            <w:pPr>
              <w:numPr>
                <w:ilvl w:val="1"/>
                <w:numId w:val="6"/>
              </w:numPr>
              <w:spacing w:before="0" w:after="0"/>
              <w:jc w:val="left"/>
              <w:rPr>
                <w:rFonts w:ascii="Times New Roman" w:hAnsi="Times New Roman"/>
                <w:szCs w:val="20"/>
                <w:lang w:eastAsia="en-GB"/>
              </w:rPr>
            </w:pPr>
            <w:r w:rsidRPr="007F5684">
              <w:rPr>
                <w:rFonts w:ascii="Times New Roman" w:hAnsi="Times New Roman"/>
                <w:szCs w:val="20"/>
                <w:lang w:eastAsia="en-GB"/>
              </w:rPr>
              <w:t>€1 billion received from counterparty A with an initial maturity of six months.</w:t>
            </w:r>
          </w:p>
          <w:p w:rsidR="003D0976" w:rsidRPr="007F5684" w:rsidRDefault="003D0976" w:rsidP="00432D9F">
            <w:pPr>
              <w:numPr>
                <w:ilvl w:val="1"/>
                <w:numId w:val="6"/>
              </w:numPr>
              <w:spacing w:before="0" w:after="0"/>
              <w:jc w:val="left"/>
              <w:rPr>
                <w:rFonts w:ascii="Times New Roman" w:hAnsi="Times New Roman"/>
                <w:szCs w:val="20"/>
                <w:lang w:eastAsia="en-GB"/>
              </w:rPr>
            </w:pPr>
            <w:r w:rsidRPr="007F5684">
              <w:rPr>
                <w:rFonts w:ascii="Times New Roman" w:hAnsi="Times New Roman"/>
                <w:szCs w:val="20"/>
                <w:lang w:eastAsia="en-GB"/>
              </w:rPr>
              <w:t>€</w:t>
            </w:r>
            <w:r w:rsidR="00856DF7" w:rsidRPr="007F5684">
              <w:rPr>
                <w:rFonts w:ascii="Times New Roman" w:hAnsi="Times New Roman"/>
                <w:szCs w:val="20"/>
                <w:lang w:eastAsia="en-GB"/>
              </w:rPr>
              <w:t>0</w:t>
            </w:r>
            <w:r w:rsidRPr="007F5684">
              <w:rPr>
                <w:rFonts w:ascii="Times New Roman" w:hAnsi="Times New Roman"/>
                <w:szCs w:val="20"/>
                <w:lang w:eastAsia="en-GB"/>
              </w:rPr>
              <w:t>.5 billion received from counterparty A with an initial maturity of one year.</w:t>
            </w:r>
          </w:p>
          <w:p w:rsidR="003D0976" w:rsidRPr="007F5684" w:rsidRDefault="003D0976" w:rsidP="00822CBC">
            <w:pPr>
              <w:spacing w:before="0" w:after="0"/>
              <w:jc w:val="left"/>
              <w:rPr>
                <w:rFonts w:ascii="Times New Roman" w:hAnsi="Times New Roman"/>
                <w:szCs w:val="20"/>
                <w:lang w:eastAsia="en-GB"/>
              </w:rPr>
            </w:pPr>
          </w:p>
          <w:p w:rsidR="003D0976" w:rsidRPr="007F5684" w:rsidRDefault="003D0976" w:rsidP="00822CBC">
            <w:pPr>
              <w:spacing w:before="0" w:after="0"/>
              <w:jc w:val="left"/>
              <w:rPr>
                <w:rFonts w:ascii="Times New Roman" w:hAnsi="Times New Roman"/>
                <w:szCs w:val="20"/>
                <w:lang w:eastAsia="en-GB"/>
              </w:rPr>
            </w:pPr>
            <w:r w:rsidRPr="007F5684">
              <w:rPr>
                <w:rFonts w:ascii="Times New Roman" w:hAnsi="Times New Roman"/>
                <w:szCs w:val="20"/>
                <w:lang w:eastAsia="en-GB"/>
              </w:rPr>
              <w:t>Weighted average initial maturity = (€1 billion/€1.5 billion) * 6 months + (€</w:t>
            </w:r>
            <w:r w:rsidR="00856DF7" w:rsidRPr="007F5684">
              <w:rPr>
                <w:rFonts w:ascii="Times New Roman" w:hAnsi="Times New Roman"/>
                <w:szCs w:val="20"/>
                <w:lang w:eastAsia="en-GB"/>
              </w:rPr>
              <w:t>0</w:t>
            </w:r>
            <w:r w:rsidRPr="007F5684">
              <w:rPr>
                <w:rFonts w:ascii="Times New Roman" w:hAnsi="Times New Roman"/>
                <w:szCs w:val="20"/>
                <w:lang w:eastAsia="en-GB"/>
              </w:rPr>
              <w:t>.5 billion/€1.5 billion) * 12 months</w:t>
            </w:r>
          </w:p>
          <w:p w:rsidR="003D0976" w:rsidRPr="007F5684" w:rsidRDefault="003D0976" w:rsidP="00822CBC">
            <w:pPr>
              <w:spacing w:before="0" w:after="0"/>
              <w:jc w:val="left"/>
              <w:rPr>
                <w:rFonts w:ascii="Times New Roman" w:hAnsi="Times New Roman"/>
                <w:szCs w:val="20"/>
                <w:lang w:eastAsia="en-GB"/>
              </w:rPr>
            </w:pPr>
          </w:p>
          <w:p w:rsidR="003D0976" w:rsidRPr="007F5684" w:rsidRDefault="003D0976" w:rsidP="000B288B">
            <w:pPr>
              <w:spacing w:before="0" w:after="0"/>
              <w:jc w:val="left"/>
              <w:rPr>
                <w:rFonts w:ascii="Times New Roman" w:hAnsi="Times New Roman"/>
                <w:szCs w:val="20"/>
                <w:lang w:eastAsia="en-GB"/>
              </w:rPr>
            </w:pPr>
            <w:r w:rsidRPr="007F5684">
              <w:rPr>
                <w:rFonts w:ascii="Times New Roman" w:hAnsi="Times New Roman"/>
                <w:szCs w:val="20"/>
                <w:lang w:eastAsia="en-GB"/>
              </w:rPr>
              <w:t>Weighted average initial maturity = 8 months</w:t>
            </w:r>
          </w:p>
          <w:p w:rsidR="003D0976" w:rsidRPr="007F5684" w:rsidRDefault="003D0976" w:rsidP="000B288B">
            <w:pPr>
              <w:spacing w:before="0" w:after="0"/>
              <w:jc w:val="left"/>
              <w:rPr>
                <w:rFonts w:ascii="Times New Roman" w:hAnsi="Times New Roman"/>
                <w:szCs w:val="20"/>
                <w:lang w:eastAsia="en-GB"/>
              </w:rPr>
            </w:pPr>
          </w:p>
        </w:tc>
      </w:tr>
      <w:tr w:rsidR="003D0976" w:rsidRPr="007F5684" w:rsidTr="00856DF7">
        <w:trPr>
          <w:trHeight w:val="1020"/>
        </w:trPr>
        <w:tc>
          <w:tcPr>
            <w:tcW w:w="729" w:type="pct"/>
            <w:tcBorders>
              <w:bottom w:val="single" w:sz="4" w:space="0" w:color="auto"/>
            </w:tcBorders>
            <w:shd w:val="clear" w:color="auto" w:fill="auto"/>
            <w:noWrap/>
          </w:tcPr>
          <w:p w:rsidR="003D0976" w:rsidRPr="007F5684" w:rsidRDefault="003E50B7" w:rsidP="000B288B">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L</w:t>
            </w:r>
          </w:p>
        </w:tc>
        <w:tc>
          <w:tcPr>
            <w:tcW w:w="4271" w:type="pct"/>
            <w:gridSpan w:val="2"/>
            <w:tcBorders>
              <w:bottom w:val="single" w:sz="4" w:space="0" w:color="auto"/>
            </w:tcBorders>
            <w:shd w:val="clear" w:color="auto" w:fill="auto"/>
          </w:tcPr>
          <w:p w:rsidR="003D0976" w:rsidRPr="007F5684" w:rsidRDefault="003D0976" w:rsidP="00E82B0B">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Weighted average residual maturity</w:t>
            </w:r>
          </w:p>
          <w:p w:rsidR="003D0976" w:rsidRPr="007F5684" w:rsidRDefault="003D0976" w:rsidP="00E82B0B">
            <w:pPr>
              <w:spacing w:before="0" w:after="0"/>
              <w:jc w:val="left"/>
              <w:rPr>
                <w:rFonts w:ascii="Times New Roman" w:hAnsi="Times New Roman"/>
                <w:b/>
                <w:szCs w:val="20"/>
                <w:u w:val="single"/>
                <w:lang w:eastAsia="en-GB"/>
              </w:rPr>
            </w:pPr>
          </w:p>
          <w:p w:rsidR="003D0976" w:rsidRPr="007F5684" w:rsidRDefault="003D0976" w:rsidP="00E82B0B">
            <w:pPr>
              <w:spacing w:before="0" w:after="0"/>
              <w:jc w:val="left"/>
              <w:rPr>
                <w:rFonts w:ascii="Times New Roman" w:hAnsi="Times New Roman"/>
                <w:szCs w:val="20"/>
                <w:lang w:eastAsia="en-GB"/>
              </w:rPr>
            </w:pPr>
            <w:r w:rsidRPr="007F5684">
              <w:rPr>
                <w:rFonts w:ascii="Times New Roman" w:hAnsi="Times New Roman"/>
                <w:szCs w:val="20"/>
                <w:lang w:eastAsia="en-GB"/>
              </w:rPr>
              <w:t xml:space="preserve">For the amount of funding received reported in column H, from the counterparty reported in column </w:t>
            </w:r>
            <w:r w:rsidR="00856DF7" w:rsidRPr="007F5684">
              <w:rPr>
                <w:rFonts w:ascii="Times New Roman" w:hAnsi="Times New Roman"/>
                <w:szCs w:val="20"/>
                <w:lang w:eastAsia="en-GB"/>
              </w:rPr>
              <w:t>I</w:t>
            </w:r>
            <w:r w:rsidRPr="007F5684">
              <w:rPr>
                <w:rFonts w:ascii="Times New Roman" w:hAnsi="Times New Roman"/>
                <w:szCs w:val="20"/>
                <w:lang w:eastAsia="en-GB"/>
              </w:rPr>
              <w:t xml:space="preserve">, a weighted average residual maturity for that funding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recorded in column </w:t>
            </w:r>
            <w:r w:rsidR="00856DF7" w:rsidRPr="007F5684">
              <w:rPr>
                <w:rFonts w:ascii="Times New Roman" w:hAnsi="Times New Roman"/>
                <w:szCs w:val="20"/>
                <w:lang w:eastAsia="en-GB"/>
              </w:rPr>
              <w:t>K</w:t>
            </w:r>
            <w:r w:rsidRPr="007F5684">
              <w:rPr>
                <w:rFonts w:ascii="Times New Roman" w:hAnsi="Times New Roman"/>
                <w:szCs w:val="20"/>
                <w:lang w:eastAsia="en-GB"/>
              </w:rPr>
              <w:t>.</w:t>
            </w:r>
          </w:p>
          <w:p w:rsidR="003D0976" w:rsidRPr="007F5684" w:rsidRDefault="003D0976" w:rsidP="00E82B0B">
            <w:pPr>
              <w:spacing w:before="0" w:after="0"/>
              <w:jc w:val="left"/>
              <w:rPr>
                <w:rFonts w:ascii="Times New Roman" w:hAnsi="Times New Roman"/>
                <w:szCs w:val="20"/>
                <w:lang w:eastAsia="en-GB"/>
              </w:rPr>
            </w:pPr>
          </w:p>
          <w:p w:rsidR="003D0976" w:rsidRPr="007F5684" w:rsidRDefault="003D0976" w:rsidP="00E82B0B">
            <w:pPr>
              <w:spacing w:before="0" w:after="0"/>
              <w:jc w:val="left"/>
              <w:rPr>
                <w:rFonts w:ascii="Times New Roman" w:hAnsi="Times New Roman"/>
                <w:szCs w:val="20"/>
                <w:lang w:eastAsia="en-GB"/>
              </w:rPr>
            </w:pPr>
            <w:r w:rsidRPr="007F5684">
              <w:rPr>
                <w:rFonts w:ascii="Times New Roman" w:hAnsi="Times New Roman"/>
                <w:szCs w:val="20"/>
                <w:lang w:eastAsia="en-GB"/>
              </w:rPr>
              <w:t>Weighted average residual maturity is the average maturity of the funding received from that counterparty left based on the size of different amounts of funding received to total funding received.</w:t>
            </w:r>
          </w:p>
          <w:p w:rsidR="003D0976" w:rsidRPr="007F5684" w:rsidRDefault="003D0976" w:rsidP="00E82B0B">
            <w:pPr>
              <w:spacing w:before="0" w:after="0"/>
              <w:jc w:val="left"/>
              <w:rPr>
                <w:rFonts w:ascii="Times New Roman" w:hAnsi="Times New Roman"/>
                <w:szCs w:val="20"/>
                <w:lang w:eastAsia="en-GB"/>
              </w:rPr>
            </w:pPr>
          </w:p>
          <w:p w:rsidR="003D0976" w:rsidRPr="007F5684" w:rsidRDefault="003D0976" w:rsidP="00E82B0B">
            <w:pPr>
              <w:spacing w:before="0" w:after="0"/>
              <w:jc w:val="left"/>
              <w:rPr>
                <w:rFonts w:ascii="Times New Roman" w:hAnsi="Times New Roman"/>
                <w:szCs w:val="20"/>
                <w:lang w:eastAsia="en-GB"/>
              </w:rPr>
            </w:pPr>
            <w:r w:rsidRPr="007F5684">
              <w:rPr>
                <w:rFonts w:ascii="Times New Roman" w:hAnsi="Times New Roman"/>
                <w:szCs w:val="20"/>
                <w:lang w:eastAsia="en-GB"/>
              </w:rPr>
              <w:t>For example:</w:t>
            </w:r>
          </w:p>
          <w:p w:rsidR="003D0976" w:rsidRPr="007F5684" w:rsidRDefault="003D0976" w:rsidP="00E82B0B">
            <w:pPr>
              <w:spacing w:before="0" w:after="0"/>
              <w:jc w:val="left"/>
              <w:rPr>
                <w:rFonts w:ascii="Times New Roman" w:hAnsi="Times New Roman"/>
                <w:szCs w:val="20"/>
                <w:lang w:eastAsia="en-GB"/>
              </w:rPr>
            </w:pPr>
          </w:p>
          <w:p w:rsidR="003D0976" w:rsidRPr="007F5684" w:rsidRDefault="003D0976" w:rsidP="00A211F3">
            <w:pPr>
              <w:numPr>
                <w:ilvl w:val="1"/>
                <w:numId w:val="13"/>
              </w:numPr>
              <w:spacing w:before="0" w:after="0"/>
              <w:jc w:val="left"/>
              <w:rPr>
                <w:rFonts w:ascii="Times New Roman" w:hAnsi="Times New Roman"/>
                <w:szCs w:val="20"/>
                <w:lang w:eastAsia="en-GB"/>
              </w:rPr>
            </w:pPr>
            <w:r w:rsidRPr="007F5684">
              <w:rPr>
                <w:rFonts w:ascii="Times New Roman" w:hAnsi="Times New Roman"/>
                <w:szCs w:val="20"/>
                <w:lang w:eastAsia="en-GB"/>
              </w:rPr>
              <w:t>€1 billion received from counterparty A with two months residual maturity left.</w:t>
            </w:r>
          </w:p>
          <w:p w:rsidR="003D0976" w:rsidRPr="007F5684" w:rsidRDefault="003D0976" w:rsidP="00E82B0B">
            <w:pPr>
              <w:numPr>
                <w:ilvl w:val="1"/>
                <w:numId w:val="13"/>
              </w:numPr>
              <w:spacing w:before="0" w:after="0"/>
              <w:jc w:val="left"/>
              <w:rPr>
                <w:rFonts w:ascii="Times New Roman" w:hAnsi="Times New Roman"/>
                <w:szCs w:val="20"/>
                <w:lang w:eastAsia="en-GB"/>
              </w:rPr>
            </w:pPr>
            <w:r w:rsidRPr="007F5684">
              <w:rPr>
                <w:rFonts w:ascii="Times New Roman" w:hAnsi="Times New Roman"/>
                <w:szCs w:val="20"/>
                <w:lang w:eastAsia="en-GB"/>
              </w:rPr>
              <w:t>€</w:t>
            </w:r>
            <w:r w:rsidR="00856DF7" w:rsidRPr="007F5684">
              <w:rPr>
                <w:rFonts w:ascii="Times New Roman" w:hAnsi="Times New Roman"/>
                <w:szCs w:val="20"/>
                <w:lang w:eastAsia="en-GB"/>
              </w:rPr>
              <w:t>0</w:t>
            </w:r>
            <w:r w:rsidRPr="007F5684">
              <w:rPr>
                <w:rFonts w:ascii="Times New Roman" w:hAnsi="Times New Roman"/>
                <w:szCs w:val="20"/>
                <w:lang w:eastAsia="en-GB"/>
              </w:rPr>
              <w:t>.5 billion received from counterparty A with six months residual maturity left.</w:t>
            </w:r>
          </w:p>
          <w:p w:rsidR="003D0976" w:rsidRPr="007F5684" w:rsidRDefault="003D0976" w:rsidP="00E82B0B">
            <w:pPr>
              <w:spacing w:before="0" w:after="0"/>
              <w:jc w:val="left"/>
              <w:rPr>
                <w:rFonts w:ascii="Times New Roman" w:hAnsi="Times New Roman"/>
                <w:szCs w:val="20"/>
                <w:lang w:eastAsia="en-GB"/>
              </w:rPr>
            </w:pPr>
          </w:p>
          <w:p w:rsidR="003D0976" w:rsidRPr="007F5684" w:rsidRDefault="003D0976" w:rsidP="00E82B0B">
            <w:pPr>
              <w:spacing w:before="0" w:after="0"/>
              <w:jc w:val="left"/>
              <w:rPr>
                <w:rFonts w:ascii="Times New Roman" w:hAnsi="Times New Roman"/>
                <w:szCs w:val="20"/>
                <w:lang w:eastAsia="en-GB"/>
              </w:rPr>
            </w:pPr>
            <w:r w:rsidRPr="007F5684">
              <w:rPr>
                <w:rFonts w:ascii="Times New Roman" w:hAnsi="Times New Roman"/>
                <w:szCs w:val="20"/>
                <w:lang w:eastAsia="en-GB"/>
              </w:rPr>
              <w:t>Weighted average residual maturity = (€1 billion/€1.5 billion) * 2 months + (€</w:t>
            </w:r>
            <w:r w:rsidR="00856DF7" w:rsidRPr="007F5684">
              <w:rPr>
                <w:rFonts w:ascii="Times New Roman" w:hAnsi="Times New Roman"/>
                <w:szCs w:val="20"/>
                <w:lang w:eastAsia="en-GB"/>
              </w:rPr>
              <w:t>0</w:t>
            </w:r>
            <w:r w:rsidRPr="007F5684">
              <w:rPr>
                <w:rFonts w:ascii="Times New Roman" w:hAnsi="Times New Roman"/>
                <w:szCs w:val="20"/>
                <w:lang w:eastAsia="en-GB"/>
              </w:rPr>
              <w:t xml:space="preserve">.5 </w:t>
            </w:r>
            <w:r w:rsidRPr="007F5684">
              <w:rPr>
                <w:rFonts w:ascii="Times New Roman" w:hAnsi="Times New Roman"/>
                <w:szCs w:val="20"/>
                <w:lang w:eastAsia="en-GB"/>
              </w:rPr>
              <w:lastRenderedPageBreak/>
              <w:t>billion/€1.5 billion) * 6 months</w:t>
            </w:r>
          </w:p>
          <w:p w:rsidR="003D0976" w:rsidRPr="007F5684" w:rsidRDefault="003D0976" w:rsidP="00E82B0B">
            <w:pPr>
              <w:spacing w:before="0" w:after="0"/>
              <w:jc w:val="left"/>
              <w:rPr>
                <w:rFonts w:ascii="Times New Roman" w:hAnsi="Times New Roman"/>
                <w:szCs w:val="20"/>
                <w:lang w:eastAsia="en-GB"/>
              </w:rPr>
            </w:pPr>
          </w:p>
          <w:p w:rsidR="003D0976" w:rsidRPr="007F5684" w:rsidRDefault="003D0976" w:rsidP="00E82B0B">
            <w:pPr>
              <w:spacing w:before="0" w:after="0"/>
              <w:jc w:val="left"/>
              <w:rPr>
                <w:rFonts w:ascii="Times New Roman" w:hAnsi="Times New Roman"/>
                <w:szCs w:val="20"/>
                <w:lang w:eastAsia="en-GB"/>
              </w:rPr>
            </w:pPr>
            <w:r w:rsidRPr="007F5684">
              <w:rPr>
                <w:rFonts w:ascii="Times New Roman" w:hAnsi="Times New Roman"/>
                <w:szCs w:val="20"/>
                <w:lang w:eastAsia="en-GB"/>
              </w:rPr>
              <w:t>Weighted average residual maturity = 2.33 months</w:t>
            </w:r>
          </w:p>
          <w:p w:rsidR="003D0976" w:rsidRPr="007F5684" w:rsidRDefault="003D0976" w:rsidP="00E82B0B">
            <w:pPr>
              <w:spacing w:before="0" w:after="0"/>
              <w:jc w:val="left"/>
              <w:rPr>
                <w:rFonts w:ascii="Times New Roman" w:hAnsi="Times New Roman"/>
                <w:b/>
                <w:szCs w:val="20"/>
                <w:u w:val="single"/>
                <w:lang w:eastAsia="en-GB"/>
              </w:rPr>
            </w:pPr>
          </w:p>
        </w:tc>
      </w:tr>
    </w:tbl>
    <w:p w:rsidR="00174208" w:rsidRPr="007F5684" w:rsidRDefault="00174208" w:rsidP="00174208">
      <w:pPr>
        <w:pStyle w:val="Instructionsberschrift2"/>
        <w:numPr>
          <w:ilvl w:val="0"/>
          <w:numId w:val="0"/>
        </w:numPr>
        <w:spacing w:before="0" w:after="0"/>
        <w:ind w:left="360"/>
        <w:rPr>
          <w:rFonts w:ascii="Times New Roman" w:hAnsi="Times New Roman" w:cs="Times New Roman"/>
          <w:szCs w:val="20"/>
          <w:u w:val="none"/>
        </w:rPr>
      </w:pPr>
    </w:p>
    <w:p w:rsidR="00E122AF" w:rsidRPr="007F5684" w:rsidRDefault="00E122AF" w:rsidP="00E122AF">
      <w:pPr>
        <w:pStyle w:val="Instructionsberschrift2"/>
        <w:numPr>
          <w:ilvl w:val="1"/>
          <w:numId w:val="2"/>
        </w:numPr>
        <w:spacing w:before="0"/>
        <w:rPr>
          <w:rFonts w:ascii="Times New Roman" w:hAnsi="Times New Roman" w:cs="Times New Roman"/>
          <w:szCs w:val="20"/>
        </w:rPr>
      </w:pPr>
      <w:r w:rsidRPr="007F5684">
        <w:rPr>
          <w:rFonts w:ascii="Times New Roman" w:hAnsi="Times New Roman" w:cs="Times New Roman"/>
          <w:szCs w:val="20"/>
        </w:rPr>
        <w:t>Concentration of funding by product type</w:t>
      </w:r>
    </w:p>
    <w:p w:rsidR="00E122AF" w:rsidRPr="007F5684" w:rsidRDefault="00E122AF" w:rsidP="00E122AF">
      <w:pPr>
        <w:pStyle w:val="InstructionsText2"/>
        <w:numPr>
          <w:ilvl w:val="0"/>
          <w:numId w:val="18"/>
        </w:numPr>
        <w:rPr>
          <w:szCs w:val="20"/>
          <w:u w:val="none"/>
        </w:rPr>
      </w:pPr>
      <w:r w:rsidRPr="007F5684">
        <w:rPr>
          <w:szCs w:val="20"/>
          <w:u w:val="none"/>
        </w:rPr>
        <w:t>This template seeks to collect information about the reporting institutions’ concentration of funding by product type, broken down into the following funding types:</w:t>
      </w:r>
    </w:p>
    <w:p w:rsidR="00E122AF" w:rsidRPr="007F5684" w:rsidRDefault="00E122AF" w:rsidP="00E122AF">
      <w:pPr>
        <w:pStyle w:val="InstructionsText2"/>
        <w:numPr>
          <w:ilvl w:val="1"/>
          <w:numId w:val="18"/>
        </w:numPr>
        <w:rPr>
          <w:szCs w:val="20"/>
          <w:u w:val="none"/>
        </w:rPr>
      </w:pPr>
      <w:r w:rsidRPr="007F5684">
        <w:rPr>
          <w:szCs w:val="20"/>
          <w:u w:val="none"/>
        </w:rPr>
        <w:t>Retail funding;</w:t>
      </w:r>
    </w:p>
    <w:p w:rsidR="00E122AF" w:rsidRPr="007F5684" w:rsidRDefault="0094416B" w:rsidP="00E122AF">
      <w:pPr>
        <w:pStyle w:val="InstructionsText2"/>
        <w:numPr>
          <w:ilvl w:val="0"/>
          <w:numId w:val="0"/>
        </w:numPr>
        <w:ind w:left="357" w:firstLine="357"/>
        <w:rPr>
          <w:szCs w:val="20"/>
          <w:u w:val="none"/>
        </w:rPr>
      </w:pPr>
      <w:r w:rsidRPr="007F5684">
        <w:rPr>
          <w:szCs w:val="20"/>
          <w:u w:val="none"/>
        </w:rPr>
        <w:t xml:space="preserve">(a) </w:t>
      </w:r>
      <w:r w:rsidR="00E122AF" w:rsidRPr="007F5684">
        <w:rPr>
          <w:szCs w:val="20"/>
          <w:u w:val="none"/>
        </w:rPr>
        <w:t>Sight deposits;</w:t>
      </w:r>
    </w:p>
    <w:p w:rsidR="00E122AF" w:rsidRPr="007F5684" w:rsidRDefault="0094416B" w:rsidP="00E122AF">
      <w:pPr>
        <w:pStyle w:val="InstructionsText2"/>
        <w:numPr>
          <w:ilvl w:val="0"/>
          <w:numId w:val="0"/>
        </w:numPr>
        <w:ind w:left="357" w:firstLine="363"/>
        <w:rPr>
          <w:szCs w:val="20"/>
          <w:u w:val="none"/>
        </w:rPr>
      </w:pPr>
      <w:r w:rsidRPr="007F5684">
        <w:rPr>
          <w:szCs w:val="20"/>
          <w:u w:val="none"/>
        </w:rPr>
        <w:t>(b)</w:t>
      </w:r>
      <w:r w:rsidR="00E122AF" w:rsidRPr="007F5684">
        <w:rPr>
          <w:szCs w:val="20"/>
          <w:u w:val="none"/>
        </w:rPr>
        <w:t xml:space="preserve"> </w:t>
      </w:r>
      <w:r w:rsidR="00E122AF" w:rsidRPr="007F5684">
        <w:rPr>
          <w:szCs w:val="20"/>
          <w:u w:val="none"/>
        </w:rPr>
        <w:tab/>
        <w:t>Fixed term deposits greater than 30 days;</w:t>
      </w:r>
    </w:p>
    <w:p w:rsidR="00E122AF" w:rsidRPr="007F5684" w:rsidRDefault="0094416B" w:rsidP="00E122AF">
      <w:pPr>
        <w:pStyle w:val="InstructionsText2"/>
        <w:numPr>
          <w:ilvl w:val="0"/>
          <w:numId w:val="0"/>
        </w:numPr>
        <w:ind w:left="1077" w:firstLine="363"/>
        <w:rPr>
          <w:szCs w:val="20"/>
          <w:u w:val="none"/>
        </w:rPr>
      </w:pPr>
      <w:r w:rsidRPr="007F5684">
        <w:rPr>
          <w:szCs w:val="20"/>
          <w:u w:val="none"/>
        </w:rPr>
        <w:t>(</w:t>
      </w:r>
      <w:proofErr w:type="spellStart"/>
      <w:r w:rsidRPr="007F5684">
        <w:rPr>
          <w:szCs w:val="20"/>
          <w:u w:val="none"/>
        </w:rPr>
        <w:t>i</w:t>
      </w:r>
      <w:proofErr w:type="spellEnd"/>
      <w:r w:rsidRPr="007F5684">
        <w:rPr>
          <w:szCs w:val="20"/>
          <w:u w:val="none"/>
        </w:rPr>
        <w:t>)</w:t>
      </w:r>
      <w:r w:rsidR="00E122AF" w:rsidRPr="007F5684">
        <w:rPr>
          <w:szCs w:val="20"/>
          <w:u w:val="none"/>
        </w:rPr>
        <w:t xml:space="preserve"> </w:t>
      </w:r>
      <w:r w:rsidR="00E122AF" w:rsidRPr="007F5684">
        <w:rPr>
          <w:szCs w:val="20"/>
          <w:u w:val="none"/>
        </w:rPr>
        <w:tab/>
        <w:t>With a penalty for early withdrawal significantly greater than the loss of interest;</w:t>
      </w:r>
    </w:p>
    <w:p w:rsidR="00E122AF" w:rsidRPr="007F5684" w:rsidRDefault="0094416B" w:rsidP="00E122AF">
      <w:pPr>
        <w:pStyle w:val="InstructionsText2"/>
        <w:numPr>
          <w:ilvl w:val="0"/>
          <w:numId w:val="0"/>
        </w:numPr>
        <w:ind w:left="720" w:firstLine="363"/>
        <w:rPr>
          <w:szCs w:val="20"/>
          <w:u w:val="none"/>
        </w:rPr>
      </w:pPr>
      <w:r w:rsidRPr="007F5684">
        <w:rPr>
          <w:szCs w:val="20"/>
          <w:u w:val="none"/>
        </w:rPr>
        <w:t>(ii)</w:t>
      </w:r>
      <w:r w:rsidR="00E122AF" w:rsidRPr="007F5684">
        <w:rPr>
          <w:szCs w:val="20"/>
          <w:u w:val="none"/>
        </w:rPr>
        <w:t xml:space="preserve"> </w:t>
      </w:r>
      <w:r w:rsidR="00E122AF" w:rsidRPr="007F5684">
        <w:rPr>
          <w:szCs w:val="20"/>
          <w:u w:val="none"/>
        </w:rPr>
        <w:tab/>
        <w:t>Without a penalty for early withdrawal which is significantly greater than the loss of interest;</w:t>
      </w:r>
    </w:p>
    <w:p w:rsidR="00E122AF" w:rsidRPr="007F5684" w:rsidRDefault="0094416B" w:rsidP="00E122AF">
      <w:pPr>
        <w:pStyle w:val="InstructionsText2"/>
        <w:numPr>
          <w:ilvl w:val="0"/>
          <w:numId w:val="0"/>
        </w:numPr>
        <w:ind w:left="357" w:firstLine="363"/>
        <w:rPr>
          <w:szCs w:val="20"/>
          <w:u w:val="none"/>
        </w:rPr>
      </w:pPr>
      <w:r w:rsidRPr="007F5684">
        <w:rPr>
          <w:szCs w:val="20"/>
          <w:u w:val="none"/>
        </w:rPr>
        <w:t>(c)</w:t>
      </w:r>
      <w:r w:rsidR="00E122AF" w:rsidRPr="007F5684">
        <w:rPr>
          <w:szCs w:val="20"/>
          <w:u w:val="none"/>
        </w:rPr>
        <w:t xml:space="preserve"> </w:t>
      </w:r>
      <w:r w:rsidR="00E122AF" w:rsidRPr="007F5684">
        <w:rPr>
          <w:szCs w:val="20"/>
          <w:u w:val="none"/>
        </w:rPr>
        <w:tab/>
        <w:t>Savings accounts;</w:t>
      </w:r>
    </w:p>
    <w:p w:rsidR="00E122AF" w:rsidRPr="007F5684" w:rsidRDefault="0094416B" w:rsidP="00E122AF">
      <w:pPr>
        <w:pStyle w:val="InstructionsText2"/>
        <w:numPr>
          <w:ilvl w:val="0"/>
          <w:numId w:val="0"/>
        </w:numPr>
        <w:ind w:left="1077" w:firstLine="363"/>
        <w:rPr>
          <w:szCs w:val="20"/>
          <w:u w:val="none"/>
        </w:rPr>
      </w:pPr>
      <w:r w:rsidRPr="007F5684">
        <w:rPr>
          <w:szCs w:val="20"/>
          <w:u w:val="none"/>
        </w:rPr>
        <w:t>(</w:t>
      </w:r>
      <w:proofErr w:type="spellStart"/>
      <w:r w:rsidRPr="007F5684">
        <w:rPr>
          <w:szCs w:val="20"/>
          <w:u w:val="none"/>
        </w:rPr>
        <w:t>i</w:t>
      </w:r>
      <w:proofErr w:type="spellEnd"/>
      <w:r w:rsidRPr="007F5684">
        <w:rPr>
          <w:szCs w:val="20"/>
          <w:u w:val="none"/>
        </w:rPr>
        <w:t>)</w:t>
      </w:r>
      <w:r w:rsidR="00E122AF" w:rsidRPr="007F5684">
        <w:rPr>
          <w:szCs w:val="20"/>
          <w:u w:val="none"/>
        </w:rPr>
        <w:t xml:space="preserve"> </w:t>
      </w:r>
      <w:r w:rsidR="00E122AF" w:rsidRPr="007F5684">
        <w:rPr>
          <w:szCs w:val="20"/>
          <w:u w:val="none"/>
        </w:rPr>
        <w:tab/>
        <w:t>With a notice period for withdrawal greater than 30 days;</w:t>
      </w:r>
    </w:p>
    <w:p w:rsidR="00E122AF" w:rsidRPr="007F5684" w:rsidRDefault="0094416B" w:rsidP="00E122AF">
      <w:pPr>
        <w:pStyle w:val="InstructionsText2"/>
        <w:numPr>
          <w:ilvl w:val="0"/>
          <w:numId w:val="0"/>
        </w:numPr>
        <w:ind w:left="1077" w:firstLine="363"/>
        <w:rPr>
          <w:szCs w:val="20"/>
          <w:u w:val="none"/>
        </w:rPr>
      </w:pPr>
      <w:r w:rsidRPr="007F5684">
        <w:rPr>
          <w:szCs w:val="20"/>
          <w:u w:val="none"/>
        </w:rPr>
        <w:t>(ii)</w:t>
      </w:r>
      <w:r w:rsidR="00E122AF" w:rsidRPr="007F5684">
        <w:rPr>
          <w:szCs w:val="20"/>
          <w:u w:val="none"/>
        </w:rPr>
        <w:t xml:space="preserve"> </w:t>
      </w:r>
      <w:r w:rsidR="00E122AF" w:rsidRPr="007F5684">
        <w:rPr>
          <w:szCs w:val="20"/>
          <w:u w:val="none"/>
        </w:rPr>
        <w:tab/>
        <w:t>Without a notice period for withdrawal which is greater than 30 days;</w:t>
      </w:r>
    </w:p>
    <w:p w:rsidR="00E122AF" w:rsidRPr="007F5684" w:rsidRDefault="00E122AF" w:rsidP="00E122AF">
      <w:pPr>
        <w:pStyle w:val="InstructionsText2"/>
        <w:numPr>
          <w:ilvl w:val="0"/>
          <w:numId w:val="0"/>
        </w:numPr>
        <w:ind w:left="357"/>
        <w:rPr>
          <w:szCs w:val="20"/>
          <w:u w:val="none"/>
        </w:rPr>
      </w:pPr>
      <w:r w:rsidRPr="007F5684">
        <w:rPr>
          <w:szCs w:val="20"/>
          <w:u w:val="none"/>
        </w:rPr>
        <w:t>2. Wholesale funding;</w:t>
      </w:r>
    </w:p>
    <w:p w:rsidR="00E122AF" w:rsidRPr="007F5684" w:rsidRDefault="00E122AF" w:rsidP="0094416B">
      <w:pPr>
        <w:pStyle w:val="InstructionsText2"/>
        <w:numPr>
          <w:ilvl w:val="1"/>
          <w:numId w:val="17"/>
        </w:numPr>
        <w:ind w:firstLine="3"/>
        <w:rPr>
          <w:szCs w:val="20"/>
          <w:u w:val="none"/>
        </w:rPr>
      </w:pPr>
      <w:r w:rsidRPr="007F5684">
        <w:rPr>
          <w:szCs w:val="20"/>
          <w:u w:val="none"/>
        </w:rPr>
        <w:t>Unsecured wholesale funding;</w:t>
      </w:r>
    </w:p>
    <w:p w:rsidR="00E122AF" w:rsidRPr="007F5684" w:rsidRDefault="00E122AF" w:rsidP="0094416B">
      <w:pPr>
        <w:pStyle w:val="InstructionsText2"/>
        <w:numPr>
          <w:ilvl w:val="2"/>
          <w:numId w:val="17"/>
        </w:numPr>
        <w:ind w:firstLine="6"/>
        <w:rPr>
          <w:szCs w:val="20"/>
          <w:u w:val="none"/>
        </w:rPr>
      </w:pPr>
      <w:r w:rsidRPr="007F5684">
        <w:rPr>
          <w:szCs w:val="20"/>
          <w:u w:val="none"/>
        </w:rPr>
        <w:t>of which financial customers</w:t>
      </w:r>
    </w:p>
    <w:p w:rsidR="00E122AF" w:rsidRPr="007F5684" w:rsidRDefault="00E122AF" w:rsidP="00E122AF">
      <w:pPr>
        <w:pStyle w:val="InstructionsText2"/>
        <w:numPr>
          <w:ilvl w:val="2"/>
          <w:numId w:val="17"/>
        </w:numPr>
        <w:ind w:firstLine="6"/>
        <w:rPr>
          <w:szCs w:val="20"/>
          <w:u w:val="none"/>
        </w:rPr>
      </w:pPr>
      <w:r w:rsidRPr="007F5684">
        <w:rPr>
          <w:szCs w:val="20"/>
          <w:u w:val="none"/>
        </w:rPr>
        <w:t>of which non-financial customers</w:t>
      </w:r>
    </w:p>
    <w:p w:rsidR="00E122AF" w:rsidRPr="007F5684" w:rsidRDefault="00E122AF" w:rsidP="00E122AF">
      <w:pPr>
        <w:pStyle w:val="InstructionsText2"/>
        <w:numPr>
          <w:ilvl w:val="1"/>
          <w:numId w:val="17"/>
        </w:numPr>
        <w:ind w:firstLine="3"/>
        <w:rPr>
          <w:szCs w:val="20"/>
          <w:u w:val="none"/>
        </w:rPr>
      </w:pPr>
      <w:r w:rsidRPr="007F5684">
        <w:rPr>
          <w:szCs w:val="20"/>
          <w:u w:val="none"/>
        </w:rPr>
        <w:t>Secured wholesale funding;</w:t>
      </w:r>
    </w:p>
    <w:p w:rsidR="00E122AF" w:rsidRPr="007F5684" w:rsidRDefault="00E122AF" w:rsidP="00E122AF">
      <w:pPr>
        <w:pStyle w:val="InstructionsText2"/>
        <w:numPr>
          <w:ilvl w:val="2"/>
          <w:numId w:val="17"/>
        </w:numPr>
        <w:ind w:firstLine="6"/>
        <w:rPr>
          <w:szCs w:val="20"/>
          <w:u w:val="none"/>
        </w:rPr>
      </w:pPr>
      <w:r w:rsidRPr="007F5684">
        <w:rPr>
          <w:szCs w:val="20"/>
          <w:u w:val="none"/>
        </w:rPr>
        <w:t>of which repurchase agreements</w:t>
      </w:r>
    </w:p>
    <w:p w:rsidR="00E122AF" w:rsidRPr="007F5684" w:rsidRDefault="00E122AF" w:rsidP="00E122AF">
      <w:pPr>
        <w:pStyle w:val="InstructionsText2"/>
        <w:numPr>
          <w:ilvl w:val="2"/>
          <w:numId w:val="17"/>
        </w:numPr>
        <w:ind w:firstLine="6"/>
        <w:rPr>
          <w:szCs w:val="20"/>
          <w:u w:val="none"/>
        </w:rPr>
      </w:pPr>
      <w:r w:rsidRPr="007F5684">
        <w:rPr>
          <w:szCs w:val="20"/>
          <w:u w:val="none"/>
        </w:rPr>
        <w:t>of which covered bond issuance</w:t>
      </w:r>
    </w:p>
    <w:p w:rsidR="00E122AF" w:rsidRPr="007F5684" w:rsidRDefault="00E122AF" w:rsidP="00E122AF">
      <w:pPr>
        <w:pStyle w:val="InstructionsText2"/>
        <w:numPr>
          <w:ilvl w:val="2"/>
          <w:numId w:val="17"/>
        </w:numPr>
        <w:ind w:firstLine="6"/>
        <w:rPr>
          <w:szCs w:val="20"/>
          <w:u w:val="none"/>
        </w:rPr>
      </w:pPr>
      <w:r w:rsidRPr="007F5684">
        <w:rPr>
          <w:szCs w:val="20"/>
          <w:u w:val="none"/>
        </w:rPr>
        <w:t>of which asset backed security issuance</w:t>
      </w:r>
    </w:p>
    <w:p w:rsidR="00E122AF" w:rsidRPr="007F5684" w:rsidRDefault="00E122AF" w:rsidP="00E122AF">
      <w:pPr>
        <w:pStyle w:val="InstructionsText2"/>
        <w:numPr>
          <w:ilvl w:val="1"/>
          <w:numId w:val="17"/>
        </w:numPr>
        <w:ind w:firstLine="3"/>
        <w:rPr>
          <w:szCs w:val="20"/>
          <w:u w:val="none"/>
        </w:rPr>
      </w:pPr>
      <w:r w:rsidRPr="007F5684">
        <w:rPr>
          <w:szCs w:val="20"/>
          <w:u w:val="none"/>
        </w:rPr>
        <w:t xml:space="preserve">Funding obtained from </w:t>
      </w:r>
      <w:proofErr w:type="spellStart"/>
      <w:r w:rsidRPr="007F5684">
        <w:rPr>
          <w:szCs w:val="20"/>
          <w:u w:val="none"/>
        </w:rPr>
        <w:t>intragroup</w:t>
      </w:r>
      <w:proofErr w:type="spellEnd"/>
      <w:r w:rsidRPr="007F5684">
        <w:rPr>
          <w:szCs w:val="20"/>
          <w:u w:val="none"/>
        </w:rPr>
        <w:t xml:space="preserve"> counterparties;</w:t>
      </w:r>
    </w:p>
    <w:p w:rsidR="00E122AF" w:rsidRPr="007F5684" w:rsidRDefault="00E122AF" w:rsidP="00775F73">
      <w:pPr>
        <w:pStyle w:val="InstructionsText2"/>
        <w:numPr>
          <w:ilvl w:val="0"/>
          <w:numId w:val="18"/>
        </w:numPr>
        <w:rPr>
          <w:szCs w:val="20"/>
          <w:u w:val="none"/>
        </w:rPr>
      </w:pPr>
      <w:r w:rsidRPr="007F5684">
        <w:rPr>
          <w:szCs w:val="20"/>
          <w:u w:val="none"/>
        </w:rPr>
        <w:t>For the purpose of completing this template</w:t>
      </w:r>
      <w:r w:rsidR="00775F73" w:rsidRPr="007F5684">
        <w:rPr>
          <w:szCs w:val="20"/>
          <w:u w:val="none"/>
        </w:rPr>
        <w:t xml:space="preserve"> i</w:t>
      </w:r>
      <w:r w:rsidRPr="007F5684">
        <w:rPr>
          <w:szCs w:val="20"/>
          <w:u w:val="none"/>
        </w:rPr>
        <w:t xml:space="preserve">nstitutions </w:t>
      </w:r>
      <w:r w:rsidR="006A7234" w:rsidRPr="007F5684">
        <w:rPr>
          <w:szCs w:val="20"/>
          <w:u w:val="none"/>
        </w:rPr>
        <w:t>shall</w:t>
      </w:r>
      <w:r w:rsidRPr="007F5684">
        <w:rPr>
          <w:szCs w:val="20"/>
          <w:u w:val="none"/>
        </w:rPr>
        <w:t xml:space="preserve"> report the </w:t>
      </w:r>
      <w:r w:rsidR="00775F73" w:rsidRPr="007F5684">
        <w:rPr>
          <w:szCs w:val="20"/>
          <w:u w:val="none"/>
        </w:rPr>
        <w:t>total amount of funding received from each product category, which exceeds</w:t>
      </w:r>
      <w:r w:rsidRPr="007F5684">
        <w:rPr>
          <w:szCs w:val="20"/>
          <w:u w:val="none"/>
        </w:rPr>
        <w:t xml:space="preserve"> a threshold of 1% of total liabilities.</w:t>
      </w:r>
    </w:p>
    <w:p w:rsidR="00E122AF" w:rsidRPr="007F5684" w:rsidRDefault="00E122AF" w:rsidP="00E122AF">
      <w:pPr>
        <w:pStyle w:val="InstructionsText2"/>
        <w:numPr>
          <w:ilvl w:val="0"/>
          <w:numId w:val="18"/>
        </w:numPr>
        <w:rPr>
          <w:szCs w:val="20"/>
          <w:u w:val="none"/>
        </w:rPr>
      </w:pPr>
      <w:r w:rsidRPr="007F5684">
        <w:rPr>
          <w:szCs w:val="20"/>
          <w:u w:val="none"/>
        </w:rPr>
        <w:t xml:space="preserve">For each </w:t>
      </w:r>
      <w:r w:rsidR="00775F73" w:rsidRPr="007F5684">
        <w:rPr>
          <w:szCs w:val="20"/>
          <w:u w:val="none"/>
        </w:rPr>
        <w:t>product type</w:t>
      </w:r>
      <w:r w:rsidRPr="007F5684">
        <w:rPr>
          <w:szCs w:val="20"/>
          <w:u w:val="none"/>
        </w:rPr>
        <w:t xml:space="preserve">, institutions </w:t>
      </w:r>
      <w:r w:rsidR="006A7234" w:rsidRPr="007F5684">
        <w:rPr>
          <w:szCs w:val="20"/>
          <w:u w:val="none"/>
        </w:rPr>
        <w:t>shall</w:t>
      </w:r>
      <w:r w:rsidRPr="007F5684">
        <w:rPr>
          <w:szCs w:val="20"/>
          <w:u w:val="none"/>
        </w:rPr>
        <w:t xml:space="preserve"> record the following components:</w:t>
      </w:r>
    </w:p>
    <w:p w:rsidR="00E122AF" w:rsidRPr="007F5684" w:rsidRDefault="00775F73" w:rsidP="0094416B">
      <w:pPr>
        <w:pStyle w:val="InstructionsText2"/>
        <w:numPr>
          <w:ilvl w:val="1"/>
          <w:numId w:val="22"/>
        </w:numPr>
        <w:ind w:left="993" w:hanging="273"/>
        <w:rPr>
          <w:szCs w:val="20"/>
          <w:u w:val="none"/>
        </w:rPr>
      </w:pPr>
      <w:r w:rsidRPr="007F5684">
        <w:rPr>
          <w:szCs w:val="20"/>
          <w:u w:val="none"/>
        </w:rPr>
        <w:t>total amount received</w:t>
      </w:r>
      <w:r w:rsidR="00E122AF" w:rsidRPr="007F5684">
        <w:rPr>
          <w:szCs w:val="20"/>
          <w:u w:val="none"/>
        </w:rPr>
        <w:t>;</w:t>
      </w:r>
    </w:p>
    <w:p w:rsidR="00E122AF" w:rsidRPr="007F5684" w:rsidRDefault="00775F73" w:rsidP="00E122AF">
      <w:pPr>
        <w:pStyle w:val="InstructionsText2"/>
        <w:numPr>
          <w:ilvl w:val="1"/>
          <w:numId w:val="22"/>
        </w:numPr>
        <w:ind w:left="993" w:hanging="273"/>
        <w:rPr>
          <w:szCs w:val="20"/>
          <w:u w:val="none"/>
        </w:rPr>
      </w:pPr>
      <w:r w:rsidRPr="007F5684">
        <w:rPr>
          <w:szCs w:val="20"/>
          <w:u w:val="none"/>
        </w:rPr>
        <w:t>amount covered by a Deposit Guarantee Scheme according to Directive 94/19/EC or an equivalent deposit guarantee scheme in a third country</w:t>
      </w:r>
      <w:r w:rsidR="00E122AF" w:rsidRPr="007F5684">
        <w:rPr>
          <w:szCs w:val="20"/>
          <w:u w:val="none"/>
        </w:rPr>
        <w:t>;</w:t>
      </w:r>
    </w:p>
    <w:p w:rsidR="00E122AF" w:rsidRPr="007F5684" w:rsidRDefault="00775F73" w:rsidP="00E122AF">
      <w:pPr>
        <w:pStyle w:val="InstructionsText2"/>
        <w:numPr>
          <w:ilvl w:val="1"/>
          <w:numId w:val="22"/>
        </w:numPr>
        <w:ind w:left="993" w:hanging="273"/>
        <w:rPr>
          <w:szCs w:val="20"/>
          <w:u w:val="none"/>
        </w:rPr>
      </w:pPr>
      <w:r w:rsidRPr="007F5684">
        <w:rPr>
          <w:szCs w:val="20"/>
          <w:u w:val="none"/>
        </w:rPr>
        <w:t>amount not covered by a Deposit Guarantee Scheme according to Directive 94/19/EC or an equivalent deposit guarantee scheme in a third country;</w:t>
      </w:r>
    </w:p>
    <w:p w:rsidR="00E122AF" w:rsidRPr="007F5684" w:rsidRDefault="00E122AF" w:rsidP="00E122AF">
      <w:pPr>
        <w:pStyle w:val="InstructionsText2"/>
        <w:numPr>
          <w:ilvl w:val="1"/>
          <w:numId w:val="22"/>
        </w:numPr>
        <w:ind w:left="993" w:hanging="273"/>
        <w:rPr>
          <w:szCs w:val="20"/>
          <w:u w:val="none"/>
        </w:rPr>
      </w:pPr>
      <w:r w:rsidRPr="007F5684">
        <w:rPr>
          <w:szCs w:val="20"/>
          <w:u w:val="none"/>
        </w:rPr>
        <w:lastRenderedPageBreak/>
        <w:t>weighted average initial maturity; and</w:t>
      </w:r>
    </w:p>
    <w:p w:rsidR="00E122AF" w:rsidRPr="007F5684" w:rsidRDefault="00E122AF" w:rsidP="00E122AF">
      <w:pPr>
        <w:pStyle w:val="InstructionsText2"/>
        <w:numPr>
          <w:ilvl w:val="1"/>
          <w:numId w:val="22"/>
        </w:numPr>
        <w:ind w:left="993" w:hanging="273"/>
        <w:rPr>
          <w:szCs w:val="20"/>
          <w:u w:val="none"/>
        </w:rPr>
      </w:pPr>
      <w:proofErr w:type="gramStart"/>
      <w:r w:rsidRPr="007F5684">
        <w:rPr>
          <w:szCs w:val="20"/>
          <w:u w:val="none"/>
        </w:rPr>
        <w:t>weighted</w:t>
      </w:r>
      <w:proofErr w:type="gramEnd"/>
      <w:r w:rsidRPr="007F5684">
        <w:rPr>
          <w:szCs w:val="20"/>
          <w:u w:val="none"/>
        </w:rPr>
        <w:t xml:space="preserve"> average residual maturity.</w:t>
      </w:r>
    </w:p>
    <w:p w:rsidR="00E122AF" w:rsidRPr="007F5684" w:rsidRDefault="00E122AF" w:rsidP="00E122AF">
      <w:pPr>
        <w:pStyle w:val="InstructionsText2"/>
        <w:numPr>
          <w:ilvl w:val="0"/>
          <w:numId w:val="0"/>
        </w:numPr>
        <w:ind w:left="720"/>
        <w:rPr>
          <w:szCs w:val="20"/>
          <w:u w:val="none"/>
        </w:rPr>
      </w:pPr>
      <w:r w:rsidRPr="007F5684">
        <w:rPr>
          <w:szCs w:val="20"/>
          <w:u w:val="none"/>
        </w:rPr>
        <w:t>These components are explained in more detail in the table below.</w:t>
      </w:r>
    </w:p>
    <w:p w:rsidR="00E122AF" w:rsidRPr="007F5684" w:rsidRDefault="00E122AF" w:rsidP="00E122AF">
      <w:pPr>
        <w:pStyle w:val="InstructionsText2"/>
        <w:numPr>
          <w:ilvl w:val="0"/>
          <w:numId w:val="18"/>
        </w:numPr>
        <w:rPr>
          <w:szCs w:val="20"/>
          <w:u w:val="none"/>
        </w:rPr>
      </w:pPr>
      <w:r w:rsidRPr="007F5684">
        <w:rPr>
          <w:szCs w:val="20"/>
          <w:u w:val="none"/>
        </w:rPr>
        <w:t xml:space="preserve">For the purpose of determining those </w:t>
      </w:r>
      <w:r w:rsidR="00775F73" w:rsidRPr="007F5684">
        <w:rPr>
          <w:szCs w:val="20"/>
          <w:u w:val="none"/>
        </w:rPr>
        <w:t>product types</w:t>
      </w:r>
      <w:r w:rsidRPr="007F5684">
        <w:rPr>
          <w:szCs w:val="20"/>
          <w:u w:val="none"/>
        </w:rPr>
        <w:t xml:space="preserve"> from which funding obtained is greater than 1% of total liabilities threshold, the currency is irrelevant. However, the </w:t>
      </w:r>
      <w:r w:rsidR="00775F73" w:rsidRPr="007F5684">
        <w:rPr>
          <w:szCs w:val="20"/>
          <w:u w:val="none"/>
        </w:rPr>
        <w:t>total amount of funding received</w:t>
      </w:r>
      <w:r w:rsidRPr="007F5684">
        <w:rPr>
          <w:szCs w:val="20"/>
          <w:u w:val="none"/>
        </w:rPr>
        <w:t xml:space="preserve"> recorded in column </w:t>
      </w:r>
      <w:r w:rsidR="00775F73" w:rsidRPr="007F5684">
        <w:rPr>
          <w:szCs w:val="20"/>
          <w:u w:val="none"/>
        </w:rPr>
        <w:t xml:space="preserve">E </w:t>
      </w:r>
      <w:r w:rsidR="006A7234" w:rsidRPr="007F5684">
        <w:rPr>
          <w:szCs w:val="20"/>
          <w:u w:val="none"/>
        </w:rPr>
        <w:t>shall</w:t>
      </w:r>
      <w:r w:rsidR="00775F73" w:rsidRPr="007F5684">
        <w:rPr>
          <w:szCs w:val="20"/>
          <w:u w:val="none"/>
        </w:rPr>
        <w:t xml:space="preserve"> be reported in one combined currency</w:t>
      </w:r>
      <w:r w:rsidRPr="007F5684">
        <w:rPr>
          <w:szCs w:val="20"/>
          <w:u w:val="none"/>
        </w:rPr>
        <w:t xml:space="preserve">. </w:t>
      </w:r>
    </w:p>
    <w:p w:rsidR="00E122AF" w:rsidRPr="007F5684" w:rsidRDefault="00E122AF" w:rsidP="00E122AF">
      <w:pPr>
        <w:pStyle w:val="InstructionsText2"/>
        <w:numPr>
          <w:ilvl w:val="0"/>
          <w:numId w:val="18"/>
        </w:numPr>
        <w:rPr>
          <w:szCs w:val="20"/>
          <w:u w:val="none"/>
        </w:rPr>
      </w:pPr>
      <w:r w:rsidRPr="007F5684">
        <w:rPr>
          <w:szCs w:val="20"/>
          <w:u w:val="none"/>
        </w:rPr>
        <w:t>Instructions concerning specific rows: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279"/>
      </w:tblGrid>
      <w:tr w:rsidR="00775F73" w:rsidRPr="007F5684" w:rsidTr="00775F73">
        <w:trPr>
          <w:trHeight w:val="428"/>
        </w:trPr>
        <w:tc>
          <w:tcPr>
            <w:tcW w:w="729" w:type="pct"/>
            <w:tcBorders>
              <w:top w:val="single" w:sz="4" w:space="0" w:color="auto"/>
              <w:left w:val="single" w:sz="4" w:space="0" w:color="auto"/>
              <w:bottom w:val="single" w:sz="4" w:space="0" w:color="auto"/>
              <w:right w:val="single" w:sz="4" w:space="0" w:color="auto"/>
            </w:tcBorders>
            <w:shd w:val="clear" w:color="auto" w:fill="E6E6E6"/>
            <w:noWrap/>
          </w:tcPr>
          <w:p w:rsidR="00775F73" w:rsidRPr="007F5684" w:rsidRDefault="00775F73" w:rsidP="00ED2EE2">
            <w:pPr>
              <w:spacing w:before="0" w:after="0"/>
              <w:jc w:val="left"/>
              <w:rPr>
                <w:rStyle w:val="InstructionsTabelleText"/>
                <w:rFonts w:ascii="Times New Roman" w:hAnsi="Times New Roman"/>
                <w:szCs w:val="20"/>
              </w:rPr>
            </w:pPr>
            <w:r w:rsidRPr="007F5684">
              <w:rPr>
                <w:rStyle w:val="InstructionsTabelleText"/>
                <w:rFonts w:ascii="Times New Roman" w:hAnsi="Times New Roman"/>
                <w:szCs w:val="20"/>
                <w:lang w:eastAsia="en-GB"/>
              </w:rPr>
              <w:t>Column</w:t>
            </w:r>
          </w:p>
        </w:tc>
        <w:tc>
          <w:tcPr>
            <w:tcW w:w="4271" w:type="pct"/>
            <w:tcBorders>
              <w:top w:val="single" w:sz="4" w:space="0" w:color="auto"/>
              <w:left w:val="single" w:sz="4" w:space="0" w:color="auto"/>
              <w:bottom w:val="single" w:sz="4" w:space="0" w:color="auto"/>
              <w:right w:val="single" w:sz="4" w:space="0" w:color="auto"/>
            </w:tcBorders>
            <w:shd w:val="clear" w:color="auto" w:fill="E6E6E6"/>
          </w:tcPr>
          <w:p w:rsidR="00775F73" w:rsidRPr="007F5684" w:rsidRDefault="00775F73" w:rsidP="00ED2EE2">
            <w:pPr>
              <w:spacing w:before="0" w:after="0"/>
              <w:jc w:val="left"/>
              <w:rPr>
                <w:rStyle w:val="InstructionsTabelleText"/>
                <w:rFonts w:ascii="Times New Roman" w:hAnsi="Times New Roman"/>
                <w:szCs w:val="20"/>
              </w:rPr>
            </w:pPr>
            <w:r w:rsidRPr="007F5684">
              <w:rPr>
                <w:rStyle w:val="InstructionsTabelleText"/>
                <w:rFonts w:ascii="Times New Roman" w:hAnsi="Times New Roman"/>
                <w:szCs w:val="20"/>
                <w:lang w:eastAsia="en-GB"/>
              </w:rPr>
              <w:t>Legal references and instructions</w:t>
            </w:r>
          </w:p>
        </w:tc>
      </w:tr>
      <w:tr w:rsidR="00775F73" w:rsidRPr="007F5684" w:rsidTr="00775F73">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rsidR="00775F73" w:rsidRPr="007F5684" w:rsidRDefault="00775F73" w:rsidP="00ED2EE2">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E</w:t>
            </w:r>
          </w:p>
        </w:tc>
        <w:tc>
          <w:tcPr>
            <w:tcW w:w="4271" w:type="pct"/>
            <w:tcBorders>
              <w:top w:val="single" w:sz="4" w:space="0" w:color="auto"/>
              <w:left w:val="single" w:sz="4" w:space="0" w:color="auto"/>
              <w:bottom w:val="single" w:sz="4" w:space="0" w:color="auto"/>
              <w:right w:val="single" w:sz="4" w:space="0" w:color="auto"/>
            </w:tcBorders>
            <w:shd w:val="clear" w:color="auto" w:fill="auto"/>
          </w:tcPr>
          <w:p w:rsidR="00775F73" w:rsidRPr="007F5684" w:rsidRDefault="00775F73" w:rsidP="00ED2EE2">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Total amount received</w:t>
            </w:r>
          </w:p>
          <w:p w:rsidR="00775F73" w:rsidRPr="007F5684" w:rsidRDefault="00775F73" w:rsidP="00ED2EE2">
            <w:pPr>
              <w:spacing w:before="0" w:after="0"/>
              <w:jc w:val="left"/>
              <w:rPr>
                <w:rFonts w:ascii="Times New Roman" w:hAnsi="Times New Roman"/>
                <w:b/>
                <w:szCs w:val="20"/>
                <w:u w:val="single"/>
                <w:lang w:eastAsia="en-GB"/>
              </w:rPr>
            </w:pPr>
          </w:p>
          <w:p w:rsidR="00775F73" w:rsidRPr="007F5684" w:rsidRDefault="00775F73" w:rsidP="00A05C63">
            <w:pPr>
              <w:spacing w:before="0" w:after="0"/>
              <w:rPr>
                <w:rFonts w:ascii="Times New Roman" w:hAnsi="Times New Roman"/>
                <w:b/>
                <w:szCs w:val="20"/>
                <w:u w:val="single"/>
                <w:lang w:eastAsia="en-GB"/>
              </w:rPr>
            </w:pPr>
            <w:r w:rsidRPr="007F5684">
              <w:rPr>
                <w:rFonts w:ascii="Times New Roman" w:hAnsi="Times New Roman"/>
                <w:szCs w:val="20"/>
                <w:lang w:eastAsia="en-GB"/>
              </w:rPr>
              <w:t xml:space="preserve">Total amount of funding received for each of the product categories listed in column </w:t>
            </w:r>
            <w:r w:rsidR="00D479FD" w:rsidRPr="007F5684">
              <w:rPr>
                <w:rFonts w:ascii="Times New Roman" w:hAnsi="Times New Roman"/>
                <w:szCs w:val="20"/>
                <w:lang w:eastAsia="en-GB"/>
              </w:rPr>
              <w:t>D</w:t>
            </w:r>
            <w:r w:rsidRPr="007F5684">
              <w:rPr>
                <w:rFonts w:ascii="Times New Roman" w:hAnsi="Times New Roman"/>
                <w:szCs w:val="20"/>
                <w:lang w:eastAsia="en-GB"/>
              </w:rPr>
              <w:t xml:space="preserve">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reported in column </w:t>
            </w:r>
            <w:r w:rsidR="00A05C63" w:rsidRPr="007F5684">
              <w:rPr>
                <w:rFonts w:ascii="Times New Roman" w:hAnsi="Times New Roman"/>
                <w:szCs w:val="20"/>
                <w:lang w:eastAsia="en-GB"/>
              </w:rPr>
              <w:t>E</w:t>
            </w:r>
            <w:r w:rsidRPr="007F5684">
              <w:rPr>
                <w:rFonts w:ascii="Times New Roman" w:hAnsi="Times New Roman"/>
                <w:szCs w:val="20"/>
                <w:lang w:eastAsia="en-GB"/>
              </w:rPr>
              <w:t xml:space="preserve"> of the template in one combined reporting currency.</w:t>
            </w:r>
          </w:p>
          <w:p w:rsidR="00775F73" w:rsidRPr="007F5684" w:rsidRDefault="00775F73" w:rsidP="00775F73">
            <w:pPr>
              <w:spacing w:before="0" w:after="0"/>
              <w:jc w:val="left"/>
              <w:rPr>
                <w:rFonts w:ascii="Times New Roman" w:hAnsi="Times New Roman"/>
                <w:b/>
                <w:szCs w:val="20"/>
                <w:u w:val="single"/>
                <w:lang w:eastAsia="en-GB"/>
              </w:rPr>
            </w:pPr>
          </w:p>
        </w:tc>
      </w:tr>
      <w:tr w:rsidR="00775F73" w:rsidRPr="007F5684" w:rsidTr="00775F73">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rsidR="00775F73" w:rsidRPr="007F5684" w:rsidRDefault="00775F73" w:rsidP="00ED2EE2">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F</w:t>
            </w:r>
          </w:p>
        </w:tc>
        <w:tc>
          <w:tcPr>
            <w:tcW w:w="4271" w:type="pct"/>
            <w:tcBorders>
              <w:top w:val="single" w:sz="4" w:space="0" w:color="auto"/>
              <w:left w:val="single" w:sz="4" w:space="0" w:color="auto"/>
              <w:bottom w:val="single" w:sz="4" w:space="0" w:color="auto"/>
              <w:right w:val="single" w:sz="4" w:space="0" w:color="auto"/>
            </w:tcBorders>
            <w:shd w:val="clear" w:color="auto" w:fill="auto"/>
          </w:tcPr>
          <w:p w:rsidR="00775F73" w:rsidRPr="007F5684" w:rsidRDefault="00775F73" w:rsidP="00ED2EE2">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Amount covered by a Deposit Guarantee Scheme according to Directive 94/19/EC or an equivalent deposit guarantee scheme in a third country</w:t>
            </w:r>
          </w:p>
          <w:p w:rsidR="00775F73" w:rsidRPr="007F5684" w:rsidRDefault="00775F73" w:rsidP="00A05C63">
            <w:pPr>
              <w:spacing w:before="0" w:after="0"/>
              <w:rPr>
                <w:rFonts w:ascii="Times New Roman" w:hAnsi="Times New Roman"/>
                <w:b/>
                <w:szCs w:val="20"/>
                <w:u w:val="single"/>
                <w:lang w:eastAsia="en-GB"/>
              </w:rPr>
            </w:pPr>
          </w:p>
          <w:p w:rsidR="00775F73" w:rsidRPr="007F5684" w:rsidRDefault="00775F73" w:rsidP="00A05C63">
            <w:pPr>
              <w:spacing w:before="0" w:after="0"/>
              <w:rPr>
                <w:rFonts w:ascii="Times New Roman" w:hAnsi="Times New Roman"/>
                <w:szCs w:val="20"/>
                <w:lang w:eastAsia="en-GB"/>
              </w:rPr>
            </w:pPr>
            <w:r w:rsidRPr="007F5684">
              <w:rPr>
                <w:rFonts w:ascii="Times New Roman" w:hAnsi="Times New Roman"/>
                <w:szCs w:val="20"/>
                <w:lang w:eastAsia="en-GB"/>
              </w:rPr>
              <w:t xml:space="preserve">Of the total amount of funding received for each of the product categories listed in column </w:t>
            </w:r>
            <w:r w:rsidR="00D479FD" w:rsidRPr="007F5684">
              <w:rPr>
                <w:rFonts w:ascii="Times New Roman" w:hAnsi="Times New Roman"/>
                <w:szCs w:val="20"/>
                <w:lang w:eastAsia="en-GB"/>
              </w:rPr>
              <w:t>D</w:t>
            </w:r>
            <w:r w:rsidRPr="007F5684">
              <w:rPr>
                <w:rFonts w:ascii="Times New Roman" w:hAnsi="Times New Roman"/>
                <w:szCs w:val="20"/>
                <w:lang w:eastAsia="en-GB"/>
              </w:rPr>
              <w:t xml:space="preserve"> reported in column </w:t>
            </w:r>
            <w:r w:rsidR="00A05C63" w:rsidRPr="007F5684">
              <w:rPr>
                <w:rFonts w:ascii="Times New Roman" w:hAnsi="Times New Roman"/>
                <w:szCs w:val="20"/>
                <w:lang w:eastAsia="en-GB"/>
              </w:rPr>
              <w:t>E</w:t>
            </w:r>
            <w:r w:rsidRPr="007F5684">
              <w:rPr>
                <w:rFonts w:ascii="Times New Roman" w:hAnsi="Times New Roman"/>
                <w:szCs w:val="20"/>
                <w:lang w:eastAsia="en-GB"/>
              </w:rPr>
              <w:t xml:space="preserve">, the amount which is covered by a Deposit Guarantee Scheme according to Directive 94/19/EC or an equivalent deposit guarantee scheme in a third country. </w:t>
            </w:r>
          </w:p>
          <w:p w:rsidR="00775F73" w:rsidRPr="007F5684" w:rsidRDefault="00775F73" w:rsidP="00A05C63">
            <w:pPr>
              <w:spacing w:before="0" w:after="0"/>
              <w:rPr>
                <w:rFonts w:ascii="Times New Roman" w:hAnsi="Times New Roman"/>
                <w:szCs w:val="20"/>
                <w:lang w:eastAsia="en-GB"/>
              </w:rPr>
            </w:pPr>
          </w:p>
          <w:p w:rsidR="00775F73" w:rsidRPr="007F5684" w:rsidRDefault="00775F73" w:rsidP="00A05C63">
            <w:pPr>
              <w:spacing w:before="0" w:after="0"/>
              <w:rPr>
                <w:rFonts w:ascii="Times New Roman" w:hAnsi="Times New Roman"/>
                <w:szCs w:val="20"/>
                <w:lang w:eastAsia="en-GB"/>
              </w:rPr>
            </w:pPr>
            <w:r w:rsidRPr="007F5684">
              <w:rPr>
                <w:rFonts w:ascii="Times New Roman" w:hAnsi="Times New Roman"/>
                <w:szCs w:val="20"/>
                <w:lang w:eastAsia="en-GB"/>
              </w:rPr>
              <w:t>Note: the amounts reported in co</w:t>
            </w:r>
            <w:r w:rsidR="00D479FD" w:rsidRPr="007F5684">
              <w:rPr>
                <w:rFonts w:ascii="Times New Roman" w:hAnsi="Times New Roman"/>
                <w:szCs w:val="20"/>
                <w:lang w:eastAsia="en-GB"/>
              </w:rPr>
              <w:t xml:space="preserve">lumn F and column G, for each of the product categories listed in column D, </w:t>
            </w:r>
            <w:r w:rsidR="006A7234" w:rsidRPr="007F5684">
              <w:rPr>
                <w:rFonts w:ascii="Times New Roman" w:hAnsi="Times New Roman"/>
                <w:szCs w:val="20"/>
                <w:lang w:eastAsia="en-GB"/>
              </w:rPr>
              <w:t>shall</w:t>
            </w:r>
            <w:r w:rsidR="00D479FD" w:rsidRPr="007F5684">
              <w:rPr>
                <w:rFonts w:ascii="Times New Roman" w:hAnsi="Times New Roman"/>
                <w:szCs w:val="20"/>
                <w:lang w:eastAsia="en-GB"/>
              </w:rPr>
              <w:t xml:space="preserve"> </w:t>
            </w:r>
            <w:r w:rsidR="0094416B" w:rsidRPr="007F5684">
              <w:rPr>
                <w:rFonts w:ascii="Times New Roman" w:hAnsi="Times New Roman"/>
                <w:szCs w:val="20"/>
                <w:lang w:eastAsia="en-GB"/>
              </w:rPr>
              <w:t xml:space="preserve">be </w:t>
            </w:r>
            <w:r w:rsidR="00D479FD" w:rsidRPr="007F5684">
              <w:rPr>
                <w:rFonts w:ascii="Times New Roman" w:hAnsi="Times New Roman"/>
                <w:szCs w:val="20"/>
                <w:lang w:eastAsia="en-GB"/>
              </w:rPr>
              <w:t>equal to the total amount received reported in column E.</w:t>
            </w:r>
          </w:p>
          <w:p w:rsidR="00D479FD" w:rsidRPr="007F5684" w:rsidRDefault="00D479FD" w:rsidP="00ED2EE2">
            <w:pPr>
              <w:spacing w:before="0" w:after="0"/>
              <w:jc w:val="left"/>
              <w:rPr>
                <w:rFonts w:ascii="Times New Roman" w:hAnsi="Times New Roman"/>
                <w:b/>
                <w:szCs w:val="20"/>
                <w:u w:val="single"/>
                <w:lang w:eastAsia="en-GB"/>
              </w:rPr>
            </w:pPr>
          </w:p>
        </w:tc>
      </w:tr>
      <w:tr w:rsidR="00775F73" w:rsidRPr="007F5684" w:rsidTr="00775F73">
        <w:trPr>
          <w:trHeight w:val="1020"/>
        </w:trPr>
        <w:tc>
          <w:tcPr>
            <w:tcW w:w="729" w:type="pct"/>
            <w:tcBorders>
              <w:top w:val="single" w:sz="4" w:space="0" w:color="auto"/>
              <w:left w:val="single" w:sz="4" w:space="0" w:color="auto"/>
              <w:bottom w:val="single" w:sz="4" w:space="0" w:color="auto"/>
              <w:right w:val="single" w:sz="4" w:space="0" w:color="auto"/>
            </w:tcBorders>
            <w:shd w:val="clear" w:color="auto" w:fill="auto"/>
            <w:noWrap/>
          </w:tcPr>
          <w:p w:rsidR="00775F73" w:rsidRPr="007F5684" w:rsidRDefault="00775F73" w:rsidP="00ED2EE2">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G</w:t>
            </w:r>
          </w:p>
        </w:tc>
        <w:tc>
          <w:tcPr>
            <w:tcW w:w="4271" w:type="pct"/>
            <w:tcBorders>
              <w:top w:val="single" w:sz="4" w:space="0" w:color="auto"/>
              <w:left w:val="single" w:sz="4" w:space="0" w:color="auto"/>
              <w:bottom w:val="single" w:sz="4" w:space="0" w:color="auto"/>
              <w:right w:val="single" w:sz="4" w:space="0" w:color="auto"/>
            </w:tcBorders>
            <w:shd w:val="clear" w:color="auto" w:fill="auto"/>
          </w:tcPr>
          <w:p w:rsidR="00D479FD" w:rsidRPr="007F5684" w:rsidRDefault="00775F73" w:rsidP="00ED2EE2">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Amount not covered by a Deposit Guarantee Scheme according to Directive 94/19/EC or an equivalent deposit guarantee scheme in a third country</w:t>
            </w:r>
          </w:p>
          <w:p w:rsidR="00D479FD" w:rsidRPr="007F5684" w:rsidRDefault="00D479FD" w:rsidP="00ED2EE2">
            <w:pPr>
              <w:spacing w:before="0" w:after="0"/>
              <w:jc w:val="left"/>
              <w:rPr>
                <w:rFonts w:ascii="Times New Roman" w:hAnsi="Times New Roman"/>
                <w:b/>
                <w:szCs w:val="20"/>
                <w:u w:val="single"/>
                <w:lang w:eastAsia="en-GB"/>
              </w:rPr>
            </w:pPr>
          </w:p>
          <w:p w:rsidR="00D479FD" w:rsidRPr="007F5684" w:rsidRDefault="00D479FD" w:rsidP="00A05C63">
            <w:pPr>
              <w:spacing w:before="0" w:after="0"/>
              <w:rPr>
                <w:rFonts w:ascii="Times New Roman" w:hAnsi="Times New Roman"/>
                <w:szCs w:val="20"/>
                <w:lang w:eastAsia="en-GB"/>
              </w:rPr>
            </w:pPr>
            <w:r w:rsidRPr="007F5684">
              <w:rPr>
                <w:rFonts w:ascii="Times New Roman" w:hAnsi="Times New Roman"/>
                <w:szCs w:val="20"/>
                <w:lang w:eastAsia="en-GB"/>
              </w:rPr>
              <w:t xml:space="preserve">Of the total amount of funding received for each of the product categories listed in column D reported in column </w:t>
            </w:r>
            <w:r w:rsidR="00A05C63" w:rsidRPr="007F5684">
              <w:rPr>
                <w:rFonts w:ascii="Times New Roman" w:hAnsi="Times New Roman"/>
                <w:szCs w:val="20"/>
                <w:lang w:eastAsia="en-GB"/>
              </w:rPr>
              <w:t>E</w:t>
            </w:r>
            <w:r w:rsidRPr="007F5684">
              <w:rPr>
                <w:rFonts w:ascii="Times New Roman" w:hAnsi="Times New Roman"/>
                <w:szCs w:val="20"/>
                <w:lang w:eastAsia="en-GB"/>
              </w:rPr>
              <w:t xml:space="preserve">, the amount which is </w:t>
            </w:r>
            <w:r w:rsidRPr="007F5684">
              <w:rPr>
                <w:rFonts w:ascii="Times New Roman" w:hAnsi="Times New Roman"/>
                <w:szCs w:val="20"/>
                <w:u w:val="single"/>
                <w:lang w:eastAsia="en-GB"/>
              </w:rPr>
              <w:t>not</w:t>
            </w:r>
            <w:r w:rsidRPr="007F5684">
              <w:rPr>
                <w:rFonts w:ascii="Times New Roman" w:hAnsi="Times New Roman"/>
                <w:szCs w:val="20"/>
                <w:lang w:eastAsia="en-GB"/>
              </w:rPr>
              <w:t xml:space="preserve"> covered by a Deposit Guarantee Scheme according to Directive 94/19/EC or an equivalent deposit guarantee scheme in a third country. </w:t>
            </w:r>
          </w:p>
          <w:p w:rsidR="00D479FD" w:rsidRPr="007F5684" w:rsidRDefault="00D479FD" w:rsidP="00A05C63">
            <w:pPr>
              <w:spacing w:before="0" w:after="0"/>
              <w:rPr>
                <w:rFonts w:ascii="Times New Roman" w:hAnsi="Times New Roman"/>
                <w:szCs w:val="20"/>
                <w:lang w:eastAsia="en-GB"/>
              </w:rPr>
            </w:pPr>
          </w:p>
          <w:p w:rsidR="00D479FD" w:rsidRPr="007F5684" w:rsidRDefault="00D479FD" w:rsidP="00A05C63">
            <w:pPr>
              <w:spacing w:before="0" w:after="0"/>
              <w:rPr>
                <w:rFonts w:ascii="Times New Roman" w:hAnsi="Times New Roman"/>
                <w:szCs w:val="20"/>
                <w:lang w:eastAsia="en-GB"/>
              </w:rPr>
            </w:pPr>
            <w:r w:rsidRPr="007F5684">
              <w:rPr>
                <w:rFonts w:ascii="Times New Roman" w:hAnsi="Times New Roman"/>
                <w:szCs w:val="20"/>
                <w:lang w:eastAsia="en-GB"/>
              </w:rPr>
              <w:t xml:space="preserve">Note: the amounts reported in column F and column G, for each of the product categories listed in column D,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w:t>
            </w:r>
            <w:r w:rsidR="0094416B" w:rsidRPr="007F5684">
              <w:rPr>
                <w:rFonts w:ascii="Times New Roman" w:hAnsi="Times New Roman"/>
                <w:szCs w:val="20"/>
                <w:lang w:eastAsia="en-GB"/>
              </w:rPr>
              <w:t xml:space="preserve">be </w:t>
            </w:r>
            <w:r w:rsidRPr="007F5684">
              <w:rPr>
                <w:rFonts w:ascii="Times New Roman" w:hAnsi="Times New Roman"/>
                <w:szCs w:val="20"/>
                <w:lang w:eastAsia="en-GB"/>
              </w:rPr>
              <w:t>equal to the total amount received reported in column E.</w:t>
            </w:r>
          </w:p>
          <w:p w:rsidR="00D479FD" w:rsidRPr="007F5684" w:rsidRDefault="00D479FD" w:rsidP="00D479FD">
            <w:pPr>
              <w:spacing w:before="0" w:after="0"/>
              <w:jc w:val="left"/>
              <w:rPr>
                <w:rFonts w:ascii="Times New Roman" w:hAnsi="Times New Roman"/>
                <w:b/>
                <w:szCs w:val="20"/>
                <w:u w:val="single"/>
                <w:lang w:eastAsia="en-GB"/>
              </w:rPr>
            </w:pPr>
          </w:p>
        </w:tc>
      </w:tr>
      <w:tr w:rsidR="00775F73" w:rsidRPr="007F5684" w:rsidTr="00ED2EE2">
        <w:trPr>
          <w:trHeight w:val="1020"/>
        </w:trPr>
        <w:tc>
          <w:tcPr>
            <w:tcW w:w="729" w:type="pct"/>
            <w:shd w:val="clear" w:color="auto" w:fill="auto"/>
            <w:noWrap/>
          </w:tcPr>
          <w:p w:rsidR="00775F73" w:rsidRPr="007F5684" w:rsidRDefault="00775F73" w:rsidP="00ED2EE2">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H</w:t>
            </w:r>
          </w:p>
        </w:tc>
        <w:tc>
          <w:tcPr>
            <w:tcW w:w="4271" w:type="pct"/>
            <w:shd w:val="clear" w:color="auto" w:fill="auto"/>
          </w:tcPr>
          <w:p w:rsidR="00775F73" w:rsidRPr="007F5684" w:rsidRDefault="00775F73" w:rsidP="00ED2EE2">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Weighted average initial maturity</w:t>
            </w:r>
          </w:p>
          <w:p w:rsidR="00775F73" w:rsidRPr="007F5684" w:rsidRDefault="00775F73" w:rsidP="00ED2EE2">
            <w:pPr>
              <w:spacing w:before="0" w:after="0"/>
              <w:jc w:val="left"/>
              <w:rPr>
                <w:rFonts w:ascii="Times New Roman" w:hAnsi="Times New Roman"/>
                <w:b/>
                <w:szCs w:val="20"/>
                <w:u w:val="single"/>
                <w:lang w:eastAsia="en-GB"/>
              </w:rPr>
            </w:pPr>
          </w:p>
          <w:p w:rsidR="00775F73" w:rsidRPr="007F5684" w:rsidRDefault="00775F73" w:rsidP="00A05C63">
            <w:pPr>
              <w:spacing w:before="0" w:after="0"/>
              <w:rPr>
                <w:rFonts w:ascii="Times New Roman" w:hAnsi="Times New Roman"/>
                <w:szCs w:val="20"/>
                <w:lang w:eastAsia="en-GB"/>
              </w:rPr>
            </w:pPr>
            <w:r w:rsidRPr="007F5684">
              <w:rPr>
                <w:rFonts w:ascii="Times New Roman" w:hAnsi="Times New Roman"/>
                <w:szCs w:val="20"/>
                <w:lang w:eastAsia="en-GB"/>
              </w:rPr>
              <w:t xml:space="preserve">For the amount of funding received reported in column </w:t>
            </w:r>
            <w:r w:rsidR="00D479FD" w:rsidRPr="007F5684">
              <w:rPr>
                <w:rFonts w:ascii="Times New Roman" w:hAnsi="Times New Roman"/>
                <w:szCs w:val="20"/>
                <w:lang w:eastAsia="en-GB"/>
              </w:rPr>
              <w:t>E</w:t>
            </w:r>
            <w:r w:rsidRPr="007F5684">
              <w:rPr>
                <w:rFonts w:ascii="Times New Roman" w:hAnsi="Times New Roman"/>
                <w:szCs w:val="20"/>
                <w:lang w:eastAsia="en-GB"/>
              </w:rPr>
              <w:t xml:space="preserve">, from the </w:t>
            </w:r>
            <w:r w:rsidR="00D479FD" w:rsidRPr="007F5684">
              <w:rPr>
                <w:rFonts w:ascii="Times New Roman" w:hAnsi="Times New Roman"/>
                <w:szCs w:val="20"/>
                <w:lang w:eastAsia="en-GB"/>
              </w:rPr>
              <w:t>product categories listed in column D</w:t>
            </w:r>
            <w:r w:rsidRPr="007F5684">
              <w:rPr>
                <w:rFonts w:ascii="Times New Roman" w:hAnsi="Times New Roman"/>
                <w:szCs w:val="20"/>
                <w:lang w:eastAsia="en-GB"/>
              </w:rPr>
              <w:t xml:space="preserve">, a weighted average initial maturity for that funding </w:t>
            </w:r>
            <w:r w:rsidR="006A7234" w:rsidRPr="007F5684">
              <w:rPr>
                <w:rFonts w:ascii="Times New Roman" w:hAnsi="Times New Roman"/>
                <w:szCs w:val="20"/>
                <w:lang w:eastAsia="en-GB"/>
              </w:rPr>
              <w:t>shall</w:t>
            </w:r>
            <w:r w:rsidRPr="007F5684">
              <w:rPr>
                <w:rFonts w:ascii="Times New Roman" w:hAnsi="Times New Roman"/>
                <w:szCs w:val="20"/>
                <w:lang w:eastAsia="en-GB"/>
              </w:rPr>
              <w:t xml:space="preserve"> be recorded in column </w:t>
            </w:r>
            <w:r w:rsidR="00D479FD" w:rsidRPr="007F5684">
              <w:rPr>
                <w:rFonts w:ascii="Times New Roman" w:hAnsi="Times New Roman"/>
                <w:szCs w:val="20"/>
                <w:lang w:eastAsia="en-GB"/>
              </w:rPr>
              <w:t>H</w:t>
            </w:r>
            <w:r w:rsidRPr="007F5684">
              <w:rPr>
                <w:rFonts w:ascii="Times New Roman" w:hAnsi="Times New Roman"/>
                <w:szCs w:val="20"/>
                <w:lang w:eastAsia="en-GB"/>
              </w:rPr>
              <w:t>.</w:t>
            </w:r>
          </w:p>
          <w:p w:rsidR="00775F73" w:rsidRPr="007F5684" w:rsidRDefault="00775F73" w:rsidP="00A05C63">
            <w:pPr>
              <w:spacing w:before="0" w:after="0"/>
              <w:rPr>
                <w:rFonts w:ascii="Times New Roman" w:hAnsi="Times New Roman"/>
                <w:szCs w:val="20"/>
                <w:lang w:eastAsia="en-GB"/>
              </w:rPr>
            </w:pPr>
          </w:p>
          <w:p w:rsidR="00775F73" w:rsidRPr="007F5684" w:rsidRDefault="00775F73" w:rsidP="00A05C63">
            <w:pPr>
              <w:spacing w:before="0" w:after="0"/>
              <w:rPr>
                <w:rFonts w:ascii="Times New Roman" w:hAnsi="Times New Roman"/>
                <w:szCs w:val="20"/>
                <w:lang w:eastAsia="en-GB"/>
              </w:rPr>
            </w:pPr>
            <w:r w:rsidRPr="007F5684">
              <w:rPr>
                <w:rFonts w:ascii="Times New Roman" w:hAnsi="Times New Roman"/>
                <w:szCs w:val="20"/>
                <w:lang w:eastAsia="en-GB"/>
              </w:rPr>
              <w:t xml:space="preserve">Weighted average initial maturity is the average initial maturity of the funding received </w:t>
            </w:r>
            <w:proofErr w:type="gramStart"/>
            <w:r w:rsidRPr="007F5684">
              <w:rPr>
                <w:rFonts w:ascii="Times New Roman" w:hAnsi="Times New Roman"/>
                <w:szCs w:val="20"/>
                <w:lang w:eastAsia="en-GB"/>
              </w:rPr>
              <w:t xml:space="preserve">from </w:t>
            </w:r>
            <w:r w:rsidR="00A05C63" w:rsidRPr="007F5684">
              <w:rPr>
                <w:rFonts w:ascii="Times New Roman" w:hAnsi="Times New Roman"/>
                <w:szCs w:val="20"/>
                <w:lang w:eastAsia="en-GB"/>
              </w:rPr>
              <w:t>each and every counterparty</w:t>
            </w:r>
            <w:proofErr w:type="gramEnd"/>
            <w:r w:rsidR="00A05C63" w:rsidRPr="007F5684">
              <w:rPr>
                <w:rFonts w:ascii="Times New Roman" w:hAnsi="Times New Roman"/>
                <w:szCs w:val="20"/>
                <w:lang w:eastAsia="en-GB"/>
              </w:rPr>
              <w:t xml:space="preserve"> as a result of the issuance of a specified product, </w:t>
            </w:r>
            <w:r w:rsidRPr="007F5684">
              <w:rPr>
                <w:rFonts w:ascii="Times New Roman" w:hAnsi="Times New Roman"/>
                <w:szCs w:val="20"/>
                <w:lang w:eastAsia="en-GB"/>
              </w:rPr>
              <w:t>to total funding received</w:t>
            </w:r>
            <w:r w:rsidR="00A05C63" w:rsidRPr="007F5684">
              <w:rPr>
                <w:rFonts w:ascii="Times New Roman" w:hAnsi="Times New Roman"/>
                <w:szCs w:val="20"/>
                <w:lang w:eastAsia="en-GB"/>
              </w:rPr>
              <w:t xml:space="preserve"> from the issuance of that product</w:t>
            </w:r>
            <w:r w:rsidRPr="007F5684">
              <w:rPr>
                <w:rFonts w:ascii="Times New Roman" w:hAnsi="Times New Roman"/>
                <w:szCs w:val="20"/>
                <w:lang w:eastAsia="en-GB"/>
              </w:rPr>
              <w:t>.</w:t>
            </w:r>
          </w:p>
          <w:p w:rsidR="00775F73" w:rsidRPr="007F5684" w:rsidRDefault="00775F73" w:rsidP="00ED2EE2">
            <w:pPr>
              <w:spacing w:before="0" w:after="0"/>
              <w:jc w:val="left"/>
              <w:rPr>
                <w:rFonts w:ascii="Times New Roman" w:hAnsi="Times New Roman"/>
                <w:szCs w:val="20"/>
                <w:lang w:eastAsia="en-GB"/>
              </w:rPr>
            </w:pPr>
          </w:p>
          <w:p w:rsidR="00775F73" w:rsidRPr="007F5684" w:rsidRDefault="00775F73" w:rsidP="00ED2EE2">
            <w:pPr>
              <w:spacing w:before="0" w:after="0"/>
              <w:jc w:val="left"/>
              <w:rPr>
                <w:rFonts w:ascii="Times New Roman" w:hAnsi="Times New Roman"/>
                <w:szCs w:val="20"/>
                <w:lang w:eastAsia="en-GB"/>
              </w:rPr>
            </w:pPr>
            <w:r w:rsidRPr="007F5684">
              <w:rPr>
                <w:rFonts w:ascii="Times New Roman" w:hAnsi="Times New Roman"/>
                <w:szCs w:val="20"/>
                <w:lang w:eastAsia="en-GB"/>
              </w:rPr>
              <w:t>For example:</w:t>
            </w:r>
          </w:p>
          <w:p w:rsidR="00775F73" w:rsidRPr="007F5684" w:rsidRDefault="00775F73" w:rsidP="00ED2EE2">
            <w:pPr>
              <w:spacing w:before="0" w:after="0"/>
              <w:jc w:val="left"/>
              <w:rPr>
                <w:rFonts w:ascii="Times New Roman" w:hAnsi="Times New Roman"/>
                <w:szCs w:val="20"/>
                <w:lang w:eastAsia="en-GB"/>
              </w:rPr>
            </w:pPr>
          </w:p>
          <w:p w:rsidR="00775F73" w:rsidRPr="007F5684" w:rsidRDefault="00775F73" w:rsidP="0094416B">
            <w:pPr>
              <w:pStyle w:val="ListParagraph"/>
              <w:numPr>
                <w:ilvl w:val="1"/>
                <w:numId w:val="18"/>
              </w:numPr>
              <w:spacing w:before="0" w:after="0"/>
              <w:jc w:val="left"/>
              <w:rPr>
                <w:rFonts w:ascii="Times New Roman" w:hAnsi="Times New Roman"/>
                <w:szCs w:val="20"/>
                <w:lang w:eastAsia="en-GB"/>
              </w:rPr>
            </w:pPr>
            <w:r w:rsidRPr="007F5684">
              <w:rPr>
                <w:rFonts w:ascii="Times New Roman" w:hAnsi="Times New Roman"/>
                <w:szCs w:val="20"/>
                <w:lang w:eastAsia="en-GB"/>
              </w:rPr>
              <w:t xml:space="preserve">€1 billion received from </w:t>
            </w:r>
            <w:r w:rsidR="00A05C63" w:rsidRPr="007F5684">
              <w:rPr>
                <w:rFonts w:ascii="Times New Roman" w:hAnsi="Times New Roman"/>
                <w:szCs w:val="20"/>
                <w:lang w:eastAsia="en-GB"/>
              </w:rPr>
              <w:t>counterparty</w:t>
            </w:r>
            <w:r w:rsidRPr="007F5684">
              <w:rPr>
                <w:rFonts w:ascii="Times New Roman" w:hAnsi="Times New Roman"/>
                <w:szCs w:val="20"/>
                <w:lang w:eastAsia="en-GB"/>
              </w:rPr>
              <w:t xml:space="preserve"> A</w:t>
            </w:r>
            <w:r w:rsidR="00A05C63" w:rsidRPr="007F5684">
              <w:rPr>
                <w:rFonts w:ascii="Times New Roman" w:hAnsi="Times New Roman"/>
                <w:szCs w:val="20"/>
                <w:lang w:eastAsia="en-GB"/>
              </w:rPr>
              <w:t xml:space="preserve"> as a result of </w:t>
            </w:r>
            <w:r w:rsidR="00CC4622" w:rsidRPr="007F5684">
              <w:rPr>
                <w:rFonts w:ascii="Times New Roman" w:hAnsi="Times New Roman"/>
                <w:szCs w:val="20"/>
                <w:lang w:eastAsia="en-GB"/>
              </w:rPr>
              <w:t xml:space="preserve">issuing </w:t>
            </w:r>
            <w:r w:rsidR="00A05C63" w:rsidRPr="007F5684">
              <w:rPr>
                <w:rFonts w:ascii="Times New Roman" w:hAnsi="Times New Roman"/>
                <w:szCs w:val="20"/>
                <w:lang w:eastAsia="en-GB"/>
              </w:rPr>
              <w:t>product X</w:t>
            </w:r>
            <w:r w:rsidRPr="007F5684">
              <w:rPr>
                <w:rFonts w:ascii="Times New Roman" w:hAnsi="Times New Roman"/>
                <w:szCs w:val="20"/>
                <w:lang w:eastAsia="en-GB"/>
              </w:rPr>
              <w:t xml:space="preserve"> with an initial maturity of six months.</w:t>
            </w:r>
          </w:p>
          <w:p w:rsidR="00775F73" w:rsidRPr="007F5684" w:rsidRDefault="00775F73" w:rsidP="0094416B">
            <w:pPr>
              <w:numPr>
                <w:ilvl w:val="1"/>
                <w:numId w:val="18"/>
              </w:numPr>
              <w:spacing w:before="0" w:after="0"/>
              <w:jc w:val="left"/>
              <w:rPr>
                <w:rFonts w:ascii="Times New Roman" w:hAnsi="Times New Roman"/>
                <w:szCs w:val="20"/>
                <w:lang w:eastAsia="en-GB"/>
              </w:rPr>
            </w:pPr>
            <w:r w:rsidRPr="007F5684">
              <w:rPr>
                <w:rFonts w:ascii="Times New Roman" w:hAnsi="Times New Roman"/>
                <w:szCs w:val="20"/>
                <w:lang w:eastAsia="en-GB"/>
              </w:rPr>
              <w:t>€</w:t>
            </w:r>
            <w:r w:rsidR="00172727" w:rsidRPr="007F5684">
              <w:rPr>
                <w:rFonts w:ascii="Times New Roman" w:hAnsi="Times New Roman"/>
                <w:szCs w:val="20"/>
                <w:lang w:eastAsia="en-GB"/>
              </w:rPr>
              <w:t>0</w:t>
            </w:r>
            <w:r w:rsidRPr="007F5684">
              <w:rPr>
                <w:rFonts w:ascii="Times New Roman" w:hAnsi="Times New Roman"/>
                <w:szCs w:val="20"/>
                <w:lang w:eastAsia="en-GB"/>
              </w:rPr>
              <w:t xml:space="preserve">.5 billion received from </w:t>
            </w:r>
            <w:r w:rsidR="00A05C63" w:rsidRPr="007F5684">
              <w:rPr>
                <w:rFonts w:ascii="Times New Roman" w:hAnsi="Times New Roman"/>
                <w:szCs w:val="20"/>
                <w:lang w:eastAsia="en-GB"/>
              </w:rPr>
              <w:t xml:space="preserve">counterparty B </w:t>
            </w:r>
            <w:r w:rsidR="00CC4622" w:rsidRPr="007F5684">
              <w:rPr>
                <w:rFonts w:ascii="Times New Roman" w:hAnsi="Times New Roman"/>
                <w:szCs w:val="20"/>
                <w:lang w:eastAsia="en-GB"/>
              </w:rPr>
              <w:t>as a result of issuing product X</w:t>
            </w:r>
            <w:r w:rsidR="00A05C63" w:rsidRPr="007F5684">
              <w:rPr>
                <w:rFonts w:ascii="Times New Roman" w:hAnsi="Times New Roman"/>
                <w:szCs w:val="20"/>
                <w:lang w:eastAsia="en-GB"/>
              </w:rPr>
              <w:t xml:space="preserve"> </w:t>
            </w:r>
            <w:r w:rsidRPr="007F5684">
              <w:rPr>
                <w:rFonts w:ascii="Times New Roman" w:hAnsi="Times New Roman"/>
                <w:szCs w:val="20"/>
                <w:lang w:eastAsia="en-GB"/>
              </w:rPr>
              <w:t>with an initial maturity of one year.</w:t>
            </w:r>
          </w:p>
          <w:p w:rsidR="00775F73" w:rsidRPr="007F5684" w:rsidRDefault="00775F73" w:rsidP="00ED2EE2">
            <w:pPr>
              <w:spacing w:before="0" w:after="0"/>
              <w:jc w:val="left"/>
              <w:rPr>
                <w:rFonts w:ascii="Times New Roman" w:hAnsi="Times New Roman"/>
                <w:szCs w:val="20"/>
                <w:lang w:eastAsia="en-GB"/>
              </w:rPr>
            </w:pPr>
          </w:p>
          <w:p w:rsidR="00775F73" w:rsidRPr="007F5684" w:rsidRDefault="00775F73" w:rsidP="00ED2EE2">
            <w:pPr>
              <w:spacing w:before="0" w:after="0"/>
              <w:jc w:val="left"/>
              <w:rPr>
                <w:rFonts w:ascii="Times New Roman" w:hAnsi="Times New Roman"/>
                <w:szCs w:val="20"/>
                <w:lang w:eastAsia="en-GB"/>
              </w:rPr>
            </w:pPr>
            <w:r w:rsidRPr="007F5684">
              <w:rPr>
                <w:rFonts w:ascii="Times New Roman" w:hAnsi="Times New Roman"/>
                <w:szCs w:val="20"/>
                <w:lang w:eastAsia="en-GB"/>
              </w:rPr>
              <w:lastRenderedPageBreak/>
              <w:t>Weighted average initial maturity = (€1 billion/€1.5 billion) * 6 months + (€</w:t>
            </w:r>
            <w:r w:rsidR="00172727" w:rsidRPr="007F5684">
              <w:rPr>
                <w:rFonts w:ascii="Times New Roman" w:hAnsi="Times New Roman"/>
                <w:szCs w:val="20"/>
                <w:lang w:eastAsia="en-GB"/>
              </w:rPr>
              <w:t>0</w:t>
            </w:r>
            <w:r w:rsidRPr="007F5684">
              <w:rPr>
                <w:rFonts w:ascii="Times New Roman" w:hAnsi="Times New Roman"/>
                <w:szCs w:val="20"/>
                <w:lang w:eastAsia="en-GB"/>
              </w:rPr>
              <w:t>.5 billion/€1.5 billion) * 12 months</w:t>
            </w:r>
          </w:p>
          <w:p w:rsidR="00775F73" w:rsidRPr="007F5684" w:rsidRDefault="00775F73" w:rsidP="00ED2EE2">
            <w:pPr>
              <w:spacing w:before="0" w:after="0"/>
              <w:jc w:val="left"/>
              <w:rPr>
                <w:rFonts w:ascii="Times New Roman" w:hAnsi="Times New Roman"/>
                <w:szCs w:val="20"/>
                <w:lang w:eastAsia="en-GB"/>
              </w:rPr>
            </w:pPr>
          </w:p>
          <w:p w:rsidR="00775F73" w:rsidRPr="007F5684" w:rsidRDefault="00775F73" w:rsidP="00ED2EE2">
            <w:pPr>
              <w:spacing w:before="0" w:after="0"/>
              <w:jc w:val="left"/>
              <w:rPr>
                <w:rFonts w:ascii="Times New Roman" w:hAnsi="Times New Roman"/>
                <w:szCs w:val="20"/>
                <w:lang w:eastAsia="en-GB"/>
              </w:rPr>
            </w:pPr>
            <w:r w:rsidRPr="007F5684">
              <w:rPr>
                <w:rFonts w:ascii="Times New Roman" w:hAnsi="Times New Roman"/>
                <w:szCs w:val="20"/>
                <w:lang w:eastAsia="en-GB"/>
              </w:rPr>
              <w:t>Weighted average initial maturity = 8 months</w:t>
            </w:r>
          </w:p>
          <w:p w:rsidR="00775F73" w:rsidRPr="007F5684" w:rsidRDefault="00775F73" w:rsidP="00ED2EE2">
            <w:pPr>
              <w:spacing w:before="0" w:after="0"/>
              <w:jc w:val="left"/>
              <w:rPr>
                <w:rFonts w:ascii="Times New Roman" w:hAnsi="Times New Roman"/>
                <w:szCs w:val="20"/>
                <w:lang w:eastAsia="en-GB"/>
              </w:rPr>
            </w:pPr>
          </w:p>
        </w:tc>
      </w:tr>
      <w:tr w:rsidR="00775F73" w:rsidRPr="007F5684" w:rsidTr="00ED2EE2">
        <w:trPr>
          <w:trHeight w:val="1020"/>
        </w:trPr>
        <w:tc>
          <w:tcPr>
            <w:tcW w:w="729" w:type="pct"/>
            <w:shd w:val="clear" w:color="auto" w:fill="auto"/>
            <w:noWrap/>
          </w:tcPr>
          <w:p w:rsidR="00775F73" w:rsidRPr="007F5684" w:rsidRDefault="00775F73" w:rsidP="00ED2EE2">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lastRenderedPageBreak/>
              <w:t>I</w:t>
            </w:r>
          </w:p>
        </w:tc>
        <w:tc>
          <w:tcPr>
            <w:tcW w:w="4271" w:type="pct"/>
            <w:shd w:val="clear" w:color="auto" w:fill="auto"/>
          </w:tcPr>
          <w:p w:rsidR="00775F73" w:rsidRPr="007F5684" w:rsidRDefault="00775F73" w:rsidP="00ED2EE2">
            <w:pPr>
              <w:spacing w:before="0" w:after="0"/>
              <w:jc w:val="left"/>
              <w:rPr>
                <w:rFonts w:ascii="Times New Roman" w:hAnsi="Times New Roman"/>
                <w:b/>
                <w:szCs w:val="20"/>
                <w:u w:val="single"/>
                <w:lang w:eastAsia="en-GB"/>
              </w:rPr>
            </w:pPr>
            <w:r w:rsidRPr="007F5684">
              <w:rPr>
                <w:rFonts w:ascii="Times New Roman" w:hAnsi="Times New Roman"/>
                <w:b/>
                <w:szCs w:val="20"/>
                <w:u w:val="single"/>
                <w:lang w:eastAsia="en-GB"/>
              </w:rPr>
              <w:t>Weighted average residual maturity</w:t>
            </w:r>
          </w:p>
          <w:p w:rsidR="00775F73" w:rsidRPr="007F5684" w:rsidRDefault="00775F73" w:rsidP="00ED2EE2">
            <w:pPr>
              <w:spacing w:before="0" w:after="0"/>
              <w:jc w:val="left"/>
              <w:rPr>
                <w:rFonts w:ascii="Times New Roman" w:hAnsi="Times New Roman"/>
                <w:b/>
                <w:szCs w:val="20"/>
                <w:u w:val="single"/>
                <w:lang w:eastAsia="en-GB"/>
              </w:rPr>
            </w:pPr>
          </w:p>
          <w:p w:rsidR="00775F73" w:rsidRPr="007F5684" w:rsidRDefault="00D479FD" w:rsidP="00A05C63">
            <w:pPr>
              <w:spacing w:before="0" w:after="0"/>
              <w:rPr>
                <w:rFonts w:ascii="Times New Roman" w:hAnsi="Times New Roman"/>
                <w:szCs w:val="20"/>
                <w:lang w:eastAsia="en-GB"/>
              </w:rPr>
            </w:pPr>
            <w:r w:rsidRPr="007F5684">
              <w:rPr>
                <w:rFonts w:ascii="Times New Roman" w:hAnsi="Times New Roman"/>
                <w:szCs w:val="20"/>
                <w:lang w:eastAsia="en-GB"/>
              </w:rPr>
              <w:t xml:space="preserve">For the amount of funding received reported in column E, from the product categories listed in column </w:t>
            </w:r>
            <w:r w:rsidR="00775F73" w:rsidRPr="007F5684">
              <w:rPr>
                <w:rFonts w:ascii="Times New Roman" w:hAnsi="Times New Roman"/>
                <w:szCs w:val="20"/>
                <w:lang w:eastAsia="en-GB"/>
              </w:rPr>
              <w:t xml:space="preserve">D, a weighted average residual maturity for that funding </w:t>
            </w:r>
            <w:r w:rsidR="006A7234" w:rsidRPr="007F5684">
              <w:rPr>
                <w:rFonts w:ascii="Times New Roman" w:hAnsi="Times New Roman"/>
                <w:szCs w:val="20"/>
                <w:lang w:eastAsia="en-GB"/>
              </w:rPr>
              <w:t>shall</w:t>
            </w:r>
            <w:r w:rsidR="00775F73" w:rsidRPr="007F5684">
              <w:rPr>
                <w:rFonts w:ascii="Times New Roman" w:hAnsi="Times New Roman"/>
                <w:szCs w:val="20"/>
                <w:lang w:eastAsia="en-GB"/>
              </w:rPr>
              <w:t xml:space="preserve"> be recorded in column </w:t>
            </w:r>
            <w:r w:rsidR="00A05C63" w:rsidRPr="007F5684">
              <w:rPr>
                <w:rFonts w:ascii="Times New Roman" w:hAnsi="Times New Roman"/>
                <w:szCs w:val="20"/>
                <w:lang w:eastAsia="en-GB"/>
              </w:rPr>
              <w:t>I</w:t>
            </w:r>
            <w:r w:rsidR="00775F73" w:rsidRPr="007F5684">
              <w:rPr>
                <w:rFonts w:ascii="Times New Roman" w:hAnsi="Times New Roman"/>
                <w:szCs w:val="20"/>
                <w:lang w:eastAsia="en-GB"/>
              </w:rPr>
              <w:t>.</w:t>
            </w:r>
          </w:p>
          <w:p w:rsidR="00775F73" w:rsidRPr="007F5684" w:rsidRDefault="00775F73" w:rsidP="00A05C63">
            <w:pPr>
              <w:spacing w:before="0" w:after="0"/>
              <w:rPr>
                <w:rFonts w:ascii="Times New Roman" w:hAnsi="Times New Roman"/>
                <w:szCs w:val="20"/>
                <w:lang w:eastAsia="en-GB"/>
              </w:rPr>
            </w:pPr>
          </w:p>
          <w:p w:rsidR="00A05C63" w:rsidRPr="007F5684" w:rsidRDefault="00A05C63" w:rsidP="00A05C63">
            <w:pPr>
              <w:spacing w:before="0" w:after="0"/>
              <w:rPr>
                <w:rFonts w:ascii="Times New Roman" w:hAnsi="Times New Roman"/>
                <w:szCs w:val="20"/>
                <w:lang w:eastAsia="en-GB"/>
              </w:rPr>
            </w:pPr>
            <w:r w:rsidRPr="007F5684">
              <w:rPr>
                <w:rFonts w:ascii="Times New Roman" w:hAnsi="Times New Roman"/>
                <w:szCs w:val="20"/>
                <w:lang w:eastAsia="en-GB"/>
              </w:rPr>
              <w:t xml:space="preserve">Weighted average residual maturity is the average maturity left on the funding received </w:t>
            </w:r>
            <w:proofErr w:type="gramStart"/>
            <w:r w:rsidRPr="007F5684">
              <w:rPr>
                <w:rFonts w:ascii="Times New Roman" w:hAnsi="Times New Roman"/>
                <w:szCs w:val="20"/>
                <w:lang w:eastAsia="en-GB"/>
              </w:rPr>
              <w:t>from each and every counterparty</w:t>
            </w:r>
            <w:proofErr w:type="gramEnd"/>
            <w:r w:rsidRPr="007F5684">
              <w:rPr>
                <w:rFonts w:ascii="Times New Roman" w:hAnsi="Times New Roman"/>
                <w:szCs w:val="20"/>
                <w:lang w:eastAsia="en-GB"/>
              </w:rPr>
              <w:t xml:space="preserve"> as a result of the issuance of a specified product, to total funding received from the issuance of that product.</w:t>
            </w:r>
          </w:p>
          <w:p w:rsidR="00775F73" w:rsidRPr="007F5684" w:rsidRDefault="00775F73" w:rsidP="00ED2EE2">
            <w:pPr>
              <w:spacing w:before="0" w:after="0"/>
              <w:jc w:val="left"/>
              <w:rPr>
                <w:rFonts w:ascii="Times New Roman" w:hAnsi="Times New Roman"/>
                <w:szCs w:val="20"/>
                <w:lang w:eastAsia="en-GB"/>
              </w:rPr>
            </w:pPr>
          </w:p>
          <w:p w:rsidR="00775F73" w:rsidRPr="007F5684" w:rsidRDefault="00775F73" w:rsidP="00ED2EE2">
            <w:pPr>
              <w:spacing w:before="0" w:after="0"/>
              <w:jc w:val="left"/>
              <w:rPr>
                <w:rFonts w:ascii="Times New Roman" w:hAnsi="Times New Roman"/>
                <w:szCs w:val="20"/>
                <w:lang w:eastAsia="en-GB"/>
              </w:rPr>
            </w:pPr>
            <w:r w:rsidRPr="007F5684">
              <w:rPr>
                <w:rFonts w:ascii="Times New Roman" w:hAnsi="Times New Roman"/>
                <w:szCs w:val="20"/>
                <w:lang w:eastAsia="en-GB"/>
              </w:rPr>
              <w:t>For example:</w:t>
            </w:r>
          </w:p>
          <w:p w:rsidR="00775F73" w:rsidRPr="007F5684" w:rsidRDefault="00775F73" w:rsidP="00ED2EE2">
            <w:pPr>
              <w:spacing w:before="0" w:after="0"/>
              <w:jc w:val="left"/>
              <w:rPr>
                <w:rFonts w:ascii="Times New Roman" w:hAnsi="Times New Roman"/>
                <w:szCs w:val="20"/>
                <w:lang w:eastAsia="en-GB"/>
              </w:rPr>
            </w:pPr>
          </w:p>
          <w:p w:rsidR="00775F73" w:rsidRPr="007F5684" w:rsidRDefault="0094416B" w:rsidP="0094416B">
            <w:pPr>
              <w:spacing w:before="0" w:after="0"/>
              <w:ind w:left="714"/>
              <w:jc w:val="left"/>
              <w:rPr>
                <w:rFonts w:ascii="Times New Roman" w:hAnsi="Times New Roman"/>
                <w:szCs w:val="20"/>
                <w:lang w:eastAsia="en-GB"/>
              </w:rPr>
            </w:pPr>
            <w:r w:rsidRPr="007F5684">
              <w:rPr>
                <w:rFonts w:ascii="Times New Roman" w:hAnsi="Times New Roman"/>
                <w:szCs w:val="20"/>
                <w:lang w:eastAsia="en-GB"/>
              </w:rPr>
              <w:t xml:space="preserve">1. </w:t>
            </w:r>
            <w:r w:rsidR="00775F73" w:rsidRPr="007F5684">
              <w:rPr>
                <w:rFonts w:ascii="Times New Roman" w:hAnsi="Times New Roman"/>
                <w:szCs w:val="20"/>
                <w:lang w:eastAsia="en-GB"/>
              </w:rPr>
              <w:t xml:space="preserve">€1 billion received from </w:t>
            </w:r>
            <w:r w:rsidR="00CC4622" w:rsidRPr="007F5684">
              <w:rPr>
                <w:rFonts w:ascii="Times New Roman" w:hAnsi="Times New Roman"/>
                <w:szCs w:val="20"/>
                <w:lang w:eastAsia="en-GB"/>
              </w:rPr>
              <w:t>counterparty</w:t>
            </w:r>
            <w:r w:rsidR="00775F73" w:rsidRPr="007F5684">
              <w:rPr>
                <w:rFonts w:ascii="Times New Roman" w:hAnsi="Times New Roman"/>
                <w:szCs w:val="20"/>
                <w:lang w:eastAsia="en-GB"/>
              </w:rPr>
              <w:t xml:space="preserve"> A </w:t>
            </w:r>
            <w:r w:rsidR="00CC4622" w:rsidRPr="007F5684">
              <w:rPr>
                <w:rFonts w:ascii="Times New Roman" w:hAnsi="Times New Roman"/>
                <w:szCs w:val="20"/>
                <w:lang w:eastAsia="en-GB"/>
              </w:rPr>
              <w:t xml:space="preserve">as a result of issuing product X </w:t>
            </w:r>
            <w:r w:rsidR="00775F73" w:rsidRPr="007F5684">
              <w:rPr>
                <w:rFonts w:ascii="Times New Roman" w:hAnsi="Times New Roman"/>
                <w:szCs w:val="20"/>
                <w:lang w:eastAsia="en-GB"/>
              </w:rPr>
              <w:t>with two months residual maturity left.</w:t>
            </w:r>
          </w:p>
          <w:p w:rsidR="00775F73" w:rsidRPr="007F5684" w:rsidRDefault="0094416B" w:rsidP="0094416B">
            <w:pPr>
              <w:spacing w:before="0" w:after="0"/>
              <w:ind w:left="714"/>
              <w:jc w:val="left"/>
              <w:rPr>
                <w:rFonts w:ascii="Times New Roman" w:hAnsi="Times New Roman"/>
                <w:szCs w:val="20"/>
                <w:lang w:eastAsia="en-GB"/>
              </w:rPr>
            </w:pPr>
            <w:r w:rsidRPr="007F5684">
              <w:rPr>
                <w:rFonts w:ascii="Times New Roman" w:hAnsi="Times New Roman"/>
                <w:szCs w:val="20"/>
                <w:lang w:eastAsia="en-GB"/>
              </w:rPr>
              <w:t xml:space="preserve">2. </w:t>
            </w:r>
            <w:r w:rsidR="00775F73" w:rsidRPr="007F5684">
              <w:rPr>
                <w:rFonts w:ascii="Times New Roman" w:hAnsi="Times New Roman"/>
                <w:szCs w:val="20"/>
                <w:lang w:eastAsia="en-GB"/>
              </w:rPr>
              <w:t>€</w:t>
            </w:r>
            <w:r w:rsidR="00172727" w:rsidRPr="007F5684">
              <w:rPr>
                <w:rFonts w:ascii="Times New Roman" w:hAnsi="Times New Roman"/>
                <w:szCs w:val="20"/>
                <w:lang w:eastAsia="en-GB"/>
              </w:rPr>
              <w:t>0</w:t>
            </w:r>
            <w:r w:rsidR="00775F73" w:rsidRPr="007F5684">
              <w:rPr>
                <w:rFonts w:ascii="Times New Roman" w:hAnsi="Times New Roman"/>
                <w:szCs w:val="20"/>
                <w:lang w:eastAsia="en-GB"/>
              </w:rPr>
              <w:t xml:space="preserve">.5 billion received from </w:t>
            </w:r>
            <w:r w:rsidR="00CC4622" w:rsidRPr="007F5684">
              <w:rPr>
                <w:rFonts w:ascii="Times New Roman" w:hAnsi="Times New Roman"/>
                <w:szCs w:val="20"/>
                <w:lang w:eastAsia="en-GB"/>
              </w:rPr>
              <w:t>counterparty B</w:t>
            </w:r>
            <w:r w:rsidR="00775F73" w:rsidRPr="007F5684">
              <w:rPr>
                <w:rFonts w:ascii="Times New Roman" w:hAnsi="Times New Roman"/>
                <w:szCs w:val="20"/>
                <w:lang w:eastAsia="en-GB"/>
              </w:rPr>
              <w:t xml:space="preserve"> </w:t>
            </w:r>
            <w:r w:rsidR="00CC4622" w:rsidRPr="007F5684">
              <w:rPr>
                <w:rFonts w:ascii="Times New Roman" w:hAnsi="Times New Roman"/>
                <w:szCs w:val="20"/>
                <w:lang w:eastAsia="en-GB"/>
              </w:rPr>
              <w:t xml:space="preserve">as a result of issuing product X </w:t>
            </w:r>
            <w:r w:rsidR="00775F73" w:rsidRPr="007F5684">
              <w:rPr>
                <w:rFonts w:ascii="Times New Roman" w:hAnsi="Times New Roman"/>
                <w:szCs w:val="20"/>
                <w:lang w:eastAsia="en-GB"/>
              </w:rPr>
              <w:t>with six months residual maturity left.</w:t>
            </w:r>
          </w:p>
          <w:p w:rsidR="00775F73" w:rsidRPr="007F5684" w:rsidRDefault="00775F73" w:rsidP="00ED2EE2">
            <w:pPr>
              <w:spacing w:before="0" w:after="0"/>
              <w:jc w:val="left"/>
              <w:rPr>
                <w:rFonts w:ascii="Times New Roman" w:hAnsi="Times New Roman"/>
                <w:szCs w:val="20"/>
                <w:lang w:eastAsia="en-GB"/>
              </w:rPr>
            </w:pPr>
          </w:p>
          <w:p w:rsidR="00775F73" w:rsidRPr="007F5684" w:rsidRDefault="00775F73" w:rsidP="00ED2EE2">
            <w:pPr>
              <w:spacing w:before="0" w:after="0"/>
              <w:jc w:val="left"/>
              <w:rPr>
                <w:rFonts w:ascii="Times New Roman" w:hAnsi="Times New Roman"/>
                <w:szCs w:val="20"/>
                <w:lang w:eastAsia="en-GB"/>
              </w:rPr>
            </w:pPr>
            <w:r w:rsidRPr="007F5684">
              <w:rPr>
                <w:rFonts w:ascii="Times New Roman" w:hAnsi="Times New Roman"/>
                <w:szCs w:val="20"/>
                <w:lang w:eastAsia="en-GB"/>
              </w:rPr>
              <w:t>Weighted average residual maturity = (€1 billion/€1.5 billion) * 2 months + (€</w:t>
            </w:r>
            <w:r w:rsidR="00172727" w:rsidRPr="007F5684">
              <w:rPr>
                <w:rFonts w:ascii="Times New Roman" w:hAnsi="Times New Roman"/>
                <w:szCs w:val="20"/>
                <w:lang w:eastAsia="en-GB"/>
              </w:rPr>
              <w:t>0</w:t>
            </w:r>
            <w:r w:rsidRPr="007F5684">
              <w:rPr>
                <w:rFonts w:ascii="Times New Roman" w:hAnsi="Times New Roman"/>
                <w:szCs w:val="20"/>
                <w:lang w:eastAsia="en-GB"/>
              </w:rPr>
              <w:t>.5 billion/€1.5 billion) * 6 months</w:t>
            </w:r>
          </w:p>
          <w:p w:rsidR="00775F73" w:rsidRPr="007F5684" w:rsidRDefault="00775F73" w:rsidP="00ED2EE2">
            <w:pPr>
              <w:spacing w:before="0" w:after="0"/>
              <w:jc w:val="left"/>
              <w:rPr>
                <w:rFonts w:ascii="Times New Roman" w:hAnsi="Times New Roman"/>
                <w:szCs w:val="20"/>
                <w:lang w:eastAsia="en-GB"/>
              </w:rPr>
            </w:pPr>
          </w:p>
          <w:p w:rsidR="00775F73" w:rsidRPr="007F5684" w:rsidRDefault="00775F73" w:rsidP="00ED2EE2">
            <w:pPr>
              <w:spacing w:before="0" w:after="0"/>
              <w:jc w:val="left"/>
              <w:rPr>
                <w:rFonts w:ascii="Times New Roman" w:hAnsi="Times New Roman"/>
                <w:szCs w:val="20"/>
                <w:lang w:eastAsia="en-GB"/>
              </w:rPr>
            </w:pPr>
            <w:r w:rsidRPr="007F5684">
              <w:rPr>
                <w:rFonts w:ascii="Times New Roman" w:hAnsi="Times New Roman"/>
                <w:szCs w:val="20"/>
                <w:lang w:eastAsia="en-GB"/>
              </w:rPr>
              <w:t>Weighted average residual maturity = 2.33 months</w:t>
            </w:r>
          </w:p>
          <w:p w:rsidR="00775F73" w:rsidRPr="007F5684" w:rsidRDefault="00775F73" w:rsidP="00ED2EE2">
            <w:pPr>
              <w:spacing w:before="0" w:after="0"/>
              <w:jc w:val="left"/>
              <w:rPr>
                <w:rFonts w:ascii="Times New Roman" w:hAnsi="Times New Roman"/>
                <w:b/>
                <w:szCs w:val="20"/>
                <w:u w:val="single"/>
                <w:lang w:eastAsia="en-GB"/>
              </w:rPr>
            </w:pPr>
          </w:p>
        </w:tc>
      </w:tr>
    </w:tbl>
    <w:p w:rsidR="00775F73" w:rsidRPr="007F5684" w:rsidRDefault="00775F73" w:rsidP="00DD5897">
      <w:pPr>
        <w:pStyle w:val="InstructionsText2"/>
        <w:numPr>
          <w:ilvl w:val="0"/>
          <w:numId w:val="0"/>
        </w:numPr>
        <w:spacing w:after="0"/>
        <w:rPr>
          <w:szCs w:val="20"/>
          <w:u w:val="none"/>
        </w:rPr>
      </w:pPr>
    </w:p>
    <w:p w:rsidR="00775F73" w:rsidRPr="007F5684" w:rsidRDefault="00775F73" w:rsidP="00DD5897">
      <w:pPr>
        <w:pStyle w:val="InstructionsText2"/>
        <w:numPr>
          <w:ilvl w:val="0"/>
          <w:numId w:val="0"/>
        </w:numPr>
        <w:spacing w:after="0"/>
        <w:rPr>
          <w:szCs w:val="20"/>
          <w:u w:val="none"/>
        </w:rPr>
      </w:pPr>
    </w:p>
    <w:p w:rsidR="00D02FE4" w:rsidRPr="007F5684" w:rsidRDefault="00181260" w:rsidP="00DD5897">
      <w:pPr>
        <w:pStyle w:val="Instructionsberschrift2"/>
        <w:numPr>
          <w:ilvl w:val="1"/>
          <w:numId w:val="2"/>
        </w:numPr>
        <w:spacing w:before="0"/>
        <w:rPr>
          <w:rFonts w:ascii="Times New Roman" w:hAnsi="Times New Roman" w:cs="Times New Roman"/>
          <w:szCs w:val="20"/>
        </w:rPr>
      </w:pPr>
      <w:r w:rsidRPr="007F5684">
        <w:rPr>
          <w:rFonts w:ascii="Times New Roman" w:hAnsi="Times New Roman" w:cs="Times New Roman"/>
          <w:szCs w:val="20"/>
        </w:rPr>
        <w:t>Prices for Various Lengths of Funding</w:t>
      </w:r>
    </w:p>
    <w:p w:rsidR="00DD5897" w:rsidRPr="007F5684" w:rsidRDefault="00DD5897" w:rsidP="00DD5897">
      <w:pPr>
        <w:pStyle w:val="InstructionsText2"/>
        <w:numPr>
          <w:ilvl w:val="0"/>
          <w:numId w:val="0"/>
        </w:numPr>
        <w:spacing w:after="0"/>
        <w:rPr>
          <w:szCs w:val="20"/>
          <w:u w:val="none"/>
        </w:rPr>
      </w:pPr>
    </w:p>
    <w:p w:rsidR="002C154A" w:rsidRPr="007F5684" w:rsidRDefault="0019013A" w:rsidP="0019013A">
      <w:pPr>
        <w:pStyle w:val="InstructionsText2"/>
        <w:numPr>
          <w:ilvl w:val="0"/>
          <w:numId w:val="7"/>
        </w:numPr>
        <w:rPr>
          <w:szCs w:val="20"/>
          <w:u w:val="none"/>
        </w:rPr>
      </w:pPr>
      <w:r w:rsidRPr="007F5684">
        <w:rPr>
          <w:szCs w:val="20"/>
          <w:u w:val="none"/>
        </w:rPr>
        <w:t xml:space="preserve">This template seeks to collect information about the average transaction volume and prices paid by institutions for funding with the following maturities: </w:t>
      </w:r>
    </w:p>
    <w:p w:rsidR="0019013A" w:rsidRPr="007F5684" w:rsidRDefault="0019013A" w:rsidP="0094416B">
      <w:pPr>
        <w:pStyle w:val="InstructionsText2"/>
        <w:numPr>
          <w:ilvl w:val="1"/>
          <w:numId w:val="15"/>
        </w:numPr>
        <w:ind w:left="993" w:hanging="284"/>
        <w:rPr>
          <w:szCs w:val="20"/>
          <w:u w:val="none"/>
        </w:rPr>
      </w:pPr>
      <w:r w:rsidRPr="007F5684">
        <w:rPr>
          <w:szCs w:val="20"/>
          <w:u w:val="none"/>
        </w:rPr>
        <w:t>Overnight (columns E-F)</w:t>
      </w:r>
    </w:p>
    <w:p w:rsidR="0019013A" w:rsidRPr="007F5684" w:rsidRDefault="0019013A" w:rsidP="00235A84">
      <w:pPr>
        <w:pStyle w:val="InstructionsText2"/>
        <w:numPr>
          <w:ilvl w:val="1"/>
          <w:numId w:val="15"/>
        </w:numPr>
        <w:ind w:left="993" w:hanging="284"/>
        <w:rPr>
          <w:szCs w:val="20"/>
          <w:u w:val="none"/>
        </w:rPr>
      </w:pPr>
      <w:r w:rsidRPr="007F5684">
        <w:rPr>
          <w:szCs w:val="20"/>
          <w:u w:val="none"/>
        </w:rPr>
        <w:t>1 week (columns G-H)</w:t>
      </w:r>
    </w:p>
    <w:p w:rsidR="0019013A" w:rsidRPr="007F5684" w:rsidRDefault="0019013A" w:rsidP="00235A84">
      <w:pPr>
        <w:pStyle w:val="InstructionsText2"/>
        <w:numPr>
          <w:ilvl w:val="1"/>
          <w:numId w:val="15"/>
        </w:numPr>
        <w:ind w:left="993" w:hanging="284"/>
        <w:rPr>
          <w:szCs w:val="20"/>
          <w:u w:val="none"/>
        </w:rPr>
      </w:pPr>
      <w:r w:rsidRPr="007F5684">
        <w:rPr>
          <w:szCs w:val="20"/>
          <w:u w:val="none"/>
        </w:rPr>
        <w:t>1 month (columns I-J)</w:t>
      </w:r>
    </w:p>
    <w:p w:rsidR="0019013A" w:rsidRPr="007F5684" w:rsidRDefault="0019013A" w:rsidP="00235A84">
      <w:pPr>
        <w:pStyle w:val="InstructionsText2"/>
        <w:numPr>
          <w:ilvl w:val="1"/>
          <w:numId w:val="15"/>
        </w:numPr>
        <w:ind w:left="993" w:hanging="284"/>
        <w:rPr>
          <w:szCs w:val="20"/>
          <w:u w:val="none"/>
        </w:rPr>
      </w:pPr>
      <w:r w:rsidRPr="007F5684">
        <w:rPr>
          <w:szCs w:val="20"/>
          <w:u w:val="none"/>
        </w:rPr>
        <w:t>3 months (columns K-L)</w:t>
      </w:r>
    </w:p>
    <w:p w:rsidR="0019013A" w:rsidRPr="007F5684" w:rsidRDefault="0019013A" w:rsidP="00235A84">
      <w:pPr>
        <w:pStyle w:val="InstructionsText2"/>
        <w:numPr>
          <w:ilvl w:val="1"/>
          <w:numId w:val="15"/>
        </w:numPr>
        <w:ind w:left="993" w:hanging="284"/>
        <w:rPr>
          <w:szCs w:val="20"/>
          <w:u w:val="none"/>
        </w:rPr>
      </w:pPr>
      <w:r w:rsidRPr="007F5684">
        <w:rPr>
          <w:szCs w:val="20"/>
          <w:u w:val="none"/>
        </w:rPr>
        <w:t>6 months (columns M-N)</w:t>
      </w:r>
    </w:p>
    <w:p w:rsidR="00172727" w:rsidRPr="007F5684" w:rsidRDefault="00172727" w:rsidP="00235A84">
      <w:pPr>
        <w:pStyle w:val="InstructionsText2"/>
        <w:numPr>
          <w:ilvl w:val="1"/>
          <w:numId w:val="15"/>
        </w:numPr>
        <w:ind w:left="993" w:hanging="284"/>
        <w:rPr>
          <w:szCs w:val="20"/>
          <w:u w:val="none"/>
        </w:rPr>
      </w:pPr>
      <w:r w:rsidRPr="007F5684">
        <w:rPr>
          <w:szCs w:val="20"/>
          <w:u w:val="none"/>
        </w:rPr>
        <w:t>1 year (columns O-P)</w:t>
      </w:r>
    </w:p>
    <w:p w:rsidR="0019013A" w:rsidRPr="007F5684" w:rsidRDefault="0019013A" w:rsidP="00235A84">
      <w:pPr>
        <w:pStyle w:val="InstructionsText2"/>
        <w:numPr>
          <w:ilvl w:val="1"/>
          <w:numId w:val="15"/>
        </w:numPr>
        <w:ind w:left="993" w:hanging="284"/>
        <w:rPr>
          <w:szCs w:val="20"/>
          <w:u w:val="none"/>
        </w:rPr>
      </w:pPr>
      <w:r w:rsidRPr="007F5684">
        <w:rPr>
          <w:szCs w:val="20"/>
          <w:u w:val="none"/>
        </w:rPr>
        <w:t>2 years</w:t>
      </w:r>
      <w:r w:rsidR="00172727" w:rsidRPr="007F5684">
        <w:rPr>
          <w:szCs w:val="20"/>
          <w:u w:val="none"/>
        </w:rPr>
        <w:t xml:space="preserve"> (columns Q-R)</w:t>
      </w:r>
    </w:p>
    <w:p w:rsidR="0019013A" w:rsidRPr="007F5684" w:rsidRDefault="0019013A" w:rsidP="00235A84">
      <w:pPr>
        <w:pStyle w:val="InstructionsText2"/>
        <w:numPr>
          <w:ilvl w:val="1"/>
          <w:numId w:val="15"/>
        </w:numPr>
        <w:ind w:left="993" w:hanging="284"/>
        <w:rPr>
          <w:szCs w:val="20"/>
          <w:u w:val="none"/>
        </w:rPr>
      </w:pPr>
      <w:r w:rsidRPr="007F5684">
        <w:rPr>
          <w:szCs w:val="20"/>
          <w:u w:val="none"/>
        </w:rPr>
        <w:t xml:space="preserve">5 years </w:t>
      </w:r>
      <w:r w:rsidR="00172727" w:rsidRPr="007F5684">
        <w:rPr>
          <w:szCs w:val="20"/>
          <w:u w:val="none"/>
        </w:rPr>
        <w:t xml:space="preserve"> (columns S-T)</w:t>
      </w:r>
    </w:p>
    <w:p w:rsidR="0019013A" w:rsidRPr="007F5684" w:rsidRDefault="0019013A" w:rsidP="00235A84">
      <w:pPr>
        <w:pStyle w:val="InstructionsText2"/>
        <w:numPr>
          <w:ilvl w:val="1"/>
          <w:numId w:val="15"/>
        </w:numPr>
        <w:ind w:left="993" w:hanging="284"/>
        <w:rPr>
          <w:szCs w:val="20"/>
          <w:u w:val="none"/>
        </w:rPr>
      </w:pPr>
      <w:r w:rsidRPr="007F5684">
        <w:rPr>
          <w:szCs w:val="20"/>
          <w:u w:val="none"/>
        </w:rPr>
        <w:t xml:space="preserve">10 years (columns </w:t>
      </w:r>
      <w:r w:rsidR="00172727" w:rsidRPr="007F5684">
        <w:rPr>
          <w:szCs w:val="20"/>
          <w:u w:val="none"/>
        </w:rPr>
        <w:t>U</w:t>
      </w:r>
      <w:r w:rsidRPr="007F5684">
        <w:rPr>
          <w:szCs w:val="20"/>
          <w:u w:val="none"/>
        </w:rPr>
        <w:t>-</w:t>
      </w:r>
      <w:r w:rsidR="00172727" w:rsidRPr="007F5684">
        <w:rPr>
          <w:szCs w:val="20"/>
          <w:u w:val="none"/>
        </w:rPr>
        <w:t>V</w:t>
      </w:r>
      <w:r w:rsidRPr="007F5684">
        <w:rPr>
          <w:szCs w:val="20"/>
          <w:u w:val="none"/>
        </w:rPr>
        <w:t>)</w:t>
      </w:r>
    </w:p>
    <w:p w:rsidR="0019013A" w:rsidRPr="007F5684" w:rsidRDefault="0019013A" w:rsidP="0019013A">
      <w:pPr>
        <w:pStyle w:val="InstructionsText2"/>
        <w:numPr>
          <w:ilvl w:val="0"/>
          <w:numId w:val="15"/>
        </w:numPr>
        <w:rPr>
          <w:szCs w:val="20"/>
          <w:u w:val="none"/>
        </w:rPr>
      </w:pPr>
      <w:r w:rsidRPr="007F5684">
        <w:rPr>
          <w:szCs w:val="20"/>
          <w:u w:val="none"/>
        </w:rPr>
        <w:t xml:space="preserve">For the purpose of determining the maturity of funding obtained, institutions </w:t>
      </w:r>
      <w:r w:rsidR="006A7234" w:rsidRPr="007F5684">
        <w:rPr>
          <w:szCs w:val="20"/>
          <w:u w:val="none"/>
        </w:rPr>
        <w:t>shall</w:t>
      </w:r>
      <w:r w:rsidRPr="007F5684">
        <w:rPr>
          <w:szCs w:val="20"/>
          <w:u w:val="none"/>
        </w:rPr>
        <w:t xml:space="preserve"> ignore the period between trade date and settlement date, e.g. a three month liability se</w:t>
      </w:r>
      <w:r w:rsidR="0050708F" w:rsidRPr="007F5684">
        <w:rPr>
          <w:szCs w:val="20"/>
          <w:u w:val="none"/>
        </w:rPr>
        <w:t xml:space="preserve">ttling in two weeks time </w:t>
      </w:r>
      <w:r w:rsidR="006A7234" w:rsidRPr="007F5684">
        <w:rPr>
          <w:szCs w:val="20"/>
          <w:u w:val="none"/>
        </w:rPr>
        <w:t>shall</w:t>
      </w:r>
      <w:r w:rsidR="0050708F" w:rsidRPr="007F5684">
        <w:rPr>
          <w:szCs w:val="20"/>
          <w:u w:val="none"/>
        </w:rPr>
        <w:t xml:space="preserve"> be reported in the 3 months </w:t>
      </w:r>
      <w:r w:rsidRPr="007F5684">
        <w:rPr>
          <w:szCs w:val="20"/>
          <w:u w:val="none"/>
        </w:rPr>
        <w:t>maturity</w:t>
      </w:r>
      <w:r w:rsidR="0050708F" w:rsidRPr="007F5684">
        <w:rPr>
          <w:szCs w:val="20"/>
          <w:u w:val="none"/>
        </w:rPr>
        <w:t xml:space="preserve"> (columns K-L).</w:t>
      </w:r>
    </w:p>
    <w:p w:rsidR="00A211F3" w:rsidRPr="007F5684" w:rsidRDefault="002C154A" w:rsidP="00DD5897">
      <w:pPr>
        <w:pStyle w:val="InstructionsText2"/>
        <w:numPr>
          <w:ilvl w:val="0"/>
          <w:numId w:val="15"/>
        </w:numPr>
        <w:rPr>
          <w:szCs w:val="20"/>
          <w:u w:val="none"/>
        </w:rPr>
      </w:pPr>
      <w:r w:rsidRPr="007F5684">
        <w:rPr>
          <w:szCs w:val="20"/>
          <w:u w:val="none"/>
        </w:rPr>
        <w:t xml:space="preserve">The </w:t>
      </w:r>
      <w:r w:rsidR="0019013A" w:rsidRPr="007F5684">
        <w:rPr>
          <w:szCs w:val="20"/>
          <w:u w:val="none"/>
        </w:rPr>
        <w:t xml:space="preserve">spread </w:t>
      </w:r>
      <w:r w:rsidR="0050708F" w:rsidRPr="007F5684">
        <w:rPr>
          <w:szCs w:val="20"/>
          <w:u w:val="none"/>
        </w:rPr>
        <w:t>reported</w:t>
      </w:r>
      <w:r w:rsidRPr="007F5684">
        <w:rPr>
          <w:szCs w:val="20"/>
          <w:u w:val="none"/>
        </w:rPr>
        <w:t xml:space="preserve"> in </w:t>
      </w:r>
      <w:r w:rsidR="009A329A" w:rsidRPr="007F5684">
        <w:rPr>
          <w:szCs w:val="20"/>
          <w:u w:val="none"/>
        </w:rPr>
        <w:t>the left hand column of each time bucket</w:t>
      </w:r>
      <w:r w:rsidR="0050708F" w:rsidRPr="007F5684">
        <w:rPr>
          <w:szCs w:val="20"/>
          <w:u w:val="none"/>
        </w:rPr>
        <w:t xml:space="preserve"> </w:t>
      </w:r>
      <w:r w:rsidR="006A7234" w:rsidRPr="007F5684">
        <w:rPr>
          <w:szCs w:val="20"/>
          <w:u w:val="none"/>
        </w:rPr>
        <w:t>shall</w:t>
      </w:r>
      <w:r w:rsidR="0050708F" w:rsidRPr="007F5684">
        <w:rPr>
          <w:szCs w:val="20"/>
          <w:u w:val="none"/>
        </w:rPr>
        <w:t xml:space="preserve"> be</w:t>
      </w:r>
      <w:r w:rsidR="0094416B" w:rsidRPr="007F5684">
        <w:rPr>
          <w:szCs w:val="20"/>
          <w:u w:val="none"/>
        </w:rPr>
        <w:t xml:space="preserve"> one of the following</w:t>
      </w:r>
      <w:r w:rsidR="0050708F" w:rsidRPr="007F5684">
        <w:rPr>
          <w:szCs w:val="20"/>
          <w:u w:val="none"/>
        </w:rPr>
        <w:t>:</w:t>
      </w:r>
    </w:p>
    <w:p w:rsidR="0050708F" w:rsidRPr="007F5684" w:rsidRDefault="0050708F" w:rsidP="00235A84">
      <w:pPr>
        <w:pStyle w:val="InstructionsText2"/>
        <w:numPr>
          <w:ilvl w:val="1"/>
          <w:numId w:val="7"/>
        </w:numPr>
        <w:ind w:left="1080" w:hanging="360"/>
        <w:rPr>
          <w:szCs w:val="20"/>
          <w:u w:val="none"/>
        </w:rPr>
      </w:pPr>
      <w:r w:rsidRPr="007F5684">
        <w:rPr>
          <w:szCs w:val="20"/>
          <w:u w:val="none"/>
        </w:rPr>
        <w:lastRenderedPageBreak/>
        <w:t>the spread payable by the firm for liabilities less than or equal to one year, if it were to have been swapped to the benchmark overnight index for the appropriate currency no later than close of busines</w:t>
      </w:r>
      <w:r w:rsidR="009A329A" w:rsidRPr="007F5684">
        <w:rPr>
          <w:szCs w:val="20"/>
          <w:u w:val="none"/>
        </w:rPr>
        <w:t xml:space="preserve">s on the day of the transaction; </w:t>
      </w:r>
    </w:p>
    <w:p w:rsidR="0050708F" w:rsidRPr="007F5684" w:rsidRDefault="0050708F" w:rsidP="00235A84">
      <w:pPr>
        <w:pStyle w:val="InstructionsText2"/>
        <w:numPr>
          <w:ilvl w:val="1"/>
          <w:numId w:val="7"/>
        </w:numPr>
        <w:ind w:left="1080" w:hanging="360"/>
        <w:rPr>
          <w:szCs w:val="20"/>
          <w:u w:val="none"/>
        </w:rPr>
      </w:pPr>
      <w:proofErr w:type="gramStart"/>
      <w:r w:rsidRPr="007F5684">
        <w:rPr>
          <w:szCs w:val="20"/>
          <w:u w:val="none"/>
        </w:rPr>
        <w:t>the</w:t>
      </w:r>
      <w:proofErr w:type="gramEnd"/>
      <w:r w:rsidRPr="007F5684">
        <w:rPr>
          <w:szCs w:val="20"/>
          <w:u w:val="none"/>
        </w:rPr>
        <w:t xml:space="preserve"> spread payable by the firm at issuance for liabilities greater than on</w:t>
      </w:r>
      <w:r w:rsidR="00172727" w:rsidRPr="007F5684">
        <w:rPr>
          <w:szCs w:val="20"/>
          <w:u w:val="none"/>
        </w:rPr>
        <w:t>e</w:t>
      </w:r>
      <w:r w:rsidRPr="007F5684">
        <w:rPr>
          <w:szCs w:val="20"/>
          <w:u w:val="none"/>
        </w:rPr>
        <w:t xml:space="preserve"> year, were it to be swapped to the relevant benchmark floating three month EURIBOR for EUR or LIBOR for GBP and USD, no later than close of business on the day of the transaction.</w:t>
      </w:r>
    </w:p>
    <w:p w:rsidR="00A211F3" w:rsidRPr="007F5684" w:rsidRDefault="0019013A" w:rsidP="00A211F3">
      <w:pPr>
        <w:pStyle w:val="InstructionsText2"/>
        <w:numPr>
          <w:ilvl w:val="0"/>
          <w:numId w:val="15"/>
        </w:numPr>
        <w:rPr>
          <w:szCs w:val="20"/>
          <w:u w:val="none"/>
        </w:rPr>
      </w:pPr>
      <w:r w:rsidRPr="007F5684">
        <w:rPr>
          <w:szCs w:val="20"/>
          <w:u w:val="none"/>
        </w:rPr>
        <w:t>S</w:t>
      </w:r>
      <w:r w:rsidR="0050708F" w:rsidRPr="007F5684">
        <w:rPr>
          <w:szCs w:val="20"/>
          <w:u w:val="none"/>
        </w:rPr>
        <w:t>pread</w:t>
      </w:r>
      <w:r w:rsidRPr="007F5684">
        <w:rPr>
          <w:szCs w:val="20"/>
          <w:u w:val="none"/>
        </w:rPr>
        <w:t xml:space="preserve"> </w:t>
      </w:r>
      <w:r w:rsidR="006A7234" w:rsidRPr="007F5684">
        <w:rPr>
          <w:szCs w:val="20"/>
          <w:u w:val="none"/>
        </w:rPr>
        <w:t>shall</w:t>
      </w:r>
      <w:r w:rsidR="00DD5897" w:rsidRPr="007F5684">
        <w:rPr>
          <w:szCs w:val="20"/>
          <w:u w:val="none"/>
        </w:rPr>
        <w:t xml:space="preserve"> be</w:t>
      </w:r>
      <w:r w:rsidR="0050708F" w:rsidRPr="007F5684">
        <w:rPr>
          <w:szCs w:val="20"/>
          <w:u w:val="none"/>
        </w:rPr>
        <w:t xml:space="preserve"> reported in basis points (</w:t>
      </w:r>
      <w:proofErr w:type="spellStart"/>
      <w:r w:rsidR="0050708F" w:rsidRPr="007F5684">
        <w:rPr>
          <w:szCs w:val="20"/>
          <w:u w:val="none"/>
        </w:rPr>
        <w:t>bp</w:t>
      </w:r>
      <w:proofErr w:type="spellEnd"/>
      <w:r w:rsidR="0050708F" w:rsidRPr="007F5684">
        <w:rPr>
          <w:szCs w:val="20"/>
          <w:u w:val="none"/>
        </w:rPr>
        <w:t xml:space="preserve">) and </w:t>
      </w:r>
      <w:r w:rsidR="00DD5897" w:rsidRPr="007F5684">
        <w:rPr>
          <w:szCs w:val="20"/>
          <w:u w:val="none"/>
        </w:rPr>
        <w:t>calculat</w:t>
      </w:r>
      <w:r w:rsidR="00A211F3" w:rsidRPr="007F5684">
        <w:rPr>
          <w:szCs w:val="20"/>
          <w:u w:val="none"/>
        </w:rPr>
        <w:t>ed on a weighted average basis. For example:</w:t>
      </w:r>
    </w:p>
    <w:p w:rsidR="00A211F3" w:rsidRPr="007F5684" w:rsidRDefault="00A211F3" w:rsidP="00235A84">
      <w:pPr>
        <w:pStyle w:val="InstructionsText2"/>
        <w:numPr>
          <w:ilvl w:val="1"/>
          <w:numId w:val="16"/>
        </w:numPr>
        <w:ind w:left="1080" w:hanging="360"/>
        <w:rPr>
          <w:szCs w:val="20"/>
          <w:u w:val="none"/>
        </w:rPr>
      </w:pPr>
      <w:r w:rsidRPr="007F5684">
        <w:rPr>
          <w:szCs w:val="20"/>
          <w:u w:val="none"/>
        </w:rPr>
        <w:t>€1 billion</w:t>
      </w:r>
      <w:r w:rsidR="00A34A28" w:rsidRPr="007F5684">
        <w:rPr>
          <w:szCs w:val="20"/>
          <w:u w:val="none"/>
        </w:rPr>
        <w:t xml:space="preserve"> of funding</w:t>
      </w:r>
      <w:r w:rsidRPr="007F5684">
        <w:rPr>
          <w:szCs w:val="20"/>
          <w:u w:val="none"/>
        </w:rPr>
        <w:t xml:space="preserve"> received </w:t>
      </w:r>
      <w:r w:rsidR="00A34A28" w:rsidRPr="007F5684">
        <w:rPr>
          <w:szCs w:val="20"/>
          <w:u w:val="none"/>
        </w:rPr>
        <w:t xml:space="preserve">or offered by </w:t>
      </w:r>
      <w:r w:rsidRPr="007F5684">
        <w:rPr>
          <w:szCs w:val="20"/>
          <w:u w:val="none"/>
        </w:rPr>
        <w:t xml:space="preserve">counterparty A </w:t>
      </w:r>
      <w:r w:rsidR="00A34A28" w:rsidRPr="007F5684">
        <w:rPr>
          <w:szCs w:val="20"/>
          <w:u w:val="none"/>
        </w:rPr>
        <w:t xml:space="preserve">with a spread 200bp above the prevailing </w:t>
      </w:r>
      <w:r w:rsidR="0050708F" w:rsidRPr="007F5684">
        <w:rPr>
          <w:szCs w:val="20"/>
          <w:u w:val="none"/>
        </w:rPr>
        <w:t>EURIBOR</w:t>
      </w:r>
      <w:r w:rsidR="00A34A28" w:rsidRPr="007F5684">
        <w:rPr>
          <w:szCs w:val="20"/>
          <w:u w:val="none"/>
        </w:rPr>
        <w:t xml:space="preserve"> rate</w:t>
      </w:r>
      <w:r w:rsidRPr="007F5684">
        <w:rPr>
          <w:szCs w:val="20"/>
          <w:u w:val="none"/>
        </w:rPr>
        <w:t>.</w:t>
      </w:r>
    </w:p>
    <w:p w:rsidR="00A211F3" w:rsidRPr="007F5684" w:rsidRDefault="00A211F3" w:rsidP="00235A84">
      <w:pPr>
        <w:pStyle w:val="InstructionsText2"/>
        <w:numPr>
          <w:ilvl w:val="1"/>
          <w:numId w:val="16"/>
        </w:numPr>
        <w:ind w:left="1080" w:hanging="360"/>
        <w:rPr>
          <w:szCs w:val="20"/>
          <w:u w:val="none"/>
        </w:rPr>
      </w:pPr>
      <w:r w:rsidRPr="007F5684">
        <w:rPr>
          <w:szCs w:val="20"/>
          <w:u w:val="none"/>
        </w:rPr>
        <w:t xml:space="preserve">€.5 billion </w:t>
      </w:r>
      <w:r w:rsidR="00A34A28" w:rsidRPr="007F5684">
        <w:rPr>
          <w:szCs w:val="20"/>
          <w:u w:val="none"/>
        </w:rPr>
        <w:t xml:space="preserve">of funding received or offered by counterparty B with a spread 150bp above the prevailing </w:t>
      </w:r>
      <w:r w:rsidR="0050708F" w:rsidRPr="007F5684">
        <w:rPr>
          <w:szCs w:val="20"/>
          <w:u w:val="none"/>
        </w:rPr>
        <w:t>EURIBOR rate</w:t>
      </w:r>
      <w:r w:rsidRPr="007F5684">
        <w:rPr>
          <w:szCs w:val="20"/>
          <w:u w:val="none"/>
        </w:rPr>
        <w:t>.</w:t>
      </w:r>
    </w:p>
    <w:p w:rsidR="00A211F3" w:rsidRPr="007F5684" w:rsidRDefault="00A211F3" w:rsidP="00A34A28">
      <w:pPr>
        <w:pStyle w:val="InstructionsText2"/>
        <w:numPr>
          <w:ilvl w:val="0"/>
          <w:numId w:val="0"/>
        </w:numPr>
        <w:ind w:left="1080"/>
        <w:rPr>
          <w:szCs w:val="20"/>
          <w:u w:val="none"/>
        </w:rPr>
      </w:pPr>
      <w:r w:rsidRPr="007F5684">
        <w:rPr>
          <w:szCs w:val="20"/>
          <w:u w:val="none"/>
        </w:rPr>
        <w:t xml:space="preserve">Weighted average </w:t>
      </w:r>
      <w:r w:rsidR="00A34A28" w:rsidRPr="007F5684">
        <w:rPr>
          <w:szCs w:val="20"/>
          <w:u w:val="none"/>
        </w:rPr>
        <w:t>spread</w:t>
      </w:r>
      <w:r w:rsidRPr="007F5684">
        <w:rPr>
          <w:szCs w:val="20"/>
          <w:u w:val="none"/>
        </w:rPr>
        <w:t xml:space="preserve"> = (€1 billion/€1.5 billion) * </w:t>
      </w:r>
      <w:r w:rsidR="00A34A28" w:rsidRPr="007F5684">
        <w:rPr>
          <w:szCs w:val="20"/>
          <w:u w:val="none"/>
        </w:rPr>
        <w:t>200bp</w:t>
      </w:r>
      <w:r w:rsidRPr="007F5684">
        <w:rPr>
          <w:szCs w:val="20"/>
          <w:u w:val="none"/>
        </w:rPr>
        <w:t xml:space="preserve"> + (€.5 billion/€1.5 billion) * </w:t>
      </w:r>
      <w:r w:rsidR="00A34A28" w:rsidRPr="007F5684">
        <w:rPr>
          <w:szCs w:val="20"/>
          <w:u w:val="none"/>
        </w:rPr>
        <w:t>150bp</w:t>
      </w:r>
    </w:p>
    <w:p w:rsidR="00A211F3" w:rsidRPr="007F5684" w:rsidRDefault="00A211F3" w:rsidP="00A34A28">
      <w:pPr>
        <w:pStyle w:val="InstructionsText2"/>
        <w:numPr>
          <w:ilvl w:val="0"/>
          <w:numId w:val="0"/>
        </w:numPr>
        <w:ind w:left="1080"/>
        <w:rPr>
          <w:szCs w:val="20"/>
          <w:u w:val="none"/>
        </w:rPr>
      </w:pPr>
      <w:r w:rsidRPr="007F5684">
        <w:rPr>
          <w:szCs w:val="20"/>
          <w:u w:val="none"/>
          <w:lang w:eastAsia="en-GB"/>
        </w:rPr>
        <w:t xml:space="preserve">Weighted average </w:t>
      </w:r>
      <w:r w:rsidR="00A34A28" w:rsidRPr="007F5684">
        <w:rPr>
          <w:szCs w:val="20"/>
          <w:u w:val="none"/>
          <w:lang w:eastAsia="en-GB"/>
        </w:rPr>
        <w:t>spread</w:t>
      </w:r>
      <w:r w:rsidRPr="007F5684">
        <w:rPr>
          <w:szCs w:val="20"/>
          <w:u w:val="none"/>
          <w:lang w:eastAsia="en-GB"/>
        </w:rPr>
        <w:t xml:space="preserve"> = </w:t>
      </w:r>
      <w:r w:rsidR="00A34A28" w:rsidRPr="007F5684">
        <w:rPr>
          <w:szCs w:val="20"/>
          <w:u w:val="none"/>
          <w:lang w:eastAsia="en-GB"/>
        </w:rPr>
        <w:t>183</w:t>
      </w:r>
      <w:r w:rsidR="00270986" w:rsidRPr="007F5684">
        <w:rPr>
          <w:szCs w:val="20"/>
          <w:u w:val="none"/>
          <w:lang w:eastAsia="en-GB"/>
        </w:rPr>
        <w:t xml:space="preserve">.33 </w:t>
      </w:r>
      <w:proofErr w:type="spellStart"/>
      <w:r w:rsidR="00A34A28" w:rsidRPr="007F5684">
        <w:rPr>
          <w:szCs w:val="20"/>
          <w:u w:val="none"/>
          <w:lang w:eastAsia="en-GB"/>
        </w:rPr>
        <w:t>bp</w:t>
      </w:r>
      <w:proofErr w:type="spellEnd"/>
    </w:p>
    <w:p w:rsidR="0050708F" w:rsidRPr="007F5684" w:rsidRDefault="0050708F" w:rsidP="0050708F">
      <w:pPr>
        <w:pStyle w:val="InstructionsText2"/>
        <w:numPr>
          <w:ilvl w:val="0"/>
          <w:numId w:val="15"/>
        </w:numPr>
        <w:rPr>
          <w:szCs w:val="20"/>
          <w:u w:val="none"/>
        </w:rPr>
      </w:pPr>
      <w:r w:rsidRPr="007F5684">
        <w:rPr>
          <w:szCs w:val="20"/>
          <w:u w:val="none"/>
        </w:rPr>
        <w:t xml:space="preserve">For the purposes of calculating the average spread payable, institutions </w:t>
      </w:r>
      <w:r w:rsidR="006A7234" w:rsidRPr="007F5684">
        <w:rPr>
          <w:szCs w:val="20"/>
          <w:u w:val="none"/>
        </w:rPr>
        <w:t>shall</w:t>
      </w:r>
      <w:r w:rsidRPr="007F5684">
        <w:rPr>
          <w:szCs w:val="20"/>
          <w:u w:val="none"/>
        </w:rPr>
        <w:t xml:space="preserve"> calculate the total cost in the currency of issue ignoring any FX swap, but includ</w:t>
      </w:r>
      <w:r w:rsidR="009A329A" w:rsidRPr="007F5684">
        <w:rPr>
          <w:szCs w:val="20"/>
          <w:u w:val="none"/>
        </w:rPr>
        <w:t>e</w:t>
      </w:r>
      <w:r w:rsidRPr="007F5684">
        <w:rPr>
          <w:szCs w:val="20"/>
          <w:u w:val="none"/>
        </w:rPr>
        <w:t xml:space="preserve"> any premium or discount and fees payable or receivable, with the term of any theoretical or actual interest rate swap matching the term of the liability. The spread is the liability rate minus the swap rate.</w:t>
      </w:r>
    </w:p>
    <w:p w:rsidR="00DD5897" w:rsidRPr="007F5684" w:rsidRDefault="0019013A" w:rsidP="00DD5897">
      <w:pPr>
        <w:pStyle w:val="InstructionsText2"/>
        <w:numPr>
          <w:ilvl w:val="0"/>
          <w:numId w:val="15"/>
        </w:numPr>
        <w:rPr>
          <w:szCs w:val="20"/>
          <w:u w:val="none"/>
        </w:rPr>
      </w:pPr>
      <w:r w:rsidRPr="007F5684">
        <w:rPr>
          <w:szCs w:val="20"/>
          <w:u w:val="none"/>
        </w:rPr>
        <w:t xml:space="preserve">The net amount of funding obtained for the funding categories listed in column D </w:t>
      </w:r>
      <w:r w:rsidR="006A7234" w:rsidRPr="007F5684">
        <w:rPr>
          <w:szCs w:val="20"/>
          <w:u w:val="none"/>
        </w:rPr>
        <w:t>shall</w:t>
      </w:r>
      <w:r w:rsidRPr="007F5684">
        <w:rPr>
          <w:szCs w:val="20"/>
          <w:u w:val="none"/>
        </w:rPr>
        <w:t xml:space="preserve"> be reported in the ‘volume’ column of the applicable time bucket</w:t>
      </w:r>
      <w:r w:rsidR="00834FEF" w:rsidRPr="007F5684">
        <w:rPr>
          <w:szCs w:val="20"/>
          <w:u w:val="none"/>
        </w:rPr>
        <w:t xml:space="preserve"> in thousands (i.e. 000s)</w:t>
      </w:r>
      <w:r w:rsidR="00DD5897" w:rsidRPr="007F5684">
        <w:rPr>
          <w:szCs w:val="20"/>
          <w:u w:val="none"/>
        </w:rPr>
        <w:t>.</w:t>
      </w:r>
      <w:r w:rsidR="0029485D" w:rsidRPr="007F5684">
        <w:rPr>
          <w:szCs w:val="20"/>
          <w:u w:val="none"/>
        </w:rPr>
        <w:t xml:space="preserve"> For example, for the funding in </w:t>
      </w:r>
      <w:r w:rsidR="00834FEF" w:rsidRPr="007F5684">
        <w:rPr>
          <w:szCs w:val="20"/>
          <w:u w:val="none"/>
        </w:rPr>
        <w:t xml:space="preserve">point </w:t>
      </w:r>
      <w:r w:rsidR="008E246F" w:rsidRPr="007F5684">
        <w:rPr>
          <w:szCs w:val="20"/>
          <w:u w:val="none"/>
        </w:rPr>
        <w:t>4</w:t>
      </w:r>
      <w:r w:rsidR="00834FEF" w:rsidRPr="007F5684">
        <w:rPr>
          <w:szCs w:val="20"/>
          <w:u w:val="none"/>
        </w:rPr>
        <w:t xml:space="preserve"> above, this would be €1,</w:t>
      </w:r>
      <w:r w:rsidR="0029485D" w:rsidRPr="007F5684">
        <w:rPr>
          <w:szCs w:val="20"/>
          <w:u w:val="none"/>
        </w:rPr>
        <w:t>5</w:t>
      </w:r>
      <w:r w:rsidR="00834FEF" w:rsidRPr="007F5684">
        <w:rPr>
          <w:szCs w:val="20"/>
          <w:u w:val="none"/>
        </w:rPr>
        <w:t>00,000</w:t>
      </w:r>
      <w:r w:rsidR="0029485D" w:rsidRPr="007F5684">
        <w:rPr>
          <w:szCs w:val="20"/>
          <w:u w:val="none"/>
        </w:rPr>
        <w:t>.</w:t>
      </w:r>
    </w:p>
    <w:p w:rsidR="00270986" w:rsidRPr="007F5684" w:rsidRDefault="00270986" w:rsidP="00DD5897">
      <w:pPr>
        <w:pStyle w:val="InstructionsText2"/>
        <w:numPr>
          <w:ilvl w:val="0"/>
          <w:numId w:val="15"/>
        </w:numPr>
        <w:rPr>
          <w:szCs w:val="20"/>
          <w:u w:val="none"/>
        </w:rPr>
      </w:pPr>
      <w:r w:rsidRPr="007F5684">
        <w:rPr>
          <w:szCs w:val="20"/>
          <w:u w:val="none"/>
        </w:rPr>
        <w:t xml:space="preserve">Where there is nothing to report, spreads </w:t>
      </w:r>
      <w:r w:rsidR="006A7234" w:rsidRPr="007F5684">
        <w:rPr>
          <w:szCs w:val="20"/>
          <w:u w:val="none"/>
        </w:rPr>
        <w:t>shall</w:t>
      </w:r>
      <w:r w:rsidRPr="007F5684">
        <w:rPr>
          <w:szCs w:val="20"/>
          <w:u w:val="none"/>
        </w:rPr>
        <w:t xml:space="preserve"> be reported as 0.00 and volumes as 0.</w:t>
      </w:r>
    </w:p>
    <w:p w:rsidR="002C154A" w:rsidRPr="007F5684" w:rsidRDefault="002C154A" w:rsidP="00DD5897">
      <w:pPr>
        <w:pStyle w:val="InstructionsText2"/>
        <w:numPr>
          <w:ilvl w:val="0"/>
          <w:numId w:val="15"/>
        </w:numPr>
        <w:rPr>
          <w:szCs w:val="20"/>
          <w:u w:val="none"/>
        </w:rPr>
      </w:pPr>
      <w:r w:rsidRPr="007F5684">
        <w:rPr>
          <w:szCs w:val="20"/>
          <w:u w:val="none"/>
        </w:rPr>
        <w:t>Instructions concerning specific rows</w:t>
      </w:r>
      <w:r w:rsidR="002237BD" w:rsidRPr="007F5684">
        <w:rPr>
          <w:szCs w:val="20"/>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705"/>
      </w:tblGrid>
      <w:tr w:rsidR="00E332B3" w:rsidRPr="007F5684" w:rsidTr="00ED41A4">
        <w:trPr>
          <w:trHeight w:val="567"/>
        </w:trPr>
        <w:tc>
          <w:tcPr>
            <w:tcW w:w="817" w:type="dxa"/>
            <w:shd w:val="clear" w:color="auto" w:fill="E0E0E0"/>
            <w:noWrap/>
            <w:vAlign w:val="center"/>
          </w:tcPr>
          <w:p w:rsidR="002C154A" w:rsidRPr="007F5684" w:rsidRDefault="002C154A" w:rsidP="00ED41A4">
            <w:pPr>
              <w:spacing w:before="0" w:after="0"/>
              <w:jc w:val="left"/>
              <w:rPr>
                <w:rFonts w:ascii="Times New Roman" w:hAnsi="Times New Roman"/>
                <w:szCs w:val="20"/>
                <w:lang w:eastAsia="en-GB"/>
              </w:rPr>
            </w:pPr>
            <w:r w:rsidRPr="007F5684">
              <w:rPr>
                <w:rStyle w:val="InstructionsTabelleText"/>
                <w:rFonts w:ascii="Times New Roman" w:hAnsi="Times New Roman"/>
                <w:szCs w:val="20"/>
                <w:lang w:eastAsia="en-GB"/>
              </w:rPr>
              <w:t>Row</w:t>
            </w:r>
          </w:p>
        </w:tc>
        <w:tc>
          <w:tcPr>
            <w:tcW w:w="7705" w:type="dxa"/>
            <w:shd w:val="clear" w:color="auto" w:fill="E0E0E0"/>
            <w:noWrap/>
            <w:vAlign w:val="center"/>
          </w:tcPr>
          <w:p w:rsidR="002C154A" w:rsidRPr="007F5684" w:rsidRDefault="002C154A" w:rsidP="00ED41A4">
            <w:pPr>
              <w:spacing w:before="0" w:after="0"/>
              <w:jc w:val="left"/>
              <w:rPr>
                <w:rFonts w:ascii="Times New Roman" w:hAnsi="Times New Roman"/>
                <w:szCs w:val="20"/>
                <w:lang w:eastAsia="en-GB"/>
              </w:rPr>
            </w:pPr>
            <w:r w:rsidRPr="007F5684">
              <w:rPr>
                <w:rStyle w:val="InstructionsTabelleText"/>
                <w:rFonts w:ascii="Times New Roman" w:hAnsi="Times New Roman"/>
                <w:szCs w:val="20"/>
                <w:lang w:eastAsia="en-GB"/>
              </w:rPr>
              <w:t>Legal references and instructions</w:t>
            </w:r>
          </w:p>
        </w:tc>
      </w:tr>
      <w:tr w:rsidR="00E332B3" w:rsidRPr="007F5684" w:rsidTr="00ED41A4">
        <w:trPr>
          <w:trHeight w:val="255"/>
        </w:trPr>
        <w:tc>
          <w:tcPr>
            <w:tcW w:w="817" w:type="dxa"/>
            <w:shd w:val="clear" w:color="auto" w:fill="auto"/>
            <w:noWrap/>
          </w:tcPr>
          <w:p w:rsidR="002C154A" w:rsidRPr="007F5684" w:rsidRDefault="00B44BEB" w:rsidP="00ED41A4">
            <w:pPr>
              <w:spacing w:before="0" w:after="0"/>
              <w:jc w:val="left"/>
              <w:rPr>
                <w:rFonts w:ascii="Times New Roman" w:hAnsi="Times New Roman"/>
                <w:szCs w:val="20"/>
                <w:lang w:eastAsia="en-GB"/>
              </w:rPr>
            </w:pPr>
            <w:r w:rsidRPr="007F5684">
              <w:rPr>
                <w:rFonts w:ascii="Times New Roman" w:hAnsi="Times New Roman"/>
                <w:szCs w:val="20"/>
                <w:lang w:eastAsia="en-GB"/>
              </w:rPr>
              <w:t>6</w:t>
            </w:r>
          </w:p>
        </w:tc>
        <w:tc>
          <w:tcPr>
            <w:tcW w:w="7705" w:type="dxa"/>
            <w:shd w:val="clear" w:color="auto" w:fill="auto"/>
            <w:noWrap/>
          </w:tcPr>
          <w:p w:rsidR="002C154A" w:rsidRPr="007F5684" w:rsidRDefault="002C154A" w:rsidP="00ED41A4">
            <w:pPr>
              <w:jc w:val="left"/>
              <w:rPr>
                <w:rFonts w:ascii="Times New Roman" w:hAnsi="Times New Roman"/>
                <w:b/>
                <w:szCs w:val="20"/>
                <w:u w:val="single"/>
              </w:rPr>
            </w:pPr>
            <w:r w:rsidRPr="007F5684">
              <w:rPr>
                <w:rFonts w:ascii="Times New Roman" w:hAnsi="Times New Roman"/>
                <w:b/>
                <w:szCs w:val="20"/>
                <w:u w:val="single"/>
              </w:rPr>
              <w:t>1 Total Funding</w:t>
            </w:r>
          </w:p>
          <w:p w:rsidR="002C154A" w:rsidRPr="007F5684" w:rsidRDefault="00E42487" w:rsidP="00ED41A4">
            <w:pPr>
              <w:jc w:val="left"/>
              <w:rPr>
                <w:rFonts w:ascii="Times New Roman" w:hAnsi="Times New Roman"/>
                <w:szCs w:val="20"/>
              </w:rPr>
            </w:pPr>
            <w:r w:rsidRPr="007F5684">
              <w:rPr>
                <w:rFonts w:ascii="Times New Roman" w:hAnsi="Times New Roman"/>
                <w:szCs w:val="20"/>
              </w:rPr>
              <w:t xml:space="preserve">Total </w:t>
            </w:r>
            <w:r w:rsidR="00EA295B" w:rsidRPr="007F5684">
              <w:rPr>
                <w:rFonts w:ascii="Times New Roman" w:hAnsi="Times New Roman"/>
                <w:szCs w:val="20"/>
              </w:rPr>
              <w:t>volume</w:t>
            </w:r>
            <w:r w:rsidRPr="007F5684">
              <w:rPr>
                <w:rFonts w:ascii="Times New Roman" w:hAnsi="Times New Roman"/>
                <w:szCs w:val="20"/>
              </w:rPr>
              <w:t xml:space="preserve"> and weighted average s</w:t>
            </w:r>
            <w:r w:rsidR="002A7582" w:rsidRPr="007F5684">
              <w:rPr>
                <w:rFonts w:ascii="Times New Roman" w:hAnsi="Times New Roman"/>
                <w:szCs w:val="20"/>
              </w:rPr>
              <w:t>pread of all funding obtained</w:t>
            </w:r>
            <w:r w:rsidR="00CE333E" w:rsidRPr="007F5684">
              <w:rPr>
                <w:rFonts w:ascii="Times New Roman" w:hAnsi="Times New Roman"/>
                <w:szCs w:val="20"/>
              </w:rPr>
              <w:t xml:space="preserve">  for the following lengths:</w:t>
            </w:r>
          </w:p>
          <w:p w:rsidR="007778A0" w:rsidRPr="007F5684" w:rsidRDefault="007778A0" w:rsidP="0094416B">
            <w:pPr>
              <w:pStyle w:val="InstructionsText2"/>
              <w:numPr>
                <w:ilvl w:val="1"/>
                <w:numId w:val="14"/>
              </w:numPr>
              <w:rPr>
                <w:szCs w:val="20"/>
                <w:u w:val="none"/>
                <w:lang w:eastAsia="en-US"/>
              </w:rPr>
            </w:pPr>
            <w:r w:rsidRPr="007F5684">
              <w:rPr>
                <w:szCs w:val="20"/>
                <w:u w:val="none"/>
                <w:lang w:eastAsia="en-US"/>
              </w:rPr>
              <w:t>Overnight (columns E-F)</w:t>
            </w:r>
          </w:p>
          <w:p w:rsidR="007778A0" w:rsidRPr="007F5684" w:rsidRDefault="007778A0" w:rsidP="007778A0">
            <w:pPr>
              <w:pStyle w:val="InstructionsText2"/>
              <w:numPr>
                <w:ilvl w:val="1"/>
                <w:numId w:val="14"/>
              </w:numPr>
              <w:rPr>
                <w:szCs w:val="20"/>
                <w:u w:val="none"/>
                <w:lang w:eastAsia="en-US"/>
              </w:rPr>
            </w:pPr>
            <w:r w:rsidRPr="007F5684">
              <w:rPr>
                <w:szCs w:val="20"/>
                <w:u w:val="none"/>
                <w:lang w:eastAsia="en-US"/>
              </w:rPr>
              <w:t>1 week (columns G-H)</w:t>
            </w:r>
          </w:p>
          <w:p w:rsidR="007778A0" w:rsidRPr="007F5684" w:rsidRDefault="007778A0" w:rsidP="007778A0">
            <w:pPr>
              <w:pStyle w:val="InstructionsText2"/>
              <w:numPr>
                <w:ilvl w:val="1"/>
                <w:numId w:val="14"/>
              </w:numPr>
              <w:rPr>
                <w:szCs w:val="20"/>
                <w:u w:val="none"/>
                <w:lang w:eastAsia="en-US"/>
              </w:rPr>
            </w:pPr>
            <w:r w:rsidRPr="007F5684">
              <w:rPr>
                <w:szCs w:val="20"/>
                <w:u w:val="none"/>
                <w:lang w:eastAsia="en-US"/>
              </w:rPr>
              <w:t>1 month (columns I-J)</w:t>
            </w:r>
          </w:p>
          <w:p w:rsidR="007778A0" w:rsidRPr="007F5684" w:rsidRDefault="007778A0" w:rsidP="007778A0">
            <w:pPr>
              <w:pStyle w:val="InstructionsText2"/>
              <w:numPr>
                <w:ilvl w:val="1"/>
                <w:numId w:val="14"/>
              </w:numPr>
              <w:rPr>
                <w:szCs w:val="20"/>
                <w:u w:val="none"/>
                <w:lang w:eastAsia="en-US"/>
              </w:rPr>
            </w:pPr>
            <w:r w:rsidRPr="007F5684">
              <w:rPr>
                <w:szCs w:val="20"/>
                <w:u w:val="none"/>
                <w:lang w:eastAsia="en-US"/>
              </w:rPr>
              <w:t>3 months (columns K-L)</w:t>
            </w:r>
          </w:p>
          <w:p w:rsidR="007778A0" w:rsidRPr="007F5684" w:rsidRDefault="007778A0" w:rsidP="007778A0">
            <w:pPr>
              <w:pStyle w:val="InstructionsText2"/>
              <w:numPr>
                <w:ilvl w:val="1"/>
                <w:numId w:val="14"/>
              </w:numPr>
              <w:rPr>
                <w:szCs w:val="20"/>
                <w:u w:val="none"/>
                <w:lang w:eastAsia="en-US"/>
              </w:rPr>
            </w:pPr>
            <w:r w:rsidRPr="007F5684">
              <w:rPr>
                <w:szCs w:val="20"/>
                <w:u w:val="none"/>
                <w:lang w:eastAsia="en-US"/>
              </w:rPr>
              <w:t>6 months (columns M-N)</w:t>
            </w:r>
          </w:p>
          <w:p w:rsidR="007778A0" w:rsidRPr="007F5684" w:rsidRDefault="007778A0" w:rsidP="007778A0">
            <w:pPr>
              <w:pStyle w:val="InstructionsText2"/>
              <w:numPr>
                <w:ilvl w:val="1"/>
                <w:numId w:val="14"/>
              </w:numPr>
              <w:rPr>
                <w:szCs w:val="20"/>
                <w:u w:val="none"/>
                <w:lang w:eastAsia="en-US"/>
              </w:rPr>
            </w:pPr>
            <w:r w:rsidRPr="007F5684">
              <w:rPr>
                <w:szCs w:val="20"/>
                <w:u w:val="none"/>
                <w:lang w:eastAsia="en-US"/>
              </w:rPr>
              <w:t>1 year (columns O-P)</w:t>
            </w:r>
          </w:p>
          <w:p w:rsidR="007778A0" w:rsidRPr="007F5684" w:rsidRDefault="007778A0" w:rsidP="007778A0">
            <w:pPr>
              <w:pStyle w:val="InstructionsText2"/>
              <w:numPr>
                <w:ilvl w:val="1"/>
                <w:numId w:val="14"/>
              </w:numPr>
              <w:rPr>
                <w:szCs w:val="20"/>
                <w:u w:val="none"/>
                <w:lang w:eastAsia="en-US"/>
              </w:rPr>
            </w:pPr>
            <w:r w:rsidRPr="007F5684">
              <w:rPr>
                <w:szCs w:val="20"/>
                <w:u w:val="none"/>
                <w:lang w:eastAsia="en-US"/>
              </w:rPr>
              <w:t>2 years (columns Q-R)</w:t>
            </w:r>
          </w:p>
          <w:p w:rsidR="007778A0" w:rsidRPr="007F5684" w:rsidRDefault="007778A0" w:rsidP="007778A0">
            <w:pPr>
              <w:pStyle w:val="InstructionsText2"/>
              <w:numPr>
                <w:ilvl w:val="1"/>
                <w:numId w:val="14"/>
              </w:numPr>
              <w:rPr>
                <w:szCs w:val="20"/>
                <w:u w:val="none"/>
                <w:lang w:eastAsia="en-US"/>
              </w:rPr>
            </w:pPr>
            <w:r w:rsidRPr="007F5684">
              <w:rPr>
                <w:szCs w:val="20"/>
                <w:u w:val="none"/>
                <w:lang w:eastAsia="en-US"/>
              </w:rPr>
              <w:t>5 years  (columns S-T)</w:t>
            </w:r>
          </w:p>
          <w:p w:rsidR="00CE333E" w:rsidRPr="007F5684" w:rsidRDefault="007778A0" w:rsidP="007778A0">
            <w:pPr>
              <w:pStyle w:val="InstructionsText2"/>
              <w:numPr>
                <w:ilvl w:val="1"/>
                <w:numId w:val="14"/>
              </w:numPr>
              <w:rPr>
                <w:szCs w:val="20"/>
                <w:u w:val="none"/>
              </w:rPr>
            </w:pPr>
            <w:r w:rsidRPr="007F5684">
              <w:rPr>
                <w:szCs w:val="20"/>
                <w:u w:val="none"/>
                <w:lang w:eastAsia="en-US"/>
              </w:rPr>
              <w:t>10 years (columns U-V)</w:t>
            </w:r>
          </w:p>
        </w:tc>
      </w:tr>
      <w:tr w:rsidR="00E332B3" w:rsidRPr="007F5684" w:rsidTr="00ED41A4">
        <w:trPr>
          <w:trHeight w:val="255"/>
        </w:trPr>
        <w:tc>
          <w:tcPr>
            <w:tcW w:w="817" w:type="dxa"/>
            <w:shd w:val="clear" w:color="auto" w:fill="auto"/>
            <w:noWrap/>
          </w:tcPr>
          <w:p w:rsidR="002C154A" w:rsidRPr="007F5684" w:rsidRDefault="00B44BEB" w:rsidP="00ED41A4">
            <w:pPr>
              <w:spacing w:before="0" w:after="0"/>
              <w:jc w:val="left"/>
              <w:rPr>
                <w:rFonts w:ascii="Times New Roman" w:hAnsi="Times New Roman"/>
                <w:szCs w:val="20"/>
                <w:lang w:eastAsia="en-GB"/>
              </w:rPr>
            </w:pPr>
            <w:r w:rsidRPr="007F5684">
              <w:rPr>
                <w:rFonts w:ascii="Times New Roman" w:hAnsi="Times New Roman"/>
                <w:szCs w:val="20"/>
                <w:lang w:eastAsia="en-GB"/>
              </w:rPr>
              <w:lastRenderedPageBreak/>
              <w:t>7</w:t>
            </w:r>
          </w:p>
        </w:tc>
        <w:tc>
          <w:tcPr>
            <w:tcW w:w="7705" w:type="dxa"/>
            <w:shd w:val="clear" w:color="auto" w:fill="auto"/>
            <w:noWrap/>
          </w:tcPr>
          <w:p w:rsidR="002C154A" w:rsidRPr="007F5684" w:rsidRDefault="002C154A" w:rsidP="00ED41A4">
            <w:pPr>
              <w:jc w:val="left"/>
              <w:rPr>
                <w:rFonts w:ascii="Times New Roman" w:hAnsi="Times New Roman"/>
                <w:b/>
                <w:szCs w:val="20"/>
                <w:u w:val="single"/>
              </w:rPr>
            </w:pPr>
            <w:r w:rsidRPr="007F5684">
              <w:rPr>
                <w:rFonts w:ascii="Times New Roman" w:hAnsi="Times New Roman"/>
                <w:b/>
                <w:szCs w:val="20"/>
                <w:u w:val="single"/>
              </w:rPr>
              <w:t>1.1 Cash deposits</w:t>
            </w:r>
          </w:p>
          <w:p w:rsidR="002C154A" w:rsidRPr="007F5684" w:rsidRDefault="00CE333E" w:rsidP="00ED41A4">
            <w:pPr>
              <w:jc w:val="left"/>
              <w:rPr>
                <w:rFonts w:ascii="Times New Roman" w:hAnsi="Times New Roman"/>
                <w:szCs w:val="20"/>
              </w:rPr>
            </w:pPr>
            <w:r w:rsidRPr="007F5684">
              <w:rPr>
                <w:rFonts w:ascii="Times New Roman" w:hAnsi="Times New Roman"/>
                <w:szCs w:val="20"/>
              </w:rPr>
              <w:t>Of the total funding reported in item 1, the t</w:t>
            </w:r>
            <w:r w:rsidR="002C154A" w:rsidRPr="007F5684">
              <w:rPr>
                <w:rFonts w:ascii="Times New Roman" w:hAnsi="Times New Roman"/>
                <w:szCs w:val="20"/>
              </w:rPr>
              <w:t xml:space="preserve">otal </w:t>
            </w:r>
            <w:r w:rsidR="00EA295B" w:rsidRPr="007F5684">
              <w:rPr>
                <w:rFonts w:ascii="Times New Roman" w:hAnsi="Times New Roman"/>
                <w:szCs w:val="20"/>
              </w:rPr>
              <w:t>volume</w:t>
            </w:r>
            <w:r w:rsidR="00E332B3" w:rsidRPr="007F5684">
              <w:rPr>
                <w:rFonts w:ascii="Times New Roman" w:hAnsi="Times New Roman"/>
                <w:szCs w:val="20"/>
              </w:rPr>
              <w:t xml:space="preserve"> and </w:t>
            </w:r>
            <w:r w:rsidR="00E42487" w:rsidRPr="007F5684">
              <w:rPr>
                <w:rFonts w:ascii="Times New Roman" w:hAnsi="Times New Roman"/>
                <w:szCs w:val="20"/>
              </w:rPr>
              <w:t xml:space="preserve">weighted average </w:t>
            </w:r>
            <w:r w:rsidR="00E332B3" w:rsidRPr="007F5684">
              <w:rPr>
                <w:rFonts w:ascii="Times New Roman" w:hAnsi="Times New Roman"/>
                <w:szCs w:val="20"/>
              </w:rPr>
              <w:t>spread</w:t>
            </w:r>
            <w:r w:rsidR="002C154A" w:rsidRPr="007F5684">
              <w:rPr>
                <w:rFonts w:ascii="Times New Roman" w:hAnsi="Times New Roman"/>
                <w:szCs w:val="20"/>
              </w:rPr>
              <w:t xml:space="preserve"> of cash deposits</w:t>
            </w:r>
            <w:r w:rsidR="00DD5897" w:rsidRPr="007F5684">
              <w:rPr>
                <w:rFonts w:ascii="Times New Roman" w:hAnsi="Times New Roman"/>
                <w:szCs w:val="20"/>
              </w:rPr>
              <w:t xml:space="preserve"> obtained</w:t>
            </w:r>
            <w:r w:rsidR="002C154A" w:rsidRPr="007F5684">
              <w:rPr>
                <w:rFonts w:ascii="Times New Roman" w:hAnsi="Times New Roman"/>
                <w:szCs w:val="20"/>
              </w:rPr>
              <w:t>.</w:t>
            </w:r>
          </w:p>
        </w:tc>
      </w:tr>
      <w:tr w:rsidR="00DD5897" w:rsidRPr="007F5684" w:rsidTr="00ED41A4">
        <w:trPr>
          <w:trHeight w:val="255"/>
        </w:trPr>
        <w:tc>
          <w:tcPr>
            <w:tcW w:w="817" w:type="dxa"/>
            <w:shd w:val="clear" w:color="auto" w:fill="auto"/>
            <w:noWrap/>
          </w:tcPr>
          <w:p w:rsidR="00DD5897" w:rsidRPr="007F5684" w:rsidRDefault="00B44BEB" w:rsidP="00ED41A4">
            <w:pPr>
              <w:spacing w:before="0" w:after="0"/>
              <w:jc w:val="left"/>
              <w:rPr>
                <w:rFonts w:ascii="Times New Roman" w:hAnsi="Times New Roman"/>
                <w:szCs w:val="20"/>
                <w:lang w:eastAsia="en-GB"/>
              </w:rPr>
            </w:pPr>
            <w:r w:rsidRPr="007F5684">
              <w:rPr>
                <w:rFonts w:ascii="Times New Roman" w:hAnsi="Times New Roman"/>
                <w:szCs w:val="20"/>
                <w:lang w:eastAsia="en-GB"/>
              </w:rPr>
              <w:t>8</w:t>
            </w:r>
          </w:p>
        </w:tc>
        <w:tc>
          <w:tcPr>
            <w:tcW w:w="7705" w:type="dxa"/>
            <w:shd w:val="clear" w:color="auto" w:fill="auto"/>
            <w:noWrap/>
          </w:tcPr>
          <w:p w:rsidR="00DD5897" w:rsidRPr="007F5684" w:rsidRDefault="00DD5897" w:rsidP="00ED41A4">
            <w:pPr>
              <w:jc w:val="left"/>
              <w:rPr>
                <w:rFonts w:ascii="Times New Roman" w:hAnsi="Times New Roman"/>
                <w:b/>
                <w:szCs w:val="20"/>
                <w:u w:val="single"/>
              </w:rPr>
            </w:pPr>
            <w:r w:rsidRPr="007F5684">
              <w:rPr>
                <w:rFonts w:ascii="Times New Roman" w:hAnsi="Times New Roman"/>
                <w:b/>
                <w:szCs w:val="20"/>
                <w:u w:val="single"/>
              </w:rPr>
              <w:t>1.1 Secured funding</w:t>
            </w:r>
          </w:p>
          <w:p w:rsidR="00DD5897" w:rsidRPr="007F5684" w:rsidRDefault="00CE333E" w:rsidP="00ED41A4">
            <w:pPr>
              <w:jc w:val="left"/>
              <w:rPr>
                <w:rFonts w:ascii="Times New Roman" w:hAnsi="Times New Roman"/>
                <w:b/>
                <w:szCs w:val="20"/>
                <w:u w:val="single"/>
              </w:rPr>
            </w:pPr>
            <w:r w:rsidRPr="007F5684">
              <w:rPr>
                <w:rFonts w:ascii="Times New Roman" w:hAnsi="Times New Roman"/>
                <w:szCs w:val="20"/>
              </w:rPr>
              <w:t xml:space="preserve">Of the total funding reported in item 1, the total </w:t>
            </w:r>
            <w:r w:rsidR="00EA295B" w:rsidRPr="007F5684">
              <w:rPr>
                <w:rFonts w:ascii="Times New Roman" w:hAnsi="Times New Roman"/>
                <w:szCs w:val="20"/>
              </w:rPr>
              <w:t>volume</w:t>
            </w:r>
            <w:r w:rsidR="00DD5897" w:rsidRPr="007F5684">
              <w:rPr>
                <w:rFonts w:ascii="Times New Roman" w:hAnsi="Times New Roman"/>
                <w:szCs w:val="20"/>
              </w:rPr>
              <w:t xml:space="preserve"> and </w:t>
            </w:r>
            <w:r w:rsidR="002A7582" w:rsidRPr="007F5684">
              <w:rPr>
                <w:rFonts w:ascii="Times New Roman" w:hAnsi="Times New Roman"/>
                <w:szCs w:val="20"/>
              </w:rPr>
              <w:t xml:space="preserve">weighted average </w:t>
            </w:r>
            <w:r w:rsidR="00DD5897" w:rsidRPr="007F5684">
              <w:rPr>
                <w:rFonts w:ascii="Times New Roman" w:hAnsi="Times New Roman"/>
                <w:szCs w:val="20"/>
              </w:rPr>
              <w:t>spread of secured funding obtained.</w:t>
            </w:r>
          </w:p>
        </w:tc>
      </w:tr>
      <w:tr w:rsidR="00E332B3" w:rsidRPr="007F5684" w:rsidTr="00ED41A4">
        <w:trPr>
          <w:trHeight w:val="255"/>
        </w:trPr>
        <w:tc>
          <w:tcPr>
            <w:tcW w:w="817" w:type="dxa"/>
            <w:shd w:val="clear" w:color="auto" w:fill="auto"/>
            <w:noWrap/>
          </w:tcPr>
          <w:p w:rsidR="002C154A" w:rsidRPr="007F5684" w:rsidRDefault="00B44BEB" w:rsidP="00ED41A4">
            <w:pPr>
              <w:spacing w:before="0" w:after="0"/>
              <w:jc w:val="left"/>
              <w:rPr>
                <w:rFonts w:ascii="Times New Roman" w:hAnsi="Times New Roman"/>
                <w:szCs w:val="20"/>
                <w:lang w:eastAsia="en-GB"/>
              </w:rPr>
            </w:pPr>
            <w:r w:rsidRPr="007F5684">
              <w:rPr>
                <w:rFonts w:ascii="Times New Roman" w:hAnsi="Times New Roman"/>
                <w:szCs w:val="20"/>
                <w:lang w:eastAsia="en-GB"/>
              </w:rPr>
              <w:t>9</w:t>
            </w:r>
          </w:p>
        </w:tc>
        <w:tc>
          <w:tcPr>
            <w:tcW w:w="7705" w:type="dxa"/>
            <w:shd w:val="clear" w:color="auto" w:fill="auto"/>
            <w:noWrap/>
          </w:tcPr>
          <w:p w:rsidR="002C154A" w:rsidRPr="007F5684" w:rsidRDefault="002C154A" w:rsidP="00ED41A4">
            <w:pPr>
              <w:jc w:val="left"/>
              <w:rPr>
                <w:rFonts w:ascii="Times New Roman" w:hAnsi="Times New Roman"/>
                <w:b/>
                <w:szCs w:val="20"/>
                <w:u w:val="single"/>
              </w:rPr>
            </w:pPr>
            <w:r w:rsidRPr="007F5684">
              <w:rPr>
                <w:rFonts w:ascii="Times New Roman" w:hAnsi="Times New Roman"/>
                <w:b/>
                <w:szCs w:val="20"/>
                <w:u w:val="single"/>
              </w:rPr>
              <w:t>1.2 Senior unsecured securities</w:t>
            </w:r>
          </w:p>
          <w:p w:rsidR="00E332B3" w:rsidRPr="007F5684" w:rsidRDefault="00CE333E" w:rsidP="00ED41A4">
            <w:pPr>
              <w:jc w:val="left"/>
              <w:rPr>
                <w:rFonts w:ascii="Times New Roman" w:hAnsi="Times New Roman"/>
                <w:b/>
                <w:szCs w:val="20"/>
                <w:u w:val="single"/>
              </w:rPr>
            </w:pPr>
            <w:r w:rsidRPr="007F5684">
              <w:rPr>
                <w:rFonts w:ascii="Times New Roman" w:hAnsi="Times New Roman"/>
                <w:szCs w:val="20"/>
              </w:rPr>
              <w:t>Of the total funding reported in item 1, the total</w:t>
            </w:r>
            <w:r w:rsidR="00E332B3" w:rsidRPr="007F5684">
              <w:rPr>
                <w:rFonts w:ascii="Times New Roman" w:hAnsi="Times New Roman"/>
                <w:szCs w:val="20"/>
              </w:rPr>
              <w:t xml:space="preserve"> </w:t>
            </w:r>
            <w:r w:rsidR="00EA295B" w:rsidRPr="007F5684">
              <w:rPr>
                <w:rFonts w:ascii="Times New Roman" w:hAnsi="Times New Roman"/>
                <w:szCs w:val="20"/>
              </w:rPr>
              <w:t>volume</w:t>
            </w:r>
            <w:r w:rsidR="00E332B3" w:rsidRPr="007F5684">
              <w:rPr>
                <w:rFonts w:ascii="Times New Roman" w:hAnsi="Times New Roman"/>
                <w:szCs w:val="20"/>
              </w:rPr>
              <w:t xml:space="preserve"> and </w:t>
            </w:r>
            <w:r w:rsidR="002A7582" w:rsidRPr="007F5684">
              <w:rPr>
                <w:rFonts w:ascii="Times New Roman" w:hAnsi="Times New Roman"/>
                <w:szCs w:val="20"/>
              </w:rPr>
              <w:t xml:space="preserve">weighted average </w:t>
            </w:r>
            <w:r w:rsidR="00E332B3" w:rsidRPr="007F5684">
              <w:rPr>
                <w:rFonts w:ascii="Times New Roman" w:hAnsi="Times New Roman"/>
                <w:szCs w:val="20"/>
              </w:rPr>
              <w:t>spread of senior unsecured securities</w:t>
            </w:r>
            <w:r w:rsidR="00DD5897" w:rsidRPr="007F5684">
              <w:rPr>
                <w:rFonts w:ascii="Times New Roman" w:hAnsi="Times New Roman"/>
                <w:szCs w:val="20"/>
              </w:rPr>
              <w:t xml:space="preserve"> obtained</w:t>
            </w:r>
            <w:r w:rsidR="00E332B3" w:rsidRPr="007F5684">
              <w:rPr>
                <w:rFonts w:ascii="Times New Roman" w:hAnsi="Times New Roman"/>
                <w:szCs w:val="20"/>
              </w:rPr>
              <w:t>.</w:t>
            </w:r>
          </w:p>
        </w:tc>
      </w:tr>
      <w:tr w:rsidR="00E332B3" w:rsidRPr="007F5684" w:rsidTr="00ED41A4">
        <w:trPr>
          <w:trHeight w:val="255"/>
        </w:trPr>
        <w:tc>
          <w:tcPr>
            <w:tcW w:w="817" w:type="dxa"/>
            <w:shd w:val="clear" w:color="auto" w:fill="auto"/>
            <w:noWrap/>
          </w:tcPr>
          <w:p w:rsidR="002C154A" w:rsidRPr="007F5684" w:rsidRDefault="00B44BEB" w:rsidP="00ED41A4">
            <w:pPr>
              <w:spacing w:before="0" w:after="0"/>
              <w:jc w:val="left"/>
              <w:rPr>
                <w:rFonts w:ascii="Times New Roman" w:hAnsi="Times New Roman"/>
                <w:szCs w:val="20"/>
                <w:lang w:eastAsia="en-GB"/>
              </w:rPr>
            </w:pPr>
            <w:r w:rsidRPr="007F5684">
              <w:rPr>
                <w:rFonts w:ascii="Times New Roman" w:hAnsi="Times New Roman"/>
                <w:szCs w:val="20"/>
                <w:lang w:eastAsia="en-GB"/>
              </w:rPr>
              <w:t>10</w:t>
            </w:r>
          </w:p>
        </w:tc>
        <w:tc>
          <w:tcPr>
            <w:tcW w:w="7705" w:type="dxa"/>
            <w:shd w:val="clear" w:color="auto" w:fill="auto"/>
            <w:noWrap/>
          </w:tcPr>
          <w:p w:rsidR="002C154A" w:rsidRPr="007F5684" w:rsidRDefault="002C154A" w:rsidP="00ED41A4">
            <w:pPr>
              <w:jc w:val="left"/>
              <w:rPr>
                <w:rFonts w:ascii="Times New Roman" w:hAnsi="Times New Roman"/>
                <w:b/>
                <w:szCs w:val="20"/>
                <w:u w:val="single"/>
              </w:rPr>
            </w:pPr>
            <w:r w:rsidRPr="007F5684">
              <w:rPr>
                <w:rFonts w:ascii="Times New Roman" w:hAnsi="Times New Roman"/>
                <w:b/>
                <w:szCs w:val="20"/>
                <w:u w:val="single"/>
              </w:rPr>
              <w:t>1.3 Covered bonds</w:t>
            </w:r>
          </w:p>
          <w:p w:rsidR="00E332B3" w:rsidRPr="007F5684" w:rsidRDefault="00CE333E" w:rsidP="00ED41A4">
            <w:pPr>
              <w:jc w:val="left"/>
              <w:rPr>
                <w:rFonts w:ascii="Times New Roman" w:hAnsi="Times New Roman"/>
                <w:b/>
                <w:szCs w:val="20"/>
                <w:u w:val="single"/>
              </w:rPr>
            </w:pPr>
            <w:r w:rsidRPr="007F5684">
              <w:rPr>
                <w:rFonts w:ascii="Times New Roman" w:hAnsi="Times New Roman"/>
                <w:szCs w:val="20"/>
              </w:rPr>
              <w:t>Of the total funding reported in item 1, the total</w:t>
            </w:r>
            <w:r w:rsidR="00E332B3" w:rsidRPr="007F5684">
              <w:rPr>
                <w:rFonts w:ascii="Times New Roman" w:hAnsi="Times New Roman"/>
                <w:szCs w:val="20"/>
              </w:rPr>
              <w:t xml:space="preserve"> </w:t>
            </w:r>
            <w:r w:rsidR="00EA295B" w:rsidRPr="007F5684">
              <w:rPr>
                <w:rFonts w:ascii="Times New Roman" w:hAnsi="Times New Roman"/>
                <w:szCs w:val="20"/>
              </w:rPr>
              <w:t>volume</w:t>
            </w:r>
            <w:r w:rsidR="00E332B3" w:rsidRPr="007F5684">
              <w:rPr>
                <w:rFonts w:ascii="Times New Roman" w:hAnsi="Times New Roman"/>
                <w:szCs w:val="20"/>
              </w:rPr>
              <w:t xml:space="preserve"> and </w:t>
            </w:r>
            <w:r w:rsidR="002A7582" w:rsidRPr="007F5684">
              <w:rPr>
                <w:rFonts w:ascii="Times New Roman" w:hAnsi="Times New Roman"/>
                <w:szCs w:val="20"/>
              </w:rPr>
              <w:t xml:space="preserve">weighted average </w:t>
            </w:r>
            <w:r w:rsidR="00E332B3" w:rsidRPr="007F5684">
              <w:rPr>
                <w:rFonts w:ascii="Times New Roman" w:hAnsi="Times New Roman"/>
                <w:szCs w:val="20"/>
              </w:rPr>
              <w:t xml:space="preserve">spread of </w:t>
            </w:r>
            <w:r w:rsidR="0019013A" w:rsidRPr="007F5684">
              <w:rPr>
                <w:rFonts w:ascii="Times New Roman" w:hAnsi="Times New Roman"/>
                <w:szCs w:val="20"/>
              </w:rPr>
              <w:t xml:space="preserve">all </w:t>
            </w:r>
            <w:r w:rsidR="00E332B3" w:rsidRPr="007F5684">
              <w:rPr>
                <w:rFonts w:ascii="Times New Roman" w:hAnsi="Times New Roman"/>
                <w:szCs w:val="20"/>
              </w:rPr>
              <w:t>covered bond</w:t>
            </w:r>
            <w:r w:rsidR="0019013A" w:rsidRPr="007F5684">
              <w:rPr>
                <w:rFonts w:ascii="Times New Roman" w:hAnsi="Times New Roman"/>
                <w:szCs w:val="20"/>
              </w:rPr>
              <w:t xml:space="preserve"> issuance</w:t>
            </w:r>
            <w:r w:rsidR="00DD5897" w:rsidRPr="007F5684">
              <w:rPr>
                <w:rFonts w:ascii="Times New Roman" w:hAnsi="Times New Roman"/>
                <w:szCs w:val="20"/>
              </w:rPr>
              <w:t xml:space="preserve"> </w:t>
            </w:r>
            <w:r w:rsidR="0019013A" w:rsidRPr="007F5684">
              <w:rPr>
                <w:rFonts w:ascii="Times New Roman" w:hAnsi="Times New Roman"/>
                <w:szCs w:val="20"/>
              </w:rPr>
              <w:t>encumbering the institutions own assets</w:t>
            </w:r>
            <w:r w:rsidR="00E332B3" w:rsidRPr="007F5684">
              <w:rPr>
                <w:rFonts w:ascii="Times New Roman" w:hAnsi="Times New Roman"/>
                <w:szCs w:val="20"/>
              </w:rPr>
              <w:t>.</w:t>
            </w:r>
          </w:p>
        </w:tc>
      </w:tr>
      <w:tr w:rsidR="00E332B3" w:rsidRPr="007F5684" w:rsidTr="00ED41A4">
        <w:trPr>
          <w:trHeight w:val="255"/>
        </w:trPr>
        <w:tc>
          <w:tcPr>
            <w:tcW w:w="817" w:type="dxa"/>
            <w:shd w:val="clear" w:color="auto" w:fill="auto"/>
            <w:noWrap/>
          </w:tcPr>
          <w:p w:rsidR="002C154A" w:rsidRPr="007F5684" w:rsidRDefault="00B44BEB" w:rsidP="00ED41A4">
            <w:pPr>
              <w:spacing w:before="0" w:after="0"/>
              <w:jc w:val="left"/>
              <w:rPr>
                <w:rFonts w:ascii="Times New Roman" w:hAnsi="Times New Roman"/>
                <w:szCs w:val="20"/>
                <w:lang w:eastAsia="en-GB"/>
              </w:rPr>
            </w:pPr>
            <w:r w:rsidRPr="007F5684">
              <w:rPr>
                <w:rFonts w:ascii="Times New Roman" w:hAnsi="Times New Roman"/>
                <w:szCs w:val="20"/>
                <w:lang w:eastAsia="en-GB"/>
              </w:rPr>
              <w:t>11</w:t>
            </w:r>
          </w:p>
        </w:tc>
        <w:tc>
          <w:tcPr>
            <w:tcW w:w="7705" w:type="dxa"/>
            <w:shd w:val="clear" w:color="auto" w:fill="auto"/>
            <w:noWrap/>
          </w:tcPr>
          <w:p w:rsidR="002C154A" w:rsidRPr="007F5684" w:rsidRDefault="002C154A" w:rsidP="00ED41A4">
            <w:pPr>
              <w:jc w:val="left"/>
              <w:rPr>
                <w:rFonts w:ascii="Times New Roman" w:hAnsi="Times New Roman"/>
                <w:b/>
                <w:szCs w:val="20"/>
                <w:u w:val="single"/>
              </w:rPr>
            </w:pPr>
            <w:r w:rsidRPr="007F5684">
              <w:rPr>
                <w:rFonts w:ascii="Times New Roman" w:hAnsi="Times New Roman"/>
                <w:b/>
                <w:szCs w:val="20"/>
                <w:u w:val="single"/>
              </w:rPr>
              <w:t>1.4 Asset backed securities including ABCP</w:t>
            </w:r>
          </w:p>
          <w:p w:rsidR="00E332B3" w:rsidRPr="007F5684" w:rsidRDefault="00CE333E" w:rsidP="00ED41A4">
            <w:pPr>
              <w:jc w:val="left"/>
              <w:rPr>
                <w:rFonts w:ascii="Times New Roman" w:hAnsi="Times New Roman"/>
                <w:b/>
                <w:szCs w:val="20"/>
                <w:u w:val="single"/>
              </w:rPr>
            </w:pPr>
            <w:r w:rsidRPr="007F5684">
              <w:rPr>
                <w:rFonts w:ascii="Times New Roman" w:hAnsi="Times New Roman"/>
                <w:szCs w:val="20"/>
              </w:rPr>
              <w:t>Of the total funding reported in item 1, the total</w:t>
            </w:r>
            <w:r w:rsidR="00E332B3" w:rsidRPr="007F5684">
              <w:rPr>
                <w:rFonts w:ascii="Times New Roman" w:hAnsi="Times New Roman"/>
                <w:szCs w:val="20"/>
              </w:rPr>
              <w:t xml:space="preserve"> </w:t>
            </w:r>
            <w:r w:rsidR="00EA295B" w:rsidRPr="007F5684">
              <w:rPr>
                <w:rFonts w:ascii="Times New Roman" w:hAnsi="Times New Roman"/>
                <w:szCs w:val="20"/>
              </w:rPr>
              <w:t>volume</w:t>
            </w:r>
            <w:r w:rsidR="00E332B3" w:rsidRPr="007F5684">
              <w:rPr>
                <w:rFonts w:ascii="Times New Roman" w:hAnsi="Times New Roman"/>
                <w:szCs w:val="20"/>
              </w:rPr>
              <w:t xml:space="preserve"> and </w:t>
            </w:r>
            <w:r w:rsidR="002A7582" w:rsidRPr="007F5684">
              <w:rPr>
                <w:rFonts w:ascii="Times New Roman" w:hAnsi="Times New Roman"/>
                <w:szCs w:val="20"/>
              </w:rPr>
              <w:t>weighted average spread of a</w:t>
            </w:r>
            <w:r w:rsidR="00E332B3" w:rsidRPr="007F5684">
              <w:rPr>
                <w:rFonts w:ascii="Times New Roman" w:hAnsi="Times New Roman"/>
                <w:szCs w:val="20"/>
              </w:rPr>
              <w:t xml:space="preserve">sset backed securities </w:t>
            </w:r>
            <w:r w:rsidR="0019013A" w:rsidRPr="007F5684">
              <w:rPr>
                <w:rFonts w:ascii="Times New Roman" w:hAnsi="Times New Roman"/>
                <w:szCs w:val="20"/>
              </w:rPr>
              <w:t xml:space="preserve">issued </w:t>
            </w:r>
            <w:r w:rsidR="00E332B3" w:rsidRPr="007F5684">
              <w:rPr>
                <w:rFonts w:ascii="Times New Roman" w:hAnsi="Times New Roman"/>
                <w:szCs w:val="20"/>
              </w:rPr>
              <w:t xml:space="preserve">including </w:t>
            </w:r>
            <w:r w:rsidR="009A329A" w:rsidRPr="007F5684">
              <w:rPr>
                <w:rFonts w:ascii="Times New Roman" w:hAnsi="Times New Roman"/>
                <w:szCs w:val="20"/>
              </w:rPr>
              <w:t>asset backed commercial paper</w:t>
            </w:r>
            <w:r w:rsidR="00E332B3" w:rsidRPr="007F5684">
              <w:rPr>
                <w:rFonts w:ascii="Times New Roman" w:hAnsi="Times New Roman"/>
                <w:szCs w:val="20"/>
              </w:rPr>
              <w:t>.</w:t>
            </w:r>
          </w:p>
        </w:tc>
      </w:tr>
    </w:tbl>
    <w:p w:rsidR="002C154A" w:rsidRPr="007F5684" w:rsidRDefault="002C154A" w:rsidP="007F1A5A">
      <w:pPr>
        <w:pStyle w:val="Instructionsberschrift2"/>
        <w:numPr>
          <w:ilvl w:val="0"/>
          <w:numId w:val="0"/>
        </w:numPr>
        <w:rPr>
          <w:rFonts w:ascii="Times New Roman" w:hAnsi="Times New Roman" w:cs="Times New Roman"/>
          <w:szCs w:val="20"/>
        </w:rPr>
      </w:pPr>
    </w:p>
    <w:p w:rsidR="00181260" w:rsidRPr="007F5684" w:rsidRDefault="006000DF" w:rsidP="00DD5897">
      <w:pPr>
        <w:pStyle w:val="Instructionsberschrift2"/>
        <w:numPr>
          <w:ilvl w:val="1"/>
          <w:numId w:val="2"/>
        </w:numPr>
        <w:spacing w:before="0"/>
        <w:rPr>
          <w:rFonts w:ascii="Times New Roman" w:hAnsi="Times New Roman" w:cs="Times New Roman"/>
          <w:szCs w:val="20"/>
        </w:rPr>
      </w:pPr>
      <w:r w:rsidRPr="007F5684">
        <w:rPr>
          <w:rFonts w:ascii="Times New Roman" w:hAnsi="Times New Roman" w:cs="Times New Roman"/>
          <w:szCs w:val="20"/>
        </w:rPr>
        <w:t>Roll-over of funding</w:t>
      </w:r>
    </w:p>
    <w:p w:rsidR="00DD5897" w:rsidRPr="007F5684" w:rsidRDefault="00DD5897" w:rsidP="00DD5897">
      <w:pPr>
        <w:pStyle w:val="InstructionsText2"/>
        <w:numPr>
          <w:ilvl w:val="0"/>
          <w:numId w:val="8"/>
        </w:numPr>
        <w:rPr>
          <w:szCs w:val="20"/>
          <w:u w:val="none"/>
        </w:rPr>
      </w:pPr>
      <w:bookmarkStart w:id="2" w:name="_Toc308175821"/>
      <w:bookmarkStart w:id="3" w:name="_Toc310414968"/>
      <w:r w:rsidRPr="007F5684">
        <w:rPr>
          <w:szCs w:val="20"/>
          <w:u w:val="none"/>
        </w:rPr>
        <w:t>This template seeks to collect information about the</w:t>
      </w:r>
      <w:r w:rsidR="00DB3C37" w:rsidRPr="007F5684">
        <w:rPr>
          <w:szCs w:val="20"/>
          <w:u w:val="none"/>
        </w:rPr>
        <w:t xml:space="preserve"> volume of funds maturing and new funding obtained i.e. ‘roll-over of funding’ on a daily basis over a monthly time horizon.</w:t>
      </w:r>
    </w:p>
    <w:p w:rsidR="00DB3C37" w:rsidRPr="007F5684" w:rsidRDefault="00DB3C37" w:rsidP="00DD5897">
      <w:pPr>
        <w:pStyle w:val="InstructionsText2"/>
        <w:numPr>
          <w:ilvl w:val="0"/>
          <w:numId w:val="8"/>
        </w:numPr>
        <w:rPr>
          <w:szCs w:val="20"/>
          <w:u w:val="none"/>
        </w:rPr>
      </w:pPr>
      <w:r w:rsidRPr="007F5684">
        <w:rPr>
          <w:szCs w:val="20"/>
          <w:u w:val="none"/>
        </w:rPr>
        <w:t xml:space="preserve">Institutions </w:t>
      </w:r>
      <w:r w:rsidR="006A7234" w:rsidRPr="007F5684">
        <w:rPr>
          <w:szCs w:val="20"/>
          <w:u w:val="none"/>
        </w:rPr>
        <w:t>shall</w:t>
      </w:r>
      <w:r w:rsidRPr="007F5684">
        <w:rPr>
          <w:szCs w:val="20"/>
          <w:u w:val="none"/>
        </w:rPr>
        <w:t xml:space="preserve"> report the funding they have maturing in the following time buckets:</w:t>
      </w:r>
    </w:p>
    <w:p w:rsidR="00DB3C37" w:rsidRPr="007F5684" w:rsidRDefault="00DB3C37" w:rsidP="0094416B">
      <w:pPr>
        <w:pStyle w:val="InstructionsText2"/>
        <w:numPr>
          <w:ilvl w:val="1"/>
          <w:numId w:val="5"/>
        </w:numPr>
        <w:ind w:left="1276" w:hanging="283"/>
        <w:rPr>
          <w:szCs w:val="20"/>
          <w:u w:val="none"/>
        </w:rPr>
      </w:pPr>
      <w:r w:rsidRPr="007F5684">
        <w:rPr>
          <w:szCs w:val="20"/>
          <w:u w:val="none"/>
        </w:rPr>
        <w:t>Daily (columns E-G)</w:t>
      </w:r>
    </w:p>
    <w:p w:rsidR="00DB3C37" w:rsidRPr="007F5684" w:rsidRDefault="00DB3C37" w:rsidP="00DB3C37">
      <w:pPr>
        <w:pStyle w:val="InstructionsText2"/>
        <w:numPr>
          <w:ilvl w:val="1"/>
          <w:numId w:val="5"/>
        </w:numPr>
        <w:ind w:left="1276" w:hanging="283"/>
        <w:rPr>
          <w:szCs w:val="20"/>
          <w:u w:val="none"/>
        </w:rPr>
      </w:pPr>
      <w:r w:rsidRPr="007F5684">
        <w:rPr>
          <w:szCs w:val="20"/>
          <w:u w:val="none"/>
        </w:rPr>
        <w:t xml:space="preserve">Between 1 day and 1 week (columns </w:t>
      </w:r>
      <w:r w:rsidR="009A329A" w:rsidRPr="007F5684">
        <w:rPr>
          <w:szCs w:val="20"/>
          <w:u w:val="none"/>
        </w:rPr>
        <w:t>H-J</w:t>
      </w:r>
      <w:r w:rsidRPr="007F5684">
        <w:rPr>
          <w:szCs w:val="20"/>
          <w:u w:val="none"/>
        </w:rPr>
        <w:t>)</w:t>
      </w:r>
    </w:p>
    <w:p w:rsidR="00DB3C37" w:rsidRPr="007F5684" w:rsidRDefault="00DB3C37" w:rsidP="00DB3C37">
      <w:pPr>
        <w:pStyle w:val="InstructionsText2"/>
        <w:numPr>
          <w:ilvl w:val="1"/>
          <w:numId w:val="5"/>
        </w:numPr>
        <w:ind w:left="1276" w:hanging="283"/>
        <w:rPr>
          <w:szCs w:val="20"/>
          <w:u w:val="none"/>
        </w:rPr>
      </w:pPr>
      <w:r w:rsidRPr="007F5684">
        <w:rPr>
          <w:szCs w:val="20"/>
          <w:u w:val="none"/>
        </w:rPr>
        <w:t xml:space="preserve">Between 1 week and 2 weeks (columns </w:t>
      </w:r>
      <w:r w:rsidR="009A329A" w:rsidRPr="007F5684">
        <w:rPr>
          <w:szCs w:val="20"/>
          <w:u w:val="none"/>
        </w:rPr>
        <w:t>K-M</w:t>
      </w:r>
      <w:r w:rsidRPr="007F5684">
        <w:rPr>
          <w:szCs w:val="20"/>
          <w:u w:val="none"/>
        </w:rPr>
        <w:t>)</w:t>
      </w:r>
    </w:p>
    <w:p w:rsidR="00DB3C37" w:rsidRPr="007F5684" w:rsidRDefault="00DB3C37" w:rsidP="00DB3C37">
      <w:pPr>
        <w:pStyle w:val="InstructionsText2"/>
        <w:numPr>
          <w:ilvl w:val="1"/>
          <w:numId w:val="5"/>
        </w:numPr>
        <w:ind w:left="1276" w:hanging="283"/>
        <w:rPr>
          <w:szCs w:val="20"/>
          <w:u w:val="none"/>
        </w:rPr>
      </w:pPr>
      <w:r w:rsidRPr="007F5684">
        <w:rPr>
          <w:szCs w:val="20"/>
          <w:u w:val="none"/>
        </w:rPr>
        <w:t xml:space="preserve">Between 2 weeks and 1 month (columns </w:t>
      </w:r>
      <w:r w:rsidR="009A329A" w:rsidRPr="007F5684">
        <w:rPr>
          <w:szCs w:val="20"/>
          <w:u w:val="none"/>
        </w:rPr>
        <w:t>N-P</w:t>
      </w:r>
      <w:r w:rsidRPr="007F5684">
        <w:rPr>
          <w:szCs w:val="20"/>
          <w:u w:val="none"/>
        </w:rPr>
        <w:t>)</w:t>
      </w:r>
    </w:p>
    <w:p w:rsidR="00DB3C37" w:rsidRPr="007F5684" w:rsidRDefault="00DB3C37" w:rsidP="00DB3C37">
      <w:pPr>
        <w:pStyle w:val="InstructionsText2"/>
        <w:numPr>
          <w:ilvl w:val="1"/>
          <w:numId w:val="5"/>
        </w:numPr>
        <w:ind w:left="1276" w:hanging="283"/>
        <w:rPr>
          <w:szCs w:val="20"/>
          <w:u w:val="none"/>
        </w:rPr>
      </w:pPr>
      <w:r w:rsidRPr="007F5684">
        <w:rPr>
          <w:szCs w:val="20"/>
          <w:u w:val="none"/>
        </w:rPr>
        <w:t xml:space="preserve">Between 1 month and 3 months (columns </w:t>
      </w:r>
      <w:r w:rsidR="009A329A" w:rsidRPr="007F5684">
        <w:rPr>
          <w:szCs w:val="20"/>
          <w:u w:val="none"/>
        </w:rPr>
        <w:t>O-S</w:t>
      </w:r>
      <w:r w:rsidRPr="007F5684">
        <w:rPr>
          <w:szCs w:val="20"/>
          <w:u w:val="none"/>
        </w:rPr>
        <w:t>)</w:t>
      </w:r>
    </w:p>
    <w:p w:rsidR="00DB3C37" w:rsidRPr="007F5684" w:rsidRDefault="009A329A" w:rsidP="00DB3C37">
      <w:pPr>
        <w:pStyle w:val="InstructionsText2"/>
        <w:numPr>
          <w:ilvl w:val="1"/>
          <w:numId w:val="5"/>
        </w:numPr>
        <w:ind w:left="1276" w:hanging="283"/>
        <w:rPr>
          <w:szCs w:val="20"/>
          <w:u w:val="none"/>
        </w:rPr>
      </w:pPr>
      <w:r w:rsidRPr="007F5684">
        <w:rPr>
          <w:szCs w:val="20"/>
          <w:u w:val="none"/>
        </w:rPr>
        <w:t>Between 3 months and 6</w:t>
      </w:r>
      <w:r w:rsidR="00DB3C37" w:rsidRPr="007F5684">
        <w:rPr>
          <w:szCs w:val="20"/>
          <w:u w:val="none"/>
        </w:rPr>
        <w:t xml:space="preserve"> months (columns </w:t>
      </w:r>
      <w:r w:rsidRPr="007F5684">
        <w:rPr>
          <w:szCs w:val="20"/>
          <w:u w:val="none"/>
        </w:rPr>
        <w:t>T-V</w:t>
      </w:r>
      <w:r w:rsidR="00DB3C37" w:rsidRPr="007F5684">
        <w:rPr>
          <w:szCs w:val="20"/>
          <w:u w:val="none"/>
        </w:rPr>
        <w:t>)</w:t>
      </w:r>
    </w:p>
    <w:p w:rsidR="009A329A" w:rsidRPr="007F5684" w:rsidRDefault="00E851E7" w:rsidP="009A329A">
      <w:pPr>
        <w:pStyle w:val="InstructionsText2"/>
        <w:numPr>
          <w:ilvl w:val="1"/>
          <w:numId w:val="5"/>
        </w:numPr>
        <w:ind w:left="1276" w:hanging="283"/>
        <w:rPr>
          <w:szCs w:val="20"/>
          <w:u w:val="none"/>
        </w:rPr>
      </w:pPr>
      <w:r w:rsidRPr="007F5684">
        <w:rPr>
          <w:szCs w:val="20"/>
          <w:u w:val="none"/>
        </w:rPr>
        <w:t>M</w:t>
      </w:r>
      <w:r w:rsidR="009A329A" w:rsidRPr="007F5684">
        <w:rPr>
          <w:szCs w:val="20"/>
          <w:u w:val="none"/>
        </w:rPr>
        <w:t>aturing greater than 6 months (columns W-Y)</w:t>
      </w:r>
    </w:p>
    <w:p w:rsidR="00DB3C37" w:rsidRPr="007F5684" w:rsidRDefault="00DB3C37" w:rsidP="00ED41A4">
      <w:pPr>
        <w:pStyle w:val="InstructionsText2"/>
        <w:numPr>
          <w:ilvl w:val="0"/>
          <w:numId w:val="8"/>
        </w:numPr>
        <w:rPr>
          <w:szCs w:val="20"/>
          <w:u w:val="none"/>
        </w:rPr>
      </w:pPr>
      <w:r w:rsidRPr="007F5684">
        <w:rPr>
          <w:szCs w:val="20"/>
          <w:u w:val="none"/>
        </w:rPr>
        <w:t>For each time bucket as descri</w:t>
      </w:r>
      <w:r w:rsidR="00BF7037" w:rsidRPr="007F5684">
        <w:rPr>
          <w:szCs w:val="20"/>
          <w:u w:val="none"/>
        </w:rPr>
        <w:t>b</w:t>
      </w:r>
      <w:r w:rsidRPr="007F5684">
        <w:rPr>
          <w:szCs w:val="20"/>
          <w:u w:val="none"/>
        </w:rPr>
        <w:t xml:space="preserve">ed in point </w:t>
      </w:r>
      <w:r w:rsidR="008E246F" w:rsidRPr="007F5684">
        <w:rPr>
          <w:szCs w:val="20"/>
          <w:u w:val="none"/>
        </w:rPr>
        <w:t>2</w:t>
      </w:r>
      <w:bookmarkStart w:id="4" w:name="_GoBack"/>
      <w:bookmarkEnd w:id="4"/>
      <w:r w:rsidRPr="007F5684">
        <w:rPr>
          <w:szCs w:val="20"/>
          <w:u w:val="none"/>
        </w:rPr>
        <w:t xml:space="preserve"> above, the amount </w:t>
      </w:r>
      <w:r w:rsidR="00BF7037" w:rsidRPr="007F5684">
        <w:rPr>
          <w:szCs w:val="20"/>
          <w:u w:val="none"/>
        </w:rPr>
        <w:t>maturing</w:t>
      </w:r>
      <w:r w:rsidRPr="007F5684">
        <w:rPr>
          <w:szCs w:val="20"/>
          <w:u w:val="none"/>
        </w:rPr>
        <w:t xml:space="preserve"> </w:t>
      </w:r>
      <w:r w:rsidR="006A7234" w:rsidRPr="007F5684">
        <w:rPr>
          <w:szCs w:val="20"/>
          <w:u w:val="none"/>
        </w:rPr>
        <w:t>shall</w:t>
      </w:r>
      <w:r w:rsidRPr="007F5684">
        <w:rPr>
          <w:szCs w:val="20"/>
          <w:u w:val="none"/>
        </w:rPr>
        <w:t xml:space="preserve"> be reported in the left-hand column, new funds obtained (i.e. the agreed roll-over) </w:t>
      </w:r>
      <w:r w:rsidR="006A7234" w:rsidRPr="007F5684">
        <w:rPr>
          <w:szCs w:val="20"/>
          <w:u w:val="none"/>
        </w:rPr>
        <w:t>shall</w:t>
      </w:r>
      <w:r w:rsidR="00ED41A4" w:rsidRPr="007F5684">
        <w:rPr>
          <w:szCs w:val="20"/>
          <w:u w:val="none"/>
        </w:rPr>
        <w:t xml:space="preserve"> be reported in the central</w:t>
      </w:r>
      <w:r w:rsidRPr="007F5684">
        <w:rPr>
          <w:szCs w:val="20"/>
          <w:u w:val="none"/>
        </w:rPr>
        <w:t xml:space="preserve"> column and the net difference (i.e. maturing – new funds) </w:t>
      </w:r>
      <w:r w:rsidR="006A7234" w:rsidRPr="007F5684">
        <w:rPr>
          <w:szCs w:val="20"/>
          <w:u w:val="none"/>
        </w:rPr>
        <w:t>shall</w:t>
      </w:r>
      <w:r w:rsidRPr="007F5684">
        <w:rPr>
          <w:szCs w:val="20"/>
          <w:u w:val="none"/>
        </w:rPr>
        <w:t xml:space="preserve"> be reported in the right-hand column.</w:t>
      </w:r>
    </w:p>
    <w:p w:rsidR="00DB3C37" w:rsidRPr="007F5684" w:rsidRDefault="00DB3C37" w:rsidP="00DB3C37">
      <w:pPr>
        <w:pStyle w:val="InstructionsText2"/>
        <w:numPr>
          <w:ilvl w:val="0"/>
          <w:numId w:val="8"/>
        </w:numPr>
        <w:rPr>
          <w:szCs w:val="20"/>
          <w:u w:val="none"/>
        </w:rPr>
      </w:pPr>
      <w:r w:rsidRPr="007F5684">
        <w:rPr>
          <w:szCs w:val="20"/>
          <w:u w:val="none"/>
        </w:rPr>
        <w:t xml:space="preserve">Total net </w:t>
      </w:r>
      <w:proofErr w:type="spellStart"/>
      <w:r w:rsidRPr="007F5684">
        <w:rPr>
          <w:szCs w:val="20"/>
          <w:u w:val="none"/>
        </w:rPr>
        <w:t>cash</w:t>
      </w:r>
      <w:r w:rsidR="00784AE2" w:rsidRPr="007F5684">
        <w:rPr>
          <w:szCs w:val="20"/>
          <w:u w:val="none"/>
        </w:rPr>
        <w:t>f</w:t>
      </w:r>
      <w:r w:rsidRPr="007F5684">
        <w:rPr>
          <w:szCs w:val="20"/>
          <w:u w:val="none"/>
        </w:rPr>
        <w:t>lows</w:t>
      </w:r>
      <w:proofErr w:type="spellEnd"/>
      <w:r w:rsidRPr="007F5684">
        <w:rPr>
          <w:szCs w:val="20"/>
          <w:u w:val="none"/>
        </w:rPr>
        <w:t xml:space="preserve"> </w:t>
      </w:r>
      <w:r w:rsidR="006A7234" w:rsidRPr="007F5684">
        <w:rPr>
          <w:szCs w:val="20"/>
          <w:u w:val="none"/>
        </w:rPr>
        <w:t>shall</w:t>
      </w:r>
      <w:r w:rsidRPr="007F5684">
        <w:rPr>
          <w:szCs w:val="20"/>
          <w:u w:val="none"/>
        </w:rPr>
        <w:t xml:space="preserve"> be reported in column </w:t>
      </w:r>
      <w:r w:rsidR="007C6B89" w:rsidRPr="007F5684">
        <w:rPr>
          <w:szCs w:val="20"/>
          <w:u w:val="none"/>
        </w:rPr>
        <w:t>Z</w:t>
      </w:r>
      <w:r w:rsidRPr="007F5684">
        <w:rPr>
          <w:szCs w:val="20"/>
          <w:u w:val="none"/>
        </w:rPr>
        <w:t xml:space="preserve"> and </w:t>
      </w:r>
      <w:r w:rsidR="006A7234" w:rsidRPr="007F5684">
        <w:rPr>
          <w:szCs w:val="20"/>
          <w:u w:val="none"/>
        </w:rPr>
        <w:t>shall</w:t>
      </w:r>
      <w:r w:rsidRPr="007F5684">
        <w:rPr>
          <w:szCs w:val="20"/>
          <w:u w:val="none"/>
        </w:rPr>
        <w:t xml:space="preserve"> equal the sum of all ‘Net’ columns (i.e. G+</w:t>
      </w:r>
      <w:r w:rsidR="00E851E7" w:rsidRPr="007F5684">
        <w:rPr>
          <w:szCs w:val="20"/>
          <w:u w:val="none"/>
        </w:rPr>
        <w:t>J+M+P+S+V+Y</w:t>
      </w:r>
      <w:r w:rsidRPr="007F5684">
        <w:rPr>
          <w:szCs w:val="20"/>
          <w:u w:val="none"/>
        </w:rPr>
        <w:t>)</w:t>
      </w:r>
      <w:r w:rsidR="00CF44ED" w:rsidRPr="007F5684">
        <w:rPr>
          <w:szCs w:val="20"/>
          <w:u w:val="none"/>
        </w:rPr>
        <w:t>.</w:t>
      </w:r>
    </w:p>
    <w:p w:rsidR="00DB3C37" w:rsidRPr="007F5684" w:rsidRDefault="00DB3C37" w:rsidP="00DB3C37">
      <w:pPr>
        <w:pStyle w:val="InstructionsText2"/>
        <w:numPr>
          <w:ilvl w:val="0"/>
          <w:numId w:val="8"/>
        </w:numPr>
        <w:rPr>
          <w:szCs w:val="20"/>
          <w:u w:val="none"/>
        </w:rPr>
      </w:pPr>
      <w:r w:rsidRPr="007F5684">
        <w:rPr>
          <w:szCs w:val="20"/>
          <w:u w:val="none"/>
        </w:rPr>
        <w:t xml:space="preserve">The average term of funding (in days) for maturing term funds </w:t>
      </w:r>
      <w:r w:rsidR="006A7234" w:rsidRPr="007F5684">
        <w:rPr>
          <w:szCs w:val="20"/>
          <w:u w:val="none"/>
        </w:rPr>
        <w:t>shall</w:t>
      </w:r>
      <w:r w:rsidRPr="007F5684">
        <w:rPr>
          <w:szCs w:val="20"/>
          <w:u w:val="none"/>
        </w:rPr>
        <w:t xml:space="preserve"> be reported in column A</w:t>
      </w:r>
      <w:r w:rsidR="007C6B89" w:rsidRPr="007F5684">
        <w:rPr>
          <w:szCs w:val="20"/>
          <w:u w:val="none"/>
        </w:rPr>
        <w:t>A</w:t>
      </w:r>
      <w:r w:rsidRPr="007F5684">
        <w:rPr>
          <w:szCs w:val="20"/>
          <w:u w:val="none"/>
        </w:rPr>
        <w:t>.</w:t>
      </w:r>
    </w:p>
    <w:p w:rsidR="00DB3C37" w:rsidRPr="007F5684" w:rsidRDefault="00DB3C37" w:rsidP="00DB3C37">
      <w:pPr>
        <w:pStyle w:val="InstructionsText2"/>
        <w:numPr>
          <w:ilvl w:val="0"/>
          <w:numId w:val="8"/>
        </w:numPr>
        <w:rPr>
          <w:szCs w:val="20"/>
          <w:u w:val="none"/>
        </w:rPr>
      </w:pPr>
      <w:r w:rsidRPr="007F5684">
        <w:rPr>
          <w:szCs w:val="20"/>
          <w:u w:val="none"/>
        </w:rPr>
        <w:t xml:space="preserve"> The average term of funding (in days) for new term funds </w:t>
      </w:r>
      <w:r w:rsidR="006A7234" w:rsidRPr="007F5684">
        <w:rPr>
          <w:szCs w:val="20"/>
          <w:u w:val="none"/>
        </w:rPr>
        <w:t>shall</w:t>
      </w:r>
      <w:r w:rsidRPr="007F5684">
        <w:rPr>
          <w:szCs w:val="20"/>
          <w:u w:val="none"/>
        </w:rPr>
        <w:t xml:space="preserve"> be reported in column A</w:t>
      </w:r>
      <w:r w:rsidR="007C6B89" w:rsidRPr="007F5684">
        <w:rPr>
          <w:szCs w:val="20"/>
          <w:u w:val="none"/>
        </w:rPr>
        <w:t>B</w:t>
      </w:r>
      <w:r w:rsidRPr="007F5684">
        <w:rPr>
          <w:szCs w:val="20"/>
          <w:u w:val="none"/>
        </w:rPr>
        <w:t>.</w:t>
      </w:r>
    </w:p>
    <w:bookmarkEnd w:id="2"/>
    <w:bookmarkEnd w:id="3"/>
    <w:p w:rsidR="00ED41A4" w:rsidRPr="007F5684" w:rsidRDefault="00ED41A4" w:rsidP="00ED41A4">
      <w:pPr>
        <w:pStyle w:val="InstructionsText2"/>
        <w:numPr>
          <w:ilvl w:val="0"/>
          <w:numId w:val="8"/>
        </w:numPr>
        <w:rPr>
          <w:szCs w:val="20"/>
          <w:u w:val="none"/>
        </w:rPr>
      </w:pPr>
      <w:r w:rsidRPr="007F5684">
        <w:rPr>
          <w:szCs w:val="20"/>
          <w:u w:val="none"/>
        </w:rPr>
        <w:lastRenderedPageBreak/>
        <w:t>Instructions concerning specific rows: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279"/>
      </w:tblGrid>
      <w:tr w:rsidR="00ED41A4" w:rsidRPr="007F5684" w:rsidTr="005F4FE0">
        <w:trPr>
          <w:trHeight w:val="548"/>
        </w:trPr>
        <w:tc>
          <w:tcPr>
            <w:tcW w:w="729" w:type="pct"/>
            <w:shd w:val="clear" w:color="auto" w:fill="D9D9D9"/>
            <w:noWrap/>
            <w:vAlign w:val="center"/>
          </w:tcPr>
          <w:p w:rsidR="00ED41A4" w:rsidRPr="007F5684" w:rsidRDefault="00ED41A4" w:rsidP="005F4FE0">
            <w:pPr>
              <w:spacing w:before="0" w:after="0"/>
              <w:jc w:val="left"/>
              <w:rPr>
                <w:rFonts w:ascii="Times New Roman" w:hAnsi="Times New Roman"/>
                <w:color w:val="000000"/>
                <w:szCs w:val="20"/>
                <w:lang w:eastAsia="en-GB"/>
              </w:rPr>
            </w:pPr>
            <w:r w:rsidRPr="007F5684">
              <w:rPr>
                <w:rStyle w:val="InstructionsTabelleText"/>
                <w:rFonts w:ascii="Times New Roman" w:hAnsi="Times New Roman"/>
                <w:color w:val="000000"/>
                <w:szCs w:val="20"/>
                <w:lang w:eastAsia="en-GB"/>
              </w:rPr>
              <w:t>Column</w:t>
            </w:r>
          </w:p>
        </w:tc>
        <w:tc>
          <w:tcPr>
            <w:tcW w:w="4271" w:type="pct"/>
            <w:shd w:val="clear" w:color="auto" w:fill="D9D9D9"/>
            <w:vAlign w:val="center"/>
          </w:tcPr>
          <w:p w:rsidR="00ED41A4" w:rsidRPr="007F5684" w:rsidRDefault="00ED41A4" w:rsidP="005F4FE0">
            <w:pPr>
              <w:spacing w:before="0" w:after="0"/>
              <w:jc w:val="left"/>
              <w:rPr>
                <w:rFonts w:ascii="Times New Roman" w:hAnsi="Times New Roman"/>
                <w:szCs w:val="20"/>
                <w:lang w:eastAsia="en-GB"/>
              </w:rPr>
            </w:pPr>
            <w:r w:rsidRPr="007F5684">
              <w:rPr>
                <w:rStyle w:val="InstructionsTabelleText"/>
                <w:rFonts w:ascii="Times New Roman" w:hAnsi="Times New Roman"/>
                <w:szCs w:val="20"/>
                <w:lang w:eastAsia="en-GB"/>
              </w:rPr>
              <w:t>Legal references and instructions</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E-G</w:t>
            </w:r>
          </w:p>
        </w:tc>
        <w:tc>
          <w:tcPr>
            <w:tcW w:w="4271" w:type="pct"/>
            <w:shd w:val="clear" w:color="auto" w:fill="auto"/>
          </w:tcPr>
          <w:p w:rsidR="00ED41A4" w:rsidRPr="007F5684" w:rsidRDefault="00ED41A4" w:rsidP="00ED41A4">
            <w:pPr>
              <w:jc w:val="left"/>
              <w:rPr>
                <w:rFonts w:ascii="Times New Roman" w:hAnsi="Times New Roman"/>
                <w:b/>
                <w:szCs w:val="20"/>
                <w:u w:val="single"/>
              </w:rPr>
            </w:pPr>
            <w:r w:rsidRPr="007F5684">
              <w:rPr>
                <w:rFonts w:ascii="Times New Roman" w:hAnsi="Times New Roman"/>
                <w:b/>
                <w:szCs w:val="20"/>
                <w:u w:val="single"/>
              </w:rPr>
              <w:t>Daily</w:t>
            </w:r>
          </w:p>
          <w:p w:rsidR="00ED41A4" w:rsidRPr="007F5684" w:rsidRDefault="00ED41A4" w:rsidP="00ED41A4">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funding maturing on a daily basis </w:t>
            </w:r>
            <w:r w:rsidR="006A7234" w:rsidRPr="007F5684">
              <w:rPr>
                <w:rFonts w:ascii="Times New Roman" w:hAnsi="Times New Roman"/>
                <w:szCs w:val="20"/>
              </w:rPr>
              <w:t>shall</w:t>
            </w:r>
            <w:r w:rsidRPr="007F5684">
              <w:rPr>
                <w:rFonts w:ascii="Times New Roman" w:hAnsi="Times New Roman"/>
                <w:szCs w:val="20"/>
              </w:rPr>
              <w:t xml:space="preserve"> be reported in column E of line item 1.01-1.31. For months with less than 31 days, irrelevant lines </w:t>
            </w:r>
            <w:r w:rsidR="006A7234" w:rsidRPr="007F5684">
              <w:rPr>
                <w:rFonts w:ascii="Times New Roman" w:hAnsi="Times New Roman"/>
                <w:szCs w:val="20"/>
              </w:rPr>
              <w:t>shall</w:t>
            </w:r>
            <w:r w:rsidRPr="007F5684">
              <w:rPr>
                <w:rFonts w:ascii="Times New Roman" w:hAnsi="Times New Roman"/>
                <w:szCs w:val="20"/>
              </w:rPr>
              <w:t xml:space="preserve"> be completed with zeros.</w:t>
            </w:r>
          </w:p>
          <w:p w:rsidR="00ED41A4" w:rsidRPr="007F5684" w:rsidRDefault="00ED41A4" w:rsidP="00ED41A4">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new funding granted on a daily basis </w:t>
            </w:r>
            <w:r w:rsidR="006A7234" w:rsidRPr="007F5684">
              <w:rPr>
                <w:rFonts w:ascii="Times New Roman" w:hAnsi="Times New Roman"/>
                <w:szCs w:val="20"/>
              </w:rPr>
              <w:t>shall</w:t>
            </w:r>
            <w:r w:rsidRPr="007F5684">
              <w:rPr>
                <w:rFonts w:ascii="Times New Roman" w:hAnsi="Times New Roman"/>
                <w:szCs w:val="20"/>
              </w:rPr>
              <w:t xml:space="preserve"> be reported in column F of line item 1.01-1.31.</w:t>
            </w:r>
          </w:p>
          <w:p w:rsidR="00ED41A4" w:rsidRPr="007F5684" w:rsidRDefault="00ED41A4" w:rsidP="00ED41A4">
            <w:pPr>
              <w:jc w:val="left"/>
              <w:rPr>
                <w:rFonts w:ascii="Times New Roman" w:hAnsi="Times New Roman"/>
                <w:szCs w:val="20"/>
              </w:rPr>
            </w:pPr>
            <w:r w:rsidRPr="007F5684">
              <w:rPr>
                <w:rFonts w:ascii="Times New Roman" w:hAnsi="Times New Roman"/>
                <w:szCs w:val="20"/>
              </w:rPr>
              <w:t xml:space="preserve">The net difference between maturing daily funding and new daily funding granted </w:t>
            </w:r>
            <w:r w:rsidR="006A7234" w:rsidRPr="007F5684">
              <w:rPr>
                <w:rFonts w:ascii="Times New Roman" w:hAnsi="Times New Roman"/>
                <w:szCs w:val="20"/>
              </w:rPr>
              <w:t>shall</w:t>
            </w:r>
            <w:r w:rsidRPr="007F5684">
              <w:rPr>
                <w:rFonts w:ascii="Times New Roman" w:hAnsi="Times New Roman"/>
                <w:szCs w:val="20"/>
              </w:rPr>
              <w:t xml:space="preserve"> be reported in column G of line item 1.01-1.31.</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H-J</w:t>
            </w:r>
          </w:p>
        </w:tc>
        <w:tc>
          <w:tcPr>
            <w:tcW w:w="4271" w:type="pct"/>
            <w:shd w:val="clear" w:color="auto" w:fill="auto"/>
          </w:tcPr>
          <w:p w:rsidR="00ED41A4" w:rsidRPr="007F5684" w:rsidRDefault="00ED41A4" w:rsidP="00ED41A4">
            <w:pPr>
              <w:jc w:val="left"/>
              <w:rPr>
                <w:rFonts w:ascii="Times New Roman" w:hAnsi="Times New Roman"/>
                <w:b/>
                <w:szCs w:val="20"/>
                <w:u w:val="single"/>
              </w:rPr>
            </w:pPr>
            <w:r w:rsidRPr="007F5684">
              <w:rPr>
                <w:rFonts w:ascii="Times New Roman" w:hAnsi="Times New Roman"/>
                <w:b/>
                <w:szCs w:val="20"/>
                <w:u w:val="single"/>
              </w:rPr>
              <w:t>&gt; 1 day ≤ 7 days</w:t>
            </w:r>
          </w:p>
          <w:p w:rsidR="00ED41A4" w:rsidRPr="007F5684" w:rsidRDefault="00ED41A4" w:rsidP="00ED41A4">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funding maturing </w:t>
            </w:r>
            <w:r w:rsidR="007C6B89" w:rsidRPr="007F5684">
              <w:rPr>
                <w:rFonts w:ascii="Times New Roman" w:hAnsi="Times New Roman"/>
                <w:szCs w:val="20"/>
              </w:rPr>
              <w:t>between one day and one week</w:t>
            </w:r>
            <w:r w:rsidRPr="007F5684">
              <w:rPr>
                <w:rFonts w:ascii="Times New Roman" w:hAnsi="Times New Roman"/>
                <w:szCs w:val="20"/>
              </w:rPr>
              <w:t xml:space="preserve"> </w:t>
            </w:r>
            <w:r w:rsidR="006A7234" w:rsidRPr="007F5684">
              <w:rPr>
                <w:rFonts w:ascii="Times New Roman" w:hAnsi="Times New Roman"/>
                <w:szCs w:val="20"/>
              </w:rPr>
              <w:t>shall</w:t>
            </w:r>
            <w:r w:rsidRPr="007F5684">
              <w:rPr>
                <w:rFonts w:ascii="Times New Roman" w:hAnsi="Times New Roman"/>
                <w:szCs w:val="20"/>
              </w:rPr>
              <w:t xml:space="preserve"> be reported in column </w:t>
            </w:r>
            <w:r w:rsidR="007C6B89" w:rsidRPr="007F5684">
              <w:rPr>
                <w:rFonts w:ascii="Times New Roman" w:hAnsi="Times New Roman"/>
                <w:szCs w:val="20"/>
              </w:rPr>
              <w:t>H</w:t>
            </w:r>
            <w:r w:rsidRPr="007F5684">
              <w:rPr>
                <w:rFonts w:ascii="Times New Roman" w:hAnsi="Times New Roman"/>
                <w:szCs w:val="20"/>
              </w:rPr>
              <w:t xml:space="preserve"> of line item 1.01-1.31. For months with less than 31 days, irrelevant lines </w:t>
            </w:r>
            <w:r w:rsidR="006A7234" w:rsidRPr="007F5684">
              <w:rPr>
                <w:rFonts w:ascii="Times New Roman" w:hAnsi="Times New Roman"/>
                <w:szCs w:val="20"/>
              </w:rPr>
              <w:t>shall</w:t>
            </w:r>
            <w:r w:rsidRPr="007F5684">
              <w:rPr>
                <w:rFonts w:ascii="Times New Roman" w:hAnsi="Times New Roman"/>
                <w:szCs w:val="20"/>
              </w:rPr>
              <w:t xml:space="preserve"> be completed with zeros.</w:t>
            </w:r>
          </w:p>
          <w:p w:rsidR="00ED41A4" w:rsidRPr="007F5684" w:rsidRDefault="00ED41A4" w:rsidP="00ED41A4">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new funding granted </w:t>
            </w:r>
            <w:r w:rsidR="007C6B89" w:rsidRPr="007F5684">
              <w:rPr>
                <w:rFonts w:ascii="Times New Roman" w:hAnsi="Times New Roman"/>
                <w:szCs w:val="20"/>
              </w:rPr>
              <w:t xml:space="preserve">for </w:t>
            </w:r>
            <w:proofErr w:type="gramStart"/>
            <w:r w:rsidR="007C6B89" w:rsidRPr="007F5684">
              <w:rPr>
                <w:rFonts w:ascii="Times New Roman" w:hAnsi="Times New Roman"/>
                <w:szCs w:val="20"/>
              </w:rPr>
              <w:t>a duration</w:t>
            </w:r>
            <w:proofErr w:type="gramEnd"/>
            <w:r w:rsidR="007C6B89" w:rsidRPr="007F5684">
              <w:rPr>
                <w:rFonts w:ascii="Times New Roman" w:hAnsi="Times New Roman"/>
                <w:szCs w:val="20"/>
              </w:rPr>
              <w:t xml:space="preserve"> between one day and one week</w:t>
            </w:r>
            <w:r w:rsidRPr="007F5684">
              <w:rPr>
                <w:rFonts w:ascii="Times New Roman" w:hAnsi="Times New Roman"/>
                <w:szCs w:val="20"/>
              </w:rPr>
              <w:t xml:space="preserve"> </w:t>
            </w:r>
            <w:r w:rsidR="006A7234" w:rsidRPr="007F5684">
              <w:rPr>
                <w:rFonts w:ascii="Times New Roman" w:hAnsi="Times New Roman"/>
                <w:szCs w:val="20"/>
              </w:rPr>
              <w:t>shall</w:t>
            </w:r>
            <w:r w:rsidRPr="007F5684">
              <w:rPr>
                <w:rFonts w:ascii="Times New Roman" w:hAnsi="Times New Roman"/>
                <w:szCs w:val="20"/>
              </w:rPr>
              <w:t xml:space="preserve"> be reported in column </w:t>
            </w:r>
            <w:r w:rsidR="007C6B89" w:rsidRPr="007F5684">
              <w:rPr>
                <w:rFonts w:ascii="Times New Roman" w:hAnsi="Times New Roman"/>
                <w:szCs w:val="20"/>
              </w:rPr>
              <w:t>I</w:t>
            </w:r>
            <w:r w:rsidRPr="007F5684">
              <w:rPr>
                <w:rFonts w:ascii="Times New Roman" w:hAnsi="Times New Roman"/>
                <w:szCs w:val="20"/>
              </w:rPr>
              <w:t xml:space="preserve"> of line item 1.01-1.31.</w:t>
            </w:r>
          </w:p>
          <w:p w:rsidR="00ED41A4" w:rsidRPr="007F5684" w:rsidRDefault="00ED41A4" w:rsidP="00ED41A4">
            <w:pPr>
              <w:jc w:val="left"/>
              <w:rPr>
                <w:rFonts w:ascii="Times New Roman" w:hAnsi="Times New Roman"/>
                <w:b/>
                <w:szCs w:val="20"/>
                <w:u w:val="single"/>
              </w:rPr>
            </w:pPr>
            <w:r w:rsidRPr="007F5684">
              <w:rPr>
                <w:rFonts w:ascii="Times New Roman" w:hAnsi="Times New Roman"/>
                <w:szCs w:val="20"/>
              </w:rPr>
              <w:t xml:space="preserve">The net difference between maturing funding and new funding granted </w:t>
            </w:r>
            <w:r w:rsidR="006A7234" w:rsidRPr="007F5684">
              <w:rPr>
                <w:rFonts w:ascii="Times New Roman" w:hAnsi="Times New Roman"/>
                <w:szCs w:val="20"/>
              </w:rPr>
              <w:t>shall</w:t>
            </w:r>
            <w:r w:rsidRPr="007F5684">
              <w:rPr>
                <w:rFonts w:ascii="Times New Roman" w:hAnsi="Times New Roman"/>
                <w:szCs w:val="20"/>
              </w:rPr>
              <w:t xml:space="preserve"> be reported in column </w:t>
            </w:r>
            <w:r w:rsidR="007C6B89" w:rsidRPr="007F5684">
              <w:rPr>
                <w:rFonts w:ascii="Times New Roman" w:hAnsi="Times New Roman"/>
                <w:szCs w:val="20"/>
              </w:rPr>
              <w:t>J</w:t>
            </w:r>
            <w:r w:rsidRPr="007F5684">
              <w:rPr>
                <w:rFonts w:ascii="Times New Roman" w:hAnsi="Times New Roman"/>
                <w:szCs w:val="20"/>
              </w:rPr>
              <w:t xml:space="preserve"> of line item 1.01-1.31.</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K-M</w:t>
            </w:r>
          </w:p>
        </w:tc>
        <w:tc>
          <w:tcPr>
            <w:tcW w:w="4271" w:type="pct"/>
            <w:shd w:val="clear" w:color="auto" w:fill="auto"/>
          </w:tcPr>
          <w:p w:rsidR="00ED41A4" w:rsidRPr="007F5684" w:rsidRDefault="00ED41A4" w:rsidP="00ED41A4">
            <w:pPr>
              <w:jc w:val="left"/>
              <w:rPr>
                <w:rFonts w:ascii="Times New Roman" w:hAnsi="Times New Roman"/>
                <w:b/>
                <w:szCs w:val="20"/>
                <w:u w:val="single"/>
              </w:rPr>
            </w:pPr>
            <w:r w:rsidRPr="007F5684">
              <w:rPr>
                <w:rFonts w:ascii="Times New Roman" w:hAnsi="Times New Roman"/>
                <w:b/>
                <w:szCs w:val="20"/>
                <w:u w:val="single"/>
              </w:rPr>
              <w:t>&gt;7days ≤ 14 days</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funding maturing between one week and two weeks </w:t>
            </w:r>
            <w:r w:rsidR="006A7234" w:rsidRPr="007F5684">
              <w:rPr>
                <w:rFonts w:ascii="Times New Roman" w:hAnsi="Times New Roman"/>
                <w:szCs w:val="20"/>
              </w:rPr>
              <w:t>shall</w:t>
            </w:r>
            <w:r w:rsidRPr="007F5684">
              <w:rPr>
                <w:rFonts w:ascii="Times New Roman" w:hAnsi="Times New Roman"/>
                <w:szCs w:val="20"/>
              </w:rPr>
              <w:t xml:space="preserve"> be reported in column K of line item 1.01-1.31. For months with less than 31 days, irrelevant lines </w:t>
            </w:r>
            <w:r w:rsidR="006A7234" w:rsidRPr="007F5684">
              <w:rPr>
                <w:rFonts w:ascii="Times New Roman" w:hAnsi="Times New Roman"/>
                <w:szCs w:val="20"/>
              </w:rPr>
              <w:t>shall</w:t>
            </w:r>
            <w:r w:rsidRPr="007F5684">
              <w:rPr>
                <w:rFonts w:ascii="Times New Roman" w:hAnsi="Times New Roman"/>
                <w:szCs w:val="20"/>
              </w:rPr>
              <w:t xml:space="preserve"> be completed with zeros.</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new funding granted for a duration between one week and two weeks </w:t>
            </w:r>
            <w:r w:rsidR="006A7234" w:rsidRPr="007F5684">
              <w:rPr>
                <w:rFonts w:ascii="Times New Roman" w:hAnsi="Times New Roman"/>
                <w:szCs w:val="20"/>
              </w:rPr>
              <w:t>shall</w:t>
            </w:r>
            <w:r w:rsidRPr="007F5684">
              <w:rPr>
                <w:rFonts w:ascii="Times New Roman" w:hAnsi="Times New Roman"/>
                <w:szCs w:val="20"/>
              </w:rPr>
              <w:t xml:space="preserve"> be reported in column L of line item 1.01-1.31.</w:t>
            </w:r>
          </w:p>
          <w:p w:rsidR="00ED41A4" w:rsidRPr="007F5684" w:rsidRDefault="007C6B89" w:rsidP="007C6B89">
            <w:pPr>
              <w:jc w:val="left"/>
              <w:rPr>
                <w:rFonts w:ascii="Times New Roman" w:hAnsi="Times New Roman"/>
                <w:b/>
                <w:szCs w:val="20"/>
                <w:u w:val="single"/>
              </w:rPr>
            </w:pPr>
            <w:r w:rsidRPr="007F5684">
              <w:rPr>
                <w:rFonts w:ascii="Times New Roman" w:hAnsi="Times New Roman"/>
                <w:szCs w:val="20"/>
              </w:rPr>
              <w:t xml:space="preserve">The net difference between maturing funding and new funding granted </w:t>
            </w:r>
            <w:r w:rsidR="006A7234" w:rsidRPr="007F5684">
              <w:rPr>
                <w:rFonts w:ascii="Times New Roman" w:hAnsi="Times New Roman"/>
                <w:szCs w:val="20"/>
              </w:rPr>
              <w:t>shall</w:t>
            </w:r>
            <w:r w:rsidRPr="007F5684">
              <w:rPr>
                <w:rFonts w:ascii="Times New Roman" w:hAnsi="Times New Roman"/>
                <w:szCs w:val="20"/>
              </w:rPr>
              <w:t xml:space="preserve"> be reported in column M of line item 1.01-1.31.</w:t>
            </w:r>
            <w:r w:rsidR="00ED41A4" w:rsidRPr="007F5684">
              <w:rPr>
                <w:rFonts w:ascii="Times New Roman" w:hAnsi="Times New Roman"/>
                <w:szCs w:val="20"/>
              </w:rPr>
              <w:t>1.31.</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N-P</w:t>
            </w:r>
          </w:p>
        </w:tc>
        <w:tc>
          <w:tcPr>
            <w:tcW w:w="4271" w:type="pct"/>
            <w:shd w:val="clear" w:color="auto" w:fill="auto"/>
          </w:tcPr>
          <w:p w:rsidR="00ED41A4" w:rsidRPr="007F5684" w:rsidRDefault="00ED41A4" w:rsidP="00ED41A4">
            <w:pPr>
              <w:jc w:val="left"/>
              <w:rPr>
                <w:rFonts w:ascii="Times New Roman" w:hAnsi="Times New Roman"/>
                <w:b/>
                <w:szCs w:val="20"/>
                <w:u w:val="single"/>
              </w:rPr>
            </w:pPr>
            <w:r w:rsidRPr="007F5684">
              <w:rPr>
                <w:rFonts w:ascii="Times New Roman" w:hAnsi="Times New Roman"/>
                <w:b/>
                <w:szCs w:val="20"/>
                <w:u w:val="single"/>
              </w:rPr>
              <w:t>&gt;14 days ≤ 1 month</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funding maturing between two weeks and one month </w:t>
            </w:r>
            <w:r w:rsidR="006A7234" w:rsidRPr="007F5684">
              <w:rPr>
                <w:rFonts w:ascii="Times New Roman" w:hAnsi="Times New Roman"/>
                <w:szCs w:val="20"/>
              </w:rPr>
              <w:t>shall</w:t>
            </w:r>
            <w:r w:rsidRPr="007F5684">
              <w:rPr>
                <w:rFonts w:ascii="Times New Roman" w:hAnsi="Times New Roman"/>
                <w:szCs w:val="20"/>
              </w:rPr>
              <w:t xml:space="preserve"> be reported in column N of line item 1.01-1.31. For months with less than 31 days, irrelevant lines </w:t>
            </w:r>
            <w:r w:rsidR="006A7234" w:rsidRPr="007F5684">
              <w:rPr>
                <w:rFonts w:ascii="Times New Roman" w:hAnsi="Times New Roman"/>
                <w:szCs w:val="20"/>
              </w:rPr>
              <w:t>shall</w:t>
            </w:r>
            <w:r w:rsidRPr="007F5684">
              <w:rPr>
                <w:rFonts w:ascii="Times New Roman" w:hAnsi="Times New Roman"/>
                <w:szCs w:val="20"/>
              </w:rPr>
              <w:t xml:space="preserve"> be completed with zeros.</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new funding granted for a duration between two weeks and one month </w:t>
            </w:r>
            <w:r w:rsidR="006A7234" w:rsidRPr="007F5684">
              <w:rPr>
                <w:rFonts w:ascii="Times New Roman" w:hAnsi="Times New Roman"/>
                <w:szCs w:val="20"/>
              </w:rPr>
              <w:t>shall</w:t>
            </w:r>
            <w:r w:rsidRPr="007F5684">
              <w:rPr>
                <w:rFonts w:ascii="Times New Roman" w:hAnsi="Times New Roman"/>
                <w:szCs w:val="20"/>
              </w:rPr>
              <w:t xml:space="preserve"> be reported in column O of line item 1.01-1.31.</w:t>
            </w:r>
          </w:p>
          <w:p w:rsidR="00ED41A4" w:rsidRPr="007F5684" w:rsidRDefault="007C6B89" w:rsidP="007C6B89">
            <w:pPr>
              <w:jc w:val="left"/>
              <w:rPr>
                <w:rFonts w:ascii="Times New Roman" w:hAnsi="Times New Roman"/>
                <w:b/>
                <w:szCs w:val="20"/>
                <w:u w:val="single"/>
              </w:rPr>
            </w:pPr>
            <w:r w:rsidRPr="007F5684">
              <w:rPr>
                <w:rFonts w:ascii="Times New Roman" w:hAnsi="Times New Roman"/>
                <w:szCs w:val="20"/>
              </w:rPr>
              <w:t xml:space="preserve">The net difference between maturing funding and new funding granted </w:t>
            </w:r>
            <w:r w:rsidR="006A7234" w:rsidRPr="007F5684">
              <w:rPr>
                <w:rFonts w:ascii="Times New Roman" w:hAnsi="Times New Roman"/>
                <w:szCs w:val="20"/>
              </w:rPr>
              <w:t>shall</w:t>
            </w:r>
            <w:r w:rsidRPr="007F5684">
              <w:rPr>
                <w:rFonts w:ascii="Times New Roman" w:hAnsi="Times New Roman"/>
                <w:szCs w:val="20"/>
              </w:rPr>
              <w:t xml:space="preserve"> be reported in column P of line item 1.01-1.31.</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Q-S</w:t>
            </w:r>
          </w:p>
        </w:tc>
        <w:tc>
          <w:tcPr>
            <w:tcW w:w="4271" w:type="pct"/>
            <w:shd w:val="clear" w:color="auto" w:fill="auto"/>
          </w:tcPr>
          <w:p w:rsidR="00ED41A4" w:rsidRPr="007F5684" w:rsidRDefault="00ED41A4" w:rsidP="00ED41A4">
            <w:pPr>
              <w:jc w:val="left"/>
              <w:rPr>
                <w:rFonts w:ascii="Times New Roman" w:hAnsi="Times New Roman"/>
                <w:b/>
                <w:szCs w:val="20"/>
                <w:u w:val="single"/>
              </w:rPr>
            </w:pPr>
            <w:r w:rsidRPr="007F5684">
              <w:rPr>
                <w:rFonts w:ascii="Times New Roman" w:hAnsi="Times New Roman"/>
                <w:b/>
                <w:szCs w:val="20"/>
                <w:u w:val="single"/>
              </w:rPr>
              <w:t>&gt;=1 Month ≤ 3 Months</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funding maturing between one month and three months </w:t>
            </w:r>
            <w:r w:rsidR="006A7234" w:rsidRPr="007F5684">
              <w:rPr>
                <w:rFonts w:ascii="Times New Roman" w:hAnsi="Times New Roman"/>
                <w:szCs w:val="20"/>
              </w:rPr>
              <w:t>shall</w:t>
            </w:r>
            <w:r w:rsidRPr="007F5684">
              <w:rPr>
                <w:rFonts w:ascii="Times New Roman" w:hAnsi="Times New Roman"/>
                <w:szCs w:val="20"/>
              </w:rPr>
              <w:t xml:space="preserve"> be reported in column Q of line item 1.01-1.31. For months with less than 31 days, irrelevant lines </w:t>
            </w:r>
            <w:r w:rsidR="006A7234" w:rsidRPr="007F5684">
              <w:rPr>
                <w:rFonts w:ascii="Times New Roman" w:hAnsi="Times New Roman"/>
                <w:szCs w:val="20"/>
              </w:rPr>
              <w:t>shall</w:t>
            </w:r>
            <w:r w:rsidRPr="007F5684">
              <w:rPr>
                <w:rFonts w:ascii="Times New Roman" w:hAnsi="Times New Roman"/>
                <w:szCs w:val="20"/>
              </w:rPr>
              <w:t xml:space="preserve"> be completed with zeros.</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new funding granted for a duration between one month and three months </w:t>
            </w:r>
            <w:r w:rsidR="006A7234" w:rsidRPr="007F5684">
              <w:rPr>
                <w:rFonts w:ascii="Times New Roman" w:hAnsi="Times New Roman"/>
                <w:szCs w:val="20"/>
              </w:rPr>
              <w:t>shall</w:t>
            </w:r>
            <w:r w:rsidRPr="007F5684">
              <w:rPr>
                <w:rFonts w:ascii="Times New Roman" w:hAnsi="Times New Roman"/>
                <w:szCs w:val="20"/>
              </w:rPr>
              <w:t xml:space="preserve"> be reported in column R of line item 1.01-1.31.</w:t>
            </w:r>
          </w:p>
          <w:p w:rsidR="00ED41A4" w:rsidRPr="007F5684" w:rsidRDefault="007C6B89" w:rsidP="007C6B89">
            <w:pPr>
              <w:jc w:val="left"/>
              <w:rPr>
                <w:rFonts w:ascii="Times New Roman" w:hAnsi="Times New Roman"/>
                <w:b/>
                <w:szCs w:val="20"/>
                <w:u w:val="single"/>
              </w:rPr>
            </w:pPr>
            <w:r w:rsidRPr="007F5684">
              <w:rPr>
                <w:rFonts w:ascii="Times New Roman" w:hAnsi="Times New Roman"/>
                <w:szCs w:val="20"/>
              </w:rPr>
              <w:t xml:space="preserve">The net difference between maturing funding and new funding granted </w:t>
            </w:r>
            <w:r w:rsidR="006A7234" w:rsidRPr="007F5684">
              <w:rPr>
                <w:rFonts w:ascii="Times New Roman" w:hAnsi="Times New Roman"/>
                <w:szCs w:val="20"/>
              </w:rPr>
              <w:t>shall</w:t>
            </w:r>
            <w:r w:rsidRPr="007F5684">
              <w:rPr>
                <w:rFonts w:ascii="Times New Roman" w:hAnsi="Times New Roman"/>
                <w:szCs w:val="20"/>
              </w:rPr>
              <w:t xml:space="preserve"> be reported in column S of line item 1.01-1.31.</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lastRenderedPageBreak/>
              <w:t>T-V</w:t>
            </w:r>
          </w:p>
        </w:tc>
        <w:tc>
          <w:tcPr>
            <w:tcW w:w="4271" w:type="pct"/>
            <w:shd w:val="clear" w:color="auto" w:fill="auto"/>
          </w:tcPr>
          <w:p w:rsidR="005A40BE" w:rsidRPr="007F5684" w:rsidRDefault="005A40BE" w:rsidP="005A40BE">
            <w:pPr>
              <w:jc w:val="left"/>
              <w:rPr>
                <w:rFonts w:ascii="Times New Roman" w:hAnsi="Times New Roman"/>
                <w:b/>
                <w:szCs w:val="20"/>
                <w:u w:val="single"/>
              </w:rPr>
            </w:pPr>
            <w:r w:rsidRPr="007F5684">
              <w:rPr>
                <w:rFonts w:ascii="Times New Roman" w:hAnsi="Times New Roman"/>
                <w:b/>
                <w:szCs w:val="20"/>
                <w:u w:val="single"/>
              </w:rPr>
              <w:t>&gt;=3 Months ≤ 6 Months</w:t>
            </w:r>
          </w:p>
          <w:p w:rsidR="005A40BE" w:rsidRPr="007F5684" w:rsidRDefault="005A40BE" w:rsidP="005A40BE">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funding maturing between three months and six months </w:t>
            </w:r>
            <w:r w:rsidR="006A7234" w:rsidRPr="007F5684">
              <w:rPr>
                <w:rFonts w:ascii="Times New Roman" w:hAnsi="Times New Roman"/>
                <w:szCs w:val="20"/>
              </w:rPr>
              <w:t>shall</w:t>
            </w:r>
            <w:r w:rsidRPr="007F5684">
              <w:rPr>
                <w:rFonts w:ascii="Times New Roman" w:hAnsi="Times New Roman"/>
                <w:szCs w:val="20"/>
              </w:rPr>
              <w:t xml:space="preserve"> be reported in column T of line item 1.01-1.31. For months with less than 31 days, irrelevant lines </w:t>
            </w:r>
            <w:r w:rsidR="006A7234" w:rsidRPr="007F5684">
              <w:rPr>
                <w:rFonts w:ascii="Times New Roman" w:hAnsi="Times New Roman"/>
                <w:szCs w:val="20"/>
              </w:rPr>
              <w:t>shall</w:t>
            </w:r>
            <w:r w:rsidRPr="007F5684">
              <w:rPr>
                <w:rFonts w:ascii="Times New Roman" w:hAnsi="Times New Roman"/>
                <w:szCs w:val="20"/>
              </w:rPr>
              <w:t xml:space="preserve"> be completed with zeros.</w:t>
            </w:r>
          </w:p>
          <w:p w:rsidR="005A40BE" w:rsidRPr="007F5684" w:rsidRDefault="005A40BE" w:rsidP="005A40BE">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new funding granted for </w:t>
            </w:r>
            <w:proofErr w:type="gramStart"/>
            <w:r w:rsidRPr="007F5684">
              <w:rPr>
                <w:rFonts w:ascii="Times New Roman" w:hAnsi="Times New Roman"/>
                <w:szCs w:val="20"/>
              </w:rPr>
              <w:t>a duration</w:t>
            </w:r>
            <w:proofErr w:type="gramEnd"/>
            <w:r w:rsidRPr="007F5684">
              <w:rPr>
                <w:rFonts w:ascii="Times New Roman" w:hAnsi="Times New Roman"/>
                <w:szCs w:val="20"/>
              </w:rPr>
              <w:t xml:space="preserve"> between three months and six months </w:t>
            </w:r>
            <w:r w:rsidR="006A7234" w:rsidRPr="007F5684">
              <w:rPr>
                <w:rFonts w:ascii="Times New Roman" w:hAnsi="Times New Roman"/>
                <w:szCs w:val="20"/>
              </w:rPr>
              <w:t>shall</w:t>
            </w:r>
            <w:r w:rsidRPr="007F5684">
              <w:rPr>
                <w:rFonts w:ascii="Times New Roman" w:hAnsi="Times New Roman"/>
                <w:szCs w:val="20"/>
              </w:rPr>
              <w:t xml:space="preserve"> be reported in column U of line item 1.01-1.31.</w:t>
            </w:r>
          </w:p>
          <w:p w:rsidR="00ED41A4" w:rsidRPr="007F5684" w:rsidRDefault="005A40BE" w:rsidP="005A40BE">
            <w:pPr>
              <w:jc w:val="left"/>
              <w:rPr>
                <w:rFonts w:ascii="Times New Roman" w:hAnsi="Times New Roman"/>
                <w:b/>
                <w:szCs w:val="20"/>
                <w:u w:val="single"/>
              </w:rPr>
            </w:pPr>
            <w:r w:rsidRPr="007F5684">
              <w:rPr>
                <w:rFonts w:ascii="Times New Roman" w:hAnsi="Times New Roman"/>
                <w:szCs w:val="20"/>
              </w:rPr>
              <w:t xml:space="preserve">The net difference between maturing funding and new funding granted </w:t>
            </w:r>
            <w:r w:rsidR="006A7234" w:rsidRPr="007F5684">
              <w:rPr>
                <w:rFonts w:ascii="Times New Roman" w:hAnsi="Times New Roman"/>
                <w:szCs w:val="20"/>
              </w:rPr>
              <w:t>shall</w:t>
            </w:r>
            <w:r w:rsidRPr="007F5684">
              <w:rPr>
                <w:rFonts w:ascii="Times New Roman" w:hAnsi="Times New Roman"/>
                <w:szCs w:val="20"/>
              </w:rPr>
              <w:t xml:space="preserve"> be reported in column V of line item 1.01-1.31.</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W-Y</w:t>
            </w:r>
          </w:p>
        </w:tc>
        <w:tc>
          <w:tcPr>
            <w:tcW w:w="4271" w:type="pct"/>
            <w:shd w:val="clear" w:color="auto" w:fill="auto"/>
          </w:tcPr>
          <w:p w:rsidR="00ED41A4" w:rsidRPr="007F5684" w:rsidRDefault="005A40BE" w:rsidP="00ED41A4">
            <w:pPr>
              <w:jc w:val="left"/>
              <w:rPr>
                <w:rFonts w:ascii="Times New Roman" w:hAnsi="Times New Roman"/>
                <w:b/>
                <w:szCs w:val="20"/>
                <w:u w:val="single"/>
              </w:rPr>
            </w:pPr>
            <w:r w:rsidRPr="007F5684">
              <w:rPr>
                <w:rFonts w:ascii="Times New Roman" w:hAnsi="Times New Roman"/>
                <w:b/>
                <w:szCs w:val="20"/>
                <w:u w:val="single"/>
              </w:rPr>
              <w:t>&gt;</w:t>
            </w:r>
            <w:r w:rsidR="00ED41A4" w:rsidRPr="007F5684">
              <w:rPr>
                <w:rFonts w:ascii="Times New Roman" w:hAnsi="Times New Roman"/>
                <w:b/>
                <w:szCs w:val="20"/>
                <w:u w:val="single"/>
              </w:rPr>
              <w:t>6 Months</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funding maturing </w:t>
            </w:r>
            <w:r w:rsidR="005A40BE" w:rsidRPr="007F5684">
              <w:rPr>
                <w:rFonts w:ascii="Times New Roman" w:hAnsi="Times New Roman"/>
                <w:szCs w:val="20"/>
              </w:rPr>
              <w:t>beyond</w:t>
            </w:r>
            <w:r w:rsidRPr="007F5684">
              <w:rPr>
                <w:rFonts w:ascii="Times New Roman" w:hAnsi="Times New Roman"/>
                <w:szCs w:val="20"/>
              </w:rPr>
              <w:t xml:space="preserve"> six months </w:t>
            </w:r>
            <w:r w:rsidR="006A7234" w:rsidRPr="007F5684">
              <w:rPr>
                <w:rFonts w:ascii="Times New Roman" w:hAnsi="Times New Roman"/>
                <w:szCs w:val="20"/>
              </w:rPr>
              <w:t>shall</w:t>
            </w:r>
            <w:r w:rsidRPr="007F5684">
              <w:rPr>
                <w:rFonts w:ascii="Times New Roman" w:hAnsi="Times New Roman"/>
                <w:szCs w:val="20"/>
              </w:rPr>
              <w:t xml:space="preserve"> be reported in column W of line item 1.01-1.31. For months with less than 31 days, irrelevant lines </w:t>
            </w:r>
            <w:r w:rsidR="006A7234" w:rsidRPr="007F5684">
              <w:rPr>
                <w:rFonts w:ascii="Times New Roman" w:hAnsi="Times New Roman"/>
                <w:szCs w:val="20"/>
              </w:rPr>
              <w:t>shall</w:t>
            </w:r>
            <w:r w:rsidRPr="007F5684">
              <w:rPr>
                <w:rFonts w:ascii="Times New Roman" w:hAnsi="Times New Roman"/>
                <w:szCs w:val="20"/>
              </w:rPr>
              <w:t xml:space="preserve"> be completed with zeros.</w:t>
            </w:r>
          </w:p>
          <w:p w:rsidR="007C6B89" w:rsidRPr="007F5684" w:rsidRDefault="007C6B89" w:rsidP="007C6B89">
            <w:pPr>
              <w:jc w:val="left"/>
              <w:rPr>
                <w:rFonts w:ascii="Times New Roman" w:hAnsi="Times New Roman"/>
                <w:szCs w:val="20"/>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amount of new funding granted for </w:t>
            </w:r>
            <w:proofErr w:type="gramStart"/>
            <w:r w:rsidRPr="007F5684">
              <w:rPr>
                <w:rFonts w:ascii="Times New Roman" w:hAnsi="Times New Roman"/>
                <w:szCs w:val="20"/>
              </w:rPr>
              <w:t>a duration</w:t>
            </w:r>
            <w:proofErr w:type="gramEnd"/>
            <w:r w:rsidRPr="007F5684">
              <w:rPr>
                <w:rFonts w:ascii="Times New Roman" w:hAnsi="Times New Roman"/>
                <w:szCs w:val="20"/>
              </w:rPr>
              <w:t xml:space="preserve"> </w:t>
            </w:r>
            <w:r w:rsidR="005A40BE" w:rsidRPr="007F5684">
              <w:rPr>
                <w:rFonts w:ascii="Times New Roman" w:hAnsi="Times New Roman"/>
                <w:szCs w:val="20"/>
              </w:rPr>
              <w:t>beyond</w:t>
            </w:r>
            <w:r w:rsidRPr="007F5684">
              <w:rPr>
                <w:rFonts w:ascii="Times New Roman" w:hAnsi="Times New Roman"/>
                <w:szCs w:val="20"/>
              </w:rPr>
              <w:t xml:space="preserve"> six months </w:t>
            </w:r>
            <w:r w:rsidR="006A7234" w:rsidRPr="007F5684">
              <w:rPr>
                <w:rFonts w:ascii="Times New Roman" w:hAnsi="Times New Roman"/>
                <w:szCs w:val="20"/>
              </w:rPr>
              <w:t>shall</w:t>
            </w:r>
            <w:r w:rsidRPr="007F5684">
              <w:rPr>
                <w:rFonts w:ascii="Times New Roman" w:hAnsi="Times New Roman"/>
                <w:szCs w:val="20"/>
              </w:rPr>
              <w:t xml:space="preserve"> be reported in column X of line item 1.01-1.31.</w:t>
            </w:r>
          </w:p>
          <w:p w:rsidR="00ED41A4" w:rsidRPr="007F5684" w:rsidRDefault="007C6B89" w:rsidP="007C6B89">
            <w:pPr>
              <w:jc w:val="left"/>
              <w:rPr>
                <w:rFonts w:ascii="Times New Roman" w:hAnsi="Times New Roman"/>
                <w:b/>
                <w:szCs w:val="20"/>
                <w:u w:val="single"/>
              </w:rPr>
            </w:pPr>
            <w:r w:rsidRPr="007F5684">
              <w:rPr>
                <w:rFonts w:ascii="Times New Roman" w:hAnsi="Times New Roman"/>
                <w:szCs w:val="20"/>
              </w:rPr>
              <w:t xml:space="preserve">The net difference between maturing funding and new funding granted </w:t>
            </w:r>
            <w:r w:rsidR="006A7234" w:rsidRPr="007F5684">
              <w:rPr>
                <w:rFonts w:ascii="Times New Roman" w:hAnsi="Times New Roman"/>
                <w:szCs w:val="20"/>
              </w:rPr>
              <w:t>shall</w:t>
            </w:r>
            <w:r w:rsidRPr="007F5684">
              <w:rPr>
                <w:rFonts w:ascii="Times New Roman" w:hAnsi="Times New Roman"/>
                <w:szCs w:val="20"/>
              </w:rPr>
              <w:t xml:space="preserve"> be reported in column Y of line item 1.01-1.31.</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Z</w:t>
            </w:r>
          </w:p>
        </w:tc>
        <w:tc>
          <w:tcPr>
            <w:tcW w:w="4271" w:type="pct"/>
            <w:shd w:val="clear" w:color="auto" w:fill="auto"/>
          </w:tcPr>
          <w:p w:rsidR="00ED41A4" w:rsidRPr="007F5684" w:rsidRDefault="00ED41A4" w:rsidP="00ED41A4">
            <w:pPr>
              <w:jc w:val="left"/>
              <w:rPr>
                <w:rFonts w:ascii="Times New Roman" w:hAnsi="Times New Roman"/>
                <w:b/>
                <w:szCs w:val="20"/>
                <w:u w:val="single"/>
              </w:rPr>
            </w:pPr>
            <w:r w:rsidRPr="007F5684">
              <w:rPr>
                <w:rFonts w:ascii="Times New Roman" w:hAnsi="Times New Roman"/>
                <w:b/>
                <w:szCs w:val="20"/>
                <w:u w:val="single"/>
              </w:rPr>
              <w:t xml:space="preserve">Total net </w:t>
            </w:r>
            <w:proofErr w:type="spellStart"/>
            <w:r w:rsidRPr="007F5684">
              <w:rPr>
                <w:rFonts w:ascii="Times New Roman" w:hAnsi="Times New Roman"/>
                <w:b/>
                <w:szCs w:val="20"/>
                <w:u w:val="single"/>
              </w:rPr>
              <w:t>cashflows</w:t>
            </w:r>
            <w:proofErr w:type="spellEnd"/>
          </w:p>
          <w:p w:rsidR="007C6B89" w:rsidRPr="007F5684" w:rsidRDefault="007C6B89" w:rsidP="00ED41A4">
            <w:pPr>
              <w:jc w:val="left"/>
              <w:rPr>
                <w:rFonts w:ascii="Times New Roman" w:hAnsi="Times New Roman"/>
                <w:b/>
                <w:szCs w:val="20"/>
                <w:u w:val="single"/>
              </w:rPr>
            </w:pPr>
            <w:r w:rsidRPr="007F5684">
              <w:rPr>
                <w:rFonts w:ascii="Times New Roman" w:hAnsi="Times New Roman"/>
                <w:szCs w:val="20"/>
              </w:rPr>
              <w:t>T</w:t>
            </w:r>
            <w:r w:rsidR="008C5FE9" w:rsidRPr="007F5684">
              <w:rPr>
                <w:rFonts w:ascii="Times New Roman" w:hAnsi="Times New Roman"/>
                <w:szCs w:val="20"/>
              </w:rPr>
              <w:t>he t</w:t>
            </w:r>
            <w:r w:rsidRPr="007F5684">
              <w:rPr>
                <w:rFonts w:ascii="Times New Roman" w:hAnsi="Times New Roman"/>
                <w:szCs w:val="20"/>
              </w:rPr>
              <w:t xml:space="preserve">otal net </w:t>
            </w:r>
            <w:proofErr w:type="spellStart"/>
            <w:r w:rsidRPr="007F5684">
              <w:rPr>
                <w:rFonts w:ascii="Times New Roman" w:hAnsi="Times New Roman"/>
                <w:szCs w:val="20"/>
              </w:rPr>
              <w:t>cashflows</w:t>
            </w:r>
            <w:proofErr w:type="spellEnd"/>
            <w:r w:rsidRPr="007F5684">
              <w:rPr>
                <w:rFonts w:ascii="Times New Roman" w:hAnsi="Times New Roman"/>
                <w:szCs w:val="20"/>
              </w:rPr>
              <w:t xml:space="preserve"> equal to the sum of all ‘Net’ columns (i.e. G+</w:t>
            </w:r>
            <w:r w:rsidR="00561DD9" w:rsidRPr="007F5684">
              <w:rPr>
                <w:rFonts w:ascii="Times New Roman" w:hAnsi="Times New Roman"/>
                <w:szCs w:val="20"/>
              </w:rPr>
              <w:t>J</w:t>
            </w:r>
            <w:r w:rsidRPr="007F5684">
              <w:rPr>
                <w:rFonts w:ascii="Times New Roman" w:hAnsi="Times New Roman"/>
                <w:szCs w:val="20"/>
              </w:rPr>
              <w:t>+</w:t>
            </w:r>
            <w:r w:rsidR="00561DD9" w:rsidRPr="007F5684">
              <w:rPr>
                <w:rFonts w:ascii="Times New Roman" w:hAnsi="Times New Roman"/>
                <w:szCs w:val="20"/>
              </w:rPr>
              <w:t>M</w:t>
            </w:r>
            <w:r w:rsidRPr="007F5684">
              <w:rPr>
                <w:rFonts w:ascii="Times New Roman" w:hAnsi="Times New Roman"/>
                <w:szCs w:val="20"/>
              </w:rPr>
              <w:t>+</w:t>
            </w:r>
            <w:r w:rsidR="00561DD9" w:rsidRPr="007F5684">
              <w:rPr>
                <w:rFonts w:ascii="Times New Roman" w:hAnsi="Times New Roman"/>
                <w:szCs w:val="20"/>
              </w:rPr>
              <w:t>P</w:t>
            </w:r>
            <w:r w:rsidRPr="007F5684">
              <w:rPr>
                <w:rFonts w:ascii="Times New Roman" w:hAnsi="Times New Roman"/>
                <w:szCs w:val="20"/>
              </w:rPr>
              <w:t>+</w:t>
            </w:r>
            <w:r w:rsidR="00561DD9" w:rsidRPr="007F5684">
              <w:rPr>
                <w:rFonts w:ascii="Times New Roman" w:hAnsi="Times New Roman"/>
                <w:szCs w:val="20"/>
              </w:rPr>
              <w:t>S</w:t>
            </w:r>
            <w:r w:rsidRPr="007F5684">
              <w:rPr>
                <w:rFonts w:ascii="Times New Roman" w:hAnsi="Times New Roman"/>
                <w:szCs w:val="20"/>
              </w:rPr>
              <w:t>+</w:t>
            </w:r>
            <w:r w:rsidR="00561DD9" w:rsidRPr="007F5684">
              <w:rPr>
                <w:rFonts w:ascii="Times New Roman" w:hAnsi="Times New Roman"/>
                <w:szCs w:val="20"/>
              </w:rPr>
              <w:t>V+Y</w:t>
            </w:r>
            <w:r w:rsidRPr="007F5684">
              <w:rPr>
                <w:rFonts w:ascii="Times New Roman" w:hAnsi="Times New Roman"/>
                <w:szCs w:val="20"/>
              </w:rPr>
              <w:t xml:space="preserve">) </w:t>
            </w:r>
            <w:r w:rsidR="006A7234" w:rsidRPr="007F5684">
              <w:rPr>
                <w:rFonts w:ascii="Times New Roman" w:hAnsi="Times New Roman"/>
                <w:szCs w:val="20"/>
              </w:rPr>
              <w:t>shall</w:t>
            </w:r>
            <w:r w:rsidRPr="007F5684">
              <w:rPr>
                <w:rFonts w:ascii="Times New Roman" w:hAnsi="Times New Roman"/>
                <w:szCs w:val="20"/>
              </w:rPr>
              <w:t xml:space="preserve"> be reported in column Z.</w:t>
            </w:r>
          </w:p>
        </w:tc>
      </w:tr>
      <w:tr w:rsidR="00ED41A4" w:rsidRPr="007F5684" w:rsidTr="00ED41A4">
        <w:trPr>
          <w:trHeight w:val="765"/>
        </w:trPr>
        <w:tc>
          <w:tcPr>
            <w:tcW w:w="729" w:type="pct"/>
            <w:shd w:val="clear" w:color="auto" w:fill="auto"/>
            <w:noWrap/>
          </w:tcPr>
          <w:p w:rsidR="00ED41A4" w:rsidRPr="007F5684" w:rsidRDefault="00ED41A4" w:rsidP="00ED41A4">
            <w:pPr>
              <w:spacing w:before="0" w:after="0"/>
              <w:jc w:val="left"/>
              <w:rPr>
                <w:rFonts w:ascii="Times New Roman" w:hAnsi="Times New Roman"/>
                <w:color w:val="000000"/>
                <w:szCs w:val="20"/>
                <w:lang w:eastAsia="en-GB"/>
              </w:rPr>
            </w:pPr>
            <w:r w:rsidRPr="007F5684">
              <w:rPr>
                <w:rFonts w:ascii="Times New Roman" w:hAnsi="Times New Roman"/>
                <w:color w:val="000000"/>
                <w:szCs w:val="20"/>
                <w:lang w:eastAsia="en-GB"/>
              </w:rPr>
              <w:t>AA-AB</w:t>
            </w:r>
          </w:p>
        </w:tc>
        <w:tc>
          <w:tcPr>
            <w:tcW w:w="4271" w:type="pct"/>
            <w:shd w:val="clear" w:color="auto" w:fill="auto"/>
          </w:tcPr>
          <w:p w:rsidR="00ED41A4" w:rsidRPr="007F5684" w:rsidRDefault="00ED41A4" w:rsidP="00ED41A4">
            <w:pPr>
              <w:jc w:val="left"/>
              <w:rPr>
                <w:rFonts w:ascii="Times New Roman" w:hAnsi="Times New Roman"/>
                <w:b/>
                <w:szCs w:val="20"/>
                <w:u w:val="single"/>
              </w:rPr>
            </w:pPr>
            <w:r w:rsidRPr="007F5684">
              <w:rPr>
                <w:rFonts w:ascii="Times New Roman" w:hAnsi="Times New Roman"/>
                <w:b/>
                <w:szCs w:val="20"/>
                <w:u w:val="single"/>
              </w:rPr>
              <w:t>Average Term (days)</w:t>
            </w:r>
          </w:p>
          <w:p w:rsidR="007C6B89" w:rsidRPr="007F5684" w:rsidRDefault="007C6B89" w:rsidP="00ED41A4">
            <w:pPr>
              <w:jc w:val="left"/>
              <w:rPr>
                <w:rFonts w:ascii="Times New Roman" w:hAnsi="Times New Roman"/>
                <w:b/>
                <w:szCs w:val="20"/>
                <w:u w:val="single"/>
              </w:rPr>
            </w:pPr>
            <w:r w:rsidRPr="007F5684">
              <w:rPr>
                <w:rFonts w:ascii="Times New Roman" w:hAnsi="Times New Roman"/>
                <w:szCs w:val="20"/>
              </w:rPr>
              <w:t xml:space="preserve">The weighted average term (in days) of all funds maturing </w:t>
            </w:r>
            <w:r w:rsidR="006A7234" w:rsidRPr="007F5684">
              <w:rPr>
                <w:rFonts w:ascii="Times New Roman" w:hAnsi="Times New Roman"/>
                <w:szCs w:val="20"/>
              </w:rPr>
              <w:t>shall</w:t>
            </w:r>
            <w:r w:rsidRPr="007F5684">
              <w:rPr>
                <w:rFonts w:ascii="Times New Roman" w:hAnsi="Times New Roman"/>
                <w:szCs w:val="20"/>
              </w:rPr>
              <w:t xml:space="preserve"> be reported in column AA. And the weighted average term (in days) of all new funds </w:t>
            </w:r>
            <w:r w:rsidR="006A7234" w:rsidRPr="007F5684">
              <w:rPr>
                <w:rFonts w:ascii="Times New Roman" w:hAnsi="Times New Roman"/>
                <w:szCs w:val="20"/>
              </w:rPr>
              <w:t>shall</w:t>
            </w:r>
            <w:r w:rsidRPr="007F5684">
              <w:rPr>
                <w:rFonts w:ascii="Times New Roman" w:hAnsi="Times New Roman"/>
                <w:szCs w:val="20"/>
              </w:rPr>
              <w:t xml:space="preserve"> be reported in column AB.</w:t>
            </w:r>
          </w:p>
        </w:tc>
      </w:tr>
    </w:tbl>
    <w:p w:rsidR="00ED41A4" w:rsidRPr="00ED41A4" w:rsidRDefault="00ED41A4" w:rsidP="00ED41A4">
      <w:pPr>
        <w:pStyle w:val="InstructionsText2"/>
        <w:numPr>
          <w:ilvl w:val="0"/>
          <w:numId w:val="0"/>
        </w:numPr>
        <w:rPr>
          <w:u w:val="none"/>
        </w:rPr>
      </w:pPr>
    </w:p>
    <w:sectPr w:rsidR="00ED41A4" w:rsidRPr="00ED41A4" w:rsidSect="00FD1CD2">
      <w:pgSz w:w="11906" w:h="16838"/>
      <w:pgMar w:top="1440" w:right="1800" w:bottom="1440" w:left="1800" w:header="130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B7" w:rsidRDefault="003E50B7">
      <w:r>
        <w:separator/>
      </w:r>
    </w:p>
  </w:endnote>
  <w:endnote w:type="continuationSeparator" w:id="0">
    <w:p w:rsidR="003E50B7" w:rsidRDefault="003E5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B7" w:rsidRDefault="003E50B7">
      <w:r>
        <w:separator/>
      </w:r>
    </w:p>
  </w:footnote>
  <w:footnote w:type="continuationSeparator" w:id="0">
    <w:p w:rsidR="003E50B7" w:rsidRDefault="003E5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208F"/>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
    <w:nsid w:val="043D5720"/>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
    <w:nsid w:val="058D2501"/>
    <w:multiLevelType w:val="multilevel"/>
    <w:tmpl w:val="ABB242F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3">
    <w:nsid w:val="0BE619A9"/>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4">
    <w:nsid w:val="179E3A92"/>
    <w:multiLevelType w:val="multilevel"/>
    <w:tmpl w:val="574C786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5">
    <w:nsid w:val="1B084130"/>
    <w:multiLevelType w:val="multilevel"/>
    <w:tmpl w:val="6B088E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6">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F81BD"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F81BD"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F81BD"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nsid w:val="23674DE4"/>
    <w:multiLevelType w:val="multilevel"/>
    <w:tmpl w:val="3E1C1DAC"/>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8">
    <w:nsid w:val="24A74FA7"/>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9">
    <w:nsid w:val="26387793"/>
    <w:multiLevelType w:val="multilevel"/>
    <w:tmpl w:val="574C786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0">
    <w:nsid w:val="2C29681E"/>
    <w:multiLevelType w:val="multilevel"/>
    <w:tmpl w:val="1C52F916"/>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1">
    <w:nsid w:val="33057CB8"/>
    <w:multiLevelType w:val="hybridMultilevel"/>
    <w:tmpl w:val="1BD64C78"/>
    <w:lvl w:ilvl="0" w:tplc="236EA62C">
      <w:start w:val="1"/>
      <w:numFmt w:val="decimal"/>
      <w:pStyle w:val="InstructionsText2"/>
      <w:lvlText w:val="%1."/>
      <w:lvlJc w:val="left"/>
      <w:pPr>
        <w:ind w:left="720" w:hanging="360"/>
      </w:pPr>
    </w:lvl>
    <w:lvl w:ilvl="1" w:tplc="DABE385E">
      <w:start w:val="1"/>
      <w:numFmt w:val="lowerRoman"/>
      <w:lvlText w:val="(%2)"/>
      <w:lvlJc w:val="left"/>
      <w:pPr>
        <w:tabs>
          <w:tab w:val="num" w:pos="1800"/>
        </w:tabs>
        <w:ind w:left="1800" w:hanging="720"/>
      </w:pPr>
      <w:rPr>
        <w:rFonts w:hint="default"/>
      </w:rPr>
    </w:lvl>
    <w:lvl w:ilvl="2" w:tplc="58287F7C">
      <w:start w:val="1"/>
      <w:numFmt w:val="lowerLetter"/>
      <w:lvlText w:val="(%3)"/>
      <w:lvlJc w:val="left"/>
      <w:pPr>
        <w:tabs>
          <w:tab w:val="num" w:pos="2340"/>
        </w:tabs>
        <w:ind w:left="2340" w:hanging="360"/>
      </w:pPr>
      <w:rPr>
        <w:rFonts w:hint="default"/>
      </w:r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2">
    <w:nsid w:val="35B81F9C"/>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3">
    <w:nsid w:val="4EE02518"/>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4">
    <w:nsid w:val="528A4FD9"/>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5">
    <w:nsid w:val="55AB371B"/>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16">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18">
    <w:nsid w:val="68E61726"/>
    <w:multiLevelType w:val="multilevel"/>
    <w:tmpl w:val="5D4CC18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17"/>
        </w:tabs>
        <w:ind w:left="717" w:hanging="360"/>
      </w:pPr>
      <w:rPr>
        <w:rFonts w:ascii="Times New Roman" w:eastAsia="Times New Roman" w:hAnsi="Times New Roman" w:cs="Times New Roman"/>
      </w:rPr>
    </w:lvl>
    <w:lvl w:ilvl="2">
      <w:start w:val="1"/>
      <w:numFmt w:val="lowerRoman"/>
      <w:lvlText w:val="(%3)"/>
      <w:lvlJc w:val="left"/>
      <w:pPr>
        <w:tabs>
          <w:tab w:val="num" w:pos="1434"/>
        </w:tabs>
        <w:ind w:left="1434" w:hanging="720"/>
      </w:pPr>
      <w:rPr>
        <w:rFonts w:ascii="Times New Roman" w:eastAsia="Times New Roman" w:hAnsi="Times New Roman" w:cs="Times New Roman"/>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nsid w:val="69C97FF4"/>
    <w:multiLevelType w:val="multilevel"/>
    <w:tmpl w:val="1C28AC22"/>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0">
    <w:nsid w:val="76DC309E"/>
    <w:multiLevelType w:val="multilevel"/>
    <w:tmpl w:val="9542A638"/>
    <w:lvl w:ilvl="0">
      <w:start w:val="1"/>
      <w:numFmt w:val="decimal"/>
      <w:lvlText w:val="%1."/>
      <w:lvlJc w:val="left"/>
      <w:pPr>
        <w:ind w:left="714" w:hanging="357"/>
      </w:pPr>
      <w:rPr>
        <w:rFonts w:hint="default"/>
      </w:rPr>
    </w:lvl>
    <w:lvl w:ilvl="1">
      <w:start w:val="1"/>
      <w:numFmt w:val="lowerLetter"/>
      <w:lvlText w:val="(%2)"/>
      <w:lvlJc w:val="left"/>
      <w:pPr>
        <w:ind w:left="714" w:hanging="357"/>
      </w:pPr>
      <w:rPr>
        <w:rFonts w:ascii="Times New Roman" w:eastAsia="Times New Roman" w:hAnsi="Times New Roman" w:cs="Times New Roman"/>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abstractNum w:abstractNumId="21">
    <w:nsid w:val="7F8E441D"/>
    <w:multiLevelType w:val="multilevel"/>
    <w:tmpl w:val="D7BE5498"/>
    <w:lvl w:ilvl="0">
      <w:start w:val="1"/>
      <w:numFmt w:val="decimal"/>
      <w:lvlText w:val="%1."/>
      <w:lvlJc w:val="left"/>
      <w:pPr>
        <w:ind w:left="714" w:hanging="357"/>
      </w:pPr>
      <w:rPr>
        <w:rFonts w:hint="default"/>
      </w:rPr>
    </w:lvl>
    <w:lvl w:ilvl="1">
      <w:start w:val="1"/>
      <w:numFmt w:val="decimal"/>
      <w:lvlText w:val="%2."/>
      <w:lvlJc w:val="left"/>
      <w:pPr>
        <w:ind w:left="714" w:hanging="357"/>
      </w:pPr>
      <w:rPr>
        <w:rFonts w:hint="default"/>
      </w:rPr>
    </w:lvl>
    <w:lvl w:ilvl="2">
      <w:start w:val="1"/>
      <w:numFmt w:val="decimal"/>
      <w:lvlText w:val="%1.%2.%3."/>
      <w:lvlJc w:val="left"/>
      <w:pPr>
        <w:ind w:left="714" w:hanging="357"/>
      </w:pPr>
      <w:rPr>
        <w:rFonts w:hint="default"/>
      </w:rPr>
    </w:lvl>
    <w:lvl w:ilvl="3">
      <w:start w:val="1"/>
      <w:numFmt w:val="decimal"/>
      <w:lvlText w:val="%1.%2.%3.%4."/>
      <w:lvlJc w:val="left"/>
      <w:pPr>
        <w:ind w:left="714" w:hanging="357"/>
      </w:pPr>
      <w:rPr>
        <w:rFonts w:hint="default"/>
      </w:rPr>
    </w:lvl>
    <w:lvl w:ilvl="4">
      <w:start w:val="1"/>
      <w:numFmt w:val="decimal"/>
      <w:lvlText w:val="%1.%2.%3.%4.%5."/>
      <w:lvlJc w:val="left"/>
      <w:pPr>
        <w:ind w:left="714" w:hanging="357"/>
      </w:pPr>
      <w:rPr>
        <w:rFonts w:hint="default"/>
      </w:rPr>
    </w:lvl>
    <w:lvl w:ilvl="5">
      <w:start w:val="1"/>
      <w:numFmt w:val="decimal"/>
      <w:lvlText w:val="%1.%2.%3.%4.%5.%6."/>
      <w:lvlJc w:val="left"/>
      <w:pPr>
        <w:ind w:left="714" w:hanging="357"/>
      </w:pPr>
      <w:rPr>
        <w:rFonts w:hint="default"/>
      </w:rPr>
    </w:lvl>
    <w:lvl w:ilvl="6">
      <w:start w:val="1"/>
      <w:numFmt w:val="decimal"/>
      <w:lvlText w:val="%1.%2.%3.%4.%5.%6.%7."/>
      <w:lvlJc w:val="left"/>
      <w:pPr>
        <w:ind w:left="714" w:hanging="357"/>
      </w:pPr>
      <w:rPr>
        <w:rFonts w:hint="default"/>
      </w:rPr>
    </w:lvl>
    <w:lvl w:ilvl="7">
      <w:start w:val="1"/>
      <w:numFmt w:val="decimal"/>
      <w:lvlText w:val="%1.%2.%3.%4.%5.%6.%7.%8."/>
      <w:lvlJc w:val="left"/>
      <w:pPr>
        <w:ind w:left="714" w:hanging="357"/>
      </w:pPr>
      <w:rPr>
        <w:rFonts w:hint="default"/>
      </w:rPr>
    </w:lvl>
    <w:lvl w:ilvl="8">
      <w:start w:val="1"/>
      <w:numFmt w:val="decimal"/>
      <w:lvlText w:val="%1.%2.%3.%4.%5.%6.%7.%8.%9."/>
      <w:lvlJc w:val="left"/>
      <w:pPr>
        <w:ind w:left="714" w:hanging="357"/>
      </w:pPr>
      <w:rPr>
        <w:rFonts w:hint="default"/>
      </w:rPr>
    </w:lvl>
  </w:abstractNum>
  <w:num w:numId="1">
    <w:abstractNumId w:val="17"/>
  </w:num>
  <w:num w:numId="2">
    <w:abstractNumId w:val="16"/>
  </w:num>
  <w:num w:numId="3">
    <w:abstractNumId w:val="11"/>
  </w:num>
  <w:num w:numId="4">
    <w:abstractNumId w:val="21"/>
  </w:num>
  <w:num w:numId="5">
    <w:abstractNumId w:val="20"/>
  </w:num>
  <w:num w:numId="6">
    <w:abstractNumId w:val="13"/>
  </w:num>
  <w:num w:numId="7">
    <w:abstractNumId w:val="3"/>
  </w:num>
  <w:num w:numId="8">
    <w:abstractNumId w:val="12"/>
  </w:num>
  <w:num w:numId="9">
    <w:abstractNumId w:val="9"/>
  </w:num>
  <w:num w:numId="10">
    <w:abstractNumId w:val="19"/>
  </w:num>
  <w:num w:numId="11">
    <w:abstractNumId w:val="1"/>
  </w:num>
  <w:num w:numId="12">
    <w:abstractNumId w:val="0"/>
  </w:num>
  <w:num w:numId="13">
    <w:abstractNumId w:val="14"/>
  </w:num>
  <w:num w:numId="14">
    <w:abstractNumId w:val="7"/>
  </w:num>
  <w:num w:numId="15">
    <w:abstractNumId w:val="10"/>
  </w:num>
  <w:num w:numId="16">
    <w:abstractNumId w:val="15"/>
  </w:num>
  <w:num w:numId="17">
    <w:abstractNumId w:val="18"/>
  </w:num>
  <w:num w:numId="18">
    <w:abstractNumId w:val="8"/>
  </w:num>
  <w:num w:numId="19">
    <w:abstractNumId w:val="11"/>
  </w:num>
  <w:num w:numId="20">
    <w:abstractNumId w:val="11"/>
  </w:num>
  <w:num w:numId="21">
    <w:abstractNumId w:val="5"/>
  </w:num>
  <w:num w:numId="22">
    <w:abstractNumId w:val="2"/>
  </w:num>
  <w:num w:numId="23">
    <w:abstractNumId w:val="11"/>
  </w:num>
  <w:num w:numId="24">
    <w:abstractNumId w:val="11"/>
  </w:num>
  <w:num w:numId="25">
    <w:abstractNumId w:val="6"/>
  </w:num>
  <w:num w:numId="26">
    <w:abstractNumId w:val="4"/>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stylePaneFormatFilter w:val="3F01"/>
  <w:defaultTabStop w:val="720"/>
  <w:hyphenationZone w:val="425"/>
  <w:drawingGridHorizontalSpacing w:val="100"/>
  <w:displayHorizontalDrawingGridEvery w:val="2"/>
  <w:characterSpacingControl w:val="doNotCompres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rsids>
    <w:rsidRoot w:val="00D02FE4"/>
    <w:rsid w:val="00003323"/>
    <w:rsid w:val="00017710"/>
    <w:rsid w:val="000257D9"/>
    <w:rsid w:val="000275A3"/>
    <w:rsid w:val="00032AC7"/>
    <w:rsid w:val="0003410D"/>
    <w:rsid w:val="00036812"/>
    <w:rsid w:val="00042E1E"/>
    <w:rsid w:val="000473FA"/>
    <w:rsid w:val="000502BD"/>
    <w:rsid w:val="0005230B"/>
    <w:rsid w:val="00060360"/>
    <w:rsid w:val="000761EA"/>
    <w:rsid w:val="000A22EF"/>
    <w:rsid w:val="000A676C"/>
    <w:rsid w:val="000B288B"/>
    <w:rsid w:val="000B45B9"/>
    <w:rsid w:val="000B5A28"/>
    <w:rsid w:val="000C3837"/>
    <w:rsid w:val="000C45A2"/>
    <w:rsid w:val="000D04E1"/>
    <w:rsid w:val="000D18F9"/>
    <w:rsid w:val="000E43D6"/>
    <w:rsid w:val="000F0DF9"/>
    <w:rsid w:val="000F32F6"/>
    <w:rsid w:val="00100F57"/>
    <w:rsid w:val="00104F31"/>
    <w:rsid w:val="001126F1"/>
    <w:rsid w:val="001128AA"/>
    <w:rsid w:val="00143B75"/>
    <w:rsid w:val="001456E6"/>
    <w:rsid w:val="00147C46"/>
    <w:rsid w:val="001507A4"/>
    <w:rsid w:val="00155567"/>
    <w:rsid w:val="0016014D"/>
    <w:rsid w:val="00162424"/>
    <w:rsid w:val="0017142A"/>
    <w:rsid w:val="00172727"/>
    <w:rsid w:val="00174208"/>
    <w:rsid w:val="00174660"/>
    <w:rsid w:val="001754E1"/>
    <w:rsid w:val="00181260"/>
    <w:rsid w:val="0019013A"/>
    <w:rsid w:val="001922E6"/>
    <w:rsid w:val="001A331C"/>
    <w:rsid w:val="001B5CC0"/>
    <w:rsid w:val="001C4004"/>
    <w:rsid w:val="001D2E2C"/>
    <w:rsid w:val="001E385E"/>
    <w:rsid w:val="001F5BAD"/>
    <w:rsid w:val="001F6807"/>
    <w:rsid w:val="00203985"/>
    <w:rsid w:val="00217076"/>
    <w:rsid w:val="002237BD"/>
    <w:rsid w:val="00223C2C"/>
    <w:rsid w:val="002352E7"/>
    <w:rsid w:val="00235A84"/>
    <w:rsid w:val="002403E3"/>
    <w:rsid w:val="00245F6F"/>
    <w:rsid w:val="0026098F"/>
    <w:rsid w:val="00262B14"/>
    <w:rsid w:val="00270986"/>
    <w:rsid w:val="0027646A"/>
    <w:rsid w:val="0029485D"/>
    <w:rsid w:val="00294CE9"/>
    <w:rsid w:val="00296254"/>
    <w:rsid w:val="002A1620"/>
    <w:rsid w:val="002A24DB"/>
    <w:rsid w:val="002A575B"/>
    <w:rsid w:val="002A71AB"/>
    <w:rsid w:val="002A7582"/>
    <w:rsid w:val="002B09BC"/>
    <w:rsid w:val="002C154A"/>
    <w:rsid w:val="002C34E6"/>
    <w:rsid w:val="002E0FBD"/>
    <w:rsid w:val="002F687B"/>
    <w:rsid w:val="00301708"/>
    <w:rsid w:val="003040AA"/>
    <w:rsid w:val="00315C5E"/>
    <w:rsid w:val="00317DC4"/>
    <w:rsid w:val="00327A13"/>
    <w:rsid w:val="0033279C"/>
    <w:rsid w:val="003412B3"/>
    <w:rsid w:val="00350137"/>
    <w:rsid w:val="0035239A"/>
    <w:rsid w:val="00366EC4"/>
    <w:rsid w:val="003719B4"/>
    <w:rsid w:val="00380C76"/>
    <w:rsid w:val="00392C32"/>
    <w:rsid w:val="003A0D73"/>
    <w:rsid w:val="003A4AA3"/>
    <w:rsid w:val="003B5902"/>
    <w:rsid w:val="003B5E4E"/>
    <w:rsid w:val="003B5F96"/>
    <w:rsid w:val="003B7F4E"/>
    <w:rsid w:val="003C6A18"/>
    <w:rsid w:val="003D0976"/>
    <w:rsid w:val="003D41F7"/>
    <w:rsid w:val="003D627C"/>
    <w:rsid w:val="003D6D3D"/>
    <w:rsid w:val="003E50B7"/>
    <w:rsid w:val="003F0706"/>
    <w:rsid w:val="003F1434"/>
    <w:rsid w:val="003F37A5"/>
    <w:rsid w:val="00402D60"/>
    <w:rsid w:val="004127AC"/>
    <w:rsid w:val="00432D9F"/>
    <w:rsid w:val="00436A29"/>
    <w:rsid w:val="00440C0A"/>
    <w:rsid w:val="00441A60"/>
    <w:rsid w:val="00455BBB"/>
    <w:rsid w:val="00472557"/>
    <w:rsid w:val="004748D6"/>
    <w:rsid w:val="00477625"/>
    <w:rsid w:val="00493BAC"/>
    <w:rsid w:val="004A6491"/>
    <w:rsid w:val="004B0C66"/>
    <w:rsid w:val="004B5FB9"/>
    <w:rsid w:val="004B7BE6"/>
    <w:rsid w:val="004C3B19"/>
    <w:rsid w:val="004C3E5C"/>
    <w:rsid w:val="004C6B4F"/>
    <w:rsid w:val="004C7F74"/>
    <w:rsid w:val="004D0CA9"/>
    <w:rsid w:val="004D51D0"/>
    <w:rsid w:val="004E23F1"/>
    <w:rsid w:val="004F085D"/>
    <w:rsid w:val="004F50F4"/>
    <w:rsid w:val="004F6C3F"/>
    <w:rsid w:val="00500809"/>
    <w:rsid w:val="0050144D"/>
    <w:rsid w:val="005048E9"/>
    <w:rsid w:val="0050708F"/>
    <w:rsid w:val="00510487"/>
    <w:rsid w:val="00516EE0"/>
    <w:rsid w:val="005222CE"/>
    <w:rsid w:val="005277AA"/>
    <w:rsid w:val="00530802"/>
    <w:rsid w:val="00540C96"/>
    <w:rsid w:val="00544A62"/>
    <w:rsid w:val="005537CE"/>
    <w:rsid w:val="00556DCD"/>
    <w:rsid w:val="00557135"/>
    <w:rsid w:val="00561DD9"/>
    <w:rsid w:val="00564FAC"/>
    <w:rsid w:val="0057741E"/>
    <w:rsid w:val="005815BE"/>
    <w:rsid w:val="005816E8"/>
    <w:rsid w:val="00584AF0"/>
    <w:rsid w:val="005A40BE"/>
    <w:rsid w:val="005B0C3C"/>
    <w:rsid w:val="005B47BD"/>
    <w:rsid w:val="005B58D2"/>
    <w:rsid w:val="005B6F53"/>
    <w:rsid w:val="005D249C"/>
    <w:rsid w:val="005D5337"/>
    <w:rsid w:val="005E3727"/>
    <w:rsid w:val="005E6140"/>
    <w:rsid w:val="005E6B42"/>
    <w:rsid w:val="005E7F28"/>
    <w:rsid w:val="005F3E51"/>
    <w:rsid w:val="005F4FE0"/>
    <w:rsid w:val="006000DF"/>
    <w:rsid w:val="00600B36"/>
    <w:rsid w:val="00610C25"/>
    <w:rsid w:val="0061365F"/>
    <w:rsid w:val="00613F86"/>
    <w:rsid w:val="00613FC0"/>
    <w:rsid w:val="00616BFA"/>
    <w:rsid w:val="00616D31"/>
    <w:rsid w:val="0062073A"/>
    <w:rsid w:val="006242C9"/>
    <w:rsid w:val="00635DC7"/>
    <w:rsid w:val="0064308D"/>
    <w:rsid w:val="00652D30"/>
    <w:rsid w:val="00665B17"/>
    <w:rsid w:val="00667FEE"/>
    <w:rsid w:val="006761DC"/>
    <w:rsid w:val="00681960"/>
    <w:rsid w:val="006935AA"/>
    <w:rsid w:val="006942B2"/>
    <w:rsid w:val="006A0084"/>
    <w:rsid w:val="006A7234"/>
    <w:rsid w:val="006C4D88"/>
    <w:rsid w:val="006D1965"/>
    <w:rsid w:val="006D7758"/>
    <w:rsid w:val="006E6767"/>
    <w:rsid w:val="006F651B"/>
    <w:rsid w:val="007074DB"/>
    <w:rsid w:val="007103AD"/>
    <w:rsid w:val="00711871"/>
    <w:rsid w:val="00712B67"/>
    <w:rsid w:val="00727410"/>
    <w:rsid w:val="007359FE"/>
    <w:rsid w:val="0075488E"/>
    <w:rsid w:val="0077329F"/>
    <w:rsid w:val="00775828"/>
    <w:rsid w:val="00775F73"/>
    <w:rsid w:val="007764E5"/>
    <w:rsid w:val="007778A0"/>
    <w:rsid w:val="0077793E"/>
    <w:rsid w:val="007809C6"/>
    <w:rsid w:val="007823C2"/>
    <w:rsid w:val="00783120"/>
    <w:rsid w:val="00784AE2"/>
    <w:rsid w:val="00786634"/>
    <w:rsid w:val="00792387"/>
    <w:rsid w:val="007A3F5F"/>
    <w:rsid w:val="007A5E1D"/>
    <w:rsid w:val="007A6BC6"/>
    <w:rsid w:val="007B18A5"/>
    <w:rsid w:val="007B1E78"/>
    <w:rsid w:val="007C1380"/>
    <w:rsid w:val="007C2CF7"/>
    <w:rsid w:val="007C6B89"/>
    <w:rsid w:val="007D3E81"/>
    <w:rsid w:val="007E35CC"/>
    <w:rsid w:val="007E4564"/>
    <w:rsid w:val="007F1A5A"/>
    <w:rsid w:val="007F2A5B"/>
    <w:rsid w:val="007F5684"/>
    <w:rsid w:val="0081105A"/>
    <w:rsid w:val="00822C02"/>
    <w:rsid w:val="00822CBC"/>
    <w:rsid w:val="0082643B"/>
    <w:rsid w:val="0083376D"/>
    <w:rsid w:val="00834FEF"/>
    <w:rsid w:val="0084065D"/>
    <w:rsid w:val="00845767"/>
    <w:rsid w:val="00847872"/>
    <w:rsid w:val="00853590"/>
    <w:rsid w:val="00856DF7"/>
    <w:rsid w:val="00861C38"/>
    <w:rsid w:val="00874AD1"/>
    <w:rsid w:val="008805C2"/>
    <w:rsid w:val="008A5A8E"/>
    <w:rsid w:val="008A6BEE"/>
    <w:rsid w:val="008A6DB0"/>
    <w:rsid w:val="008A7BBD"/>
    <w:rsid w:val="008B0FFF"/>
    <w:rsid w:val="008B6F84"/>
    <w:rsid w:val="008C5FE9"/>
    <w:rsid w:val="008C6044"/>
    <w:rsid w:val="008C6E36"/>
    <w:rsid w:val="008C7508"/>
    <w:rsid w:val="008E246F"/>
    <w:rsid w:val="008F1100"/>
    <w:rsid w:val="008F713F"/>
    <w:rsid w:val="008F741B"/>
    <w:rsid w:val="009032C6"/>
    <w:rsid w:val="00905BEA"/>
    <w:rsid w:val="00915FB9"/>
    <w:rsid w:val="009439F8"/>
    <w:rsid w:val="0094416B"/>
    <w:rsid w:val="00967FEB"/>
    <w:rsid w:val="009716FC"/>
    <w:rsid w:val="00973AB9"/>
    <w:rsid w:val="00984332"/>
    <w:rsid w:val="00984E98"/>
    <w:rsid w:val="009A007E"/>
    <w:rsid w:val="009A1AF1"/>
    <w:rsid w:val="009A1C01"/>
    <w:rsid w:val="009A329A"/>
    <w:rsid w:val="009A7D3C"/>
    <w:rsid w:val="009C0493"/>
    <w:rsid w:val="009C7466"/>
    <w:rsid w:val="009D10DD"/>
    <w:rsid w:val="009D253B"/>
    <w:rsid w:val="009D4C95"/>
    <w:rsid w:val="009E3431"/>
    <w:rsid w:val="009E68DD"/>
    <w:rsid w:val="009E6B2D"/>
    <w:rsid w:val="009F10A9"/>
    <w:rsid w:val="00A007A8"/>
    <w:rsid w:val="00A05C63"/>
    <w:rsid w:val="00A11BBD"/>
    <w:rsid w:val="00A16318"/>
    <w:rsid w:val="00A17921"/>
    <w:rsid w:val="00A211F3"/>
    <w:rsid w:val="00A34A28"/>
    <w:rsid w:val="00A366AF"/>
    <w:rsid w:val="00A37110"/>
    <w:rsid w:val="00A41693"/>
    <w:rsid w:val="00A439AE"/>
    <w:rsid w:val="00A45DCF"/>
    <w:rsid w:val="00A50B28"/>
    <w:rsid w:val="00A51CE6"/>
    <w:rsid w:val="00A52505"/>
    <w:rsid w:val="00A56552"/>
    <w:rsid w:val="00A70F42"/>
    <w:rsid w:val="00AA444D"/>
    <w:rsid w:val="00AB511C"/>
    <w:rsid w:val="00AC4973"/>
    <w:rsid w:val="00AC59C8"/>
    <w:rsid w:val="00AE1776"/>
    <w:rsid w:val="00AE57CE"/>
    <w:rsid w:val="00AE7A7C"/>
    <w:rsid w:val="00AF270F"/>
    <w:rsid w:val="00B00D6E"/>
    <w:rsid w:val="00B01BCD"/>
    <w:rsid w:val="00B0397B"/>
    <w:rsid w:val="00B05DAC"/>
    <w:rsid w:val="00B115F0"/>
    <w:rsid w:val="00B25A1B"/>
    <w:rsid w:val="00B25A8F"/>
    <w:rsid w:val="00B37656"/>
    <w:rsid w:val="00B44BEB"/>
    <w:rsid w:val="00B5260F"/>
    <w:rsid w:val="00B61B93"/>
    <w:rsid w:val="00B664FB"/>
    <w:rsid w:val="00B77BC1"/>
    <w:rsid w:val="00B8775C"/>
    <w:rsid w:val="00BA7966"/>
    <w:rsid w:val="00BD5CAC"/>
    <w:rsid w:val="00BF2952"/>
    <w:rsid w:val="00BF7037"/>
    <w:rsid w:val="00C0050B"/>
    <w:rsid w:val="00C079B7"/>
    <w:rsid w:val="00C116F4"/>
    <w:rsid w:val="00C20ADC"/>
    <w:rsid w:val="00C21AFF"/>
    <w:rsid w:val="00C31512"/>
    <w:rsid w:val="00C32630"/>
    <w:rsid w:val="00C334A1"/>
    <w:rsid w:val="00C40DC8"/>
    <w:rsid w:val="00C549F7"/>
    <w:rsid w:val="00C56B32"/>
    <w:rsid w:val="00C649CE"/>
    <w:rsid w:val="00C65E28"/>
    <w:rsid w:val="00C70407"/>
    <w:rsid w:val="00C7615B"/>
    <w:rsid w:val="00C854E6"/>
    <w:rsid w:val="00C85FA6"/>
    <w:rsid w:val="00C93CDB"/>
    <w:rsid w:val="00CA44A9"/>
    <w:rsid w:val="00CC4622"/>
    <w:rsid w:val="00CC5F0C"/>
    <w:rsid w:val="00CC72E1"/>
    <w:rsid w:val="00CD0CF5"/>
    <w:rsid w:val="00CD37EB"/>
    <w:rsid w:val="00CD413A"/>
    <w:rsid w:val="00CD5D3A"/>
    <w:rsid w:val="00CE0E41"/>
    <w:rsid w:val="00CE333E"/>
    <w:rsid w:val="00CE34DF"/>
    <w:rsid w:val="00CE3BDB"/>
    <w:rsid w:val="00CE49E3"/>
    <w:rsid w:val="00CF04F0"/>
    <w:rsid w:val="00CF44ED"/>
    <w:rsid w:val="00D018AE"/>
    <w:rsid w:val="00D02D53"/>
    <w:rsid w:val="00D02FE4"/>
    <w:rsid w:val="00D079A1"/>
    <w:rsid w:val="00D465FB"/>
    <w:rsid w:val="00D468AB"/>
    <w:rsid w:val="00D479FD"/>
    <w:rsid w:val="00D71AC6"/>
    <w:rsid w:val="00D7280B"/>
    <w:rsid w:val="00DA76E3"/>
    <w:rsid w:val="00DB0D87"/>
    <w:rsid w:val="00DB3C37"/>
    <w:rsid w:val="00DC14B6"/>
    <w:rsid w:val="00DC7D6C"/>
    <w:rsid w:val="00DD0ADF"/>
    <w:rsid w:val="00DD1BB6"/>
    <w:rsid w:val="00DD5897"/>
    <w:rsid w:val="00DD7A78"/>
    <w:rsid w:val="00DE09C3"/>
    <w:rsid w:val="00DE0BC0"/>
    <w:rsid w:val="00DE1247"/>
    <w:rsid w:val="00DE7034"/>
    <w:rsid w:val="00DF637D"/>
    <w:rsid w:val="00E122AF"/>
    <w:rsid w:val="00E13119"/>
    <w:rsid w:val="00E147D3"/>
    <w:rsid w:val="00E179DF"/>
    <w:rsid w:val="00E17B5E"/>
    <w:rsid w:val="00E23238"/>
    <w:rsid w:val="00E251C6"/>
    <w:rsid w:val="00E263EA"/>
    <w:rsid w:val="00E332B3"/>
    <w:rsid w:val="00E40009"/>
    <w:rsid w:val="00E42487"/>
    <w:rsid w:val="00E438CE"/>
    <w:rsid w:val="00E5380D"/>
    <w:rsid w:val="00E600BD"/>
    <w:rsid w:val="00E61B2A"/>
    <w:rsid w:val="00E7382F"/>
    <w:rsid w:val="00E82B0B"/>
    <w:rsid w:val="00E851E7"/>
    <w:rsid w:val="00E872E3"/>
    <w:rsid w:val="00EA16D9"/>
    <w:rsid w:val="00EA295B"/>
    <w:rsid w:val="00EB74E5"/>
    <w:rsid w:val="00EC7812"/>
    <w:rsid w:val="00ED04E4"/>
    <w:rsid w:val="00ED2EE2"/>
    <w:rsid w:val="00ED41A4"/>
    <w:rsid w:val="00ED6567"/>
    <w:rsid w:val="00EF01F9"/>
    <w:rsid w:val="00EF3B32"/>
    <w:rsid w:val="00F16DD6"/>
    <w:rsid w:val="00F26C5B"/>
    <w:rsid w:val="00F35864"/>
    <w:rsid w:val="00F40DDD"/>
    <w:rsid w:val="00F60EBD"/>
    <w:rsid w:val="00F63871"/>
    <w:rsid w:val="00F641F7"/>
    <w:rsid w:val="00F726D6"/>
    <w:rsid w:val="00F73C93"/>
    <w:rsid w:val="00F8179F"/>
    <w:rsid w:val="00F90BC3"/>
    <w:rsid w:val="00F930B6"/>
    <w:rsid w:val="00F9633E"/>
    <w:rsid w:val="00FA3DF6"/>
    <w:rsid w:val="00FB19FD"/>
    <w:rsid w:val="00FB23B6"/>
    <w:rsid w:val="00FB793B"/>
    <w:rsid w:val="00FB7E07"/>
    <w:rsid w:val="00FD1CD2"/>
    <w:rsid w:val="00FE0A24"/>
    <w:rsid w:val="00FE1C81"/>
    <w:rsid w:val="00FF20D9"/>
    <w:rsid w:val="00FF25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FE4"/>
    <w:pPr>
      <w:spacing w:before="120" w:after="120"/>
      <w:jc w:val="both"/>
    </w:pPr>
    <w:rPr>
      <w:rFonts w:ascii="Verdana" w:hAnsi="Verdana"/>
      <w:szCs w:val="24"/>
      <w:lang w:val="en-GB" w:eastAsia="en-US"/>
    </w:rPr>
  </w:style>
  <w:style w:type="paragraph" w:styleId="Heading1">
    <w:name w:val="heading 1"/>
    <w:basedOn w:val="Normal"/>
    <w:link w:val="Heading1Char"/>
    <w:uiPriority w:val="9"/>
    <w:qFormat/>
    <w:rsid w:val="00556DCD"/>
    <w:pPr>
      <w:spacing w:before="100" w:beforeAutospacing="1" w:after="100" w:afterAutospacing="1"/>
      <w:jc w:val="left"/>
      <w:outlineLvl w:val="0"/>
    </w:pPr>
    <w:rPr>
      <w:rFonts w:ascii="Times New Roman" w:hAnsi="Times New Roman"/>
      <w:b/>
      <w:bCs/>
      <w:color w:val="3E2E98"/>
      <w:kern w:val="36"/>
      <w:sz w:val="30"/>
      <w:szCs w:val="30"/>
      <w:lang w:eastAsia="en-GB"/>
    </w:rPr>
  </w:style>
  <w:style w:type="paragraph" w:styleId="Heading2">
    <w:name w:val="heading 2"/>
    <w:basedOn w:val="Normal"/>
    <w:next w:val="Normal"/>
    <w:link w:val="Heading2Char"/>
    <w:autoRedefine/>
    <w:uiPriority w:val="9"/>
    <w:qFormat/>
    <w:rsid w:val="00D02FE4"/>
    <w:pPr>
      <w:keepNext/>
      <w:spacing w:before="240"/>
      <w:outlineLvl w:val="1"/>
    </w:pPr>
    <w:rPr>
      <w:b/>
      <w:sz w:val="24"/>
    </w:rPr>
  </w:style>
  <w:style w:type="paragraph" w:styleId="Heading3">
    <w:name w:val="heading 3"/>
    <w:basedOn w:val="Normal"/>
    <w:link w:val="Heading3Char"/>
    <w:uiPriority w:val="9"/>
    <w:qFormat/>
    <w:rsid w:val="00556DCD"/>
    <w:pPr>
      <w:spacing w:before="100" w:beforeAutospacing="1" w:after="100" w:afterAutospacing="1"/>
      <w:jc w:val="left"/>
      <w:outlineLvl w:val="2"/>
    </w:pPr>
    <w:rPr>
      <w:rFonts w:ascii="Times New Roman" w:hAnsi="Times New Roman"/>
      <w:b/>
      <w:bCs/>
      <w:color w:val="777777"/>
      <w:sz w:val="26"/>
      <w:szCs w:val="26"/>
      <w:lang w:eastAsia="en-GB"/>
    </w:rPr>
  </w:style>
  <w:style w:type="paragraph" w:styleId="Heading4">
    <w:name w:val="heading 4"/>
    <w:basedOn w:val="Normal"/>
    <w:link w:val="Heading4Char"/>
    <w:uiPriority w:val="9"/>
    <w:qFormat/>
    <w:rsid w:val="00556DCD"/>
    <w:pPr>
      <w:spacing w:before="100" w:beforeAutospacing="1" w:after="100" w:afterAutospacing="1"/>
      <w:jc w:val="left"/>
      <w:outlineLvl w:val="3"/>
    </w:pPr>
    <w:rPr>
      <w:rFonts w:ascii="Times New Roman" w:hAnsi="Times New Roman"/>
      <w:b/>
      <w:bCs/>
      <w:color w:val="444444"/>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02FE4"/>
    <w:rPr>
      <w:rFonts w:ascii="Verdana" w:hAnsi="Verdana"/>
      <w:b/>
      <w:sz w:val="24"/>
      <w:szCs w:val="24"/>
      <w:lang w:val="en-GB" w:eastAsia="en-US" w:bidi="ar-SA"/>
    </w:rPr>
  </w:style>
  <w:style w:type="paragraph" w:styleId="FootnoteText">
    <w:name w:val="footnote text"/>
    <w:aliases w:val="Fußnote, Char"/>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1B5CC0"/>
    <w:pPr>
      <w:spacing w:before="0" w:after="0"/>
      <w:ind w:left="33"/>
    </w:pPr>
    <w:rPr>
      <w:rFonts w:ascii="Times New Roman" w:hAnsi="Times New Roman"/>
      <w:szCs w:val="17"/>
      <w:u w:val="single"/>
      <w:lang w:eastAsia="de-DE"/>
    </w:rPr>
  </w:style>
  <w:style w:type="character" w:customStyle="1" w:styleId="InstructionsTextChar">
    <w:name w:val="Instructions Text Char"/>
    <w:link w:val="InstructionsText"/>
    <w:locked/>
    <w:rsid w:val="001B5CC0"/>
    <w:rPr>
      <w:szCs w:val="17"/>
      <w:u w:val="single"/>
      <w:lang w:val="en-GB" w:eastAsia="de-DE" w:bidi="ar-SA"/>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uiPriority w:val="99"/>
    <w:qFormat/>
    <w:rsid w:val="00D02FE4"/>
    <w:rPr>
      <w:rFonts w:ascii="Verdana" w:hAnsi="Verdana" w:cs="Times New Roman"/>
      <w:bCs/>
      <w:sz w:val="20"/>
      <w:u w:val="none"/>
    </w:rPr>
  </w:style>
  <w:style w:type="paragraph" w:customStyle="1" w:styleId="InstructionsText2">
    <w:name w:val="Instructions Text 2"/>
    <w:basedOn w:val="InstructionsText"/>
    <w:qFormat/>
    <w:rsid w:val="00D02FE4"/>
    <w:pPr>
      <w:numPr>
        <w:numId w:val="3"/>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rsid w:val="001128AA"/>
    <w:rPr>
      <w:sz w:val="16"/>
      <w:szCs w:val="16"/>
    </w:rPr>
  </w:style>
  <w:style w:type="paragraph" w:styleId="CommentText">
    <w:name w:val="annotation text"/>
    <w:basedOn w:val="Normal"/>
    <w:link w:val="CommentTextChar"/>
    <w:rsid w:val="001128AA"/>
    <w:rPr>
      <w:szCs w:val="20"/>
    </w:rPr>
  </w:style>
  <w:style w:type="character" w:customStyle="1" w:styleId="CommentTextChar">
    <w:name w:val="Comment Text Char"/>
    <w:link w:val="CommentText"/>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semiHidden/>
    <w:rsid w:val="00392C32"/>
    <w:pPr>
      <w:spacing w:before="0" w:after="0"/>
      <w:jc w:val="left"/>
    </w:pPr>
    <w:rPr>
      <w:rFonts w:ascii="Consolas" w:hAnsi="Consolas"/>
      <w:sz w:val="21"/>
      <w:szCs w:val="21"/>
    </w:rPr>
  </w:style>
  <w:style w:type="paragraph" w:styleId="Footer">
    <w:name w:val="footer"/>
    <w:basedOn w:val="Normal"/>
    <w:rsid w:val="00392C32"/>
    <w:pPr>
      <w:tabs>
        <w:tab w:val="center" w:pos="4536"/>
        <w:tab w:val="right" w:pos="9072"/>
      </w:tabs>
      <w:spacing w:before="0" w:after="0"/>
      <w:jc w:val="left"/>
    </w:pPr>
    <w:rPr>
      <w:rFonts w:ascii="Times New Roman" w:hAnsi="Times New Roman"/>
      <w:sz w:val="24"/>
      <w:lang w:val="de-AT" w:eastAsia="de-AT"/>
    </w:rPr>
  </w:style>
  <w:style w:type="character" w:styleId="Hyperlink">
    <w:name w:val="Hyperlink"/>
    <w:basedOn w:val="DefaultParagraphFont"/>
    <w:uiPriority w:val="99"/>
    <w:unhideWhenUsed/>
    <w:rsid w:val="0035239A"/>
    <w:rPr>
      <w:color w:val="0000FF"/>
      <w:u w:val="single"/>
    </w:rPr>
  </w:style>
  <w:style w:type="table" w:styleId="TableGrid">
    <w:name w:val="Table Grid"/>
    <w:basedOn w:val="TableNormal"/>
    <w:rsid w:val="000C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6DCD"/>
    <w:rPr>
      <w:b/>
      <w:bCs/>
      <w:color w:val="3E2E98"/>
      <w:kern w:val="36"/>
      <w:sz w:val="30"/>
      <w:szCs w:val="30"/>
    </w:rPr>
  </w:style>
  <w:style w:type="character" w:customStyle="1" w:styleId="Heading3Char">
    <w:name w:val="Heading 3 Char"/>
    <w:basedOn w:val="DefaultParagraphFont"/>
    <w:link w:val="Heading3"/>
    <w:uiPriority w:val="9"/>
    <w:rsid w:val="00556DCD"/>
    <w:rPr>
      <w:b/>
      <w:bCs/>
      <w:color w:val="777777"/>
      <w:sz w:val="26"/>
      <w:szCs w:val="26"/>
    </w:rPr>
  </w:style>
  <w:style w:type="character" w:customStyle="1" w:styleId="Heading4Char">
    <w:name w:val="Heading 4 Char"/>
    <w:basedOn w:val="DefaultParagraphFont"/>
    <w:link w:val="Heading4"/>
    <w:uiPriority w:val="9"/>
    <w:rsid w:val="00556DCD"/>
    <w:rPr>
      <w:b/>
      <w:bCs/>
      <w:color w:val="444444"/>
      <w:sz w:val="24"/>
      <w:szCs w:val="24"/>
    </w:rPr>
  </w:style>
  <w:style w:type="paragraph" w:customStyle="1" w:styleId="Numberedheadinglevel1">
    <w:name w:val="Numbered heading level 1"/>
    <w:basedOn w:val="Normal"/>
    <w:next w:val="Normal"/>
    <w:qFormat/>
    <w:rsid w:val="00A56552"/>
    <w:pPr>
      <w:numPr>
        <w:numId w:val="25"/>
      </w:numPr>
      <w:tabs>
        <w:tab w:val="left" w:pos="0"/>
      </w:tabs>
      <w:spacing w:before="360" w:after="360"/>
    </w:pPr>
    <w:rPr>
      <w:rFonts w:ascii="Arial" w:hAnsi="Arial"/>
      <w:color w:val="4F81BD" w:themeColor="accent1"/>
      <w:sz w:val="28"/>
      <w:szCs w:val="28"/>
    </w:rPr>
  </w:style>
  <w:style w:type="paragraph" w:customStyle="1" w:styleId="Numberedheadinglevel2">
    <w:name w:val="Numbered heading level 2"/>
    <w:basedOn w:val="Normal"/>
    <w:next w:val="Normal"/>
    <w:qFormat/>
    <w:rsid w:val="00A56552"/>
    <w:pPr>
      <w:numPr>
        <w:ilvl w:val="1"/>
        <w:numId w:val="25"/>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A56552"/>
    <w:pPr>
      <w:numPr>
        <w:ilvl w:val="2"/>
        <w:numId w:val="25"/>
      </w:numPr>
      <w:tabs>
        <w:tab w:val="left" w:pos="567"/>
      </w:tabs>
      <w:spacing w:before="240"/>
    </w:pPr>
    <w:rPr>
      <w:rFonts w:ascii="Arial" w:hAnsi="Arial"/>
      <w:color w:val="4F81BD" w:themeColor="accent1"/>
      <w:szCs w:val="20"/>
    </w:rPr>
  </w:style>
  <w:style w:type="character" w:styleId="FollowedHyperlink">
    <w:name w:val="FollowedHyperlink"/>
    <w:basedOn w:val="DefaultParagraphFont"/>
    <w:uiPriority w:val="99"/>
    <w:rsid w:val="00FB7E07"/>
    <w:rPr>
      <w:color w:val="800080" w:themeColor="followedHyperlink"/>
      <w:u w:val="single"/>
    </w:rPr>
  </w:style>
  <w:style w:type="paragraph" w:styleId="ListParagraph">
    <w:name w:val="List Paragraph"/>
    <w:basedOn w:val="Normal"/>
    <w:uiPriority w:val="34"/>
    <w:qFormat/>
    <w:rsid w:val="0094416B"/>
    <w:pPr>
      <w:ind w:left="720"/>
      <w:contextualSpacing/>
    </w:pPr>
  </w:style>
  <w:style w:type="paragraph" w:customStyle="1" w:styleId="DocTitle">
    <w:name w:val="Doc Title"/>
    <w:basedOn w:val="Normal"/>
    <w:qFormat/>
    <w:rsid w:val="00DC14B6"/>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DC14B6"/>
    <w:pPr>
      <w:keepNext w:val="0"/>
      <w:spacing w:before="120" w:after="0"/>
      <w:contextualSpacing/>
      <w:jc w:val="left"/>
    </w:pPr>
    <w:rPr>
      <w:rFonts w:ascii="Arial" w:hAnsi="Arial"/>
      <w:b w:val="0"/>
      <w:color w:val="4F81BD" w:themeColor="accent1"/>
      <w:szCs w:val="20"/>
    </w:rPr>
  </w:style>
  <w:style w:type="paragraph" w:styleId="Header">
    <w:name w:val="header"/>
    <w:basedOn w:val="Normal"/>
    <w:link w:val="HeaderChar"/>
    <w:rsid w:val="00DC14B6"/>
    <w:pPr>
      <w:tabs>
        <w:tab w:val="center" w:pos="4513"/>
        <w:tab w:val="right" w:pos="9026"/>
      </w:tabs>
      <w:spacing w:before="0" w:after="0"/>
    </w:pPr>
  </w:style>
  <w:style w:type="character" w:customStyle="1" w:styleId="HeaderChar">
    <w:name w:val="Header Char"/>
    <w:basedOn w:val="DefaultParagraphFont"/>
    <w:link w:val="Header"/>
    <w:rsid w:val="00DC14B6"/>
    <w:rPr>
      <w:rFonts w:ascii="Verdana" w:hAnsi="Verdana"/>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1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DDFAA-8342-4F38-A30F-B4085B87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PART II: TEMPLATE RELATED INSTRUCTIONS</vt:lpstr>
    </vt:vector>
  </TitlesOfParts>
  <Company>Financial Services Authority</Company>
  <LinksUpToDate>false</LinksUpToDate>
  <CharactersWithSpaces>24276</CharactersWithSpaces>
  <SharedDoc>false</SharedDoc>
  <HLinks>
    <vt:vector size="6" baseType="variant">
      <vt:variant>
        <vt:i4>6422655</vt:i4>
      </vt:variant>
      <vt:variant>
        <vt:i4>0</vt:i4>
      </vt:variant>
      <vt:variant>
        <vt:i4>0</vt:i4>
      </vt:variant>
      <vt:variant>
        <vt:i4>5</vt:i4>
      </vt:variant>
      <vt:variant>
        <vt:lpwstr>http://eur-lex.europa.eu/LexUriServ/LexUriServ.do?uri=COM:2011:0656:FIN:EN:PDF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TEMPLATE RELATED INSTRUCTIONS</dc:title>
  <dc:creator>mabdelli</dc:creator>
  <cp:lastModifiedBy>gvanderkamp</cp:lastModifiedBy>
  <cp:revision>12</cp:revision>
  <cp:lastPrinted>2013-03-13T12:53:00Z</cp:lastPrinted>
  <dcterms:created xsi:type="dcterms:W3CDTF">2013-04-09T08:30:00Z</dcterms:created>
  <dcterms:modified xsi:type="dcterms:W3CDTF">2013-05-06T09:59:00Z</dcterms:modified>
</cp:coreProperties>
</file>