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976F" w14:textId="77777777" w:rsidR="00B85D98" w:rsidRDefault="00B85D98" w:rsidP="002B5CF2">
      <w:pPr>
        <w:pStyle w:val="body"/>
        <w:jc w:val="left"/>
        <w:rPr>
          <w:rStyle w:val="Hyperlink"/>
          <w:lang w:val="en-GB"/>
        </w:rPr>
      </w:pPr>
      <w:bookmarkStart w:id="0" w:name="_Toc238803087"/>
      <w:bookmarkStart w:id="1" w:name="_Toc238803888"/>
      <w:bookmarkStart w:id="2" w:name="_Toc331517775"/>
      <w:bookmarkStart w:id="3" w:name="_Toc246389303"/>
    </w:p>
    <w:p w14:paraId="5BC338BE" w14:textId="77777777" w:rsidR="002B5CF2" w:rsidRPr="00826E1D" w:rsidRDefault="00392600" w:rsidP="002B5CF2">
      <w:pPr>
        <w:pStyle w:val="Numberedtilelevel1"/>
        <w:numPr>
          <w:ilvl w:val="0"/>
          <w:numId w:val="0"/>
        </w:numPr>
        <w:rPr>
          <w:rStyle w:val="Hyperlink"/>
          <w:u w:val="none"/>
          <w:lang w:val="en-GB"/>
        </w:rPr>
      </w:pPr>
      <w:r>
        <w:rPr>
          <w:rStyle w:val="Hyperlink"/>
          <w:u w:val="none"/>
          <w:lang w:val="en-GB"/>
        </w:rPr>
        <w:t>Guidelines</w:t>
      </w:r>
      <w:r w:rsidRPr="00A64B3F">
        <w:rPr>
          <w:rStyle w:val="Hyperlink"/>
          <w:u w:val="none"/>
          <w:lang w:val="en-GB"/>
        </w:rPr>
        <w:t xml:space="preserve"> </w:t>
      </w:r>
      <w:r w:rsidR="002B5CF2" w:rsidRPr="00A64B3F">
        <w:rPr>
          <w:rStyle w:val="Hyperlink"/>
          <w:u w:val="none"/>
          <w:lang w:val="en-GB"/>
        </w:rPr>
        <w:t>compliance table</w:t>
      </w:r>
    </w:p>
    <w:tbl>
      <w:tblPr>
        <w:tblW w:w="0" w:type="auto"/>
        <w:tblCellMar>
          <w:top w:w="85" w:type="dxa"/>
          <w:bottom w:w="85" w:type="dxa"/>
        </w:tblCellMar>
        <w:tblLook w:val="04A0" w:firstRow="1" w:lastRow="0" w:firstColumn="1" w:lastColumn="0" w:noHBand="0" w:noVBand="1"/>
      </w:tblPr>
      <w:tblGrid>
        <w:gridCol w:w="3686"/>
      </w:tblGrid>
      <w:tr w:rsidR="002B5CF2" w:rsidRPr="00CD3A8C" w14:paraId="10380F3F" w14:textId="77777777" w:rsidTr="006B3595">
        <w:tc>
          <w:tcPr>
            <w:tcW w:w="3686" w:type="dxa"/>
            <w:tcBorders>
              <w:bottom w:val="single" w:sz="4" w:space="0" w:color="A6A6A6" w:themeColor="background1" w:themeShade="A6"/>
            </w:tcBorders>
            <w:shd w:val="clear" w:color="auto" w:fill="auto"/>
          </w:tcPr>
          <w:p w14:paraId="6B64AC6F" w14:textId="77777777" w:rsidR="002B5CF2" w:rsidRPr="00CD3A8C" w:rsidRDefault="00D73169" w:rsidP="006B3595">
            <w:pPr>
              <w:rPr>
                <w:lang w:val="en-GB"/>
              </w:rPr>
            </w:pPr>
            <w:r>
              <w:rPr>
                <w:rFonts w:cstheme="minorHAnsi"/>
                <w:lang w:val="en-GB"/>
              </w:rPr>
              <w:fldChar w:fldCharType="begin">
                <w:ffData>
                  <w:name w:val=""/>
                  <w:enabled/>
                  <w:calcOnExit w:val="0"/>
                  <w:textInput>
                    <w:default w:val="EBA/GL/2017/08 Appendix 1"/>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EBA/GL/2017/08 Appendix 1</w:t>
            </w:r>
            <w:r>
              <w:rPr>
                <w:rFonts w:cstheme="minorHAnsi"/>
                <w:lang w:val="en-GB"/>
              </w:rPr>
              <w:fldChar w:fldCharType="end"/>
            </w:r>
          </w:p>
        </w:tc>
        <w:bookmarkStart w:id="4" w:name="_GoBack"/>
        <w:bookmarkEnd w:id="4"/>
      </w:tr>
      <w:tr w:rsidR="002B5CF2" w:rsidRPr="00CD3A8C" w14:paraId="0A0DAE0D" w14:textId="77777777" w:rsidTr="006B3595">
        <w:tc>
          <w:tcPr>
            <w:tcW w:w="3686" w:type="dxa"/>
            <w:tcBorders>
              <w:top w:val="single" w:sz="4" w:space="0" w:color="A6A6A6" w:themeColor="background1" w:themeShade="A6"/>
              <w:bottom w:val="single" w:sz="4" w:space="0" w:color="A6A6A6" w:themeColor="background1" w:themeShade="A6"/>
            </w:tcBorders>
            <w:shd w:val="clear" w:color="auto" w:fill="auto"/>
          </w:tcPr>
          <w:p w14:paraId="51AD8D2C" w14:textId="20CDFF9A" w:rsidR="002B5CF2" w:rsidRPr="00CD3A8C" w:rsidRDefault="00D73169" w:rsidP="00686453">
            <w:pPr>
              <w:rPr>
                <w:lang w:val="en-GB"/>
              </w:rPr>
            </w:pPr>
            <w:r>
              <w:rPr>
                <w:rFonts w:cstheme="minorHAnsi"/>
                <w:lang w:val="en-GB"/>
              </w:rPr>
              <w:t>7 July</w:t>
            </w:r>
            <w:r w:rsidR="004B7F62">
              <w:rPr>
                <w:rFonts w:cstheme="minorHAnsi"/>
                <w:lang w:val="en-GB"/>
              </w:rPr>
              <w:t xml:space="preserve"> 2017</w:t>
            </w:r>
            <w:r w:rsidR="002D702A">
              <w:rPr>
                <w:rFonts w:cstheme="minorHAnsi"/>
                <w:lang w:val="en-GB"/>
              </w:rPr>
              <w:t>; Date of application –</w:t>
            </w:r>
            <w:r w:rsidR="00973A97">
              <w:rPr>
                <w:rFonts w:cstheme="minorHAnsi"/>
                <w:lang w:val="en-GB"/>
              </w:rPr>
              <w:t xml:space="preserve"> 20</w:t>
            </w:r>
            <w:r w:rsidR="00590816">
              <w:rPr>
                <w:rFonts w:cstheme="minorHAnsi"/>
                <w:lang w:val="en-GB"/>
              </w:rPr>
              <w:t xml:space="preserve"> February</w:t>
            </w:r>
            <w:r w:rsidR="002B0425">
              <w:rPr>
                <w:rFonts w:cstheme="minorHAnsi"/>
                <w:lang w:val="en-GB"/>
              </w:rPr>
              <w:t xml:space="preserve"> 2018</w:t>
            </w:r>
            <w:r w:rsidR="00686453">
              <w:rPr>
                <w:rFonts w:cstheme="minorHAnsi"/>
                <w:lang w:val="en-GB"/>
              </w:rPr>
              <w:t xml:space="preserve"> (Updated 16 May </w:t>
            </w:r>
            <w:r w:rsidR="0048143A">
              <w:rPr>
                <w:rFonts w:cstheme="minorHAnsi"/>
                <w:lang w:val="en-GB"/>
              </w:rPr>
              <w:t xml:space="preserve">2018) </w:t>
            </w:r>
          </w:p>
        </w:tc>
      </w:tr>
      <w:tr w:rsidR="002B5CF2" w:rsidRPr="00CD3A8C" w14:paraId="69EE3CD7" w14:textId="77777777" w:rsidTr="006B3595">
        <w:tc>
          <w:tcPr>
            <w:tcW w:w="3686" w:type="dxa"/>
            <w:tcBorders>
              <w:top w:val="single" w:sz="4" w:space="0" w:color="A6A6A6" w:themeColor="background1" w:themeShade="A6"/>
            </w:tcBorders>
            <w:shd w:val="clear" w:color="auto" w:fill="auto"/>
          </w:tcPr>
          <w:p w14:paraId="49DACCC3" w14:textId="77777777" w:rsidR="002B5CF2" w:rsidRPr="00CD3A8C" w:rsidRDefault="002B5CF2" w:rsidP="006B3595">
            <w:pPr>
              <w:rPr>
                <w:lang w:val="en-GB"/>
              </w:rPr>
            </w:pPr>
          </w:p>
        </w:tc>
      </w:tr>
    </w:tbl>
    <w:p w14:paraId="73A0E270" w14:textId="77777777" w:rsidR="002B0425" w:rsidRDefault="00392600" w:rsidP="00FB01A5">
      <w:pPr>
        <w:pStyle w:val="Titlelevel2"/>
        <w:rPr>
          <w:lang w:val="en-GB"/>
        </w:rPr>
      </w:pPr>
      <w:r>
        <w:rPr>
          <w:lang w:val="en-GB"/>
        </w:rPr>
        <w:t xml:space="preserve">Guidelines </w:t>
      </w:r>
      <w:r w:rsidR="001807E7">
        <w:rPr>
          <w:lang w:val="en-GB"/>
        </w:rPr>
        <w:t xml:space="preserve">on </w:t>
      </w:r>
      <w:r w:rsidR="00D73169">
        <w:rPr>
          <w:lang w:val="en-GB"/>
        </w:rPr>
        <w:t>the criteria on how to stipulate the minimum monetary amount of the professional indemnity insurance or other comparable guarantee under Article 3(4) of Directive (EU) 2015/2366 (PSD2)</w:t>
      </w:r>
    </w:p>
    <w:p w14:paraId="7E1BD6D3" w14:textId="77777777" w:rsidR="00AC1436" w:rsidRPr="00CD3A8C" w:rsidRDefault="002B5CF2" w:rsidP="002B5CF2">
      <w:pPr>
        <w:pStyle w:val="body"/>
        <w:jc w:val="left"/>
        <w:rPr>
          <w:lang w:val="en-GB"/>
        </w:rPr>
      </w:pPr>
      <w:r>
        <w:rPr>
          <w:lang w:val="en-GB"/>
        </w:rPr>
        <w:t xml:space="preserve">The following competent authorities* comply or intend to comply with </w:t>
      </w:r>
      <w:r w:rsidR="001B31DA">
        <w:rPr>
          <w:lang w:val="en-GB"/>
        </w:rPr>
        <w:t xml:space="preserve">the </w:t>
      </w:r>
      <w:r>
        <w:rPr>
          <w:lang w:val="en-GB"/>
        </w:rPr>
        <w:t xml:space="preserve">EBA’s </w:t>
      </w:r>
      <w:r w:rsidR="001051A7">
        <w:rPr>
          <w:lang w:val="en-GB"/>
        </w:rPr>
        <w:t>Guidelines</w:t>
      </w:r>
      <w:r w:rsidR="001807E7">
        <w:rPr>
          <w:lang w:val="en-GB"/>
        </w:rPr>
        <w:t xml:space="preserve"> on </w:t>
      </w:r>
      <w:r w:rsidR="00D73169">
        <w:rPr>
          <w:lang w:val="en-GB"/>
        </w:rPr>
        <w:t>the criteria on how to stipulate the minimum monetary amount of professional indemnity insurance or other comparable guarantee:</w:t>
      </w:r>
    </w:p>
    <w:tbl>
      <w:tblPr>
        <w:tblStyle w:val="EBAtable"/>
        <w:tblW w:w="8897" w:type="dxa"/>
        <w:tblLayout w:type="fixed"/>
        <w:tblLook w:val="04A0" w:firstRow="1" w:lastRow="0" w:firstColumn="1" w:lastColumn="0" w:noHBand="0" w:noVBand="1"/>
      </w:tblPr>
      <w:tblGrid>
        <w:gridCol w:w="675"/>
        <w:gridCol w:w="284"/>
        <w:gridCol w:w="1276"/>
        <w:gridCol w:w="2126"/>
        <w:gridCol w:w="1417"/>
        <w:gridCol w:w="3119"/>
      </w:tblGrid>
      <w:tr w:rsidR="002B5CF2" w:rsidRPr="00A2678D" w14:paraId="3B025D16" w14:textId="77777777" w:rsidTr="003A6C1E">
        <w:trPr>
          <w:cnfStyle w:val="100000000000" w:firstRow="1" w:lastRow="0" w:firstColumn="0" w:lastColumn="0" w:oddVBand="0" w:evenVBand="0" w:oddHBand="0" w:evenHBand="0" w:firstRowFirstColumn="0" w:firstRowLastColumn="0" w:lastRowFirstColumn="0" w:lastRowLastColumn="0"/>
          <w:trHeight w:val="748"/>
        </w:trPr>
        <w:tc>
          <w:tcPr>
            <w:tcW w:w="2235" w:type="dxa"/>
            <w:gridSpan w:val="3"/>
          </w:tcPr>
          <w:p w14:paraId="0D0D4B7A" w14:textId="77777777" w:rsidR="002B5CF2" w:rsidRPr="006D2ED5" w:rsidRDefault="002B5CF2" w:rsidP="006B3595">
            <w:pPr>
              <w:pStyle w:val="Tableheader"/>
              <w:rPr>
                <w:rFonts w:asciiTheme="minorHAnsi" w:hAnsiTheme="minorHAnsi"/>
                <w:sz w:val="20"/>
                <w:szCs w:val="20"/>
                <w:lang w:val="en-GB"/>
              </w:rPr>
            </w:pPr>
          </w:p>
        </w:tc>
        <w:tc>
          <w:tcPr>
            <w:tcW w:w="2126" w:type="dxa"/>
          </w:tcPr>
          <w:p w14:paraId="52152D4F" w14:textId="77777777"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Competent</w:t>
            </w:r>
            <w:r w:rsidRPr="006D2ED5">
              <w:rPr>
                <w:rFonts w:asciiTheme="minorHAnsi" w:hAnsiTheme="minorHAnsi"/>
                <w:sz w:val="20"/>
                <w:szCs w:val="20"/>
                <w:lang w:val="en-GB"/>
              </w:rPr>
              <w:br/>
              <w:t>authority</w:t>
            </w:r>
          </w:p>
        </w:tc>
        <w:tc>
          <w:tcPr>
            <w:tcW w:w="1417" w:type="dxa"/>
          </w:tcPr>
          <w:p w14:paraId="11780D10" w14:textId="77777777"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Complies or</w:t>
            </w:r>
            <w:r w:rsidRPr="006D2ED5">
              <w:rPr>
                <w:rFonts w:asciiTheme="minorHAnsi" w:hAnsiTheme="minorHAnsi"/>
                <w:sz w:val="20"/>
                <w:szCs w:val="20"/>
                <w:lang w:val="en-GB"/>
              </w:rPr>
              <w:br/>
              <w:t>intends to comply</w:t>
            </w:r>
          </w:p>
        </w:tc>
        <w:tc>
          <w:tcPr>
            <w:tcW w:w="3119" w:type="dxa"/>
          </w:tcPr>
          <w:p w14:paraId="4599DEBA" w14:textId="77777777" w:rsidR="002B5CF2" w:rsidRPr="006D2ED5" w:rsidRDefault="002B5CF2" w:rsidP="006B3595">
            <w:pPr>
              <w:pStyle w:val="Tableheader"/>
              <w:rPr>
                <w:rFonts w:asciiTheme="minorHAnsi" w:hAnsiTheme="minorHAnsi"/>
                <w:sz w:val="20"/>
                <w:szCs w:val="20"/>
                <w:lang w:val="en-GB"/>
              </w:rPr>
            </w:pPr>
            <w:r w:rsidRPr="006D2ED5">
              <w:rPr>
                <w:rFonts w:asciiTheme="minorHAnsi" w:hAnsiTheme="minorHAnsi"/>
                <w:sz w:val="20"/>
                <w:szCs w:val="20"/>
                <w:lang w:val="en-GB"/>
              </w:rPr>
              <w:t>Comments</w:t>
            </w:r>
          </w:p>
        </w:tc>
      </w:tr>
      <w:tr w:rsidR="001317C0" w:rsidRPr="00A2678D" w14:paraId="329D7054" w14:textId="77777777" w:rsidTr="003A6C1E">
        <w:tc>
          <w:tcPr>
            <w:tcW w:w="959" w:type="dxa"/>
            <w:gridSpan w:val="2"/>
            <w:tcBorders>
              <w:bottom w:val="single" w:sz="4" w:space="0" w:color="auto"/>
            </w:tcBorders>
          </w:tcPr>
          <w:p w14:paraId="64B9F4D3" w14:textId="77777777" w:rsidR="001317C0" w:rsidRPr="00A64B3F" w:rsidRDefault="001317C0" w:rsidP="001317C0">
            <w:pPr>
              <w:pStyle w:val="Tabledata"/>
              <w:jc w:val="left"/>
              <w:rPr>
                <w:szCs w:val="20"/>
              </w:rPr>
            </w:pPr>
            <w:r>
              <w:rPr>
                <w:szCs w:val="20"/>
              </w:rPr>
              <w:t>Member State</w:t>
            </w:r>
          </w:p>
        </w:tc>
        <w:tc>
          <w:tcPr>
            <w:tcW w:w="1276" w:type="dxa"/>
            <w:tcBorders>
              <w:bottom w:val="single" w:sz="4" w:space="0" w:color="auto"/>
            </w:tcBorders>
          </w:tcPr>
          <w:p w14:paraId="4CF228B4" w14:textId="77777777" w:rsidR="001317C0" w:rsidRPr="008B5776" w:rsidRDefault="001317C0" w:rsidP="006B3595">
            <w:pPr>
              <w:pStyle w:val="Tabledata"/>
              <w:jc w:val="left"/>
              <w:rPr>
                <w:szCs w:val="20"/>
              </w:rPr>
            </w:pPr>
          </w:p>
        </w:tc>
        <w:tc>
          <w:tcPr>
            <w:tcW w:w="2126" w:type="dxa"/>
            <w:tcBorders>
              <w:bottom w:val="single" w:sz="4" w:space="0" w:color="auto"/>
            </w:tcBorders>
          </w:tcPr>
          <w:p w14:paraId="01106A5F" w14:textId="77777777" w:rsidR="001317C0" w:rsidRPr="00DA049C" w:rsidRDefault="001317C0" w:rsidP="006B3595">
            <w:pPr>
              <w:pStyle w:val="Tabledata"/>
              <w:jc w:val="left"/>
              <w:rPr>
                <w:szCs w:val="20"/>
              </w:rPr>
            </w:pPr>
          </w:p>
        </w:tc>
        <w:tc>
          <w:tcPr>
            <w:tcW w:w="1417" w:type="dxa"/>
            <w:tcBorders>
              <w:bottom w:val="single" w:sz="4" w:space="0" w:color="auto"/>
            </w:tcBorders>
            <w:shd w:val="clear" w:color="auto" w:fill="auto"/>
          </w:tcPr>
          <w:p w14:paraId="6DCD5DFB" w14:textId="77777777" w:rsidR="001317C0" w:rsidRDefault="001317C0" w:rsidP="006B3595">
            <w:pPr>
              <w:pStyle w:val="Tabledata"/>
              <w:jc w:val="left"/>
              <w:rPr>
                <w:b/>
                <w:color w:val="auto"/>
                <w:szCs w:val="20"/>
              </w:rPr>
            </w:pPr>
          </w:p>
        </w:tc>
        <w:tc>
          <w:tcPr>
            <w:tcW w:w="3119" w:type="dxa"/>
            <w:tcBorders>
              <w:bottom w:val="single" w:sz="4" w:space="0" w:color="auto"/>
            </w:tcBorders>
          </w:tcPr>
          <w:p w14:paraId="7A9B4B1C" w14:textId="77777777" w:rsidR="001317C0" w:rsidRPr="006D2ED5" w:rsidRDefault="001317C0" w:rsidP="006B3595">
            <w:pPr>
              <w:suppressAutoHyphens/>
              <w:rPr>
                <w:rFonts w:cs="Calibri"/>
                <w:color w:val="000000"/>
                <w:sz w:val="20"/>
                <w:szCs w:val="20"/>
                <w:lang w:eastAsia="en-GB"/>
              </w:rPr>
            </w:pPr>
          </w:p>
        </w:tc>
      </w:tr>
      <w:tr w:rsidR="002B5CF2" w:rsidRPr="00A2678D" w14:paraId="7D74DB5C" w14:textId="77777777" w:rsidTr="00AF7A3B">
        <w:tc>
          <w:tcPr>
            <w:tcW w:w="959" w:type="dxa"/>
            <w:gridSpan w:val="2"/>
            <w:tcBorders>
              <w:top w:val="single" w:sz="4" w:space="0" w:color="auto"/>
              <w:left w:val="single" w:sz="4" w:space="0" w:color="auto"/>
              <w:bottom w:val="single" w:sz="4" w:space="0" w:color="auto"/>
              <w:right w:val="single" w:sz="4" w:space="0" w:color="auto"/>
            </w:tcBorders>
          </w:tcPr>
          <w:p w14:paraId="5CEB036E" w14:textId="77777777" w:rsidR="002B5CF2" w:rsidRPr="00826E1D" w:rsidRDefault="002B3A3F" w:rsidP="003A6C1E">
            <w:pPr>
              <w:pStyle w:val="Tabledata"/>
              <w:jc w:val="center"/>
              <w:rPr>
                <w:szCs w:val="20"/>
              </w:rPr>
            </w:pPr>
            <w:r w:rsidRPr="00670360">
              <w:rPr>
                <w:color w:val="auto"/>
              </w:rPr>
              <w:t>BE</w:t>
            </w:r>
          </w:p>
        </w:tc>
        <w:tc>
          <w:tcPr>
            <w:tcW w:w="1276" w:type="dxa"/>
            <w:tcBorders>
              <w:top w:val="single" w:sz="4" w:space="0" w:color="auto"/>
              <w:left w:val="single" w:sz="4" w:space="0" w:color="auto"/>
              <w:bottom w:val="single" w:sz="4" w:space="0" w:color="auto"/>
              <w:right w:val="single" w:sz="4" w:space="0" w:color="auto"/>
            </w:tcBorders>
          </w:tcPr>
          <w:p w14:paraId="3EEF86A7" w14:textId="77777777" w:rsidR="002B5CF2" w:rsidRPr="008B5776" w:rsidRDefault="00192DCA" w:rsidP="003A6C1E">
            <w:pPr>
              <w:pStyle w:val="Tabledata"/>
              <w:jc w:val="center"/>
              <w:rPr>
                <w:szCs w:val="20"/>
              </w:rPr>
            </w:pPr>
            <w:r w:rsidRPr="00670360">
              <w:rPr>
                <w:color w:val="auto"/>
              </w:rPr>
              <w:t>Belgium</w:t>
            </w:r>
          </w:p>
        </w:tc>
        <w:tc>
          <w:tcPr>
            <w:tcW w:w="2126" w:type="dxa"/>
            <w:tcBorders>
              <w:top w:val="single" w:sz="4" w:space="0" w:color="auto"/>
              <w:left w:val="single" w:sz="4" w:space="0" w:color="auto"/>
              <w:bottom w:val="single" w:sz="4" w:space="0" w:color="auto"/>
              <w:right w:val="single" w:sz="4" w:space="0" w:color="auto"/>
            </w:tcBorders>
          </w:tcPr>
          <w:p w14:paraId="060D7988" w14:textId="77777777" w:rsidR="002B5CF2" w:rsidRPr="00DA049C" w:rsidRDefault="002B3A3F" w:rsidP="006B3595">
            <w:pPr>
              <w:pStyle w:val="Tabledata"/>
              <w:jc w:val="left"/>
              <w:rPr>
                <w:szCs w:val="20"/>
              </w:rPr>
            </w:pPr>
            <w:r>
              <w:rPr>
                <w:rFonts w:cs="Arial"/>
                <w:bCs w:val="0"/>
                <w:color w:val="auto"/>
              </w:rPr>
              <w:t>National Bank of Belgium</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DFC071C" w14:textId="77777777" w:rsidR="002B5CF2" w:rsidRPr="00751C1D" w:rsidRDefault="00AF7A3B" w:rsidP="00751C1D">
            <w:pPr>
              <w:pStyle w:val="Tabledata"/>
              <w:jc w:val="center"/>
              <w:rPr>
                <w:b/>
                <w:color w:val="auto"/>
                <w:szCs w:val="20"/>
              </w:rPr>
            </w:pPr>
            <w:r>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8A9998F" w14:textId="77777777" w:rsidR="002B5CF2" w:rsidRPr="00180E1B" w:rsidRDefault="00AF7A3B" w:rsidP="00006737">
            <w:pPr>
              <w:suppressAutoHyphens/>
              <w:rPr>
                <w:rFonts w:cs="Calibri"/>
                <w:szCs w:val="20"/>
              </w:rPr>
            </w:pPr>
            <w:r w:rsidRPr="005547FA">
              <w:rPr>
                <w:rFonts w:eastAsia="Times New Roman" w:cstheme="minorHAnsi"/>
                <w:bCs/>
                <w:color w:val="000000"/>
                <w:sz w:val="20"/>
                <w:szCs w:val="22"/>
                <w:lang w:val="en-GB" w:eastAsia="en-GB"/>
              </w:rPr>
              <w:t>By 15.01.2018.</w:t>
            </w:r>
          </w:p>
        </w:tc>
      </w:tr>
      <w:tr w:rsidR="002B5CF2" w:rsidRPr="00A2678D" w14:paraId="70A94C67" w14:textId="77777777" w:rsidTr="006C2768">
        <w:tc>
          <w:tcPr>
            <w:tcW w:w="959" w:type="dxa"/>
            <w:gridSpan w:val="2"/>
            <w:tcBorders>
              <w:top w:val="single" w:sz="4" w:space="0" w:color="auto"/>
              <w:left w:val="single" w:sz="4" w:space="0" w:color="auto"/>
              <w:bottom w:val="single" w:sz="4" w:space="0" w:color="auto"/>
              <w:right w:val="single" w:sz="4" w:space="0" w:color="auto"/>
            </w:tcBorders>
          </w:tcPr>
          <w:p w14:paraId="07106584" w14:textId="77777777" w:rsidR="002B5CF2" w:rsidRPr="006D2ED5" w:rsidRDefault="002B3A3F" w:rsidP="003A6C1E">
            <w:pPr>
              <w:pStyle w:val="Tabledata"/>
              <w:jc w:val="center"/>
              <w:rPr>
                <w:szCs w:val="20"/>
              </w:rPr>
            </w:pPr>
            <w:r w:rsidRPr="00CD3A8C">
              <w:t>BG</w:t>
            </w:r>
            <w:r w:rsidR="002B5CF2" w:rsidRPr="006D2ED5">
              <w:rPr>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B132DA1" w14:textId="77777777" w:rsidR="002B5CF2" w:rsidRPr="006D2ED5" w:rsidRDefault="00192DCA" w:rsidP="003A6C1E">
            <w:pPr>
              <w:pStyle w:val="Tabledata"/>
              <w:jc w:val="center"/>
              <w:rPr>
                <w:szCs w:val="20"/>
              </w:rPr>
            </w:pPr>
            <w:r w:rsidRPr="00CD3A8C">
              <w:t>Bulgaria</w:t>
            </w:r>
          </w:p>
        </w:tc>
        <w:tc>
          <w:tcPr>
            <w:tcW w:w="2126" w:type="dxa"/>
            <w:tcBorders>
              <w:top w:val="single" w:sz="4" w:space="0" w:color="auto"/>
              <w:left w:val="single" w:sz="4" w:space="0" w:color="auto"/>
              <w:bottom w:val="single" w:sz="4" w:space="0" w:color="auto"/>
              <w:right w:val="single" w:sz="4" w:space="0" w:color="auto"/>
            </w:tcBorders>
          </w:tcPr>
          <w:p w14:paraId="49CA4790" w14:textId="77777777" w:rsidR="002B5CF2" w:rsidRPr="006D2ED5" w:rsidRDefault="006740E5" w:rsidP="006B3595">
            <w:pPr>
              <w:pStyle w:val="Tabledata"/>
              <w:jc w:val="left"/>
              <w:rPr>
                <w:szCs w:val="20"/>
              </w:rPr>
            </w:pPr>
            <w:r>
              <w:rPr>
                <w:rFonts w:cs="Arial"/>
                <w:bCs w:val="0"/>
              </w:rPr>
              <w:t>Bulgarian National Bank</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7028437D" w14:textId="77777777" w:rsidR="002B5CF2" w:rsidRPr="00180E1B" w:rsidRDefault="006C2768" w:rsidP="00180E1B">
            <w:pPr>
              <w:pStyle w:val="Tabledata"/>
              <w:jc w:val="center"/>
              <w:rPr>
                <w:b/>
                <w:color w:val="auto"/>
                <w:szCs w:val="20"/>
              </w:rPr>
            </w:pPr>
            <w:r>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B20CFE" w14:textId="07165A55" w:rsidR="002B5CF2" w:rsidRPr="00180E1B" w:rsidRDefault="006C2768" w:rsidP="00506D4E">
            <w:pPr>
              <w:suppressAutoHyphens/>
              <w:rPr>
                <w:rFonts w:cs="Calibri"/>
                <w:color w:val="000000"/>
                <w:sz w:val="20"/>
                <w:szCs w:val="20"/>
                <w:lang w:eastAsia="en-GB"/>
              </w:rPr>
            </w:pPr>
            <w:r>
              <w:rPr>
                <w:rFonts w:cs="Calibri"/>
                <w:color w:val="000000"/>
                <w:sz w:val="20"/>
                <w:szCs w:val="20"/>
                <w:lang w:eastAsia="en-GB"/>
              </w:rPr>
              <w:t>By the end of the first half of 2018</w:t>
            </w:r>
            <w:r w:rsidR="00506D4E">
              <w:rPr>
                <w:rFonts w:cs="Calibri"/>
                <w:color w:val="000000"/>
                <w:sz w:val="20"/>
                <w:szCs w:val="20"/>
                <w:lang w:eastAsia="en-GB"/>
              </w:rPr>
              <w:t>, as t t</w:t>
            </w:r>
            <w:r w:rsidR="00506D4E" w:rsidRPr="00506D4E">
              <w:rPr>
                <w:rFonts w:cs="Calibri"/>
                <w:color w:val="000000"/>
                <w:sz w:val="20"/>
                <w:szCs w:val="20"/>
                <w:lang w:eastAsia="en-GB"/>
              </w:rPr>
              <w:t>he necessary legislation and/or regulatory proceedings at national level are still ongoing.</w:t>
            </w:r>
          </w:p>
        </w:tc>
      </w:tr>
      <w:tr w:rsidR="002B5CF2" w:rsidRPr="00A2678D" w14:paraId="2E7443CB" w14:textId="77777777" w:rsidTr="00B07515">
        <w:tc>
          <w:tcPr>
            <w:tcW w:w="959" w:type="dxa"/>
            <w:gridSpan w:val="2"/>
            <w:tcBorders>
              <w:top w:val="single" w:sz="4" w:space="0" w:color="auto"/>
              <w:left w:val="single" w:sz="4" w:space="0" w:color="auto"/>
              <w:bottom w:val="single" w:sz="4" w:space="0" w:color="auto"/>
              <w:right w:val="single" w:sz="4" w:space="0" w:color="auto"/>
            </w:tcBorders>
          </w:tcPr>
          <w:p w14:paraId="29E50D58" w14:textId="77777777" w:rsidR="002B5CF2" w:rsidRPr="006D2ED5" w:rsidRDefault="002B3A3F" w:rsidP="003A6C1E">
            <w:pPr>
              <w:pStyle w:val="Tabledata"/>
              <w:jc w:val="center"/>
              <w:rPr>
                <w:szCs w:val="20"/>
              </w:rPr>
            </w:pPr>
            <w:r w:rsidRPr="00CD3A8C">
              <w:t>CZ</w:t>
            </w:r>
            <w:r w:rsidR="002B5CF2" w:rsidRPr="006D2ED5">
              <w:rPr>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33DC19C" w14:textId="77777777" w:rsidR="002B5CF2" w:rsidRPr="006D2ED5" w:rsidRDefault="00192DCA" w:rsidP="003A6C1E">
            <w:pPr>
              <w:pStyle w:val="Tabledata"/>
              <w:jc w:val="center"/>
              <w:rPr>
                <w:szCs w:val="20"/>
              </w:rPr>
            </w:pPr>
            <w:r w:rsidRPr="00CD3A8C">
              <w:t xml:space="preserve">Czech </w:t>
            </w:r>
            <w:r>
              <w:t xml:space="preserve"> </w:t>
            </w:r>
            <w:r w:rsidRPr="00CD3A8C">
              <w:t>Republic</w:t>
            </w:r>
          </w:p>
        </w:tc>
        <w:tc>
          <w:tcPr>
            <w:tcW w:w="2126" w:type="dxa"/>
            <w:tcBorders>
              <w:top w:val="single" w:sz="4" w:space="0" w:color="auto"/>
              <w:left w:val="single" w:sz="4" w:space="0" w:color="auto"/>
              <w:bottom w:val="single" w:sz="4" w:space="0" w:color="auto"/>
              <w:right w:val="single" w:sz="4" w:space="0" w:color="auto"/>
            </w:tcBorders>
          </w:tcPr>
          <w:p w14:paraId="033952F2" w14:textId="77777777" w:rsidR="002B5CF2" w:rsidRPr="006D2ED5" w:rsidRDefault="00194241" w:rsidP="006B3595">
            <w:pPr>
              <w:pStyle w:val="Tabledata"/>
              <w:jc w:val="left"/>
              <w:rPr>
                <w:szCs w:val="20"/>
              </w:rPr>
            </w:pPr>
            <w:r>
              <w:rPr>
                <w:rFonts w:cs="Arial"/>
                <w:bCs w:val="0"/>
              </w:rPr>
              <w:t>Czech National Bank</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92FB626" w14:textId="77777777" w:rsidR="002B5CF2" w:rsidRPr="00180E1B" w:rsidRDefault="00B07515" w:rsidP="006B3595">
            <w:pPr>
              <w:pStyle w:val="Tabledata"/>
              <w:ind w:left="284"/>
              <w:jc w:val="left"/>
              <w:rPr>
                <w:b/>
                <w:color w:val="auto"/>
                <w:szCs w:val="20"/>
              </w:rPr>
            </w:pPr>
            <w:r>
              <w:rPr>
                <w:b/>
                <w:color w:val="auto"/>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6BBE67" w14:textId="2C065CE0" w:rsidR="00770634" w:rsidRPr="007A62E0" w:rsidRDefault="00B07515" w:rsidP="00506D4E">
            <w:pPr>
              <w:pStyle w:val="Tabledata"/>
              <w:jc w:val="left"/>
              <w:rPr>
                <w:rFonts w:cs="Calibri"/>
                <w:color w:val="auto"/>
                <w:szCs w:val="20"/>
              </w:rPr>
            </w:pPr>
            <w:r>
              <w:rPr>
                <w:rFonts w:cs="Calibri"/>
                <w:color w:val="auto"/>
                <w:szCs w:val="20"/>
              </w:rPr>
              <w:t>Intends to comply by 13.01.2018 or by a later, currently unknown date, depending on the speed of the</w:t>
            </w:r>
            <w:r w:rsidR="00B846A8">
              <w:rPr>
                <w:rFonts w:cs="Calibri"/>
                <w:color w:val="auto"/>
                <w:szCs w:val="20"/>
              </w:rPr>
              <w:t xml:space="preserve"> </w:t>
            </w:r>
            <w:r>
              <w:rPr>
                <w:rFonts w:cs="Calibri"/>
                <w:color w:val="auto"/>
                <w:szCs w:val="20"/>
              </w:rPr>
              <w:t>legislative proce</w:t>
            </w:r>
            <w:r w:rsidR="00506D4E">
              <w:rPr>
                <w:rFonts w:cs="Calibri"/>
                <w:color w:val="auto"/>
                <w:szCs w:val="20"/>
              </w:rPr>
              <w:t>edings</w:t>
            </w:r>
            <w:r>
              <w:rPr>
                <w:rFonts w:cs="Calibri"/>
                <w:color w:val="auto"/>
                <w:szCs w:val="20"/>
              </w:rPr>
              <w:t xml:space="preserve">. </w:t>
            </w:r>
          </w:p>
        </w:tc>
      </w:tr>
      <w:tr w:rsidR="002B5CF2" w:rsidRPr="00A2678D" w14:paraId="6B778E0E" w14:textId="77777777" w:rsidTr="00731B0A">
        <w:tc>
          <w:tcPr>
            <w:tcW w:w="959" w:type="dxa"/>
            <w:gridSpan w:val="2"/>
            <w:tcBorders>
              <w:top w:val="single" w:sz="4" w:space="0" w:color="auto"/>
              <w:left w:val="single" w:sz="4" w:space="0" w:color="auto"/>
              <w:bottom w:val="single" w:sz="4" w:space="0" w:color="auto"/>
              <w:right w:val="single" w:sz="4" w:space="0" w:color="auto"/>
            </w:tcBorders>
          </w:tcPr>
          <w:p w14:paraId="3D599C70" w14:textId="77777777" w:rsidR="002B5CF2" w:rsidRPr="00826E1D" w:rsidRDefault="002B5CF2" w:rsidP="003A6C1E">
            <w:pPr>
              <w:pStyle w:val="Tabledata"/>
              <w:jc w:val="center"/>
              <w:rPr>
                <w:szCs w:val="20"/>
              </w:rPr>
            </w:pPr>
            <w:r w:rsidRPr="00A64B3F">
              <w:rPr>
                <w:szCs w:val="20"/>
              </w:rPr>
              <w:t xml:space="preserve"> </w:t>
            </w:r>
            <w:r w:rsidR="002B0B93" w:rsidRPr="00CD3A8C">
              <w:t>DK</w:t>
            </w:r>
          </w:p>
        </w:tc>
        <w:tc>
          <w:tcPr>
            <w:tcW w:w="1276" w:type="dxa"/>
            <w:tcBorders>
              <w:top w:val="single" w:sz="4" w:space="0" w:color="auto"/>
              <w:left w:val="single" w:sz="4" w:space="0" w:color="auto"/>
              <w:bottom w:val="single" w:sz="4" w:space="0" w:color="auto"/>
              <w:right w:val="single" w:sz="4" w:space="0" w:color="auto"/>
            </w:tcBorders>
          </w:tcPr>
          <w:p w14:paraId="31D3386D" w14:textId="77777777" w:rsidR="002B5CF2" w:rsidRPr="008B5776" w:rsidRDefault="002B0B93" w:rsidP="003A6C1E">
            <w:pPr>
              <w:pStyle w:val="Tabledata"/>
              <w:jc w:val="center"/>
              <w:rPr>
                <w:szCs w:val="20"/>
              </w:rPr>
            </w:pPr>
            <w:r w:rsidRPr="00CD3A8C">
              <w:t>Denmark</w:t>
            </w:r>
          </w:p>
        </w:tc>
        <w:tc>
          <w:tcPr>
            <w:tcW w:w="2126" w:type="dxa"/>
            <w:tcBorders>
              <w:top w:val="single" w:sz="4" w:space="0" w:color="auto"/>
              <w:left w:val="single" w:sz="4" w:space="0" w:color="auto"/>
              <w:bottom w:val="single" w:sz="4" w:space="0" w:color="auto"/>
              <w:right w:val="single" w:sz="4" w:space="0" w:color="auto"/>
            </w:tcBorders>
          </w:tcPr>
          <w:p w14:paraId="0F2868DF" w14:textId="77777777" w:rsidR="002B5CF2" w:rsidRPr="00DA049C" w:rsidRDefault="00731B0A" w:rsidP="00666689">
            <w:pPr>
              <w:pStyle w:val="Tabledata"/>
              <w:jc w:val="left"/>
              <w:rPr>
                <w:szCs w:val="20"/>
              </w:rPr>
            </w:pPr>
            <w:r>
              <w:rPr>
                <w:rFonts w:cs="Arial"/>
                <w:bCs w:val="0"/>
              </w:rPr>
              <w:t>Danish Financial Supervisory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C4BDA20" w14:textId="77777777" w:rsidR="002B5CF2" w:rsidRPr="00180E1B" w:rsidRDefault="00731B0A" w:rsidP="0081135D">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4FBD06C" w14:textId="77777777" w:rsidR="002B5CF2" w:rsidRPr="00180E1B" w:rsidRDefault="00731B0A" w:rsidP="006B3595">
            <w:pPr>
              <w:pStyle w:val="Tabledata"/>
              <w:jc w:val="left"/>
              <w:rPr>
                <w:szCs w:val="20"/>
              </w:rPr>
            </w:pPr>
            <w:r>
              <w:rPr>
                <w:szCs w:val="20"/>
              </w:rPr>
              <w:t>By 01.01.2018.</w:t>
            </w:r>
          </w:p>
        </w:tc>
      </w:tr>
      <w:tr w:rsidR="002B5CF2" w:rsidRPr="00A2678D" w14:paraId="5B75EBC3" w14:textId="77777777" w:rsidTr="00FC334A">
        <w:tc>
          <w:tcPr>
            <w:tcW w:w="959" w:type="dxa"/>
            <w:gridSpan w:val="2"/>
            <w:tcBorders>
              <w:top w:val="single" w:sz="4" w:space="0" w:color="auto"/>
              <w:left w:val="single" w:sz="4" w:space="0" w:color="auto"/>
              <w:bottom w:val="single" w:sz="4" w:space="0" w:color="auto"/>
              <w:right w:val="single" w:sz="4" w:space="0" w:color="auto"/>
            </w:tcBorders>
          </w:tcPr>
          <w:p w14:paraId="6491B295" w14:textId="77777777" w:rsidR="002B5CF2" w:rsidRPr="00A64B3F" w:rsidRDefault="002B0B93" w:rsidP="003A6C1E">
            <w:pPr>
              <w:pStyle w:val="Tabledata"/>
              <w:jc w:val="center"/>
              <w:rPr>
                <w:szCs w:val="20"/>
              </w:rPr>
            </w:pPr>
            <w:r w:rsidRPr="00CD3A8C">
              <w:t>DE</w:t>
            </w:r>
          </w:p>
        </w:tc>
        <w:tc>
          <w:tcPr>
            <w:tcW w:w="1276" w:type="dxa"/>
            <w:tcBorders>
              <w:top w:val="single" w:sz="4" w:space="0" w:color="auto"/>
              <w:left w:val="single" w:sz="4" w:space="0" w:color="auto"/>
              <w:bottom w:val="single" w:sz="4" w:space="0" w:color="auto"/>
              <w:right w:val="single" w:sz="4" w:space="0" w:color="auto"/>
            </w:tcBorders>
          </w:tcPr>
          <w:p w14:paraId="447CF5F0" w14:textId="77777777" w:rsidR="002B5CF2" w:rsidRPr="00A64B3F" w:rsidRDefault="002B0B93" w:rsidP="003A6C1E">
            <w:pPr>
              <w:pStyle w:val="Tabledata"/>
              <w:jc w:val="center"/>
              <w:rPr>
                <w:szCs w:val="20"/>
              </w:rPr>
            </w:pPr>
            <w:r w:rsidRPr="00CD3A8C">
              <w:t>Germany</w:t>
            </w:r>
          </w:p>
        </w:tc>
        <w:tc>
          <w:tcPr>
            <w:tcW w:w="2126" w:type="dxa"/>
            <w:tcBorders>
              <w:top w:val="single" w:sz="4" w:space="0" w:color="auto"/>
              <w:left w:val="single" w:sz="4" w:space="0" w:color="auto"/>
              <w:bottom w:val="single" w:sz="4" w:space="0" w:color="auto"/>
              <w:right w:val="single" w:sz="4" w:space="0" w:color="auto"/>
            </w:tcBorders>
          </w:tcPr>
          <w:p w14:paraId="08F3E30A" w14:textId="77777777" w:rsidR="002B5CF2" w:rsidRPr="00B72435" w:rsidRDefault="002B0B93" w:rsidP="00877ECD">
            <w:pPr>
              <w:pStyle w:val="Tabledata"/>
              <w:jc w:val="left"/>
              <w:rPr>
                <w:rFonts w:cs="Arial"/>
                <w:bCs w:val="0"/>
              </w:rPr>
            </w:pPr>
            <w:proofErr w:type="spellStart"/>
            <w:r w:rsidRPr="00B72435">
              <w:rPr>
                <w:rFonts w:cs="Arial"/>
                <w:bCs w:val="0"/>
              </w:rPr>
              <w:t>Bundesanstalt</w:t>
            </w:r>
            <w:proofErr w:type="spellEnd"/>
            <w:r w:rsidRPr="00B72435">
              <w:rPr>
                <w:rFonts w:cs="Arial"/>
                <w:bCs w:val="0"/>
              </w:rPr>
              <w:t xml:space="preserve"> </w:t>
            </w:r>
            <w:proofErr w:type="spellStart"/>
            <w:r w:rsidRPr="00B72435">
              <w:rPr>
                <w:rFonts w:cs="Arial"/>
                <w:bCs w:val="0"/>
              </w:rPr>
              <w:t>für</w:t>
            </w:r>
            <w:proofErr w:type="spellEnd"/>
            <w:r w:rsidRPr="00B72435">
              <w:rPr>
                <w:rFonts w:cs="Arial"/>
                <w:bCs w:val="0"/>
              </w:rPr>
              <w:t xml:space="preserve"> </w:t>
            </w:r>
            <w:proofErr w:type="spellStart"/>
            <w:r w:rsidR="00EC746F" w:rsidRPr="00B72435">
              <w:rPr>
                <w:rFonts w:cs="Arial"/>
                <w:bCs w:val="0"/>
              </w:rPr>
              <w:t>Finanzdienstleistungsaufsicht</w:t>
            </w:r>
            <w:proofErr w:type="spellEnd"/>
            <w:r w:rsidR="00EC746F" w:rsidRPr="00B72435">
              <w:rPr>
                <w:rFonts w:cs="Arial"/>
                <w:bCs w:val="0"/>
              </w:rPr>
              <w:t xml:space="preserve"> </w:t>
            </w:r>
            <w:r w:rsidRPr="00B72435">
              <w:rPr>
                <w:rFonts w:cs="Arial"/>
                <w:bCs w:val="0"/>
              </w:rPr>
              <w:t>(</w:t>
            </w:r>
            <w:proofErr w:type="spellStart"/>
            <w:r w:rsidR="00877ECD">
              <w:rPr>
                <w:rFonts w:cs="Arial"/>
                <w:bCs w:val="0"/>
              </w:rPr>
              <w:t>BaFin</w:t>
            </w:r>
            <w:proofErr w:type="spellEnd"/>
            <w:r w:rsidRPr="00B72435">
              <w:rPr>
                <w:rFonts w:cs="Arial"/>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F59AADC" w14:textId="77777777" w:rsidR="002B5CF2" w:rsidRPr="00922663" w:rsidRDefault="00FC334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FC848C" w14:textId="77777777" w:rsidR="00877ECD" w:rsidRPr="00877ECD" w:rsidRDefault="00FC334A" w:rsidP="00877ECD">
            <w:r w:rsidRPr="00FC334A">
              <w:rPr>
                <w:rFonts w:eastAsia="Times New Roman" w:cstheme="minorHAnsi"/>
                <w:bCs/>
                <w:color w:val="000000"/>
                <w:sz w:val="20"/>
                <w:szCs w:val="20"/>
                <w:lang w:val="en-GB" w:eastAsia="en-GB"/>
              </w:rPr>
              <w:t>By 13.01.2018</w:t>
            </w:r>
            <w:r>
              <w:rPr>
                <w:rFonts w:eastAsia="Times New Roman" w:cstheme="minorHAnsi"/>
                <w:bCs/>
                <w:color w:val="000000"/>
                <w:sz w:val="20"/>
                <w:szCs w:val="20"/>
                <w:lang w:val="en-GB" w:eastAsia="en-GB"/>
              </w:rPr>
              <w:t xml:space="preserve">. </w:t>
            </w:r>
            <w:r w:rsidRPr="00FC334A">
              <w:rPr>
                <w:rFonts w:eastAsia="Times New Roman" w:cstheme="minorHAnsi"/>
                <w:bCs/>
                <w:color w:val="000000"/>
                <w:sz w:val="20"/>
                <w:szCs w:val="20"/>
                <w:lang w:val="en-GB" w:eastAsia="en-GB"/>
              </w:rPr>
              <w:t xml:space="preserve">The necessary legislative and/or regulatory proceedings at national level are still ongoing and the national law transposing the PSD2 will come </w:t>
            </w:r>
            <w:r w:rsidRPr="00FC334A">
              <w:rPr>
                <w:rFonts w:eastAsia="Times New Roman" w:cstheme="minorHAnsi"/>
                <w:bCs/>
                <w:color w:val="000000"/>
                <w:sz w:val="20"/>
                <w:szCs w:val="20"/>
                <w:lang w:val="en-GB" w:eastAsia="en-GB"/>
              </w:rPr>
              <w:lastRenderedPageBreak/>
              <w:t>into force on 13 January 2018. We will then comply with the GL.</w:t>
            </w:r>
          </w:p>
        </w:tc>
      </w:tr>
      <w:tr w:rsidR="002B0B93" w:rsidRPr="00A2678D" w14:paraId="2334A2D4" w14:textId="77777777" w:rsidTr="00684C40">
        <w:tc>
          <w:tcPr>
            <w:tcW w:w="959" w:type="dxa"/>
            <w:gridSpan w:val="2"/>
            <w:tcBorders>
              <w:top w:val="single" w:sz="4" w:space="0" w:color="auto"/>
              <w:left w:val="single" w:sz="4" w:space="0" w:color="auto"/>
              <w:bottom w:val="single" w:sz="4" w:space="0" w:color="auto"/>
              <w:right w:val="single" w:sz="4" w:space="0" w:color="auto"/>
            </w:tcBorders>
          </w:tcPr>
          <w:p w14:paraId="55E29040" w14:textId="77777777" w:rsidR="002B0B93" w:rsidRPr="00DD00A2" w:rsidRDefault="002B0B93" w:rsidP="003A6C1E">
            <w:pPr>
              <w:pStyle w:val="Tabledata"/>
              <w:jc w:val="center"/>
              <w:rPr>
                <w:szCs w:val="20"/>
              </w:rPr>
            </w:pPr>
            <w:r>
              <w:rPr>
                <w:szCs w:val="20"/>
              </w:rPr>
              <w:lastRenderedPageBreak/>
              <w:t>EE</w:t>
            </w:r>
          </w:p>
        </w:tc>
        <w:tc>
          <w:tcPr>
            <w:tcW w:w="1276" w:type="dxa"/>
            <w:tcBorders>
              <w:top w:val="single" w:sz="4" w:space="0" w:color="auto"/>
              <w:left w:val="single" w:sz="4" w:space="0" w:color="auto"/>
              <w:bottom w:val="single" w:sz="4" w:space="0" w:color="auto"/>
              <w:right w:val="single" w:sz="4" w:space="0" w:color="auto"/>
            </w:tcBorders>
          </w:tcPr>
          <w:p w14:paraId="6FC4BD1D" w14:textId="77777777" w:rsidR="002B0B93" w:rsidRPr="00DD00A2" w:rsidRDefault="002B0B93" w:rsidP="003A6C1E">
            <w:pPr>
              <w:pStyle w:val="Tabledata"/>
              <w:jc w:val="center"/>
              <w:rPr>
                <w:szCs w:val="20"/>
              </w:rPr>
            </w:pPr>
            <w:r w:rsidRPr="00CD3A8C">
              <w:t>Estonia</w:t>
            </w:r>
          </w:p>
        </w:tc>
        <w:tc>
          <w:tcPr>
            <w:tcW w:w="2126" w:type="dxa"/>
            <w:tcBorders>
              <w:top w:val="single" w:sz="4" w:space="0" w:color="auto"/>
              <w:left w:val="single" w:sz="4" w:space="0" w:color="auto"/>
              <w:bottom w:val="single" w:sz="4" w:space="0" w:color="auto"/>
              <w:right w:val="single" w:sz="4" w:space="0" w:color="auto"/>
            </w:tcBorders>
          </w:tcPr>
          <w:p w14:paraId="699807E1" w14:textId="77777777" w:rsidR="002B0B93" w:rsidRPr="00B72435" w:rsidRDefault="002B0B93" w:rsidP="002E3AD0">
            <w:pPr>
              <w:pStyle w:val="Tabledata"/>
              <w:jc w:val="left"/>
              <w:rPr>
                <w:szCs w:val="20"/>
              </w:rPr>
            </w:pPr>
            <w:proofErr w:type="spellStart"/>
            <w:r w:rsidRPr="00B72435">
              <w:rPr>
                <w:rFonts w:cs="Arial"/>
                <w:bCs w:val="0"/>
              </w:rPr>
              <w:t>Finantsinspektsioon</w:t>
            </w:r>
            <w:proofErr w:type="spellEnd"/>
            <w:r w:rsidRPr="00B72435">
              <w:rPr>
                <w:rFonts w:cs="Arial"/>
                <w:bCs w:val="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087336CE" w14:textId="77777777" w:rsidR="002B0B93" w:rsidRPr="00FF0A17" w:rsidRDefault="00684C40"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F121175" w14:textId="21D7657E" w:rsidR="00A154B0" w:rsidRPr="00FF0A17" w:rsidRDefault="00684C40" w:rsidP="008E7E95">
            <w:pPr>
              <w:pStyle w:val="Tabledata"/>
              <w:spacing w:before="0" w:after="0"/>
              <w:jc w:val="left"/>
            </w:pPr>
            <w:r>
              <w:t xml:space="preserve">As at </w:t>
            </w:r>
            <w:r w:rsidR="00506D4E">
              <w:t xml:space="preserve">the notification date of </w:t>
            </w:r>
            <w:r>
              <w:t>13.11.2017</w:t>
            </w:r>
            <w:r w:rsidR="00C74BA5">
              <w:t>,</w:t>
            </w:r>
            <w:r>
              <w:t xml:space="preserve"> </w:t>
            </w:r>
            <w:r w:rsidR="00506D4E">
              <w:t>the necessary legislati</w:t>
            </w:r>
            <w:r w:rsidR="00C74BA5">
              <w:t>ve</w:t>
            </w:r>
            <w:r w:rsidR="00506D4E">
              <w:t xml:space="preserve"> and/or regulatory </w:t>
            </w:r>
            <w:r w:rsidR="00C74BA5">
              <w:t xml:space="preserve">proceedings at a national level are still ongoing. </w:t>
            </w:r>
            <w:proofErr w:type="spellStart"/>
            <w:r w:rsidR="008E7E95">
              <w:t>Finantsinspektsioon</w:t>
            </w:r>
            <w:proofErr w:type="spellEnd"/>
            <w:r w:rsidR="008E7E95">
              <w:t xml:space="preserve"> intends to comply with the Guidelines by the date </w:t>
            </w:r>
            <w:r w:rsidR="00C74BA5">
              <w:t xml:space="preserve">PSD2 </w:t>
            </w:r>
            <w:r w:rsidR="008E7E95">
              <w:t xml:space="preserve">is transposed </w:t>
            </w:r>
            <w:r w:rsidR="00B846A8">
              <w:t>international</w:t>
            </w:r>
            <w:r w:rsidR="008E7E95">
              <w:t xml:space="preserve"> law and to the </w:t>
            </w:r>
            <w:proofErr w:type="gramStart"/>
            <w:r w:rsidR="008E7E95">
              <w:t>extent</w:t>
            </w:r>
            <w:proofErr w:type="gramEnd"/>
            <w:r w:rsidR="008E7E95">
              <w:t xml:space="preserve"> it is in accordance with national legislation.</w:t>
            </w:r>
          </w:p>
        </w:tc>
      </w:tr>
      <w:tr w:rsidR="002B0B93" w:rsidRPr="00A2678D" w14:paraId="20E45CCC" w14:textId="77777777" w:rsidTr="008C724A">
        <w:tc>
          <w:tcPr>
            <w:tcW w:w="959" w:type="dxa"/>
            <w:gridSpan w:val="2"/>
            <w:tcBorders>
              <w:top w:val="single" w:sz="4" w:space="0" w:color="auto"/>
              <w:left w:val="single" w:sz="4" w:space="0" w:color="auto"/>
              <w:bottom w:val="single" w:sz="4" w:space="0" w:color="auto"/>
              <w:right w:val="single" w:sz="4" w:space="0" w:color="auto"/>
            </w:tcBorders>
          </w:tcPr>
          <w:p w14:paraId="35575317" w14:textId="77777777" w:rsidR="002B0B93" w:rsidRPr="00DD00A2" w:rsidRDefault="002B0B93" w:rsidP="003A6C1E">
            <w:pPr>
              <w:pStyle w:val="Tabledata"/>
              <w:jc w:val="center"/>
              <w:rPr>
                <w:szCs w:val="20"/>
              </w:rPr>
            </w:pPr>
            <w:r>
              <w:t>IE</w:t>
            </w:r>
          </w:p>
        </w:tc>
        <w:tc>
          <w:tcPr>
            <w:tcW w:w="1276" w:type="dxa"/>
            <w:tcBorders>
              <w:top w:val="single" w:sz="4" w:space="0" w:color="auto"/>
              <w:left w:val="single" w:sz="4" w:space="0" w:color="auto"/>
              <w:bottom w:val="single" w:sz="4" w:space="0" w:color="auto"/>
              <w:right w:val="single" w:sz="4" w:space="0" w:color="auto"/>
            </w:tcBorders>
          </w:tcPr>
          <w:p w14:paraId="721B7C68" w14:textId="77777777" w:rsidR="002B0B93" w:rsidRPr="00DD00A2" w:rsidRDefault="002B0B93" w:rsidP="003A6C1E">
            <w:pPr>
              <w:pStyle w:val="Tabledata"/>
              <w:jc w:val="center"/>
              <w:rPr>
                <w:szCs w:val="20"/>
              </w:rPr>
            </w:pPr>
            <w:r>
              <w:t>Ireland</w:t>
            </w:r>
          </w:p>
        </w:tc>
        <w:tc>
          <w:tcPr>
            <w:tcW w:w="2126" w:type="dxa"/>
            <w:tcBorders>
              <w:top w:val="single" w:sz="4" w:space="0" w:color="auto"/>
              <w:left w:val="single" w:sz="4" w:space="0" w:color="auto"/>
              <w:bottom w:val="single" w:sz="4" w:space="0" w:color="auto"/>
              <w:right w:val="single" w:sz="4" w:space="0" w:color="auto"/>
            </w:tcBorders>
          </w:tcPr>
          <w:p w14:paraId="2380A6EE" w14:textId="77777777" w:rsidR="002B0B93" w:rsidRPr="00B72435" w:rsidRDefault="00103DC7" w:rsidP="006B3595">
            <w:pPr>
              <w:pStyle w:val="Tabledata"/>
              <w:jc w:val="left"/>
              <w:rPr>
                <w:szCs w:val="20"/>
              </w:rPr>
            </w:pPr>
            <w:r>
              <w:rPr>
                <w:rFonts w:cs="Arial"/>
                <w:bCs w:val="0"/>
              </w:rPr>
              <w:t xml:space="preserve">The </w:t>
            </w:r>
            <w:r w:rsidR="002B0B93" w:rsidRPr="00B72435">
              <w:rPr>
                <w:rFonts w:cs="Arial"/>
                <w:bCs w:val="0"/>
              </w:rPr>
              <w:t>Central Bank of Ireland</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990C9C3" w14:textId="77777777" w:rsidR="002B0B93" w:rsidRPr="002C19B0" w:rsidRDefault="008C724A" w:rsidP="008B18DC">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298F463" w14:textId="77777777" w:rsidR="002B0B93" w:rsidRPr="002C19B0" w:rsidRDefault="008C724A" w:rsidP="0021782A">
            <w:pPr>
              <w:pStyle w:val="Tabledata"/>
              <w:jc w:val="left"/>
            </w:pPr>
            <w:r>
              <w:t xml:space="preserve">By 13.01.2018. The necessary legislation and/or regulatory proceedings at national level are still ongoing. </w:t>
            </w:r>
          </w:p>
        </w:tc>
      </w:tr>
      <w:tr w:rsidR="002B0B93" w:rsidRPr="00A2678D" w14:paraId="3B8963FE" w14:textId="77777777" w:rsidTr="001369F8">
        <w:tc>
          <w:tcPr>
            <w:tcW w:w="959" w:type="dxa"/>
            <w:gridSpan w:val="2"/>
            <w:tcBorders>
              <w:top w:val="single" w:sz="4" w:space="0" w:color="auto"/>
              <w:left w:val="single" w:sz="4" w:space="0" w:color="auto"/>
              <w:bottom w:val="single" w:sz="4" w:space="0" w:color="auto"/>
              <w:right w:val="single" w:sz="4" w:space="0" w:color="auto"/>
            </w:tcBorders>
          </w:tcPr>
          <w:p w14:paraId="73C8C7FC" w14:textId="77777777" w:rsidR="002B0B93" w:rsidRPr="00DD00A2" w:rsidRDefault="002B0B93" w:rsidP="003A6C1E">
            <w:pPr>
              <w:pStyle w:val="Tabledata"/>
              <w:jc w:val="center"/>
              <w:rPr>
                <w:szCs w:val="20"/>
              </w:rPr>
            </w:pPr>
            <w:r>
              <w:t>EL</w:t>
            </w:r>
          </w:p>
        </w:tc>
        <w:tc>
          <w:tcPr>
            <w:tcW w:w="1276" w:type="dxa"/>
            <w:tcBorders>
              <w:top w:val="single" w:sz="4" w:space="0" w:color="auto"/>
              <w:left w:val="single" w:sz="4" w:space="0" w:color="auto"/>
              <w:bottom w:val="single" w:sz="4" w:space="0" w:color="auto"/>
              <w:right w:val="single" w:sz="4" w:space="0" w:color="auto"/>
            </w:tcBorders>
          </w:tcPr>
          <w:p w14:paraId="78AD127E" w14:textId="77777777" w:rsidR="002B0B93" w:rsidRPr="00DD00A2" w:rsidRDefault="002B0B93" w:rsidP="003A6C1E">
            <w:pPr>
              <w:pStyle w:val="Tabledata"/>
              <w:jc w:val="center"/>
              <w:rPr>
                <w:szCs w:val="20"/>
              </w:rPr>
            </w:pPr>
            <w:r>
              <w:t>Greece</w:t>
            </w:r>
          </w:p>
        </w:tc>
        <w:tc>
          <w:tcPr>
            <w:tcW w:w="2126" w:type="dxa"/>
            <w:tcBorders>
              <w:top w:val="single" w:sz="4" w:space="0" w:color="auto"/>
              <w:left w:val="single" w:sz="4" w:space="0" w:color="auto"/>
              <w:bottom w:val="single" w:sz="4" w:space="0" w:color="auto"/>
              <w:right w:val="single" w:sz="4" w:space="0" w:color="auto"/>
            </w:tcBorders>
          </w:tcPr>
          <w:p w14:paraId="22AB6708" w14:textId="77777777" w:rsidR="002B0B93" w:rsidRPr="00DD00A2" w:rsidRDefault="002B0B93" w:rsidP="000C29B7">
            <w:pPr>
              <w:pStyle w:val="Tabledata"/>
              <w:jc w:val="left"/>
              <w:rPr>
                <w:szCs w:val="20"/>
              </w:rPr>
            </w:pPr>
            <w:r w:rsidRPr="00CD3A8C">
              <w:rPr>
                <w:rFonts w:cs="Arial"/>
                <w:bCs w:val="0"/>
              </w:rPr>
              <w:t xml:space="preserve"> </w:t>
            </w:r>
            <w:r w:rsidR="000C29B7">
              <w:rPr>
                <w:rFonts w:cs="Arial"/>
                <w:bCs w:val="0"/>
              </w:rPr>
              <w:t>Bank of Greece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49C701B" w14:textId="77777777" w:rsidR="002B0B93" w:rsidRPr="00180E1B" w:rsidRDefault="001369F8" w:rsidP="006B3595">
            <w:pPr>
              <w:pStyle w:val="Tabledata"/>
              <w:ind w:left="284"/>
              <w:jc w:val="left"/>
              <w:rPr>
                <w:b/>
                <w:szCs w:val="20"/>
              </w:rPr>
            </w:pPr>
            <w:r>
              <w:rPr>
                <w:b/>
                <w:szCs w:val="20"/>
              </w:rPr>
              <w:t>Intend</w:t>
            </w:r>
            <w:r w:rsidRPr="001369F8">
              <w:rPr>
                <w:b/>
                <w:szCs w:val="20"/>
                <w:shd w:val="clear" w:color="auto" w:fill="92D050"/>
              </w:rPr>
              <w:t>s</w:t>
            </w:r>
            <w:r>
              <w:rPr>
                <w:b/>
                <w:szCs w:val="20"/>
              </w:rPr>
              <w:t xml:space="preserve">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857941" w14:textId="77777777" w:rsidR="002B0B93" w:rsidRPr="00180E1B" w:rsidRDefault="001369F8" w:rsidP="00894F59">
            <w:pPr>
              <w:pStyle w:val="Tabledata"/>
              <w:jc w:val="left"/>
            </w:pPr>
            <w:r>
              <w:t>By 01.07.2018</w:t>
            </w:r>
          </w:p>
        </w:tc>
      </w:tr>
      <w:tr w:rsidR="002B0B93" w:rsidRPr="00A2678D" w14:paraId="277FBC73" w14:textId="77777777" w:rsidTr="00167292">
        <w:tc>
          <w:tcPr>
            <w:tcW w:w="959" w:type="dxa"/>
            <w:gridSpan w:val="2"/>
            <w:tcBorders>
              <w:top w:val="single" w:sz="4" w:space="0" w:color="auto"/>
              <w:left w:val="single" w:sz="4" w:space="0" w:color="auto"/>
              <w:bottom w:val="single" w:sz="4" w:space="0" w:color="auto"/>
              <w:right w:val="single" w:sz="4" w:space="0" w:color="auto"/>
            </w:tcBorders>
          </w:tcPr>
          <w:p w14:paraId="20CDD5A7" w14:textId="77777777" w:rsidR="002B0B93" w:rsidRPr="00DD00A2" w:rsidRDefault="002B0B93" w:rsidP="003A6C1E">
            <w:pPr>
              <w:pStyle w:val="Tabledata"/>
              <w:jc w:val="center"/>
              <w:rPr>
                <w:szCs w:val="20"/>
              </w:rPr>
            </w:pPr>
            <w:r>
              <w:t>HR</w:t>
            </w:r>
          </w:p>
        </w:tc>
        <w:tc>
          <w:tcPr>
            <w:tcW w:w="1276" w:type="dxa"/>
            <w:tcBorders>
              <w:top w:val="single" w:sz="4" w:space="0" w:color="auto"/>
              <w:left w:val="single" w:sz="4" w:space="0" w:color="auto"/>
              <w:bottom w:val="single" w:sz="4" w:space="0" w:color="auto"/>
              <w:right w:val="single" w:sz="4" w:space="0" w:color="auto"/>
            </w:tcBorders>
          </w:tcPr>
          <w:p w14:paraId="138A1AFF" w14:textId="77777777" w:rsidR="002B0B93" w:rsidRPr="00DD00A2" w:rsidRDefault="002B0B93" w:rsidP="003A6C1E">
            <w:pPr>
              <w:pStyle w:val="Tabledata"/>
              <w:jc w:val="center"/>
              <w:rPr>
                <w:szCs w:val="20"/>
              </w:rPr>
            </w:pPr>
            <w:r>
              <w:t>Croatia</w:t>
            </w:r>
          </w:p>
        </w:tc>
        <w:tc>
          <w:tcPr>
            <w:tcW w:w="2126" w:type="dxa"/>
            <w:tcBorders>
              <w:top w:val="single" w:sz="4" w:space="0" w:color="auto"/>
              <w:left w:val="single" w:sz="4" w:space="0" w:color="auto"/>
              <w:bottom w:val="single" w:sz="4" w:space="0" w:color="auto"/>
              <w:right w:val="single" w:sz="4" w:space="0" w:color="auto"/>
            </w:tcBorders>
          </w:tcPr>
          <w:p w14:paraId="343A6C5F" w14:textId="77777777" w:rsidR="002B0B93" w:rsidRPr="00DD00A2" w:rsidRDefault="0076591D" w:rsidP="001F1EAE">
            <w:pPr>
              <w:pStyle w:val="Tabledata"/>
              <w:jc w:val="left"/>
              <w:rPr>
                <w:szCs w:val="20"/>
              </w:rPr>
            </w:pPr>
            <w:proofErr w:type="spellStart"/>
            <w:r>
              <w:t>Hrvatska</w:t>
            </w:r>
            <w:proofErr w:type="spellEnd"/>
            <w:r>
              <w:t xml:space="preserve"> </w:t>
            </w:r>
            <w:proofErr w:type="spellStart"/>
            <w:r>
              <w:t>narodna</w:t>
            </w:r>
            <w:proofErr w:type="spellEnd"/>
            <w:r>
              <w:t xml:space="preserve"> </w:t>
            </w:r>
            <w:proofErr w:type="spellStart"/>
            <w:r>
              <w:t>banka</w:t>
            </w:r>
            <w:proofErr w:type="spellEnd"/>
            <w:r>
              <w:t xml:space="preserve"> (Croatian National Bank)</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05C5A25" w14:textId="77777777" w:rsidR="002B0B93" w:rsidRPr="00180E1B" w:rsidRDefault="00167292"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FB0AEB" w14:textId="77777777" w:rsidR="00E469C7" w:rsidRPr="00E469C7" w:rsidRDefault="00167292" w:rsidP="00E469C7">
            <w:pPr>
              <w:pStyle w:val="ListParagraph"/>
              <w:suppressAutoHyphens w:val="0"/>
              <w:autoSpaceDN/>
              <w:ind w:left="0"/>
              <w:contextualSpacing/>
              <w:textAlignment w:val="auto"/>
              <w:rPr>
                <w:rFonts w:ascii="Calibri" w:hAnsi="Calibri"/>
                <w:sz w:val="20"/>
                <w:szCs w:val="20"/>
              </w:rPr>
            </w:pPr>
            <w:r w:rsidRPr="00E469C7">
              <w:rPr>
                <w:rFonts w:ascii="Calibri" w:hAnsi="Calibri"/>
                <w:sz w:val="20"/>
                <w:szCs w:val="20"/>
              </w:rPr>
              <w:t>By 13.01.2018.</w:t>
            </w:r>
          </w:p>
          <w:p w14:paraId="06DEAC2C" w14:textId="77777777" w:rsidR="00E469C7" w:rsidRPr="00E469C7" w:rsidRDefault="00E469C7" w:rsidP="00E469C7">
            <w:pPr>
              <w:pStyle w:val="ListParagraph"/>
              <w:suppressAutoHyphens w:val="0"/>
              <w:autoSpaceDN/>
              <w:ind w:left="0"/>
              <w:contextualSpacing/>
              <w:textAlignment w:val="auto"/>
              <w:rPr>
                <w:rFonts w:ascii="Calibri" w:hAnsi="Calibri"/>
                <w:sz w:val="20"/>
                <w:szCs w:val="20"/>
              </w:rPr>
            </w:pPr>
            <w:r w:rsidRPr="00E469C7">
              <w:rPr>
                <w:rFonts w:ascii="Calibri" w:hAnsi="Calibri"/>
                <w:sz w:val="20"/>
                <w:szCs w:val="20"/>
              </w:rPr>
              <w:t>The necessary legislative and regulatory proceedings at national level related to transposition of PSD2 are still ongoing.</w:t>
            </w:r>
          </w:p>
        </w:tc>
      </w:tr>
      <w:tr w:rsidR="002B0B93" w:rsidRPr="00A2678D" w14:paraId="430A55D3" w14:textId="77777777" w:rsidTr="000304EF">
        <w:tc>
          <w:tcPr>
            <w:tcW w:w="959" w:type="dxa"/>
            <w:gridSpan w:val="2"/>
            <w:tcBorders>
              <w:top w:val="single" w:sz="4" w:space="0" w:color="auto"/>
              <w:left w:val="single" w:sz="4" w:space="0" w:color="auto"/>
              <w:bottom w:val="single" w:sz="4" w:space="0" w:color="auto"/>
              <w:right w:val="single" w:sz="4" w:space="0" w:color="auto"/>
            </w:tcBorders>
          </w:tcPr>
          <w:p w14:paraId="6A6D3E8C" w14:textId="77777777" w:rsidR="002B0B93" w:rsidRPr="00DD00A2" w:rsidRDefault="002B0B93" w:rsidP="003A6C1E">
            <w:pPr>
              <w:pStyle w:val="Tabledata"/>
              <w:jc w:val="center"/>
              <w:rPr>
                <w:szCs w:val="20"/>
              </w:rPr>
            </w:pPr>
            <w:r>
              <w:t>ES</w:t>
            </w:r>
          </w:p>
        </w:tc>
        <w:tc>
          <w:tcPr>
            <w:tcW w:w="1276" w:type="dxa"/>
            <w:tcBorders>
              <w:top w:val="single" w:sz="4" w:space="0" w:color="auto"/>
              <w:left w:val="single" w:sz="4" w:space="0" w:color="auto"/>
              <w:bottom w:val="single" w:sz="4" w:space="0" w:color="auto"/>
              <w:right w:val="single" w:sz="4" w:space="0" w:color="auto"/>
            </w:tcBorders>
          </w:tcPr>
          <w:p w14:paraId="7C057897" w14:textId="77777777" w:rsidR="002B0B93" w:rsidRPr="00DD00A2" w:rsidRDefault="002B0B93" w:rsidP="003A6C1E">
            <w:pPr>
              <w:pStyle w:val="Tabledata"/>
              <w:jc w:val="center"/>
              <w:rPr>
                <w:szCs w:val="20"/>
              </w:rPr>
            </w:pPr>
            <w:r>
              <w:t>Spain</w:t>
            </w:r>
          </w:p>
        </w:tc>
        <w:tc>
          <w:tcPr>
            <w:tcW w:w="2126" w:type="dxa"/>
            <w:tcBorders>
              <w:top w:val="single" w:sz="4" w:space="0" w:color="auto"/>
              <w:left w:val="single" w:sz="4" w:space="0" w:color="auto"/>
              <w:bottom w:val="single" w:sz="4" w:space="0" w:color="auto"/>
              <w:right w:val="single" w:sz="4" w:space="0" w:color="auto"/>
            </w:tcBorders>
          </w:tcPr>
          <w:p w14:paraId="78F04318" w14:textId="77777777" w:rsidR="002B0B93" w:rsidRPr="00DD00A2" w:rsidRDefault="00E96100" w:rsidP="00E96100">
            <w:pPr>
              <w:pStyle w:val="Tabledata"/>
              <w:jc w:val="left"/>
              <w:rPr>
                <w:szCs w:val="20"/>
              </w:rPr>
            </w:pPr>
            <w:r>
              <w:rPr>
                <w:rFonts w:cs="Arial"/>
                <w:bCs w:val="0"/>
              </w:rPr>
              <w:t xml:space="preserve">Banco de </w:t>
            </w:r>
            <w:proofErr w:type="spellStart"/>
            <w:r>
              <w:rPr>
                <w:rFonts w:cs="Arial"/>
                <w:bCs w:val="0"/>
              </w:rPr>
              <w:t>España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44AF4DE" w14:textId="6B7A33DB" w:rsidR="002B0B93" w:rsidRPr="00180E1B" w:rsidRDefault="000304EF"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4CBEF7" w14:textId="47656342" w:rsidR="000304EF" w:rsidRPr="000304EF" w:rsidRDefault="000304EF" w:rsidP="000304EF">
            <w:pPr>
              <w:autoSpaceDE w:val="0"/>
              <w:autoSpaceDN w:val="0"/>
              <w:adjustRightInd w:val="0"/>
              <w:rPr>
                <w:rFonts w:ascii="Calibri" w:eastAsia="Times New Roman" w:hAnsi="Calibri" w:cs="Times New Roman"/>
                <w:kern w:val="3"/>
                <w:sz w:val="20"/>
                <w:szCs w:val="20"/>
                <w:lang w:val="en-GB" w:eastAsia="de-DE"/>
              </w:rPr>
            </w:pPr>
            <w:r>
              <w:rPr>
                <w:rFonts w:ascii="Calibri" w:eastAsia="Times New Roman" w:hAnsi="Calibri" w:cs="Times New Roman"/>
                <w:kern w:val="3"/>
                <w:sz w:val="20"/>
                <w:szCs w:val="20"/>
                <w:lang w:val="en-GB" w:eastAsia="de-DE"/>
              </w:rPr>
              <w:t>B</w:t>
            </w:r>
            <w:r w:rsidRPr="000304EF">
              <w:rPr>
                <w:rFonts w:ascii="Calibri" w:eastAsia="Times New Roman" w:hAnsi="Calibri" w:cs="Times New Roman"/>
                <w:kern w:val="3"/>
                <w:sz w:val="20"/>
                <w:szCs w:val="20"/>
                <w:lang w:val="en-GB" w:eastAsia="de-DE"/>
              </w:rPr>
              <w:t>y such time as the necessary legislative or</w:t>
            </w:r>
            <w:r>
              <w:rPr>
                <w:rFonts w:ascii="Calibri" w:eastAsia="Times New Roman" w:hAnsi="Calibri" w:cs="Times New Roman"/>
                <w:kern w:val="3"/>
                <w:sz w:val="20"/>
                <w:szCs w:val="20"/>
                <w:lang w:val="en-GB" w:eastAsia="de-DE"/>
              </w:rPr>
              <w:t xml:space="preserve"> </w:t>
            </w:r>
            <w:r w:rsidRPr="000304EF">
              <w:rPr>
                <w:rFonts w:ascii="Calibri" w:eastAsia="Times New Roman" w:hAnsi="Calibri" w:cs="Times New Roman"/>
                <w:kern w:val="3"/>
                <w:sz w:val="20"/>
                <w:szCs w:val="20"/>
                <w:lang w:val="en-GB" w:eastAsia="de-DE"/>
              </w:rPr>
              <w:t>regulatory proceedings implementing Directive (UE) 2015/2366 have been completed, without</w:t>
            </w:r>
          </w:p>
          <w:p w14:paraId="0946DD34" w14:textId="77777777" w:rsidR="000304EF" w:rsidRPr="000304EF" w:rsidRDefault="000304EF" w:rsidP="000304EF">
            <w:pPr>
              <w:autoSpaceDE w:val="0"/>
              <w:autoSpaceDN w:val="0"/>
              <w:adjustRightInd w:val="0"/>
              <w:rPr>
                <w:rFonts w:ascii="Calibri" w:eastAsia="Times New Roman" w:hAnsi="Calibri" w:cs="Times New Roman"/>
                <w:kern w:val="3"/>
                <w:sz w:val="20"/>
                <w:szCs w:val="20"/>
                <w:lang w:val="en-GB" w:eastAsia="de-DE"/>
              </w:rPr>
            </w:pPr>
            <w:r w:rsidRPr="000304EF">
              <w:rPr>
                <w:rFonts w:ascii="Calibri" w:eastAsia="Times New Roman" w:hAnsi="Calibri" w:cs="Times New Roman"/>
                <w:kern w:val="3"/>
                <w:sz w:val="20"/>
                <w:szCs w:val="20"/>
                <w:lang w:val="en-GB" w:eastAsia="de-DE"/>
              </w:rPr>
              <w:t>prejudice to Spanish national provisions implementing this regulation and within the limit of</w:t>
            </w:r>
          </w:p>
          <w:p w14:paraId="3AA0B9F2" w14:textId="3A44E019" w:rsidR="002B0B93" w:rsidRPr="00AF44EF" w:rsidRDefault="000304EF" w:rsidP="000304EF">
            <w:pPr>
              <w:pStyle w:val="BodyText"/>
              <w:ind w:left="0" w:right="318"/>
              <w:rPr>
                <w:rFonts w:asciiTheme="minorHAnsi" w:hAnsiTheme="minorHAnsi"/>
              </w:rPr>
            </w:pPr>
            <w:r w:rsidRPr="000304EF">
              <w:rPr>
                <w:rFonts w:ascii="Calibri" w:eastAsia="Times New Roman" w:hAnsi="Calibri" w:cs="Times New Roman"/>
                <w:kern w:val="3"/>
                <w:lang w:val="en-GB" w:eastAsia="de-DE"/>
              </w:rPr>
              <w:t>the competen</w:t>
            </w:r>
            <w:r>
              <w:rPr>
                <w:rFonts w:ascii="Calibri" w:eastAsia="Times New Roman" w:hAnsi="Calibri" w:cs="Times New Roman"/>
                <w:kern w:val="3"/>
                <w:lang w:val="en-GB" w:eastAsia="de-DE"/>
              </w:rPr>
              <w:t xml:space="preserve">cies conferred to Banco de </w:t>
            </w:r>
            <w:proofErr w:type="spellStart"/>
            <w:r>
              <w:rPr>
                <w:rFonts w:ascii="Calibri" w:eastAsia="Times New Roman" w:hAnsi="Calibri" w:cs="Times New Roman"/>
                <w:kern w:val="3"/>
                <w:lang w:val="en-GB" w:eastAsia="de-DE"/>
              </w:rPr>
              <w:t>Españ</w:t>
            </w:r>
            <w:r w:rsidRPr="000304EF">
              <w:rPr>
                <w:rFonts w:ascii="Calibri" w:eastAsia="Times New Roman" w:hAnsi="Calibri" w:cs="Times New Roman"/>
                <w:kern w:val="3"/>
                <w:lang w:val="en-GB" w:eastAsia="de-DE"/>
              </w:rPr>
              <w:t>a</w:t>
            </w:r>
            <w:proofErr w:type="spellEnd"/>
            <w:r w:rsidRPr="000304EF">
              <w:rPr>
                <w:rFonts w:ascii="Calibri" w:eastAsia="Times New Roman" w:hAnsi="Calibri" w:cs="Times New Roman"/>
                <w:kern w:val="3"/>
                <w:lang w:val="en-GB" w:eastAsia="de-DE"/>
              </w:rPr>
              <w:t xml:space="preserve"> by these national provisions.</w:t>
            </w:r>
          </w:p>
        </w:tc>
      </w:tr>
      <w:tr w:rsidR="002B0B93" w:rsidRPr="00A2678D" w14:paraId="22481393" w14:textId="77777777" w:rsidTr="00D81BD7">
        <w:tc>
          <w:tcPr>
            <w:tcW w:w="959" w:type="dxa"/>
            <w:gridSpan w:val="2"/>
            <w:tcBorders>
              <w:top w:val="single" w:sz="4" w:space="0" w:color="auto"/>
              <w:left w:val="single" w:sz="4" w:space="0" w:color="auto"/>
              <w:bottom w:val="single" w:sz="4" w:space="0" w:color="auto"/>
              <w:right w:val="single" w:sz="4" w:space="0" w:color="auto"/>
            </w:tcBorders>
          </w:tcPr>
          <w:p w14:paraId="7E8B627B" w14:textId="77777777" w:rsidR="002B0B93" w:rsidRPr="00DD00A2" w:rsidRDefault="002B0B93" w:rsidP="003A6C1E">
            <w:pPr>
              <w:pStyle w:val="Tabledata"/>
              <w:jc w:val="center"/>
              <w:rPr>
                <w:szCs w:val="20"/>
              </w:rPr>
            </w:pPr>
            <w:r>
              <w:t>FR</w:t>
            </w:r>
          </w:p>
        </w:tc>
        <w:tc>
          <w:tcPr>
            <w:tcW w:w="1276" w:type="dxa"/>
            <w:tcBorders>
              <w:top w:val="single" w:sz="4" w:space="0" w:color="auto"/>
              <w:left w:val="single" w:sz="4" w:space="0" w:color="auto"/>
              <w:bottom w:val="single" w:sz="4" w:space="0" w:color="auto"/>
              <w:right w:val="single" w:sz="4" w:space="0" w:color="auto"/>
            </w:tcBorders>
          </w:tcPr>
          <w:p w14:paraId="444DF8ED" w14:textId="77777777" w:rsidR="002B0B93" w:rsidRPr="00DD00A2" w:rsidRDefault="002B0B93" w:rsidP="003A6C1E">
            <w:pPr>
              <w:pStyle w:val="Tabledata"/>
              <w:jc w:val="center"/>
              <w:rPr>
                <w:szCs w:val="20"/>
              </w:rPr>
            </w:pPr>
            <w:r>
              <w:t>France</w:t>
            </w:r>
          </w:p>
        </w:tc>
        <w:tc>
          <w:tcPr>
            <w:tcW w:w="2126" w:type="dxa"/>
            <w:tcBorders>
              <w:top w:val="single" w:sz="4" w:space="0" w:color="auto"/>
              <w:left w:val="single" w:sz="4" w:space="0" w:color="auto"/>
              <w:bottom w:val="single" w:sz="4" w:space="0" w:color="auto"/>
              <w:right w:val="single" w:sz="4" w:space="0" w:color="auto"/>
            </w:tcBorders>
          </w:tcPr>
          <w:p w14:paraId="7E5379D4" w14:textId="77777777" w:rsidR="002B0B93" w:rsidRPr="00DD00A2" w:rsidRDefault="003B2EC2" w:rsidP="003D4D77">
            <w:pPr>
              <w:pStyle w:val="Tabledata"/>
              <w:jc w:val="left"/>
              <w:rPr>
                <w:szCs w:val="20"/>
              </w:rPr>
            </w:pPr>
            <w:r>
              <w:rPr>
                <w:rFonts w:cs="Arial"/>
                <w:bCs w:val="0"/>
              </w:rPr>
              <w:t xml:space="preserve">Prudential Supervision and Resolution Authority (ACPR) </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6375C322" w14:textId="77777777" w:rsidR="002B0B93" w:rsidRPr="00180E1B" w:rsidRDefault="003B2EC2"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7CBD8C7" w14:textId="331FC224" w:rsidR="003D4D77" w:rsidRPr="00180E1B" w:rsidRDefault="004C27BE" w:rsidP="003D4D77">
            <w:r>
              <w:rPr>
                <w:rFonts w:ascii="Calibri" w:eastAsia="Times New Roman" w:hAnsi="Calibri" w:cs="Times New Roman"/>
                <w:kern w:val="3"/>
                <w:sz w:val="20"/>
                <w:szCs w:val="20"/>
                <w:lang w:val="en-GB" w:eastAsia="de-DE"/>
              </w:rPr>
              <w:t xml:space="preserve">As at 10.11.2017 notification date. </w:t>
            </w:r>
          </w:p>
        </w:tc>
      </w:tr>
      <w:tr w:rsidR="002B0B93" w:rsidRPr="00A2678D" w14:paraId="2D40B753" w14:textId="77777777" w:rsidTr="00FF7D57">
        <w:tc>
          <w:tcPr>
            <w:tcW w:w="959" w:type="dxa"/>
            <w:gridSpan w:val="2"/>
            <w:tcBorders>
              <w:top w:val="single" w:sz="4" w:space="0" w:color="auto"/>
              <w:left w:val="single" w:sz="4" w:space="0" w:color="auto"/>
              <w:bottom w:val="single" w:sz="4" w:space="0" w:color="auto"/>
              <w:right w:val="single" w:sz="4" w:space="0" w:color="auto"/>
            </w:tcBorders>
          </w:tcPr>
          <w:p w14:paraId="4223BA9B" w14:textId="77777777" w:rsidR="002B0B93" w:rsidRPr="00DD00A2" w:rsidRDefault="002B0B93" w:rsidP="003A6C1E">
            <w:pPr>
              <w:pStyle w:val="Tabledata"/>
              <w:jc w:val="center"/>
              <w:rPr>
                <w:szCs w:val="20"/>
              </w:rPr>
            </w:pPr>
            <w:r>
              <w:t>IT</w:t>
            </w:r>
          </w:p>
        </w:tc>
        <w:tc>
          <w:tcPr>
            <w:tcW w:w="1276" w:type="dxa"/>
            <w:tcBorders>
              <w:top w:val="single" w:sz="4" w:space="0" w:color="auto"/>
              <w:left w:val="single" w:sz="4" w:space="0" w:color="auto"/>
              <w:bottom w:val="single" w:sz="4" w:space="0" w:color="auto"/>
              <w:right w:val="single" w:sz="4" w:space="0" w:color="auto"/>
            </w:tcBorders>
          </w:tcPr>
          <w:p w14:paraId="6FBA9BBB" w14:textId="77777777" w:rsidR="002B0B93" w:rsidRPr="00DD00A2" w:rsidRDefault="002B0B93" w:rsidP="003A6C1E">
            <w:pPr>
              <w:pStyle w:val="Tabledata"/>
              <w:jc w:val="center"/>
              <w:rPr>
                <w:szCs w:val="20"/>
              </w:rPr>
            </w:pPr>
            <w:r>
              <w:t>Italy</w:t>
            </w:r>
          </w:p>
        </w:tc>
        <w:tc>
          <w:tcPr>
            <w:tcW w:w="2126" w:type="dxa"/>
            <w:tcBorders>
              <w:top w:val="single" w:sz="4" w:space="0" w:color="auto"/>
              <w:left w:val="single" w:sz="4" w:space="0" w:color="auto"/>
              <w:bottom w:val="single" w:sz="4" w:space="0" w:color="auto"/>
              <w:right w:val="single" w:sz="4" w:space="0" w:color="auto"/>
            </w:tcBorders>
          </w:tcPr>
          <w:p w14:paraId="64F54373" w14:textId="77777777" w:rsidR="002B0B93" w:rsidRPr="00DD00A2" w:rsidRDefault="00FF7D57" w:rsidP="00F06DFB">
            <w:pPr>
              <w:pStyle w:val="Tabledata"/>
              <w:jc w:val="left"/>
              <w:rPr>
                <w:szCs w:val="20"/>
              </w:rPr>
            </w:pPr>
            <w:r>
              <w:rPr>
                <w:rFonts w:cs="Arial"/>
                <w:bCs w:val="0"/>
              </w:rPr>
              <w:t>Bank of Italy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30298FFC" w14:textId="77777777" w:rsidR="002B0B93" w:rsidRPr="00180E1B" w:rsidRDefault="00684C40"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857E07" w14:textId="77777777" w:rsidR="002B0B93" w:rsidRPr="00180E1B" w:rsidRDefault="00FF7D57" w:rsidP="006B3595">
            <w:pPr>
              <w:pStyle w:val="Tabledata"/>
              <w:jc w:val="left"/>
            </w:pPr>
            <w:r>
              <w:t xml:space="preserve">By such time as the necessary legislative and regulatory </w:t>
            </w:r>
            <w:r w:rsidR="00C74BA5">
              <w:t>proceedings are completed</w:t>
            </w:r>
          </w:p>
        </w:tc>
      </w:tr>
      <w:tr w:rsidR="002B0B93" w:rsidRPr="00A2678D" w14:paraId="7BF3145D" w14:textId="77777777" w:rsidTr="00F316CB">
        <w:tc>
          <w:tcPr>
            <w:tcW w:w="959" w:type="dxa"/>
            <w:gridSpan w:val="2"/>
            <w:tcBorders>
              <w:top w:val="single" w:sz="4" w:space="0" w:color="auto"/>
              <w:left w:val="single" w:sz="4" w:space="0" w:color="auto"/>
              <w:bottom w:val="single" w:sz="4" w:space="0" w:color="auto"/>
              <w:right w:val="single" w:sz="4" w:space="0" w:color="auto"/>
            </w:tcBorders>
          </w:tcPr>
          <w:p w14:paraId="26C5AA65" w14:textId="77777777" w:rsidR="002B0B93" w:rsidRPr="00DD00A2" w:rsidRDefault="002B0B93" w:rsidP="003A6C1E">
            <w:pPr>
              <w:pStyle w:val="Tabledata"/>
              <w:jc w:val="center"/>
              <w:rPr>
                <w:szCs w:val="20"/>
              </w:rPr>
            </w:pPr>
            <w:r>
              <w:t>CY</w:t>
            </w:r>
          </w:p>
        </w:tc>
        <w:tc>
          <w:tcPr>
            <w:tcW w:w="1276" w:type="dxa"/>
            <w:tcBorders>
              <w:top w:val="single" w:sz="4" w:space="0" w:color="auto"/>
              <w:left w:val="single" w:sz="4" w:space="0" w:color="auto"/>
              <w:bottom w:val="single" w:sz="4" w:space="0" w:color="auto"/>
              <w:right w:val="single" w:sz="4" w:space="0" w:color="auto"/>
            </w:tcBorders>
          </w:tcPr>
          <w:p w14:paraId="0826A3DC" w14:textId="77777777" w:rsidR="002B0B93" w:rsidRPr="00DD00A2" w:rsidRDefault="002B0B93" w:rsidP="003A6C1E">
            <w:pPr>
              <w:pStyle w:val="Tabledata"/>
              <w:jc w:val="center"/>
              <w:rPr>
                <w:szCs w:val="20"/>
              </w:rPr>
            </w:pPr>
            <w:r>
              <w:t>Cyprus</w:t>
            </w:r>
          </w:p>
        </w:tc>
        <w:tc>
          <w:tcPr>
            <w:tcW w:w="2126" w:type="dxa"/>
            <w:tcBorders>
              <w:top w:val="single" w:sz="4" w:space="0" w:color="auto"/>
              <w:left w:val="single" w:sz="4" w:space="0" w:color="auto"/>
              <w:bottom w:val="single" w:sz="4" w:space="0" w:color="auto"/>
              <w:right w:val="single" w:sz="4" w:space="0" w:color="auto"/>
            </w:tcBorders>
          </w:tcPr>
          <w:p w14:paraId="4D68E71E" w14:textId="77777777" w:rsidR="002B0B93" w:rsidRPr="00DD00A2" w:rsidRDefault="00210650" w:rsidP="006B3595">
            <w:pPr>
              <w:pStyle w:val="Tabledata"/>
              <w:jc w:val="left"/>
              <w:rPr>
                <w:szCs w:val="20"/>
              </w:rPr>
            </w:pPr>
            <w:r>
              <w:rPr>
                <w:rFonts w:cs="Arial"/>
                <w:bCs w:val="0"/>
              </w:rPr>
              <w:t>Central Bank of Cyprus</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C774C94" w14:textId="7EB22FFD" w:rsidR="002B0B93" w:rsidRPr="00180E1B" w:rsidRDefault="00F316CB"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C1AC13" w14:textId="4E6A2F85" w:rsidR="002B0B93" w:rsidRPr="00180E1B" w:rsidRDefault="00F316CB" w:rsidP="00CC19E3">
            <w:pPr>
              <w:suppressAutoHyphens/>
            </w:pPr>
            <w:proofErr w:type="gramStart"/>
            <w:r w:rsidRPr="00F316CB">
              <w:rPr>
                <w:rFonts w:eastAsia="Arial"/>
                <w:sz w:val="20"/>
                <w:szCs w:val="20"/>
              </w:rPr>
              <w:t>At such time as</w:t>
            </w:r>
            <w:proofErr w:type="gramEnd"/>
            <w:r w:rsidRPr="00F316CB">
              <w:rPr>
                <w:rFonts w:eastAsia="Arial"/>
                <w:sz w:val="20"/>
                <w:szCs w:val="20"/>
              </w:rPr>
              <w:t xml:space="preserve"> the necessary legislative or regulatory proceedings have been completed, that is when the PSD2 is transposed into national law.</w:t>
            </w:r>
            <w:r>
              <w:t xml:space="preserve"> </w:t>
            </w:r>
          </w:p>
        </w:tc>
      </w:tr>
      <w:tr w:rsidR="002B0B93" w:rsidRPr="00A2678D" w14:paraId="5DFC712B" w14:textId="77777777" w:rsidTr="007E562A">
        <w:tc>
          <w:tcPr>
            <w:tcW w:w="959" w:type="dxa"/>
            <w:gridSpan w:val="2"/>
            <w:tcBorders>
              <w:top w:val="single" w:sz="4" w:space="0" w:color="auto"/>
              <w:left w:val="single" w:sz="4" w:space="0" w:color="auto"/>
              <w:bottom w:val="single" w:sz="4" w:space="0" w:color="auto"/>
              <w:right w:val="single" w:sz="4" w:space="0" w:color="auto"/>
            </w:tcBorders>
          </w:tcPr>
          <w:p w14:paraId="37612E38" w14:textId="77777777" w:rsidR="002B0B93" w:rsidRPr="00DD00A2" w:rsidRDefault="002B0B93" w:rsidP="003A6C1E">
            <w:pPr>
              <w:pStyle w:val="Tabledata"/>
              <w:jc w:val="center"/>
              <w:rPr>
                <w:szCs w:val="20"/>
              </w:rPr>
            </w:pPr>
            <w:r>
              <w:lastRenderedPageBreak/>
              <w:t>LV</w:t>
            </w:r>
          </w:p>
        </w:tc>
        <w:tc>
          <w:tcPr>
            <w:tcW w:w="1276" w:type="dxa"/>
            <w:tcBorders>
              <w:top w:val="single" w:sz="4" w:space="0" w:color="auto"/>
              <w:left w:val="single" w:sz="4" w:space="0" w:color="auto"/>
              <w:bottom w:val="single" w:sz="4" w:space="0" w:color="auto"/>
              <w:right w:val="single" w:sz="4" w:space="0" w:color="auto"/>
            </w:tcBorders>
          </w:tcPr>
          <w:p w14:paraId="2636ECB1" w14:textId="77777777" w:rsidR="002B0B93" w:rsidRPr="00DD00A2" w:rsidRDefault="002B0B93" w:rsidP="003A6C1E">
            <w:pPr>
              <w:pStyle w:val="Tabledata"/>
              <w:jc w:val="center"/>
              <w:rPr>
                <w:szCs w:val="20"/>
              </w:rPr>
            </w:pPr>
            <w:r>
              <w:t>Latvia</w:t>
            </w:r>
          </w:p>
        </w:tc>
        <w:tc>
          <w:tcPr>
            <w:tcW w:w="2126" w:type="dxa"/>
            <w:tcBorders>
              <w:top w:val="single" w:sz="4" w:space="0" w:color="auto"/>
              <w:left w:val="single" w:sz="4" w:space="0" w:color="auto"/>
              <w:bottom w:val="single" w:sz="4" w:space="0" w:color="auto"/>
              <w:right w:val="single" w:sz="4" w:space="0" w:color="auto"/>
            </w:tcBorders>
          </w:tcPr>
          <w:p w14:paraId="24230DAE" w14:textId="77777777" w:rsidR="002B0B93" w:rsidRPr="00DD00A2" w:rsidRDefault="002B0B93" w:rsidP="00A725F5">
            <w:pPr>
              <w:pStyle w:val="Tabledata"/>
              <w:jc w:val="left"/>
              <w:rPr>
                <w:szCs w:val="20"/>
              </w:rPr>
            </w:pPr>
            <w:r w:rsidRPr="00CD3A8C">
              <w:rPr>
                <w:rFonts w:cs="Arial"/>
                <w:bCs w:val="0"/>
              </w:rPr>
              <w:t>Financial and Capital Market Commission</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FD09BB5" w14:textId="77777777" w:rsidR="002B0B93" w:rsidRPr="00180E1B" w:rsidRDefault="007E562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F2643E" w14:textId="77777777" w:rsidR="002B0B93" w:rsidRPr="00565FDC" w:rsidRDefault="007E562A" w:rsidP="00565FDC">
            <w:pPr>
              <w:pStyle w:val="Tabledata"/>
              <w:jc w:val="left"/>
              <w:rPr>
                <w:rFonts w:ascii="Calibri" w:hAnsi="Calibri"/>
                <w:color w:val="auto"/>
                <w:szCs w:val="20"/>
              </w:rPr>
            </w:pPr>
            <w:r>
              <w:rPr>
                <w:rFonts w:ascii="Calibri" w:hAnsi="Calibri"/>
                <w:color w:val="auto"/>
                <w:szCs w:val="20"/>
              </w:rPr>
              <w:t>By 13.01.2018.</w:t>
            </w:r>
          </w:p>
        </w:tc>
      </w:tr>
      <w:tr w:rsidR="002B0B93" w:rsidRPr="00A2678D" w14:paraId="77CF4A7F" w14:textId="77777777" w:rsidTr="00302C42">
        <w:tc>
          <w:tcPr>
            <w:tcW w:w="959" w:type="dxa"/>
            <w:gridSpan w:val="2"/>
            <w:tcBorders>
              <w:top w:val="single" w:sz="4" w:space="0" w:color="auto"/>
              <w:left w:val="single" w:sz="4" w:space="0" w:color="auto"/>
              <w:bottom w:val="single" w:sz="4" w:space="0" w:color="auto"/>
              <w:right w:val="single" w:sz="4" w:space="0" w:color="auto"/>
            </w:tcBorders>
          </w:tcPr>
          <w:p w14:paraId="388E65E0" w14:textId="77777777" w:rsidR="002B0B93" w:rsidRPr="00DD00A2" w:rsidRDefault="00516A25" w:rsidP="003A6C1E">
            <w:pPr>
              <w:pStyle w:val="Tabledata"/>
              <w:jc w:val="center"/>
              <w:rPr>
                <w:szCs w:val="20"/>
              </w:rPr>
            </w:pPr>
            <w:r>
              <w:t>LT</w:t>
            </w:r>
          </w:p>
        </w:tc>
        <w:tc>
          <w:tcPr>
            <w:tcW w:w="1276" w:type="dxa"/>
            <w:tcBorders>
              <w:top w:val="single" w:sz="4" w:space="0" w:color="auto"/>
              <w:left w:val="single" w:sz="4" w:space="0" w:color="auto"/>
              <w:bottom w:val="single" w:sz="4" w:space="0" w:color="auto"/>
              <w:right w:val="single" w:sz="4" w:space="0" w:color="auto"/>
            </w:tcBorders>
          </w:tcPr>
          <w:p w14:paraId="49E70164" w14:textId="77777777" w:rsidR="002B0B93" w:rsidRPr="00DD00A2" w:rsidRDefault="00516A25" w:rsidP="003A6C1E">
            <w:pPr>
              <w:pStyle w:val="Tabledata"/>
              <w:jc w:val="center"/>
              <w:rPr>
                <w:szCs w:val="20"/>
              </w:rPr>
            </w:pPr>
            <w:r w:rsidRPr="00CD3A8C">
              <w:t>Lithuania</w:t>
            </w:r>
          </w:p>
        </w:tc>
        <w:tc>
          <w:tcPr>
            <w:tcW w:w="2126" w:type="dxa"/>
            <w:tcBorders>
              <w:top w:val="single" w:sz="4" w:space="0" w:color="auto"/>
              <w:left w:val="single" w:sz="4" w:space="0" w:color="auto"/>
              <w:bottom w:val="single" w:sz="4" w:space="0" w:color="auto"/>
              <w:right w:val="single" w:sz="4" w:space="0" w:color="auto"/>
            </w:tcBorders>
          </w:tcPr>
          <w:p w14:paraId="3E2D29F4" w14:textId="77777777" w:rsidR="002B0B93" w:rsidRPr="00DD00A2" w:rsidRDefault="00A4117C" w:rsidP="006B3595">
            <w:pPr>
              <w:pStyle w:val="Tabledata"/>
              <w:jc w:val="left"/>
              <w:rPr>
                <w:szCs w:val="20"/>
              </w:rPr>
            </w:pPr>
            <w:r>
              <w:rPr>
                <w:rFonts w:cs="Arial"/>
                <w:bCs w:val="0"/>
              </w:rPr>
              <w:t>Bank of Lithuania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5AF3A33" w14:textId="77777777" w:rsidR="002B0B93" w:rsidRPr="00180E1B" w:rsidRDefault="00302C42"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E589816" w14:textId="77777777" w:rsidR="00565FDC" w:rsidRPr="00565FDC" w:rsidRDefault="00302C42" w:rsidP="001807E7">
            <w:pPr>
              <w:spacing w:line="318" w:lineRule="auto"/>
              <w:ind w:right="276"/>
              <w:rPr>
                <w:rFonts w:ascii="Calibri" w:eastAsia="Arial" w:hAnsi="Calibri" w:cs="Arial"/>
                <w:sz w:val="20"/>
                <w:szCs w:val="20"/>
              </w:rPr>
            </w:pPr>
            <w:r>
              <w:rPr>
                <w:rFonts w:ascii="Calibri" w:eastAsia="Arial" w:hAnsi="Calibri" w:cs="Arial"/>
                <w:sz w:val="20"/>
                <w:szCs w:val="20"/>
              </w:rPr>
              <w:t>By 13.01.2018.</w:t>
            </w:r>
          </w:p>
        </w:tc>
      </w:tr>
      <w:tr w:rsidR="002B0B93" w:rsidRPr="00A2678D" w14:paraId="4C0F9A32" w14:textId="77777777" w:rsidTr="007E562A">
        <w:tc>
          <w:tcPr>
            <w:tcW w:w="959" w:type="dxa"/>
            <w:gridSpan w:val="2"/>
            <w:tcBorders>
              <w:top w:val="single" w:sz="4" w:space="0" w:color="auto"/>
              <w:left w:val="single" w:sz="4" w:space="0" w:color="auto"/>
              <w:bottom w:val="single" w:sz="4" w:space="0" w:color="auto"/>
              <w:right w:val="single" w:sz="4" w:space="0" w:color="auto"/>
            </w:tcBorders>
          </w:tcPr>
          <w:p w14:paraId="6669E76A" w14:textId="77777777" w:rsidR="002B0B93" w:rsidRPr="00DD00A2" w:rsidRDefault="00516A25" w:rsidP="003A6C1E">
            <w:pPr>
              <w:pStyle w:val="Tabledata"/>
              <w:jc w:val="center"/>
              <w:rPr>
                <w:szCs w:val="20"/>
              </w:rPr>
            </w:pPr>
            <w:r>
              <w:t>LU</w:t>
            </w:r>
          </w:p>
        </w:tc>
        <w:tc>
          <w:tcPr>
            <w:tcW w:w="1276" w:type="dxa"/>
            <w:tcBorders>
              <w:top w:val="single" w:sz="4" w:space="0" w:color="auto"/>
              <w:left w:val="single" w:sz="4" w:space="0" w:color="auto"/>
              <w:bottom w:val="single" w:sz="4" w:space="0" w:color="auto"/>
              <w:right w:val="single" w:sz="4" w:space="0" w:color="auto"/>
            </w:tcBorders>
          </w:tcPr>
          <w:p w14:paraId="07DFC253" w14:textId="77777777" w:rsidR="002B0B93" w:rsidRPr="00DD00A2" w:rsidRDefault="00516A25" w:rsidP="003A6C1E">
            <w:pPr>
              <w:pStyle w:val="Tabledata"/>
              <w:jc w:val="center"/>
              <w:rPr>
                <w:szCs w:val="20"/>
              </w:rPr>
            </w:pPr>
            <w:r w:rsidRPr="00CD3A8C">
              <w:t>Luxembourg</w:t>
            </w:r>
          </w:p>
        </w:tc>
        <w:tc>
          <w:tcPr>
            <w:tcW w:w="2126" w:type="dxa"/>
            <w:tcBorders>
              <w:top w:val="single" w:sz="4" w:space="0" w:color="auto"/>
              <w:left w:val="single" w:sz="4" w:space="0" w:color="auto"/>
              <w:bottom w:val="single" w:sz="4" w:space="0" w:color="auto"/>
              <w:right w:val="single" w:sz="4" w:space="0" w:color="auto"/>
            </w:tcBorders>
          </w:tcPr>
          <w:p w14:paraId="2E2EA473" w14:textId="77777777" w:rsidR="002B0B93" w:rsidRPr="00DD00A2" w:rsidRDefault="00516A25" w:rsidP="00D61D95">
            <w:pPr>
              <w:pStyle w:val="Tabledata"/>
              <w:jc w:val="left"/>
              <w:rPr>
                <w:szCs w:val="20"/>
              </w:rPr>
            </w:pPr>
            <w:r w:rsidRPr="00CD3A8C">
              <w:rPr>
                <w:rFonts w:cs="Arial"/>
                <w:bCs w:val="0"/>
              </w:rPr>
              <w:t xml:space="preserve">Commission de Surveillance du </w:t>
            </w:r>
            <w:proofErr w:type="spellStart"/>
            <w:r w:rsidRPr="00CD3A8C">
              <w:rPr>
                <w:rFonts w:cs="Arial"/>
                <w:bCs w:val="0"/>
              </w:rPr>
              <w:t>Secteur</w:t>
            </w:r>
            <w:proofErr w:type="spellEnd"/>
            <w:r w:rsidRPr="00CD3A8C">
              <w:rPr>
                <w:rFonts w:cs="Arial"/>
                <w:bCs w:val="0"/>
              </w:rPr>
              <w:t xml:space="preserve"> Financier (</w:t>
            </w:r>
            <w:r w:rsidR="00D61D95">
              <w:rPr>
                <w:rFonts w:cs="Arial"/>
                <w:bCs w:val="0"/>
              </w:rPr>
              <w:t>CSSF</w:t>
            </w:r>
            <w:r w:rsidRPr="00CD3A8C">
              <w:rPr>
                <w:rFonts w:cs="Arial"/>
                <w:bCs w:val="0"/>
              </w:rPr>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4E678F64" w14:textId="77777777" w:rsidR="002B0B93" w:rsidRPr="00180E1B" w:rsidRDefault="007E562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F4D155" w14:textId="54FADDC7" w:rsidR="002B0B93" w:rsidRPr="00180E1B" w:rsidRDefault="007E562A" w:rsidP="007007C6">
            <w:pPr>
              <w:pStyle w:val="Tabledata"/>
              <w:jc w:val="left"/>
            </w:pPr>
            <w:r>
              <w:t xml:space="preserve">By </w:t>
            </w:r>
            <w:r w:rsidR="007007C6">
              <w:t xml:space="preserve">such time as the necessary legislative or regulatory proceedings </w:t>
            </w:r>
            <w:proofErr w:type="gramStart"/>
            <w:r w:rsidR="007007C6">
              <w:t>have been completed</w:t>
            </w:r>
            <w:proofErr w:type="gramEnd"/>
            <w:r w:rsidR="007007C6">
              <w:t xml:space="preserve">. The bill transposing the PSD2 in Luxembourg law is currently under discussion at the Luxembourg Parliament. </w:t>
            </w:r>
          </w:p>
        </w:tc>
      </w:tr>
      <w:tr w:rsidR="002B0B93" w:rsidRPr="00A2678D" w14:paraId="47ABD675" w14:textId="77777777" w:rsidTr="00CC43DC">
        <w:tc>
          <w:tcPr>
            <w:tcW w:w="959" w:type="dxa"/>
            <w:gridSpan w:val="2"/>
            <w:tcBorders>
              <w:top w:val="single" w:sz="4" w:space="0" w:color="auto"/>
              <w:left w:val="single" w:sz="4" w:space="0" w:color="auto"/>
              <w:bottom w:val="single" w:sz="4" w:space="0" w:color="auto"/>
              <w:right w:val="single" w:sz="4" w:space="0" w:color="auto"/>
            </w:tcBorders>
          </w:tcPr>
          <w:p w14:paraId="0D9B54CC" w14:textId="77777777" w:rsidR="002B0B93" w:rsidRPr="00DD00A2" w:rsidRDefault="00516A25" w:rsidP="003A6C1E">
            <w:pPr>
              <w:pStyle w:val="Tabledata"/>
              <w:jc w:val="center"/>
              <w:rPr>
                <w:szCs w:val="20"/>
              </w:rPr>
            </w:pPr>
            <w:r>
              <w:t>HU</w:t>
            </w:r>
          </w:p>
        </w:tc>
        <w:tc>
          <w:tcPr>
            <w:tcW w:w="1276" w:type="dxa"/>
            <w:tcBorders>
              <w:top w:val="single" w:sz="4" w:space="0" w:color="auto"/>
              <w:left w:val="single" w:sz="4" w:space="0" w:color="auto"/>
              <w:bottom w:val="single" w:sz="4" w:space="0" w:color="auto"/>
              <w:right w:val="single" w:sz="4" w:space="0" w:color="auto"/>
            </w:tcBorders>
          </w:tcPr>
          <w:p w14:paraId="1B10C76A" w14:textId="77777777" w:rsidR="002B0B93" w:rsidRPr="00DD00A2" w:rsidRDefault="00516A25" w:rsidP="003A6C1E">
            <w:pPr>
              <w:pStyle w:val="Tabledata"/>
              <w:jc w:val="center"/>
              <w:rPr>
                <w:szCs w:val="20"/>
              </w:rPr>
            </w:pPr>
            <w:r w:rsidRPr="00CD3A8C">
              <w:t>Hungary</w:t>
            </w:r>
          </w:p>
        </w:tc>
        <w:tc>
          <w:tcPr>
            <w:tcW w:w="2126" w:type="dxa"/>
            <w:tcBorders>
              <w:top w:val="single" w:sz="4" w:space="0" w:color="auto"/>
              <w:left w:val="single" w:sz="4" w:space="0" w:color="auto"/>
              <w:bottom w:val="single" w:sz="4" w:space="0" w:color="auto"/>
              <w:right w:val="single" w:sz="4" w:space="0" w:color="auto"/>
            </w:tcBorders>
          </w:tcPr>
          <w:p w14:paraId="6DBEF4E9" w14:textId="77777777" w:rsidR="002B0B93" w:rsidRPr="00DD00A2" w:rsidRDefault="00BB47D4" w:rsidP="00BB47D4">
            <w:pPr>
              <w:pStyle w:val="Tabledata"/>
              <w:jc w:val="left"/>
              <w:rPr>
                <w:szCs w:val="20"/>
              </w:rPr>
            </w:pPr>
            <w:r>
              <w:rPr>
                <w:rFonts w:cs="Arial"/>
                <w:bCs w:val="0"/>
              </w:rPr>
              <w:t xml:space="preserve">The Central </w:t>
            </w:r>
            <w:r w:rsidR="008B67A1">
              <w:rPr>
                <w:rFonts w:cs="Arial"/>
                <w:bCs w:val="0"/>
              </w:rPr>
              <w:t>Bank of Hungary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1C692D1" w14:textId="77777777" w:rsidR="002B0B93" w:rsidRPr="00180E1B" w:rsidRDefault="00CC43DC"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FB45A6" w14:textId="77777777" w:rsidR="002B0B93" w:rsidRPr="00180E1B" w:rsidRDefault="00CC43DC" w:rsidP="00EB4520">
            <w:pPr>
              <w:pStyle w:val="Tabledata"/>
              <w:jc w:val="left"/>
            </w:pPr>
            <w:r>
              <w:t>By 13.01.2018</w:t>
            </w:r>
          </w:p>
        </w:tc>
      </w:tr>
      <w:tr w:rsidR="002B0B93" w:rsidRPr="00A2678D" w14:paraId="601E462E" w14:textId="77777777" w:rsidTr="00A534AB">
        <w:tc>
          <w:tcPr>
            <w:tcW w:w="959" w:type="dxa"/>
            <w:gridSpan w:val="2"/>
            <w:tcBorders>
              <w:top w:val="single" w:sz="4" w:space="0" w:color="auto"/>
              <w:left w:val="single" w:sz="4" w:space="0" w:color="auto"/>
              <w:bottom w:val="single" w:sz="4" w:space="0" w:color="auto"/>
              <w:right w:val="single" w:sz="4" w:space="0" w:color="auto"/>
            </w:tcBorders>
          </w:tcPr>
          <w:p w14:paraId="264F2896" w14:textId="77777777" w:rsidR="002B0B93" w:rsidRPr="00DD00A2" w:rsidRDefault="00516A25" w:rsidP="003A6C1E">
            <w:pPr>
              <w:pStyle w:val="Tabledata"/>
              <w:jc w:val="center"/>
              <w:rPr>
                <w:szCs w:val="20"/>
              </w:rPr>
            </w:pPr>
            <w:r w:rsidRPr="00CD3A8C">
              <w:t>MT</w:t>
            </w:r>
          </w:p>
        </w:tc>
        <w:tc>
          <w:tcPr>
            <w:tcW w:w="1276" w:type="dxa"/>
            <w:tcBorders>
              <w:top w:val="single" w:sz="4" w:space="0" w:color="auto"/>
              <w:left w:val="single" w:sz="4" w:space="0" w:color="auto"/>
              <w:bottom w:val="single" w:sz="4" w:space="0" w:color="auto"/>
              <w:right w:val="single" w:sz="4" w:space="0" w:color="auto"/>
            </w:tcBorders>
          </w:tcPr>
          <w:p w14:paraId="45D4D36A" w14:textId="77777777" w:rsidR="002B0B93" w:rsidRPr="00DD00A2" w:rsidRDefault="00516A25" w:rsidP="003A6C1E">
            <w:pPr>
              <w:pStyle w:val="Tabledata"/>
              <w:jc w:val="center"/>
              <w:rPr>
                <w:szCs w:val="20"/>
              </w:rPr>
            </w:pPr>
            <w:r w:rsidRPr="00CD3A8C">
              <w:t>Malta</w:t>
            </w:r>
          </w:p>
        </w:tc>
        <w:tc>
          <w:tcPr>
            <w:tcW w:w="2126" w:type="dxa"/>
            <w:tcBorders>
              <w:top w:val="single" w:sz="4" w:space="0" w:color="auto"/>
              <w:left w:val="single" w:sz="4" w:space="0" w:color="auto"/>
              <w:bottom w:val="single" w:sz="4" w:space="0" w:color="auto"/>
              <w:right w:val="single" w:sz="4" w:space="0" w:color="auto"/>
            </w:tcBorders>
          </w:tcPr>
          <w:p w14:paraId="10BF69F2" w14:textId="77777777" w:rsidR="002B0B93" w:rsidRPr="00DD00A2" w:rsidRDefault="00516A25" w:rsidP="006B3595">
            <w:pPr>
              <w:pStyle w:val="Tabledata"/>
              <w:jc w:val="left"/>
              <w:rPr>
                <w:szCs w:val="20"/>
              </w:rPr>
            </w:pPr>
            <w:r w:rsidRPr="00CD3A8C">
              <w:rPr>
                <w:rFonts w:cs="Arial"/>
                <w:bCs w:val="0"/>
              </w:rPr>
              <w:t>Malta Financial Services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1A5013A0" w14:textId="77777777" w:rsidR="002B0B93" w:rsidRPr="00180E1B" w:rsidRDefault="00A534AB"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0DA922" w14:textId="49353740" w:rsidR="00CA46E1" w:rsidRPr="00180E1B" w:rsidRDefault="00A534AB" w:rsidP="00C74BA5">
            <w:pPr>
              <w:pStyle w:val="Tabledata"/>
              <w:spacing w:before="0" w:after="0"/>
              <w:jc w:val="left"/>
            </w:pPr>
            <w:r>
              <w:t xml:space="preserve">By such time as the necessary legislative or regulatory proceedings </w:t>
            </w:r>
            <w:proofErr w:type="gramStart"/>
            <w:r>
              <w:t>have been completed</w:t>
            </w:r>
            <w:proofErr w:type="gramEnd"/>
            <w:r>
              <w:t>.</w:t>
            </w:r>
          </w:p>
        </w:tc>
      </w:tr>
      <w:tr w:rsidR="002B0B93" w:rsidRPr="00A2678D" w14:paraId="25FB0581" w14:textId="77777777" w:rsidTr="00BF6A4D">
        <w:tc>
          <w:tcPr>
            <w:tcW w:w="959" w:type="dxa"/>
            <w:gridSpan w:val="2"/>
            <w:tcBorders>
              <w:top w:val="single" w:sz="4" w:space="0" w:color="auto"/>
              <w:left w:val="single" w:sz="4" w:space="0" w:color="auto"/>
              <w:bottom w:val="single" w:sz="4" w:space="0" w:color="auto"/>
              <w:right w:val="single" w:sz="4" w:space="0" w:color="auto"/>
            </w:tcBorders>
          </w:tcPr>
          <w:p w14:paraId="047741D5" w14:textId="77777777" w:rsidR="002B0B93" w:rsidRPr="00DD00A2" w:rsidRDefault="00516A25" w:rsidP="003A6C1E">
            <w:pPr>
              <w:pStyle w:val="Tabledata"/>
              <w:jc w:val="center"/>
              <w:rPr>
                <w:szCs w:val="20"/>
              </w:rPr>
            </w:pPr>
            <w:r w:rsidRPr="00CD3A8C">
              <w:t>NL</w:t>
            </w:r>
          </w:p>
        </w:tc>
        <w:tc>
          <w:tcPr>
            <w:tcW w:w="1276" w:type="dxa"/>
            <w:tcBorders>
              <w:top w:val="single" w:sz="4" w:space="0" w:color="auto"/>
              <w:left w:val="single" w:sz="4" w:space="0" w:color="auto"/>
              <w:bottom w:val="single" w:sz="4" w:space="0" w:color="auto"/>
              <w:right w:val="single" w:sz="4" w:space="0" w:color="auto"/>
            </w:tcBorders>
          </w:tcPr>
          <w:p w14:paraId="6E254A2A" w14:textId="77777777" w:rsidR="002B0B93" w:rsidRPr="00DD00A2" w:rsidRDefault="00516A25" w:rsidP="003A6C1E">
            <w:pPr>
              <w:pStyle w:val="Tabledata"/>
              <w:jc w:val="center"/>
              <w:rPr>
                <w:szCs w:val="20"/>
              </w:rPr>
            </w:pPr>
            <w:r w:rsidRPr="00CD3A8C">
              <w:t>Netherlands</w:t>
            </w:r>
          </w:p>
        </w:tc>
        <w:tc>
          <w:tcPr>
            <w:tcW w:w="2126" w:type="dxa"/>
            <w:tcBorders>
              <w:top w:val="single" w:sz="4" w:space="0" w:color="auto"/>
              <w:left w:val="single" w:sz="4" w:space="0" w:color="auto"/>
              <w:bottom w:val="single" w:sz="4" w:space="0" w:color="auto"/>
              <w:right w:val="single" w:sz="4" w:space="0" w:color="auto"/>
            </w:tcBorders>
          </w:tcPr>
          <w:p w14:paraId="279B1988" w14:textId="77777777" w:rsidR="002B0B93" w:rsidRPr="00DD00A2" w:rsidRDefault="00945C35" w:rsidP="00B17A79">
            <w:pPr>
              <w:pStyle w:val="Tabledata"/>
              <w:jc w:val="left"/>
              <w:rPr>
                <w:szCs w:val="20"/>
              </w:rPr>
            </w:pPr>
            <w:r>
              <w:rPr>
                <w:rFonts w:cs="Arial"/>
              </w:rPr>
              <w:t xml:space="preserve">De </w:t>
            </w:r>
            <w:proofErr w:type="spellStart"/>
            <w:r>
              <w:rPr>
                <w:rFonts w:cs="Arial"/>
              </w:rPr>
              <w:t>Nederlandsche</w:t>
            </w:r>
            <w:proofErr w:type="spellEnd"/>
            <w:r>
              <w:rPr>
                <w:rFonts w:cs="Arial"/>
              </w:rPr>
              <w:t xml:space="preserve"> Bank </w:t>
            </w:r>
            <w:r w:rsidR="00BF6A4D">
              <w:rPr>
                <w:rFonts w:cs="Arial"/>
              </w:rPr>
              <w:t>N.V.</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42F3C05" w14:textId="77777777" w:rsidR="002B0B93" w:rsidRPr="00180E1B" w:rsidRDefault="00BF6A4D"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F3B6E15" w14:textId="4437B788" w:rsidR="002B0B93" w:rsidRPr="00180E1B" w:rsidRDefault="00BF6A4D" w:rsidP="00BF6A4D">
            <w:pPr>
              <w:pStyle w:val="Tabledata"/>
              <w:jc w:val="left"/>
            </w:pPr>
            <w:r>
              <w:t>B</w:t>
            </w:r>
            <w:r w:rsidRPr="00BF6A4D">
              <w:t>y such ti</w:t>
            </w:r>
            <w:r>
              <w:t xml:space="preserve">me as the necessary legislative </w:t>
            </w:r>
            <w:r w:rsidRPr="00BF6A4D">
              <w:t xml:space="preserve">or regulatory proceedings </w:t>
            </w:r>
            <w:proofErr w:type="gramStart"/>
            <w:r w:rsidRPr="00BF6A4D">
              <w:t>have been completed</w:t>
            </w:r>
            <w:proofErr w:type="gramEnd"/>
            <w:r w:rsidRPr="00BF6A4D">
              <w:t>.</w:t>
            </w:r>
          </w:p>
        </w:tc>
      </w:tr>
      <w:tr w:rsidR="002B0B93" w:rsidRPr="00A2678D" w14:paraId="2BA943CF" w14:textId="77777777" w:rsidTr="00BA7CD3">
        <w:tc>
          <w:tcPr>
            <w:tcW w:w="959" w:type="dxa"/>
            <w:gridSpan w:val="2"/>
            <w:tcBorders>
              <w:top w:val="single" w:sz="4" w:space="0" w:color="auto"/>
              <w:left w:val="single" w:sz="4" w:space="0" w:color="auto"/>
              <w:bottom w:val="single" w:sz="4" w:space="0" w:color="auto"/>
              <w:right w:val="single" w:sz="4" w:space="0" w:color="auto"/>
            </w:tcBorders>
          </w:tcPr>
          <w:p w14:paraId="2A0EF2AB" w14:textId="77777777" w:rsidR="002B0B93" w:rsidRPr="00DD00A2" w:rsidRDefault="00516A25" w:rsidP="003A6C1E">
            <w:pPr>
              <w:pStyle w:val="Tabledata"/>
              <w:jc w:val="center"/>
              <w:rPr>
                <w:szCs w:val="20"/>
              </w:rPr>
            </w:pPr>
            <w:r w:rsidRPr="00CD3A8C">
              <w:t>AT</w:t>
            </w:r>
          </w:p>
        </w:tc>
        <w:tc>
          <w:tcPr>
            <w:tcW w:w="1276" w:type="dxa"/>
            <w:tcBorders>
              <w:top w:val="single" w:sz="4" w:space="0" w:color="auto"/>
              <w:left w:val="single" w:sz="4" w:space="0" w:color="auto"/>
              <w:bottom w:val="single" w:sz="4" w:space="0" w:color="auto"/>
              <w:right w:val="single" w:sz="4" w:space="0" w:color="auto"/>
            </w:tcBorders>
          </w:tcPr>
          <w:p w14:paraId="1A804491" w14:textId="77777777" w:rsidR="002B0B93" w:rsidRPr="00DD00A2" w:rsidRDefault="00516A25" w:rsidP="003A6C1E">
            <w:pPr>
              <w:pStyle w:val="Tabledata"/>
              <w:jc w:val="center"/>
              <w:rPr>
                <w:szCs w:val="20"/>
              </w:rPr>
            </w:pPr>
            <w:r w:rsidRPr="00CD3A8C">
              <w:t>Austria</w:t>
            </w:r>
          </w:p>
        </w:tc>
        <w:tc>
          <w:tcPr>
            <w:tcW w:w="2126" w:type="dxa"/>
            <w:tcBorders>
              <w:top w:val="single" w:sz="4" w:space="0" w:color="auto"/>
              <w:left w:val="single" w:sz="4" w:space="0" w:color="auto"/>
              <w:bottom w:val="single" w:sz="4" w:space="0" w:color="auto"/>
              <w:right w:val="single" w:sz="4" w:space="0" w:color="auto"/>
            </w:tcBorders>
          </w:tcPr>
          <w:p w14:paraId="45D33C3A" w14:textId="77777777" w:rsidR="002B0B93" w:rsidRPr="00DD00A2" w:rsidRDefault="00D74AF1" w:rsidP="006B3595">
            <w:pPr>
              <w:pStyle w:val="Tabledata"/>
              <w:jc w:val="left"/>
              <w:rPr>
                <w:szCs w:val="20"/>
              </w:rPr>
            </w:pPr>
            <w:r>
              <w:rPr>
                <w:rFonts w:cs="Arial"/>
                <w:bCs w:val="0"/>
              </w:rPr>
              <w:t>Austrian Financial Market Authority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3BA56D5" w14:textId="77777777" w:rsidR="002B0B93" w:rsidRPr="00180E1B" w:rsidRDefault="00BA7CD3"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6C2A8E" w14:textId="6BF5E22C" w:rsidR="00BA7CD3" w:rsidRPr="00180E1B" w:rsidRDefault="00C74BA5" w:rsidP="004C27BE">
            <w:pPr>
              <w:pStyle w:val="Tabledata"/>
              <w:spacing w:before="0" w:after="0"/>
              <w:jc w:val="left"/>
            </w:pPr>
            <w:r>
              <w:t>B</w:t>
            </w:r>
            <w:r w:rsidRPr="00BF6A4D">
              <w:t>y such ti</w:t>
            </w:r>
            <w:r>
              <w:t xml:space="preserve">me as the necessary legislative </w:t>
            </w:r>
            <w:r w:rsidRPr="00BF6A4D">
              <w:t>or regulatory proceedings have been completed</w:t>
            </w:r>
            <w:r>
              <w:t>, which we currently envisage to be in</w:t>
            </w:r>
            <w:r w:rsidR="00BA7CD3">
              <w:t xml:space="preserve"> Q3 2018.</w:t>
            </w:r>
          </w:p>
        </w:tc>
      </w:tr>
      <w:tr w:rsidR="00FF7E25" w:rsidRPr="00A2678D" w14:paraId="2F928CB6" w14:textId="77777777" w:rsidTr="008D73B8">
        <w:trPr>
          <w:trHeight w:val="324"/>
        </w:trPr>
        <w:tc>
          <w:tcPr>
            <w:tcW w:w="959" w:type="dxa"/>
            <w:gridSpan w:val="2"/>
            <w:tcBorders>
              <w:top w:val="single" w:sz="4" w:space="0" w:color="auto"/>
              <w:left w:val="single" w:sz="4" w:space="0" w:color="auto"/>
              <w:right w:val="single" w:sz="4" w:space="0" w:color="auto"/>
            </w:tcBorders>
          </w:tcPr>
          <w:p w14:paraId="179B14D9" w14:textId="77777777" w:rsidR="00FF7E25" w:rsidRPr="00DD00A2" w:rsidRDefault="00FF7E25" w:rsidP="003A6C1E">
            <w:pPr>
              <w:pStyle w:val="Tabledata"/>
              <w:jc w:val="center"/>
              <w:rPr>
                <w:szCs w:val="20"/>
              </w:rPr>
            </w:pPr>
            <w:r w:rsidRPr="00CD3A8C">
              <w:t>PL</w:t>
            </w:r>
          </w:p>
        </w:tc>
        <w:tc>
          <w:tcPr>
            <w:tcW w:w="1276" w:type="dxa"/>
            <w:tcBorders>
              <w:top w:val="single" w:sz="4" w:space="0" w:color="auto"/>
              <w:left w:val="single" w:sz="4" w:space="0" w:color="auto"/>
              <w:right w:val="single" w:sz="4" w:space="0" w:color="auto"/>
            </w:tcBorders>
          </w:tcPr>
          <w:p w14:paraId="337B8899" w14:textId="77777777" w:rsidR="00FF7E25" w:rsidRPr="00DD00A2" w:rsidRDefault="00FF7E25" w:rsidP="003A6C1E">
            <w:pPr>
              <w:pStyle w:val="Tabledata"/>
              <w:jc w:val="center"/>
              <w:rPr>
                <w:szCs w:val="20"/>
              </w:rPr>
            </w:pPr>
            <w:r w:rsidRPr="00CD3A8C">
              <w:t>Poland</w:t>
            </w:r>
          </w:p>
        </w:tc>
        <w:tc>
          <w:tcPr>
            <w:tcW w:w="2126" w:type="dxa"/>
            <w:tcBorders>
              <w:top w:val="single" w:sz="4" w:space="0" w:color="auto"/>
              <w:left w:val="single" w:sz="4" w:space="0" w:color="auto"/>
              <w:bottom w:val="single" w:sz="4" w:space="0" w:color="auto"/>
              <w:right w:val="single" w:sz="4" w:space="0" w:color="auto"/>
            </w:tcBorders>
          </w:tcPr>
          <w:p w14:paraId="25341F2A" w14:textId="77777777" w:rsidR="00FF7E25" w:rsidRPr="00DD00A2" w:rsidRDefault="00FF7E25" w:rsidP="008D73B8">
            <w:pPr>
              <w:pStyle w:val="Tabledata"/>
              <w:jc w:val="left"/>
              <w:rPr>
                <w:szCs w:val="20"/>
              </w:rPr>
            </w:pPr>
            <w:proofErr w:type="spellStart"/>
            <w:r w:rsidRPr="00CD3A8C">
              <w:rPr>
                <w:rFonts w:cs="Arial"/>
                <w:bCs w:val="0"/>
              </w:rPr>
              <w:t>Komisja</w:t>
            </w:r>
            <w:proofErr w:type="spellEnd"/>
            <w:r w:rsidRPr="00CD3A8C">
              <w:rPr>
                <w:rFonts w:cs="Arial"/>
                <w:bCs w:val="0"/>
              </w:rPr>
              <w:t xml:space="preserve"> </w:t>
            </w:r>
            <w:proofErr w:type="spellStart"/>
            <w:r w:rsidRPr="00CD3A8C">
              <w:rPr>
                <w:rFonts w:cs="Arial"/>
                <w:bCs w:val="0"/>
              </w:rPr>
              <w:t>Nadzoru</w:t>
            </w:r>
            <w:proofErr w:type="spellEnd"/>
            <w:r w:rsidRPr="00CD3A8C">
              <w:rPr>
                <w:rFonts w:cs="Arial"/>
                <w:bCs w:val="0"/>
              </w:rPr>
              <w:t xml:space="preserve"> </w:t>
            </w:r>
            <w:proofErr w:type="spellStart"/>
            <w:r w:rsidRPr="00CD3A8C">
              <w:rPr>
                <w:rFonts w:cs="Arial"/>
                <w:bCs w:val="0"/>
              </w:rPr>
              <w:t>Finansowego</w:t>
            </w:r>
            <w:proofErr w:type="spellEnd"/>
          </w:p>
        </w:tc>
        <w:tc>
          <w:tcPr>
            <w:tcW w:w="1417" w:type="dxa"/>
            <w:tcBorders>
              <w:top w:val="single" w:sz="4" w:space="0" w:color="auto"/>
              <w:left w:val="single" w:sz="4" w:space="0" w:color="auto"/>
              <w:right w:val="single" w:sz="4" w:space="0" w:color="auto"/>
            </w:tcBorders>
            <w:shd w:val="clear" w:color="auto" w:fill="00B050"/>
          </w:tcPr>
          <w:p w14:paraId="5B9C4FF8" w14:textId="77777777" w:rsidR="00FF7E25" w:rsidRPr="00180E1B" w:rsidRDefault="008D73B8" w:rsidP="006B3595">
            <w:pPr>
              <w:pStyle w:val="Tabledata"/>
              <w:ind w:left="284"/>
              <w:jc w:val="left"/>
              <w:rPr>
                <w:b/>
                <w:szCs w:val="20"/>
              </w:rPr>
            </w:pPr>
            <w:r>
              <w:rPr>
                <w:b/>
                <w:szCs w:val="20"/>
              </w:rPr>
              <w:t>Yes</w:t>
            </w:r>
          </w:p>
        </w:tc>
        <w:tc>
          <w:tcPr>
            <w:tcW w:w="3119" w:type="dxa"/>
            <w:tcBorders>
              <w:top w:val="single" w:sz="4" w:space="0" w:color="auto"/>
              <w:left w:val="single" w:sz="4" w:space="0" w:color="auto"/>
              <w:right w:val="single" w:sz="4" w:space="0" w:color="auto"/>
            </w:tcBorders>
            <w:shd w:val="clear" w:color="auto" w:fill="auto"/>
          </w:tcPr>
          <w:p w14:paraId="16B4C266" w14:textId="61E29DA2" w:rsidR="00FF7E25" w:rsidRPr="00180E1B" w:rsidRDefault="008D73B8" w:rsidP="006F3DAC">
            <w:pPr>
              <w:pStyle w:val="Tabledata"/>
              <w:jc w:val="left"/>
            </w:pPr>
            <w:r>
              <w:t>As at 13.11.2017</w:t>
            </w:r>
            <w:r w:rsidR="004C27BE">
              <w:t xml:space="preserve"> notification date.</w:t>
            </w:r>
          </w:p>
        </w:tc>
      </w:tr>
      <w:tr w:rsidR="002B0B93" w:rsidRPr="00A2678D" w14:paraId="16154940" w14:textId="77777777" w:rsidTr="008601C5">
        <w:tc>
          <w:tcPr>
            <w:tcW w:w="959" w:type="dxa"/>
            <w:gridSpan w:val="2"/>
            <w:tcBorders>
              <w:top w:val="single" w:sz="4" w:space="0" w:color="auto"/>
              <w:left w:val="single" w:sz="4" w:space="0" w:color="auto"/>
              <w:bottom w:val="single" w:sz="4" w:space="0" w:color="auto"/>
              <w:right w:val="single" w:sz="4" w:space="0" w:color="auto"/>
            </w:tcBorders>
          </w:tcPr>
          <w:p w14:paraId="242CEACD" w14:textId="77777777" w:rsidR="002B0B93" w:rsidRPr="00DD00A2" w:rsidRDefault="00516A25" w:rsidP="003A6C1E">
            <w:pPr>
              <w:pStyle w:val="Tabledata"/>
              <w:jc w:val="center"/>
              <w:rPr>
                <w:szCs w:val="20"/>
              </w:rPr>
            </w:pPr>
            <w:r w:rsidRPr="00CD3A8C">
              <w:t>PT</w:t>
            </w:r>
          </w:p>
        </w:tc>
        <w:tc>
          <w:tcPr>
            <w:tcW w:w="1276" w:type="dxa"/>
            <w:tcBorders>
              <w:top w:val="single" w:sz="4" w:space="0" w:color="auto"/>
              <w:left w:val="single" w:sz="4" w:space="0" w:color="auto"/>
              <w:bottom w:val="single" w:sz="4" w:space="0" w:color="auto"/>
              <w:right w:val="single" w:sz="4" w:space="0" w:color="auto"/>
            </w:tcBorders>
          </w:tcPr>
          <w:p w14:paraId="6A38754A" w14:textId="77777777" w:rsidR="002B0B93" w:rsidRPr="00DD00A2" w:rsidRDefault="00516A25" w:rsidP="003A6C1E">
            <w:pPr>
              <w:pStyle w:val="Tabledata"/>
              <w:jc w:val="center"/>
              <w:rPr>
                <w:szCs w:val="20"/>
              </w:rPr>
            </w:pPr>
            <w:r w:rsidRPr="00CD3A8C">
              <w:t>Portugal</w:t>
            </w:r>
          </w:p>
        </w:tc>
        <w:tc>
          <w:tcPr>
            <w:tcW w:w="2126" w:type="dxa"/>
            <w:tcBorders>
              <w:top w:val="single" w:sz="4" w:space="0" w:color="auto"/>
              <w:left w:val="single" w:sz="4" w:space="0" w:color="auto"/>
              <w:bottom w:val="single" w:sz="4" w:space="0" w:color="auto"/>
              <w:right w:val="single" w:sz="4" w:space="0" w:color="auto"/>
            </w:tcBorders>
          </w:tcPr>
          <w:p w14:paraId="12F88847" w14:textId="77777777" w:rsidR="002B0B93" w:rsidRPr="00DD00A2" w:rsidRDefault="005378CB" w:rsidP="005378CB">
            <w:pPr>
              <w:pStyle w:val="Tabledata"/>
              <w:jc w:val="left"/>
              <w:rPr>
                <w:szCs w:val="20"/>
              </w:rPr>
            </w:pPr>
            <w:r>
              <w:rPr>
                <w:rFonts w:cs="Arial"/>
                <w:bCs w:val="0"/>
                <w:lang w:val="pt-PT"/>
              </w:rPr>
              <w:t>Banco de Portugal</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390D0F3" w14:textId="77777777" w:rsidR="002B0B93" w:rsidRPr="00180E1B" w:rsidRDefault="008601C5" w:rsidP="0081135D">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ACED38" w14:textId="77777777" w:rsidR="005378CB" w:rsidRPr="00180E1B" w:rsidRDefault="008601C5" w:rsidP="006B3595">
            <w:pPr>
              <w:pStyle w:val="Tabledata"/>
              <w:jc w:val="left"/>
            </w:pPr>
            <w:r>
              <w:t xml:space="preserve">By 13.01.2018. The necessary legislative and/or regulatory proceedings at national level are still ongoing. </w:t>
            </w:r>
          </w:p>
        </w:tc>
      </w:tr>
      <w:tr w:rsidR="002B0B93" w:rsidRPr="00A2678D" w14:paraId="7D161F1A" w14:textId="77777777" w:rsidTr="008E7602">
        <w:tc>
          <w:tcPr>
            <w:tcW w:w="959" w:type="dxa"/>
            <w:gridSpan w:val="2"/>
            <w:tcBorders>
              <w:top w:val="single" w:sz="4" w:space="0" w:color="auto"/>
              <w:left w:val="single" w:sz="4" w:space="0" w:color="auto"/>
              <w:bottom w:val="single" w:sz="4" w:space="0" w:color="auto"/>
              <w:right w:val="single" w:sz="4" w:space="0" w:color="auto"/>
            </w:tcBorders>
          </w:tcPr>
          <w:p w14:paraId="49A7CFCD" w14:textId="77777777" w:rsidR="002B0B93" w:rsidRPr="00DD00A2" w:rsidRDefault="00516A25" w:rsidP="003A6C1E">
            <w:pPr>
              <w:pStyle w:val="Tabledata"/>
              <w:jc w:val="center"/>
              <w:rPr>
                <w:szCs w:val="20"/>
              </w:rPr>
            </w:pPr>
            <w:r w:rsidRPr="00CD3A8C">
              <w:t>RO</w:t>
            </w:r>
          </w:p>
        </w:tc>
        <w:tc>
          <w:tcPr>
            <w:tcW w:w="1276" w:type="dxa"/>
            <w:tcBorders>
              <w:top w:val="single" w:sz="4" w:space="0" w:color="auto"/>
              <w:left w:val="single" w:sz="4" w:space="0" w:color="auto"/>
              <w:bottom w:val="single" w:sz="4" w:space="0" w:color="auto"/>
              <w:right w:val="single" w:sz="4" w:space="0" w:color="auto"/>
            </w:tcBorders>
          </w:tcPr>
          <w:p w14:paraId="45DBC41D" w14:textId="77777777" w:rsidR="002B0B93" w:rsidRPr="00DD00A2" w:rsidRDefault="00516A25" w:rsidP="003A6C1E">
            <w:pPr>
              <w:pStyle w:val="Tabledata"/>
              <w:jc w:val="center"/>
              <w:rPr>
                <w:szCs w:val="20"/>
              </w:rPr>
            </w:pPr>
            <w:r w:rsidRPr="00CD3A8C">
              <w:t>Romania</w:t>
            </w:r>
          </w:p>
        </w:tc>
        <w:tc>
          <w:tcPr>
            <w:tcW w:w="2126" w:type="dxa"/>
            <w:tcBorders>
              <w:top w:val="single" w:sz="4" w:space="0" w:color="auto"/>
              <w:left w:val="single" w:sz="4" w:space="0" w:color="auto"/>
              <w:bottom w:val="single" w:sz="4" w:space="0" w:color="auto"/>
              <w:right w:val="single" w:sz="4" w:space="0" w:color="auto"/>
            </w:tcBorders>
          </w:tcPr>
          <w:p w14:paraId="1AFF61CE" w14:textId="77777777" w:rsidR="002B0B93" w:rsidRPr="00DD00A2" w:rsidRDefault="00516A25" w:rsidP="004A01E5">
            <w:pPr>
              <w:pStyle w:val="Tabledata"/>
              <w:jc w:val="left"/>
              <w:rPr>
                <w:szCs w:val="20"/>
              </w:rPr>
            </w:pPr>
            <w:r w:rsidRPr="00CD3A8C">
              <w:rPr>
                <w:rFonts w:cs="Arial"/>
                <w:szCs w:val="20"/>
              </w:rPr>
              <w:t>National Bank of Romania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57EA6F" w14:textId="77777777" w:rsidR="002B0B93" w:rsidRPr="00180E1B" w:rsidRDefault="00A262B3" w:rsidP="006B3595">
            <w:pPr>
              <w:pStyle w:val="Tabledata"/>
              <w:ind w:left="284"/>
              <w:jc w:val="left"/>
              <w:rPr>
                <w:b/>
                <w:szCs w:val="20"/>
              </w:rPr>
            </w:pPr>
            <w:r>
              <w:rPr>
                <w:b/>
                <w:szCs w:val="20"/>
              </w:rPr>
              <w:t>No response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1C992EC" w14:textId="77777777" w:rsidR="002B0B93" w:rsidRPr="00180E1B" w:rsidRDefault="00A262B3" w:rsidP="0044034F">
            <w:pPr>
              <w:suppressAutoHyphens/>
            </w:pPr>
            <w:r w:rsidRPr="00A03AE1">
              <w:rPr>
                <w:rFonts w:eastAsia="Times New Roman" w:cstheme="minorHAnsi"/>
                <w:bCs/>
                <w:color w:val="000000"/>
                <w:sz w:val="20"/>
                <w:szCs w:val="22"/>
                <w:lang w:val="en-GB" w:eastAsia="en-GB"/>
              </w:rPr>
              <w:t xml:space="preserve">No notification of compliance </w:t>
            </w:r>
            <w:proofErr w:type="gramStart"/>
            <w:r w:rsidRPr="00A03AE1">
              <w:rPr>
                <w:rFonts w:eastAsia="Times New Roman" w:cstheme="minorHAnsi"/>
                <w:bCs/>
                <w:color w:val="000000"/>
                <w:sz w:val="20"/>
                <w:szCs w:val="22"/>
                <w:lang w:val="en-GB" w:eastAsia="en-GB"/>
              </w:rPr>
              <w:t>was received</w:t>
            </w:r>
            <w:proofErr w:type="gramEnd"/>
            <w:r w:rsidRPr="00A03AE1">
              <w:rPr>
                <w:rFonts w:eastAsia="Times New Roman" w:cstheme="minorHAnsi"/>
                <w:bCs/>
                <w:color w:val="000000"/>
                <w:sz w:val="20"/>
                <w:szCs w:val="22"/>
                <w:lang w:val="en-GB" w:eastAsia="en-GB"/>
              </w:rPr>
              <w:t xml:space="preserve"> by the EBA within the two-month time limit.</w:t>
            </w:r>
          </w:p>
        </w:tc>
      </w:tr>
      <w:tr w:rsidR="002B0B93" w:rsidRPr="00A2678D" w14:paraId="119E474B" w14:textId="77777777" w:rsidTr="00CC43DC">
        <w:tc>
          <w:tcPr>
            <w:tcW w:w="959" w:type="dxa"/>
            <w:gridSpan w:val="2"/>
            <w:tcBorders>
              <w:top w:val="single" w:sz="4" w:space="0" w:color="auto"/>
              <w:left w:val="single" w:sz="4" w:space="0" w:color="auto"/>
              <w:bottom w:val="single" w:sz="4" w:space="0" w:color="auto"/>
              <w:right w:val="single" w:sz="4" w:space="0" w:color="auto"/>
            </w:tcBorders>
          </w:tcPr>
          <w:p w14:paraId="54B43190" w14:textId="77777777" w:rsidR="002B0B93" w:rsidRPr="00DD00A2" w:rsidRDefault="00516A25" w:rsidP="003A6C1E">
            <w:pPr>
              <w:pStyle w:val="Tabledata"/>
              <w:jc w:val="center"/>
              <w:rPr>
                <w:szCs w:val="20"/>
              </w:rPr>
            </w:pPr>
            <w:r w:rsidRPr="00CD3A8C">
              <w:t>SI</w:t>
            </w:r>
          </w:p>
        </w:tc>
        <w:tc>
          <w:tcPr>
            <w:tcW w:w="1276" w:type="dxa"/>
            <w:tcBorders>
              <w:top w:val="single" w:sz="4" w:space="0" w:color="auto"/>
              <w:left w:val="single" w:sz="4" w:space="0" w:color="auto"/>
              <w:bottom w:val="single" w:sz="4" w:space="0" w:color="auto"/>
              <w:right w:val="single" w:sz="4" w:space="0" w:color="auto"/>
            </w:tcBorders>
          </w:tcPr>
          <w:p w14:paraId="1FDE4ABD" w14:textId="77777777" w:rsidR="002B0B93" w:rsidRPr="00DD00A2" w:rsidRDefault="00516A25" w:rsidP="003A6C1E">
            <w:pPr>
              <w:pStyle w:val="Tabledata"/>
              <w:jc w:val="center"/>
              <w:rPr>
                <w:szCs w:val="20"/>
              </w:rPr>
            </w:pPr>
            <w:r w:rsidRPr="00CD3A8C">
              <w:t>Slovenia</w:t>
            </w:r>
          </w:p>
        </w:tc>
        <w:tc>
          <w:tcPr>
            <w:tcW w:w="2126" w:type="dxa"/>
            <w:tcBorders>
              <w:top w:val="single" w:sz="4" w:space="0" w:color="auto"/>
              <w:left w:val="single" w:sz="4" w:space="0" w:color="auto"/>
              <w:bottom w:val="single" w:sz="4" w:space="0" w:color="auto"/>
              <w:right w:val="single" w:sz="4" w:space="0" w:color="auto"/>
            </w:tcBorders>
          </w:tcPr>
          <w:p w14:paraId="2DE5FDF1" w14:textId="77777777" w:rsidR="002B0B93" w:rsidRPr="00DD00A2" w:rsidRDefault="00516A25" w:rsidP="00FF7F4D">
            <w:pPr>
              <w:pStyle w:val="Tabledata"/>
              <w:jc w:val="left"/>
              <w:rPr>
                <w:szCs w:val="20"/>
              </w:rPr>
            </w:pPr>
            <w:r w:rsidRPr="00CD3A8C">
              <w:t>Bank of Slovenia</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B4BD2C0" w14:textId="77777777" w:rsidR="002B0B93" w:rsidRPr="00180E1B" w:rsidRDefault="00CC43DC"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6E10589" w14:textId="6E5BC196" w:rsidR="002B0B93" w:rsidRPr="00180E1B" w:rsidRDefault="00CC43DC" w:rsidP="00973A97">
            <w:pPr>
              <w:pStyle w:val="Tabledata"/>
              <w:spacing w:before="0" w:after="0"/>
              <w:jc w:val="left"/>
            </w:pPr>
            <w:r>
              <w:t xml:space="preserve">By </w:t>
            </w:r>
            <w:proofErr w:type="gramStart"/>
            <w:r w:rsidR="00973A97">
              <w:t>02.03.2018</w:t>
            </w:r>
            <w:proofErr w:type="gramEnd"/>
            <w:r w:rsidR="00973A97">
              <w:t xml:space="preserve"> (the application date of the Guidelines). The Bank of Slovenia makes decisions regarding the application of Guidelines and recommendations issued by the European Banking Authority. Decision regarding the application of guidelines </w:t>
            </w:r>
            <w:proofErr w:type="gramStart"/>
            <w:r w:rsidR="00973A97">
              <w:t>is published</w:t>
            </w:r>
            <w:proofErr w:type="gramEnd"/>
            <w:r w:rsidR="00973A97">
              <w:t xml:space="preserve"> in the Official Gazette of the Republic of Slovenia. </w:t>
            </w:r>
            <w:r>
              <w:t xml:space="preserve"> </w:t>
            </w:r>
            <w:r w:rsidR="00F8502A">
              <w:t xml:space="preserve"> </w:t>
            </w:r>
            <w:r w:rsidR="006774EC">
              <w:t xml:space="preserve"> </w:t>
            </w:r>
          </w:p>
        </w:tc>
      </w:tr>
      <w:tr w:rsidR="002B0B93" w:rsidRPr="00A2678D" w14:paraId="6F9F4F1D" w14:textId="77777777" w:rsidTr="00D81BD7">
        <w:tc>
          <w:tcPr>
            <w:tcW w:w="959" w:type="dxa"/>
            <w:gridSpan w:val="2"/>
            <w:tcBorders>
              <w:top w:val="single" w:sz="4" w:space="0" w:color="auto"/>
              <w:left w:val="single" w:sz="4" w:space="0" w:color="auto"/>
              <w:bottom w:val="single" w:sz="4" w:space="0" w:color="auto"/>
              <w:right w:val="single" w:sz="4" w:space="0" w:color="auto"/>
            </w:tcBorders>
          </w:tcPr>
          <w:p w14:paraId="0021B8A7" w14:textId="77777777" w:rsidR="002B0B93" w:rsidRPr="00DD00A2" w:rsidRDefault="00516A25" w:rsidP="003A6C1E">
            <w:pPr>
              <w:pStyle w:val="Tabledata"/>
              <w:jc w:val="center"/>
              <w:rPr>
                <w:szCs w:val="20"/>
              </w:rPr>
            </w:pPr>
            <w:r w:rsidRPr="00CD3A8C">
              <w:lastRenderedPageBreak/>
              <w:t>SK</w:t>
            </w:r>
          </w:p>
        </w:tc>
        <w:tc>
          <w:tcPr>
            <w:tcW w:w="1276" w:type="dxa"/>
            <w:tcBorders>
              <w:top w:val="single" w:sz="4" w:space="0" w:color="auto"/>
              <w:left w:val="single" w:sz="4" w:space="0" w:color="auto"/>
              <w:bottom w:val="single" w:sz="4" w:space="0" w:color="auto"/>
              <w:right w:val="single" w:sz="4" w:space="0" w:color="auto"/>
            </w:tcBorders>
          </w:tcPr>
          <w:p w14:paraId="28B59F2F" w14:textId="77777777" w:rsidR="002B0B93" w:rsidRPr="00DD00A2" w:rsidRDefault="00516A25" w:rsidP="003A6C1E">
            <w:pPr>
              <w:pStyle w:val="Tabledata"/>
              <w:jc w:val="center"/>
              <w:rPr>
                <w:szCs w:val="20"/>
              </w:rPr>
            </w:pPr>
            <w:r w:rsidRPr="00CD3A8C">
              <w:t>Slovakia</w:t>
            </w:r>
          </w:p>
        </w:tc>
        <w:tc>
          <w:tcPr>
            <w:tcW w:w="2126" w:type="dxa"/>
            <w:tcBorders>
              <w:top w:val="single" w:sz="4" w:space="0" w:color="auto"/>
              <w:left w:val="single" w:sz="4" w:space="0" w:color="auto"/>
              <w:bottom w:val="single" w:sz="4" w:space="0" w:color="auto"/>
              <w:right w:val="single" w:sz="4" w:space="0" w:color="auto"/>
            </w:tcBorders>
          </w:tcPr>
          <w:p w14:paraId="5AA8909C" w14:textId="77777777" w:rsidR="002B0B93" w:rsidRPr="00DD00A2" w:rsidRDefault="00D81BD7" w:rsidP="00BE4788">
            <w:pPr>
              <w:pStyle w:val="Tabledata"/>
              <w:jc w:val="left"/>
              <w:rPr>
                <w:szCs w:val="20"/>
              </w:rPr>
            </w:pPr>
            <w:proofErr w:type="spellStart"/>
            <w:r>
              <w:t>Národná</w:t>
            </w:r>
            <w:proofErr w:type="spellEnd"/>
            <w:r>
              <w:t xml:space="preserve"> </w:t>
            </w:r>
            <w:proofErr w:type="spellStart"/>
            <w:r>
              <w:t>b</w:t>
            </w:r>
            <w:r w:rsidR="00BE4788">
              <w:t>anka</w:t>
            </w:r>
            <w:proofErr w:type="spellEnd"/>
            <w:r w:rsidR="00BE4788">
              <w:t xml:space="preserve"> </w:t>
            </w:r>
            <w:proofErr w:type="spellStart"/>
            <w:r w:rsidR="00BE4788">
              <w:t>Slovenska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0FC0A44A" w14:textId="77777777" w:rsidR="002B0B93" w:rsidRPr="00180E1B" w:rsidRDefault="00D81BD7"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C6B68C5" w14:textId="77777777" w:rsidR="00D81BD7" w:rsidRPr="00180E1B" w:rsidRDefault="00D81BD7" w:rsidP="0071195A">
            <w:pPr>
              <w:pStyle w:val="Tabledata"/>
              <w:jc w:val="left"/>
            </w:pPr>
            <w:r>
              <w:t xml:space="preserve">As at 13.11.2017 notification date. </w:t>
            </w:r>
          </w:p>
        </w:tc>
      </w:tr>
      <w:tr w:rsidR="00DD0927" w:rsidRPr="00A2678D" w14:paraId="5B6A2D69" w14:textId="77777777" w:rsidTr="00590816">
        <w:trPr>
          <w:trHeight w:val="390"/>
        </w:trPr>
        <w:tc>
          <w:tcPr>
            <w:tcW w:w="959" w:type="dxa"/>
            <w:gridSpan w:val="2"/>
            <w:tcBorders>
              <w:top w:val="single" w:sz="4" w:space="0" w:color="auto"/>
              <w:left w:val="single" w:sz="4" w:space="0" w:color="auto"/>
              <w:right w:val="single" w:sz="4" w:space="0" w:color="auto"/>
            </w:tcBorders>
          </w:tcPr>
          <w:p w14:paraId="4DAB0DFC" w14:textId="77777777" w:rsidR="00DD0927" w:rsidRPr="00DD00A2" w:rsidRDefault="00DD0927" w:rsidP="003A6C1E">
            <w:pPr>
              <w:pStyle w:val="Tabledata"/>
              <w:jc w:val="center"/>
              <w:rPr>
                <w:szCs w:val="20"/>
              </w:rPr>
            </w:pPr>
            <w:r w:rsidRPr="00CD3A8C">
              <w:t>FI</w:t>
            </w:r>
          </w:p>
        </w:tc>
        <w:tc>
          <w:tcPr>
            <w:tcW w:w="1276" w:type="dxa"/>
            <w:tcBorders>
              <w:top w:val="single" w:sz="4" w:space="0" w:color="auto"/>
              <w:left w:val="single" w:sz="4" w:space="0" w:color="auto"/>
              <w:right w:val="single" w:sz="4" w:space="0" w:color="auto"/>
            </w:tcBorders>
          </w:tcPr>
          <w:p w14:paraId="36445F87" w14:textId="77777777" w:rsidR="00DD0927" w:rsidRPr="00DD00A2" w:rsidRDefault="00DD0927" w:rsidP="003A6C1E">
            <w:pPr>
              <w:pStyle w:val="Tabledata"/>
              <w:jc w:val="center"/>
              <w:rPr>
                <w:szCs w:val="20"/>
              </w:rPr>
            </w:pPr>
            <w:r w:rsidRPr="00CD3A8C">
              <w:t>Finland</w:t>
            </w:r>
          </w:p>
        </w:tc>
        <w:tc>
          <w:tcPr>
            <w:tcW w:w="2126" w:type="dxa"/>
            <w:tcBorders>
              <w:top w:val="single" w:sz="4" w:space="0" w:color="auto"/>
              <w:left w:val="single" w:sz="4" w:space="0" w:color="auto"/>
              <w:bottom w:val="single" w:sz="4" w:space="0" w:color="auto"/>
              <w:right w:val="single" w:sz="4" w:space="0" w:color="auto"/>
            </w:tcBorders>
          </w:tcPr>
          <w:p w14:paraId="781195DB" w14:textId="77777777" w:rsidR="00DD0927" w:rsidRPr="00DD00A2" w:rsidRDefault="00DD0927" w:rsidP="008E7E95">
            <w:pPr>
              <w:pStyle w:val="Tabledata"/>
              <w:jc w:val="left"/>
              <w:rPr>
                <w:szCs w:val="20"/>
              </w:rPr>
            </w:pPr>
            <w:proofErr w:type="spellStart"/>
            <w:r w:rsidRPr="00CD3A8C">
              <w:t>Finanssivalvonta</w:t>
            </w:r>
            <w:proofErr w:type="spellEnd"/>
            <w:r w:rsidRPr="00CD3A8C">
              <w:t xml:space="preserve"> (F</w:t>
            </w:r>
            <w:r w:rsidR="008E7E95">
              <w:t>IN-FSA)</w:t>
            </w:r>
          </w:p>
        </w:tc>
        <w:tc>
          <w:tcPr>
            <w:tcW w:w="1417" w:type="dxa"/>
            <w:tcBorders>
              <w:top w:val="single" w:sz="4" w:space="0" w:color="auto"/>
              <w:left w:val="single" w:sz="4" w:space="0" w:color="auto"/>
              <w:right w:val="single" w:sz="4" w:space="0" w:color="auto"/>
            </w:tcBorders>
            <w:shd w:val="clear" w:color="auto" w:fill="00B050"/>
          </w:tcPr>
          <w:p w14:paraId="55AEEE44" w14:textId="2A7F2B20" w:rsidR="00DD0927" w:rsidRPr="00180E1B" w:rsidRDefault="00590816" w:rsidP="006B3595">
            <w:pPr>
              <w:pStyle w:val="Tabledata"/>
              <w:ind w:left="284"/>
              <w:jc w:val="left"/>
              <w:rPr>
                <w:b/>
                <w:szCs w:val="20"/>
              </w:rPr>
            </w:pPr>
            <w:r>
              <w:rPr>
                <w:b/>
                <w:szCs w:val="20"/>
              </w:rPr>
              <w:t>Yes</w:t>
            </w:r>
          </w:p>
        </w:tc>
        <w:tc>
          <w:tcPr>
            <w:tcW w:w="3119" w:type="dxa"/>
            <w:tcBorders>
              <w:top w:val="single" w:sz="4" w:space="0" w:color="auto"/>
              <w:left w:val="single" w:sz="4" w:space="0" w:color="auto"/>
              <w:right w:val="single" w:sz="4" w:space="0" w:color="auto"/>
            </w:tcBorders>
            <w:shd w:val="clear" w:color="auto" w:fill="auto"/>
          </w:tcPr>
          <w:p w14:paraId="32F77C59" w14:textId="12910C21" w:rsidR="00DD0927" w:rsidRPr="0009032C" w:rsidRDefault="00590816" w:rsidP="0009032C">
            <w:pPr>
              <w:rPr>
                <w:color w:val="000000"/>
                <w:sz w:val="20"/>
                <w:szCs w:val="20"/>
              </w:rPr>
            </w:pPr>
            <w:r>
              <w:rPr>
                <w:color w:val="000000"/>
                <w:sz w:val="20"/>
                <w:szCs w:val="20"/>
              </w:rPr>
              <w:t xml:space="preserve">As at 15.02.2018, notification date. </w:t>
            </w:r>
          </w:p>
        </w:tc>
      </w:tr>
      <w:tr w:rsidR="002B0B93" w:rsidRPr="00A2678D" w14:paraId="74413401" w14:textId="77777777" w:rsidTr="008C724A">
        <w:tc>
          <w:tcPr>
            <w:tcW w:w="959" w:type="dxa"/>
            <w:gridSpan w:val="2"/>
            <w:tcBorders>
              <w:top w:val="single" w:sz="4" w:space="0" w:color="auto"/>
              <w:left w:val="single" w:sz="4" w:space="0" w:color="auto"/>
              <w:bottom w:val="single" w:sz="4" w:space="0" w:color="auto"/>
              <w:right w:val="single" w:sz="4" w:space="0" w:color="auto"/>
            </w:tcBorders>
          </w:tcPr>
          <w:p w14:paraId="135CEF23" w14:textId="77777777" w:rsidR="002B0B93" w:rsidRPr="00DD00A2" w:rsidRDefault="00516A25" w:rsidP="003A6C1E">
            <w:pPr>
              <w:pStyle w:val="Tabledata"/>
              <w:jc w:val="center"/>
              <w:rPr>
                <w:szCs w:val="20"/>
              </w:rPr>
            </w:pPr>
            <w:r w:rsidRPr="00CD3A8C">
              <w:t>SE</w:t>
            </w:r>
          </w:p>
        </w:tc>
        <w:tc>
          <w:tcPr>
            <w:tcW w:w="1276" w:type="dxa"/>
            <w:tcBorders>
              <w:top w:val="single" w:sz="4" w:space="0" w:color="auto"/>
              <w:left w:val="single" w:sz="4" w:space="0" w:color="auto"/>
              <w:bottom w:val="single" w:sz="4" w:space="0" w:color="auto"/>
              <w:right w:val="single" w:sz="4" w:space="0" w:color="auto"/>
            </w:tcBorders>
          </w:tcPr>
          <w:p w14:paraId="6F4ECAF5" w14:textId="77777777" w:rsidR="002B0B93" w:rsidRPr="00DD00A2" w:rsidRDefault="00516A25" w:rsidP="003A6C1E">
            <w:pPr>
              <w:pStyle w:val="Tabledata"/>
              <w:jc w:val="center"/>
              <w:rPr>
                <w:szCs w:val="20"/>
              </w:rPr>
            </w:pPr>
            <w:r w:rsidRPr="00CD3A8C">
              <w:t>Sweden</w:t>
            </w:r>
          </w:p>
        </w:tc>
        <w:tc>
          <w:tcPr>
            <w:tcW w:w="2126" w:type="dxa"/>
            <w:tcBorders>
              <w:top w:val="single" w:sz="4" w:space="0" w:color="auto"/>
              <w:left w:val="single" w:sz="4" w:space="0" w:color="auto"/>
              <w:bottom w:val="single" w:sz="4" w:space="0" w:color="auto"/>
              <w:right w:val="single" w:sz="4" w:space="0" w:color="auto"/>
            </w:tcBorders>
          </w:tcPr>
          <w:p w14:paraId="3CCD1084" w14:textId="77777777" w:rsidR="002B0B93" w:rsidRPr="00DD00A2" w:rsidRDefault="00516A25" w:rsidP="00C82735">
            <w:pPr>
              <w:pStyle w:val="Tabledata"/>
              <w:jc w:val="left"/>
              <w:rPr>
                <w:szCs w:val="20"/>
              </w:rPr>
            </w:pPr>
            <w:r w:rsidRPr="00CD3A8C">
              <w:t xml:space="preserve">Finansinspektionen </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1FF6701" w14:textId="77777777" w:rsidR="002B0B93" w:rsidRPr="00180E1B" w:rsidRDefault="008C724A"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1F5D0A" w14:textId="77777777" w:rsidR="002B0B93" w:rsidRPr="00180E1B" w:rsidRDefault="008C724A" w:rsidP="007247F1">
            <w:pPr>
              <w:pStyle w:val="Tabledata"/>
              <w:jc w:val="left"/>
            </w:pPr>
            <w:r>
              <w:t xml:space="preserve">By 01.05.2018. The necessary legislative and/or regulatory proceedings at national level are still ongoing. </w:t>
            </w:r>
          </w:p>
        </w:tc>
      </w:tr>
      <w:tr w:rsidR="00DC0A40" w:rsidRPr="00A2678D" w14:paraId="4BC6193C" w14:textId="77777777" w:rsidTr="00592DBC">
        <w:tc>
          <w:tcPr>
            <w:tcW w:w="959" w:type="dxa"/>
            <w:gridSpan w:val="2"/>
            <w:vMerge w:val="restart"/>
            <w:tcBorders>
              <w:top w:val="single" w:sz="4" w:space="0" w:color="auto"/>
              <w:left w:val="single" w:sz="4" w:space="0" w:color="auto"/>
              <w:right w:val="single" w:sz="4" w:space="0" w:color="auto"/>
            </w:tcBorders>
          </w:tcPr>
          <w:p w14:paraId="12F2C4B6" w14:textId="41A48E87" w:rsidR="00DC0A40" w:rsidRPr="00CD3A8C" w:rsidRDefault="00DC0A40" w:rsidP="003A6C1E">
            <w:pPr>
              <w:pStyle w:val="Tabledata"/>
              <w:jc w:val="center"/>
            </w:pPr>
            <w:r>
              <w:t>UK</w:t>
            </w:r>
          </w:p>
        </w:tc>
        <w:tc>
          <w:tcPr>
            <w:tcW w:w="1276" w:type="dxa"/>
            <w:vMerge w:val="restart"/>
            <w:tcBorders>
              <w:top w:val="single" w:sz="4" w:space="0" w:color="auto"/>
              <w:left w:val="single" w:sz="4" w:space="0" w:color="auto"/>
              <w:right w:val="single" w:sz="4" w:space="0" w:color="auto"/>
            </w:tcBorders>
          </w:tcPr>
          <w:p w14:paraId="067129A0" w14:textId="5AC933A1" w:rsidR="00DC0A40" w:rsidRPr="00CD3A8C" w:rsidRDefault="00DC0A40" w:rsidP="003A6C1E">
            <w:pPr>
              <w:pStyle w:val="Tabledata"/>
              <w:jc w:val="center"/>
            </w:pPr>
            <w:r>
              <w:t>United Kingdom</w:t>
            </w:r>
          </w:p>
        </w:tc>
        <w:tc>
          <w:tcPr>
            <w:tcW w:w="2126" w:type="dxa"/>
            <w:tcBorders>
              <w:top w:val="single" w:sz="4" w:space="0" w:color="auto"/>
              <w:left w:val="single" w:sz="4" w:space="0" w:color="auto"/>
              <w:bottom w:val="single" w:sz="4" w:space="0" w:color="auto"/>
              <w:right w:val="single" w:sz="4" w:space="0" w:color="auto"/>
            </w:tcBorders>
          </w:tcPr>
          <w:p w14:paraId="3E5698BF" w14:textId="67E3DFF6" w:rsidR="00DC0A40" w:rsidRPr="00CD3A8C" w:rsidRDefault="00DC0A40" w:rsidP="00C82735">
            <w:pPr>
              <w:pStyle w:val="Tabledata"/>
              <w:jc w:val="left"/>
            </w:pPr>
            <w:r>
              <w:t>Financial Conduct Authority (FCA)</w:t>
            </w:r>
          </w:p>
        </w:tc>
        <w:tc>
          <w:tcPr>
            <w:tcW w:w="1417" w:type="dxa"/>
            <w:tcBorders>
              <w:top w:val="single" w:sz="4" w:space="0" w:color="auto"/>
              <w:left w:val="single" w:sz="4" w:space="0" w:color="auto"/>
              <w:bottom w:val="single" w:sz="4" w:space="0" w:color="auto"/>
              <w:right w:val="single" w:sz="4" w:space="0" w:color="auto"/>
            </w:tcBorders>
            <w:shd w:val="clear" w:color="auto" w:fill="00B050"/>
          </w:tcPr>
          <w:p w14:paraId="1B2EA504" w14:textId="5A955483" w:rsidR="00DC0A40" w:rsidRDefault="00DC0A40" w:rsidP="006B3595">
            <w:pPr>
              <w:pStyle w:val="Tabledata"/>
              <w:ind w:left="284"/>
              <w:jc w:val="left"/>
              <w:rPr>
                <w:b/>
                <w:szCs w:val="20"/>
              </w:rPr>
            </w:pPr>
            <w:r>
              <w:rPr>
                <w:b/>
                <w:szCs w:val="20"/>
              </w:rPr>
              <w:t>Yes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1AA0739"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As at 10.11.2017, notification date.</w:t>
            </w:r>
          </w:p>
          <w:p w14:paraId="075D063B" w14:textId="1B0749E1"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National transposition legislation, The Payment Services Regulations (link below) permits the FCA</w:t>
            </w:r>
          </w:p>
          <w:p w14:paraId="16C4C81F"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proofErr w:type="gramStart"/>
            <w:r w:rsidRPr="00083889">
              <w:rPr>
                <w:rFonts w:eastAsia="Times New Roman" w:cstheme="minorHAnsi"/>
                <w:bCs/>
                <w:color w:val="000000"/>
                <w:sz w:val="20"/>
                <w:szCs w:val="22"/>
                <w:lang w:val="en-GB" w:eastAsia="en-GB"/>
              </w:rPr>
              <w:t>to</w:t>
            </w:r>
            <w:proofErr w:type="gramEnd"/>
            <w:r w:rsidRPr="00083889">
              <w:rPr>
                <w:rFonts w:eastAsia="Times New Roman" w:cstheme="minorHAnsi"/>
                <w:bCs/>
                <w:color w:val="000000"/>
                <w:sz w:val="20"/>
                <w:szCs w:val="22"/>
                <w:lang w:val="en-GB" w:eastAsia="en-GB"/>
              </w:rPr>
              <w:t xml:space="preserve"> direct firms on the requirements for </w:t>
            </w:r>
            <w:proofErr w:type="spellStart"/>
            <w:r w:rsidRPr="00083889">
              <w:rPr>
                <w:rFonts w:eastAsia="Times New Roman" w:cstheme="minorHAnsi"/>
                <w:bCs/>
                <w:color w:val="000000"/>
                <w:sz w:val="20"/>
                <w:szCs w:val="22"/>
                <w:lang w:val="en-GB" w:eastAsia="en-GB"/>
              </w:rPr>
              <w:t>Pll</w:t>
            </w:r>
            <w:proofErr w:type="spellEnd"/>
            <w:r w:rsidRPr="00083889">
              <w:rPr>
                <w:rFonts w:eastAsia="Times New Roman" w:cstheme="minorHAnsi"/>
                <w:bCs/>
                <w:color w:val="000000"/>
                <w:sz w:val="20"/>
                <w:szCs w:val="22"/>
                <w:lang w:val="en-GB" w:eastAsia="en-GB"/>
              </w:rPr>
              <w:t xml:space="preserve"> from 13 August 2017 (Regulation 1(2)(d)).</w:t>
            </w:r>
          </w:p>
          <w:p w14:paraId="4BF9B877" w14:textId="7845FC5B" w:rsidR="00DC0A40" w:rsidRDefault="00686453" w:rsidP="00083889">
            <w:pPr>
              <w:autoSpaceDE w:val="0"/>
              <w:autoSpaceDN w:val="0"/>
              <w:adjustRightInd w:val="0"/>
              <w:rPr>
                <w:rFonts w:eastAsia="Times New Roman" w:cstheme="minorHAnsi"/>
                <w:bCs/>
                <w:color w:val="000000"/>
                <w:sz w:val="20"/>
                <w:szCs w:val="22"/>
                <w:lang w:val="en-GB" w:eastAsia="en-GB"/>
              </w:rPr>
            </w:pPr>
            <w:hyperlink r:id="rId8" w:history="1">
              <w:r w:rsidR="00DC0A40" w:rsidRPr="00803559">
                <w:rPr>
                  <w:rStyle w:val="Hyperlink"/>
                  <w:rFonts w:eastAsia="Times New Roman" w:cstheme="minorHAnsi"/>
                  <w:bCs/>
                  <w:sz w:val="20"/>
                  <w:szCs w:val="22"/>
                  <w:lang w:val="en-GB" w:eastAsia="en-GB"/>
                </w:rPr>
                <w:t>http://www.legislation.gov.uk/uksi/2017/752/pdfs/uksi_20170752_en.pdf</w:t>
              </w:r>
            </w:hyperlink>
          </w:p>
          <w:p w14:paraId="677AB89E"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 xml:space="preserve">In September </w:t>
            </w:r>
            <w:proofErr w:type="gramStart"/>
            <w:r w:rsidRPr="00083889">
              <w:rPr>
                <w:rFonts w:eastAsia="Times New Roman" w:cstheme="minorHAnsi"/>
                <w:bCs/>
                <w:color w:val="000000"/>
                <w:sz w:val="20"/>
                <w:szCs w:val="22"/>
                <w:lang w:val="en-GB" w:eastAsia="en-GB"/>
              </w:rPr>
              <w:t>2017</w:t>
            </w:r>
            <w:proofErr w:type="gramEnd"/>
            <w:r w:rsidRPr="00083889">
              <w:rPr>
                <w:rFonts w:eastAsia="Times New Roman" w:cstheme="minorHAnsi"/>
                <w:bCs/>
                <w:color w:val="000000"/>
                <w:sz w:val="20"/>
                <w:szCs w:val="22"/>
                <w:lang w:val="en-GB" w:eastAsia="en-GB"/>
              </w:rPr>
              <w:t xml:space="preserve"> we indicated our intention to comply in our Policy Statement. In our Approach</w:t>
            </w:r>
          </w:p>
          <w:p w14:paraId="6A09794F"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to Payment Services and Electronic Money (link below) (clause 3.16) we direct that the minimum</w:t>
            </w:r>
          </w:p>
          <w:p w14:paraId="087FCBD5"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 xml:space="preserve">monetary amount of </w:t>
            </w:r>
            <w:proofErr w:type="spellStart"/>
            <w:r w:rsidRPr="00083889">
              <w:rPr>
                <w:rFonts w:eastAsia="Times New Roman" w:cstheme="minorHAnsi"/>
                <w:bCs/>
                <w:color w:val="000000"/>
                <w:sz w:val="20"/>
                <w:szCs w:val="22"/>
                <w:lang w:val="en-GB" w:eastAsia="en-GB"/>
              </w:rPr>
              <w:t>Pll</w:t>
            </w:r>
            <w:proofErr w:type="spellEnd"/>
            <w:r w:rsidRPr="00083889">
              <w:rPr>
                <w:rFonts w:eastAsia="Times New Roman" w:cstheme="minorHAnsi"/>
                <w:bCs/>
                <w:color w:val="000000"/>
                <w:sz w:val="20"/>
                <w:szCs w:val="22"/>
                <w:lang w:val="en-GB" w:eastAsia="en-GB"/>
              </w:rPr>
              <w:t xml:space="preserve"> is the amount calculated in accordance with the "Guidelines on the</w:t>
            </w:r>
          </w:p>
          <w:p w14:paraId="29BB4EB9"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criteria on how to stipulate the minimum monetary amount of the professional indemnity</w:t>
            </w:r>
          </w:p>
          <w:p w14:paraId="23C8836F" w14:textId="16AC0214" w:rsidR="00DC0A40" w:rsidRPr="00083889" w:rsidRDefault="00DC0A40" w:rsidP="00083889">
            <w:pPr>
              <w:autoSpaceDE w:val="0"/>
              <w:autoSpaceDN w:val="0"/>
              <w:adjustRightInd w:val="0"/>
              <w:rPr>
                <w:rFonts w:eastAsia="Times New Roman" w:cstheme="minorHAnsi"/>
                <w:bCs/>
                <w:color w:val="000000"/>
                <w:sz w:val="20"/>
                <w:szCs w:val="22"/>
                <w:lang w:val="en-GB" w:eastAsia="en-GB"/>
              </w:rPr>
            </w:pPr>
            <w:r w:rsidRPr="00083889">
              <w:rPr>
                <w:rFonts w:eastAsia="Times New Roman" w:cstheme="minorHAnsi"/>
                <w:bCs/>
                <w:color w:val="000000"/>
                <w:sz w:val="20"/>
                <w:szCs w:val="22"/>
                <w:lang w:val="en-GB" w:eastAsia="en-GB"/>
              </w:rPr>
              <w:t>insurance or other comparable guarantee under article 5(4) of D</w:t>
            </w:r>
            <w:r>
              <w:rPr>
                <w:rFonts w:eastAsia="Times New Roman" w:cstheme="minorHAnsi"/>
                <w:bCs/>
                <w:color w:val="000000"/>
                <w:sz w:val="20"/>
                <w:szCs w:val="22"/>
                <w:lang w:val="en-GB" w:eastAsia="en-GB"/>
              </w:rPr>
              <w:t>irective (EU) 2015/2366 (PSD2)"</w:t>
            </w:r>
          </w:p>
          <w:p w14:paraId="5E6702E7"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proofErr w:type="gramStart"/>
            <w:r w:rsidRPr="00083889">
              <w:rPr>
                <w:rFonts w:eastAsia="Times New Roman" w:cstheme="minorHAnsi"/>
                <w:bCs/>
                <w:color w:val="000000"/>
                <w:sz w:val="20"/>
                <w:szCs w:val="22"/>
                <w:lang w:val="en-GB" w:eastAsia="en-GB"/>
              </w:rPr>
              <w:t>published</w:t>
            </w:r>
            <w:proofErr w:type="gramEnd"/>
            <w:r w:rsidRPr="00083889">
              <w:rPr>
                <w:rFonts w:eastAsia="Times New Roman" w:cstheme="minorHAnsi"/>
                <w:bCs/>
                <w:color w:val="000000"/>
                <w:sz w:val="20"/>
                <w:szCs w:val="22"/>
                <w:lang w:val="en-GB" w:eastAsia="en-GB"/>
              </w:rPr>
              <w:t xml:space="preserve"> by the EBA under article 5(4) of PSD2 on 7 July 2016 (EBA-GL-2017-08).</w:t>
            </w:r>
          </w:p>
          <w:p w14:paraId="677D44D2" w14:textId="174D8D06" w:rsidR="00DC0A40" w:rsidRPr="00DC0A40" w:rsidRDefault="00686453" w:rsidP="00083889">
            <w:pPr>
              <w:autoSpaceDE w:val="0"/>
              <w:autoSpaceDN w:val="0"/>
              <w:adjustRightInd w:val="0"/>
              <w:rPr>
                <w:rFonts w:eastAsia="Times New Roman" w:cstheme="minorHAnsi"/>
                <w:bCs/>
                <w:color w:val="2F5773" w:themeColor="hyperlink"/>
                <w:sz w:val="20"/>
                <w:szCs w:val="22"/>
                <w:u w:val="single"/>
                <w:lang w:val="en-GB" w:eastAsia="en-GB"/>
              </w:rPr>
            </w:pPr>
            <w:hyperlink r:id="rId9" w:history="1">
              <w:r w:rsidR="00DC0A40" w:rsidRPr="001B33FE">
                <w:rPr>
                  <w:rStyle w:val="Hyperlink"/>
                  <w:rFonts w:eastAsia="Times New Roman" w:cstheme="minorHAnsi"/>
                  <w:bCs/>
                  <w:sz w:val="20"/>
                  <w:szCs w:val="22"/>
                  <w:lang w:val="en-GB" w:eastAsia="en-GB"/>
                </w:rPr>
                <w:t>https://www.fca.org.uk/publication/finalised-guidance/fca-approach-payment-services-electronic-money-2017.pdf</w:t>
              </w:r>
            </w:hyperlink>
          </w:p>
        </w:tc>
      </w:tr>
      <w:tr w:rsidR="00DC0A40" w:rsidRPr="00A2678D" w14:paraId="5ABFEE30" w14:textId="77777777" w:rsidTr="00DC0A40">
        <w:tc>
          <w:tcPr>
            <w:tcW w:w="959" w:type="dxa"/>
            <w:gridSpan w:val="2"/>
            <w:vMerge/>
            <w:tcBorders>
              <w:left w:val="single" w:sz="4" w:space="0" w:color="auto"/>
              <w:bottom w:val="single" w:sz="4" w:space="0" w:color="auto"/>
              <w:right w:val="single" w:sz="4" w:space="0" w:color="auto"/>
            </w:tcBorders>
          </w:tcPr>
          <w:p w14:paraId="0BC09ECD" w14:textId="77777777" w:rsidR="00DC0A40" w:rsidRDefault="00DC0A40" w:rsidP="003A6C1E">
            <w:pPr>
              <w:pStyle w:val="Tabledata"/>
              <w:jc w:val="center"/>
            </w:pPr>
          </w:p>
        </w:tc>
        <w:tc>
          <w:tcPr>
            <w:tcW w:w="1276" w:type="dxa"/>
            <w:vMerge/>
            <w:tcBorders>
              <w:left w:val="single" w:sz="4" w:space="0" w:color="auto"/>
              <w:bottom w:val="single" w:sz="4" w:space="0" w:color="auto"/>
              <w:right w:val="single" w:sz="4" w:space="0" w:color="auto"/>
            </w:tcBorders>
          </w:tcPr>
          <w:p w14:paraId="7798E6B3" w14:textId="77777777" w:rsidR="00DC0A40" w:rsidRDefault="00DC0A40" w:rsidP="003A6C1E">
            <w:pPr>
              <w:pStyle w:val="Tabledata"/>
              <w:jc w:val="center"/>
            </w:pPr>
          </w:p>
        </w:tc>
        <w:tc>
          <w:tcPr>
            <w:tcW w:w="2126" w:type="dxa"/>
            <w:tcBorders>
              <w:top w:val="single" w:sz="4" w:space="0" w:color="auto"/>
              <w:left w:val="single" w:sz="4" w:space="0" w:color="auto"/>
              <w:bottom w:val="single" w:sz="4" w:space="0" w:color="auto"/>
              <w:right w:val="single" w:sz="4" w:space="0" w:color="auto"/>
            </w:tcBorders>
          </w:tcPr>
          <w:p w14:paraId="3FD76520" w14:textId="1AE88097" w:rsidR="00DC0A40" w:rsidRDefault="00DC0A40" w:rsidP="00C82735">
            <w:pPr>
              <w:pStyle w:val="Tabledata"/>
              <w:jc w:val="left"/>
            </w:pPr>
            <w:r>
              <w:t xml:space="preserve">Prudential Regulation Authority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4F5F75" w14:textId="35D0A8B6" w:rsidR="00DC0A40" w:rsidRDefault="00DC0A40" w:rsidP="006B3595">
            <w:pPr>
              <w:pStyle w:val="Tabledata"/>
              <w:ind w:left="284"/>
              <w:jc w:val="left"/>
              <w:rPr>
                <w:b/>
                <w:szCs w:val="20"/>
              </w:rPr>
            </w:pPr>
            <w:r>
              <w:rPr>
                <w:b/>
                <w:szCs w:val="20"/>
              </w:rPr>
              <w:t>Not applicable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EC4C7B" w14:textId="77777777" w:rsidR="00DC0A40" w:rsidRPr="00DC0A40" w:rsidRDefault="00DC0A40" w:rsidP="00DC0A40">
            <w:pPr>
              <w:pStyle w:val="body"/>
              <w:spacing w:before="120" w:line="240" w:lineRule="auto"/>
              <w:jc w:val="left"/>
              <w:rPr>
                <w:rFonts w:eastAsia="Times New Roman" w:cstheme="minorHAnsi"/>
                <w:bCs/>
                <w:color w:val="000000"/>
                <w:sz w:val="20"/>
                <w:szCs w:val="22"/>
                <w:lang w:val="en-GB" w:eastAsia="en-GB"/>
              </w:rPr>
            </w:pPr>
            <w:r w:rsidRPr="00DC0A40">
              <w:rPr>
                <w:rFonts w:eastAsia="Times New Roman" w:cstheme="minorHAnsi"/>
                <w:bCs/>
                <w:color w:val="000000"/>
                <w:sz w:val="20"/>
                <w:szCs w:val="22"/>
                <w:lang w:val="en-GB" w:eastAsia="en-GB"/>
              </w:rPr>
              <w:t>The scope of the Guidelines are outside of the scope of PRA competence, and are therefore not applicable to the UK PRA. The relevant UK authority has responded.</w:t>
            </w:r>
          </w:p>
          <w:p w14:paraId="110DD563" w14:textId="77777777" w:rsidR="00DC0A40" w:rsidRPr="00083889" w:rsidRDefault="00DC0A40" w:rsidP="00083889">
            <w:pPr>
              <w:autoSpaceDE w:val="0"/>
              <w:autoSpaceDN w:val="0"/>
              <w:adjustRightInd w:val="0"/>
              <w:rPr>
                <w:rFonts w:eastAsia="Times New Roman" w:cstheme="minorHAnsi"/>
                <w:bCs/>
                <w:color w:val="000000"/>
                <w:sz w:val="20"/>
                <w:szCs w:val="22"/>
                <w:lang w:val="en-GB" w:eastAsia="en-GB"/>
              </w:rPr>
            </w:pPr>
          </w:p>
        </w:tc>
      </w:tr>
      <w:tr w:rsidR="002B5CF2" w:rsidRPr="006D2ED5" w14:paraId="2227A822" w14:textId="77777777" w:rsidTr="0013547A">
        <w:tc>
          <w:tcPr>
            <w:tcW w:w="8897" w:type="dxa"/>
            <w:gridSpan w:val="6"/>
            <w:tcBorders>
              <w:top w:val="single" w:sz="4" w:space="0" w:color="auto"/>
              <w:bottom w:val="single" w:sz="4" w:space="0" w:color="auto"/>
            </w:tcBorders>
            <w:shd w:val="clear" w:color="auto" w:fill="auto"/>
            <w:vAlign w:val="top"/>
          </w:tcPr>
          <w:p w14:paraId="6A56E1F7" w14:textId="77777777" w:rsidR="002B5CF2" w:rsidRPr="006D2ED5" w:rsidRDefault="002B5CF2" w:rsidP="006B3595">
            <w:pPr>
              <w:pStyle w:val="Tabledata"/>
              <w:jc w:val="left"/>
              <w:rPr>
                <w:szCs w:val="20"/>
              </w:rPr>
            </w:pPr>
            <w:r>
              <w:rPr>
                <w:rStyle w:val="Highlighttext"/>
                <w:sz w:val="20"/>
                <w:szCs w:val="20"/>
              </w:rPr>
              <w:lastRenderedPageBreak/>
              <w:t>EEA – EFTA State</w:t>
            </w:r>
          </w:p>
        </w:tc>
      </w:tr>
      <w:tr w:rsidR="002B5CF2" w:rsidRPr="008B5776" w14:paraId="5ACD9C89" w14:textId="77777777" w:rsidTr="00161019">
        <w:tc>
          <w:tcPr>
            <w:tcW w:w="675" w:type="dxa"/>
            <w:tcBorders>
              <w:top w:val="single" w:sz="4" w:space="0" w:color="auto"/>
              <w:left w:val="single" w:sz="4" w:space="0" w:color="auto"/>
              <w:bottom w:val="single" w:sz="4" w:space="0" w:color="auto"/>
              <w:right w:val="single" w:sz="4" w:space="0" w:color="auto"/>
            </w:tcBorders>
          </w:tcPr>
          <w:p w14:paraId="6669ED4D" w14:textId="77777777" w:rsidR="002B5CF2" w:rsidRPr="00A64B3F" w:rsidRDefault="00516A25" w:rsidP="003A6C1E">
            <w:pPr>
              <w:pStyle w:val="Tabledata"/>
              <w:jc w:val="center"/>
              <w:rPr>
                <w:szCs w:val="20"/>
              </w:rPr>
            </w:pPr>
            <w:r>
              <w:t>IS</w:t>
            </w:r>
            <w:r>
              <w:rPr>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14:paraId="08C191B8" w14:textId="77777777" w:rsidR="002B5CF2" w:rsidRPr="00A64B3F" w:rsidRDefault="00516A25" w:rsidP="003A6C1E">
            <w:pPr>
              <w:pStyle w:val="Tabledata"/>
              <w:jc w:val="center"/>
              <w:rPr>
                <w:szCs w:val="20"/>
              </w:rPr>
            </w:pPr>
            <w:r>
              <w:t>Iceland</w:t>
            </w:r>
          </w:p>
        </w:tc>
        <w:tc>
          <w:tcPr>
            <w:tcW w:w="2126" w:type="dxa"/>
            <w:tcBorders>
              <w:top w:val="single" w:sz="4" w:space="0" w:color="auto"/>
              <w:left w:val="single" w:sz="4" w:space="0" w:color="auto"/>
              <w:bottom w:val="single" w:sz="4" w:space="0" w:color="auto"/>
              <w:right w:val="single" w:sz="4" w:space="0" w:color="auto"/>
            </w:tcBorders>
          </w:tcPr>
          <w:p w14:paraId="05000528" w14:textId="77777777" w:rsidR="002B5CF2" w:rsidRPr="00A64B3F" w:rsidRDefault="00516A25" w:rsidP="004F4E42">
            <w:pPr>
              <w:pStyle w:val="Tabledata"/>
              <w:jc w:val="left"/>
              <w:rPr>
                <w:rFonts w:cs="Arial"/>
                <w:bCs w:val="0"/>
                <w:szCs w:val="20"/>
              </w:rPr>
            </w:pPr>
            <w:r w:rsidRPr="00CD3A8C">
              <w:t>Financial Supervisory Authority</w:t>
            </w:r>
            <w:r w:rsidR="004F4E42">
              <w:t>, Iceland</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6CD283AE" w14:textId="77777777" w:rsidR="002B5CF2" w:rsidRPr="00180E1B" w:rsidRDefault="00161019"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12943C" w14:textId="77777777" w:rsidR="002B5CF2" w:rsidRPr="004F0182" w:rsidRDefault="00161019" w:rsidP="00C74BA5">
            <w:r w:rsidRPr="00E1293A">
              <w:rPr>
                <w:rFonts w:eastAsia="Times New Roman" w:cstheme="minorHAnsi"/>
                <w:bCs/>
                <w:color w:val="000000"/>
                <w:sz w:val="20"/>
                <w:szCs w:val="22"/>
                <w:lang w:val="en-GB" w:eastAsia="en-GB"/>
              </w:rPr>
              <w:t>By</w:t>
            </w:r>
            <w:r w:rsidR="00E1293A">
              <w:rPr>
                <w:rFonts w:eastAsia="Times New Roman" w:cstheme="minorHAnsi"/>
                <w:bCs/>
                <w:color w:val="000000"/>
                <w:sz w:val="20"/>
                <w:szCs w:val="22"/>
                <w:lang w:val="en-GB" w:eastAsia="en-GB"/>
              </w:rPr>
              <w:t xml:space="preserve"> </w:t>
            </w:r>
            <w:r w:rsidRPr="005547FA">
              <w:rPr>
                <w:rFonts w:eastAsia="Times New Roman" w:cstheme="minorHAnsi"/>
                <w:bCs/>
                <w:color w:val="000000"/>
                <w:sz w:val="20"/>
                <w:szCs w:val="22"/>
                <w:lang w:val="en-GB" w:eastAsia="en-GB"/>
              </w:rPr>
              <w:t xml:space="preserve">such time as the necessary legislative or regulatory proceedings </w:t>
            </w:r>
            <w:proofErr w:type="gramStart"/>
            <w:r w:rsidRPr="005547FA">
              <w:rPr>
                <w:rFonts w:eastAsia="Times New Roman" w:cstheme="minorHAnsi"/>
                <w:bCs/>
                <w:color w:val="000000"/>
                <w:sz w:val="20"/>
                <w:szCs w:val="22"/>
                <w:lang w:val="en-GB" w:eastAsia="en-GB"/>
              </w:rPr>
              <w:t>have been completed</w:t>
            </w:r>
            <w:proofErr w:type="gramEnd"/>
            <w:r w:rsidR="00C74BA5">
              <w:rPr>
                <w:rFonts w:eastAsia="Times New Roman" w:cstheme="minorHAnsi"/>
                <w:bCs/>
                <w:color w:val="000000"/>
                <w:sz w:val="20"/>
                <w:szCs w:val="22"/>
                <w:lang w:val="en-GB" w:eastAsia="en-GB"/>
              </w:rPr>
              <w:t xml:space="preserve"> at a national level</w:t>
            </w:r>
            <w:r w:rsidRPr="005547FA">
              <w:rPr>
                <w:rFonts w:eastAsia="Times New Roman" w:cstheme="minorHAnsi"/>
                <w:bCs/>
                <w:color w:val="000000"/>
                <w:sz w:val="20"/>
                <w:szCs w:val="22"/>
                <w:lang w:val="en-GB" w:eastAsia="en-GB"/>
              </w:rPr>
              <w:t>.</w:t>
            </w:r>
          </w:p>
        </w:tc>
      </w:tr>
      <w:tr w:rsidR="00516A25" w:rsidRPr="008B5776" w14:paraId="1D03AD05" w14:textId="77777777" w:rsidTr="00CC43DC">
        <w:tc>
          <w:tcPr>
            <w:tcW w:w="675" w:type="dxa"/>
            <w:tcBorders>
              <w:top w:val="single" w:sz="4" w:space="0" w:color="auto"/>
              <w:left w:val="single" w:sz="4" w:space="0" w:color="auto"/>
              <w:bottom w:val="single" w:sz="4" w:space="0" w:color="auto"/>
              <w:right w:val="single" w:sz="4" w:space="0" w:color="auto"/>
            </w:tcBorders>
          </w:tcPr>
          <w:p w14:paraId="1CFB0C56" w14:textId="77777777" w:rsidR="00516A25" w:rsidRDefault="00F1261A" w:rsidP="003A6C1E">
            <w:pPr>
              <w:pStyle w:val="Tabledata"/>
              <w:jc w:val="center"/>
              <w:rPr>
                <w:szCs w:val="20"/>
              </w:rPr>
            </w:pPr>
            <w:r w:rsidRPr="00CD3A8C">
              <w:t>LI</w:t>
            </w:r>
          </w:p>
        </w:tc>
        <w:tc>
          <w:tcPr>
            <w:tcW w:w="1560" w:type="dxa"/>
            <w:gridSpan w:val="2"/>
            <w:tcBorders>
              <w:top w:val="single" w:sz="4" w:space="0" w:color="auto"/>
              <w:left w:val="single" w:sz="4" w:space="0" w:color="auto"/>
              <w:bottom w:val="single" w:sz="4" w:space="0" w:color="auto"/>
              <w:right w:val="single" w:sz="4" w:space="0" w:color="auto"/>
            </w:tcBorders>
          </w:tcPr>
          <w:p w14:paraId="66150D8A" w14:textId="77777777" w:rsidR="00516A25" w:rsidRPr="00A64B3F" w:rsidRDefault="00F1261A" w:rsidP="003A6C1E">
            <w:pPr>
              <w:pStyle w:val="Tabledata"/>
              <w:jc w:val="center"/>
              <w:rPr>
                <w:szCs w:val="20"/>
              </w:rPr>
            </w:pPr>
            <w:r w:rsidRPr="00CD3A8C">
              <w:t>Liechtenstein</w:t>
            </w:r>
          </w:p>
        </w:tc>
        <w:tc>
          <w:tcPr>
            <w:tcW w:w="2126" w:type="dxa"/>
            <w:tcBorders>
              <w:top w:val="single" w:sz="4" w:space="0" w:color="auto"/>
              <w:left w:val="single" w:sz="4" w:space="0" w:color="auto"/>
              <w:bottom w:val="single" w:sz="4" w:space="0" w:color="auto"/>
              <w:right w:val="single" w:sz="4" w:space="0" w:color="auto"/>
            </w:tcBorders>
          </w:tcPr>
          <w:p w14:paraId="50B56037" w14:textId="77777777" w:rsidR="00516A25" w:rsidRPr="00DD00A2" w:rsidRDefault="00F1261A" w:rsidP="006B3595">
            <w:pPr>
              <w:pStyle w:val="Tabledata"/>
              <w:jc w:val="left"/>
              <w:rPr>
                <w:szCs w:val="20"/>
              </w:rPr>
            </w:pPr>
            <w:r w:rsidRPr="00CD3A8C">
              <w:t>Financial Market Authority</w:t>
            </w:r>
            <w:r w:rsidR="003A5A67">
              <w:t xml:space="preserve"> Liechtenstein (FMA</w:t>
            </w:r>
            <w:r w:rsidRPr="00CD3A8C">
              <w:t>)</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9390C33" w14:textId="77777777" w:rsidR="00516A25" w:rsidRPr="00180E1B" w:rsidRDefault="00CC43DC" w:rsidP="006B3595">
            <w:pPr>
              <w:pStyle w:val="Tabledata"/>
              <w:ind w:left="284"/>
              <w:jc w:val="left"/>
              <w:rPr>
                <w:b/>
                <w:szCs w:val="20"/>
              </w:rPr>
            </w:pPr>
            <w:r>
              <w:rPr>
                <w:b/>
                <w:szCs w:val="20"/>
              </w:rPr>
              <w:t>Intend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95E1C8" w14:textId="53B72B6D" w:rsidR="00516A25" w:rsidRPr="002A1448" w:rsidRDefault="00C74BA5" w:rsidP="00C74BA5">
            <w:r w:rsidRPr="00E1293A">
              <w:rPr>
                <w:rFonts w:eastAsia="Times New Roman" w:cstheme="minorHAnsi"/>
                <w:bCs/>
                <w:color w:val="000000"/>
                <w:sz w:val="20"/>
                <w:szCs w:val="22"/>
                <w:lang w:val="en-GB" w:eastAsia="en-GB"/>
              </w:rPr>
              <w:t>By</w:t>
            </w:r>
            <w:r>
              <w:rPr>
                <w:rFonts w:eastAsia="Times New Roman" w:cstheme="minorHAnsi"/>
                <w:bCs/>
                <w:color w:val="000000"/>
                <w:sz w:val="20"/>
                <w:szCs w:val="22"/>
                <w:lang w:val="en-GB" w:eastAsia="en-GB"/>
              </w:rPr>
              <w:t xml:space="preserve"> </w:t>
            </w:r>
            <w:r w:rsidRPr="005547FA">
              <w:rPr>
                <w:rFonts w:eastAsia="Times New Roman" w:cstheme="minorHAnsi"/>
                <w:bCs/>
                <w:color w:val="000000"/>
                <w:sz w:val="20"/>
                <w:szCs w:val="22"/>
                <w:lang w:val="en-GB" w:eastAsia="en-GB"/>
              </w:rPr>
              <w:t xml:space="preserve">such time as the necessary legislative or regulatory proceedings </w:t>
            </w:r>
            <w:r>
              <w:rPr>
                <w:rFonts w:eastAsia="Times New Roman" w:cstheme="minorHAnsi"/>
                <w:bCs/>
                <w:color w:val="000000"/>
                <w:sz w:val="20"/>
                <w:szCs w:val="22"/>
                <w:lang w:val="en-GB" w:eastAsia="en-GB"/>
              </w:rPr>
              <w:t xml:space="preserve">at a national level </w:t>
            </w:r>
            <w:proofErr w:type="gramStart"/>
            <w:r w:rsidRPr="005547FA">
              <w:rPr>
                <w:rFonts w:eastAsia="Times New Roman" w:cstheme="minorHAnsi"/>
                <w:bCs/>
                <w:color w:val="000000"/>
                <w:sz w:val="20"/>
                <w:szCs w:val="22"/>
                <w:lang w:val="en-GB" w:eastAsia="en-GB"/>
              </w:rPr>
              <w:t>have been completed</w:t>
            </w:r>
            <w:proofErr w:type="gramEnd"/>
            <w:r>
              <w:rPr>
                <w:rFonts w:eastAsia="Times New Roman" w:cstheme="minorHAnsi"/>
                <w:bCs/>
                <w:color w:val="000000"/>
                <w:sz w:val="20"/>
                <w:szCs w:val="22"/>
                <w:lang w:val="en-GB" w:eastAsia="en-GB"/>
              </w:rPr>
              <w:t>, which are currently expected to be</w:t>
            </w:r>
            <w:r w:rsidR="00CC43DC" w:rsidRPr="005547FA">
              <w:rPr>
                <w:rFonts w:eastAsia="Times New Roman" w:cstheme="minorHAnsi"/>
                <w:bCs/>
                <w:color w:val="000000"/>
                <w:sz w:val="20"/>
                <w:szCs w:val="22"/>
                <w:lang w:val="en-GB" w:eastAsia="en-GB"/>
              </w:rPr>
              <w:t xml:space="preserve"> in autumn 2018.</w:t>
            </w:r>
          </w:p>
        </w:tc>
      </w:tr>
      <w:tr w:rsidR="00516A25" w:rsidRPr="008B5776" w14:paraId="6086B3B5" w14:textId="77777777" w:rsidTr="005547FA">
        <w:tc>
          <w:tcPr>
            <w:tcW w:w="675" w:type="dxa"/>
            <w:tcBorders>
              <w:top w:val="single" w:sz="4" w:space="0" w:color="auto"/>
              <w:left w:val="single" w:sz="4" w:space="0" w:color="auto"/>
              <w:bottom w:val="single" w:sz="4" w:space="0" w:color="auto"/>
              <w:right w:val="single" w:sz="4" w:space="0" w:color="auto"/>
            </w:tcBorders>
          </w:tcPr>
          <w:p w14:paraId="311159EE" w14:textId="77777777" w:rsidR="00516A25" w:rsidRDefault="00F1261A" w:rsidP="003A6C1E">
            <w:pPr>
              <w:pStyle w:val="Tabledata"/>
              <w:jc w:val="center"/>
              <w:rPr>
                <w:szCs w:val="20"/>
              </w:rPr>
            </w:pPr>
            <w:r w:rsidRPr="00CD3A8C">
              <w:t>NO</w:t>
            </w:r>
          </w:p>
        </w:tc>
        <w:tc>
          <w:tcPr>
            <w:tcW w:w="1560" w:type="dxa"/>
            <w:gridSpan w:val="2"/>
            <w:tcBorders>
              <w:top w:val="single" w:sz="4" w:space="0" w:color="auto"/>
              <w:left w:val="single" w:sz="4" w:space="0" w:color="auto"/>
              <w:bottom w:val="single" w:sz="4" w:space="0" w:color="auto"/>
              <w:right w:val="single" w:sz="4" w:space="0" w:color="auto"/>
            </w:tcBorders>
          </w:tcPr>
          <w:p w14:paraId="01B3D362" w14:textId="77777777" w:rsidR="00516A25" w:rsidRPr="00A64B3F" w:rsidRDefault="00F1261A" w:rsidP="003A6C1E">
            <w:pPr>
              <w:pStyle w:val="Tabledata"/>
              <w:jc w:val="center"/>
              <w:rPr>
                <w:szCs w:val="20"/>
              </w:rPr>
            </w:pPr>
            <w:r w:rsidRPr="00CD3A8C">
              <w:t>Norway</w:t>
            </w:r>
          </w:p>
        </w:tc>
        <w:tc>
          <w:tcPr>
            <w:tcW w:w="2126" w:type="dxa"/>
            <w:tcBorders>
              <w:top w:val="single" w:sz="4" w:space="0" w:color="auto"/>
              <w:left w:val="single" w:sz="4" w:space="0" w:color="auto"/>
              <w:bottom w:val="single" w:sz="4" w:space="0" w:color="auto"/>
              <w:right w:val="single" w:sz="4" w:space="0" w:color="auto"/>
            </w:tcBorders>
          </w:tcPr>
          <w:p w14:paraId="6AC11ADC" w14:textId="2FFE6F9F" w:rsidR="00516A25" w:rsidRPr="00DD00A2" w:rsidRDefault="008601C5" w:rsidP="009C501A">
            <w:pPr>
              <w:pStyle w:val="Tabledata"/>
              <w:jc w:val="left"/>
              <w:rPr>
                <w:szCs w:val="20"/>
              </w:rPr>
            </w:pPr>
            <w:r>
              <w:t xml:space="preserve">The </w:t>
            </w:r>
            <w:r w:rsidR="00B846A8">
              <w:t>Financial</w:t>
            </w:r>
            <w:r>
              <w:t xml:space="preserve"> Supervisory Authority of Norway</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0D3055F9" w14:textId="77777777" w:rsidR="00516A25" w:rsidRPr="00180E1B" w:rsidRDefault="008601C5" w:rsidP="006B3595">
            <w:pPr>
              <w:pStyle w:val="Tabledata"/>
              <w:ind w:left="284"/>
              <w:jc w:val="left"/>
              <w:rPr>
                <w:b/>
                <w:szCs w:val="20"/>
              </w:rPr>
            </w:pPr>
            <w:r>
              <w:rPr>
                <w:b/>
                <w:szCs w:val="20"/>
              </w:rPr>
              <w:t>Intends to comply**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5EF917" w14:textId="20B9BAC3" w:rsidR="00516A25" w:rsidRPr="00576974" w:rsidRDefault="008601C5" w:rsidP="00C74BA5">
            <w:r w:rsidRPr="005547FA">
              <w:rPr>
                <w:rFonts w:eastAsia="Times New Roman" w:cstheme="minorHAnsi"/>
                <w:bCs/>
                <w:color w:val="000000"/>
                <w:sz w:val="20"/>
                <w:szCs w:val="22"/>
                <w:lang w:val="en-GB" w:eastAsia="en-GB"/>
              </w:rPr>
              <w:t xml:space="preserve">Such time as the necessary legislative or regulatory proceedings </w:t>
            </w:r>
            <w:proofErr w:type="gramStart"/>
            <w:r w:rsidRPr="005547FA">
              <w:rPr>
                <w:rFonts w:eastAsia="Times New Roman" w:cstheme="minorHAnsi"/>
                <w:bCs/>
                <w:color w:val="000000"/>
                <w:sz w:val="20"/>
                <w:szCs w:val="22"/>
                <w:lang w:val="en-GB" w:eastAsia="en-GB"/>
              </w:rPr>
              <w:t>have been completed</w:t>
            </w:r>
            <w:proofErr w:type="gramEnd"/>
            <w:r w:rsidR="00C74BA5">
              <w:rPr>
                <w:rFonts w:eastAsia="Times New Roman" w:cstheme="minorHAnsi"/>
                <w:bCs/>
                <w:color w:val="000000"/>
                <w:sz w:val="20"/>
                <w:szCs w:val="22"/>
                <w:lang w:val="en-GB" w:eastAsia="en-GB"/>
              </w:rPr>
              <w:t xml:space="preserve"> at a national level</w:t>
            </w:r>
            <w:r w:rsidRPr="005547FA">
              <w:rPr>
                <w:rFonts w:eastAsia="Times New Roman" w:cstheme="minorHAnsi"/>
                <w:bCs/>
                <w:color w:val="000000"/>
                <w:sz w:val="20"/>
                <w:szCs w:val="22"/>
                <w:lang w:val="en-GB" w:eastAsia="en-GB"/>
              </w:rPr>
              <w:t xml:space="preserve">. </w:t>
            </w:r>
            <w:r w:rsidR="00C74BA5" w:rsidRPr="00E1293A">
              <w:rPr>
                <w:rFonts w:eastAsia="Times New Roman" w:cstheme="minorHAnsi"/>
                <w:bCs/>
                <w:color w:val="000000"/>
                <w:sz w:val="20"/>
                <w:szCs w:val="22"/>
                <w:lang w:val="en-GB" w:eastAsia="en-GB"/>
              </w:rPr>
              <w:t>By</w:t>
            </w:r>
            <w:r w:rsidR="00C74BA5">
              <w:rPr>
                <w:rFonts w:eastAsia="Times New Roman" w:cstheme="minorHAnsi"/>
                <w:bCs/>
                <w:color w:val="000000"/>
                <w:sz w:val="20"/>
                <w:szCs w:val="22"/>
                <w:lang w:val="en-GB" w:eastAsia="en-GB"/>
              </w:rPr>
              <w:t xml:space="preserve"> </w:t>
            </w:r>
            <w:r w:rsidR="00C74BA5" w:rsidRPr="005547FA">
              <w:rPr>
                <w:rFonts w:eastAsia="Times New Roman" w:cstheme="minorHAnsi"/>
                <w:bCs/>
                <w:color w:val="000000"/>
                <w:sz w:val="20"/>
                <w:szCs w:val="22"/>
                <w:lang w:val="en-GB" w:eastAsia="en-GB"/>
              </w:rPr>
              <w:t xml:space="preserve">such time as the necessary legislative or regulatory proceedings </w:t>
            </w:r>
            <w:r w:rsidR="00C74BA5">
              <w:rPr>
                <w:rFonts w:eastAsia="Times New Roman" w:cstheme="minorHAnsi"/>
                <w:bCs/>
                <w:color w:val="000000"/>
                <w:sz w:val="20"/>
                <w:szCs w:val="22"/>
                <w:lang w:val="en-GB" w:eastAsia="en-GB"/>
              </w:rPr>
              <w:t xml:space="preserve">at a national level </w:t>
            </w:r>
            <w:proofErr w:type="gramStart"/>
            <w:r w:rsidR="00C74BA5" w:rsidRPr="005547FA">
              <w:rPr>
                <w:rFonts w:eastAsia="Times New Roman" w:cstheme="minorHAnsi"/>
                <w:bCs/>
                <w:color w:val="000000"/>
                <w:sz w:val="20"/>
                <w:szCs w:val="22"/>
                <w:lang w:val="en-GB" w:eastAsia="en-GB"/>
              </w:rPr>
              <w:t>have been completed</w:t>
            </w:r>
            <w:proofErr w:type="gramEnd"/>
            <w:r w:rsidR="00C74BA5">
              <w:rPr>
                <w:rFonts w:eastAsia="Times New Roman" w:cstheme="minorHAnsi"/>
                <w:bCs/>
                <w:color w:val="000000"/>
                <w:sz w:val="20"/>
                <w:szCs w:val="22"/>
                <w:lang w:val="en-GB" w:eastAsia="en-GB"/>
              </w:rPr>
              <w:t xml:space="preserve">, which are currently expected to be at the </w:t>
            </w:r>
            <w:r w:rsidRPr="005547FA">
              <w:rPr>
                <w:rFonts w:eastAsia="Times New Roman" w:cstheme="minorHAnsi"/>
                <w:bCs/>
                <w:color w:val="000000"/>
                <w:sz w:val="20"/>
                <w:szCs w:val="22"/>
                <w:lang w:val="en-GB" w:eastAsia="en-GB"/>
              </w:rPr>
              <w:t xml:space="preserve">earliest </w:t>
            </w:r>
            <w:r w:rsidR="00C74BA5">
              <w:rPr>
                <w:rFonts w:eastAsia="Times New Roman" w:cstheme="minorHAnsi"/>
                <w:bCs/>
                <w:color w:val="000000"/>
                <w:sz w:val="20"/>
                <w:szCs w:val="22"/>
                <w:lang w:val="en-GB" w:eastAsia="en-GB"/>
              </w:rPr>
              <w:t xml:space="preserve">in </w:t>
            </w:r>
            <w:r w:rsidRPr="005547FA">
              <w:rPr>
                <w:rFonts w:eastAsia="Times New Roman" w:cstheme="minorHAnsi"/>
                <w:bCs/>
                <w:color w:val="000000"/>
                <w:sz w:val="20"/>
                <w:szCs w:val="22"/>
                <w:lang w:val="en-GB" w:eastAsia="en-GB"/>
              </w:rPr>
              <w:t>spring 2018.</w:t>
            </w:r>
            <w:r>
              <w:t xml:space="preserve"> </w:t>
            </w:r>
          </w:p>
        </w:tc>
      </w:tr>
      <w:tr w:rsidR="002B5CF2" w:rsidRPr="006D2ED5" w14:paraId="310FB2D0" w14:textId="77777777" w:rsidTr="002B0B93">
        <w:tc>
          <w:tcPr>
            <w:tcW w:w="8897" w:type="dxa"/>
            <w:gridSpan w:val="6"/>
            <w:tcBorders>
              <w:top w:val="single" w:sz="4" w:space="0" w:color="auto"/>
              <w:bottom w:val="single" w:sz="4" w:space="0" w:color="auto"/>
            </w:tcBorders>
            <w:vAlign w:val="top"/>
          </w:tcPr>
          <w:p w14:paraId="2AA9041E" w14:textId="77777777" w:rsidR="002B5CF2" w:rsidRPr="006D2ED5" w:rsidRDefault="002B5CF2" w:rsidP="006B3595">
            <w:pPr>
              <w:pStyle w:val="Tabledata"/>
              <w:jc w:val="left"/>
              <w:rPr>
                <w:szCs w:val="20"/>
              </w:rPr>
            </w:pPr>
            <w:r>
              <w:rPr>
                <w:rStyle w:val="Highlighttext"/>
                <w:sz w:val="20"/>
                <w:szCs w:val="20"/>
              </w:rPr>
              <w:t>European Territories under Article 355(3) TFEU</w:t>
            </w:r>
          </w:p>
        </w:tc>
      </w:tr>
      <w:tr w:rsidR="00F1261A" w:rsidRPr="008B5776" w14:paraId="4969B50B" w14:textId="77777777" w:rsidTr="00D73169">
        <w:tc>
          <w:tcPr>
            <w:tcW w:w="675" w:type="dxa"/>
            <w:tcBorders>
              <w:top w:val="single" w:sz="4" w:space="0" w:color="auto"/>
              <w:left w:val="single" w:sz="4" w:space="0" w:color="auto"/>
              <w:bottom w:val="single" w:sz="4" w:space="0" w:color="auto"/>
              <w:right w:val="single" w:sz="4" w:space="0" w:color="auto"/>
            </w:tcBorders>
          </w:tcPr>
          <w:p w14:paraId="424BAD14" w14:textId="77777777" w:rsidR="00F1261A" w:rsidRPr="00A64B3F" w:rsidRDefault="00F1261A" w:rsidP="003A6C1E">
            <w:pPr>
              <w:pStyle w:val="Tabledata"/>
              <w:jc w:val="center"/>
              <w:rPr>
                <w:szCs w:val="20"/>
              </w:rPr>
            </w:pPr>
            <w:r>
              <w:rPr>
                <w:szCs w:val="20"/>
              </w:rPr>
              <w:t xml:space="preserve">UK </w:t>
            </w:r>
          </w:p>
        </w:tc>
        <w:tc>
          <w:tcPr>
            <w:tcW w:w="1560" w:type="dxa"/>
            <w:gridSpan w:val="2"/>
            <w:tcBorders>
              <w:top w:val="single" w:sz="4" w:space="0" w:color="auto"/>
              <w:left w:val="single" w:sz="4" w:space="0" w:color="auto"/>
              <w:bottom w:val="single" w:sz="4" w:space="0" w:color="auto"/>
              <w:right w:val="single" w:sz="4" w:space="0" w:color="auto"/>
            </w:tcBorders>
          </w:tcPr>
          <w:p w14:paraId="6C3BB819" w14:textId="77777777" w:rsidR="00F1261A" w:rsidRPr="00A64B3F" w:rsidRDefault="00F1261A" w:rsidP="003A6C1E">
            <w:pPr>
              <w:pStyle w:val="Tabledata"/>
              <w:jc w:val="center"/>
              <w:rPr>
                <w:szCs w:val="20"/>
              </w:rPr>
            </w:pPr>
            <w:r>
              <w:rPr>
                <w:szCs w:val="20"/>
              </w:rPr>
              <w:t>United Kingdom</w:t>
            </w:r>
          </w:p>
        </w:tc>
        <w:tc>
          <w:tcPr>
            <w:tcW w:w="2126" w:type="dxa"/>
            <w:tcBorders>
              <w:top w:val="single" w:sz="4" w:space="0" w:color="auto"/>
              <w:left w:val="single" w:sz="4" w:space="0" w:color="auto"/>
              <w:bottom w:val="single" w:sz="4" w:space="0" w:color="auto"/>
              <w:right w:val="single" w:sz="4" w:space="0" w:color="auto"/>
            </w:tcBorders>
          </w:tcPr>
          <w:p w14:paraId="4A127D22" w14:textId="77777777" w:rsidR="00F1261A" w:rsidRPr="00A64B3F" w:rsidRDefault="00D02599" w:rsidP="00D02599">
            <w:pPr>
              <w:pStyle w:val="Tabledata"/>
              <w:jc w:val="left"/>
              <w:rPr>
                <w:rFonts w:cs="Arial"/>
                <w:bCs w:val="0"/>
                <w:szCs w:val="20"/>
              </w:rPr>
            </w:pPr>
            <w:r>
              <w:rPr>
                <w:szCs w:val="20"/>
              </w:rPr>
              <w:t>Gibraltar Financial Services Commission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576A7A" w14:textId="77777777" w:rsidR="00F1261A" w:rsidRPr="00180E1B" w:rsidRDefault="00A262B3" w:rsidP="006B3595">
            <w:pPr>
              <w:pStyle w:val="Tabledata"/>
              <w:ind w:left="284"/>
              <w:jc w:val="left"/>
              <w:rPr>
                <w:b/>
                <w:szCs w:val="20"/>
              </w:rPr>
            </w:pPr>
            <w:r>
              <w:rPr>
                <w:b/>
                <w:szCs w:val="20"/>
              </w:rPr>
              <w:t>No response</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9C9E17" w14:textId="77777777" w:rsidR="00F1261A" w:rsidRPr="00180E1B" w:rsidRDefault="00A262B3" w:rsidP="00A21AB8">
            <w:pPr>
              <w:suppressAutoHyphens/>
              <w:rPr>
                <w:szCs w:val="20"/>
              </w:rPr>
            </w:pPr>
            <w:r w:rsidRPr="00E1293A">
              <w:rPr>
                <w:rFonts w:eastAsia="Times New Roman" w:cstheme="minorHAnsi"/>
                <w:bCs/>
                <w:color w:val="000000"/>
                <w:sz w:val="20"/>
                <w:szCs w:val="22"/>
                <w:lang w:val="en-GB" w:eastAsia="en-GB"/>
              </w:rPr>
              <w:t xml:space="preserve">No notification of compliance </w:t>
            </w:r>
            <w:proofErr w:type="gramStart"/>
            <w:r w:rsidRPr="00E1293A">
              <w:rPr>
                <w:rFonts w:eastAsia="Times New Roman" w:cstheme="minorHAnsi"/>
                <w:bCs/>
                <w:color w:val="000000"/>
                <w:sz w:val="20"/>
                <w:szCs w:val="22"/>
                <w:lang w:val="en-GB" w:eastAsia="en-GB"/>
              </w:rPr>
              <w:t>was received</w:t>
            </w:r>
            <w:proofErr w:type="gramEnd"/>
            <w:r w:rsidRPr="00E1293A">
              <w:rPr>
                <w:rFonts w:eastAsia="Times New Roman" w:cstheme="minorHAnsi"/>
                <w:bCs/>
                <w:color w:val="000000"/>
                <w:sz w:val="20"/>
                <w:szCs w:val="22"/>
                <w:lang w:val="en-GB" w:eastAsia="en-GB"/>
              </w:rPr>
              <w:t xml:space="preserve"> by the EBA within the two-month time limit.</w:t>
            </w:r>
          </w:p>
        </w:tc>
      </w:tr>
    </w:tbl>
    <w:p w14:paraId="775334EB" w14:textId="77777777" w:rsidR="002B5CF2" w:rsidRPr="00CD3A8C" w:rsidRDefault="002B5CF2" w:rsidP="002B5CF2">
      <w:pPr>
        <w:rPr>
          <w:lang w:val="en-GB"/>
        </w:rPr>
      </w:pPr>
    </w:p>
    <w:p w14:paraId="4E2217FA" w14:textId="77777777" w:rsidR="002B5CF2" w:rsidRDefault="002B5CF2" w:rsidP="002B5CF2">
      <w:pPr>
        <w:pStyle w:val="body"/>
        <w:jc w:val="left"/>
      </w:pPr>
      <w:r>
        <w:t>*</w:t>
      </w:r>
      <w:r w:rsidRPr="002F69BB">
        <w:t xml:space="preserve">The EEA States other than the Member States of the European Union are not currently required to </w:t>
      </w:r>
      <w:r>
        <w:t>notify</w:t>
      </w:r>
      <w:r w:rsidRPr="002F69BB">
        <w:t xml:space="preserve"> their compliance with </w:t>
      </w:r>
      <w:r>
        <w:t>the EBA’s Guideline</w:t>
      </w:r>
      <w:r w:rsidRPr="002F69BB">
        <w:t xml:space="preserve">s. This table </w:t>
      </w:r>
      <w:proofErr w:type="gramStart"/>
      <w:r w:rsidRPr="002F69BB">
        <w:t>is based</w:t>
      </w:r>
      <w:proofErr w:type="gramEnd"/>
      <w:r w:rsidRPr="002F69BB">
        <w:t xml:space="preserve"> on information provided from those EEA States on a voluntary basis</w:t>
      </w:r>
      <w:r>
        <w:t>.</w:t>
      </w:r>
    </w:p>
    <w:p w14:paraId="0CFEAE5C" w14:textId="77777777" w:rsidR="002B5CF2" w:rsidRPr="00390148" w:rsidRDefault="002B5CF2" w:rsidP="002B5CF2">
      <w:pPr>
        <w:pStyle w:val="body"/>
        <w:jc w:val="left"/>
      </w:pPr>
      <w:proofErr w:type="gramStart"/>
      <w:r w:rsidRPr="00390148">
        <w:t xml:space="preserve">** Please note that, in the interest of transparency, if a competent authority continues to intend to comply after the application date, it will be considered “non-compliant” unless (A) the </w:t>
      </w:r>
      <w:r>
        <w:t>Guideline</w:t>
      </w:r>
      <w:r w:rsidRPr="00390148">
        <w:t xml:space="preserve">s relate to </w:t>
      </w:r>
      <w:r>
        <w:t xml:space="preserve">a type of institution or </w:t>
      </w:r>
      <w:r w:rsidRPr="00390148">
        <w:t xml:space="preserve">instruments which do not currently exist in the jurisdiction </w:t>
      </w:r>
      <w:r w:rsidRPr="006D2ED5">
        <w:t>concerned</w:t>
      </w:r>
      <w:r w:rsidRPr="00390148">
        <w:t xml:space="preserve">; or (B) legislative or regulatory proceedings have been initiated to bring any national measures necessary to comply with the </w:t>
      </w:r>
      <w:r>
        <w:t>Guideline</w:t>
      </w:r>
      <w:r w:rsidRPr="00390148">
        <w:t>s in force in the jurisdiction concerned.</w:t>
      </w:r>
      <w:proofErr w:type="gramEnd"/>
    </w:p>
    <w:p w14:paraId="2173BF6A" w14:textId="77777777" w:rsidR="002B5CF2" w:rsidRPr="00CD3A8C" w:rsidRDefault="002B5CF2" w:rsidP="002B5CF2">
      <w:pPr>
        <w:pStyle w:val="Titlelevel3"/>
        <w:rPr>
          <w:lang w:val="en-GB"/>
        </w:rPr>
      </w:pPr>
      <w:r w:rsidRPr="00CD3A8C">
        <w:rPr>
          <w:lang w:val="en-GB"/>
        </w:rPr>
        <w:t>Notes</w:t>
      </w:r>
    </w:p>
    <w:p w14:paraId="7082FDA0" w14:textId="77777777" w:rsidR="002B5CF2" w:rsidRPr="00CD3A8C" w:rsidRDefault="002B5CF2" w:rsidP="002B5CF2">
      <w:pPr>
        <w:pStyle w:val="body"/>
        <w:jc w:val="left"/>
        <w:rPr>
          <w:lang w:val="en-GB"/>
        </w:rPr>
      </w:pPr>
      <w:r w:rsidRPr="00CD3A8C">
        <w:rPr>
          <w:lang w:val="en-GB"/>
        </w:rPr>
        <w:t xml:space="preserve">Article 16(3) of the </w:t>
      </w:r>
      <w:r>
        <w:rPr>
          <w:lang w:val="en-GB"/>
        </w:rPr>
        <w:t xml:space="preserve">EBA’s </w:t>
      </w:r>
      <w:r w:rsidRPr="00CD3A8C">
        <w:rPr>
          <w:lang w:val="en-GB"/>
        </w:rPr>
        <w:t>Regulation</w:t>
      </w:r>
      <w:r>
        <w:rPr>
          <w:lang w:val="en-GB"/>
        </w:rPr>
        <w:t>s</w:t>
      </w:r>
      <w:r w:rsidRPr="00CD3A8C">
        <w:rPr>
          <w:lang w:val="en-GB"/>
        </w:rPr>
        <w:t xml:space="preserve"> require</w:t>
      </w:r>
      <w:r>
        <w:rPr>
          <w:lang w:val="en-GB"/>
        </w:rPr>
        <w:t>s</w:t>
      </w:r>
      <w:r w:rsidRPr="00CD3A8C">
        <w:rPr>
          <w:lang w:val="en-GB"/>
        </w:rPr>
        <w:t xml:space="preserve"> national competent authorities to inform us whether they comply or intend to comply with each </w:t>
      </w:r>
      <w:r>
        <w:rPr>
          <w:lang w:val="en-GB"/>
        </w:rPr>
        <w:t>Guideline</w:t>
      </w:r>
      <w:r w:rsidRPr="00CD3A8C">
        <w:rPr>
          <w:lang w:val="en-GB"/>
        </w:rPr>
        <w:t xml:space="preserve"> or recommendation we issue. If a competent authority does not comply or does not intend to comply it must inform us of the reasons. We decide on a </w:t>
      </w:r>
      <w:proofErr w:type="gramStart"/>
      <w:r w:rsidRPr="00CD3A8C">
        <w:rPr>
          <w:lang w:val="en-GB"/>
        </w:rPr>
        <w:t>case by case</w:t>
      </w:r>
      <w:proofErr w:type="gramEnd"/>
      <w:r w:rsidRPr="00CD3A8C">
        <w:rPr>
          <w:lang w:val="en-GB"/>
        </w:rPr>
        <w:t xml:space="preserve"> basis whether to publish reasons.</w:t>
      </w:r>
    </w:p>
    <w:p w14:paraId="6C48E533" w14:textId="77777777" w:rsidR="002B5CF2" w:rsidRPr="00CD3A8C" w:rsidRDefault="002B5CF2" w:rsidP="002B5CF2">
      <w:pPr>
        <w:pStyle w:val="body"/>
        <w:jc w:val="left"/>
        <w:rPr>
          <w:lang w:val="en-GB"/>
        </w:rPr>
      </w:pPr>
      <w:r>
        <w:rPr>
          <w:lang w:val="en-GB"/>
        </w:rPr>
        <w:lastRenderedPageBreak/>
        <w:t>The EBA</w:t>
      </w:r>
      <w:r w:rsidRPr="00CD3A8C">
        <w:rPr>
          <w:lang w:val="en-GB"/>
        </w:rPr>
        <w:t xml:space="preserve"> endeavour to ensure the accuracy of this document, however, the information </w:t>
      </w:r>
      <w:proofErr w:type="gramStart"/>
      <w:r w:rsidRPr="00CD3A8C">
        <w:rPr>
          <w:lang w:val="en-GB"/>
        </w:rPr>
        <w:t>is provided</w:t>
      </w:r>
      <w:proofErr w:type="gramEnd"/>
      <w:r w:rsidRPr="00CD3A8C">
        <w:rPr>
          <w:lang w:val="en-GB"/>
        </w:rPr>
        <w:t xml:space="preserve"> by the competen</w:t>
      </w:r>
      <w:r>
        <w:rPr>
          <w:lang w:val="en-GB"/>
        </w:rPr>
        <w:t>t authorities and, as such, the EBA</w:t>
      </w:r>
      <w:r w:rsidRPr="00CD3A8C">
        <w:rPr>
          <w:lang w:val="en-GB"/>
        </w:rPr>
        <w:t xml:space="preserve"> cannot accept responsibility for its contents or any reliance placed on it. </w:t>
      </w:r>
    </w:p>
    <w:p w14:paraId="438DBBF4" w14:textId="77777777" w:rsidR="002B5CF2" w:rsidRDefault="002B5CF2" w:rsidP="002B5CF2">
      <w:pPr>
        <w:pStyle w:val="body"/>
        <w:jc w:val="left"/>
        <w:rPr>
          <w:lang w:val="en-GB"/>
        </w:rPr>
      </w:pPr>
      <w:r w:rsidRPr="00CD3A8C">
        <w:rPr>
          <w:lang w:val="en-GB"/>
        </w:rPr>
        <w:t xml:space="preserve">For further information on the current position of any competent authority, please contact that competent authority. Contact details </w:t>
      </w:r>
      <w:proofErr w:type="gramStart"/>
      <w:r w:rsidRPr="00CD3A8C">
        <w:rPr>
          <w:lang w:val="en-GB"/>
        </w:rPr>
        <w:t>can be obtained</w:t>
      </w:r>
      <w:proofErr w:type="gramEnd"/>
      <w:r w:rsidRPr="00CD3A8C">
        <w:rPr>
          <w:lang w:val="en-GB"/>
        </w:rPr>
        <w:t xml:space="preserve"> from </w:t>
      </w:r>
      <w:r>
        <w:rPr>
          <w:lang w:val="en-GB"/>
        </w:rPr>
        <w:t>the EBA’s w</w:t>
      </w:r>
      <w:r w:rsidRPr="00CD3A8C">
        <w:rPr>
          <w:lang w:val="en-GB"/>
        </w:rPr>
        <w:t>ebsite</w:t>
      </w:r>
      <w:r>
        <w:rPr>
          <w:lang w:val="en-GB"/>
        </w:rPr>
        <w:t xml:space="preserve"> </w:t>
      </w:r>
      <w:hyperlink r:id="rId10" w:history="1">
        <w:r w:rsidRPr="007446A8">
          <w:rPr>
            <w:rStyle w:val="Hyperlink"/>
            <w:lang w:val="en-GB"/>
          </w:rPr>
          <w:t>www.eba.europa.eu</w:t>
        </w:r>
      </w:hyperlink>
      <w:r>
        <w:rPr>
          <w:lang w:val="en-GB"/>
        </w:rPr>
        <w:t>.</w:t>
      </w:r>
    </w:p>
    <w:p w14:paraId="2F70652B" w14:textId="77777777" w:rsidR="002B5CF2" w:rsidRPr="00A527E1" w:rsidRDefault="002B5CF2" w:rsidP="002B5CF2"/>
    <w:p w14:paraId="05E6012F" w14:textId="77777777" w:rsidR="002B5CF2" w:rsidRPr="00A725D6" w:rsidRDefault="002B5CF2" w:rsidP="002B5CF2">
      <w:pPr>
        <w:rPr>
          <w:lang w:val="en-GB"/>
        </w:rPr>
      </w:pPr>
    </w:p>
    <w:p w14:paraId="63C82464" w14:textId="77777777" w:rsidR="002B5CF2" w:rsidRPr="00A725D6" w:rsidRDefault="002B5CF2" w:rsidP="002B5CF2">
      <w:pPr>
        <w:rPr>
          <w:lang w:val="en-GB"/>
        </w:rPr>
      </w:pPr>
    </w:p>
    <w:p w14:paraId="1028F2A3" w14:textId="77777777" w:rsidR="002B5CF2" w:rsidRPr="00A725D6" w:rsidRDefault="002B5CF2" w:rsidP="002B5CF2">
      <w:pPr>
        <w:rPr>
          <w:lang w:val="en-GB"/>
        </w:rPr>
      </w:pPr>
    </w:p>
    <w:bookmarkEnd w:id="0"/>
    <w:bookmarkEnd w:id="1"/>
    <w:bookmarkEnd w:id="2"/>
    <w:bookmarkEnd w:id="3"/>
    <w:p w14:paraId="0DF116AF" w14:textId="77777777" w:rsidR="00D76E91" w:rsidRPr="002B5CF2" w:rsidRDefault="00D76E91" w:rsidP="002B5CF2"/>
    <w:sectPr w:rsidR="00D76E91" w:rsidRPr="002B5CF2" w:rsidSect="00B55FAB">
      <w:headerReference w:type="even" r:id="rId11"/>
      <w:headerReference w:type="default" r:id="rId12"/>
      <w:footerReference w:type="even" r:id="rId13"/>
      <w:footerReference w:type="default" r:id="rId14"/>
      <w:headerReference w:type="first" r:id="rId15"/>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3F57C" w14:textId="77777777" w:rsidR="000769FE" w:rsidRDefault="000769FE" w:rsidP="00A00E34">
      <w:r>
        <w:separator/>
      </w:r>
    </w:p>
    <w:p w14:paraId="055D4721" w14:textId="77777777" w:rsidR="000769FE" w:rsidRDefault="000769FE"/>
  </w:endnote>
  <w:endnote w:type="continuationSeparator" w:id="0">
    <w:p w14:paraId="1B87F896" w14:textId="77777777" w:rsidR="000769FE" w:rsidRDefault="000769FE" w:rsidP="00A00E34">
      <w:r>
        <w:continuationSeparator/>
      </w:r>
    </w:p>
    <w:p w14:paraId="4A5854BA" w14:textId="77777777" w:rsidR="000769FE" w:rsidRDefault="00076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6479" w14:textId="77777777" w:rsidR="0035477B" w:rsidRDefault="001A5BD4"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end"/>
    </w:r>
  </w:p>
  <w:p w14:paraId="33934575" w14:textId="77777777" w:rsidR="0035477B" w:rsidRDefault="0035477B"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BB23" w14:textId="5DB684E1" w:rsidR="0035477B" w:rsidRDefault="001A5BD4"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separate"/>
    </w:r>
    <w:r w:rsidR="00686453">
      <w:rPr>
        <w:rStyle w:val="PageNumber"/>
        <w:noProof/>
      </w:rPr>
      <w:t>6</w:t>
    </w:r>
    <w:r>
      <w:rPr>
        <w:rStyle w:val="PageNumber"/>
      </w:rPr>
      <w:fldChar w:fldCharType="end"/>
    </w:r>
  </w:p>
  <w:p w14:paraId="7C65EE99" w14:textId="77777777" w:rsidR="0035477B" w:rsidRDefault="006A43C0" w:rsidP="00610305">
    <w:pPr>
      <w:pStyle w:val="Footer"/>
      <w:ind w:right="360"/>
    </w:pPr>
    <w:r>
      <w:rPr>
        <w:noProof/>
        <w:lang w:val="en-GB" w:eastAsia="en-GB"/>
      </w:rPr>
      <mc:AlternateContent>
        <mc:Choice Requires="wps">
          <w:drawing>
            <wp:anchor distT="4294967295" distB="4294967295" distL="114300" distR="114300" simplePos="0" relativeHeight="251669504" behindDoc="1" locked="1" layoutInCell="1" allowOverlap="1" wp14:anchorId="3B46C8F0" wp14:editId="25976D1D">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DB855" id="Straight Connector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F1FA" w14:textId="77777777" w:rsidR="000769FE" w:rsidRPr="00DB5E8F" w:rsidRDefault="000769FE">
      <w:pPr>
        <w:rPr>
          <w:sz w:val="12"/>
          <w:szCs w:val="12"/>
        </w:rPr>
      </w:pPr>
      <w:r w:rsidRPr="00DB5E8F">
        <w:rPr>
          <w:sz w:val="12"/>
          <w:szCs w:val="12"/>
        </w:rPr>
        <w:separator/>
      </w:r>
    </w:p>
  </w:footnote>
  <w:footnote w:type="continuationSeparator" w:id="0">
    <w:p w14:paraId="10B981EA" w14:textId="77777777" w:rsidR="000769FE" w:rsidRDefault="000769FE" w:rsidP="00A00E34">
      <w:r>
        <w:continuationSeparator/>
      </w:r>
    </w:p>
    <w:p w14:paraId="37B9B20B" w14:textId="77777777" w:rsidR="000769FE" w:rsidRDefault="000769FE"/>
  </w:footnote>
  <w:footnote w:type="continuationNotice" w:id="1">
    <w:p w14:paraId="3D1A4D12" w14:textId="77777777" w:rsidR="000769FE" w:rsidRDefault="000769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110E" w14:textId="77777777" w:rsidR="0035477B" w:rsidRDefault="00686453">
    <w:sdt>
      <w:sdtPr>
        <w:id w:val="1051503992"/>
        <w:temporary/>
        <w:showingPlcHdr/>
      </w:sdtPr>
      <w:sdtEndPr/>
      <w:sdtContent>
        <w:r w:rsidR="0035477B">
          <w:t>[Type text]</w:t>
        </w:r>
      </w:sdtContent>
    </w:sdt>
    <w:r w:rsidR="0035477B">
      <w:ptab w:relativeTo="margin" w:alignment="center" w:leader="none"/>
    </w:r>
    <w:sdt>
      <w:sdtPr>
        <w:id w:val="731575129"/>
        <w:temporary/>
        <w:showingPlcHdr/>
      </w:sdtPr>
      <w:sdtEndPr/>
      <w:sdtContent>
        <w:r w:rsidR="0035477B">
          <w:t>[Type text]</w:t>
        </w:r>
      </w:sdtContent>
    </w:sdt>
    <w:r w:rsidR="0035477B">
      <w:ptab w:relativeTo="margin" w:alignment="right" w:leader="none"/>
    </w:r>
    <w:sdt>
      <w:sdtPr>
        <w:id w:val="364179191"/>
        <w:temporary/>
        <w:showingPlcHdr/>
      </w:sdtPr>
      <w:sdtEndPr/>
      <w:sdtContent>
        <w:r w:rsidR="0035477B">
          <w:t>[Type text]</w:t>
        </w:r>
      </w:sdtContent>
    </w:sdt>
  </w:p>
  <w:p w14:paraId="15B21164" w14:textId="77777777" w:rsidR="0035477B" w:rsidRDefault="003547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582B" w14:textId="77777777" w:rsidR="0035477B" w:rsidRPr="00F9452C" w:rsidRDefault="0035477B" w:rsidP="002C0DCF">
    <w:pPr>
      <w:pStyle w:val="Runningtitle"/>
    </w:pPr>
    <w:r>
      <w:rPr>
        <w:noProof/>
        <w:lang w:val="en-GB" w:eastAsia="en-GB"/>
      </w:rPr>
      <w:drawing>
        <wp:anchor distT="0" distB="0" distL="114300" distR="114300" simplePos="0" relativeHeight="251658240" behindDoc="1" locked="0" layoutInCell="1" allowOverlap="1" wp14:anchorId="6A6EEDB6" wp14:editId="3CA25940">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415FC9" w:rsidRPr="00415FC9">
      <w:rPr>
        <w:lang w:val="en-GB"/>
      </w:rPr>
      <w:t xml:space="preserve"> </w:t>
    </w:r>
    <w:r w:rsidR="00415FC9">
      <w:rPr>
        <w:lang w:val="en-GB"/>
      </w:rPr>
      <w:t xml:space="preserve">Confirmation of compliance with </w:t>
    </w:r>
    <w:r w:rsidR="00392600">
      <w:rPr>
        <w:lang w:val="en-GB"/>
      </w:rPr>
      <w:t>guidelines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93DA" w14:textId="77777777" w:rsidR="0035477B" w:rsidRDefault="0035477B"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60288" behindDoc="1" locked="1" layoutInCell="1" allowOverlap="0" wp14:anchorId="3D41C7C7" wp14:editId="1F99F9C2">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900904"/>
    <w:multiLevelType w:val="hybridMultilevel"/>
    <w:tmpl w:val="284EB0F2"/>
    <w:lvl w:ilvl="0" w:tplc="80C6A846">
      <w:numFmt w:val="bullet"/>
      <w:lvlText w:val="-"/>
      <w:lvlJc w:val="left"/>
      <w:pPr>
        <w:ind w:left="720" w:hanging="360"/>
      </w:pPr>
      <w:rPr>
        <w:rFonts w:ascii="Georgia" w:eastAsia="Times New Roman" w:hAnsi="Georg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24E2B"/>
    <w:multiLevelType w:val="hybridMultilevel"/>
    <w:tmpl w:val="3A425A3C"/>
    <w:lvl w:ilvl="0" w:tplc="06DC6AAE">
      <w:start w:val="1"/>
      <w:numFmt w:val="bullet"/>
      <w:lvlText w:val="•"/>
      <w:lvlJc w:val="left"/>
      <w:pPr>
        <w:ind w:left="966" w:hanging="699"/>
      </w:pPr>
      <w:rPr>
        <w:rFonts w:ascii="Arial" w:eastAsia="Arial" w:hAnsi="Arial" w:hint="default"/>
        <w:color w:val="383838"/>
        <w:w w:val="133"/>
        <w:sz w:val="20"/>
        <w:szCs w:val="20"/>
      </w:rPr>
    </w:lvl>
    <w:lvl w:ilvl="1" w:tplc="EC98114E">
      <w:start w:val="1"/>
      <w:numFmt w:val="bullet"/>
      <w:lvlText w:val="o"/>
      <w:lvlJc w:val="left"/>
      <w:pPr>
        <w:ind w:left="1669" w:hanging="355"/>
      </w:pPr>
      <w:rPr>
        <w:rFonts w:ascii="Arial" w:eastAsia="Arial" w:hAnsi="Arial" w:hint="default"/>
        <w:color w:val="828282"/>
        <w:w w:val="106"/>
        <w:sz w:val="20"/>
        <w:szCs w:val="20"/>
      </w:rPr>
    </w:lvl>
    <w:lvl w:ilvl="2" w:tplc="4E64DEEE">
      <w:start w:val="1"/>
      <w:numFmt w:val="bullet"/>
      <w:lvlText w:val="•"/>
      <w:lvlJc w:val="left"/>
      <w:pPr>
        <w:ind w:left="2506" w:hanging="355"/>
      </w:pPr>
      <w:rPr>
        <w:rFonts w:hint="default"/>
      </w:rPr>
    </w:lvl>
    <w:lvl w:ilvl="3" w:tplc="11229A2C">
      <w:start w:val="1"/>
      <w:numFmt w:val="bullet"/>
      <w:lvlText w:val="•"/>
      <w:lvlJc w:val="left"/>
      <w:pPr>
        <w:ind w:left="3342" w:hanging="355"/>
      </w:pPr>
      <w:rPr>
        <w:rFonts w:hint="default"/>
      </w:rPr>
    </w:lvl>
    <w:lvl w:ilvl="4" w:tplc="1B9EE772">
      <w:start w:val="1"/>
      <w:numFmt w:val="bullet"/>
      <w:lvlText w:val="•"/>
      <w:lvlJc w:val="left"/>
      <w:pPr>
        <w:ind w:left="4179" w:hanging="355"/>
      </w:pPr>
      <w:rPr>
        <w:rFonts w:hint="default"/>
      </w:rPr>
    </w:lvl>
    <w:lvl w:ilvl="5" w:tplc="85F6C4C6">
      <w:start w:val="1"/>
      <w:numFmt w:val="bullet"/>
      <w:lvlText w:val="•"/>
      <w:lvlJc w:val="left"/>
      <w:pPr>
        <w:ind w:left="5016" w:hanging="355"/>
      </w:pPr>
      <w:rPr>
        <w:rFonts w:hint="default"/>
      </w:rPr>
    </w:lvl>
    <w:lvl w:ilvl="6" w:tplc="5CFEF91E">
      <w:start w:val="1"/>
      <w:numFmt w:val="bullet"/>
      <w:lvlText w:val="•"/>
      <w:lvlJc w:val="left"/>
      <w:pPr>
        <w:ind w:left="5853" w:hanging="355"/>
      </w:pPr>
      <w:rPr>
        <w:rFonts w:hint="default"/>
      </w:rPr>
    </w:lvl>
    <w:lvl w:ilvl="7" w:tplc="AAF4C7FA">
      <w:start w:val="1"/>
      <w:numFmt w:val="bullet"/>
      <w:lvlText w:val="•"/>
      <w:lvlJc w:val="left"/>
      <w:pPr>
        <w:ind w:left="6689" w:hanging="355"/>
      </w:pPr>
      <w:rPr>
        <w:rFonts w:hint="default"/>
      </w:rPr>
    </w:lvl>
    <w:lvl w:ilvl="8" w:tplc="6DCED4AA">
      <w:start w:val="1"/>
      <w:numFmt w:val="bullet"/>
      <w:lvlText w:val="•"/>
      <w:lvlJc w:val="left"/>
      <w:pPr>
        <w:ind w:left="7526" w:hanging="355"/>
      </w:pPr>
      <w:rPr>
        <w:rFonts w:hint="default"/>
      </w:rPr>
    </w:lvl>
  </w:abstractNum>
  <w:abstractNum w:abstractNumId="13"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31993"/>
    <w:multiLevelType w:val="hybridMultilevel"/>
    <w:tmpl w:val="9F88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9"/>
  </w:num>
  <w:num w:numId="2">
    <w:abstractNumId w:val="2"/>
  </w:num>
  <w:num w:numId="3">
    <w:abstractNumId w:val="7"/>
  </w:num>
  <w:num w:numId="4">
    <w:abstractNumId w:val="8"/>
  </w:num>
  <w:num w:numId="5">
    <w:abstractNumId w:val="14"/>
  </w:num>
  <w:num w:numId="6">
    <w:abstractNumId w:val="1"/>
  </w:num>
  <w:num w:numId="7">
    <w:abstractNumId w:val="13"/>
  </w:num>
  <w:num w:numId="8">
    <w:abstractNumId w:val="11"/>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0"/>
  </w:num>
  <w:num w:numId="16">
    <w:abstractNumId w:val="3"/>
  </w:num>
  <w:num w:numId="17">
    <w:abstractNumId w:val="6"/>
  </w:num>
  <w:num w:numId="18">
    <w:abstractNumId w:val="16"/>
  </w:num>
  <w:num w:numId="19">
    <w:abstractNumId w:val="4"/>
  </w:num>
  <w:num w:numId="20">
    <w:abstractNumId w:val="5"/>
  </w:num>
  <w:num w:numId="21">
    <w:abstractNumId w:val="10"/>
  </w:num>
  <w:num w:numId="22">
    <w:abstractNumId w:val="12"/>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4201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GL-REC 20XX XX (FINAL GLS-REC ON"/>
  </w:docVars>
  <w:rsids>
    <w:rsidRoot w:val="000769FE"/>
    <w:rsid w:val="000027A1"/>
    <w:rsid w:val="00003F50"/>
    <w:rsid w:val="00006737"/>
    <w:rsid w:val="00013281"/>
    <w:rsid w:val="00022682"/>
    <w:rsid w:val="000231B7"/>
    <w:rsid w:val="00027CA0"/>
    <w:rsid w:val="000304EF"/>
    <w:rsid w:val="00030D65"/>
    <w:rsid w:val="0003357D"/>
    <w:rsid w:val="00035631"/>
    <w:rsid w:val="00035C39"/>
    <w:rsid w:val="00052EFC"/>
    <w:rsid w:val="00060F40"/>
    <w:rsid w:val="0006500D"/>
    <w:rsid w:val="000769FE"/>
    <w:rsid w:val="00083889"/>
    <w:rsid w:val="000843CD"/>
    <w:rsid w:val="0009032C"/>
    <w:rsid w:val="000A1C81"/>
    <w:rsid w:val="000A33AC"/>
    <w:rsid w:val="000B1645"/>
    <w:rsid w:val="000C29B7"/>
    <w:rsid w:val="000C5A8A"/>
    <w:rsid w:val="000D4082"/>
    <w:rsid w:val="000D7A44"/>
    <w:rsid w:val="000E0C27"/>
    <w:rsid w:val="000E6D15"/>
    <w:rsid w:val="000F38F9"/>
    <w:rsid w:val="000F607B"/>
    <w:rsid w:val="000F6495"/>
    <w:rsid w:val="000F6FD8"/>
    <w:rsid w:val="00103DC7"/>
    <w:rsid w:val="001051A7"/>
    <w:rsid w:val="00112823"/>
    <w:rsid w:val="00113B80"/>
    <w:rsid w:val="0011517F"/>
    <w:rsid w:val="00121BB0"/>
    <w:rsid w:val="00122D42"/>
    <w:rsid w:val="0012686C"/>
    <w:rsid w:val="0013090C"/>
    <w:rsid w:val="001317C0"/>
    <w:rsid w:val="00131C5D"/>
    <w:rsid w:val="0013547A"/>
    <w:rsid w:val="001369F8"/>
    <w:rsid w:val="00145D24"/>
    <w:rsid w:val="00152832"/>
    <w:rsid w:val="00157C55"/>
    <w:rsid w:val="001600FC"/>
    <w:rsid w:val="00161019"/>
    <w:rsid w:val="00167292"/>
    <w:rsid w:val="00172007"/>
    <w:rsid w:val="0017446F"/>
    <w:rsid w:val="00176CEE"/>
    <w:rsid w:val="001807E7"/>
    <w:rsid w:val="00180E1B"/>
    <w:rsid w:val="001834D4"/>
    <w:rsid w:val="00192287"/>
    <w:rsid w:val="00192DCA"/>
    <w:rsid w:val="00194241"/>
    <w:rsid w:val="0019739E"/>
    <w:rsid w:val="001A016C"/>
    <w:rsid w:val="001A2A81"/>
    <w:rsid w:val="001A5BD4"/>
    <w:rsid w:val="001B2C0D"/>
    <w:rsid w:val="001B31DA"/>
    <w:rsid w:val="001B33FE"/>
    <w:rsid w:val="001B6017"/>
    <w:rsid w:val="001B7A0B"/>
    <w:rsid w:val="001B7EB3"/>
    <w:rsid w:val="001C1FD9"/>
    <w:rsid w:val="001C5BC2"/>
    <w:rsid w:val="001D0179"/>
    <w:rsid w:val="001D5261"/>
    <w:rsid w:val="001D54CB"/>
    <w:rsid w:val="001D5EC4"/>
    <w:rsid w:val="001D6447"/>
    <w:rsid w:val="001E1188"/>
    <w:rsid w:val="001E3599"/>
    <w:rsid w:val="001E5E08"/>
    <w:rsid w:val="001E70DD"/>
    <w:rsid w:val="001F1CB9"/>
    <w:rsid w:val="001F1EAE"/>
    <w:rsid w:val="001F7501"/>
    <w:rsid w:val="00205878"/>
    <w:rsid w:val="00210650"/>
    <w:rsid w:val="00213D7B"/>
    <w:rsid w:val="00214DEC"/>
    <w:rsid w:val="0021782A"/>
    <w:rsid w:val="00224761"/>
    <w:rsid w:val="00224A3F"/>
    <w:rsid w:val="002306C7"/>
    <w:rsid w:val="00241BD8"/>
    <w:rsid w:val="00242C05"/>
    <w:rsid w:val="00242DD3"/>
    <w:rsid w:val="002434B0"/>
    <w:rsid w:val="002470E5"/>
    <w:rsid w:val="00270F40"/>
    <w:rsid w:val="0027418E"/>
    <w:rsid w:val="00276695"/>
    <w:rsid w:val="00290DA3"/>
    <w:rsid w:val="002A1448"/>
    <w:rsid w:val="002B0425"/>
    <w:rsid w:val="002B0B93"/>
    <w:rsid w:val="002B3A3F"/>
    <w:rsid w:val="002B5325"/>
    <w:rsid w:val="002B5CF2"/>
    <w:rsid w:val="002B60E5"/>
    <w:rsid w:val="002C0DCF"/>
    <w:rsid w:val="002C19B0"/>
    <w:rsid w:val="002C508D"/>
    <w:rsid w:val="002D1867"/>
    <w:rsid w:val="002D702A"/>
    <w:rsid w:val="002E3AD0"/>
    <w:rsid w:val="002F2009"/>
    <w:rsid w:val="002F7090"/>
    <w:rsid w:val="002F7EA6"/>
    <w:rsid w:val="00300924"/>
    <w:rsid w:val="003025A8"/>
    <w:rsid w:val="00302C42"/>
    <w:rsid w:val="003048C7"/>
    <w:rsid w:val="003129B6"/>
    <w:rsid w:val="00314D6E"/>
    <w:rsid w:val="0031654E"/>
    <w:rsid w:val="00320E57"/>
    <w:rsid w:val="003221EF"/>
    <w:rsid w:val="003248A2"/>
    <w:rsid w:val="00330740"/>
    <w:rsid w:val="0035296E"/>
    <w:rsid w:val="0035477B"/>
    <w:rsid w:val="00354EE4"/>
    <w:rsid w:val="00372BEC"/>
    <w:rsid w:val="00392385"/>
    <w:rsid w:val="00392600"/>
    <w:rsid w:val="003970EB"/>
    <w:rsid w:val="003A5A67"/>
    <w:rsid w:val="003A6C1E"/>
    <w:rsid w:val="003B2EC2"/>
    <w:rsid w:val="003B5D3D"/>
    <w:rsid w:val="003D4C17"/>
    <w:rsid w:val="003D4D77"/>
    <w:rsid w:val="003D7A72"/>
    <w:rsid w:val="003F36E5"/>
    <w:rsid w:val="00405084"/>
    <w:rsid w:val="00412567"/>
    <w:rsid w:val="00415FC9"/>
    <w:rsid w:val="00424530"/>
    <w:rsid w:val="004300A7"/>
    <w:rsid w:val="0043577F"/>
    <w:rsid w:val="0044034F"/>
    <w:rsid w:val="00441F85"/>
    <w:rsid w:val="0045301B"/>
    <w:rsid w:val="00455E0E"/>
    <w:rsid w:val="004719B4"/>
    <w:rsid w:val="00471CA1"/>
    <w:rsid w:val="00471CCE"/>
    <w:rsid w:val="00475C82"/>
    <w:rsid w:val="0048143A"/>
    <w:rsid w:val="00481AC4"/>
    <w:rsid w:val="00482FB6"/>
    <w:rsid w:val="00491F75"/>
    <w:rsid w:val="0049741D"/>
    <w:rsid w:val="004A01E5"/>
    <w:rsid w:val="004A5D8B"/>
    <w:rsid w:val="004B0502"/>
    <w:rsid w:val="004B2FC0"/>
    <w:rsid w:val="004B3F66"/>
    <w:rsid w:val="004B7784"/>
    <w:rsid w:val="004B7DCA"/>
    <w:rsid w:val="004B7F62"/>
    <w:rsid w:val="004C11FD"/>
    <w:rsid w:val="004C1B19"/>
    <w:rsid w:val="004C27BE"/>
    <w:rsid w:val="004C6392"/>
    <w:rsid w:val="004D3F26"/>
    <w:rsid w:val="004E405B"/>
    <w:rsid w:val="004F0182"/>
    <w:rsid w:val="004F0AB6"/>
    <w:rsid w:val="004F4E42"/>
    <w:rsid w:val="004F63DB"/>
    <w:rsid w:val="00506D4E"/>
    <w:rsid w:val="005105EF"/>
    <w:rsid w:val="00513E3C"/>
    <w:rsid w:val="00515F3A"/>
    <w:rsid w:val="00516A25"/>
    <w:rsid w:val="00523895"/>
    <w:rsid w:val="00525BCC"/>
    <w:rsid w:val="005378CB"/>
    <w:rsid w:val="005410AB"/>
    <w:rsid w:val="00543515"/>
    <w:rsid w:val="00547C88"/>
    <w:rsid w:val="005547FA"/>
    <w:rsid w:val="005608DB"/>
    <w:rsid w:val="00565691"/>
    <w:rsid w:val="00565FDC"/>
    <w:rsid w:val="005674A2"/>
    <w:rsid w:val="00571BB6"/>
    <w:rsid w:val="00575BA7"/>
    <w:rsid w:val="00576974"/>
    <w:rsid w:val="00582AA7"/>
    <w:rsid w:val="0058477C"/>
    <w:rsid w:val="0058719A"/>
    <w:rsid w:val="00590816"/>
    <w:rsid w:val="0059444B"/>
    <w:rsid w:val="005A6911"/>
    <w:rsid w:val="005B5C09"/>
    <w:rsid w:val="005B7A0A"/>
    <w:rsid w:val="005C498B"/>
    <w:rsid w:val="005D4005"/>
    <w:rsid w:val="005D40D1"/>
    <w:rsid w:val="005E4011"/>
    <w:rsid w:val="00606BA0"/>
    <w:rsid w:val="00610305"/>
    <w:rsid w:val="00610419"/>
    <w:rsid w:val="00611DDB"/>
    <w:rsid w:val="00612C7B"/>
    <w:rsid w:val="0062125B"/>
    <w:rsid w:val="006224C1"/>
    <w:rsid w:val="006269B7"/>
    <w:rsid w:val="00633DC7"/>
    <w:rsid w:val="00636E1D"/>
    <w:rsid w:val="00657956"/>
    <w:rsid w:val="00663B0A"/>
    <w:rsid w:val="006641F8"/>
    <w:rsid w:val="00666689"/>
    <w:rsid w:val="00670254"/>
    <w:rsid w:val="006712C3"/>
    <w:rsid w:val="006740E5"/>
    <w:rsid w:val="006774EC"/>
    <w:rsid w:val="00684C40"/>
    <w:rsid w:val="00685963"/>
    <w:rsid w:val="00686453"/>
    <w:rsid w:val="006867FD"/>
    <w:rsid w:val="006973AC"/>
    <w:rsid w:val="006A43C0"/>
    <w:rsid w:val="006A7842"/>
    <w:rsid w:val="006B55F4"/>
    <w:rsid w:val="006B773B"/>
    <w:rsid w:val="006C186D"/>
    <w:rsid w:val="006C2768"/>
    <w:rsid w:val="006E55E1"/>
    <w:rsid w:val="006F0DEE"/>
    <w:rsid w:val="006F3DAC"/>
    <w:rsid w:val="006F445D"/>
    <w:rsid w:val="007007C6"/>
    <w:rsid w:val="00703E4E"/>
    <w:rsid w:val="00705EB3"/>
    <w:rsid w:val="007071C6"/>
    <w:rsid w:val="0071195A"/>
    <w:rsid w:val="00711E1C"/>
    <w:rsid w:val="00721BD4"/>
    <w:rsid w:val="00721FBA"/>
    <w:rsid w:val="007247F1"/>
    <w:rsid w:val="00730352"/>
    <w:rsid w:val="00731B0A"/>
    <w:rsid w:val="00736B52"/>
    <w:rsid w:val="00742839"/>
    <w:rsid w:val="00751C1D"/>
    <w:rsid w:val="007535A1"/>
    <w:rsid w:val="00755505"/>
    <w:rsid w:val="00757388"/>
    <w:rsid w:val="0076316D"/>
    <w:rsid w:val="0076591D"/>
    <w:rsid w:val="00765F41"/>
    <w:rsid w:val="00770634"/>
    <w:rsid w:val="007715D0"/>
    <w:rsid w:val="00772205"/>
    <w:rsid w:val="00772993"/>
    <w:rsid w:val="007815FB"/>
    <w:rsid w:val="00781D80"/>
    <w:rsid w:val="00783EDA"/>
    <w:rsid w:val="00795DA4"/>
    <w:rsid w:val="007A0054"/>
    <w:rsid w:val="007A44A6"/>
    <w:rsid w:val="007A5353"/>
    <w:rsid w:val="007A62E0"/>
    <w:rsid w:val="007B0E84"/>
    <w:rsid w:val="007B3D63"/>
    <w:rsid w:val="007C55D0"/>
    <w:rsid w:val="007D06E5"/>
    <w:rsid w:val="007D50A5"/>
    <w:rsid w:val="007E0AE5"/>
    <w:rsid w:val="007E562A"/>
    <w:rsid w:val="008074BE"/>
    <w:rsid w:val="00807E16"/>
    <w:rsid w:val="0081072B"/>
    <w:rsid w:val="0081135D"/>
    <w:rsid w:val="00813BAC"/>
    <w:rsid w:val="00813CD4"/>
    <w:rsid w:val="00821B9D"/>
    <w:rsid w:val="0082526D"/>
    <w:rsid w:val="00837DF6"/>
    <w:rsid w:val="0084468C"/>
    <w:rsid w:val="0085119A"/>
    <w:rsid w:val="008552A0"/>
    <w:rsid w:val="008601C5"/>
    <w:rsid w:val="00865492"/>
    <w:rsid w:val="00867CB4"/>
    <w:rsid w:val="008708AB"/>
    <w:rsid w:val="0087349B"/>
    <w:rsid w:val="00874ED5"/>
    <w:rsid w:val="00877ECD"/>
    <w:rsid w:val="00894F59"/>
    <w:rsid w:val="00896C68"/>
    <w:rsid w:val="008A2DAC"/>
    <w:rsid w:val="008B0157"/>
    <w:rsid w:val="008B18DC"/>
    <w:rsid w:val="008B18DE"/>
    <w:rsid w:val="008B67A1"/>
    <w:rsid w:val="008C5B82"/>
    <w:rsid w:val="008C6B9A"/>
    <w:rsid w:val="008C724A"/>
    <w:rsid w:val="008D73B8"/>
    <w:rsid w:val="008E2065"/>
    <w:rsid w:val="008E5C85"/>
    <w:rsid w:val="008E7602"/>
    <w:rsid w:val="008E7E95"/>
    <w:rsid w:val="008F3908"/>
    <w:rsid w:val="009014B6"/>
    <w:rsid w:val="00907509"/>
    <w:rsid w:val="00912882"/>
    <w:rsid w:val="00912895"/>
    <w:rsid w:val="009210DE"/>
    <w:rsid w:val="00922663"/>
    <w:rsid w:val="0093582D"/>
    <w:rsid w:val="00942F4D"/>
    <w:rsid w:val="00943B87"/>
    <w:rsid w:val="00945C35"/>
    <w:rsid w:val="0096160F"/>
    <w:rsid w:val="00965B80"/>
    <w:rsid w:val="00973A97"/>
    <w:rsid w:val="00986BBC"/>
    <w:rsid w:val="009B7D10"/>
    <w:rsid w:val="009C12C9"/>
    <w:rsid w:val="009C1CE7"/>
    <w:rsid w:val="009C501A"/>
    <w:rsid w:val="009D29D8"/>
    <w:rsid w:val="009D55F7"/>
    <w:rsid w:val="009E3AC1"/>
    <w:rsid w:val="009E5ADB"/>
    <w:rsid w:val="009E76BE"/>
    <w:rsid w:val="009E79BF"/>
    <w:rsid w:val="009F3FE6"/>
    <w:rsid w:val="009F53AF"/>
    <w:rsid w:val="00A00E34"/>
    <w:rsid w:val="00A03AE1"/>
    <w:rsid w:val="00A10257"/>
    <w:rsid w:val="00A14332"/>
    <w:rsid w:val="00A154B0"/>
    <w:rsid w:val="00A21AB8"/>
    <w:rsid w:val="00A262B3"/>
    <w:rsid w:val="00A27D88"/>
    <w:rsid w:val="00A304D0"/>
    <w:rsid w:val="00A4117C"/>
    <w:rsid w:val="00A4607D"/>
    <w:rsid w:val="00A534AB"/>
    <w:rsid w:val="00A53EC9"/>
    <w:rsid w:val="00A62ADC"/>
    <w:rsid w:val="00A725D6"/>
    <w:rsid w:val="00A725F5"/>
    <w:rsid w:val="00A84E55"/>
    <w:rsid w:val="00A92440"/>
    <w:rsid w:val="00AB0D0D"/>
    <w:rsid w:val="00AB104D"/>
    <w:rsid w:val="00AC1436"/>
    <w:rsid w:val="00AC2538"/>
    <w:rsid w:val="00AC69D7"/>
    <w:rsid w:val="00AD0C73"/>
    <w:rsid w:val="00AD402D"/>
    <w:rsid w:val="00AE1A2D"/>
    <w:rsid w:val="00AE37BF"/>
    <w:rsid w:val="00AE5347"/>
    <w:rsid w:val="00AE55F6"/>
    <w:rsid w:val="00AE56DB"/>
    <w:rsid w:val="00AF44EF"/>
    <w:rsid w:val="00AF7A3B"/>
    <w:rsid w:val="00B07515"/>
    <w:rsid w:val="00B13C87"/>
    <w:rsid w:val="00B1710D"/>
    <w:rsid w:val="00B17A79"/>
    <w:rsid w:val="00B32510"/>
    <w:rsid w:val="00B36D5E"/>
    <w:rsid w:val="00B37273"/>
    <w:rsid w:val="00B526A8"/>
    <w:rsid w:val="00B55FAB"/>
    <w:rsid w:val="00B653A4"/>
    <w:rsid w:val="00B6734E"/>
    <w:rsid w:val="00B72435"/>
    <w:rsid w:val="00B741CA"/>
    <w:rsid w:val="00B83D9D"/>
    <w:rsid w:val="00B84529"/>
    <w:rsid w:val="00B846A8"/>
    <w:rsid w:val="00B85D98"/>
    <w:rsid w:val="00B93CED"/>
    <w:rsid w:val="00B95978"/>
    <w:rsid w:val="00B96F7F"/>
    <w:rsid w:val="00BA7CD3"/>
    <w:rsid w:val="00BB2111"/>
    <w:rsid w:val="00BB47D4"/>
    <w:rsid w:val="00BC0F51"/>
    <w:rsid w:val="00BC146B"/>
    <w:rsid w:val="00BC7FD2"/>
    <w:rsid w:val="00BE4788"/>
    <w:rsid w:val="00BF6A4D"/>
    <w:rsid w:val="00C03AE7"/>
    <w:rsid w:val="00C05D9D"/>
    <w:rsid w:val="00C100B9"/>
    <w:rsid w:val="00C246A9"/>
    <w:rsid w:val="00C2797A"/>
    <w:rsid w:val="00C34B03"/>
    <w:rsid w:val="00C35592"/>
    <w:rsid w:val="00C356AF"/>
    <w:rsid w:val="00C41927"/>
    <w:rsid w:val="00C439D6"/>
    <w:rsid w:val="00C43FD9"/>
    <w:rsid w:val="00C44EB2"/>
    <w:rsid w:val="00C47E8F"/>
    <w:rsid w:val="00C5082B"/>
    <w:rsid w:val="00C5472C"/>
    <w:rsid w:val="00C60915"/>
    <w:rsid w:val="00C73F8B"/>
    <w:rsid w:val="00C74BA5"/>
    <w:rsid w:val="00C7529F"/>
    <w:rsid w:val="00C82735"/>
    <w:rsid w:val="00C964B8"/>
    <w:rsid w:val="00CA46E1"/>
    <w:rsid w:val="00CB0FD8"/>
    <w:rsid w:val="00CC19E3"/>
    <w:rsid w:val="00CC43DC"/>
    <w:rsid w:val="00CD4AF7"/>
    <w:rsid w:val="00D01670"/>
    <w:rsid w:val="00D02599"/>
    <w:rsid w:val="00D05C26"/>
    <w:rsid w:val="00D14CD4"/>
    <w:rsid w:val="00D152E7"/>
    <w:rsid w:val="00D21F91"/>
    <w:rsid w:val="00D44360"/>
    <w:rsid w:val="00D549B9"/>
    <w:rsid w:val="00D557EE"/>
    <w:rsid w:val="00D55F4F"/>
    <w:rsid w:val="00D56058"/>
    <w:rsid w:val="00D56999"/>
    <w:rsid w:val="00D57F4B"/>
    <w:rsid w:val="00D61D95"/>
    <w:rsid w:val="00D656AD"/>
    <w:rsid w:val="00D664D3"/>
    <w:rsid w:val="00D73169"/>
    <w:rsid w:val="00D74AF1"/>
    <w:rsid w:val="00D76E91"/>
    <w:rsid w:val="00D81BD7"/>
    <w:rsid w:val="00D82235"/>
    <w:rsid w:val="00D872D1"/>
    <w:rsid w:val="00DA7582"/>
    <w:rsid w:val="00DB0FD9"/>
    <w:rsid w:val="00DB4809"/>
    <w:rsid w:val="00DB5E8F"/>
    <w:rsid w:val="00DC0A40"/>
    <w:rsid w:val="00DC7C3E"/>
    <w:rsid w:val="00DD0927"/>
    <w:rsid w:val="00DE30E0"/>
    <w:rsid w:val="00E053D0"/>
    <w:rsid w:val="00E11899"/>
    <w:rsid w:val="00E1293A"/>
    <w:rsid w:val="00E16DAF"/>
    <w:rsid w:val="00E22BCE"/>
    <w:rsid w:val="00E23A07"/>
    <w:rsid w:val="00E23F8B"/>
    <w:rsid w:val="00E326FF"/>
    <w:rsid w:val="00E35307"/>
    <w:rsid w:val="00E361B0"/>
    <w:rsid w:val="00E469C7"/>
    <w:rsid w:val="00E50D73"/>
    <w:rsid w:val="00E62DB8"/>
    <w:rsid w:val="00E677EF"/>
    <w:rsid w:val="00E833ED"/>
    <w:rsid w:val="00E859DF"/>
    <w:rsid w:val="00E87041"/>
    <w:rsid w:val="00E877EC"/>
    <w:rsid w:val="00E904EF"/>
    <w:rsid w:val="00E94AC2"/>
    <w:rsid w:val="00E95201"/>
    <w:rsid w:val="00E96100"/>
    <w:rsid w:val="00EA1807"/>
    <w:rsid w:val="00EA4947"/>
    <w:rsid w:val="00EB3FD7"/>
    <w:rsid w:val="00EB4520"/>
    <w:rsid w:val="00EC0C41"/>
    <w:rsid w:val="00EC1594"/>
    <w:rsid w:val="00EC5E9F"/>
    <w:rsid w:val="00EC746F"/>
    <w:rsid w:val="00EE4425"/>
    <w:rsid w:val="00EE456B"/>
    <w:rsid w:val="00EE4BBB"/>
    <w:rsid w:val="00EF1DD9"/>
    <w:rsid w:val="00F00C37"/>
    <w:rsid w:val="00F034AC"/>
    <w:rsid w:val="00F04C19"/>
    <w:rsid w:val="00F06DFB"/>
    <w:rsid w:val="00F1261A"/>
    <w:rsid w:val="00F160D2"/>
    <w:rsid w:val="00F205A2"/>
    <w:rsid w:val="00F23BAE"/>
    <w:rsid w:val="00F316CB"/>
    <w:rsid w:val="00F40509"/>
    <w:rsid w:val="00F4748D"/>
    <w:rsid w:val="00F4768C"/>
    <w:rsid w:val="00F60DC9"/>
    <w:rsid w:val="00F612B3"/>
    <w:rsid w:val="00F7064A"/>
    <w:rsid w:val="00F747AD"/>
    <w:rsid w:val="00F7496A"/>
    <w:rsid w:val="00F83FC2"/>
    <w:rsid w:val="00F8502A"/>
    <w:rsid w:val="00F87DC3"/>
    <w:rsid w:val="00F942CA"/>
    <w:rsid w:val="00F9452C"/>
    <w:rsid w:val="00FA30F9"/>
    <w:rsid w:val="00FA6B7D"/>
    <w:rsid w:val="00FB01A5"/>
    <w:rsid w:val="00FB0C35"/>
    <w:rsid w:val="00FB3B38"/>
    <w:rsid w:val="00FB7206"/>
    <w:rsid w:val="00FC0A3E"/>
    <w:rsid w:val="00FC1D72"/>
    <w:rsid w:val="00FC334A"/>
    <w:rsid w:val="00FC5401"/>
    <w:rsid w:val="00FE5577"/>
    <w:rsid w:val="00FF0A17"/>
    <w:rsid w:val="00FF34CA"/>
    <w:rsid w:val="00FF7D57"/>
    <w:rsid w:val="00FF7E25"/>
    <w:rsid w:val="00FF7F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2017"/>
    <o:shapelayout v:ext="edit">
      <o:idmap v:ext="edit" data="1"/>
    </o:shapelayout>
  </w:shapeDefaults>
  <w:decimalSymbol w:val="."/>
  <w:listSeparator w:val=","/>
  <w14:docId w14:val="712A2ABD"/>
  <w15:docId w15:val="{949EA8E7-C0DA-44F6-9EA6-E62BE234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CF2"/>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styleId="ListParagraph">
    <w:name w:val="List Paragraph"/>
    <w:basedOn w:val="Normal"/>
    <w:uiPriority w:val="34"/>
    <w:qFormat/>
    <w:rsid w:val="002B5CF2"/>
    <w:pPr>
      <w:suppressAutoHyphens/>
      <w:autoSpaceDN w:val="0"/>
      <w:ind w:left="720"/>
      <w:textAlignment w:val="baseline"/>
    </w:pPr>
    <w:rPr>
      <w:rFonts w:ascii="Georgia" w:eastAsia="Times New Roman" w:hAnsi="Georgia" w:cs="Times New Roman"/>
      <w:kern w:val="3"/>
      <w:lang w:val="en-GB" w:eastAsia="de-DE"/>
    </w:rPr>
  </w:style>
  <w:style w:type="paragraph" w:styleId="BodyText">
    <w:name w:val="Body Text"/>
    <w:basedOn w:val="Normal"/>
    <w:link w:val="BodyTextChar"/>
    <w:uiPriority w:val="1"/>
    <w:qFormat/>
    <w:rsid w:val="00783EDA"/>
    <w:pPr>
      <w:widowControl w:val="0"/>
      <w:ind w:left="592"/>
    </w:pPr>
    <w:rPr>
      <w:rFonts w:ascii="Arial" w:eastAsia="Arial" w:hAnsi="Arial"/>
      <w:sz w:val="20"/>
      <w:szCs w:val="20"/>
    </w:rPr>
  </w:style>
  <w:style w:type="character" w:customStyle="1" w:styleId="BodyTextChar">
    <w:name w:val="Body Text Char"/>
    <w:basedOn w:val="DefaultParagraphFont"/>
    <w:link w:val="BodyText"/>
    <w:uiPriority w:val="1"/>
    <w:rsid w:val="00783EDA"/>
    <w:rPr>
      <w:rFonts w:ascii="Arial" w:eastAsia="Arial" w:hAnsi="Arial"/>
      <w:sz w:val="20"/>
      <w:szCs w:val="20"/>
    </w:rPr>
  </w:style>
  <w:style w:type="character" w:styleId="FollowedHyperlink">
    <w:name w:val="FollowedHyperlink"/>
    <w:basedOn w:val="DefaultParagraphFont"/>
    <w:uiPriority w:val="99"/>
    <w:semiHidden/>
    <w:rsid w:val="003D4D77"/>
    <w:rPr>
      <w:color w:val="800080" w:themeColor="followedHyperlink"/>
      <w:u w:val="single"/>
    </w:rPr>
  </w:style>
  <w:style w:type="character" w:styleId="CommentReference">
    <w:name w:val="annotation reference"/>
    <w:basedOn w:val="DefaultParagraphFont"/>
    <w:uiPriority w:val="99"/>
    <w:semiHidden/>
    <w:unhideWhenUsed/>
    <w:rsid w:val="00C74BA5"/>
    <w:rPr>
      <w:sz w:val="16"/>
      <w:szCs w:val="16"/>
    </w:rPr>
  </w:style>
  <w:style w:type="paragraph" w:styleId="CommentText">
    <w:name w:val="annotation text"/>
    <w:basedOn w:val="Normal"/>
    <w:link w:val="CommentTextChar"/>
    <w:uiPriority w:val="99"/>
    <w:semiHidden/>
    <w:unhideWhenUsed/>
    <w:rsid w:val="00C74BA5"/>
    <w:rPr>
      <w:sz w:val="20"/>
      <w:szCs w:val="20"/>
    </w:rPr>
  </w:style>
  <w:style w:type="character" w:customStyle="1" w:styleId="CommentTextChar">
    <w:name w:val="Comment Text Char"/>
    <w:basedOn w:val="DefaultParagraphFont"/>
    <w:link w:val="CommentText"/>
    <w:uiPriority w:val="99"/>
    <w:semiHidden/>
    <w:rsid w:val="00C74BA5"/>
    <w:rPr>
      <w:sz w:val="20"/>
      <w:szCs w:val="20"/>
    </w:rPr>
  </w:style>
  <w:style w:type="paragraph" w:styleId="CommentSubject">
    <w:name w:val="annotation subject"/>
    <w:basedOn w:val="CommentText"/>
    <w:next w:val="CommentText"/>
    <w:link w:val="CommentSubjectChar"/>
    <w:uiPriority w:val="99"/>
    <w:semiHidden/>
    <w:unhideWhenUsed/>
    <w:rsid w:val="00C74BA5"/>
    <w:rPr>
      <w:b/>
      <w:bCs/>
    </w:rPr>
  </w:style>
  <w:style w:type="character" w:customStyle="1" w:styleId="CommentSubjectChar">
    <w:name w:val="Comment Subject Char"/>
    <w:basedOn w:val="CommentTextChar"/>
    <w:link w:val="CommentSubject"/>
    <w:uiPriority w:val="99"/>
    <w:semiHidden/>
    <w:rsid w:val="00C74B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64132">
      <w:bodyDiv w:val="1"/>
      <w:marLeft w:val="0"/>
      <w:marRight w:val="0"/>
      <w:marTop w:val="0"/>
      <w:marBottom w:val="0"/>
      <w:divBdr>
        <w:top w:val="none" w:sz="0" w:space="0" w:color="auto"/>
        <w:left w:val="none" w:sz="0" w:space="0" w:color="auto"/>
        <w:bottom w:val="none" w:sz="0" w:space="0" w:color="auto"/>
        <w:right w:val="none" w:sz="0" w:space="0" w:color="auto"/>
      </w:divBdr>
    </w:div>
    <w:div w:id="691152672">
      <w:bodyDiv w:val="1"/>
      <w:marLeft w:val="0"/>
      <w:marRight w:val="0"/>
      <w:marTop w:val="0"/>
      <w:marBottom w:val="0"/>
      <w:divBdr>
        <w:top w:val="none" w:sz="0" w:space="0" w:color="auto"/>
        <w:left w:val="none" w:sz="0" w:space="0" w:color="auto"/>
        <w:bottom w:val="none" w:sz="0" w:space="0" w:color="auto"/>
        <w:right w:val="none" w:sz="0" w:space="0" w:color="auto"/>
      </w:divBdr>
    </w:div>
    <w:div w:id="836723255">
      <w:bodyDiv w:val="1"/>
      <w:marLeft w:val="0"/>
      <w:marRight w:val="0"/>
      <w:marTop w:val="0"/>
      <w:marBottom w:val="0"/>
      <w:divBdr>
        <w:top w:val="none" w:sz="0" w:space="0" w:color="auto"/>
        <w:left w:val="none" w:sz="0" w:space="0" w:color="auto"/>
        <w:bottom w:val="none" w:sz="0" w:space="0" w:color="auto"/>
        <w:right w:val="none" w:sz="0" w:space="0" w:color="auto"/>
      </w:divBdr>
    </w:div>
    <w:div w:id="93659490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074497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7/752/pdfs/uksi_20170752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ba.europa.eu" TargetMode="External"/><Relationship Id="rId4" Type="http://schemas.openxmlformats.org/officeDocument/2006/relationships/settings" Target="settings.xml"/><Relationship Id="rId9" Type="http://schemas.openxmlformats.org/officeDocument/2006/relationships/hyperlink" Target="https://www.fca.org.uk/publication/finalised-guidance/fca-approach-payment-services-electronic-money-201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Departments\Operations\Office%20Management\Templates\Regulatory%20Products\GLs-Rec%20-%20Compliance%20table.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BDA2-C909-4270-A8B8-5D7420D1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GLs-Rec - Compliance table</Template>
  <TotalTime>118</TotalTime>
  <Pages>6</Pages>
  <Words>1295</Words>
  <Characters>7839</Characters>
  <Application>Microsoft Office Word</Application>
  <DocSecurity>0</DocSecurity>
  <Lines>279</Lines>
  <Paragraphs>140</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Faulkner</dc:creator>
  <cp:lastModifiedBy>Lada Hron</cp:lastModifiedBy>
  <cp:revision>13</cp:revision>
  <cp:lastPrinted>2017-07-13T09:58:00Z</cp:lastPrinted>
  <dcterms:created xsi:type="dcterms:W3CDTF">2017-12-07T16:46:00Z</dcterms:created>
  <dcterms:modified xsi:type="dcterms:W3CDTF">2018-05-16T12:16:00Z</dcterms:modified>
</cp:coreProperties>
</file>