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5E" w:rsidRPr="00C5686E" w:rsidRDefault="00C4755E" w:rsidP="00C4755E">
      <w:pPr>
        <w:jc w:val="center"/>
        <w:rPr>
          <w:b/>
          <w:sz w:val="28"/>
          <w:szCs w:val="28"/>
          <w:lang w:val="en-GB"/>
        </w:rPr>
      </w:pPr>
      <w:bookmarkStart w:id="0" w:name="_Toc377132893"/>
      <w:bookmarkStart w:id="1" w:name="_Toc378338275"/>
      <w:bookmarkStart w:id="2" w:name="_Toc378847974"/>
      <w:r w:rsidRPr="00C5686E">
        <w:rPr>
          <w:b/>
          <w:sz w:val="28"/>
          <w:szCs w:val="28"/>
          <w:lang w:val="en-GB"/>
        </w:rPr>
        <w:t>EN</w:t>
      </w:r>
    </w:p>
    <w:p w:rsidR="00C4755E" w:rsidRPr="00C5686E" w:rsidRDefault="00C4755E" w:rsidP="00C4755E">
      <w:pPr>
        <w:jc w:val="center"/>
        <w:rPr>
          <w:b/>
          <w:sz w:val="28"/>
          <w:szCs w:val="28"/>
          <w:lang w:val="en-GB"/>
        </w:rPr>
      </w:pPr>
      <w:r w:rsidRPr="00C5686E">
        <w:rPr>
          <w:b/>
          <w:sz w:val="28"/>
          <w:szCs w:val="28"/>
          <w:lang w:val="en-GB"/>
        </w:rPr>
        <w:t>ANNEX V</w:t>
      </w:r>
    </w:p>
    <w:p w:rsidR="00C4755E" w:rsidRPr="00C5686E" w:rsidRDefault="00C4755E" w:rsidP="00C4755E">
      <w:pPr>
        <w:jc w:val="center"/>
        <w:rPr>
          <w:b/>
          <w:sz w:val="24"/>
          <w:lang w:val="en-GB" w:eastAsia="de-DE"/>
        </w:rPr>
      </w:pPr>
      <w:r w:rsidRPr="00C5686E">
        <w:rPr>
          <w:b/>
          <w:sz w:val="24"/>
          <w:lang w:val="en-GB" w:eastAsia="de-DE"/>
        </w:rPr>
        <w:t>MARKET BENCHMARKING PORTFOLIOS</w:t>
      </w:r>
    </w:p>
    <w:p w:rsidR="00C4755E" w:rsidRPr="00C5686E" w:rsidRDefault="00C4755E" w:rsidP="00C4755E">
      <w:pPr>
        <w:jc w:val="center"/>
        <w:rPr>
          <w:b/>
          <w:sz w:val="24"/>
          <w:lang w:val="en-GB" w:eastAsia="de-DE"/>
        </w:rPr>
      </w:pPr>
    </w:p>
    <w:p w:rsidR="00C4755E" w:rsidRPr="00C5686E" w:rsidRDefault="00C4755E" w:rsidP="00C4755E">
      <w:pPr>
        <w:jc w:val="center"/>
        <w:rPr>
          <w:b/>
          <w:sz w:val="24"/>
          <w:lang w:val="en-GB" w:eastAsia="de-DE"/>
        </w:rPr>
      </w:pPr>
    </w:p>
    <w:p w:rsidR="00EA4DCD" w:rsidRDefault="00C4755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GB" w:eastAsia="en-GB"/>
        </w:rPr>
      </w:pPr>
      <w:r w:rsidRPr="00C5686E">
        <w:rPr>
          <w:rFonts w:ascii="Times New Roman" w:hAnsi="Times New Roman"/>
          <w:szCs w:val="24"/>
          <w:lang w:val="en-GB"/>
        </w:rPr>
        <w:fldChar w:fldCharType="begin"/>
      </w:r>
      <w:r w:rsidRPr="00C5686E">
        <w:rPr>
          <w:rFonts w:ascii="Times New Roman" w:hAnsi="Times New Roman"/>
          <w:szCs w:val="24"/>
          <w:lang w:val="en-GB"/>
        </w:rPr>
        <w:instrText xml:space="preserve"> TOC \o "1-3" \h \z \u </w:instrText>
      </w:r>
      <w:r w:rsidRPr="00C5686E">
        <w:rPr>
          <w:rFonts w:ascii="Times New Roman" w:hAnsi="Times New Roman"/>
          <w:szCs w:val="24"/>
          <w:lang w:val="en-GB"/>
        </w:rPr>
        <w:fldChar w:fldCharType="separate"/>
      </w:r>
      <w:hyperlink w:anchor="_Toc479077165" w:history="1">
        <w:r w:rsidR="00EA4DCD" w:rsidRPr="00F61B48">
          <w:rPr>
            <w:rStyle w:val="Hyperlink"/>
            <w:rFonts w:ascii="Times New Roman" w:hAnsi="Times New Roman"/>
            <w:noProof/>
            <w:lang w:val="en-GB" w:eastAsia="en-GB"/>
          </w:rPr>
          <w:t>COMMON INSTRUCTIONS</w:t>
        </w:r>
        <w:r w:rsidR="00EA4DCD">
          <w:rPr>
            <w:noProof/>
            <w:webHidden/>
          </w:rPr>
          <w:tab/>
        </w:r>
        <w:r w:rsidR="00EA4DCD">
          <w:rPr>
            <w:noProof/>
            <w:webHidden/>
          </w:rPr>
          <w:fldChar w:fldCharType="begin"/>
        </w:r>
        <w:r w:rsidR="00EA4DCD">
          <w:rPr>
            <w:noProof/>
            <w:webHidden/>
          </w:rPr>
          <w:instrText xml:space="preserve"> PAGEREF _Toc479077165 \h </w:instrText>
        </w:r>
        <w:r w:rsidR="00EA4DCD">
          <w:rPr>
            <w:noProof/>
            <w:webHidden/>
          </w:rPr>
        </w:r>
        <w:r w:rsidR="00EA4DCD">
          <w:rPr>
            <w:noProof/>
            <w:webHidden/>
          </w:rPr>
          <w:fldChar w:fldCharType="separate"/>
        </w:r>
        <w:r w:rsidR="00EA4DCD">
          <w:rPr>
            <w:noProof/>
            <w:webHidden/>
          </w:rPr>
          <w:t>2</w:t>
        </w:r>
        <w:r w:rsidR="00EA4DCD">
          <w:rPr>
            <w:noProof/>
            <w:webHidden/>
          </w:rPr>
          <w:fldChar w:fldCharType="end"/>
        </w:r>
      </w:hyperlink>
    </w:p>
    <w:p w:rsidR="00EA4DCD" w:rsidRDefault="00EA4DCD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GB" w:eastAsia="en-GB"/>
        </w:rPr>
      </w:pPr>
      <w:hyperlink w:anchor="_Toc479077166" w:history="1">
        <w:r w:rsidRPr="00F61B48">
          <w:rPr>
            <w:rStyle w:val="Hyperlink"/>
            <w:rFonts w:ascii="Times New Roman" w:hAnsi="Times New Roman"/>
            <w:noProof/>
            <w:lang w:val="en-GB" w:eastAsia="en-GB"/>
          </w:rPr>
          <w:t>Section 1 : Non-Correlation Trading Portfolios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_Toc479077166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A4DCD" w:rsidRDefault="00EA4DCD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GB" w:eastAsia="en-GB"/>
        </w:rPr>
      </w:pPr>
      <w:hyperlink w:anchor="_Toc479077167" w:history="1">
        <w:r w:rsidRPr="00F61B48">
          <w:rPr>
            <w:rStyle w:val="Hyperlink"/>
            <w:rFonts w:ascii="Times New Roman" w:hAnsi="Times New Roman"/>
            <w:noProof/>
            <w:lang w:val="en-GB" w:eastAsia="en-GB"/>
          </w:rPr>
          <w:t>Section 2: Details for portfolios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_Toc479077167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A4DCD" w:rsidRDefault="00EA4DCD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GB" w:eastAsia="en-GB"/>
        </w:rPr>
      </w:pPr>
      <w:hyperlink w:anchor="_Toc479077168" w:history="1">
        <w:r w:rsidRPr="00F61B48">
          <w:rPr>
            <w:rStyle w:val="Hyperlink"/>
            <w:noProof/>
          </w:rPr>
          <w:t>2.1 Details for portfolio n. 11: Knock-out currency option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_Toc479077168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A4DCD" w:rsidRDefault="00EA4DCD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GB" w:eastAsia="en-GB"/>
        </w:rPr>
      </w:pPr>
      <w:hyperlink w:anchor="_Toc479077169" w:history="1">
        <w:r w:rsidRPr="00F61B48">
          <w:rPr>
            <w:rStyle w:val="Hyperlink"/>
            <w:noProof/>
          </w:rPr>
          <w:t>2.2 Details for portfolio n. 12: Double no touch binary currency option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_Toc479077169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A4DCD" w:rsidRDefault="00EA4DCD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GB" w:eastAsia="en-GB"/>
        </w:rPr>
      </w:pPr>
      <w:hyperlink w:anchor="_Toc479077170" w:history="1">
        <w:r w:rsidRPr="00F61B48">
          <w:rPr>
            <w:rStyle w:val="Hyperlink"/>
            <w:rFonts w:ascii="Times New Roman" w:hAnsi="Times New Roman"/>
            <w:noProof/>
            <w:lang w:val="en-GB" w:eastAsia="en-GB"/>
          </w:rPr>
          <w:t>Section 3: Correlation trading portfolios (CTPs)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_Toc479077170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4755E" w:rsidRPr="00C5686E" w:rsidRDefault="00C4755E" w:rsidP="00C4755E">
      <w:pPr>
        <w:jc w:val="left"/>
        <w:rPr>
          <w:b/>
          <w:szCs w:val="22"/>
          <w:lang w:val="en-GB" w:eastAsia="en-GB"/>
        </w:rPr>
      </w:pPr>
      <w:r w:rsidRPr="00C5686E">
        <w:rPr>
          <w:sz w:val="24"/>
          <w:szCs w:val="24"/>
          <w:lang w:val="en-GB"/>
        </w:rPr>
        <w:fldChar w:fldCharType="end"/>
      </w:r>
      <w:r w:rsidRPr="00C5686E">
        <w:rPr>
          <w:b/>
          <w:szCs w:val="22"/>
          <w:lang w:val="en-GB" w:eastAsia="en-GB"/>
        </w:rPr>
        <w:br w:type="page"/>
      </w:r>
    </w:p>
    <w:p w:rsidR="00DD4B2E" w:rsidRPr="00C5686E" w:rsidRDefault="001E6EFD" w:rsidP="001E6EFD">
      <w:pPr>
        <w:pStyle w:val="Heading1"/>
        <w:rPr>
          <w:rFonts w:ascii="Times New Roman" w:hAnsi="Times New Roman"/>
          <w:sz w:val="24"/>
          <w:szCs w:val="24"/>
          <w:u w:val="single"/>
          <w:lang w:val="en-GB" w:eastAsia="en-GB"/>
        </w:rPr>
      </w:pPr>
      <w:bookmarkStart w:id="3" w:name="_Toc479077165"/>
      <w:r w:rsidRPr="00C5686E">
        <w:rPr>
          <w:rFonts w:ascii="Times New Roman" w:hAnsi="Times New Roman"/>
          <w:sz w:val="24"/>
          <w:szCs w:val="24"/>
          <w:u w:val="single"/>
          <w:lang w:val="en-GB" w:eastAsia="en-GB"/>
        </w:rPr>
        <w:lastRenderedPageBreak/>
        <w:t>COMMON INSTRUCTIONS</w:t>
      </w:r>
      <w:bookmarkEnd w:id="3"/>
    </w:p>
    <w:p w:rsidR="004A652A" w:rsidRPr="00C5686E" w:rsidRDefault="00333393" w:rsidP="00C40E9B">
      <w:pPr>
        <w:rPr>
          <w:i/>
          <w:highlight w:val="yellow"/>
          <w:lang w:val="en-GB" w:eastAsia="en-GB"/>
        </w:rPr>
      </w:pPr>
      <w:r w:rsidRPr="00C5686E">
        <w:rPr>
          <w:lang w:val="en-GB" w:eastAsia="en-GB"/>
        </w:rPr>
        <w:t xml:space="preserve">An institution </w:t>
      </w:r>
      <w:r w:rsidR="005C47B8" w:rsidRPr="00C5686E">
        <w:rPr>
          <w:lang w:val="en-GB" w:eastAsia="en-GB"/>
        </w:rPr>
        <w:t>shall appl</w:t>
      </w:r>
      <w:r w:rsidRPr="00C5686E">
        <w:rPr>
          <w:lang w:val="en-GB" w:eastAsia="en-GB"/>
        </w:rPr>
        <w:t>y</w:t>
      </w:r>
      <w:r w:rsidR="0011623E">
        <w:rPr>
          <w:lang w:val="en-GB" w:eastAsia="en-GB"/>
        </w:rPr>
        <w:t xml:space="preserve"> all of</w:t>
      </w:r>
      <w:r w:rsidRPr="00C5686E">
        <w:rPr>
          <w:lang w:val="en-GB" w:eastAsia="en-GB"/>
        </w:rPr>
        <w:t xml:space="preserve"> the following</w:t>
      </w:r>
      <w:r w:rsidR="005C47B8" w:rsidRPr="00C5686E">
        <w:rPr>
          <w:lang w:val="en-GB" w:eastAsia="en-GB"/>
        </w:rPr>
        <w:t>:</w:t>
      </w:r>
    </w:p>
    <w:p w:rsidR="00DD4B2E" w:rsidRPr="00C5686E" w:rsidRDefault="00DD4B2E" w:rsidP="00DD4B2E">
      <w:pPr>
        <w:rPr>
          <w:lang w:val="en-GB" w:eastAsia="en-GB"/>
        </w:rPr>
      </w:pPr>
    </w:p>
    <w:p w:rsidR="00DD4B2E" w:rsidRPr="00C5686E" w:rsidRDefault="00DD4B2E" w:rsidP="00DD4B2E">
      <w:pPr>
        <w:pStyle w:val="ListParagraph"/>
        <w:numPr>
          <w:ilvl w:val="0"/>
          <w:numId w:val="15"/>
        </w:numPr>
        <w:rPr>
          <w:lang w:val="en-GB" w:eastAsia="en-GB"/>
        </w:rPr>
      </w:pPr>
      <w:r w:rsidRPr="00C5686E">
        <w:rPr>
          <w:lang w:val="en-GB" w:eastAsia="en-GB"/>
        </w:rPr>
        <w:t xml:space="preserve">Unless explicitly specified </w:t>
      </w:r>
      <w:r w:rsidR="00CF071E" w:rsidRPr="00C5686E">
        <w:rPr>
          <w:lang w:val="en-GB" w:eastAsia="en-GB"/>
        </w:rPr>
        <w:t xml:space="preserve">otherwise </w:t>
      </w:r>
      <w:r w:rsidRPr="00C5686E">
        <w:rPr>
          <w:lang w:val="en-GB" w:eastAsia="en-GB"/>
        </w:rPr>
        <w:t>in the portfolio description, all</w:t>
      </w:r>
      <w:r w:rsidR="007C4164" w:rsidRPr="00C5686E">
        <w:rPr>
          <w:lang w:val="en-GB" w:eastAsia="en-GB"/>
        </w:rPr>
        <w:t xml:space="preserve"> </w:t>
      </w:r>
      <w:r w:rsidRPr="00C5686E">
        <w:rPr>
          <w:lang w:val="en-GB" w:eastAsia="en-GB"/>
        </w:rPr>
        <w:t xml:space="preserve">positions </w:t>
      </w:r>
      <w:r w:rsidR="005C47B8" w:rsidRPr="00C5686E">
        <w:rPr>
          <w:lang w:val="en-GB" w:eastAsia="en-GB"/>
        </w:rPr>
        <w:t xml:space="preserve">shall be </w:t>
      </w:r>
      <w:r w:rsidR="005E404F" w:rsidRPr="00C5686E">
        <w:rPr>
          <w:lang w:val="en-GB" w:eastAsia="en-GB"/>
        </w:rPr>
        <w:t>booked</w:t>
      </w:r>
      <w:r w:rsidRPr="00C5686E">
        <w:rPr>
          <w:lang w:val="en-GB" w:eastAsia="en-GB"/>
        </w:rPr>
        <w:t xml:space="preserve"> </w:t>
      </w:r>
      <w:r w:rsidR="00515B52">
        <w:rPr>
          <w:lang w:val="en-GB" w:eastAsia="en-GB"/>
        </w:rPr>
        <w:t>1</w:t>
      </w:r>
      <w:r w:rsidR="004F2C75">
        <w:rPr>
          <w:lang w:val="en-GB" w:eastAsia="en-GB"/>
        </w:rPr>
        <w:t>2</w:t>
      </w:r>
      <w:r w:rsidR="00515B52">
        <w:rPr>
          <w:lang w:val="en-GB" w:eastAsia="en-GB"/>
        </w:rPr>
        <w:t xml:space="preserve"> October 201</w:t>
      </w:r>
      <w:r w:rsidR="004F2C75">
        <w:rPr>
          <w:lang w:val="en-GB" w:eastAsia="en-GB"/>
        </w:rPr>
        <w:t>7</w:t>
      </w:r>
      <w:r w:rsidR="007C4164" w:rsidRPr="00C5686E">
        <w:rPr>
          <w:lang w:val="en-GB" w:eastAsia="en-GB"/>
        </w:rPr>
        <w:t>.</w:t>
      </w:r>
      <w:r w:rsidRPr="00C5686E">
        <w:rPr>
          <w:lang w:val="en-GB" w:eastAsia="en-GB"/>
        </w:rPr>
        <w:t xml:space="preserve"> </w:t>
      </w:r>
      <w:r w:rsidR="007C4164" w:rsidRPr="00C5686E">
        <w:rPr>
          <w:lang w:val="en-GB" w:eastAsia="en-GB"/>
        </w:rPr>
        <w:t>O</w:t>
      </w:r>
      <w:r w:rsidRPr="00C5686E">
        <w:rPr>
          <w:lang w:val="en-GB" w:eastAsia="en-GB"/>
        </w:rPr>
        <w:t xml:space="preserve">nce positions have been </w:t>
      </w:r>
      <w:r w:rsidR="00F8227F" w:rsidRPr="00C5686E">
        <w:rPr>
          <w:lang w:val="en-GB" w:eastAsia="en-GB"/>
        </w:rPr>
        <w:t>booked</w:t>
      </w:r>
      <w:r w:rsidRPr="00C5686E">
        <w:rPr>
          <w:lang w:val="en-GB" w:eastAsia="en-GB"/>
        </w:rPr>
        <w:t xml:space="preserve">, each portfolio </w:t>
      </w:r>
      <w:r w:rsidR="00357F76" w:rsidRPr="00C5686E">
        <w:rPr>
          <w:lang w:val="en-GB" w:eastAsia="en-GB"/>
        </w:rPr>
        <w:t xml:space="preserve">shall </w:t>
      </w:r>
      <w:r w:rsidRPr="00C5686E">
        <w:rPr>
          <w:lang w:val="en-GB" w:eastAsia="en-GB"/>
        </w:rPr>
        <w:t xml:space="preserve">age for the duration of the </w:t>
      </w:r>
      <w:r w:rsidR="007C4164" w:rsidRPr="00C5686E">
        <w:rPr>
          <w:lang w:val="en-GB" w:eastAsia="en-GB"/>
        </w:rPr>
        <w:t xml:space="preserve">benchmarking </w:t>
      </w:r>
      <w:r w:rsidRPr="00C5686E">
        <w:rPr>
          <w:lang w:val="en-GB" w:eastAsia="en-GB"/>
        </w:rPr>
        <w:t xml:space="preserve">exercise. Furthermore, </w:t>
      </w:r>
      <w:r w:rsidR="00333393" w:rsidRPr="00C5686E">
        <w:rPr>
          <w:lang w:val="en-GB" w:eastAsia="en-GB"/>
        </w:rPr>
        <w:t xml:space="preserve">calculations shall be done under the </w:t>
      </w:r>
      <w:r w:rsidRPr="00C5686E">
        <w:rPr>
          <w:lang w:val="en-GB" w:eastAsia="en-GB"/>
        </w:rPr>
        <w:t>assum</w:t>
      </w:r>
      <w:r w:rsidR="00333393" w:rsidRPr="00C5686E">
        <w:rPr>
          <w:lang w:val="en-GB" w:eastAsia="en-GB"/>
        </w:rPr>
        <w:t>ption</w:t>
      </w:r>
      <w:r w:rsidR="007C4164" w:rsidRPr="00C5686E">
        <w:rPr>
          <w:lang w:val="en-GB" w:eastAsia="en-GB"/>
        </w:rPr>
        <w:t xml:space="preserve"> </w:t>
      </w:r>
      <w:r w:rsidR="00CF071E" w:rsidRPr="00C5686E">
        <w:rPr>
          <w:lang w:val="en-GB" w:eastAsia="en-GB"/>
        </w:rPr>
        <w:t xml:space="preserve">that </w:t>
      </w:r>
      <w:r w:rsidRPr="00C5686E">
        <w:rPr>
          <w:lang w:val="en-GB" w:eastAsia="en-GB"/>
        </w:rPr>
        <w:t xml:space="preserve">the </w:t>
      </w:r>
      <w:r w:rsidR="00CF071E" w:rsidRPr="00C5686E">
        <w:rPr>
          <w:lang w:val="en-GB" w:eastAsia="en-GB"/>
        </w:rPr>
        <w:t>institution</w:t>
      </w:r>
      <w:r w:rsidRPr="00C5686E">
        <w:rPr>
          <w:lang w:val="en-GB" w:eastAsia="en-GB"/>
        </w:rPr>
        <w:t xml:space="preserve"> does not take any action to manage the portfolio in any way during the entire period</w:t>
      </w:r>
      <w:r w:rsidR="0011623E">
        <w:rPr>
          <w:lang w:val="en-GB" w:eastAsia="en-GB"/>
        </w:rPr>
        <w:t xml:space="preserve"> of the benchmarking exercise</w:t>
      </w:r>
      <w:r w:rsidRPr="00C5686E">
        <w:rPr>
          <w:lang w:val="en-GB" w:eastAsia="en-GB"/>
        </w:rPr>
        <w:t>. Unless explicitly stated otherwise in the specifications for a particular portfolio, strike prices for option positions sh</w:t>
      </w:r>
      <w:r w:rsidR="00F0122C" w:rsidRPr="00C5686E">
        <w:rPr>
          <w:lang w:val="en-GB" w:eastAsia="en-GB"/>
        </w:rPr>
        <w:t>all</w:t>
      </w:r>
      <w:r w:rsidRPr="00C5686E">
        <w:rPr>
          <w:lang w:val="en-GB" w:eastAsia="en-GB"/>
        </w:rPr>
        <w:t xml:space="preserve"> be determined relative to prices for the underlying as observed at market close </w:t>
      </w:r>
      <w:r w:rsidR="00F0122C" w:rsidRPr="00C5686E">
        <w:rPr>
          <w:lang w:val="en-GB" w:eastAsia="en-GB"/>
        </w:rPr>
        <w:t>on</w:t>
      </w:r>
      <w:r w:rsidR="00515B52">
        <w:rPr>
          <w:lang w:val="en-GB" w:eastAsia="en-GB"/>
        </w:rPr>
        <w:t>1</w:t>
      </w:r>
      <w:r w:rsidR="004F2C75">
        <w:rPr>
          <w:lang w:val="en-GB" w:eastAsia="en-GB"/>
        </w:rPr>
        <w:t>2</w:t>
      </w:r>
      <w:r w:rsidR="00515B52">
        <w:rPr>
          <w:lang w:val="en-GB" w:eastAsia="en-GB"/>
        </w:rPr>
        <w:t xml:space="preserve"> October 201</w:t>
      </w:r>
      <w:r w:rsidR="004F2C75">
        <w:rPr>
          <w:lang w:val="en-GB" w:eastAsia="en-GB"/>
        </w:rPr>
        <w:t>7</w:t>
      </w:r>
      <w:r w:rsidRPr="00C5686E">
        <w:rPr>
          <w:lang w:val="en-GB" w:eastAsia="en-GB"/>
        </w:rPr>
        <w:t>.</w:t>
      </w:r>
    </w:p>
    <w:p w:rsidR="00DD4B2E" w:rsidRPr="00C5686E" w:rsidRDefault="00DD4B2E" w:rsidP="00DD4B2E">
      <w:pPr>
        <w:pStyle w:val="ListParagraph"/>
        <w:rPr>
          <w:lang w:val="en-GB" w:eastAsia="en-GB"/>
        </w:rPr>
      </w:pPr>
    </w:p>
    <w:p w:rsidR="00B31C89" w:rsidRPr="00C5686E" w:rsidRDefault="00DD4B2E" w:rsidP="00B31C89">
      <w:pPr>
        <w:pStyle w:val="ListParagraph"/>
        <w:numPr>
          <w:ilvl w:val="0"/>
          <w:numId w:val="15"/>
        </w:numPr>
        <w:rPr>
          <w:lang w:val="en-GB" w:eastAsia="en-GB"/>
        </w:rPr>
      </w:pPr>
      <w:r w:rsidRPr="00C5686E">
        <w:rPr>
          <w:lang w:val="en-GB" w:eastAsia="en-GB"/>
        </w:rPr>
        <w:t xml:space="preserve">For the purpose of </w:t>
      </w:r>
      <w:r w:rsidR="00333393" w:rsidRPr="00C5686E">
        <w:rPr>
          <w:lang w:val="en-GB" w:eastAsia="en-GB"/>
        </w:rPr>
        <w:t xml:space="preserve">the </w:t>
      </w:r>
      <w:r w:rsidRPr="00C5686E">
        <w:rPr>
          <w:lang w:val="en-GB" w:eastAsia="en-GB"/>
        </w:rPr>
        <w:t>pre-</w:t>
      </w:r>
      <w:r w:rsidR="0011623E">
        <w:rPr>
          <w:lang w:val="en-GB" w:eastAsia="en-GB"/>
        </w:rPr>
        <w:t>benchmarking</w:t>
      </w:r>
      <w:r w:rsidR="00624A5D">
        <w:rPr>
          <w:lang w:val="en-GB" w:eastAsia="en-GB"/>
        </w:rPr>
        <w:t xml:space="preserve"> </w:t>
      </w:r>
      <w:r w:rsidRPr="00C5686E">
        <w:rPr>
          <w:lang w:val="en-GB" w:eastAsia="en-GB"/>
        </w:rPr>
        <w:t>exercise validation</w:t>
      </w:r>
      <w:r w:rsidR="00F0122C" w:rsidRPr="00C5686E">
        <w:rPr>
          <w:lang w:val="en-GB" w:eastAsia="en-GB"/>
        </w:rPr>
        <w:t>,</w:t>
      </w:r>
      <w:r w:rsidRPr="00C5686E">
        <w:rPr>
          <w:lang w:val="en-GB" w:eastAsia="en-GB"/>
        </w:rPr>
        <w:t xml:space="preserve"> the valuation of each portfolio</w:t>
      </w:r>
      <w:r w:rsidR="00F0122C" w:rsidRPr="00C5686E">
        <w:rPr>
          <w:lang w:val="en-GB" w:eastAsia="en-GB"/>
        </w:rPr>
        <w:t xml:space="preserve"> </w:t>
      </w:r>
      <w:r w:rsidR="00333393" w:rsidRPr="00C5686E">
        <w:rPr>
          <w:lang w:val="en-GB" w:eastAsia="en-GB"/>
        </w:rPr>
        <w:t xml:space="preserve">shall be submitted to the institution's competent authority </w:t>
      </w:r>
      <w:r w:rsidR="006B431E">
        <w:rPr>
          <w:lang w:val="en-GB" w:eastAsia="en-GB"/>
        </w:rPr>
        <w:t>by</w:t>
      </w:r>
      <w:r w:rsidR="0002140F">
        <w:rPr>
          <w:lang w:val="en-GB" w:eastAsia="en-GB"/>
        </w:rPr>
        <w:t xml:space="preserve"> </w:t>
      </w:r>
      <w:r w:rsidR="004F2C75">
        <w:rPr>
          <w:lang w:val="en-GB" w:eastAsia="en-GB"/>
        </w:rPr>
        <w:t>3</w:t>
      </w:r>
      <w:r w:rsidR="007A35F0">
        <w:rPr>
          <w:lang w:val="en-GB" w:eastAsia="en-GB"/>
        </w:rPr>
        <w:t xml:space="preserve"> November 201</w:t>
      </w:r>
      <w:r w:rsidR="004F2C75">
        <w:rPr>
          <w:lang w:val="en-GB" w:eastAsia="en-GB"/>
        </w:rPr>
        <w:t>7</w:t>
      </w:r>
      <w:r w:rsidRPr="00C5686E">
        <w:rPr>
          <w:lang w:val="en-GB" w:eastAsia="en-GB"/>
        </w:rPr>
        <w:t xml:space="preserve">. </w:t>
      </w:r>
      <w:r w:rsidR="00B31C89" w:rsidRPr="00C5686E">
        <w:rPr>
          <w:lang w:val="en-GB" w:eastAsia="en-GB"/>
        </w:rPr>
        <w:t xml:space="preserve">The exact timing of the </w:t>
      </w:r>
      <w:r w:rsidR="00B31C89">
        <w:rPr>
          <w:lang w:val="en-GB" w:eastAsia="en-GB"/>
        </w:rPr>
        <w:t xml:space="preserve">initial market </w:t>
      </w:r>
      <w:r w:rsidR="00B31C89" w:rsidRPr="00C5686E">
        <w:rPr>
          <w:lang w:val="en-GB" w:eastAsia="en-GB"/>
        </w:rPr>
        <w:t>valuation shall be</w:t>
      </w:r>
      <w:r w:rsidR="00B31C89">
        <w:rPr>
          <w:lang w:val="en-GB" w:eastAsia="en-GB"/>
        </w:rPr>
        <w:t xml:space="preserve"> 27 October 2017</w:t>
      </w:r>
      <w:r w:rsidR="00B31C89" w:rsidRPr="00C5686E">
        <w:rPr>
          <w:lang w:val="en-GB" w:eastAsia="en-GB"/>
        </w:rPr>
        <w:t>, 5.30 pm CET</w:t>
      </w:r>
      <w:r w:rsidR="00B31C89">
        <w:rPr>
          <w:lang w:val="en-GB" w:eastAsia="en-GB"/>
        </w:rPr>
        <w:t xml:space="preserve"> (4.30 pm GMT)</w:t>
      </w:r>
      <w:r w:rsidR="00B31C89" w:rsidRPr="00C5686E">
        <w:rPr>
          <w:lang w:val="en-GB" w:eastAsia="en-GB"/>
        </w:rPr>
        <w:t>.</w:t>
      </w:r>
    </w:p>
    <w:p w:rsidR="00DD4B2E" w:rsidRDefault="0002140F" w:rsidP="000D6B72">
      <w:pPr>
        <w:pStyle w:val="ListParagraph"/>
        <w:rPr>
          <w:lang w:val="en-GB" w:eastAsia="en-GB"/>
        </w:rPr>
      </w:pPr>
      <w:r>
        <w:rPr>
          <w:lang w:val="en-GB" w:eastAsia="en-GB"/>
        </w:rPr>
        <w:t>Initial Market Valuation (IMV</w:t>
      </w:r>
      <w:r w:rsidR="00540B9F">
        <w:rPr>
          <w:lang w:val="en-GB" w:eastAsia="en-GB"/>
        </w:rPr>
        <w:t>)</w:t>
      </w:r>
      <w:r w:rsidR="00020B2B" w:rsidRPr="00020B2B">
        <w:rPr>
          <w:lang w:val="en-GB" w:eastAsia="en-GB"/>
        </w:rPr>
        <w:t xml:space="preserve"> </w:t>
      </w:r>
      <w:r w:rsidR="00020B2B">
        <w:rPr>
          <w:lang w:val="en-GB" w:eastAsia="en-GB"/>
        </w:rPr>
        <w:t xml:space="preserve">means </w:t>
      </w:r>
      <w:r w:rsidR="00020B2B" w:rsidRPr="009A6A65">
        <w:rPr>
          <w:lang w:val="en-GB" w:eastAsia="en-GB"/>
        </w:rPr>
        <w:t>the</w:t>
      </w:r>
      <w:r w:rsidR="00020B2B">
        <w:rPr>
          <w:lang w:val="en-GB" w:eastAsia="en-GB"/>
        </w:rPr>
        <w:t xml:space="preserve"> market value at the booking date plus the</w:t>
      </w:r>
      <w:r w:rsidR="00020B2B" w:rsidRPr="009A6A65">
        <w:rPr>
          <w:lang w:val="en-GB" w:eastAsia="en-GB"/>
        </w:rPr>
        <w:t xml:space="preserve"> unrealised balance (i.e. profit or loss that has been made but not yet realized or it would be realized if the position is closed out (or “unwound”))</w:t>
      </w:r>
      <w:r w:rsidR="00020B2B">
        <w:rPr>
          <w:lang w:val="en-GB" w:eastAsia="en-GB"/>
        </w:rPr>
        <w:t xml:space="preserve"> until the valuation date and time</w:t>
      </w:r>
      <w:r w:rsidR="00B31C89">
        <w:rPr>
          <w:lang w:val="en-GB" w:eastAsia="en-GB"/>
        </w:rPr>
        <w:t xml:space="preserve">; i.e. </w:t>
      </w:r>
      <w:proofErr w:type="spellStart"/>
      <w:r w:rsidR="00881545">
        <w:rPr>
          <w:lang w:val="en-GB" w:eastAsia="en-GB"/>
        </w:rPr>
        <w:t>MtM</w:t>
      </w:r>
      <w:proofErr w:type="spellEnd"/>
      <w:r w:rsidR="00881545">
        <w:rPr>
          <w:lang w:val="en-GB" w:eastAsia="en-GB"/>
        </w:rPr>
        <w:t xml:space="preserve"> (12/10/201</w:t>
      </w:r>
      <w:r w:rsidR="00280A0B">
        <w:rPr>
          <w:lang w:val="en-GB" w:eastAsia="en-GB"/>
        </w:rPr>
        <w:t>7</w:t>
      </w:r>
      <w:r w:rsidR="00881545">
        <w:rPr>
          <w:lang w:val="en-GB" w:eastAsia="en-GB"/>
        </w:rPr>
        <w:t xml:space="preserve">) + </w:t>
      </w:r>
      <w:r w:rsidR="00B31C89">
        <w:rPr>
          <w:lang w:val="en-GB" w:eastAsia="en-GB"/>
        </w:rPr>
        <w:t>{</w:t>
      </w:r>
      <w:proofErr w:type="spellStart"/>
      <w:r w:rsidR="00B31C89">
        <w:rPr>
          <w:lang w:val="en-GB" w:eastAsia="en-GB"/>
        </w:rPr>
        <w:t>MtM</w:t>
      </w:r>
      <w:proofErr w:type="spellEnd"/>
      <w:r w:rsidR="00B31C89">
        <w:rPr>
          <w:lang w:val="en-GB" w:eastAsia="en-GB"/>
        </w:rPr>
        <w:t xml:space="preserve"> (27/10/201</w:t>
      </w:r>
      <w:r w:rsidR="00280A0B">
        <w:rPr>
          <w:lang w:val="en-GB" w:eastAsia="en-GB"/>
        </w:rPr>
        <w:t>7</w:t>
      </w:r>
      <w:r w:rsidR="00B31C89">
        <w:rPr>
          <w:lang w:val="en-GB" w:eastAsia="en-GB"/>
        </w:rPr>
        <w:t xml:space="preserve">, 5:30 </w:t>
      </w:r>
      <w:r w:rsidR="00840D88">
        <w:rPr>
          <w:lang w:val="en-GB" w:eastAsia="en-GB"/>
        </w:rPr>
        <w:t>CET</w:t>
      </w:r>
      <w:r w:rsidR="00B31C89">
        <w:rPr>
          <w:lang w:val="en-GB" w:eastAsia="en-GB"/>
        </w:rPr>
        <w:t xml:space="preserve">) – </w:t>
      </w:r>
      <w:proofErr w:type="spellStart"/>
      <w:r w:rsidR="00B31C89">
        <w:rPr>
          <w:lang w:val="en-GB" w:eastAsia="en-GB"/>
        </w:rPr>
        <w:t>MtM</w:t>
      </w:r>
      <w:proofErr w:type="spellEnd"/>
      <w:r w:rsidR="00B31C89">
        <w:rPr>
          <w:lang w:val="en-GB" w:eastAsia="en-GB"/>
        </w:rPr>
        <w:t xml:space="preserve"> (12/10/201</w:t>
      </w:r>
      <w:r w:rsidR="00280A0B">
        <w:rPr>
          <w:lang w:val="en-GB" w:eastAsia="en-GB"/>
        </w:rPr>
        <w:t>7</w:t>
      </w:r>
      <w:r w:rsidR="00B31C89">
        <w:rPr>
          <w:lang w:val="en-GB" w:eastAsia="en-GB"/>
        </w:rPr>
        <w:t xml:space="preserve">)}, where </w:t>
      </w:r>
      <w:proofErr w:type="spellStart"/>
      <w:r w:rsidR="00B31C89">
        <w:rPr>
          <w:lang w:val="en-GB" w:eastAsia="en-GB"/>
        </w:rPr>
        <w:t>MtM</w:t>
      </w:r>
      <w:proofErr w:type="spellEnd"/>
      <w:r w:rsidR="00B31C89">
        <w:rPr>
          <w:lang w:val="en-GB" w:eastAsia="en-GB"/>
        </w:rPr>
        <w:t xml:space="preserve"> stands for Mark to Market. </w:t>
      </w:r>
      <w:r w:rsidR="00881545">
        <w:rPr>
          <w:lang w:val="en-GB" w:eastAsia="en-GB"/>
        </w:rPr>
        <w:t xml:space="preserve">Therefore, </w:t>
      </w:r>
      <w:r w:rsidR="00881545" w:rsidRPr="00881545">
        <w:rPr>
          <w:lang w:val="en-GB" w:eastAsia="en-GB"/>
        </w:rPr>
        <w:t>it is the market value of the portfolio a</w:t>
      </w:r>
      <w:r w:rsidR="00E80820">
        <w:rPr>
          <w:lang w:val="en-GB" w:eastAsia="en-GB"/>
        </w:rPr>
        <w:t>t</w:t>
      </w:r>
      <w:r w:rsidR="00881545" w:rsidRPr="00881545">
        <w:rPr>
          <w:lang w:val="en-GB" w:eastAsia="en-GB"/>
        </w:rPr>
        <w:t xml:space="preserve"> the valuation date and time.</w:t>
      </w:r>
    </w:p>
    <w:p w:rsidR="00DD4B2E" w:rsidRPr="00650394" w:rsidRDefault="00DD4B2E" w:rsidP="00E80820">
      <w:pPr>
        <w:rPr>
          <w:lang w:val="en-GB" w:eastAsia="en-GB"/>
        </w:rPr>
      </w:pPr>
    </w:p>
    <w:p w:rsidR="00DD4B2E" w:rsidRPr="00C5686E" w:rsidRDefault="00333393" w:rsidP="00DD4B2E">
      <w:pPr>
        <w:pStyle w:val="ListParagraph"/>
        <w:numPr>
          <w:ilvl w:val="0"/>
          <w:numId w:val="15"/>
        </w:numPr>
        <w:rPr>
          <w:lang w:val="en-GB" w:eastAsia="en-GB"/>
        </w:rPr>
      </w:pPr>
      <w:r w:rsidRPr="00C5686E">
        <w:rPr>
          <w:lang w:val="en-GB" w:eastAsia="en-GB"/>
        </w:rPr>
        <w:t>T</w:t>
      </w:r>
      <w:r w:rsidR="00DD4B2E" w:rsidRPr="00C5686E">
        <w:rPr>
          <w:lang w:val="en-GB" w:eastAsia="en-GB"/>
        </w:rPr>
        <w:t xml:space="preserve">he risks of the positions </w:t>
      </w:r>
      <w:r w:rsidRPr="00C5686E">
        <w:rPr>
          <w:lang w:val="en-GB" w:eastAsia="en-GB"/>
        </w:rPr>
        <w:t xml:space="preserve">shall be calculated </w:t>
      </w:r>
      <w:r w:rsidR="00DD4B2E" w:rsidRPr="00C5686E">
        <w:rPr>
          <w:lang w:val="en-GB" w:eastAsia="en-GB"/>
        </w:rPr>
        <w:t>without taking into account the funding costs</w:t>
      </w:r>
      <w:r w:rsidR="007A35F0">
        <w:rPr>
          <w:lang w:val="en-GB" w:eastAsia="en-GB"/>
        </w:rPr>
        <w:t>.</w:t>
      </w:r>
      <w:r w:rsidR="00DD4B2E" w:rsidRPr="00C5686E">
        <w:rPr>
          <w:lang w:val="en-GB" w:eastAsia="en-GB"/>
        </w:rPr>
        <w:t xml:space="preserve"> </w:t>
      </w:r>
    </w:p>
    <w:p w:rsidR="00DD4B2E" w:rsidRPr="00C5686E" w:rsidRDefault="00DD4B2E" w:rsidP="00DD4B2E">
      <w:pPr>
        <w:pStyle w:val="ListParagraph"/>
        <w:rPr>
          <w:lang w:val="en-GB" w:eastAsia="en-GB"/>
        </w:rPr>
      </w:pPr>
    </w:p>
    <w:p w:rsidR="00DD4B2E" w:rsidRPr="00C5686E" w:rsidRDefault="00333393" w:rsidP="00DD4B2E">
      <w:pPr>
        <w:pStyle w:val="ListParagraph"/>
        <w:numPr>
          <w:ilvl w:val="0"/>
          <w:numId w:val="15"/>
        </w:numPr>
        <w:rPr>
          <w:lang w:val="en-GB" w:eastAsia="en-GB"/>
        </w:rPr>
      </w:pPr>
      <w:r w:rsidRPr="00C5686E">
        <w:rPr>
          <w:lang w:val="en-GB" w:eastAsia="en-GB"/>
        </w:rPr>
        <w:t>T</w:t>
      </w:r>
      <w:r w:rsidR="00DD4B2E" w:rsidRPr="00C5686E">
        <w:rPr>
          <w:lang w:val="en-GB" w:eastAsia="en-GB"/>
        </w:rPr>
        <w:t>o the extent possible</w:t>
      </w:r>
      <w:r w:rsidRPr="00C5686E">
        <w:rPr>
          <w:lang w:val="en-GB" w:eastAsia="en-GB"/>
        </w:rPr>
        <w:t>,</w:t>
      </w:r>
      <w:r w:rsidR="00DD4B2E" w:rsidRPr="00C5686E">
        <w:rPr>
          <w:lang w:val="en-GB" w:eastAsia="en-GB"/>
        </w:rPr>
        <w:t xml:space="preserve"> counterparty credit risk </w:t>
      </w:r>
      <w:r w:rsidRPr="00C5686E">
        <w:rPr>
          <w:lang w:val="en-GB" w:eastAsia="en-GB"/>
        </w:rPr>
        <w:t xml:space="preserve">shall be excluded </w:t>
      </w:r>
      <w:r w:rsidR="00DD4B2E" w:rsidRPr="00C5686E">
        <w:rPr>
          <w:lang w:val="en-GB" w:eastAsia="en-GB"/>
        </w:rPr>
        <w:t>when valuing the risks of the portfolios.</w:t>
      </w:r>
    </w:p>
    <w:p w:rsidR="00DD4B2E" w:rsidRPr="00C5686E" w:rsidRDefault="00DD4B2E" w:rsidP="00DD4B2E">
      <w:pPr>
        <w:pStyle w:val="ListParagraph"/>
        <w:rPr>
          <w:lang w:val="en-GB" w:eastAsia="en-GB"/>
        </w:rPr>
      </w:pPr>
    </w:p>
    <w:p w:rsidR="0036499C" w:rsidRDefault="00333393" w:rsidP="007A35F0">
      <w:pPr>
        <w:pStyle w:val="ListParagraph"/>
        <w:numPr>
          <w:ilvl w:val="0"/>
          <w:numId w:val="15"/>
        </w:numPr>
        <w:rPr>
          <w:lang w:val="en-GB" w:eastAsia="en-GB"/>
        </w:rPr>
      </w:pPr>
      <w:r w:rsidRPr="00C5686E">
        <w:rPr>
          <w:lang w:val="en-GB" w:eastAsia="en-GB"/>
        </w:rPr>
        <w:t xml:space="preserve">The </w:t>
      </w:r>
      <w:r w:rsidR="00DD4B2E" w:rsidRPr="00C5686E">
        <w:rPr>
          <w:lang w:val="en-GB" w:eastAsia="en-GB"/>
        </w:rPr>
        <w:t xml:space="preserve">10-day 99% </w:t>
      </w:r>
      <w:proofErr w:type="spellStart"/>
      <w:r w:rsidR="00DD4B2E" w:rsidRPr="00C5686E">
        <w:rPr>
          <w:lang w:val="en-GB" w:eastAsia="en-GB"/>
        </w:rPr>
        <w:t>VaR</w:t>
      </w:r>
      <w:proofErr w:type="spellEnd"/>
      <w:r w:rsidR="00DD4B2E" w:rsidRPr="00C5686E">
        <w:rPr>
          <w:lang w:val="en-GB" w:eastAsia="en-GB"/>
        </w:rPr>
        <w:t xml:space="preserve"> </w:t>
      </w:r>
      <w:r w:rsidRPr="00C5686E">
        <w:rPr>
          <w:lang w:val="en-GB" w:eastAsia="en-GB"/>
        </w:rPr>
        <w:t xml:space="preserve">shall be calculated </w:t>
      </w:r>
      <w:r w:rsidR="00DD4B2E" w:rsidRPr="00C5686E">
        <w:rPr>
          <w:lang w:val="en-GB" w:eastAsia="en-GB"/>
        </w:rPr>
        <w:t xml:space="preserve">on a daily basis. Stressed </w:t>
      </w:r>
      <w:r w:rsidR="00DA5C2A" w:rsidRPr="00C5686E">
        <w:rPr>
          <w:lang w:val="en-GB" w:eastAsia="en-GB"/>
        </w:rPr>
        <w:t>V</w:t>
      </w:r>
      <w:r w:rsidRPr="00C5686E">
        <w:rPr>
          <w:lang w:val="en-GB" w:eastAsia="en-GB"/>
        </w:rPr>
        <w:t>alue-at-</w:t>
      </w:r>
      <w:r w:rsidR="00DA5C2A" w:rsidRPr="00C5686E">
        <w:rPr>
          <w:lang w:val="en-GB" w:eastAsia="en-GB"/>
        </w:rPr>
        <w:t>R</w:t>
      </w:r>
      <w:r w:rsidRPr="00C5686E">
        <w:rPr>
          <w:lang w:val="en-GB" w:eastAsia="en-GB"/>
        </w:rPr>
        <w:t>isk (‘</w:t>
      </w:r>
      <w:proofErr w:type="spellStart"/>
      <w:r w:rsidRPr="00C5686E">
        <w:rPr>
          <w:lang w:val="en-GB" w:eastAsia="en-GB"/>
        </w:rPr>
        <w:t>s</w:t>
      </w:r>
      <w:r w:rsidR="00DD4B2E" w:rsidRPr="00C5686E">
        <w:rPr>
          <w:lang w:val="en-GB" w:eastAsia="en-GB"/>
        </w:rPr>
        <w:t>VaR</w:t>
      </w:r>
      <w:proofErr w:type="spellEnd"/>
      <w:r w:rsidRPr="00C5686E">
        <w:rPr>
          <w:lang w:val="en-GB" w:eastAsia="en-GB"/>
        </w:rPr>
        <w:t>’</w:t>
      </w:r>
      <w:r w:rsidRPr="00C5686E">
        <w:rPr>
          <w:i/>
          <w:lang w:val="en-GB" w:eastAsia="en-GB"/>
        </w:rPr>
        <w:t>)</w:t>
      </w:r>
      <w:r w:rsidR="00DD4B2E" w:rsidRPr="00C5686E">
        <w:rPr>
          <w:lang w:val="en-GB" w:eastAsia="en-GB"/>
        </w:rPr>
        <w:t xml:space="preserve"> and </w:t>
      </w:r>
      <w:r w:rsidR="00DA5C2A" w:rsidRPr="00C5686E">
        <w:rPr>
          <w:lang w:val="en-GB" w:eastAsia="en-GB"/>
        </w:rPr>
        <w:t>the I</w:t>
      </w:r>
      <w:r w:rsidRPr="00C5686E">
        <w:rPr>
          <w:lang w:val="en-GB" w:eastAsia="en-GB"/>
        </w:rPr>
        <w:t xml:space="preserve">ncremental </w:t>
      </w:r>
      <w:r w:rsidR="00DA5C2A" w:rsidRPr="00C5686E">
        <w:rPr>
          <w:lang w:val="en-GB" w:eastAsia="en-GB"/>
        </w:rPr>
        <w:t>R</w:t>
      </w:r>
      <w:r w:rsidRPr="00C5686E">
        <w:rPr>
          <w:lang w:val="en-GB" w:eastAsia="en-GB"/>
        </w:rPr>
        <w:t xml:space="preserve">isk </w:t>
      </w:r>
      <w:r w:rsidR="00DA5C2A" w:rsidRPr="00C5686E">
        <w:rPr>
          <w:lang w:val="en-GB" w:eastAsia="en-GB"/>
        </w:rPr>
        <w:t>C</w:t>
      </w:r>
      <w:r w:rsidRPr="00C5686E">
        <w:rPr>
          <w:lang w:val="en-GB" w:eastAsia="en-GB"/>
        </w:rPr>
        <w:t>harge (‘</w:t>
      </w:r>
      <w:r w:rsidR="00DD4B2E" w:rsidRPr="00C5686E">
        <w:rPr>
          <w:lang w:val="en-GB" w:eastAsia="en-GB"/>
        </w:rPr>
        <w:t>IRC</w:t>
      </w:r>
      <w:r w:rsidRPr="00C5686E">
        <w:rPr>
          <w:lang w:val="en-GB" w:eastAsia="en-GB"/>
        </w:rPr>
        <w:t xml:space="preserve">’) </w:t>
      </w:r>
      <w:r w:rsidR="00DD4B2E" w:rsidRPr="00C5686E">
        <w:rPr>
          <w:lang w:val="en-GB" w:eastAsia="en-GB"/>
        </w:rPr>
        <w:t xml:space="preserve">may be calculated on a weekly basis. </w:t>
      </w:r>
      <w:proofErr w:type="spellStart"/>
      <w:proofErr w:type="gramStart"/>
      <w:r w:rsidRPr="00C5686E">
        <w:rPr>
          <w:lang w:val="en-GB" w:eastAsia="en-GB"/>
        </w:rPr>
        <w:t>s</w:t>
      </w:r>
      <w:r w:rsidR="00DD4B2E" w:rsidRPr="00C5686E">
        <w:rPr>
          <w:lang w:val="en-GB" w:eastAsia="en-GB"/>
        </w:rPr>
        <w:t>VaR</w:t>
      </w:r>
      <w:proofErr w:type="spellEnd"/>
      <w:proofErr w:type="gramEnd"/>
      <w:r w:rsidR="0020540F" w:rsidRPr="00C5686E">
        <w:rPr>
          <w:lang w:val="en-GB" w:eastAsia="en-GB"/>
        </w:rPr>
        <w:t xml:space="preserve"> </w:t>
      </w:r>
      <w:r w:rsidR="00DD4B2E" w:rsidRPr="00C5686E">
        <w:rPr>
          <w:lang w:val="en-GB" w:eastAsia="en-GB"/>
        </w:rPr>
        <w:t>and IRC sh</w:t>
      </w:r>
      <w:r w:rsidR="005D021E" w:rsidRPr="00C5686E">
        <w:rPr>
          <w:lang w:val="en-GB" w:eastAsia="en-GB"/>
        </w:rPr>
        <w:t>all</w:t>
      </w:r>
      <w:r w:rsidR="00DD4B2E" w:rsidRPr="00C5686E">
        <w:rPr>
          <w:lang w:val="en-GB" w:eastAsia="en-GB"/>
        </w:rPr>
        <w:t xml:space="preserve"> be based on end</w:t>
      </w:r>
      <w:r w:rsidR="00DA5C2A" w:rsidRPr="00C5686E">
        <w:rPr>
          <w:lang w:val="en-GB" w:eastAsia="en-GB"/>
        </w:rPr>
        <w:t>–</w:t>
      </w:r>
      <w:r w:rsidR="00DD4B2E" w:rsidRPr="00C5686E">
        <w:rPr>
          <w:lang w:val="en-GB" w:eastAsia="en-GB"/>
        </w:rPr>
        <w:t>of</w:t>
      </w:r>
      <w:r w:rsidR="00DA5C2A" w:rsidRPr="00C5686E">
        <w:rPr>
          <w:lang w:val="en-GB" w:eastAsia="en-GB"/>
        </w:rPr>
        <w:t>-</w:t>
      </w:r>
      <w:r w:rsidR="00DD4B2E" w:rsidRPr="00C5686E">
        <w:rPr>
          <w:lang w:val="en-GB" w:eastAsia="en-GB"/>
        </w:rPr>
        <w:t xml:space="preserve">day prices for each Friday in the time window </w:t>
      </w:r>
      <w:r w:rsidR="0011623E">
        <w:rPr>
          <w:lang w:val="en-GB" w:eastAsia="en-GB"/>
        </w:rPr>
        <w:t xml:space="preserve">of the benchmarking </w:t>
      </w:r>
      <w:r w:rsidR="00DD4B2E" w:rsidRPr="00C5686E">
        <w:rPr>
          <w:lang w:val="en-GB" w:eastAsia="en-GB"/>
        </w:rPr>
        <w:t>exercise.</w:t>
      </w:r>
      <w:r w:rsidR="007A35F0">
        <w:rPr>
          <w:lang w:val="en-GB" w:eastAsia="en-GB"/>
        </w:rPr>
        <w:t xml:space="preserve"> </w:t>
      </w:r>
    </w:p>
    <w:p w:rsidR="0036499C" w:rsidRPr="0036499C" w:rsidRDefault="0036499C" w:rsidP="00B86AA0">
      <w:pPr>
        <w:pStyle w:val="ListParagraph"/>
        <w:rPr>
          <w:lang w:val="en-GB" w:eastAsia="en-GB"/>
        </w:rPr>
      </w:pPr>
    </w:p>
    <w:p w:rsidR="007A35F0" w:rsidRPr="00C5686E" w:rsidRDefault="007A35F0" w:rsidP="007A35F0">
      <w:pPr>
        <w:pStyle w:val="ListParagraph"/>
        <w:numPr>
          <w:ilvl w:val="0"/>
          <w:numId w:val="15"/>
        </w:numPr>
        <w:rPr>
          <w:lang w:val="en-GB" w:eastAsia="en-GB"/>
        </w:rPr>
      </w:pPr>
      <w:r>
        <w:rPr>
          <w:lang w:val="en-GB" w:eastAsia="en-GB"/>
        </w:rPr>
        <w:t xml:space="preserve">For each portfolio, results </w:t>
      </w:r>
      <w:r w:rsidRPr="00C5686E">
        <w:rPr>
          <w:lang w:val="en-GB" w:eastAsia="en-GB"/>
        </w:rPr>
        <w:t>in the base currency of the portfolio</w:t>
      </w:r>
      <w:r>
        <w:rPr>
          <w:lang w:val="en-GB" w:eastAsia="en-GB"/>
        </w:rPr>
        <w:t>,</w:t>
      </w:r>
      <w:r w:rsidRPr="00C5686E">
        <w:rPr>
          <w:lang w:val="en-GB" w:eastAsia="en-GB"/>
        </w:rPr>
        <w:t xml:space="preserve"> as </w:t>
      </w:r>
      <w:r>
        <w:rPr>
          <w:lang w:val="en-GB" w:eastAsia="en-GB"/>
        </w:rPr>
        <w:t>required in the table below, shall be provided.</w:t>
      </w:r>
    </w:p>
    <w:p w:rsidR="00DD4B2E" w:rsidRPr="0093404B" w:rsidRDefault="00DD4B2E" w:rsidP="00641C7D">
      <w:pPr>
        <w:rPr>
          <w:lang w:val="en-GB" w:eastAsia="en-GB"/>
        </w:rPr>
      </w:pPr>
    </w:p>
    <w:p w:rsidR="00DD4B2E" w:rsidRPr="00C5686E" w:rsidRDefault="00DD4B2E" w:rsidP="00DD4B2E">
      <w:pPr>
        <w:pStyle w:val="ListParagraph"/>
        <w:rPr>
          <w:lang w:val="en-GB" w:eastAsia="en-GB"/>
        </w:rPr>
      </w:pPr>
    </w:p>
    <w:p w:rsidR="00DD4B2E" w:rsidRPr="00C5686E" w:rsidRDefault="00DD4B2E" w:rsidP="00DD4B2E">
      <w:pPr>
        <w:pStyle w:val="ListParagraph"/>
        <w:numPr>
          <w:ilvl w:val="0"/>
          <w:numId w:val="15"/>
        </w:numPr>
        <w:rPr>
          <w:lang w:val="en-GB" w:eastAsia="en-GB"/>
        </w:rPr>
      </w:pPr>
      <w:r w:rsidRPr="00C5686E">
        <w:rPr>
          <w:lang w:val="en-GB" w:eastAsia="en-GB"/>
        </w:rPr>
        <w:t>For transactions that include long positions in C</w:t>
      </w:r>
      <w:r w:rsidR="0020540F" w:rsidRPr="00C5686E">
        <w:rPr>
          <w:lang w:val="en-GB" w:eastAsia="en-GB"/>
        </w:rPr>
        <w:t>redit Default Swaps (‘C</w:t>
      </w:r>
      <w:r w:rsidRPr="00C5686E">
        <w:rPr>
          <w:lang w:val="en-GB" w:eastAsia="en-GB"/>
        </w:rPr>
        <w:t>DS</w:t>
      </w:r>
      <w:r w:rsidR="0020540F" w:rsidRPr="00C5686E">
        <w:rPr>
          <w:lang w:val="en-GB" w:eastAsia="en-GB"/>
        </w:rPr>
        <w:t>’)</w:t>
      </w:r>
      <w:r w:rsidRPr="00C5686E">
        <w:rPr>
          <w:lang w:val="en-GB" w:eastAsia="en-GB"/>
        </w:rPr>
        <w:t>, assume an immediate up-front fee is paid to enter the position as per the market conventions.</w:t>
      </w:r>
      <w:r w:rsidR="00030638">
        <w:rPr>
          <w:lang w:val="en-GB" w:eastAsia="en-GB"/>
        </w:rPr>
        <w:t xml:space="preserve"> </w:t>
      </w:r>
      <w:r w:rsidR="00D00F58">
        <w:rPr>
          <w:lang w:val="en-GB" w:eastAsia="en-GB"/>
        </w:rPr>
        <w:t>T</w:t>
      </w:r>
      <w:r w:rsidR="00030638" w:rsidRPr="00C5686E">
        <w:rPr>
          <w:lang w:val="en-GB" w:eastAsia="en-GB"/>
        </w:rPr>
        <w:t xml:space="preserve">he maturity date for all CDS in the exercise </w:t>
      </w:r>
      <w:r w:rsidR="00D00F58">
        <w:rPr>
          <w:lang w:val="en-GB" w:eastAsia="en-GB"/>
        </w:rPr>
        <w:t>shall</w:t>
      </w:r>
      <w:r w:rsidR="00AC640E">
        <w:rPr>
          <w:lang w:val="en-GB" w:eastAsia="en-GB"/>
        </w:rPr>
        <w:t xml:space="preserve"> be treated as </w:t>
      </w:r>
      <w:r w:rsidR="00030638" w:rsidRPr="00C5686E">
        <w:rPr>
          <w:lang w:val="en-GB" w:eastAsia="en-GB"/>
        </w:rPr>
        <w:t>follow</w:t>
      </w:r>
      <w:r w:rsidR="00AC640E">
        <w:rPr>
          <w:lang w:val="en-GB" w:eastAsia="en-GB"/>
        </w:rPr>
        <w:t>ing</w:t>
      </w:r>
      <w:r w:rsidR="00030638" w:rsidRPr="00C5686E">
        <w:rPr>
          <w:lang w:val="en-GB" w:eastAsia="en-GB"/>
        </w:rPr>
        <w:t xml:space="preserve"> conventional quarterly termination dates</w:t>
      </w:r>
      <w:r w:rsidR="00030638">
        <w:rPr>
          <w:lang w:val="en-GB" w:eastAsia="en-GB"/>
        </w:rPr>
        <w:t>.</w:t>
      </w:r>
    </w:p>
    <w:p w:rsidR="00DD4B2E" w:rsidRPr="00C5686E" w:rsidRDefault="00DD4B2E" w:rsidP="00DD4B2E">
      <w:pPr>
        <w:pStyle w:val="ListParagraph"/>
        <w:rPr>
          <w:lang w:val="en-GB" w:eastAsia="en-GB"/>
        </w:rPr>
      </w:pPr>
    </w:p>
    <w:p w:rsidR="00DD4B2E" w:rsidRPr="00C5686E" w:rsidRDefault="00DD4B2E" w:rsidP="00DD4B2E">
      <w:pPr>
        <w:ind w:left="360"/>
        <w:rPr>
          <w:lang w:val="en-GB" w:eastAsia="en-GB"/>
        </w:rPr>
      </w:pPr>
    </w:p>
    <w:p w:rsidR="00DD4B2E" w:rsidRPr="00C5686E" w:rsidRDefault="00DD4B2E" w:rsidP="00DD4B2E">
      <w:pPr>
        <w:pStyle w:val="ListParagraph"/>
        <w:numPr>
          <w:ilvl w:val="0"/>
          <w:numId w:val="15"/>
        </w:numPr>
        <w:rPr>
          <w:lang w:val="en-GB" w:eastAsia="en-GB"/>
        </w:rPr>
      </w:pPr>
      <w:r w:rsidRPr="00C5686E">
        <w:rPr>
          <w:lang w:val="en-GB" w:eastAsia="en-GB"/>
        </w:rPr>
        <w:t xml:space="preserve">Additional specifications </w:t>
      </w:r>
      <w:r w:rsidR="00645DD4" w:rsidRPr="00C5686E">
        <w:rPr>
          <w:lang w:val="en-GB" w:eastAsia="en-GB"/>
        </w:rPr>
        <w:t xml:space="preserve">needed </w:t>
      </w:r>
      <w:r w:rsidRPr="00C5686E">
        <w:rPr>
          <w:lang w:val="en-GB" w:eastAsia="en-GB"/>
        </w:rPr>
        <w:t xml:space="preserve">in order to </w:t>
      </w:r>
      <w:r w:rsidR="00645DD4" w:rsidRPr="00C5686E">
        <w:rPr>
          <w:lang w:val="en-GB" w:eastAsia="en-GB"/>
        </w:rPr>
        <w:t xml:space="preserve">carry out </w:t>
      </w:r>
      <w:r w:rsidRPr="00C5686E">
        <w:rPr>
          <w:lang w:val="en-GB" w:eastAsia="en-GB"/>
        </w:rPr>
        <w:t>pricing calculations required for CDS positions sh</w:t>
      </w:r>
      <w:r w:rsidR="004A652A" w:rsidRPr="00C5686E">
        <w:rPr>
          <w:lang w:val="en-GB" w:eastAsia="en-GB"/>
        </w:rPr>
        <w:t>all</w:t>
      </w:r>
      <w:r w:rsidRPr="00C5686E">
        <w:rPr>
          <w:lang w:val="en-GB" w:eastAsia="en-GB"/>
        </w:rPr>
        <w:t xml:space="preserve"> be done in a way that is consistent with commonly used market standards</w:t>
      </w:r>
      <w:r w:rsidR="00C37593">
        <w:rPr>
          <w:lang w:val="en-GB" w:eastAsia="en-GB"/>
        </w:rPr>
        <w:t xml:space="preserve"> and conventions</w:t>
      </w:r>
      <w:r w:rsidRPr="00C5686E">
        <w:rPr>
          <w:lang w:val="en-GB" w:eastAsia="en-GB"/>
        </w:rPr>
        <w:t>.</w:t>
      </w:r>
    </w:p>
    <w:p w:rsidR="00DD4B2E" w:rsidRPr="00C5686E" w:rsidRDefault="00DD4B2E" w:rsidP="00DD4B2E">
      <w:pPr>
        <w:pStyle w:val="ListParagraph"/>
        <w:rPr>
          <w:lang w:val="en-GB" w:eastAsia="en-GB"/>
        </w:rPr>
      </w:pPr>
    </w:p>
    <w:p w:rsidR="00C37593" w:rsidRDefault="00645DD4" w:rsidP="00DD4B2E">
      <w:pPr>
        <w:pStyle w:val="ListParagraph"/>
        <w:numPr>
          <w:ilvl w:val="0"/>
          <w:numId w:val="15"/>
        </w:numPr>
        <w:rPr>
          <w:lang w:val="en-GB" w:eastAsia="en-GB"/>
        </w:rPr>
      </w:pPr>
      <w:r w:rsidRPr="00C5686E">
        <w:rPr>
          <w:lang w:val="en-GB" w:eastAsia="en-GB"/>
        </w:rPr>
        <w:t>T</w:t>
      </w:r>
      <w:r w:rsidR="00DD4B2E" w:rsidRPr="00C5686E">
        <w:rPr>
          <w:lang w:val="en-GB" w:eastAsia="en-GB"/>
        </w:rPr>
        <w:t xml:space="preserve">he maturity date that ensures </w:t>
      </w:r>
      <w:r w:rsidR="00CF071E" w:rsidRPr="00C5686E">
        <w:rPr>
          <w:lang w:val="en-GB" w:eastAsia="en-GB"/>
        </w:rPr>
        <w:t xml:space="preserve">that </w:t>
      </w:r>
      <w:r w:rsidR="00DD4B2E" w:rsidRPr="00C5686E">
        <w:rPr>
          <w:lang w:val="en-GB" w:eastAsia="en-GB"/>
        </w:rPr>
        <w:t xml:space="preserve">the </w:t>
      </w:r>
      <w:r w:rsidR="00F8227F" w:rsidRPr="00C5686E">
        <w:rPr>
          <w:lang w:val="en-GB" w:eastAsia="en-GB"/>
        </w:rPr>
        <w:t xml:space="preserve">transaction </w:t>
      </w:r>
      <w:r w:rsidR="00DD4B2E" w:rsidRPr="00C5686E">
        <w:rPr>
          <w:lang w:val="en-GB" w:eastAsia="en-GB"/>
        </w:rPr>
        <w:t>is closest to the term-to-maturity specified</w:t>
      </w:r>
      <w:r w:rsidRPr="00C5686E">
        <w:rPr>
          <w:lang w:val="en-GB" w:eastAsia="en-GB"/>
        </w:rPr>
        <w:t xml:space="preserve"> shall be used</w:t>
      </w:r>
      <w:r w:rsidR="00DD4B2E" w:rsidRPr="00C5686E">
        <w:rPr>
          <w:lang w:val="en-GB" w:eastAsia="en-GB"/>
        </w:rPr>
        <w:t xml:space="preserve">. </w:t>
      </w:r>
    </w:p>
    <w:p w:rsidR="00C37593" w:rsidRPr="00C37593" w:rsidRDefault="00C37593" w:rsidP="00B86AA0">
      <w:pPr>
        <w:pStyle w:val="ListParagraph"/>
        <w:rPr>
          <w:lang w:val="en-GB" w:eastAsia="en-GB"/>
        </w:rPr>
      </w:pPr>
    </w:p>
    <w:p w:rsidR="00DD4B2E" w:rsidRPr="00C5686E" w:rsidRDefault="00DD4B2E" w:rsidP="00DD4B2E">
      <w:pPr>
        <w:pStyle w:val="ListParagraph"/>
        <w:numPr>
          <w:ilvl w:val="0"/>
          <w:numId w:val="15"/>
        </w:numPr>
        <w:rPr>
          <w:lang w:val="en-GB" w:eastAsia="en-GB"/>
        </w:rPr>
      </w:pPr>
      <w:r w:rsidRPr="00C5686E">
        <w:rPr>
          <w:lang w:val="en-GB" w:eastAsia="en-GB"/>
        </w:rPr>
        <w:t xml:space="preserve">For material details of the product specification that are not explicitly stated in this document, the assumptions </w:t>
      </w:r>
      <w:r w:rsidR="00645DD4" w:rsidRPr="00C5686E">
        <w:rPr>
          <w:lang w:val="en-GB" w:eastAsia="en-GB"/>
        </w:rPr>
        <w:t xml:space="preserve">that </w:t>
      </w:r>
      <w:r w:rsidRPr="00C5686E">
        <w:rPr>
          <w:lang w:val="en-GB" w:eastAsia="en-GB"/>
        </w:rPr>
        <w:t xml:space="preserve">have </w:t>
      </w:r>
      <w:r w:rsidR="00645DD4" w:rsidRPr="00C5686E">
        <w:rPr>
          <w:lang w:val="en-GB" w:eastAsia="en-GB"/>
        </w:rPr>
        <w:t xml:space="preserve">been </w:t>
      </w:r>
      <w:r w:rsidRPr="00C5686E">
        <w:rPr>
          <w:lang w:val="en-GB" w:eastAsia="en-GB"/>
        </w:rPr>
        <w:t>used</w:t>
      </w:r>
      <w:r w:rsidR="00D00F58">
        <w:rPr>
          <w:lang w:val="en-GB" w:eastAsia="en-GB"/>
        </w:rPr>
        <w:t>, including</w:t>
      </w:r>
      <w:r w:rsidR="00C37593">
        <w:rPr>
          <w:lang w:val="en-GB" w:eastAsia="en-GB"/>
        </w:rPr>
        <w:t xml:space="preserve"> </w:t>
      </w:r>
      <w:r w:rsidR="00645DD4" w:rsidRPr="00C5686E">
        <w:rPr>
          <w:lang w:val="en-GB" w:eastAsia="en-GB"/>
        </w:rPr>
        <w:t xml:space="preserve">day count convention, </w:t>
      </w:r>
      <w:r w:rsidR="00D00F58">
        <w:rPr>
          <w:lang w:val="en-GB" w:eastAsia="en-GB"/>
        </w:rPr>
        <w:t xml:space="preserve">and </w:t>
      </w:r>
      <w:r w:rsidR="00C37593">
        <w:rPr>
          <w:lang w:val="en-GB" w:eastAsia="en-GB"/>
        </w:rPr>
        <w:t>the choice for a tradable and liquid instrument where permitted</w:t>
      </w:r>
      <w:r w:rsidR="000B5569">
        <w:rPr>
          <w:lang w:val="en-GB" w:eastAsia="en-GB"/>
        </w:rPr>
        <w:t xml:space="preserve">, </w:t>
      </w:r>
      <w:r w:rsidR="000B5569" w:rsidRPr="00C5686E">
        <w:rPr>
          <w:lang w:val="en-GB" w:eastAsia="en-GB"/>
        </w:rPr>
        <w:t>shall</w:t>
      </w:r>
      <w:r w:rsidR="00645DD4" w:rsidRPr="00C5686E">
        <w:rPr>
          <w:lang w:val="en-GB" w:eastAsia="en-GB"/>
        </w:rPr>
        <w:t xml:space="preserve"> be provided </w:t>
      </w:r>
      <w:r w:rsidRPr="00C5686E">
        <w:rPr>
          <w:lang w:val="en-GB" w:eastAsia="en-GB"/>
        </w:rPr>
        <w:t>along with the results.</w:t>
      </w:r>
    </w:p>
    <w:p w:rsidR="00DD4B2E" w:rsidRPr="00C5686E" w:rsidRDefault="00DD4B2E" w:rsidP="00DD4B2E">
      <w:pPr>
        <w:pStyle w:val="ListParagraph"/>
        <w:rPr>
          <w:lang w:val="en-GB" w:eastAsia="en-GB"/>
        </w:rPr>
      </w:pPr>
    </w:p>
    <w:p w:rsidR="00DD4B2E" w:rsidRPr="00C5686E" w:rsidRDefault="00DD4B2E" w:rsidP="00150661">
      <w:pPr>
        <w:pStyle w:val="ListParagraph"/>
        <w:numPr>
          <w:ilvl w:val="0"/>
          <w:numId w:val="15"/>
        </w:numPr>
        <w:rPr>
          <w:lang w:val="en-GB" w:eastAsia="en-GB"/>
        </w:rPr>
      </w:pPr>
      <w:r w:rsidRPr="00C5686E">
        <w:rPr>
          <w:lang w:val="en-GB" w:eastAsia="en-GB"/>
        </w:rPr>
        <w:t xml:space="preserve">The </w:t>
      </w:r>
      <w:r w:rsidR="00CF071E" w:rsidRPr="00C5686E">
        <w:rPr>
          <w:lang w:val="en-GB" w:eastAsia="en-GB"/>
        </w:rPr>
        <w:t>abbreviations</w:t>
      </w:r>
      <w:r w:rsidRPr="00C5686E">
        <w:rPr>
          <w:lang w:val="en-GB" w:eastAsia="en-GB"/>
        </w:rPr>
        <w:t xml:space="preserve"> ATM, OTM and ITM refer to </w:t>
      </w:r>
      <w:r w:rsidR="00AC640E">
        <w:rPr>
          <w:lang w:val="en-GB" w:eastAsia="en-GB"/>
        </w:rPr>
        <w:t>the relative position of the current or future price</w:t>
      </w:r>
      <w:r w:rsidR="00AC640E" w:rsidRPr="00C5686E">
        <w:rPr>
          <w:lang w:val="en-GB" w:eastAsia="en-GB"/>
        </w:rPr>
        <w:t xml:space="preserve"> </w:t>
      </w:r>
      <w:r w:rsidR="00D03DD0">
        <w:rPr>
          <w:lang w:val="en-GB" w:eastAsia="en-GB"/>
        </w:rPr>
        <w:t xml:space="preserve">of </w:t>
      </w:r>
      <w:r w:rsidR="00150661" w:rsidRPr="00C5686E">
        <w:rPr>
          <w:lang w:val="en-GB" w:eastAsia="en-GB"/>
        </w:rPr>
        <w:t xml:space="preserve">a derivative's </w:t>
      </w:r>
      <w:r w:rsidR="00D00F58">
        <w:rPr>
          <w:lang w:val="en-GB" w:eastAsia="en-GB"/>
        </w:rPr>
        <w:t xml:space="preserve">underlying asset </w:t>
      </w:r>
      <w:r w:rsidR="00150661" w:rsidRPr="00C5686E">
        <w:rPr>
          <w:lang w:val="en-GB" w:eastAsia="en-GB"/>
        </w:rPr>
        <w:t>with respect to the strike price of that derivative</w:t>
      </w:r>
      <w:r w:rsidR="00CD17A4">
        <w:rPr>
          <w:lang w:val="en-GB" w:eastAsia="en-GB"/>
        </w:rPr>
        <w:t xml:space="preserve"> </w:t>
      </w:r>
      <w:r w:rsidR="00CD17A4">
        <w:rPr>
          <w:lang w:val="en-GB" w:eastAsia="en-GB"/>
        </w:rPr>
        <w:lastRenderedPageBreak/>
        <w:t>(‘</w:t>
      </w:r>
      <w:proofErr w:type="spellStart"/>
      <w:r w:rsidR="00CD17A4">
        <w:rPr>
          <w:lang w:val="en-GB" w:eastAsia="en-GB"/>
        </w:rPr>
        <w:t>moneyness</w:t>
      </w:r>
      <w:proofErr w:type="spellEnd"/>
      <w:r w:rsidR="00CD17A4">
        <w:rPr>
          <w:lang w:val="en-GB" w:eastAsia="en-GB"/>
        </w:rPr>
        <w:t>’</w:t>
      </w:r>
      <w:r w:rsidR="00AD6121">
        <w:rPr>
          <w:lang w:val="en-GB" w:eastAsia="en-GB"/>
        </w:rPr>
        <w:t>)</w:t>
      </w:r>
      <w:r w:rsidR="000A0C56" w:rsidRPr="00C5686E">
        <w:rPr>
          <w:lang w:val="en-GB" w:eastAsia="en-GB"/>
        </w:rPr>
        <w:t>.</w:t>
      </w:r>
      <w:r w:rsidRPr="00C5686E">
        <w:rPr>
          <w:lang w:val="en-GB" w:eastAsia="en-GB"/>
        </w:rPr>
        <w:t xml:space="preserve"> ATM stands for </w:t>
      </w:r>
      <w:r w:rsidR="0011623E">
        <w:rPr>
          <w:lang w:val="en-GB" w:eastAsia="en-GB"/>
        </w:rPr>
        <w:t>‘</w:t>
      </w:r>
      <w:r w:rsidRPr="00C5686E">
        <w:rPr>
          <w:lang w:val="en-GB" w:eastAsia="en-GB"/>
        </w:rPr>
        <w:t>at the mone</w:t>
      </w:r>
      <w:bookmarkStart w:id="4" w:name="_GoBack"/>
      <w:bookmarkEnd w:id="4"/>
      <w:r w:rsidRPr="00C5686E">
        <w:rPr>
          <w:lang w:val="en-GB" w:eastAsia="en-GB"/>
        </w:rPr>
        <w:t>y</w:t>
      </w:r>
      <w:r w:rsidR="0011623E">
        <w:rPr>
          <w:lang w:val="en-GB" w:eastAsia="en-GB"/>
        </w:rPr>
        <w:t>’</w:t>
      </w:r>
      <w:r w:rsidRPr="00C5686E">
        <w:rPr>
          <w:lang w:val="en-GB" w:eastAsia="en-GB"/>
        </w:rPr>
        <w:t xml:space="preserve">, OTM stands for </w:t>
      </w:r>
      <w:r w:rsidR="0011623E">
        <w:rPr>
          <w:lang w:val="en-GB" w:eastAsia="en-GB"/>
        </w:rPr>
        <w:t>‘</w:t>
      </w:r>
      <w:r w:rsidRPr="00C5686E">
        <w:rPr>
          <w:lang w:val="en-GB" w:eastAsia="en-GB"/>
        </w:rPr>
        <w:t>out of the money</w:t>
      </w:r>
      <w:r w:rsidR="0011623E">
        <w:rPr>
          <w:lang w:val="en-GB" w:eastAsia="en-GB"/>
        </w:rPr>
        <w:t>’</w:t>
      </w:r>
      <w:r w:rsidRPr="00C5686E">
        <w:rPr>
          <w:lang w:val="en-GB" w:eastAsia="en-GB"/>
        </w:rPr>
        <w:t xml:space="preserve">, and ITM </w:t>
      </w:r>
      <w:r w:rsidR="005469B5" w:rsidRPr="00C5686E">
        <w:rPr>
          <w:lang w:val="en-GB" w:eastAsia="en-GB"/>
        </w:rPr>
        <w:t xml:space="preserve">stands for </w:t>
      </w:r>
      <w:r w:rsidR="0011623E">
        <w:rPr>
          <w:lang w:val="en-GB" w:eastAsia="en-GB"/>
        </w:rPr>
        <w:t>‘</w:t>
      </w:r>
      <w:r w:rsidRPr="00C5686E">
        <w:rPr>
          <w:lang w:val="en-GB" w:eastAsia="en-GB"/>
        </w:rPr>
        <w:t>in the money</w:t>
      </w:r>
      <w:r w:rsidR="0011623E">
        <w:rPr>
          <w:lang w:val="en-GB" w:eastAsia="en-GB"/>
        </w:rPr>
        <w:t>’</w:t>
      </w:r>
      <w:r w:rsidRPr="00C5686E">
        <w:rPr>
          <w:lang w:val="en-GB" w:eastAsia="en-GB"/>
        </w:rPr>
        <w:t>.</w:t>
      </w:r>
    </w:p>
    <w:p w:rsidR="00DD4B2E" w:rsidRPr="00C5686E" w:rsidRDefault="00DD4B2E" w:rsidP="00DD4B2E">
      <w:pPr>
        <w:pStyle w:val="ListParagraph"/>
        <w:rPr>
          <w:lang w:val="en-GB" w:eastAsia="en-GB"/>
        </w:rPr>
      </w:pPr>
    </w:p>
    <w:p w:rsidR="00DD4B2E" w:rsidRPr="00C5686E" w:rsidRDefault="00CD17A4" w:rsidP="00DD4B2E">
      <w:pPr>
        <w:pStyle w:val="ListParagraph"/>
        <w:numPr>
          <w:ilvl w:val="0"/>
          <w:numId w:val="15"/>
        </w:numPr>
        <w:rPr>
          <w:lang w:val="en-GB" w:eastAsia="en-GB"/>
        </w:rPr>
      </w:pPr>
      <w:r>
        <w:rPr>
          <w:lang w:val="en-GB" w:eastAsia="en-GB"/>
        </w:rPr>
        <w:t>A</w:t>
      </w:r>
      <w:r w:rsidR="00DD4B2E" w:rsidRPr="00C5686E">
        <w:rPr>
          <w:lang w:val="en-GB" w:eastAsia="en-GB"/>
        </w:rPr>
        <w:t xml:space="preserve">ll options </w:t>
      </w:r>
      <w:r>
        <w:rPr>
          <w:lang w:val="en-GB" w:eastAsia="en-GB"/>
        </w:rPr>
        <w:t xml:space="preserve">shall be treated as if they </w:t>
      </w:r>
      <w:r w:rsidR="00C37593">
        <w:rPr>
          <w:lang w:val="en-GB" w:eastAsia="en-GB"/>
        </w:rPr>
        <w:t xml:space="preserve">are traded </w:t>
      </w:r>
      <w:r w:rsidR="00DD4B2E" w:rsidRPr="00C5686E">
        <w:rPr>
          <w:lang w:val="en-GB" w:eastAsia="en-GB"/>
        </w:rPr>
        <w:t>over-the-counter</w:t>
      </w:r>
      <w:r w:rsidR="00CF071E" w:rsidRPr="00C5686E">
        <w:rPr>
          <w:lang w:val="en-GB" w:eastAsia="en-GB"/>
        </w:rPr>
        <w:t xml:space="preserve"> (‘OTC’)</w:t>
      </w:r>
      <w:r w:rsidR="00DD4B2E" w:rsidRPr="00C5686E">
        <w:rPr>
          <w:lang w:val="en-GB" w:eastAsia="en-GB"/>
        </w:rPr>
        <w:t xml:space="preserve"> unless explicitly specified </w:t>
      </w:r>
      <w:r w:rsidR="00CF071E" w:rsidRPr="00C5686E">
        <w:rPr>
          <w:lang w:val="en-GB" w:eastAsia="en-GB"/>
        </w:rPr>
        <w:t xml:space="preserve">otherwise </w:t>
      </w:r>
      <w:r w:rsidR="00DD4B2E" w:rsidRPr="00C5686E">
        <w:rPr>
          <w:lang w:val="en-GB" w:eastAsia="en-GB"/>
        </w:rPr>
        <w:t>in the portfolio.</w:t>
      </w:r>
    </w:p>
    <w:p w:rsidR="00DD4B2E" w:rsidRPr="00C5686E" w:rsidRDefault="00DD4B2E" w:rsidP="00DD4B2E">
      <w:pPr>
        <w:pStyle w:val="ListParagraph"/>
        <w:rPr>
          <w:lang w:val="en-GB" w:eastAsia="en-GB"/>
        </w:rPr>
      </w:pPr>
    </w:p>
    <w:p w:rsidR="00DD4B2E" w:rsidRPr="00C5686E" w:rsidRDefault="003E74C3" w:rsidP="00C65FE7">
      <w:pPr>
        <w:pStyle w:val="ListParagraph"/>
        <w:numPr>
          <w:ilvl w:val="0"/>
          <w:numId w:val="15"/>
        </w:numPr>
        <w:rPr>
          <w:lang w:val="en-GB" w:eastAsia="en-GB"/>
        </w:rPr>
      </w:pPr>
      <w:r w:rsidRPr="00C5686E">
        <w:rPr>
          <w:lang w:val="en-GB" w:eastAsia="en-GB"/>
        </w:rPr>
        <w:t>T</w:t>
      </w:r>
      <w:r w:rsidR="00DD4B2E" w:rsidRPr="00C5686E">
        <w:rPr>
          <w:lang w:val="en-GB" w:eastAsia="en-GB"/>
        </w:rPr>
        <w:t xml:space="preserve">he standard timing conventions for OTC options </w:t>
      </w:r>
      <w:r w:rsidRPr="00C5686E">
        <w:rPr>
          <w:lang w:val="en-GB" w:eastAsia="en-GB"/>
        </w:rPr>
        <w:t xml:space="preserve">shall be followed </w:t>
      </w:r>
      <w:r w:rsidR="00DD4B2E" w:rsidRPr="00C5686E">
        <w:rPr>
          <w:lang w:val="en-GB" w:eastAsia="en-GB"/>
        </w:rPr>
        <w:t xml:space="preserve">(i.e. expiry dates are the business day following a </w:t>
      </w:r>
      <w:r w:rsidR="00F8227F" w:rsidRPr="00C5686E">
        <w:rPr>
          <w:lang w:val="en-GB" w:eastAsia="en-GB"/>
        </w:rPr>
        <w:t>non-trading day</w:t>
      </w:r>
      <w:r w:rsidR="00DD4B2E" w:rsidRPr="00C5686E">
        <w:rPr>
          <w:lang w:val="en-GB" w:eastAsia="en-GB"/>
        </w:rPr>
        <w:t>).</w:t>
      </w:r>
      <w:r w:rsidR="00C65FE7" w:rsidRPr="00C5686E">
        <w:rPr>
          <w:lang w:val="en-GB" w:eastAsia="en-GB"/>
        </w:rPr>
        <w:t xml:space="preserve"> </w:t>
      </w:r>
      <w:r w:rsidR="00C37593">
        <w:rPr>
          <w:lang w:val="en-GB" w:eastAsia="en-GB"/>
        </w:rPr>
        <w:t xml:space="preserve">The timing convention for options shall be as follows: the time to maturity for </w:t>
      </w:r>
      <w:proofErr w:type="gramStart"/>
      <w:r w:rsidR="00C37593">
        <w:rPr>
          <w:lang w:val="en-GB" w:eastAsia="en-GB"/>
        </w:rPr>
        <w:t>a</w:t>
      </w:r>
      <w:proofErr w:type="gramEnd"/>
      <w:r w:rsidR="00C37593">
        <w:rPr>
          <w:lang w:val="en-GB" w:eastAsia="en-GB"/>
        </w:rPr>
        <w:t xml:space="preserve"> </w:t>
      </w:r>
      <w:r w:rsidR="00C37593" w:rsidRPr="00B86AA0">
        <w:rPr>
          <w:i/>
          <w:lang w:val="en-GB" w:eastAsia="en-GB"/>
        </w:rPr>
        <w:t>n</w:t>
      </w:r>
      <w:r w:rsidR="00C37593">
        <w:rPr>
          <w:lang w:val="en-GB" w:eastAsia="en-GB"/>
        </w:rPr>
        <w:t xml:space="preserve">-month option </w:t>
      </w:r>
      <w:r w:rsidR="00D03DD0">
        <w:rPr>
          <w:lang w:val="en-GB" w:eastAsia="en-GB"/>
        </w:rPr>
        <w:t>shall be</w:t>
      </w:r>
      <w:r w:rsidR="00C37593">
        <w:rPr>
          <w:lang w:val="en-GB" w:eastAsia="en-GB"/>
        </w:rPr>
        <w:t xml:space="preserve"> in </w:t>
      </w:r>
      <w:r w:rsidR="00C37593" w:rsidRPr="00B86AA0">
        <w:rPr>
          <w:i/>
          <w:lang w:val="en-GB" w:eastAsia="en-GB"/>
        </w:rPr>
        <w:t>n</w:t>
      </w:r>
      <w:r w:rsidR="00C37593">
        <w:rPr>
          <w:lang w:val="en-GB" w:eastAsia="en-GB"/>
        </w:rPr>
        <w:t xml:space="preserve"> months. </w:t>
      </w:r>
      <w:r w:rsidR="00DD4B2E" w:rsidRPr="00C5686E">
        <w:rPr>
          <w:lang w:val="en-GB" w:eastAsia="en-GB"/>
        </w:rPr>
        <w:t xml:space="preserve">If options expire on a non-trading day, </w:t>
      </w:r>
      <w:r w:rsidR="00D03DD0">
        <w:rPr>
          <w:lang w:val="en-GB" w:eastAsia="en-GB"/>
        </w:rPr>
        <w:t xml:space="preserve">institutions shall </w:t>
      </w:r>
      <w:r w:rsidR="00DD4B2E" w:rsidRPr="00C5686E">
        <w:rPr>
          <w:lang w:val="en-GB" w:eastAsia="en-GB"/>
        </w:rPr>
        <w:t>adjust the expiration date per business day</w:t>
      </w:r>
      <w:r w:rsidR="00CF071E" w:rsidRPr="00C5686E">
        <w:rPr>
          <w:lang w:val="en-GB" w:eastAsia="en-GB"/>
        </w:rPr>
        <w:t xml:space="preserve">, in accordance </w:t>
      </w:r>
      <w:r w:rsidR="00DD4B2E" w:rsidRPr="00C5686E">
        <w:rPr>
          <w:lang w:val="en-GB" w:eastAsia="en-GB"/>
        </w:rPr>
        <w:t xml:space="preserve">with common </w:t>
      </w:r>
      <w:r w:rsidR="00C65FE7" w:rsidRPr="00C5686E">
        <w:rPr>
          <w:lang w:val="en-GB" w:eastAsia="en-GB"/>
        </w:rPr>
        <w:t xml:space="preserve">market </w:t>
      </w:r>
      <w:r w:rsidR="00DD4B2E" w:rsidRPr="00C5686E">
        <w:rPr>
          <w:lang w:val="en-GB" w:eastAsia="en-GB"/>
        </w:rPr>
        <w:t>practices.</w:t>
      </w:r>
    </w:p>
    <w:p w:rsidR="00DD4B2E" w:rsidRPr="00C5686E" w:rsidRDefault="00DD4B2E" w:rsidP="00DD4B2E">
      <w:pPr>
        <w:pStyle w:val="ListParagraph"/>
        <w:rPr>
          <w:lang w:val="en-GB" w:eastAsia="en-GB"/>
        </w:rPr>
      </w:pPr>
    </w:p>
    <w:p w:rsidR="00DD4B2E" w:rsidRPr="00C5686E" w:rsidRDefault="00F1064F" w:rsidP="00DD4B2E">
      <w:pPr>
        <w:pStyle w:val="ListParagraph"/>
        <w:numPr>
          <w:ilvl w:val="0"/>
          <w:numId w:val="15"/>
        </w:numPr>
        <w:rPr>
          <w:lang w:val="en-GB" w:eastAsia="en-GB"/>
        </w:rPr>
      </w:pPr>
      <w:r>
        <w:rPr>
          <w:lang w:val="en-GB" w:eastAsia="en-GB"/>
        </w:rPr>
        <w:t xml:space="preserve">All </w:t>
      </w:r>
      <w:r w:rsidR="00DD4B2E" w:rsidRPr="00C5686E">
        <w:rPr>
          <w:lang w:val="en-GB" w:eastAsia="en-GB"/>
        </w:rPr>
        <w:t>OTC options</w:t>
      </w:r>
      <w:r w:rsidR="000A240D">
        <w:rPr>
          <w:lang w:val="en-GB" w:eastAsia="en-GB"/>
        </w:rPr>
        <w:t xml:space="preserve"> </w:t>
      </w:r>
      <w:r>
        <w:rPr>
          <w:lang w:val="en-GB" w:eastAsia="en-GB"/>
        </w:rPr>
        <w:t>shall be treated as follows</w:t>
      </w:r>
      <w:r w:rsidR="00DD4B2E" w:rsidRPr="00C5686E">
        <w:rPr>
          <w:lang w:val="en-GB" w:eastAsia="en-GB"/>
        </w:rPr>
        <w:t>:</w:t>
      </w:r>
    </w:p>
    <w:p w:rsidR="00DD4B2E" w:rsidRPr="00C5686E" w:rsidRDefault="00F1064F" w:rsidP="00DD4B2E">
      <w:pPr>
        <w:pStyle w:val="ListParagraph"/>
        <w:numPr>
          <w:ilvl w:val="0"/>
          <w:numId w:val="16"/>
        </w:numPr>
        <w:rPr>
          <w:lang w:val="en-GB" w:eastAsia="en-GB"/>
        </w:rPr>
      </w:pPr>
      <w:r>
        <w:rPr>
          <w:lang w:val="en-GB" w:eastAsia="en-GB"/>
        </w:rPr>
        <w:t xml:space="preserve">as </w:t>
      </w:r>
      <w:r w:rsidR="00DD4B2E" w:rsidRPr="00C5686E">
        <w:rPr>
          <w:lang w:val="en-GB" w:eastAsia="en-GB"/>
        </w:rPr>
        <w:t>American for single name equities and commodities</w:t>
      </w:r>
      <w:r w:rsidR="003E74C3" w:rsidRPr="00C5686E">
        <w:rPr>
          <w:lang w:val="en-GB" w:eastAsia="en-GB"/>
        </w:rPr>
        <w:t xml:space="preserve">; </w:t>
      </w:r>
    </w:p>
    <w:p w:rsidR="00DD4B2E" w:rsidRPr="00C5686E" w:rsidRDefault="00F1064F" w:rsidP="00DD4B2E">
      <w:pPr>
        <w:pStyle w:val="ListParagraph"/>
        <w:numPr>
          <w:ilvl w:val="0"/>
          <w:numId w:val="16"/>
        </w:numPr>
        <w:rPr>
          <w:lang w:val="en-GB" w:eastAsia="en-GB"/>
        </w:rPr>
      </w:pPr>
      <w:proofErr w:type="gramStart"/>
      <w:r>
        <w:rPr>
          <w:lang w:val="en-GB" w:eastAsia="en-GB"/>
        </w:rPr>
        <w:t>as</w:t>
      </w:r>
      <w:proofErr w:type="gramEnd"/>
      <w:r>
        <w:rPr>
          <w:lang w:val="en-GB" w:eastAsia="en-GB"/>
        </w:rPr>
        <w:t xml:space="preserve"> </w:t>
      </w:r>
      <w:r w:rsidR="00DD4B2E" w:rsidRPr="00C5686E">
        <w:rPr>
          <w:lang w:val="en-GB" w:eastAsia="en-GB"/>
        </w:rPr>
        <w:t xml:space="preserve">European for equity indices, foreign exchange and </w:t>
      </w:r>
      <w:proofErr w:type="spellStart"/>
      <w:r w:rsidR="003E74C3" w:rsidRPr="00C5686E">
        <w:rPr>
          <w:lang w:val="en-GB" w:eastAsia="en-GB"/>
        </w:rPr>
        <w:t>s</w:t>
      </w:r>
      <w:r w:rsidR="00DD4B2E" w:rsidRPr="00C5686E">
        <w:rPr>
          <w:lang w:val="en-GB" w:eastAsia="en-GB"/>
        </w:rPr>
        <w:t>waptions</w:t>
      </w:r>
      <w:proofErr w:type="spellEnd"/>
      <w:r w:rsidR="00DD4B2E" w:rsidRPr="00C5686E">
        <w:rPr>
          <w:lang w:val="en-GB" w:eastAsia="en-GB"/>
        </w:rPr>
        <w:t>.</w:t>
      </w:r>
    </w:p>
    <w:p w:rsidR="00DD4B2E" w:rsidRPr="00C5686E" w:rsidRDefault="00DD4B2E" w:rsidP="00231680">
      <w:pPr>
        <w:pStyle w:val="ListParagraph"/>
        <w:ind w:left="709"/>
        <w:rPr>
          <w:lang w:val="en-GB" w:eastAsia="en-GB"/>
        </w:rPr>
      </w:pPr>
    </w:p>
    <w:p w:rsidR="008122D3" w:rsidRPr="00C5686E" w:rsidRDefault="00DD4B2E" w:rsidP="009B736E">
      <w:pPr>
        <w:pStyle w:val="ListParagraph"/>
        <w:numPr>
          <w:ilvl w:val="0"/>
          <w:numId w:val="15"/>
        </w:numPr>
        <w:rPr>
          <w:lang w:val="en-GB" w:eastAsia="en-GB"/>
        </w:rPr>
      </w:pPr>
      <w:r w:rsidRPr="00C5686E">
        <w:rPr>
          <w:lang w:val="en-GB" w:eastAsia="en-GB"/>
        </w:rPr>
        <w:t xml:space="preserve">For all options the premium from the initial market value calculations </w:t>
      </w:r>
      <w:r w:rsidR="003E74C3" w:rsidRPr="00C5686E">
        <w:rPr>
          <w:lang w:val="en-GB" w:eastAsia="en-GB"/>
        </w:rPr>
        <w:t>shall be excluded</w:t>
      </w:r>
      <w:r w:rsidR="00D03DD0">
        <w:rPr>
          <w:lang w:val="en-GB" w:eastAsia="en-GB"/>
        </w:rPr>
        <w:t xml:space="preserve">, </w:t>
      </w:r>
      <w:r w:rsidR="002B362B">
        <w:rPr>
          <w:lang w:val="en-GB" w:eastAsia="en-GB"/>
        </w:rPr>
        <w:t xml:space="preserve">so that </w:t>
      </w:r>
      <w:r w:rsidRPr="00C5686E">
        <w:rPr>
          <w:lang w:val="en-GB" w:eastAsia="en-GB"/>
        </w:rPr>
        <w:t xml:space="preserve">options </w:t>
      </w:r>
      <w:r w:rsidR="003E74C3" w:rsidRPr="00C5686E">
        <w:rPr>
          <w:lang w:val="en-GB" w:eastAsia="en-GB"/>
        </w:rPr>
        <w:t>shall</w:t>
      </w:r>
      <w:r w:rsidRPr="00C5686E">
        <w:rPr>
          <w:lang w:val="en-GB" w:eastAsia="en-GB"/>
        </w:rPr>
        <w:t xml:space="preserve"> be considered as </w:t>
      </w:r>
      <w:r w:rsidR="00231680" w:rsidRPr="00C5686E">
        <w:rPr>
          <w:lang w:val="en-GB" w:eastAsia="en-GB"/>
        </w:rPr>
        <w:t>‘</w:t>
      </w:r>
      <w:r w:rsidRPr="00D03DD0">
        <w:rPr>
          <w:i/>
          <w:lang w:val="en-GB" w:eastAsia="en-GB"/>
        </w:rPr>
        <w:t>naked</w:t>
      </w:r>
      <w:r w:rsidR="00231680" w:rsidRPr="00C5686E">
        <w:rPr>
          <w:lang w:val="en-GB" w:eastAsia="en-GB"/>
        </w:rPr>
        <w:t>’</w:t>
      </w:r>
      <w:r w:rsidRPr="00C5686E">
        <w:rPr>
          <w:lang w:val="en-GB" w:eastAsia="en-GB"/>
        </w:rPr>
        <w:t>.</w:t>
      </w:r>
    </w:p>
    <w:p w:rsidR="001F3006" w:rsidRPr="00C5686E" w:rsidRDefault="001F3006" w:rsidP="009B736E">
      <w:pPr>
        <w:pStyle w:val="ListParagraph"/>
        <w:rPr>
          <w:lang w:val="en-GB" w:eastAsia="en-GB"/>
        </w:rPr>
      </w:pPr>
    </w:p>
    <w:p w:rsidR="00F1064F" w:rsidRDefault="0089393A" w:rsidP="00AE118B">
      <w:pPr>
        <w:pStyle w:val="ListParagraph"/>
        <w:numPr>
          <w:ilvl w:val="0"/>
          <w:numId w:val="15"/>
        </w:numPr>
        <w:rPr>
          <w:lang w:val="en-GB" w:eastAsia="en-GB"/>
        </w:rPr>
      </w:pPr>
      <w:r>
        <w:rPr>
          <w:lang w:val="en-GB" w:eastAsia="en-GB"/>
        </w:rPr>
        <w:t xml:space="preserve">Regarding to </w:t>
      </w:r>
      <w:r w:rsidR="00734B8A">
        <w:rPr>
          <w:lang w:val="en-GB" w:eastAsia="en-GB"/>
        </w:rPr>
        <w:t xml:space="preserve">the </w:t>
      </w:r>
      <w:r>
        <w:rPr>
          <w:lang w:val="en-GB" w:eastAsia="en-GB"/>
        </w:rPr>
        <w:t xml:space="preserve">Correlation Trading Portfolio (CTP), </w:t>
      </w:r>
      <w:r w:rsidR="002B362B">
        <w:rPr>
          <w:lang w:val="en-GB" w:eastAsia="en-GB"/>
        </w:rPr>
        <w:t xml:space="preserve">IM stands for </w:t>
      </w:r>
      <w:r w:rsidR="00F1064F" w:rsidRPr="00F1064F">
        <w:rPr>
          <w:lang w:val="en-GB" w:eastAsia="en-GB"/>
        </w:rPr>
        <w:t xml:space="preserve">Risk Measures resulting from Internal Model calculations for </w:t>
      </w:r>
      <w:r>
        <w:rPr>
          <w:lang w:val="en-GB" w:eastAsia="en-GB"/>
        </w:rPr>
        <w:t>CTP</w:t>
      </w:r>
      <w:r w:rsidR="00F1064F" w:rsidRPr="00F1064F">
        <w:rPr>
          <w:lang w:val="en-GB" w:eastAsia="en-GB"/>
        </w:rPr>
        <w:t xml:space="preserve"> </w:t>
      </w:r>
      <w:r w:rsidR="002B362B">
        <w:rPr>
          <w:lang w:val="en-GB" w:eastAsia="en-GB"/>
        </w:rPr>
        <w:t xml:space="preserve">in accordance with </w:t>
      </w:r>
      <w:r w:rsidR="00F1064F" w:rsidRPr="00F1064F">
        <w:rPr>
          <w:lang w:val="en-GB" w:eastAsia="en-GB"/>
        </w:rPr>
        <w:t>Art</w:t>
      </w:r>
      <w:r w:rsidR="002B362B">
        <w:rPr>
          <w:lang w:val="en-GB" w:eastAsia="en-GB"/>
        </w:rPr>
        <w:t>icle</w:t>
      </w:r>
      <w:r w:rsidR="00F1064F" w:rsidRPr="00F1064F">
        <w:rPr>
          <w:lang w:val="en-GB" w:eastAsia="en-GB"/>
        </w:rPr>
        <w:t xml:space="preserve"> 377 </w:t>
      </w:r>
      <w:r w:rsidR="00D03DD0">
        <w:rPr>
          <w:lang w:val="en-GB" w:eastAsia="en-GB"/>
        </w:rPr>
        <w:t>of Regulation (EU) No 575/2013</w:t>
      </w:r>
      <w:r w:rsidR="00F1064F" w:rsidRPr="00F1064F">
        <w:rPr>
          <w:lang w:val="en-GB" w:eastAsia="en-GB"/>
        </w:rPr>
        <w:t>. It is indicated as All Price Risk (APR)</w:t>
      </w:r>
      <w:r>
        <w:rPr>
          <w:lang w:val="en-GB" w:eastAsia="en-GB"/>
        </w:rPr>
        <w:t xml:space="preserve"> in Annex VI</w:t>
      </w:r>
      <w:r w:rsidR="00F1064F" w:rsidRPr="00F1064F">
        <w:rPr>
          <w:lang w:val="en-GB" w:eastAsia="en-GB"/>
        </w:rPr>
        <w:t>.</w:t>
      </w:r>
    </w:p>
    <w:p w:rsidR="00F1064F" w:rsidRPr="00F1064F" w:rsidRDefault="00F1064F" w:rsidP="00D03DD0">
      <w:pPr>
        <w:pStyle w:val="ListParagraph"/>
        <w:rPr>
          <w:lang w:val="en-GB" w:eastAsia="en-GB"/>
        </w:rPr>
      </w:pPr>
    </w:p>
    <w:p w:rsidR="001F3006" w:rsidRPr="00C5686E" w:rsidRDefault="00AE118B" w:rsidP="00AE118B">
      <w:pPr>
        <w:pStyle w:val="ListParagraph"/>
        <w:numPr>
          <w:ilvl w:val="0"/>
          <w:numId w:val="15"/>
        </w:numPr>
        <w:rPr>
          <w:lang w:val="en-GB" w:eastAsia="en-GB"/>
        </w:rPr>
      </w:pPr>
      <w:r w:rsidRPr="00C5686E">
        <w:rPr>
          <w:lang w:val="en-GB" w:eastAsia="en-GB"/>
        </w:rPr>
        <w:t xml:space="preserve">For the positions denominated in </w:t>
      </w:r>
      <w:r w:rsidR="006D0628">
        <w:rPr>
          <w:lang w:val="en-GB" w:eastAsia="en-GB"/>
        </w:rPr>
        <w:t xml:space="preserve">a common base currency </w:t>
      </w:r>
      <w:r w:rsidRPr="00C5686E">
        <w:rPr>
          <w:lang w:val="en-GB" w:eastAsia="en-GB"/>
        </w:rPr>
        <w:t xml:space="preserve">but composed by one or more instruments denominated in a different currency, the </w:t>
      </w:r>
      <w:r w:rsidR="001F3006" w:rsidRPr="00C5686E">
        <w:rPr>
          <w:lang w:val="en-GB" w:eastAsia="en-GB"/>
        </w:rPr>
        <w:t>Initial Market Valuation (‘IMV</w:t>
      </w:r>
      <w:r w:rsidR="009B736E" w:rsidRPr="00C5686E">
        <w:rPr>
          <w:lang w:val="en-GB" w:eastAsia="en-GB"/>
        </w:rPr>
        <w:t>’)</w:t>
      </w:r>
      <w:r w:rsidRPr="00C5686E">
        <w:rPr>
          <w:lang w:val="en-GB" w:eastAsia="en-GB"/>
        </w:rPr>
        <w:t xml:space="preserve"> shall be converted in </w:t>
      </w:r>
      <w:r w:rsidR="006D0628">
        <w:rPr>
          <w:lang w:val="en-GB" w:eastAsia="en-GB"/>
        </w:rPr>
        <w:t xml:space="preserve">the common portfolio base currency </w:t>
      </w:r>
      <w:r w:rsidRPr="00C5686E">
        <w:rPr>
          <w:lang w:val="en-GB" w:eastAsia="en-GB"/>
        </w:rPr>
        <w:t>using the appropriate foreign exchange (‘FX’) spot rate at the end of the booking date (</w:t>
      </w:r>
      <w:r w:rsidR="006D0628">
        <w:rPr>
          <w:lang w:val="en-GB" w:eastAsia="en-GB"/>
        </w:rPr>
        <w:t>1</w:t>
      </w:r>
      <w:r w:rsidR="004F2C75">
        <w:rPr>
          <w:lang w:val="en-GB" w:eastAsia="en-GB"/>
        </w:rPr>
        <w:t>2</w:t>
      </w:r>
      <w:r w:rsidR="006D0628">
        <w:rPr>
          <w:lang w:val="en-GB" w:eastAsia="en-GB"/>
        </w:rPr>
        <w:t xml:space="preserve"> October 201</w:t>
      </w:r>
      <w:r w:rsidR="004F2C75">
        <w:rPr>
          <w:lang w:val="en-GB" w:eastAsia="en-GB"/>
        </w:rPr>
        <w:t>7</w:t>
      </w:r>
      <w:r w:rsidRPr="00C5686E">
        <w:rPr>
          <w:lang w:val="en-GB" w:eastAsia="en-GB"/>
        </w:rPr>
        <w:t>).</w:t>
      </w:r>
      <w:r w:rsidR="006D0628">
        <w:rPr>
          <w:lang w:val="en-GB" w:eastAsia="en-GB"/>
        </w:rPr>
        <w:t xml:space="preserve"> Profit and Loss results (</w:t>
      </w:r>
      <w:r w:rsidR="0011623E">
        <w:rPr>
          <w:lang w:val="en-GB" w:eastAsia="en-GB"/>
        </w:rPr>
        <w:t>‘</w:t>
      </w:r>
      <w:r w:rsidR="006D0628">
        <w:rPr>
          <w:lang w:val="en-GB" w:eastAsia="en-GB"/>
        </w:rPr>
        <w:t>P&amp;L</w:t>
      </w:r>
      <w:r w:rsidR="0011623E">
        <w:rPr>
          <w:lang w:val="en-GB" w:eastAsia="en-GB"/>
        </w:rPr>
        <w:t>’</w:t>
      </w:r>
      <w:r w:rsidR="006D0628">
        <w:rPr>
          <w:lang w:val="en-GB" w:eastAsia="en-GB"/>
        </w:rPr>
        <w:t>), Risk and stressed measures (</w:t>
      </w:r>
      <w:proofErr w:type="spellStart"/>
      <w:r w:rsidR="006D0628">
        <w:rPr>
          <w:lang w:val="en-GB" w:eastAsia="en-GB"/>
        </w:rPr>
        <w:t>VaR</w:t>
      </w:r>
      <w:proofErr w:type="spellEnd"/>
      <w:r w:rsidR="006D0628">
        <w:rPr>
          <w:lang w:val="en-GB" w:eastAsia="en-GB"/>
        </w:rPr>
        <w:t xml:space="preserve">, </w:t>
      </w:r>
      <w:proofErr w:type="spellStart"/>
      <w:r w:rsidR="006D0628">
        <w:rPr>
          <w:lang w:val="en-GB" w:eastAsia="en-GB"/>
        </w:rPr>
        <w:t>sVaR</w:t>
      </w:r>
      <w:proofErr w:type="spellEnd"/>
      <w:r w:rsidR="006D0628">
        <w:rPr>
          <w:lang w:val="en-GB" w:eastAsia="en-GB"/>
        </w:rPr>
        <w:t xml:space="preserve">, IRC, APR) </w:t>
      </w:r>
      <w:r w:rsidR="00D03DD0">
        <w:rPr>
          <w:lang w:val="en-GB" w:eastAsia="en-GB"/>
        </w:rPr>
        <w:t xml:space="preserve">shall </w:t>
      </w:r>
      <w:r w:rsidR="006D0628">
        <w:rPr>
          <w:lang w:val="en-GB" w:eastAsia="en-GB"/>
        </w:rPr>
        <w:t>follow accordingly</w:t>
      </w:r>
      <w:r w:rsidR="00082B9B">
        <w:rPr>
          <w:lang w:val="en-GB" w:eastAsia="en-GB"/>
        </w:rPr>
        <w:t xml:space="preserve"> by using the corresponding and appropriate FX rate</w:t>
      </w:r>
      <w:r w:rsidR="004F2C75">
        <w:rPr>
          <w:lang w:val="en-GB" w:eastAsia="en-GB"/>
        </w:rPr>
        <w:t>, if needs</w:t>
      </w:r>
      <w:r w:rsidR="00082B9B">
        <w:rPr>
          <w:lang w:val="en-GB" w:eastAsia="en-GB"/>
        </w:rPr>
        <w:t xml:space="preserve">. </w:t>
      </w:r>
    </w:p>
    <w:p w:rsidR="001F3006" w:rsidRPr="00C5686E" w:rsidRDefault="001F3006" w:rsidP="009B736E">
      <w:pPr>
        <w:pStyle w:val="ListParagraph"/>
        <w:rPr>
          <w:lang w:val="en-GB" w:eastAsia="en-GB"/>
        </w:rPr>
      </w:pPr>
    </w:p>
    <w:p w:rsidR="002B362B" w:rsidRDefault="001F3006" w:rsidP="00D03DD0">
      <w:pPr>
        <w:pStyle w:val="ListParagraph"/>
        <w:numPr>
          <w:ilvl w:val="0"/>
          <w:numId w:val="15"/>
        </w:numPr>
        <w:rPr>
          <w:lang w:val="en-GB" w:eastAsia="en-GB"/>
        </w:rPr>
      </w:pPr>
      <w:r w:rsidRPr="00F1064F">
        <w:rPr>
          <w:lang w:val="en-GB" w:eastAsia="en-GB"/>
        </w:rPr>
        <w:t xml:space="preserve">When booking all positions, </w:t>
      </w:r>
      <w:r w:rsidR="00243B8E" w:rsidRPr="00F1064F">
        <w:rPr>
          <w:lang w:val="en-GB" w:eastAsia="en-GB"/>
        </w:rPr>
        <w:t>institutions</w:t>
      </w:r>
      <w:r w:rsidR="006D0628" w:rsidRPr="00F1064F">
        <w:rPr>
          <w:lang w:val="en-GB" w:eastAsia="en-GB"/>
        </w:rPr>
        <w:t xml:space="preserve"> </w:t>
      </w:r>
      <w:r w:rsidR="00243B8E" w:rsidRPr="00F1064F">
        <w:rPr>
          <w:lang w:val="en-GB" w:eastAsia="en-GB"/>
        </w:rPr>
        <w:t>shall</w:t>
      </w:r>
      <w:r w:rsidR="006D0628" w:rsidRPr="00F1064F">
        <w:rPr>
          <w:lang w:val="en-GB" w:eastAsia="en-GB"/>
        </w:rPr>
        <w:t xml:space="preserve"> follow </w:t>
      </w:r>
      <w:r w:rsidRPr="00F1064F">
        <w:rPr>
          <w:lang w:val="en-GB" w:eastAsia="en-GB"/>
        </w:rPr>
        <w:t>appropriate market convention</w:t>
      </w:r>
      <w:r w:rsidR="006D0628" w:rsidRPr="0011623E">
        <w:rPr>
          <w:lang w:val="en-GB" w:eastAsia="en-GB"/>
        </w:rPr>
        <w:t>s where not otherwise specified.</w:t>
      </w:r>
      <w:r w:rsidRPr="0011623E">
        <w:rPr>
          <w:lang w:val="en-GB" w:eastAsia="en-GB"/>
        </w:rPr>
        <w:t xml:space="preserve"> </w:t>
      </w:r>
      <w:r w:rsidR="006D0628" w:rsidRPr="00AC640E">
        <w:rPr>
          <w:lang w:val="en-GB" w:eastAsia="en-GB"/>
        </w:rPr>
        <w:t xml:space="preserve"> In the following sections, </w:t>
      </w:r>
      <w:r w:rsidR="0011623E">
        <w:rPr>
          <w:lang w:val="en-GB" w:eastAsia="en-GB"/>
        </w:rPr>
        <w:t>‘</w:t>
      </w:r>
      <w:r w:rsidR="006D0628" w:rsidRPr="0011623E">
        <w:rPr>
          <w:lang w:val="en-GB" w:eastAsia="en-GB"/>
        </w:rPr>
        <w:t>long</w:t>
      </w:r>
      <w:r w:rsidR="0011623E">
        <w:rPr>
          <w:lang w:val="en-GB" w:eastAsia="en-GB"/>
        </w:rPr>
        <w:t>’</w:t>
      </w:r>
      <w:r w:rsidR="006D0628" w:rsidRPr="0011623E">
        <w:rPr>
          <w:lang w:val="en-GB" w:eastAsia="en-GB"/>
        </w:rPr>
        <w:t xml:space="preserve"> means </w:t>
      </w:r>
      <w:r w:rsidR="00D03DD0">
        <w:rPr>
          <w:lang w:val="en-GB" w:eastAsia="en-GB"/>
        </w:rPr>
        <w:t>‘</w:t>
      </w:r>
      <w:r w:rsidR="006D0628" w:rsidRPr="0011623E">
        <w:rPr>
          <w:lang w:val="en-GB" w:eastAsia="en-GB"/>
        </w:rPr>
        <w:t>buy</w:t>
      </w:r>
      <w:r w:rsidR="00D03DD0">
        <w:rPr>
          <w:lang w:val="en-GB" w:eastAsia="en-GB"/>
        </w:rPr>
        <w:t>’</w:t>
      </w:r>
      <w:r w:rsidR="006D0628" w:rsidRPr="0011623E">
        <w:rPr>
          <w:lang w:val="en-GB" w:eastAsia="en-GB"/>
        </w:rPr>
        <w:t xml:space="preserve"> and </w:t>
      </w:r>
      <w:r w:rsidR="0011623E">
        <w:rPr>
          <w:lang w:val="en-GB" w:eastAsia="en-GB"/>
        </w:rPr>
        <w:t>‘</w:t>
      </w:r>
      <w:r w:rsidR="006D0628" w:rsidRPr="0011623E">
        <w:rPr>
          <w:lang w:val="en-GB" w:eastAsia="en-GB"/>
        </w:rPr>
        <w:t>short</w:t>
      </w:r>
      <w:r w:rsidR="0011623E">
        <w:rPr>
          <w:lang w:val="en-GB" w:eastAsia="en-GB"/>
        </w:rPr>
        <w:t>’</w:t>
      </w:r>
      <w:r w:rsidR="006D0628" w:rsidRPr="0011623E">
        <w:rPr>
          <w:lang w:val="en-GB" w:eastAsia="en-GB"/>
        </w:rPr>
        <w:t xml:space="preserve"> means </w:t>
      </w:r>
      <w:r w:rsidR="00D03DD0">
        <w:rPr>
          <w:lang w:val="en-GB" w:eastAsia="en-GB"/>
        </w:rPr>
        <w:t>‘</w:t>
      </w:r>
      <w:r w:rsidR="006D0628" w:rsidRPr="0011623E">
        <w:rPr>
          <w:lang w:val="en-GB" w:eastAsia="en-GB"/>
        </w:rPr>
        <w:t>sell</w:t>
      </w:r>
      <w:r w:rsidR="00D03DD0">
        <w:rPr>
          <w:lang w:val="en-GB" w:eastAsia="en-GB"/>
        </w:rPr>
        <w:t>’</w:t>
      </w:r>
      <w:r w:rsidR="006D0628" w:rsidRPr="0011623E">
        <w:rPr>
          <w:lang w:val="en-GB" w:eastAsia="en-GB"/>
        </w:rPr>
        <w:t xml:space="preserve">. For CDS, </w:t>
      </w:r>
      <w:r w:rsidR="0011623E">
        <w:rPr>
          <w:lang w:val="en-GB" w:eastAsia="en-GB"/>
        </w:rPr>
        <w:t>‘</w:t>
      </w:r>
      <w:r w:rsidR="006D0628" w:rsidRPr="0011623E">
        <w:rPr>
          <w:lang w:val="en-GB" w:eastAsia="en-GB"/>
        </w:rPr>
        <w:t>long</w:t>
      </w:r>
      <w:r w:rsidR="0011623E">
        <w:rPr>
          <w:lang w:val="en-GB" w:eastAsia="en-GB"/>
        </w:rPr>
        <w:t>’</w:t>
      </w:r>
      <w:r w:rsidR="006D0628" w:rsidRPr="0011623E">
        <w:rPr>
          <w:lang w:val="en-GB" w:eastAsia="en-GB"/>
        </w:rPr>
        <w:t xml:space="preserve"> means buy protection and </w:t>
      </w:r>
      <w:r w:rsidR="0011623E">
        <w:rPr>
          <w:lang w:val="en-GB" w:eastAsia="en-GB"/>
        </w:rPr>
        <w:t>‘</w:t>
      </w:r>
      <w:r w:rsidR="006D0628" w:rsidRPr="0011623E">
        <w:rPr>
          <w:lang w:val="en-GB" w:eastAsia="en-GB"/>
        </w:rPr>
        <w:t>short</w:t>
      </w:r>
      <w:r w:rsidR="0011623E">
        <w:rPr>
          <w:lang w:val="en-GB" w:eastAsia="en-GB"/>
        </w:rPr>
        <w:t>’</w:t>
      </w:r>
      <w:r w:rsidR="006D0628" w:rsidRPr="0011623E">
        <w:rPr>
          <w:lang w:val="en-GB" w:eastAsia="en-GB"/>
        </w:rPr>
        <w:t xml:space="preserve"> mean sell protection. This follows from standard market practice.</w:t>
      </w:r>
    </w:p>
    <w:p w:rsidR="001F3006" w:rsidRPr="006D0628" w:rsidRDefault="006D0628" w:rsidP="002B362B">
      <w:pPr>
        <w:pStyle w:val="ListParagraph"/>
        <w:rPr>
          <w:lang w:val="en-GB" w:eastAsia="en-GB"/>
        </w:rPr>
      </w:pPr>
      <w:r w:rsidRPr="0011623E">
        <w:rPr>
          <w:lang w:val="en-GB" w:eastAsia="en-GB"/>
        </w:rPr>
        <w:t xml:space="preserve"> </w:t>
      </w:r>
    </w:p>
    <w:p w:rsidR="001F3006" w:rsidRDefault="001F3006" w:rsidP="001F3006">
      <w:pPr>
        <w:pStyle w:val="ListParagraph"/>
        <w:numPr>
          <w:ilvl w:val="0"/>
          <w:numId w:val="15"/>
        </w:numPr>
        <w:rPr>
          <w:lang w:val="en-GB" w:eastAsia="en-GB"/>
        </w:rPr>
      </w:pPr>
      <w:r w:rsidRPr="00C5686E">
        <w:rPr>
          <w:lang w:val="en-GB" w:eastAsia="en-GB"/>
        </w:rPr>
        <w:t xml:space="preserve">When an instrument is subject to a corporate action </w:t>
      </w:r>
      <w:r w:rsidR="002B362B">
        <w:rPr>
          <w:lang w:val="en-GB" w:eastAsia="en-GB"/>
        </w:rPr>
        <w:t xml:space="preserve">including </w:t>
      </w:r>
      <w:r w:rsidR="00AD6121">
        <w:rPr>
          <w:lang w:val="en-GB" w:eastAsia="en-GB"/>
        </w:rPr>
        <w:t xml:space="preserve">a </w:t>
      </w:r>
      <w:r w:rsidRPr="00C5686E">
        <w:rPr>
          <w:lang w:val="en-GB" w:eastAsia="en-GB"/>
        </w:rPr>
        <w:t xml:space="preserve">call from the issuer, </w:t>
      </w:r>
      <w:r w:rsidR="002B362B">
        <w:rPr>
          <w:lang w:val="en-GB" w:eastAsia="en-GB"/>
        </w:rPr>
        <w:t xml:space="preserve">or </w:t>
      </w:r>
      <w:r w:rsidR="00AD6121">
        <w:rPr>
          <w:lang w:val="en-GB" w:eastAsia="en-GB"/>
        </w:rPr>
        <w:t xml:space="preserve">a </w:t>
      </w:r>
      <w:r w:rsidRPr="00C5686E">
        <w:rPr>
          <w:lang w:val="en-GB" w:eastAsia="en-GB"/>
        </w:rPr>
        <w:t>default</w:t>
      </w:r>
      <w:r w:rsidR="002B362B">
        <w:rPr>
          <w:lang w:val="en-GB" w:eastAsia="en-GB"/>
        </w:rPr>
        <w:t xml:space="preserve"> or similar actions, institutions </w:t>
      </w:r>
      <w:r w:rsidRPr="00C5686E">
        <w:rPr>
          <w:lang w:val="en-GB" w:eastAsia="en-GB"/>
        </w:rPr>
        <w:t>sh</w:t>
      </w:r>
      <w:r w:rsidR="00243B8E">
        <w:rPr>
          <w:lang w:val="en-GB" w:eastAsia="en-GB"/>
        </w:rPr>
        <w:t>all</w:t>
      </w:r>
      <w:r w:rsidRPr="00C5686E">
        <w:rPr>
          <w:lang w:val="en-GB" w:eastAsia="en-GB"/>
        </w:rPr>
        <w:t xml:space="preserve"> exclude </w:t>
      </w:r>
      <w:r w:rsidR="002B362B">
        <w:rPr>
          <w:lang w:val="en-GB" w:eastAsia="en-GB"/>
        </w:rPr>
        <w:t xml:space="preserve">it </w:t>
      </w:r>
      <w:r w:rsidRPr="00C5686E">
        <w:rPr>
          <w:lang w:val="en-GB" w:eastAsia="en-GB"/>
        </w:rPr>
        <w:t xml:space="preserve">from the portfolio </w:t>
      </w:r>
      <w:r w:rsidR="002B362B">
        <w:rPr>
          <w:lang w:val="en-GB" w:eastAsia="en-GB"/>
        </w:rPr>
        <w:t>together</w:t>
      </w:r>
      <w:r w:rsidRPr="00C5686E">
        <w:rPr>
          <w:lang w:val="en-GB" w:eastAsia="en-GB"/>
        </w:rPr>
        <w:t xml:space="preserve"> with any related CDS or option.</w:t>
      </w:r>
    </w:p>
    <w:p w:rsidR="006D0628" w:rsidRPr="006D0628" w:rsidRDefault="006D0628" w:rsidP="00D03DD0">
      <w:pPr>
        <w:pStyle w:val="ListParagraph"/>
        <w:rPr>
          <w:lang w:val="en-GB" w:eastAsia="en-GB"/>
        </w:rPr>
      </w:pPr>
    </w:p>
    <w:p w:rsidR="006D0628" w:rsidRPr="00C5686E" w:rsidRDefault="0011623E" w:rsidP="001F3006">
      <w:pPr>
        <w:pStyle w:val="ListParagraph"/>
        <w:numPr>
          <w:ilvl w:val="0"/>
          <w:numId w:val="15"/>
        </w:numPr>
        <w:rPr>
          <w:lang w:val="en-GB" w:eastAsia="en-GB"/>
        </w:rPr>
      </w:pPr>
      <w:r>
        <w:rPr>
          <w:lang w:val="en-GB" w:eastAsia="en-GB"/>
        </w:rPr>
        <w:t>‘</w:t>
      </w:r>
      <w:r w:rsidR="006D0628">
        <w:rPr>
          <w:lang w:val="en-GB" w:eastAsia="en-GB"/>
        </w:rPr>
        <w:t>On-the-run</w:t>
      </w:r>
      <w:r>
        <w:rPr>
          <w:lang w:val="en-GB" w:eastAsia="en-GB"/>
        </w:rPr>
        <w:t>’</w:t>
      </w:r>
      <w:r w:rsidR="006D0628">
        <w:rPr>
          <w:lang w:val="en-GB" w:eastAsia="en-GB"/>
        </w:rPr>
        <w:t xml:space="preserve"> referr</w:t>
      </w:r>
      <w:r w:rsidR="00243B8E">
        <w:rPr>
          <w:lang w:val="en-GB" w:eastAsia="en-GB"/>
        </w:rPr>
        <w:t>ing</w:t>
      </w:r>
      <w:r w:rsidR="006D0628">
        <w:rPr>
          <w:lang w:val="en-GB" w:eastAsia="en-GB"/>
        </w:rPr>
        <w:t xml:space="preserve"> to an Index Series, means the most liquid and tradable series of that specific index available in the market. </w:t>
      </w:r>
      <w:r w:rsidR="00243B8E">
        <w:rPr>
          <w:lang w:val="en-GB" w:eastAsia="en-GB"/>
        </w:rPr>
        <w:t xml:space="preserve">Institutions </w:t>
      </w:r>
      <w:r w:rsidR="002B362B">
        <w:rPr>
          <w:lang w:val="en-GB" w:eastAsia="en-GB"/>
        </w:rPr>
        <w:t>shall</w:t>
      </w:r>
      <w:r w:rsidR="006D0628">
        <w:rPr>
          <w:lang w:val="en-GB" w:eastAsia="en-GB"/>
        </w:rPr>
        <w:t xml:space="preserve"> communicate this choice along with the related results in the appropriate text cell in the templates.</w:t>
      </w:r>
    </w:p>
    <w:p w:rsidR="001F3006" w:rsidRPr="00C5686E" w:rsidRDefault="001F3006" w:rsidP="009B736E">
      <w:pPr>
        <w:pStyle w:val="ListParagraph"/>
        <w:rPr>
          <w:lang w:val="en-GB" w:eastAsia="en-GB"/>
        </w:rPr>
      </w:pPr>
    </w:p>
    <w:p w:rsidR="008122D3" w:rsidRPr="00C5686E" w:rsidRDefault="00243B8E" w:rsidP="00A65FF5">
      <w:pPr>
        <w:pStyle w:val="ListParagraph"/>
        <w:numPr>
          <w:ilvl w:val="0"/>
          <w:numId w:val="15"/>
        </w:numPr>
        <w:rPr>
          <w:lang w:val="en-GB" w:eastAsia="en-GB"/>
        </w:rPr>
      </w:pPr>
      <w:r>
        <w:rPr>
          <w:lang w:val="en-GB" w:eastAsia="en-GB"/>
        </w:rPr>
        <w:t xml:space="preserve">The </w:t>
      </w:r>
      <w:r w:rsidR="00A65FF5" w:rsidRPr="00C5686E">
        <w:rPr>
          <w:lang w:val="en-GB" w:eastAsia="en-GB"/>
        </w:rPr>
        <w:t xml:space="preserve">Euro Interbank Offered Rate </w:t>
      </w:r>
      <w:r>
        <w:rPr>
          <w:lang w:val="en-GB" w:eastAsia="en-GB"/>
        </w:rPr>
        <w:t xml:space="preserve">(‘EURIBOR’) </w:t>
      </w:r>
      <w:r w:rsidR="00A65FF5" w:rsidRPr="00C5686E">
        <w:rPr>
          <w:lang w:val="en-GB" w:eastAsia="en-GB"/>
        </w:rPr>
        <w:t xml:space="preserve">is </w:t>
      </w:r>
      <w:r>
        <w:rPr>
          <w:lang w:val="en-GB" w:eastAsia="en-GB"/>
        </w:rPr>
        <w:t xml:space="preserve">the rate </w:t>
      </w:r>
      <w:r w:rsidR="00A65FF5" w:rsidRPr="00C5686E">
        <w:rPr>
          <w:lang w:val="en-GB" w:eastAsia="en-GB"/>
        </w:rPr>
        <w:t>calculated by the European Money Markets Institute at different maturities for Euro interbank term deposits</w:t>
      </w:r>
      <w:r w:rsidR="008122D3" w:rsidRPr="00C5686E">
        <w:rPr>
          <w:lang w:val="en-GB" w:eastAsia="en-GB"/>
        </w:rPr>
        <w:t>.</w:t>
      </w:r>
    </w:p>
    <w:p w:rsidR="008122D3" w:rsidRPr="00C5686E" w:rsidRDefault="008122D3" w:rsidP="008122D3">
      <w:pPr>
        <w:pStyle w:val="ListParagraph"/>
        <w:rPr>
          <w:lang w:val="en-GB" w:eastAsia="en-GB"/>
        </w:rPr>
      </w:pPr>
    </w:p>
    <w:p w:rsidR="008122D3" w:rsidRPr="00C5686E" w:rsidRDefault="00243B8E" w:rsidP="008122D3">
      <w:pPr>
        <w:pStyle w:val="ListParagraph"/>
        <w:numPr>
          <w:ilvl w:val="0"/>
          <w:numId w:val="15"/>
        </w:numPr>
        <w:rPr>
          <w:lang w:val="en-GB" w:eastAsia="en-GB"/>
        </w:rPr>
      </w:pPr>
      <w:r>
        <w:rPr>
          <w:lang w:val="en-GB" w:eastAsia="en-GB"/>
        </w:rPr>
        <w:t xml:space="preserve">The </w:t>
      </w:r>
      <w:r w:rsidR="00A65FF5" w:rsidRPr="00C5686E">
        <w:rPr>
          <w:lang w:val="en-GB" w:eastAsia="en-GB"/>
        </w:rPr>
        <w:t xml:space="preserve">London Interbank Offered Rate </w:t>
      </w:r>
      <w:r>
        <w:rPr>
          <w:lang w:val="en-GB" w:eastAsia="en-GB"/>
        </w:rPr>
        <w:t>(‘LIBOR’)</w:t>
      </w:r>
      <w:r w:rsidR="008122D3" w:rsidRPr="00C5686E">
        <w:rPr>
          <w:lang w:val="en-GB" w:eastAsia="en-GB"/>
        </w:rPr>
        <w:t xml:space="preserve"> </w:t>
      </w:r>
      <w:r w:rsidR="00A65FF5" w:rsidRPr="00C5686E">
        <w:rPr>
          <w:lang w:val="en-GB" w:eastAsia="en-GB"/>
        </w:rPr>
        <w:t xml:space="preserve">is </w:t>
      </w:r>
      <w:r>
        <w:rPr>
          <w:lang w:val="en-GB" w:eastAsia="en-GB"/>
        </w:rPr>
        <w:t xml:space="preserve">the rate </w:t>
      </w:r>
      <w:r w:rsidR="00A65FF5" w:rsidRPr="00C5686E">
        <w:rPr>
          <w:lang w:val="en-GB" w:eastAsia="en-GB"/>
        </w:rPr>
        <w:t>calculated by the Intercontinental Exchange at different maturities for interbank term deposits in different currencies.</w:t>
      </w:r>
    </w:p>
    <w:p w:rsidR="00DD4B2E" w:rsidRPr="00C5686E" w:rsidRDefault="00DD4B2E" w:rsidP="00DD4B2E">
      <w:pPr>
        <w:rPr>
          <w:lang w:val="en-GB" w:eastAsia="en-GB"/>
        </w:rPr>
      </w:pPr>
    </w:p>
    <w:p w:rsidR="00DD4B2E" w:rsidRPr="00C5686E" w:rsidRDefault="00DD4B2E" w:rsidP="00DD4B2E">
      <w:pPr>
        <w:rPr>
          <w:lang w:val="en-GB" w:eastAsia="en-GB"/>
        </w:rPr>
      </w:pPr>
    </w:p>
    <w:p w:rsidR="00DD4B2E" w:rsidRPr="00C5686E" w:rsidRDefault="00DD4B2E" w:rsidP="00DD4B2E">
      <w:pPr>
        <w:rPr>
          <w:lang w:val="en-GB" w:eastAsia="en-GB"/>
        </w:rPr>
      </w:pPr>
    </w:p>
    <w:p w:rsidR="00DD4B2E" w:rsidRPr="00C5686E" w:rsidRDefault="00DD4B2E">
      <w:pPr>
        <w:jc w:val="left"/>
        <w:rPr>
          <w:lang w:val="en-GB" w:eastAsia="en-GB"/>
        </w:rPr>
      </w:pPr>
      <w:r w:rsidRPr="00C5686E">
        <w:rPr>
          <w:lang w:val="en-GB" w:eastAsia="en-GB"/>
        </w:rPr>
        <w:br w:type="page"/>
      </w:r>
    </w:p>
    <w:p w:rsidR="00DD4B2E" w:rsidRPr="00C5686E" w:rsidRDefault="00E7511B" w:rsidP="001E6EFD">
      <w:pPr>
        <w:pStyle w:val="Heading1"/>
        <w:rPr>
          <w:rFonts w:ascii="Times New Roman" w:hAnsi="Times New Roman"/>
          <w:sz w:val="24"/>
          <w:szCs w:val="24"/>
          <w:u w:val="single"/>
          <w:lang w:val="en-GB" w:eastAsia="en-GB"/>
        </w:rPr>
      </w:pPr>
      <w:bookmarkStart w:id="5" w:name="_Toc479077166"/>
      <w:r w:rsidRPr="00C5686E">
        <w:rPr>
          <w:rFonts w:ascii="Times New Roman" w:hAnsi="Times New Roman"/>
          <w:sz w:val="24"/>
          <w:szCs w:val="24"/>
          <w:u w:val="single"/>
          <w:lang w:val="en-GB" w:eastAsia="en-GB"/>
        </w:rPr>
        <w:lastRenderedPageBreak/>
        <w:t xml:space="preserve">Section </w:t>
      </w:r>
      <w:proofErr w:type="gramStart"/>
      <w:r w:rsidRPr="00C5686E">
        <w:rPr>
          <w:rFonts w:ascii="Times New Roman" w:hAnsi="Times New Roman"/>
          <w:sz w:val="24"/>
          <w:szCs w:val="24"/>
          <w:u w:val="single"/>
          <w:lang w:val="en-GB" w:eastAsia="en-GB"/>
        </w:rPr>
        <w:t>1 :</w:t>
      </w:r>
      <w:proofErr w:type="gramEnd"/>
      <w:r w:rsidRPr="00C5686E">
        <w:rPr>
          <w:rFonts w:ascii="Times New Roman" w:hAnsi="Times New Roman"/>
          <w:sz w:val="24"/>
          <w:szCs w:val="24"/>
          <w:u w:val="single"/>
          <w:lang w:val="en-GB" w:eastAsia="en-GB"/>
        </w:rPr>
        <w:t xml:space="preserve"> Non-Correlation Trading Portfolios</w:t>
      </w:r>
      <w:bookmarkEnd w:id="5"/>
    </w:p>
    <w:tbl>
      <w:tblPr>
        <w:tblStyle w:val="TableGrid"/>
        <w:tblpPr w:leftFromText="141" w:rightFromText="141" w:vertAnchor="page" w:horzAnchor="margin" w:tblpY="2304"/>
        <w:tblW w:w="5000" w:type="pct"/>
        <w:tblLook w:val="04A0" w:firstRow="1" w:lastRow="0" w:firstColumn="1" w:lastColumn="0" w:noHBand="0" w:noVBand="1"/>
      </w:tblPr>
      <w:tblGrid>
        <w:gridCol w:w="1432"/>
        <w:gridCol w:w="4254"/>
        <w:gridCol w:w="1085"/>
        <w:gridCol w:w="2517"/>
      </w:tblGrid>
      <w:tr w:rsidR="00230856" w:rsidRPr="00C5686E" w:rsidTr="003650A8">
        <w:tc>
          <w:tcPr>
            <w:tcW w:w="771" w:type="pct"/>
          </w:tcPr>
          <w:p w:rsidR="00230856" w:rsidRPr="00C5686E" w:rsidRDefault="00230856" w:rsidP="003650A8">
            <w:pPr>
              <w:jc w:val="center"/>
              <w:rPr>
                <w:b/>
                <w:sz w:val="17"/>
                <w:szCs w:val="17"/>
                <w:lang w:val="en-GB"/>
              </w:rPr>
            </w:pPr>
            <w:r w:rsidRPr="00C5686E">
              <w:rPr>
                <w:b/>
                <w:sz w:val="17"/>
                <w:szCs w:val="17"/>
                <w:lang w:val="en-GB"/>
              </w:rPr>
              <w:t>Portfolio number</w:t>
            </w:r>
          </w:p>
          <w:p w:rsidR="00230856" w:rsidRPr="00C5686E" w:rsidRDefault="00230856" w:rsidP="003650A8">
            <w:pPr>
              <w:jc w:val="center"/>
              <w:rPr>
                <w:b/>
                <w:sz w:val="17"/>
                <w:szCs w:val="17"/>
                <w:lang w:val="en-GB"/>
              </w:rPr>
            </w:pPr>
            <w:r w:rsidRPr="00C5686E">
              <w:rPr>
                <w:b/>
                <w:sz w:val="17"/>
                <w:szCs w:val="17"/>
                <w:lang w:val="en-GB"/>
              </w:rPr>
              <w:t>Risk factor</w:t>
            </w:r>
          </w:p>
        </w:tc>
        <w:tc>
          <w:tcPr>
            <w:tcW w:w="2290" w:type="pct"/>
          </w:tcPr>
          <w:p w:rsidR="00230856" w:rsidRPr="00C5686E" w:rsidRDefault="00230856" w:rsidP="003650A8">
            <w:pPr>
              <w:jc w:val="center"/>
              <w:rPr>
                <w:b/>
                <w:sz w:val="17"/>
                <w:szCs w:val="17"/>
                <w:lang w:val="en-GB"/>
              </w:rPr>
            </w:pPr>
            <w:r w:rsidRPr="00C5686E">
              <w:rPr>
                <w:b/>
                <w:sz w:val="17"/>
                <w:szCs w:val="17"/>
                <w:lang w:val="en-GB"/>
              </w:rPr>
              <w:t>Portfolios</w:t>
            </w: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b/>
                <w:sz w:val="17"/>
                <w:szCs w:val="17"/>
                <w:lang w:val="en-GB"/>
              </w:rPr>
            </w:pPr>
            <w:r w:rsidRPr="00C5686E">
              <w:rPr>
                <w:b/>
                <w:sz w:val="17"/>
                <w:szCs w:val="17"/>
                <w:lang w:val="en-GB"/>
              </w:rPr>
              <w:t>Currency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b/>
                <w:sz w:val="17"/>
                <w:szCs w:val="17"/>
                <w:lang w:val="en-GB"/>
              </w:rPr>
            </w:pPr>
            <w:r w:rsidRPr="00C5686E">
              <w:rPr>
                <w:b/>
                <w:sz w:val="17"/>
                <w:szCs w:val="17"/>
                <w:lang w:val="en-GB"/>
              </w:rPr>
              <w:t>Risk Metrics requested</w:t>
            </w:r>
          </w:p>
        </w:tc>
      </w:tr>
      <w:tr w:rsidR="00FA7A69" w:rsidRPr="00C5686E" w:rsidTr="00FA7A69">
        <w:tc>
          <w:tcPr>
            <w:tcW w:w="5000" w:type="pct"/>
            <w:gridSpan w:val="4"/>
          </w:tcPr>
          <w:p w:rsidR="00FA7A69" w:rsidRPr="00C5686E" w:rsidRDefault="00FA7A69" w:rsidP="00380403">
            <w:pPr>
              <w:jc w:val="center"/>
              <w:rPr>
                <w:b/>
                <w:sz w:val="17"/>
                <w:szCs w:val="17"/>
                <w:lang w:val="en-GB"/>
              </w:rPr>
            </w:pPr>
            <w:r w:rsidRPr="00C5686E">
              <w:rPr>
                <w:b/>
                <w:sz w:val="17"/>
                <w:szCs w:val="17"/>
                <w:lang w:val="en-GB"/>
              </w:rPr>
              <w:t>Equity Portfolios</w:t>
            </w:r>
          </w:p>
          <w:p w:rsidR="00095B1A" w:rsidRPr="00C5686E" w:rsidRDefault="00095B1A" w:rsidP="00380403">
            <w:pPr>
              <w:jc w:val="center"/>
              <w:rPr>
                <w:b/>
                <w:sz w:val="17"/>
                <w:szCs w:val="17"/>
                <w:lang w:val="en-GB"/>
              </w:rPr>
            </w:pPr>
          </w:p>
        </w:tc>
      </w:tr>
      <w:tr w:rsidR="00230856" w:rsidRPr="00C5686E" w:rsidTr="00B46BE4">
        <w:trPr>
          <w:trHeight w:val="412"/>
        </w:trPr>
        <w:tc>
          <w:tcPr>
            <w:tcW w:w="771" w:type="pct"/>
          </w:tcPr>
          <w:p w:rsidR="00230856" w:rsidRPr="00C5686E" w:rsidRDefault="00230856" w:rsidP="003650A8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2290" w:type="pct"/>
          </w:tcPr>
          <w:p w:rsidR="00B86AA0" w:rsidRPr="00C5686E" w:rsidRDefault="00B86AA0" w:rsidP="00612BD1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355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E65D7A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1</w:t>
            </w:r>
          </w:p>
          <w:p w:rsidR="00230856" w:rsidRPr="00C5686E" w:rsidRDefault="00230856" w:rsidP="003650A8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Equity</w:t>
            </w:r>
          </w:p>
        </w:tc>
        <w:tc>
          <w:tcPr>
            <w:tcW w:w="2290" w:type="pct"/>
          </w:tcPr>
          <w:p w:rsidR="00230856" w:rsidRPr="00C5686E" w:rsidRDefault="00230856" w:rsidP="003650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Bullish leveraged trade </w:t>
            </w:r>
          </w:p>
          <w:p w:rsidR="00230856" w:rsidRPr="00C5686E" w:rsidRDefault="00230856" w:rsidP="00C5686E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C5686E">
              <w:rPr>
                <w:rFonts w:ascii="Times New Roman" w:hAnsi="Times New Roman"/>
                <w:szCs w:val="17"/>
              </w:rPr>
              <w:t xml:space="preserve">Long 100 contracts OTC </w:t>
            </w:r>
            <w:r w:rsidR="00981DC6">
              <w:rPr>
                <w:rFonts w:ascii="Times New Roman" w:hAnsi="Times New Roman"/>
                <w:szCs w:val="17"/>
              </w:rPr>
              <w:t>Apple</w:t>
            </w:r>
            <w:r w:rsidR="00981DC6" w:rsidRPr="00C5686E">
              <w:rPr>
                <w:rFonts w:ascii="Times New Roman" w:hAnsi="Times New Roman"/>
                <w:szCs w:val="17"/>
              </w:rPr>
              <w:t xml:space="preserve"> </w:t>
            </w:r>
            <w:r w:rsidRPr="00C5686E">
              <w:rPr>
                <w:rFonts w:ascii="Times New Roman" w:hAnsi="Times New Roman"/>
                <w:szCs w:val="17"/>
              </w:rPr>
              <w:t>(</w:t>
            </w:r>
            <w:r w:rsidR="00981DC6">
              <w:rPr>
                <w:rFonts w:ascii="Times New Roman" w:hAnsi="Times New Roman"/>
                <w:szCs w:val="17"/>
              </w:rPr>
              <w:t>AAPL US Equity</w:t>
            </w:r>
            <w:r w:rsidRPr="00C5686E">
              <w:rPr>
                <w:rFonts w:ascii="Times New Roman" w:hAnsi="Times New Roman"/>
                <w:szCs w:val="17"/>
              </w:rPr>
              <w:t>) OTM</w:t>
            </w:r>
            <w:r w:rsidR="003218FB" w:rsidRPr="00C5686E">
              <w:rPr>
                <w:rFonts w:ascii="Times New Roman" w:hAnsi="Times New Roman"/>
                <w:szCs w:val="17"/>
                <w:vertAlign w:val="superscript"/>
                <w:lang w:eastAsia="fr-FR"/>
              </w:rPr>
              <w:t>*</w:t>
            </w:r>
            <w:r w:rsidRPr="00C5686E">
              <w:rPr>
                <w:rFonts w:ascii="Times New Roman" w:hAnsi="Times New Roman"/>
                <w:szCs w:val="17"/>
              </w:rPr>
              <w:t xml:space="preserve"> </w:t>
            </w:r>
            <w:r w:rsidR="00981DC6">
              <w:rPr>
                <w:rFonts w:ascii="Times New Roman" w:hAnsi="Times New Roman"/>
                <w:szCs w:val="17"/>
              </w:rPr>
              <w:t>6</w:t>
            </w:r>
            <w:r w:rsidRPr="00C5686E">
              <w:rPr>
                <w:rFonts w:ascii="Times New Roman" w:hAnsi="Times New Roman"/>
                <w:szCs w:val="17"/>
              </w:rPr>
              <w:t xml:space="preserve">-month call options (1 contract = 100 shares underlying) </w:t>
            </w:r>
          </w:p>
          <w:p w:rsidR="00230856" w:rsidRDefault="00230856" w:rsidP="00981DC6">
            <w:pPr>
              <w:rPr>
                <w:i/>
                <w:iCs/>
                <w:sz w:val="17"/>
                <w:szCs w:val="17"/>
                <w:lang w:val="en-GB"/>
              </w:rPr>
            </w:pPr>
            <w:r w:rsidRPr="00C5686E">
              <w:rPr>
                <w:i/>
                <w:iCs/>
                <w:sz w:val="17"/>
                <w:szCs w:val="17"/>
                <w:vertAlign w:val="superscript"/>
                <w:lang w:val="en-GB"/>
              </w:rPr>
              <w:t>*</w:t>
            </w:r>
            <w:r w:rsidRPr="00C5686E">
              <w:rPr>
                <w:i/>
                <w:iCs/>
                <w:sz w:val="17"/>
                <w:szCs w:val="17"/>
                <w:lang w:val="en-GB"/>
              </w:rPr>
              <w:t xml:space="preserve"> </w:t>
            </w:r>
            <w:r w:rsidR="002D6371" w:rsidRPr="00C5686E">
              <w:rPr>
                <w:i/>
                <w:iCs/>
                <w:sz w:val="17"/>
                <w:szCs w:val="17"/>
                <w:lang w:val="en-GB"/>
              </w:rPr>
              <w:t>The s</w:t>
            </w:r>
            <w:r w:rsidRPr="00C5686E">
              <w:rPr>
                <w:i/>
                <w:iCs/>
                <w:sz w:val="17"/>
                <w:szCs w:val="17"/>
                <w:lang w:val="en-GB"/>
              </w:rPr>
              <w:t xml:space="preserve">trike price is out-of-the-money by 10% relative to the stock price at market close on </w:t>
            </w:r>
            <w:r w:rsidR="00981DC6">
              <w:rPr>
                <w:i/>
                <w:iCs/>
                <w:sz w:val="17"/>
                <w:szCs w:val="17"/>
                <w:lang w:val="en-GB"/>
              </w:rPr>
              <w:t>1</w:t>
            </w:r>
            <w:r w:rsidR="00E65D7A">
              <w:rPr>
                <w:i/>
                <w:iCs/>
                <w:sz w:val="17"/>
                <w:szCs w:val="17"/>
                <w:lang w:val="en-GB"/>
              </w:rPr>
              <w:t>2</w:t>
            </w:r>
            <w:r w:rsidR="00981DC6" w:rsidRPr="00C5686E">
              <w:rPr>
                <w:i/>
                <w:iCs/>
                <w:sz w:val="17"/>
                <w:szCs w:val="17"/>
                <w:lang w:val="en-GB"/>
              </w:rPr>
              <w:t xml:space="preserve"> </w:t>
            </w:r>
            <w:r w:rsidR="003F0692" w:rsidRPr="00C5686E">
              <w:rPr>
                <w:i/>
                <w:iCs/>
                <w:sz w:val="17"/>
                <w:szCs w:val="17"/>
                <w:lang w:val="en-GB"/>
              </w:rPr>
              <w:t xml:space="preserve">October </w:t>
            </w:r>
            <w:r w:rsidR="00981DC6">
              <w:rPr>
                <w:i/>
                <w:iCs/>
                <w:sz w:val="17"/>
                <w:szCs w:val="17"/>
                <w:lang w:val="en-GB"/>
              </w:rPr>
              <w:t>201</w:t>
            </w:r>
            <w:r w:rsidR="00E65D7A">
              <w:rPr>
                <w:i/>
                <w:iCs/>
                <w:sz w:val="17"/>
                <w:szCs w:val="17"/>
                <w:lang w:val="en-GB"/>
              </w:rPr>
              <w:t>7</w:t>
            </w:r>
            <w:r w:rsidRPr="00C5686E">
              <w:rPr>
                <w:i/>
                <w:iCs/>
                <w:sz w:val="17"/>
                <w:szCs w:val="17"/>
                <w:lang w:val="en-GB"/>
              </w:rPr>
              <w:t>.</w:t>
            </w:r>
          </w:p>
          <w:p w:rsidR="00B86AA0" w:rsidRPr="00C5686E" w:rsidRDefault="00B86AA0" w:rsidP="00981DC6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USD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596C7F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2</w:t>
            </w:r>
          </w:p>
          <w:p w:rsidR="00230856" w:rsidRPr="00C5686E" w:rsidRDefault="00230856" w:rsidP="003650A8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Equity</w:t>
            </w:r>
          </w:p>
        </w:tc>
        <w:tc>
          <w:tcPr>
            <w:tcW w:w="2290" w:type="pct"/>
          </w:tcPr>
          <w:p w:rsidR="00230856" w:rsidRPr="00C5686E" w:rsidRDefault="00230856" w:rsidP="003650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Volatility trade #1 </w:t>
            </w:r>
          </w:p>
          <w:p w:rsidR="00230856" w:rsidRPr="00C5686E" w:rsidRDefault="00230856" w:rsidP="00C5686E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C5686E">
              <w:rPr>
                <w:rFonts w:ascii="Times New Roman" w:hAnsi="Times New Roman"/>
                <w:szCs w:val="17"/>
              </w:rPr>
              <w:t xml:space="preserve">Short straddle </w:t>
            </w:r>
            <w:r w:rsidR="00B24BCC">
              <w:rPr>
                <w:rFonts w:ascii="Times New Roman" w:hAnsi="Times New Roman"/>
                <w:szCs w:val="17"/>
              </w:rPr>
              <w:t>6</w:t>
            </w:r>
            <w:r w:rsidRPr="00C5686E">
              <w:rPr>
                <w:rFonts w:ascii="Times New Roman" w:hAnsi="Times New Roman"/>
                <w:szCs w:val="17"/>
              </w:rPr>
              <w:t>-month ATM</w:t>
            </w:r>
            <w:r w:rsidRPr="00C5686E">
              <w:rPr>
                <w:rFonts w:ascii="Times New Roman" w:hAnsi="Times New Roman"/>
                <w:szCs w:val="17"/>
                <w:vertAlign w:val="superscript"/>
              </w:rPr>
              <w:t>*</w:t>
            </w:r>
            <w:r w:rsidRPr="00C5686E">
              <w:rPr>
                <w:rFonts w:ascii="Times New Roman" w:hAnsi="Times New Roman"/>
                <w:szCs w:val="17"/>
              </w:rPr>
              <w:t xml:space="preserve"> S&amp;P 500 Index OTC options (30 contracts</w:t>
            </w:r>
            <w:r w:rsidR="00CE17E8" w:rsidRPr="00C5686E">
              <w:rPr>
                <w:rFonts w:ascii="Times New Roman" w:hAnsi="Times New Roman"/>
                <w:szCs w:val="17"/>
              </w:rPr>
              <w:t>; 1 contract = 100 underlying</w:t>
            </w:r>
            <w:r w:rsidRPr="00C5686E">
              <w:rPr>
                <w:rFonts w:ascii="Times New Roman" w:hAnsi="Times New Roman"/>
                <w:szCs w:val="17"/>
              </w:rPr>
              <w:t xml:space="preserve">) </w:t>
            </w:r>
          </w:p>
          <w:p w:rsidR="00230856" w:rsidRPr="00C5686E" w:rsidRDefault="00230856" w:rsidP="00C5686E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C5686E">
              <w:rPr>
                <w:rFonts w:ascii="Times New Roman" w:hAnsi="Times New Roman"/>
                <w:szCs w:val="17"/>
              </w:rPr>
              <w:t>Long straddle 2-year ATM</w:t>
            </w:r>
            <w:r w:rsidR="00BD53C7" w:rsidRPr="00C5686E">
              <w:rPr>
                <w:rFonts w:ascii="Times New Roman" w:hAnsi="Times New Roman"/>
                <w:szCs w:val="17"/>
                <w:vertAlign w:val="superscript"/>
              </w:rPr>
              <w:t>*</w:t>
            </w:r>
            <w:r w:rsidRPr="00C5686E">
              <w:rPr>
                <w:rFonts w:ascii="Times New Roman" w:hAnsi="Times New Roman"/>
                <w:szCs w:val="17"/>
              </w:rPr>
              <w:t xml:space="preserve"> S&amp;P 500 Index OTC options (30 contracts</w:t>
            </w:r>
            <w:r w:rsidR="00CE17E8" w:rsidRPr="00C5686E">
              <w:rPr>
                <w:rFonts w:ascii="Times New Roman" w:hAnsi="Times New Roman"/>
                <w:szCs w:val="17"/>
              </w:rPr>
              <w:t>; 1 contract = 100 underlying</w:t>
            </w:r>
            <w:r w:rsidRPr="00C5686E">
              <w:rPr>
                <w:rFonts w:ascii="Times New Roman" w:hAnsi="Times New Roman"/>
                <w:szCs w:val="17"/>
              </w:rPr>
              <w:t xml:space="preserve">) </w:t>
            </w:r>
          </w:p>
          <w:p w:rsidR="003218FB" w:rsidRDefault="00230856" w:rsidP="00B24BCC">
            <w:pPr>
              <w:rPr>
                <w:i/>
                <w:iCs/>
                <w:sz w:val="17"/>
                <w:szCs w:val="17"/>
                <w:lang w:val="en-GB"/>
              </w:rPr>
            </w:pPr>
            <w:r w:rsidRPr="00C5686E">
              <w:rPr>
                <w:i/>
                <w:iCs/>
                <w:sz w:val="17"/>
                <w:szCs w:val="17"/>
                <w:vertAlign w:val="superscript"/>
                <w:lang w:val="en-GB"/>
              </w:rPr>
              <w:t>*</w:t>
            </w:r>
            <w:r w:rsidRPr="00C5686E">
              <w:rPr>
                <w:i/>
                <w:iCs/>
                <w:sz w:val="17"/>
                <w:szCs w:val="17"/>
                <w:lang w:val="en-GB"/>
              </w:rPr>
              <w:t xml:space="preserve"> </w:t>
            </w:r>
            <w:r w:rsidR="002D6371" w:rsidRPr="00C5686E">
              <w:rPr>
                <w:i/>
                <w:iCs/>
                <w:sz w:val="17"/>
                <w:szCs w:val="17"/>
                <w:lang w:val="en-GB"/>
              </w:rPr>
              <w:t>The s</w:t>
            </w:r>
            <w:r w:rsidRPr="00C5686E">
              <w:rPr>
                <w:i/>
                <w:iCs/>
                <w:sz w:val="17"/>
                <w:szCs w:val="17"/>
                <w:lang w:val="en-GB"/>
              </w:rPr>
              <w:t>trike price is based on the index level at NYSE at 4</w:t>
            </w:r>
            <w:r w:rsidR="00CD7E0F" w:rsidRPr="00C5686E">
              <w:rPr>
                <w:i/>
                <w:iCs/>
                <w:sz w:val="17"/>
                <w:szCs w:val="17"/>
                <w:lang w:val="en-GB"/>
              </w:rPr>
              <w:t>:</w:t>
            </w:r>
            <w:r w:rsidRPr="00C5686E">
              <w:rPr>
                <w:i/>
                <w:iCs/>
                <w:sz w:val="17"/>
                <w:szCs w:val="17"/>
                <w:lang w:val="en-GB"/>
              </w:rPr>
              <w:t xml:space="preserve">30 pm New York on </w:t>
            </w:r>
            <w:r w:rsidR="00B24BCC">
              <w:rPr>
                <w:i/>
                <w:iCs/>
                <w:sz w:val="17"/>
                <w:szCs w:val="17"/>
                <w:lang w:val="en-GB"/>
              </w:rPr>
              <w:t>1</w:t>
            </w:r>
            <w:r w:rsidR="00E65D7A">
              <w:rPr>
                <w:i/>
                <w:iCs/>
                <w:sz w:val="17"/>
                <w:szCs w:val="17"/>
                <w:lang w:val="en-GB"/>
              </w:rPr>
              <w:t>2</w:t>
            </w:r>
            <w:r w:rsidR="00B24BCC" w:rsidRPr="00C5686E">
              <w:rPr>
                <w:i/>
                <w:iCs/>
                <w:sz w:val="17"/>
                <w:szCs w:val="17"/>
                <w:lang w:val="en-GB"/>
              </w:rPr>
              <w:t xml:space="preserve"> </w:t>
            </w:r>
            <w:r w:rsidR="003F0692" w:rsidRPr="00C5686E">
              <w:rPr>
                <w:i/>
                <w:iCs/>
                <w:sz w:val="17"/>
                <w:szCs w:val="17"/>
                <w:lang w:val="en-GB"/>
              </w:rPr>
              <w:t xml:space="preserve">October </w:t>
            </w:r>
            <w:r w:rsidR="00B24BCC">
              <w:rPr>
                <w:i/>
                <w:iCs/>
                <w:sz w:val="17"/>
                <w:szCs w:val="17"/>
                <w:lang w:val="en-GB"/>
              </w:rPr>
              <w:t>201</w:t>
            </w:r>
            <w:r w:rsidR="00E65D7A">
              <w:rPr>
                <w:i/>
                <w:iCs/>
                <w:sz w:val="17"/>
                <w:szCs w:val="17"/>
                <w:lang w:val="en-GB"/>
              </w:rPr>
              <w:t>7</w:t>
            </w:r>
            <w:r w:rsidRPr="00C5686E">
              <w:rPr>
                <w:i/>
                <w:iCs/>
                <w:sz w:val="17"/>
                <w:szCs w:val="17"/>
                <w:lang w:val="en-GB"/>
              </w:rPr>
              <w:t>.</w:t>
            </w:r>
          </w:p>
          <w:p w:rsidR="00B86AA0" w:rsidRPr="00C5686E" w:rsidRDefault="00B86AA0" w:rsidP="00B24BCC">
            <w:pPr>
              <w:rPr>
                <w:i/>
                <w:iCs/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USD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596C7F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3</w:t>
            </w:r>
          </w:p>
          <w:p w:rsidR="00230856" w:rsidRPr="00C5686E" w:rsidRDefault="00230856" w:rsidP="003650A8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Equity</w:t>
            </w:r>
          </w:p>
        </w:tc>
        <w:tc>
          <w:tcPr>
            <w:tcW w:w="2290" w:type="pct"/>
          </w:tcPr>
          <w:p w:rsidR="00230856" w:rsidRPr="00C5686E" w:rsidRDefault="00230856" w:rsidP="003650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Volatility trade #2 </w:t>
            </w:r>
          </w:p>
          <w:p w:rsidR="00230856" w:rsidRPr="00C5686E" w:rsidRDefault="00230856" w:rsidP="00C5686E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C5686E">
              <w:rPr>
                <w:rFonts w:ascii="Times New Roman" w:hAnsi="Times New Roman"/>
                <w:szCs w:val="17"/>
              </w:rPr>
              <w:t>Long 40 contracts of put options on FTSE 100 index (with a strike price that is 10% OTM</w:t>
            </w:r>
            <w:r w:rsidRPr="00C5686E">
              <w:rPr>
                <w:rFonts w:ascii="Times New Roman" w:hAnsi="Times New Roman"/>
                <w:szCs w:val="17"/>
                <w:vertAlign w:val="superscript"/>
              </w:rPr>
              <w:t>*</w:t>
            </w:r>
            <w:r w:rsidRPr="00C5686E">
              <w:rPr>
                <w:rFonts w:ascii="Times New Roman" w:hAnsi="Times New Roman"/>
                <w:szCs w:val="17"/>
              </w:rPr>
              <w:t xml:space="preserve"> based on the end-of-day index value)</w:t>
            </w:r>
            <w:r w:rsidR="001F3A34" w:rsidRPr="00C5686E">
              <w:rPr>
                <w:rFonts w:ascii="Times New Roman" w:hAnsi="Times New Roman"/>
                <w:szCs w:val="17"/>
              </w:rPr>
              <w:t>, last trading date</w:t>
            </w:r>
            <w:r w:rsidR="003F0692" w:rsidRPr="00C5686E">
              <w:rPr>
                <w:rFonts w:ascii="Times New Roman" w:hAnsi="Times New Roman"/>
                <w:szCs w:val="17"/>
              </w:rPr>
              <w:t xml:space="preserve"> </w:t>
            </w:r>
            <w:r w:rsidR="00E65D7A">
              <w:rPr>
                <w:rFonts w:ascii="Times New Roman" w:hAnsi="Times New Roman"/>
                <w:szCs w:val="17"/>
              </w:rPr>
              <w:t>13 April 2018</w:t>
            </w:r>
            <w:r w:rsidR="001F3A34" w:rsidRPr="00C5686E">
              <w:rPr>
                <w:rFonts w:ascii="Times New Roman" w:hAnsi="Times New Roman"/>
                <w:szCs w:val="17"/>
              </w:rPr>
              <w:t xml:space="preserve">, delivery date </w:t>
            </w:r>
            <w:r w:rsidR="00E65D7A">
              <w:rPr>
                <w:rFonts w:ascii="Times New Roman" w:hAnsi="Times New Roman"/>
                <w:szCs w:val="17"/>
              </w:rPr>
              <w:t>16 April 2018</w:t>
            </w:r>
            <w:r w:rsidR="00D41890" w:rsidRPr="00C5686E">
              <w:rPr>
                <w:rFonts w:ascii="Times New Roman" w:hAnsi="Times New Roman"/>
                <w:szCs w:val="17"/>
              </w:rPr>
              <w:t xml:space="preserve"> </w:t>
            </w:r>
            <w:r w:rsidR="00CE17E8" w:rsidRPr="00C5686E">
              <w:rPr>
                <w:rFonts w:ascii="Times New Roman" w:hAnsi="Times New Roman"/>
                <w:szCs w:val="17"/>
              </w:rPr>
              <w:t>(1 contract = 10 underlying)</w:t>
            </w:r>
          </w:p>
          <w:p w:rsidR="00230856" w:rsidRPr="00C5686E" w:rsidRDefault="00230856" w:rsidP="00C5686E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C5686E">
              <w:rPr>
                <w:rFonts w:ascii="Times New Roman" w:hAnsi="Times New Roman"/>
                <w:szCs w:val="17"/>
              </w:rPr>
              <w:t>Short 40 contracts of put options on FTSE 100 index (with a strike price that is 10% ITM</w:t>
            </w:r>
            <w:r w:rsidRPr="00C5686E">
              <w:rPr>
                <w:rFonts w:ascii="Times New Roman" w:hAnsi="Times New Roman"/>
                <w:szCs w:val="17"/>
                <w:vertAlign w:val="superscript"/>
              </w:rPr>
              <w:t>*</w:t>
            </w:r>
            <w:r w:rsidRPr="00C5686E">
              <w:rPr>
                <w:rFonts w:ascii="Times New Roman" w:hAnsi="Times New Roman"/>
                <w:szCs w:val="17"/>
              </w:rPr>
              <w:t xml:space="preserve"> based on the end-of-day index value)</w:t>
            </w:r>
            <w:r w:rsidR="001F3A34" w:rsidRPr="00C5686E">
              <w:rPr>
                <w:rFonts w:ascii="Times New Roman" w:hAnsi="Times New Roman"/>
                <w:szCs w:val="17"/>
              </w:rPr>
              <w:t xml:space="preserve">, last trading date </w:t>
            </w:r>
            <w:r w:rsidR="00E65D7A">
              <w:rPr>
                <w:rFonts w:ascii="Times New Roman" w:hAnsi="Times New Roman"/>
                <w:szCs w:val="17"/>
              </w:rPr>
              <w:t>13 April 2018</w:t>
            </w:r>
            <w:r w:rsidR="001F3A34" w:rsidRPr="00C5686E">
              <w:rPr>
                <w:rFonts w:ascii="Times New Roman" w:hAnsi="Times New Roman"/>
                <w:szCs w:val="17"/>
              </w:rPr>
              <w:t xml:space="preserve">, delivery date </w:t>
            </w:r>
            <w:r w:rsidR="00E65D7A">
              <w:rPr>
                <w:rFonts w:ascii="Times New Roman" w:hAnsi="Times New Roman"/>
                <w:szCs w:val="17"/>
              </w:rPr>
              <w:t>16 April 2018</w:t>
            </w:r>
            <w:r w:rsidR="00D41890" w:rsidRPr="00C5686E">
              <w:rPr>
                <w:rFonts w:ascii="Times New Roman" w:hAnsi="Times New Roman"/>
                <w:szCs w:val="17"/>
              </w:rPr>
              <w:t xml:space="preserve"> </w:t>
            </w:r>
            <w:r w:rsidR="00CE17E8" w:rsidRPr="00C5686E">
              <w:rPr>
                <w:rFonts w:ascii="Times New Roman" w:hAnsi="Times New Roman"/>
                <w:szCs w:val="17"/>
              </w:rPr>
              <w:t>(1 contract = 10 underlying)</w:t>
            </w:r>
          </w:p>
          <w:p w:rsidR="00230856" w:rsidRDefault="00230856" w:rsidP="00D41890">
            <w:pPr>
              <w:rPr>
                <w:i/>
                <w:iCs/>
                <w:sz w:val="17"/>
                <w:szCs w:val="17"/>
                <w:lang w:val="en-GB"/>
              </w:rPr>
            </w:pPr>
            <w:r w:rsidRPr="00C5686E">
              <w:rPr>
                <w:i/>
                <w:iCs/>
                <w:sz w:val="17"/>
                <w:szCs w:val="17"/>
                <w:vertAlign w:val="superscript"/>
                <w:lang w:val="en-GB"/>
              </w:rPr>
              <w:t>*</w:t>
            </w:r>
            <w:r w:rsidRPr="00C5686E">
              <w:rPr>
                <w:i/>
                <w:iCs/>
                <w:sz w:val="17"/>
                <w:szCs w:val="17"/>
                <w:lang w:val="en-GB"/>
              </w:rPr>
              <w:t xml:space="preserve"> </w:t>
            </w:r>
            <w:r w:rsidR="002D6371" w:rsidRPr="00C5686E">
              <w:rPr>
                <w:i/>
                <w:iCs/>
                <w:sz w:val="17"/>
                <w:szCs w:val="17"/>
                <w:lang w:val="en-GB"/>
              </w:rPr>
              <w:t>The s</w:t>
            </w:r>
            <w:r w:rsidRPr="00C5686E">
              <w:rPr>
                <w:i/>
                <w:iCs/>
                <w:sz w:val="17"/>
                <w:szCs w:val="17"/>
                <w:lang w:val="en-GB"/>
              </w:rPr>
              <w:t xml:space="preserve">trike price is based on the index level at NYSE </w:t>
            </w:r>
            <w:proofErr w:type="spellStart"/>
            <w:r w:rsidRPr="00C5686E">
              <w:rPr>
                <w:i/>
                <w:iCs/>
                <w:sz w:val="17"/>
                <w:szCs w:val="17"/>
                <w:lang w:val="en-GB"/>
              </w:rPr>
              <w:t>Liffe</w:t>
            </w:r>
            <w:proofErr w:type="spellEnd"/>
            <w:r w:rsidRPr="00C5686E">
              <w:rPr>
                <w:i/>
                <w:iCs/>
                <w:sz w:val="17"/>
                <w:szCs w:val="17"/>
                <w:lang w:val="en-GB"/>
              </w:rPr>
              <w:t xml:space="preserve"> London market close on </w:t>
            </w:r>
            <w:r w:rsidR="00E65D7A">
              <w:rPr>
                <w:i/>
                <w:iCs/>
                <w:sz w:val="17"/>
                <w:szCs w:val="17"/>
                <w:lang w:val="en-GB"/>
              </w:rPr>
              <w:t>12</w:t>
            </w:r>
            <w:r w:rsidR="00D41890" w:rsidRPr="00C5686E">
              <w:rPr>
                <w:i/>
                <w:iCs/>
                <w:sz w:val="17"/>
                <w:szCs w:val="17"/>
                <w:lang w:val="en-GB"/>
              </w:rPr>
              <w:t xml:space="preserve"> </w:t>
            </w:r>
            <w:r w:rsidR="003F0692" w:rsidRPr="00C5686E">
              <w:rPr>
                <w:i/>
                <w:iCs/>
                <w:sz w:val="17"/>
                <w:szCs w:val="17"/>
                <w:lang w:val="en-GB"/>
              </w:rPr>
              <w:t>October</w:t>
            </w:r>
            <w:r w:rsidR="00D41890">
              <w:rPr>
                <w:i/>
                <w:iCs/>
                <w:sz w:val="17"/>
                <w:szCs w:val="17"/>
                <w:lang w:val="en-GB"/>
              </w:rPr>
              <w:t xml:space="preserve"> 201</w:t>
            </w:r>
            <w:r w:rsidR="00E65D7A">
              <w:rPr>
                <w:i/>
                <w:iCs/>
                <w:sz w:val="17"/>
                <w:szCs w:val="17"/>
                <w:lang w:val="en-GB"/>
              </w:rPr>
              <w:t>7</w:t>
            </w:r>
            <w:r w:rsidRPr="00C5686E">
              <w:rPr>
                <w:i/>
                <w:iCs/>
                <w:sz w:val="17"/>
                <w:szCs w:val="17"/>
                <w:lang w:val="en-GB"/>
              </w:rPr>
              <w:t>.</w:t>
            </w:r>
          </w:p>
          <w:p w:rsidR="00B86AA0" w:rsidRPr="00C5686E" w:rsidRDefault="00B86AA0" w:rsidP="00D41890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GBP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</w:p>
        </w:tc>
      </w:tr>
      <w:tr w:rsidR="00230856" w:rsidRPr="00C5686E" w:rsidTr="00B46BE4">
        <w:trPr>
          <w:trHeight w:val="1711"/>
        </w:trPr>
        <w:tc>
          <w:tcPr>
            <w:tcW w:w="771" w:type="pct"/>
          </w:tcPr>
          <w:p w:rsidR="00230856" w:rsidRPr="00C5686E" w:rsidRDefault="00596C7F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4</w:t>
            </w:r>
          </w:p>
          <w:p w:rsidR="00230856" w:rsidRPr="00C5686E" w:rsidRDefault="00230856" w:rsidP="003650A8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Equity</w:t>
            </w:r>
          </w:p>
        </w:tc>
        <w:tc>
          <w:tcPr>
            <w:tcW w:w="2290" w:type="pct"/>
          </w:tcPr>
          <w:p w:rsidR="00907F19" w:rsidRPr="00BF0D59" w:rsidRDefault="00907F19" w:rsidP="00907F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Equity spot and short call position (</w:t>
            </w:r>
            <w:r w:rsidR="0011623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‘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covered call</w:t>
            </w:r>
            <w:r w:rsidR="0011623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)</w:t>
            </w:r>
          </w:p>
          <w:p w:rsidR="00907F19" w:rsidRDefault="00907F19" w:rsidP="00907F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BF0D59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Long </w:t>
            </w: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50,000 equity shares Generali SPA (G IM Equity</w:t>
            </w:r>
            <w:r w:rsidR="00EA4DCD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 ISIN IT0000062072</w:t>
            </w: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)</w:t>
            </w:r>
            <w:r w:rsidRPr="00BF0D59">
              <w:rPr>
                <w:i/>
                <w:iCs/>
                <w:sz w:val="17"/>
                <w:szCs w:val="17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at</w:t>
            </w:r>
            <w:r w:rsidRPr="00843BD4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 the stock price at market close on 1</w:t>
            </w:r>
            <w:r w:rsidR="00E65D7A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2</w:t>
            </w:r>
            <w:r w:rsidRPr="00843BD4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 October 201</w:t>
            </w:r>
            <w:r w:rsidR="00E65D7A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. </w:t>
            </w:r>
          </w:p>
          <w:p w:rsidR="0093404B" w:rsidRDefault="0093404B" w:rsidP="00907F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="00907F19" w:rsidRDefault="00907F19" w:rsidP="00907F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Sell 6-month Call option on Generali SPA (G </w:t>
            </w:r>
            <w:r w:rsidR="00D93897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I</w:t>
            </w: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M Equity) for 50,000 equity shares with a strike price that is 10% above the price specified previously. </w:t>
            </w:r>
          </w:p>
          <w:p w:rsidR="00230856" w:rsidRPr="00C5686E" w:rsidRDefault="00230856" w:rsidP="002D6371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</w:p>
        </w:tc>
      </w:tr>
      <w:tr w:rsidR="00230856" w:rsidRPr="00C5686E" w:rsidTr="00B46BE4">
        <w:trPr>
          <w:trHeight w:val="1977"/>
        </w:trPr>
        <w:tc>
          <w:tcPr>
            <w:tcW w:w="771" w:type="pct"/>
          </w:tcPr>
          <w:p w:rsidR="00230856" w:rsidRPr="00C5686E" w:rsidRDefault="00596C7F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5</w:t>
            </w:r>
          </w:p>
          <w:p w:rsidR="00230856" w:rsidRPr="00C5686E" w:rsidRDefault="00230856" w:rsidP="003650A8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Equity</w:t>
            </w:r>
          </w:p>
        </w:tc>
        <w:tc>
          <w:tcPr>
            <w:tcW w:w="2290" w:type="pct"/>
          </w:tcPr>
          <w:p w:rsidR="007B4CC9" w:rsidRDefault="007B4CC9" w:rsidP="007B4CC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</w:pPr>
            <w:r w:rsidRPr="00B173DF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Collar Strategy</w:t>
            </w:r>
          </w:p>
          <w:p w:rsidR="007B4CC9" w:rsidRDefault="007B4CC9" w:rsidP="00641C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Long 10,000 equity shares Sanofi (SAN FP Equity</w:t>
            </w:r>
            <w:r w:rsidR="00EA4DCD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 ISIN FR0000120578</w:t>
            </w: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) at</w:t>
            </w:r>
            <w:r w:rsidRPr="00BE6DF4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 the stock price at market close on 1</w:t>
            </w:r>
            <w:r w:rsidR="00E65D7A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2</w:t>
            </w:r>
            <w:r w:rsidRPr="00BE6DF4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 October 201</w:t>
            </w:r>
            <w:r w:rsidR="00E65D7A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.</w:t>
            </w:r>
          </w:p>
          <w:p w:rsidR="0093404B" w:rsidRDefault="0093404B" w:rsidP="00641C7D">
            <w:pPr>
              <w:rPr>
                <w:sz w:val="17"/>
                <w:szCs w:val="17"/>
                <w:lang w:val="en-GB"/>
              </w:rPr>
            </w:pPr>
          </w:p>
          <w:p w:rsidR="00230856" w:rsidRPr="00641C7D" w:rsidRDefault="007B4CC9" w:rsidP="00641C7D">
            <w:pPr>
              <w:rPr>
                <w:sz w:val="17"/>
                <w:szCs w:val="17"/>
                <w:lang w:val="en-GB"/>
              </w:rPr>
            </w:pPr>
            <w:r w:rsidRPr="00641C7D">
              <w:rPr>
                <w:sz w:val="17"/>
                <w:szCs w:val="17"/>
                <w:lang w:val="en-GB"/>
              </w:rPr>
              <w:t xml:space="preserve">Sell 10% OTM 6-month Call and Buy 10% OTM 6-month Put for 10,000 equity shares Sanofi </w:t>
            </w:r>
            <w:r w:rsidR="00194D1E">
              <w:rPr>
                <w:sz w:val="17"/>
                <w:szCs w:val="17"/>
                <w:lang w:val="en-GB"/>
              </w:rPr>
              <w:t xml:space="preserve">(SAN FP Equity) </w:t>
            </w:r>
            <w:r w:rsidRPr="00641C7D">
              <w:rPr>
                <w:sz w:val="17"/>
                <w:szCs w:val="17"/>
                <w:lang w:val="en-GB"/>
              </w:rPr>
              <w:t>relative to the above specified price.</w:t>
            </w:r>
          </w:p>
          <w:p w:rsidR="00B86AA0" w:rsidRPr="00C5686E" w:rsidRDefault="00B86AA0" w:rsidP="002D6371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7B4CC9" w:rsidP="00380403">
            <w:pPr>
              <w:jc w:val="center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596C7F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6</w:t>
            </w:r>
          </w:p>
          <w:p w:rsidR="00230856" w:rsidRPr="00C5686E" w:rsidRDefault="00230856" w:rsidP="003650A8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Equity</w:t>
            </w:r>
          </w:p>
        </w:tc>
        <w:tc>
          <w:tcPr>
            <w:tcW w:w="2290" w:type="pct"/>
          </w:tcPr>
          <w:p w:rsidR="00D35D79" w:rsidRPr="00BD4068" w:rsidRDefault="00D35D79" w:rsidP="00D35D7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</w:pPr>
            <w:r w:rsidRPr="00BD4068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Long Strangle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12</w:t>
            </w:r>
            <w:r w:rsidRPr="00BD4068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-month maturity</w:t>
            </w:r>
          </w:p>
          <w:p w:rsidR="00D35D79" w:rsidRPr="00843BD4" w:rsidRDefault="00D35D79" w:rsidP="00D35D79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17"/>
                <w:szCs w:val="17"/>
                <w:lang w:val="en-GB"/>
              </w:rPr>
            </w:pPr>
            <w:r w:rsidRPr="00843BD4">
              <w:rPr>
                <w:rFonts w:ascii="Times New Roman" w:hAnsi="Times New Roman" w:cs="Times New Roman"/>
                <w:bCs/>
                <w:color w:val="auto"/>
                <w:sz w:val="17"/>
                <w:szCs w:val="17"/>
                <w:lang w:val="en-GB"/>
              </w:rPr>
              <w:t xml:space="preserve">Buy </w:t>
            </w:r>
            <w:r>
              <w:rPr>
                <w:rFonts w:ascii="Times New Roman" w:hAnsi="Times New Roman" w:cs="Times New Roman"/>
                <w:bCs/>
                <w:color w:val="auto"/>
                <w:sz w:val="17"/>
                <w:szCs w:val="17"/>
                <w:lang w:val="en-GB"/>
              </w:rPr>
              <w:t>12</w:t>
            </w:r>
            <w:r w:rsidRPr="00843BD4">
              <w:rPr>
                <w:rFonts w:ascii="Times New Roman" w:hAnsi="Times New Roman" w:cs="Times New Roman"/>
                <w:bCs/>
                <w:color w:val="auto"/>
                <w:sz w:val="17"/>
                <w:szCs w:val="17"/>
                <w:lang w:val="en-GB"/>
              </w:rPr>
              <w:t>-month 10% OTM Call on 10,000 equity shares Aviva Plc. (AV / LN Equity</w:t>
            </w:r>
            <w:r w:rsidR="00EA4DCD">
              <w:rPr>
                <w:rFonts w:ascii="Times New Roman" w:hAnsi="Times New Roman" w:cs="Times New Roman"/>
                <w:bCs/>
                <w:color w:val="auto"/>
                <w:sz w:val="17"/>
                <w:szCs w:val="17"/>
                <w:lang w:val="en-GB"/>
              </w:rPr>
              <w:t xml:space="preserve"> ISIN GB0002162385</w:t>
            </w:r>
            <w:r w:rsidRPr="00843BD4">
              <w:rPr>
                <w:rFonts w:ascii="Times New Roman" w:hAnsi="Times New Roman" w:cs="Times New Roman"/>
                <w:bCs/>
                <w:color w:val="auto"/>
                <w:sz w:val="17"/>
                <w:szCs w:val="17"/>
                <w:lang w:val="en-GB"/>
              </w:rPr>
              <w:t>) relative to the stock price at market close on 1</w:t>
            </w:r>
            <w:r w:rsidR="00E65D7A">
              <w:rPr>
                <w:rFonts w:ascii="Times New Roman" w:hAnsi="Times New Roman" w:cs="Times New Roman"/>
                <w:bCs/>
                <w:color w:val="auto"/>
                <w:sz w:val="17"/>
                <w:szCs w:val="17"/>
                <w:lang w:val="en-GB"/>
              </w:rPr>
              <w:t>2</w:t>
            </w:r>
            <w:r w:rsidRPr="00843BD4">
              <w:rPr>
                <w:rFonts w:ascii="Times New Roman" w:hAnsi="Times New Roman" w:cs="Times New Roman"/>
                <w:bCs/>
                <w:color w:val="auto"/>
                <w:sz w:val="17"/>
                <w:szCs w:val="17"/>
                <w:lang w:val="en-GB"/>
              </w:rPr>
              <w:t xml:space="preserve"> October 201</w:t>
            </w:r>
            <w:r w:rsidR="00E65D7A">
              <w:rPr>
                <w:rFonts w:ascii="Times New Roman" w:hAnsi="Times New Roman" w:cs="Times New Roman"/>
                <w:bCs/>
                <w:color w:val="auto"/>
                <w:sz w:val="17"/>
                <w:szCs w:val="17"/>
                <w:lang w:val="en-GB"/>
              </w:rPr>
              <w:t>7</w:t>
            </w:r>
            <w:r w:rsidRPr="00843BD4">
              <w:rPr>
                <w:rFonts w:ascii="Times New Roman" w:hAnsi="Times New Roman" w:cs="Times New Roman"/>
                <w:bCs/>
                <w:color w:val="auto"/>
                <w:sz w:val="17"/>
                <w:szCs w:val="17"/>
                <w:lang w:val="en-GB"/>
              </w:rPr>
              <w:t>.</w:t>
            </w:r>
          </w:p>
          <w:p w:rsidR="0093404B" w:rsidRDefault="0093404B" w:rsidP="00D35D79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17"/>
                <w:szCs w:val="17"/>
                <w:lang w:val="en-GB"/>
              </w:rPr>
            </w:pPr>
          </w:p>
          <w:p w:rsidR="00B86AA0" w:rsidRPr="00843BD4" w:rsidRDefault="00D35D79" w:rsidP="00D35D79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17"/>
                <w:szCs w:val="17"/>
                <w:lang w:val="en-GB"/>
              </w:rPr>
            </w:pPr>
            <w:r w:rsidRPr="00843BD4">
              <w:rPr>
                <w:rFonts w:ascii="Times New Roman" w:hAnsi="Times New Roman" w:cs="Times New Roman"/>
                <w:bCs/>
                <w:color w:val="auto"/>
                <w:sz w:val="17"/>
                <w:szCs w:val="17"/>
                <w:lang w:val="en-GB"/>
              </w:rPr>
              <w:t xml:space="preserve">Buy </w:t>
            </w:r>
            <w:r>
              <w:rPr>
                <w:rFonts w:ascii="Times New Roman" w:hAnsi="Times New Roman" w:cs="Times New Roman"/>
                <w:bCs/>
                <w:color w:val="auto"/>
                <w:sz w:val="17"/>
                <w:szCs w:val="17"/>
                <w:lang w:val="en-GB"/>
              </w:rPr>
              <w:t>12</w:t>
            </w:r>
            <w:r w:rsidRPr="00843BD4">
              <w:rPr>
                <w:rFonts w:ascii="Times New Roman" w:hAnsi="Times New Roman" w:cs="Times New Roman"/>
                <w:bCs/>
                <w:color w:val="auto"/>
                <w:sz w:val="17"/>
                <w:szCs w:val="17"/>
                <w:lang w:val="en-GB"/>
              </w:rPr>
              <w:t>-month 10% OTM Put for 10,000 equity shares Aviva Plc. (AV / LN Equity) relative to the stock price at market close on 1</w:t>
            </w:r>
            <w:r w:rsidR="00540B9F">
              <w:rPr>
                <w:rFonts w:ascii="Times New Roman" w:hAnsi="Times New Roman" w:cs="Times New Roman"/>
                <w:bCs/>
                <w:color w:val="auto"/>
                <w:sz w:val="17"/>
                <w:szCs w:val="17"/>
                <w:lang w:val="en-GB"/>
              </w:rPr>
              <w:t>2</w:t>
            </w:r>
            <w:r w:rsidRPr="00843BD4">
              <w:rPr>
                <w:rFonts w:ascii="Times New Roman" w:hAnsi="Times New Roman" w:cs="Times New Roman"/>
                <w:bCs/>
                <w:color w:val="auto"/>
                <w:sz w:val="17"/>
                <w:szCs w:val="17"/>
                <w:lang w:val="en-GB"/>
              </w:rPr>
              <w:t xml:space="preserve"> October 201</w:t>
            </w:r>
            <w:r w:rsidR="00E65D7A">
              <w:rPr>
                <w:rFonts w:ascii="Times New Roman" w:hAnsi="Times New Roman" w:cs="Times New Roman"/>
                <w:bCs/>
                <w:color w:val="auto"/>
                <w:sz w:val="17"/>
                <w:szCs w:val="17"/>
                <w:lang w:val="en-GB"/>
              </w:rPr>
              <w:t>7</w:t>
            </w:r>
          </w:p>
          <w:p w:rsidR="00095B1A" w:rsidRPr="00C5686E" w:rsidRDefault="00095B1A" w:rsidP="003650A8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D35D79" w:rsidP="00380403">
            <w:pPr>
              <w:jc w:val="center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>GBP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</w:p>
        </w:tc>
      </w:tr>
      <w:tr w:rsidR="00D3709C" w:rsidRPr="00C5686E" w:rsidTr="00E7511B">
        <w:trPr>
          <w:trHeight w:val="558"/>
        </w:trPr>
        <w:tc>
          <w:tcPr>
            <w:tcW w:w="5000" w:type="pct"/>
            <w:gridSpan w:val="4"/>
          </w:tcPr>
          <w:p w:rsidR="00D3709C" w:rsidRPr="00C5686E" w:rsidRDefault="00D3709C" w:rsidP="00380403">
            <w:pPr>
              <w:jc w:val="center"/>
              <w:rPr>
                <w:b/>
                <w:sz w:val="17"/>
                <w:szCs w:val="17"/>
                <w:lang w:val="en-GB"/>
              </w:rPr>
            </w:pPr>
          </w:p>
          <w:p w:rsidR="00D3709C" w:rsidRPr="00C5686E" w:rsidRDefault="00D3709C" w:rsidP="00100229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b/>
                <w:sz w:val="17"/>
                <w:szCs w:val="17"/>
                <w:lang w:val="en-GB"/>
              </w:rPr>
              <w:t>Interest Rate</w:t>
            </w:r>
          </w:p>
        </w:tc>
      </w:tr>
      <w:tr w:rsidR="00230856" w:rsidRPr="00C5686E" w:rsidTr="00095B1A">
        <w:trPr>
          <w:cantSplit/>
        </w:trPr>
        <w:tc>
          <w:tcPr>
            <w:tcW w:w="771" w:type="pct"/>
          </w:tcPr>
          <w:p w:rsidR="00230856" w:rsidRPr="00C5686E" w:rsidRDefault="00596C7F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7</w:t>
            </w:r>
          </w:p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IR</w:t>
            </w:r>
          </w:p>
        </w:tc>
        <w:tc>
          <w:tcPr>
            <w:tcW w:w="2290" w:type="pct"/>
          </w:tcPr>
          <w:p w:rsidR="00230856" w:rsidRPr="00C5686E" w:rsidRDefault="00230856" w:rsidP="003650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Curve </w:t>
            </w:r>
            <w:r w:rsidR="00326372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Sovereign </w:t>
            </w: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trade </w:t>
            </w:r>
          </w:p>
          <w:p w:rsidR="0035004A" w:rsidRDefault="00230856" w:rsidP="00326372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szCs w:val="17"/>
              </w:rPr>
            </w:pPr>
            <w:r w:rsidRPr="00326372">
              <w:rPr>
                <w:rFonts w:ascii="Times New Roman" w:hAnsi="Times New Roman"/>
                <w:szCs w:val="17"/>
              </w:rPr>
              <w:t xml:space="preserve">Long </w:t>
            </w:r>
            <w:r w:rsidR="00577C9A" w:rsidRPr="00326372">
              <w:rPr>
                <w:rFonts w:ascii="Times New Roman" w:hAnsi="Times New Roman"/>
                <w:szCs w:val="17"/>
              </w:rPr>
              <w:t>EUR </w:t>
            </w:r>
            <w:r w:rsidR="00E16A8E">
              <w:rPr>
                <w:rFonts w:ascii="Times New Roman" w:hAnsi="Times New Roman"/>
                <w:szCs w:val="17"/>
              </w:rPr>
              <w:t>5</w:t>
            </w:r>
            <w:r w:rsidR="00326372" w:rsidRPr="00326372">
              <w:rPr>
                <w:rFonts w:ascii="Times New Roman" w:hAnsi="Times New Roman"/>
                <w:szCs w:val="17"/>
              </w:rPr>
              <w:t xml:space="preserve"> million </w:t>
            </w:r>
            <w:r w:rsidRPr="008E23EA">
              <w:rPr>
                <w:rFonts w:ascii="Times New Roman" w:hAnsi="Times New Roman"/>
                <w:szCs w:val="17"/>
              </w:rPr>
              <w:t xml:space="preserve"> </w:t>
            </w:r>
            <w:r w:rsidR="005653FC" w:rsidRPr="00326372">
              <w:rPr>
                <w:szCs w:val="17"/>
              </w:rPr>
              <w:t xml:space="preserve">ISIN: </w:t>
            </w:r>
            <w:r w:rsidR="00326372" w:rsidRPr="00326372">
              <w:rPr>
                <w:szCs w:val="17"/>
              </w:rPr>
              <w:t xml:space="preserve">IT0001174611 BTPS 6 ½ 1 November 2027 </w:t>
            </w:r>
          </w:p>
          <w:p w:rsidR="00453897" w:rsidRPr="000D6B72" w:rsidRDefault="00453897" w:rsidP="00326372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szCs w:val="17"/>
              </w:rPr>
            </w:pPr>
            <w:r w:rsidRPr="00326372">
              <w:rPr>
                <w:rFonts w:ascii="Times New Roman" w:hAnsi="Times New Roman"/>
                <w:szCs w:val="17"/>
              </w:rPr>
              <w:t xml:space="preserve">Short </w:t>
            </w:r>
            <w:r w:rsidR="00577C9A" w:rsidRPr="00326372">
              <w:rPr>
                <w:rFonts w:ascii="Times New Roman" w:hAnsi="Times New Roman"/>
                <w:szCs w:val="17"/>
              </w:rPr>
              <w:t>EUR </w:t>
            </w:r>
            <w:r w:rsidR="00E16A8E">
              <w:rPr>
                <w:rFonts w:ascii="Times New Roman" w:hAnsi="Times New Roman"/>
                <w:szCs w:val="17"/>
              </w:rPr>
              <w:t>2</w:t>
            </w:r>
            <w:r w:rsidRPr="00326372">
              <w:rPr>
                <w:rFonts w:ascii="Times New Roman" w:hAnsi="Times New Roman"/>
                <w:szCs w:val="17"/>
              </w:rPr>
              <w:t xml:space="preserve"> million </w:t>
            </w:r>
            <w:r w:rsidR="005653FC" w:rsidRPr="00326372">
              <w:rPr>
                <w:rFonts w:ascii="Times New Roman" w:hAnsi="Times New Roman"/>
                <w:szCs w:val="17"/>
              </w:rPr>
              <w:t>ISIN:</w:t>
            </w:r>
            <w:r w:rsidR="00F32F4E">
              <w:rPr>
                <w:rFonts w:ascii="Times New Roman" w:hAnsi="Times New Roman"/>
                <w:szCs w:val="17"/>
              </w:rPr>
              <w:t xml:space="preserve"> </w:t>
            </w:r>
            <w:r w:rsidR="00326372">
              <w:rPr>
                <w:rFonts w:ascii="Times New Roman" w:hAnsi="Times New Roman"/>
                <w:szCs w:val="17"/>
              </w:rPr>
              <w:t>ES00000121L2 SPGB 4.6 30 July 2019</w:t>
            </w:r>
          </w:p>
          <w:p w:rsidR="00F32F4E" w:rsidRPr="000D6B72" w:rsidRDefault="00F32F4E" w:rsidP="00326372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szCs w:val="17"/>
              </w:rPr>
            </w:pPr>
            <w:r>
              <w:rPr>
                <w:rFonts w:ascii="Times New Roman" w:hAnsi="Times New Roman"/>
                <w:szCs w:val="17"/>
              </w:rPr>
              <w:t xml:space="preserve">Short EUR 1 million ISIN:  DE0001135499 </w:t>
            </w:r>
            <w:r w:rsidRPr="00E266BF">
              <w:rPr>
                <w:rFonts w:ascii="Times New Roman" w:hAnsi="Times New Roman"/>
                <w:szCs w:val="17"/>
              </w:rPr>
              <w:t xml:space="preserve"> </w:t>
            </w:r>
          </w:p>
          <w:p w:rsidR="00F32F4E" w:rsidRPr="00326372" w:rsidRDefault="00F32F4E" w:rsidP="000D6B72">
            <w:pPr>
              <w:pStyle w:val="TableText"/>
              <w:ind w:left="318"/>
              <w:rPr>
                <w:szCs w:val="17"/>
              </w:rPr>
            </w:pPr>
            <w:r>
              <w:rPr>
                <w:rFonts w:ascii="Times New Roman" w:hAnsi="Times New Roman"/>
                <w:szCs w:val="17"/>
              </w:rPr>
              <w:t>DE-</w:t>
            </w:r>
            <w:r w:rsidRPr="00E266BF">
              <w:rPr>
                <w:rFonts w:ascii="Times New Roman" w:hAnsi="Times New Roman"/>
                <w:szCs w:val="17"/>
              </w:rPr>
              <w:t xml:space="preserve">BUND </w:t>
            </w:r>
            <w:r>
              <w:rPr>
                <w:rFonts w:ascii="Times New Roman" w:hAnsi="Times New Roman"/>
                <w:szCs w:val="17"/>
              </w:rPr>
              <w:t>1 ½ 4 SEPT 2022</w:t>
            </w:r>
          </w:p>
          <w:p w:rsidR="00B86AA0" w:rsidRPr="00C5686E" w:rsidRDefault="00B86AA0" w:rsidP="0093404B">
            <w:pPr>
              <w:pStyle w:val="TableText"/>
              <w:ind w:left="318"/>
              <w:rPr>
                <w:szCs w:val="17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,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IRC</w:t>
            </w:r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8</w:t>
            </w:r>
          </w:p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IR</w:t>
            </w:r>
          </w:p>
        </w:tc>
        <w:tc>
          <w:tcPr>
            <w:tcW w:w="2290" w:type="pct"/>
          </w:tcPr>
          <w:p w:rsidR="00230856" w:rsidRPr="00C5686E" w:rsidRDefault="005653FC" w:rsidP="003650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I</w:t>
            </w:r>
            <w:r w:rsidR="00230856"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nterest rate swap </w:t>
            </w:r>
          </w:p>
          <w:p w:rsidR="00230856" w:rsidRPr="00C5686E" w:rsidRDefault="00230856" w:rsidP="00C5686E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C5686E">
              <w:rPr>
                <w:rFonts w:ascii="Times New Roman" w:hAnsi="Times New Roman"/>
                <w:szCs w:val="17"/>
              </w:rPr>
              <w:t xml:space="preserve">Receive fixed rate and pay floating rate </w:t>
            </w:r>
          </w:p>
          <w:p w:rsidR="00230856" w:rsidRPr="00C5686E" w:rsidRDefault="00230856" w:rsidP="00C5686E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C5686E">
              <w:rPr>
                <w:rFonts w:ascii="Times New Roman" w:hAnsi="Times New Roman"/>
                <w:szCs w:val="17"/>
              </w:rPr>
              <w:t xml:space="preserve">Fixed leg: </w:t>
            </w:r>
            <w:r w:rsidR="0058501A" w:rsidRPr="00C5686E">
              <w:rPr>
                <w:rFonts w:ascii="Times New Roman" w:hAnsi="Times New Roman"/>
                <w:szCs w:val="17"/>
              </w:rPr>
              <w:t>receive</w:t>
            </w:r>
            <w:r w:rsidRPr="00C5686E">
              <w:rPr>
                <w:rFonts w:ascii="Times New Roman" w:hAnsi="Times New Roman"/>
                <w:szCs w:val="17"/>
              </w:rPr>
              <w:t xml:space="preserve"> annually </w:t>
            </w:r>
          </w:p>
          <w:p w:rsidR="00230856" w:rsidRPr="00C5686E" w:rsidRDefault="00230856" w:rsidP="00C5686E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C5686E">
              <w:rPr>
                <w:rFonts w:ascii="Times New Roman" w:hAnsi="Times New Roman"/>
                <w:szCs w:val="17"/>
              </w:rPr>
              <w:t xml:space="preserve">Floating leg: 3-month </w:t>
            </w:r>
            <w:proofErr w:type="spellStart"/>
            <w:r w:rsidRPr="00C5686E">
              <w:rPr>
                <w:rFonts w:ascii="Times New Roman" w:hAnsi="Times New Roman"/>
                <w:szCs w:val="17"/>
              </w:rPr>
              <w:t>Euribor</w:t>
            </w:r>
            <w:proofErr w:type="spellEnd"/>
            <w:r w:rsidRPr="00C5686E">
              <w:rPr>
                <w:rFonts w:ascii="Times New Roman" w:hAnsi="Times New Roman"/>
                <w:szCs w:val="17"/>
              </w:rPr>
              <w:t xml:space="preserve"> rate, pay quarterly </w:t>
            </w:r>
          </w:p>
          <w:p w:rsidR="00230856" w:rsidRPr="00C5686E" w:rsidRDefault="00230856" w:rsidP="00C5686E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C5686E">
              <w:rPr>
                <w:rFonts w:ascii="Times New Roman" w:hAnsi="Times New Roman"/>
                <w:szCs w:val="17"/>
              </w:rPr>
              <w:t xml:space="preserve">Notional: </w:t>
            </w:r>
            <w:r w:rsidR="00577C9A" w:rsidRPr="00C5686E">
              <w:rPr>
                <w:rFonts w:ascii="Times New Roman" w:hAnsi="Times New Roman"/>
                <w:szCs w:val="17"/>
              </w:rPr>
              <w:t>EUR </w:t>
            </w:r>
            <w:r w:rsidRPr="00C5686E">
              <w:rPr>
                <w:rFonts w:ascii="Times New Roman" w:hAnsi="Times New Roman"/>
                <w:szCs w:val="17"/>
              </w:rPr>
              <w:t xml:space="preserve">5 million </w:t>
            </w:r>
          </w:p>
          <w:p w:rsidR="00230856" w:rsidRPr="00C5686E" w:rsidRDefault="00230856" w:rsidP="00C5686E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C5686E">
              <w:rPr>
                <w:rFonts w:ascii="Times New Roman" w:hAnsi="Times New Roman"/>
                <w:szCs w:val="17"/>
              </w:rPr>
              <w:t xml:space="preserve">Roll convention and calendar: standard </w:t>
            </w:r>
          </w:p>
          <w:p w:rsidR="00230856" w:rsidRPr="00C5686E" w:rsidRDefault="00230856" w:rsidP="00C5686E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C5686E">
              <w:rPr>
                <w:rFonts w:ascii="Times New Roman" w:hAnsi="Times New Roman"/>
                <w:szCs w:val="17"/>
              </w:rPr>
              <w:t>Effective date</w:t>
            </w:r>
            <w:r w:rsidR="00D3280B" w:rsidRPr="00C5686E">
              <w:rPr>
                <w:rFonts w:ascii="Times New Roman" w:hAnsi="Times New Roman"/>
                <w:szCs w:val="17"/>
              </w:rPr>
              <w:t>:</w:t>
            </w:r>
            <w:r w:rsidRPr="00C5686E">
              <w:rPr>
                <w:rFonts w:ascii="Times New Roman" w:hAnsi="Times New Roman"/>
                <w:szCs w:val="17"/>
              </w:rPr>
              <w:t xml:space="preserve"> </w:t>
            </w:r>
            <w:r w:rsidR="005653FC">
              <w:rPr>
                <w:rFonts w:ascii="Times New Roman" w:hAnsi="Times New Roman"/>
                <w:szCs w:val="17"/>
              </w:rPr>
              <w:t>1</w:t>
            </w:r>
            <w:r w:rsidR="00596C7F">
              <w:rPr>
                <w:rFonts w:ascii="Times New Roman" w:hAnsi="Times New Roman"/>
                <w:szCs w:val="17"/>
              </w:rPr>
              <w:t>2</w:t>
            </w:r>
            <w:r w:rsidR="005653FC">
              <w:rPr>
                <w:rFonts w:ascii="Times New Roman" w:hAnsi="Times New Roman"/>
                <w:szCs w:val="17"/>
              </w:rPr>
              <w:t xml:space="preserve"> October 201</w:t>
            </w:r>
            <w:r w:rsidR="00596C7F">
              <w:rPr>
                <w:rFonts w:ascii="Times New Roman" w:hAnsi="Times New Roman"/>
                <w:szCs w:val="17"/>
              </w:rPr>
              <w:t>7</w:t>
            </w:r>
            <w:r w:rsidRPr="00C5686E">
              <w:rPr>
                <w:rFonts w:ascii="Times New Roman" w:hAnsi="Times New Roman"/>
                <w:szCs w:val="17"/>
              </w:rPr>
              <w:t xml:space="preserve"> (i</w:t>
            </w:r>
            <w:r w:rsidR="00D3280B" w:rsidRPr="00C5686E">
              <w:rPr>
                <w:rFonts w:ascii="Times New Roman" w:hAnsi="Times New Roman"/>
                <w:szCs w:val="17"/>
              </w:rPr>
              <w:t>.</w:t>
            </w:r>
            <w:r w:rsidRPr="00C5686E">
              <w:rPr>
                <w:rFonts w:ascii="Times New Roman" w:hAnsi="Times New Roman"/>
                <w:szCs w:val="17"/>
              </w:rPr>
              <w:t>e</w:t>
            </w:r>
            <w:r w:rsidR="00D3280B" w:rsidRPr="00C5686E">
              <w:rPr>
                <w:rFonts w:ascii="Times New Roman" w:hAnsi="Times New Roman"/>
                <w:szCs w:val="17"/>
              </w:rPr>
              <w:t>.</w:t>
            </w:r>
            <w:r w:rsidRPr="00C5686E">
              <w:rPr>
                <w:rFonts w:ascii="Times New Roman" w:hAnsi="Times New Roman"/>
                <w:szCs w:val="17"/>
              </w:rPr>
              <w:t xml:space="preserve"> rates to be used are those at the market</w:t>
            </w:r>
            <w:r w:rsidR="00B67B3C" w:rsidRPr="00C5686E">
              <w:rPr>
                <w:rFonts w:ascii="Times New Roman" w:hAnsi="Times New Roman"/>
                <w:szCs w:val="17"/>
              </w:rPr>
              <w:t xml:space="preserve"> close on</w:t>
            </w:r>
            <w:r w:rsidR="00650621" w:rsidRPr="00C5686E">
              <w:rPr>
                <w:rFonts w:ascii="Times New Roman" w:hAnsi="Times New Roman"/>
                <w:szCs w:val="17"/>
              </w:rPr>
              <w:t xml:space="preserve"> </w:t>
            </w:r>
            <w:r w:rsidR="005653FC">
              <w:rPr>
                <w:rFonts w:ascii="Times New Roman" w:hAnsi="Times New Roman"/>
                <w:szCs w:val="17"/>
              </w:rPr>
              <w:t>1</w:t>
            </w:r>
            <w:r w:rsidR="00596C7F">
              <w:rPr>
                <w:rFonts w:ascii="Times New Roman" w:hAnsi="Times New Roman"/>
                <w:szCs w:val="17"/>
              </w:rPr>
              <w:t>2</w:t>
            </w:r>
            <w:r w:rsidR="005653FC">
              <w:rPr>
                <w:rFonts w:ascii="Times New Roman" w:hAnsi="Times New Roman"/>
                <w:szCs w:val="17"/>
              </w:rPr>
              <w:t xml:space="preserve"> October 201</w:t>
            </w:r>
            <w:r w:rsidR="00596C7F">
              <w:rPr>
                <w:rFonts w:ascii="Times New Roman" w:hAnsi="Times New Roman"/>
                <w:szCs w:val="17"/>
              </w:rPr>
              <w:t>7</w:t>
            </w:r>
            <w:r w:rsidRPr="00C5686E">
              <w:rPr>
                <w:rFonts w:ascii="Times New Roman" w:hAnsi="Times New Roman"/>
                <w:szCs w:val="17"/>
              </w:rPr>
              <w:t xml:space="preserve">) </w:t>
            </w:r>
          </w:p>
          <w:p w:rsidR="00230856" w:rsidRPr="0093404B" w:rsidRDefault="00230856" w:rsidP="005653FC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szCs w:val="17"/>
              </w:rPr>
            </w:pPr>
            <w:r w:rsidRPr="00C5686E">
              <w:rPr>
                <w:rFonts w:ascii="Times New Roman" w:hAnsi="Times New Roman"/>
                <w:szCs w:val="17"/>
              </w:rPr>
              <w:t xml:space="preserve">Maturity date: </w:t>
            </w:r>
            <w:r w:rsidR="005653FC">
              <w:rPr>
                <w:rFonts w:ascii="Times New Roman" w:hAnsi="Times New Roman"/>
                <w:szCs w:val="17"/>
              </w:rPr>
              <w:t>1</w:t>
            </w:r>
            <w:r w:rsidR="00596C7F">
              <w:rPr>
                <w:rFonts w:ascii="Times New Roman" w:hAnsi="Times New Roman"/>
                <w:szCs w:val="17"/>
              </w:rPr>
              <w:t>2</w:t>
            </w:r>
            <w:r w:rsidR="005653FC">
              <w:rPr>
                <w:rFonts w:ascii="Times New Roman" w:hAnsi="Times New Roman"/>
                <w:szCs w:val="17"/>
              </w:rPr>
              <w:t xml:space="preserve"> October 202</w:t>
            </w:r>
            <w:r w:rsidR="00596C7F">
              <w:rPr>
                <w:rFonts w:ascii="Times New Roman" w:hAnsi="Times New Roman"/>
                <w:szCs w:val="17"/>
              </w:rPr>
              <w:t>7</w:t>
            </w:r>
          </w:p>
          <w:p w:rsidR="00B86AA0" w:rsidRPr="00C5686E" w:rsidRDefault="00B86AA0" w:rsidP="0093404B">
            <w:pPr>
              <w:pStyle w:val="TableText"/>
              <w:ind w:left="318"/>
              <w:rPr>
                <w:szCs w:val="17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</w:p>
        </w:tc>
      </w:tr>
      <w:tr w:rsidR="00230856" w:rsidRPr="00C5686E" w:rsidTr="00B46BE4">
        <w:trPr>
          <w:trHeight w:val="241"/>
        </w:trPr>
        <w:tc>
          <w:tcPr>
            <w:tcW w:w="771" w:type="pct"/>
          </w:tcPr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90" w:type="pct"/>
          </w:tcPr>
          <w:p w:rsidR="00B86AA0" w:rsidRPr="00C5686E" w:rsidRDefault="00B86AA0" w:rsidP="00C178BC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355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9</w:t>
            </w:r>
          </w:p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IR</w:t>
            </w:r>
          </w:p>
        </w:tc>
        <w:tc>
          <w:tcPr>
            <w:tcW w:w="2290" w:type="pct"/>
          </w:tcPr>
          <w:p w:rsidR="00786F8D" w:rsidRDefault="00786F8D" w:rsidP="00786F8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</w:pPr>
            <w:r w:rsidRPr="00BF0D59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Interest rate swap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USD</w:t>
            </w:r>
          </w:p>
          <w:p w:rsidR="00786F8D" w:rsidRPr="00BF0D59" w:rsidRDefault="00786F8D" w:rsidP="00786F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="00786F8D" w:rsidRPr="00BF0D59" w:rsidRDefault="00786F8D" w:rsidP="00786F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BF0D59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• Receive fixed rate and pay floating rate </w:t>
            </w:r>
          </w:p>
          <w:p w:rsidR="00786F8D" w:rsidRPr="00BF0D59" w:rsidRDefault="00786F8D" w:rsidP="00786F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BF0D59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• Fixed leg: receive annually </w:t>
            </w:r>
          </w:p>
          <w:p w:rsidR="00786F8D" w:rsidRPr="00BF0D59" w:rsidRDefault="00786F8D" w:rsidP="00786F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• Floating leg: </w:t>
            </w:r>
            <w:r w:rsidR="005842EF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3-month</w:t>
            </w: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 USD Libor</w:t>
            </w:r>
            <w:r w:rsidRPr="00BF0D59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 rate, pa</w:t>
            </w: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y </w:t>
            </w:r>
            <w:r w:rsidR="005842EF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quarter</w:t>
            </w:r>
            <w:r w:rsidR="005842EF" w:rsidRPr="00BF0D59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ly </w:t>
            </w:r>
          </w:p>
          <w:p w:rsidR="00786F8D" w:rsidRPr="00BF0D59" w:rsidRDefault="00786F8D" w:rsidP="00786F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BF0D59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• Notional: </w:t>
            </w: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USD</w:t>
            </w:r>
            <w:r w:rsidRPr="00BF0D59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 5 million </w:t>
            </w:r>
          </w:p>
          <w:p w:rsidR="00786F8D" w:rsidRPr="00BF0D59" w:rsidRDefault="00786F8D" w:rsidP="00786F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BF0D59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• Roll convention and calendar: standard </w:t>
            </w:r>
          </w:p>
          <w:p w:rsidR="00786F8D" w:rsidRPr="00BF0D59" w:rsidRDefault="00786F8D" w:rsidP="00786F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BF0D59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• Effective date 1</w:t>
            </w:r>
            <w:r w:rsidR="00596C7F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2</w:t>
            </w:r>
            <w:r w:rsidRPr="00BF0D59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 October 201</w:t>
            </w:r>
            <w:r w:rsidR="00596C7F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7</w:t>
            </w:r>
            <w:r w:rsidRPr="00BF0D59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 (i.e. rates to be used are those at the market close on 1</w:t>
            </w:r>
            <w:r w:rsidR="00596C7F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2</w:t>
            </w:r>
            <w:r w:rsidRPr="00BF0D59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 October 201</w:t>
            </w:r>
            <w:r w:rsidR="00596C7F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7</w:t>
            </w:r>
            <w:r w:rsidRPr="00BF0D59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) </w:t>
            </w:r>
          </w:p>
          <w:p w:rsidR="00230856" w:rsidRDefault="00786F8D" w:rsidP="003650A8">
            <w:pPr>
              <w:rPr>
                <w:sz w:val="17"/>
                <w:szCs w:val="17"/>
                <w:lang w:val="en-GB"/>
              </w:rPr>
            </w:pPr>
            <w:r w:rsidRPr="00BF0D59">
              <w:rPr>
                <w:sz w:val="17"/>
                <w:szCs w:val="17"/>
                <w:lang w:val="en-GB"/>
              </w:rPr>
              <w:t xml:space="preserve">• </w:t>
            </w:r>
            <w:r w:rsidRPr="00BD4068">
              <w:rPr>
                <w:sz w:val="17"/>
                <w:szCs w:val="17"/>
                <w:lang w:val="en-GB"/>
              </w:rPr>
              <w:t>Maturity date: 1</w:t>
            </w:r>
            <w:r w:rsidR="00596C7F">
              <w:rPr>
                <w:sz w:val="17"/>
                <w:szCs w:val="17"/>
                <w:lang w:val="en-GB"/>
              </w:rPr>
              <w:t>2</w:t>
            </w:r>
            <w:r w:rsidRPr="00BD4068">
              <w:rPr>
                <w:sz w:val="17"/>
                <w:szCs w:val="17"/>
                <w:lang w:val="en-GB"/>
              </w:rPr>
              <w:t xml:space="preserve"> October 202</w:t>
            </w:r>
            <w:r w:rsidR="00596C7F">
              <w:rPr>
                <w:sz w:val="17"/>
                <w:szCs w:val="17"/>
                <w:lang w:val="en-GB"/>
              </w:rPr>
              <w:t>7</w:t>
            </w:r>
          </w:p>
          <w:p w:rsidR="00B86AA0" w:rsidRPr="00C5686E" w:rsidRDefault="00B86AA0" w:rsidP="003650A8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USD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90" w:type="pct"/>
          </w:tcPr>
          <w:p w:rsidR="00B86AA0" w:rsidRDefault="00B86AA0" w:rsidP="00786F8D">
            <w:pPr>
              <w:rPr>
                <w:sz w:val="17"/>
                <w:szCs w:val="17"/>
                <w:lang w:val="en-GB"/>
              </w:rPr>
            </w:pPr>
          </w:p>
          <w:p w:rsidR="00DF17C4" w:rsidRPr="00C5686E" w:rsidRDefault="00DF17C4" w:rsidP="00786F8D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355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</w:tc>
      </w:tr>
      <w:tr w:rsidR="00D3709C" w:rsidRPr="00C5686E" w:rsidTr="00D3709C">
        <w:tc>
          <w:tcPr>
            <w:tcW w:w="5000" w:type="pct"/>
            <w:gridSpan w:val="4"/>
          </w:tcPr>
          <w:p w:rsidR="00D3709C" w:rsidRPr="00C5686E" w:rsidRDefault="00D3709C" w:rsidP="00380403">
            <w:pPr>
              <w:jc w:val="center"/>
              <w:rPr>
                <w:b/>
                <w:sz w:val="17"/>
                <w:szCs w:val="17"/>
                <w:lang w:val="en-GB"/>
              </w:rPr>
            </w:pPr>
            <w:r w:rsidRPr="00C5686E">
              <w:rPr>
                <w:b/>
                <w:sz w:val="17"/>
                <w:szCs w:val="17"/>
                <w:lang w:val="en-GB"/>
              </w:rPr>
              <w:t>FX</w:t>
            </w:r>
          </w:p>
          <w:p w:rsidR="00095B1A" w:rsidRDefault="00095B1A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  <w:p w:rsidR="00DF17C4" w:rsidRPr="00C5686E" w:rsidRDefault="00DF17C4" w:rsidP="000D6B72">
            <w:pPr>
              <w:rPr>
                <w:sz w:val="17"/>
                <w:szCs w:val="17"/>
                <w:lang w:val="en-GB"/>
              </w:rPr>
            </w:pPr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10</w:t>
            </w:r>
          </w:p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FX</w:t>
            </w:r>
          </w:p>
        </w:tc>
        <w:tc>
          <w:tcPr>
            <w:tcW w:w="2290" w:type="pct"/>
          </w:tcPr>
          <w:p w:rsidR="00230856" w:rsidRPr="00C5686E" w:rsidRDefault="00230856" w:rsidP="003650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Covered FX call </w:t>
            </w:r>
          </w:p>
          <w:p w:rsidR="00230856" w:rsidRPr="00C5686E" w:rsidRDefault="00230856" w:rsidP="003650A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7"/>
                <w:szCs w:val="17"/>
                <w:lang w:val="en-GB"/>
              </w:rPr>
              <w:t>Short EUR/USD and short put EUR call USD option</w:t>
            </w:r>
          </w:p>
          <w:p w:rsidR="00230856" w:rsidRPr="00C5686E" w:rsidRDefault="00230856" w:rsidP="00C5686E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C5686E">
              <w:rPr>
                <w:rFonts w:ascii="Times New Roman" w:hAnsi="Times New Roman"/>
                <w:szCs w:val="17"/>
              </w:rPr>
              <w:t xml:space="preserve">Short </w:t>
            </w:r>
            <w:r w:rsidR="00B00033">
              <w:rPr>
                <w:rFonts w:ascii="Times New Roman" w:hAnsi="Times New Roman"/>
                <w:szCs w:val="17"/>
              </w:rPr>
              <w:t>6</w:t>
            </w:r>
            <w:r w:rsidRPr="00C5686E">
              <w:rPr>
                <w:rFonts w:ascii="Times New Roman" w:hAnsi="Times New Roman"/>
                <w:szCs w:val="17"/>
              </w:rPr>
              <w:t>-month EUR/USD forward contracts (i</w:t>
            </w:r>
            <w:r w:rsidR="00231680" w:rsidRPr="00C5686E">
              <w:rPr>
                <w:rFonts w:ascii="Times New Roman" w:hAnsi="Times New Roman"/>
                <w:szCs w:val="17"/>
              </w:rPr>
              <w:t>.</w:t>
            </w:r>
            <w:r w:rsidRPr="00C5686E">
              <w:rPr>
                <w:rFonts w:ascii="Times New Roman" w:hAnsi="Times New Roman"/>
                <w:szCs w:val="17"/>
              </w:rPr>
              <w:t>e</w:t>
            </w:r>
            <w:r w:rsidR="00231680" w:rsidRPr="00C5686E">
              <w:rPr>
                <w:rFonts w:ascii="Times New Roman" w:hAnsi="Times New Roman"/>
                <w:szCs w:val="17"/>
              </w:rPr>
              <w:t>.</w:t>
            </w:r>
            <w:r w:rsidRPr="00C5686E">
              <w:rPr>
                <w:rFonts w:ascii="Times New Roman" w:hAnsi="Times New Roman"/>
                <w:szCs w:val="17"/>
              </w:rPr>
              <w:t xml:space="preserve"> long USD short EUR)</w:t>
            </w:r>
            <w:r w:rsidR="001F3A34" w:rsidRPr="00C5686E">
              <w:rPr>
                <w:rFonts w:ascii="Times New Roman" w:hAnsi="Times New Roman"/>
                <w:szCs w:val="17"/>
              </w:rPr>
              <w:t>, cash-settled,</w:t>
            </w:r>
            <w:r w:rsidRPr="00C5686E">
              <w:rPr>
                <w:rFonts w:ascii="Times New Roman" w:hAnsi="Times New Roman"/>
                <w:szCs w:val="17"/>
              </w:rPr>
              <w:t xml:space="preserve"> with USD 20 million notional purchased at the EUR/USD ECB reference rate as of end of day </w:t>
            </w:r>
            <w:r w:rsidR="00B00033">
              <w:rPr>
                <w:rFonts w:ascii="Times New Roman" w:hAnsi="Times New Roman"/>
                <w:szCs w:val="17"/>
              </w:rPr>
              <w:t>1</w:t>
            </w:r>
            <w:r w:rsidR="00596C7F">
              <w:rPr>
                <w:rFonts w:ascii="Times New Roman" w:hAnsi="Times New Roman"/>
                <w:szCs w:val="17"/>
              </w:rPr>
              <w:t>2</w:t>
            </w:r>
            <w:r w:rsidR="00B00033" w:rsidRPr="00C5686E">
              <w:rPr>
                <w:rFonts w:ascii="Times New Roman" w:hAnsi="Times New Roman"/>
                <w:szCs w:val="17"/>
              </w:rPr>
              <w:t xml:space="preserve"> </w:t>
            </w:r>
            <w:r w:rsidR="002D62FE" w:rsidRPr="00C5686E">
              <w:rPr>
                <w:rFonts w:ascii="Times New Roman" w:hAnsi="Times New Roman"/>
                <w:szCs w:val="17"/>
              </w:rPr>
              <w:t xml:space="preserve">October </w:t>
            </w:r>
            <w:r w:rsidR="00B00033">
              <w:rPr>
                <w:rFonts w:ascii="Times New Roman" w:hAnsi="Times New Roman"/>
                <w:szCs w:val="17"/>
              </w:rPr>
              <w:t>201</w:t>
            </w:r>
            <w:r w:rsidR="00596C7F">
              <w:rPr>
                <w:rFonts w:ascii="Times New Roman" w:hAnsi="Times New Roman"/>
                <w:szCs w:val="17"/>
              </w:rPr>
              <w:t>7</w:t>
            </w:r>
            <w:r w:rsidR="00B00033" w:rsidRPr="00C5686E">
              <w:rPr>
                <w:rFonts w:ascii="Times New Roman" w:hAnsi="Times New Roman"/>
                <w:szCs w:val="17"/>
              </w:rPr>
              <w:t xml:space="preserve"> </w:t>
            </w:r>
          </w:p>
          <w:p w:rsidR="00230856" w:rsidRPr="00C5686E" w:rsidRDefault="00230856" w:rsidP="00C5686E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C5686E">
              <w:rPr>
                <w:rFonts w:ascii="Times New Roman" w:hAnsi="Times New Roman"/>
                <w:szCs w:val="17"/>
              </w:rPr>
              <w:t xml:space="preserve">Short </w:t>
            </w:r>
            <w:r w:rsidR="00B00033">
              <w:rPr>
                <w:rFonts w:ascii="Times New Roman" w:hAnsi="Times New Roman"/>
                <w:szCs w:val="17"/>
              </w:rPr>
              <w:t>6</w:t>
            </w:r>
            <w:r w:rsidRPr="00C5686E">
              <w:rPr>
                <w:rFonts w:ascii="Times New Roman" w:hAnsi="Times New Roman"/>
                <w:szCs w:val="17"/>
              </w:rPr>
              <w:t>-month put EUR call USD option notional USD 40 million (i</w:t>
            </w:r>
            <w:r w:rsidR="00B82EBE" w:rsidRPr="00C5686E">
              <w:rPr>
                <w:rFonts w:ascii="Times New Roman" w:hAnsi="Times New Roman"/>
                <w:szCs w:val="17"/>
              </w:rPr>
              <w:t>.</w:t>
            </w:r>
            <w:r w:rsidRPr="00C5686E">
              <w:rPr>
                <w:rFonts w:ascii="Times New Roman" w:hAnsi="Times New Roman"/>
                <w:szCs w:val="17"/>
              </w:rPr>
              <w:t>e</w:t>
            </w:r>
            <w:r w:rsidR="00B82EBE" w:rsidRPr="00C5686E">
              <w:rPr>
                <w:rFonts w:ascii="Times New Roman" w:hAnsi="Times New Roman"/>
                <w:szCs w:val="17"/>
              </w:rPr>
              <w:t>.</w:t>
            </w:r>
            <w:r w:rsidRPr="00C5686E">
              <w:rPr>
                <w:rFonts w:ascii="Times New Roman" w:hAnsi="Times New Roman"/>
                <w:szCs w:val="17"/>
              </w:rPr>
              <w:t xml:space="preserve"> short USD against EUR)</w:t>
            </w:r>
            <w:r w:rsidR="001F3A34" w:rsidRPr="00C5686E">
              <w:rPr>
                <w:rFonts w:ascii="Times New Roman" w:hAnsi="Times New Roman"/>
                <w:szCs w:val="17"/>
              </w:rPr>
              <w:t>, cash-settled,</w:t>
            </w:r>
            <w:r w:rsidRPr="00C5686E">
              <w:rPr>
                <w:rFonts w:ascii="Times New Roman" w:hAnsi="Times New Roman"/>
                <w:szCs w:val="17"/>
              </w:rPr>
              <w:t xml:space="preserve"> with strike price corresponding to the </w:t>
            </w:r>
            <w:r w:rsidR="00B00033">
              <w:rPr>
                <w:rFonts w:ascii="Times New Roman" w:hAnsi="Times New Roman"/>
                <w:szCs w:val="17"/>
              </w:rPr>
              <w:t>six</w:t>
            </w:r>
            <w:r w:rsidRPr="00C5686E">
              <w:rPr>
                <w:rFonts w:ascii="Times New Roman" w:hAnsi="Times New Roman"/>
                <w:szCs w:val="17"/>
              </w:rPr>
              <w:t xml:space="preserve">-month forward exchange rate as of end of day </w:t>
            </w:r>
            <w:r w:rsidR="00B00033">
              <w:rPr>
                <w:rFonts w:ascii="Times New Roman" w:hAnsi="Times New Roman"/>
                <w:szCs w:val="17"/>
              </w:rPr>
              <w:t>1</w:t>
            </w:r>
            <w:r w:rsidR="00596C7F">
              <w:rPr>
                <w:rFonts w:ascii="Times New Roman" w:hAnsi="Times New Roman"/>
                <w:szCs w:val="17"/>
              </w:rPr>
              <w:t>2</w:t>
            </w:r>
            <w:r w:rsidR="00B00033" w:rsidRPr="00C5686E">
              <w:rPr>
                <w:rFonts w:ascii="Times New Roman" w:hAnsi="Times New Roman"/>
                <w:szCs w:val="17"/>
              </w:rPr>
              <w:t xml:space="preserve"> </w:t>
            </w:r>
            <w:r w:rsidR="002D62FE" w:rsidRPr="00C5686E">
              <w:rPr>
                <w:rFonts w:ascii="Times New Roman" w:hAnsi="Times New Roman"/>
                <w:szCs w:val="17"/>
              </w:rPr>
              <w:t>October</w:t>
            </w:r>
            <w:r w:rsidR="002D62FE" w:rsidRPr="00C5686E" w:rsidDel="002D62FE">
              <w:rPr>
                <w:rFonts w:ascii="Times New Roman" w:hAnsi="Times New Roman"/>
                <w:szCs w:val="17"/>
              </w:rPr>
              <w:t xml:space="preserve"> </w:t>
            </w:r>
            <w:r w:rsidR="00B00033">
              <w:rPr>
                <w:rFonts w:ascii="Times New Roman" w:hAnsi="Times New Roman"/>
                <w:szCs w:val="17"/>
              </w:rPr>
              <w:t>201</w:t>
            </w:r>
            <w:r w:rsidR="00596C7F">
              <w:rPr>
                <w:rFonts w:ascii="Times New Roman" w:hAnsi="Times New Roman"/>
                <w:szCs w:val="17"/>
              </w:rPr>
              <w:t>7</w:t>
            </w:r>
          </w:p>
          <w:p w:rsidR="00230856" w:rsidRPr="00C5686E" w:rsidRDefault="001E1648" w:rsidP="00C5686E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C5686E">
              <w:rPr>
                <w:rFonts w:ascii="Times New Roman" w:hAnsi="Times New Roman"/>
                <w:szCs w:val="17"/>
              </w:rPr>
              <w:t>E</w:t>
            </w:r>
            <w:r w:rsidR="00230856" w:rsidRPr="00C5686E">
              <w:rPr>
                <w:rFonts w:ascii="Times New Roman" w:hAnsi="Times New Roman"/>
                <w:szCs w:val="17"/>
              </w:rPr>
              <w:t>ffective date</w:t>
            </w:r>
            <w:r w:rsidRPr="00C5686E">
              <w:rPr>
                <w:rFonts w:ascii="Times New Roman" w:hAnsi="Times New Roman"/>
                <w:szCs w:val="17"/>
              </w:rPr>
              <w:t>:</w:t>
            </w:r>
            <w:r w:rsidR="00230856" w:rsidRPr="00C5686E">
              <w:rPr>
                <w:rFonts w:ascii="Times New Roman" w:hAnsi="Times New Roman"/>
                <w:szCs w:val="17"/>
              </w:rPr>
              <w:t xml:space="preserve"> </w:t>
            </w:r>
            <w:r w:rsidR="00B00033">
              <w:rPr>
                <w:rFonts w:ascii="Times New Roman" w:hAnsi="Times New Roman"/>
                <w:szCs w:val="17"/>
              </w:rPr>
              <w:t>1</w:t>
            </w:r>
            <w:r w:rsidR="00596C7F">
              <w:rPr>
                <w:rFonts w:ascii="Times New Roman" w:hAnsi="Times New Roman"/>
                <w:szCs w:val="17"/>
              </w:rPr>
              <w:t>2</w:t>
            </w:r>
            <w:r w:rsidR="00B00033" w:rsidRPr="00C5686E">
              <w:rPr>
                <w:rFonts w:ascii="Times New Roman" w:hAnsi="Times New Roman"/>
                <w:szCs w:val="17"/>
              </w:rPr>
              <w:t xml:space="preserve"> </w:t>
            </w:r>
            <w:r w:rsidR="002D62FE" w:rsidRPr="00C5686E">
              <w:rPr>
                <w:rFonts w:ascii="Times New Roman" w:hAnsi="Times New Roman"/>
                <w:szCs w:val="17"/>
              </w:rPr>
              <w:t>October</w:t>
            </w:r>
            <w:r w:rsidR="002D62FE" w:rsidRPr="00C5686E" w:rsidDel="002D62FE">
              <w:rPr>
                <w:rFonts w:ascii="Times New Roman" w:hAnsi="Times New Roman"/>
                <w:szCs w:val="17"/>
              </w:rPr>
              <w:t xml:space="preserve"> </w:t>
            </w:r>
            <w:r w:rsidR="00B00033">
              <w:rPr>
                <w:rFonts w:ascii="Times New Roman" w:hAnsi="Times New Roman"/>
                <w:szCs w:val="17"/>
              </w:rPr>
              <w:t>201</w:t>
            </w:r>
            <w:r w:rsidR="00596C7F">
              <w:rPr>
                <w:rFonts w:ascii="Times New Roman" w:hAnsi="Times New Roman"/>
                <w:szCs w:val="17"/>
              </w:rPr>
              <w:t>7</w:t>
            </w:r>
          </w:p>
          <w:p w:rsidR="00230856" w:rsidRPr="00B31C89" w:rsidRDefault="001E1648" w:rsidP="00B86AA0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szCs w:val="17"/>
              </w:rPr>
            </w:pPr>
            <w:r w:rsidRPr="00C5686E">
              <w:rPr>
                <w:rFonts w:ascii="Times New Roman" w:hAnsi="Times New Roman"/>
                <w:szCs w:val="17"/>
              </w:rPr>
              <w:t>E</w:t>
            </w:r>
            <w:r w:rsidR="00230856" w:rsidRPr="00C5686E">
              <w:rPr>
                <w:rFonts w:ascii="Times New Roman" w:hAnsi="Times New Roman"/>
                <w:szCs w:val="17"/>
              </w:rPr>
              <w:t>xpiry date</w:t>
            </w:r>
            <w:r w:rsidRPr="00C5686E">
              <w:rPr>
                <w:rFonts w:ascii="Times New Roman" w:hAnsi="Times New Roman"/>
                <w:szCs w:val="17"/>
              </w:rPr>
              <w:t>:</w:t>
            </w:r>
            <w:r w:rsidR="00230856" w:rsidRPr="00C5686E">
              <w:rPr>
                <w:rFonts w:ascii="Times New Roman" w:hAnsi="Times New Roman"/>
                <w:szCs w:val="17"/>
              </w:rPr>
              <w:t xml:space="preserve"> </w:t>
            </w:r>
            <w:r w:rsidR="00B00033">
              <w:rPr>
                <w:rFonts w:ascii="Times New Roman" w:hAnsi="Times New Roman"/>
                <w:szCs w:val="17"/>
              </w:rPr>
              <w:t>1</w:t>
            </w:r>
            <w:r w:rsidR="00596C7F">
              <w:rPr>
                <w:rFonts w:ascii="Times New Roman" w:hAnsi="Times New Roman"/>
                <w:szCs w:val="17"/>
              </w:rPr>
              <w:t>2</w:t>
            </w:r>
            <w:r w:rsidR="00B00033" w:rsidRPr="00C5686E">
              <w:rPr>
                <w:rFonts w:ascii="Times New Roman" w:hAnsi="Times New Roman"/>
                <w:szCs w:val="17"/>
              </w:rPr>
              <w:t xml:space="preserve"> </w:t>
            </w:r>
            <w:r w:rsidR="00B00033">
              <w:rPr>
                <w:rFonts w:ascii="Times New Roman" w:hAnsi="Times New Roman"/>
                <w:szCs w:val="17"/>
              </w:rPr>
              <w:t>April</w:t>
            </w:r>
            <w:r w:rsidR="00B00033" w:rsidRPr="00C5686E">
              <w:rPr>
                <w:rFonts w:ascii="Times New Roman" w:hAnsi="Times New Roman"/>
                <w:szCs w:val="17"/>
              </w:rPr>
              <w:t xml:space="preserve"> </w:t>
            </w:r>
            <w:r w:rsidR="00B00033">
              <w:rPr>
                <w:rFonts w:ascii="Times New Roman" w:hAnsi="Times New Roman"/>
                <w:szCs w:val="17"/>
              </w:rPr>
              <w:t>201</w:t>
            </w:r>
            <w:r w:rsidR="00596C7F">
              <w:rPr>
                <w:rFonts w:ascii="Times New Roman" w:hAnsi="Times New Roman"/>
                <w:szCs w:val="17"/>
              </w:rPr>
              <w:t>8</w:t>
            </w:r>
          </w:p>
          <w:p w:rsidR="00D93897" w:rsidRPr="0093404B" w:rsidRDefault="00D93897" w:rsidP="00B86AA0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szCs w:val="17"/>
              </w:rPr>
            </w:pPr>
            <w:r>
              <w:rPr>
                <w:rFonts w:ascii="Times New Roman" w:hAnsi="Times New Roman"/>
                <w:szCs w:val="17"/>
              </w:rPr>
              <w:t xml:space="preserve">EUR/USD </w:t>
            </w:r>
            <w:r w:rsidR="00126D24">
              <w:rPr>
                <w:rFonts w:ascii="Times New Roman" w:hAnsi="Times New Roman"/>
                <w:szCs w:val="17"/>
              </w:rPr>
              <w:t xml:space="preserve">ECB </w:t>
            </w:r>
            <w:r>
              <w:rPr>
                <w:rFonts w:ascii="Times New Roman" w:hAnsi="Times New Roman"/>
                <w:szCs w:val="17"/>
              </w:rPr>
              <w:t>reference rate</w:t>
            </w:r>
          </w:p>
          <w:p w:rsidR="00B86AA0" w:rsidRPr="00C5686E" w:rsidRDefault="00B86AA0" w:rsidP="0093404B">
            <w:pPr>
              <w:pStyle w:val="TableText"/>
              <w:ind w:left="318"/>
              <w:rPr>
                <w:szCs w:val="17"/>
              </w:rPr>
            </w:pPr>
          </w:p>
        </w:tc>
        <w:tc>
          <w:tcPr>
            <w:tcW w:w="584" w:type="pct"/>
          </w:tcPr>
          <w:p w:rsidR="00230856" w:rsidRPr="00C5686E" w:rsidRDefault="00C77CAC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90" w:type="pct"/>
          </w:tcPr>
          <w:p w:rsidR="00B86AA0" w:rsidRPr="00C5686E" w:rsidRDefault="00B86AA0" w:rsidP="003650A8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355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11</w:t>
            </w:r>
          </w:p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FX</w:t>
            </w:r>
          </w:p>
        </w:tc>
        <w:tc>
          <w:tcPr>
            <w:tcW w:w="2290" w:type="pct"/>
          </w:tcPr>
          <w:p w:rsidR="00230856" w:rsidRPr="00C5686E" w:rsidRDefault="00230856" w:rsidP="003650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Knock-out option </w:t>
            </w:r>
          </w:p>
          <w:p w:rsidR="00230856" w:rsidRPr="00C5686E" w:rsidRDefault="00230856" w:rsidP="003650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Vanilla option that ceases to exist if the underlying spot breaches a predetermined barrier before maturity</w:t>
            </w:r>
            <w:r w:rsidR="001F3A34"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, cash-settled</w:t>
            </w:r>
            <w:r w:rsidR="003218FB"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.</w:t>
            </w:r>
          </w:p>
          <w:p w:rsidR="00230856" w:rsidRDefault="00230856" w:rsidP="003650A8">
            <w:pPr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See details in Section 2</w:t>
            </w:r>
            <w:r w:rsidR="00540B9F">
              <w:rPr>
                <w:sz w:val="17"/>
                <w:szCs w:val="17"/>
                <w:lang w:val="en-GB"/>
              </w:rPr>
              <w:t>.</w:t>
            </w:r>
            <w:r w:rsidR="00596C7F">
              <w:rPr>
                <w:sz w:val="17"/>
                <w:szCs w:val="17"/>
                <w:lang w:val="en-GB"/>
              </w:rPr>
              <w:t>1</w:t>
            </w:r>
            <w:r w:rsidRPr="00C5686E">
              <w:rPr>
                <w:sz w:val="17"/>
                <w:szCs w:val="17"/>
                <w:lang w:val="en-GB"/>
              </w:rPr>
              <w:t xml:space="preserve"> of this Annex.</w:t>
            </w:r>
          </w:p>
          <w:p w:rsidR="00B86AA0" w:rsidRPr="00C5686E" w:rsidRDefault="00B86AA0" w:rsidP="003650A8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C77CAC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12</w:t>
            </w:r>
          </w:p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FX</w:t>
            </w:r>
          </w:p>
        </w:tc>
        <w:tc>
          <w:tcPr>
            <w:tcW w:w="2290" w:type="pct"/>
          </w:tcPr>
          <w:p w:rsidR="00230856" w:rsidRPr="00C5686E" w:rsidRDefault="00230856" w:rsidP="003650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Double no touch option </w:t>
            </w:r>
          </w:p>
          <w:p w:rsidR="00230856" w:rsidRPr="00C5686E" w:rsidRDefault="00230856" w:rsidP="003650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Digital option that pays a predetermined amount if the spot does not touch any of the barriers during the life of the option</w:t>
            </w:r>
            <w:r w:rsidR="001F3A34"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, cash-settled</w:t>
            </w:r>
            <w:r w:rsidR="003218FB"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.</w:t>
            </w:r>
            <w:r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 </w:t>
            </w:r>
          </w:p>
          <w:p w:rsidR="00230856" w:rsidRDefault="00230856" w:rsidP="003650A8">
            <w:pPr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See details in Section 2.</w:t>
            </w:r>
            <w:r w:rsidR="00596C7F">
              <w:rPr>
                <w:sz w:val="17"/>
                <w:szCs w:val="17"/>
                <w:lang w:val="en-GB"/>
              </w:rPr>
              <w:t>2</w:t>
            </w:r>
            <w:r w:rsidRPr="00C5686E">
              <w:rPr>
                <w:sz w:val="17"/>
                <w:szCs w:val="17"/>
                <w:lang w:val="en-GB"/>
              </w:rPr>
              <w:t xml:space="preserve"> of this Annex.</w:t>
            </w:r>
          </w:p>
          <w:p w:rsidR="00B86AA0" w:rsidRPr="00C5686E" w:rsidRDefault="00B86AA0" w:rsidP="003650A8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C77CAC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lastRenderedPageBreak/>
              <w:t>EUR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</w:p>
        </w:tc>
      </w:tr>
      <w:tr w:rsidR="00D3709C" w:rsidRPr="00C5686E" w:rsidTr="00D3709C">
        <w:tc>
          <w:tcPr>
            <w:tcW w:w="5000" w:type="pct"/>
            <w:gridSpan w:val="4"/>
          </w:tcPr>
          <w:p w:rsidR="00DF17C4" w:rsidRDefault="00DF17C4" w:rsidP="00380403">
            <w:pPr>
              <w:jc w:val="center"/>
              <w:rPr>
                <w:b/>
                <w:sz w:val="17"/>
                <w:szCs w:val="17"/>
                <w:lang w:val="en-GB"/>
              </w:rPr>
            </w:pPr>
          </w:p>
          <w:p w:rsidR="00D3709C" w:rsidRPr="00C5686E" w:rsidRDefault="00D3709C" w:rsidP="00380403">
            <w:pPr>
              <w:jc w:val="center"/>
              <w:rPr>
                <w:b/>
                <w:sz w:val="17"/>
                <w:szCs w:val="17"/>
                <w:lang w:val="en-GB"/>
              </w:rPr>
            </w:pPr>
            <w:r w:rsidRPr="00C5686E">
              <w:rPr>
                <w:b/>
                <w:sz w:val="17"/>
                <w:szCs w:val="17"/>
                <w:lang w:val="en-GB"/>
              </w:rPr>
              <w:t>Commodity</w:t>
            </w:r>
          </w:p>
          <w:p w:rsidR="00095B1A" w:rsidRPr="00C5686E" w:rsidRDefault="00095B1A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13</w:t>
            </w:r>
          </w:p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Commodity</w:t>
            </w:r>
          </w:p>
        </w:tc>
        <w:tc>
          <w:tcPr>
            <w:tcW w:w="2290" w:type="pct"/>
          </w:tcPr>
          <w:p w:rsidR="00434D84" w:rsidRPr="00BF0D59" w:rsidRDefault="00434D84" w:rsidP="00434D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Gold forwards position</w:t>
            </w:r>
            <w:r w:rsidRPr="00BF0D59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 </w:t>
            </w:r>
          </w:p>
          <w:p w:rsidR="00434D84" w:rsidRDefault="00434D84" w:rsidP="00434D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BF0D59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Long 3,500,000 </w:t>
            </w: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6</w:t>
            </w:r>
            <w:r w:rsidRPr="00BF0D59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-month OTC London Gold Forwards contracts (1 contract = 0.001 troy ounces, notional: 3,500 troy ounces) </w:t>
            </w:r>
          </w:p>
          <w:p w:rsidR="00B86AA0" w:rsidRPr="00BF0D59" w:rsidRDefault="00B86AA0" w:rsidP="00434D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="00230856" w:rsidRPr="0093404B" w:rsidRDefault="00434D84" w:rsidP="00641C7D">
            <w:pPr>
              <w:pStyle w:val="TableText"/>
              <w:rPr>
                <w:rFonts w:ascii="Times New Roman" w:hAnsi="Times New Roman"/>
                <w:szCs w:val="17"/>
              </w:rPr>
            </w:pPr>
            <w:r w:rsidRPr="0093404B">
              <w:rPr>
                <w:rFonts w:ascii="Times New Roman" w:hAnsi="Times New Roman"/>
                <w:szCs w:val="17"/>
              </w:rPr>
              <w:t xml:space="preserve"> Short 4,300,000 1-year OTC London Gold Forwards contracts (Notional: 4,300 troy ounces)</w:t>
            </w:r>
          </w:p>
          <w:p w:rsidR="00B86AA0" w:rsidRPr="00C5686E" w:rsidRDefault="00B86AA0" w:rsidP="0093404B">
            <w:pPr>
              <w:pStyle w:val="TableText"/>
              <w:ind w:left="318"/>
              <w:rPr>
                <w:szCs w:val="17"/>
              </w:rPr>
            </w:pPr>
          </w:p>
        </w:tc>
        <w:tc>
          <w:tcPr>
            <w:tcW w:w="584" w:type="pct"/>
          </w:tcPr>
          <w:p w:rsidR="00230856" w:rsidRPr="00C5686E" w:rsidRDefault="009B736E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USD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14</w:t>
            </w:r>
          </w:p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Commodity</w:t>
            </w:r>
          </w:p>
        </w:tc>
        <w:tc>
          <w:tcPr>
            <w:tcW w:w="2290" w:type="pct"/>
          </w:tcPr>
          <w:p w:rsidR="00230856" w:rsidRPr="00C5686E" w:rsidRDefault="00230856" w:rsidP="003650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Short oil put options </w:t>
            </w:r>
          </w:p>
          <w:p w:rsidR="00230856" w:rsidRPr="000B4E2B" w:rsidRDefault="00230856" w:rsidP="000B4E2B">
            <w:pPr>
              <w:pStyle w:val="Default"/>
              <w:jc w:val="both"/>
              <w:rPr>
                <w:rFonts w:ascii="Times New Roman" w:hAnsi="Times New Roman"/>
                <w:szCs w:val="17"/>
              </w:rPr>
            </w:pPr>
            <w:r w:rsidRPr="000B4E2B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Short 30 contracts of </w:t>
            </w:r>
            <w:r w:rsidR="00434D84" w:rsidRPr="000B4E2B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6</w:t>
            </w:r>
            <w:r w:rsidRPr="000B4E2B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-month OTC WTI Crude Oil puts with strike = </w:t>
            </w:r>
            <w:r w:rsidR="00434D84" w:rsidRPr="000B4E2B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12</w:t>
            </w:r>
            <w:r w:rsidRPr="000B4E2B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-month end-of-day forward price on </w:t>
            </w:r>
            <w:r w:rsidR="00434D84" w:rsidRPr="000B4E2B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1</w:t>
            </w:r>
            <w:r w:rsidR="00596C7F" w:rsidRPr="000B4E2B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2</w:t>
            </w:r>
            <w:r w:rsidR="00434D84" w:rsidRPr="000B4E2B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 </w:t>
            </w:r>
            <w:r w:rsidR="00C512D0" w:rsidRPr="000B4E2B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October </w:t>
            </w:r>
            <w:r w:rsidR="00434D84" w:rsidRPr="000B4E2B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201</w:t>
            </w:r>
            <w:r w:rsidR="00596C7F" w:rsidRPr="000B4E2B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7</w:t>
            </w:r>
            <w:r w:rsidR="00434D84" w:rsidRPr="000B4E2B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 xml:space="preserve"> </w:t>
            </w:r>
            <w:r w:rsidRPr="000B4E2B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(1 contract = 1000 barrels, total notional 30,000 barrels)</w:t>
            </w:r>
          </w:p>
          <w:p w:rsidR="00B86AA0" w:rsidRPr="00C5686E" w:rsidRDefault="00B86AA0" w:rsidP="0093404B">
            <w:pPr>
              <w:pStyle w:val="TableText"/>
              <w:ind w:left="318"/>
              <w:rPr>
                <w:szCs w:val="17"/>
              </w:rPr>
            </w:pPr>
          </w:p>
        </w:tc>
        <w:tc>
          <w:tcPr>
            <w:tcW w:w="584" w:type="pct"/>
          </w:tcPr>
          <w:p w:rsidR="00230856" w:rsidRPr="00C5686E" w:rsidRDefault="009B736E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USD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</w:p>
        </w:tc>
      </w:tr>
      <w:tr w:rsidR="00D3709C" w:rsidRPr="00C5686E" w:rsidTr="00D3709C">
        <w:tc>
          <w:tcPr>
            <w:tcW w:w="5000" w:type="pct"/>
            <w:gridSpan w:val="4"/>
          </w:tcPr>
          <w:p w:rsidR="00D3709C" w:rsidRPr="00C5686E" w:rsidRDefault="00D3709C" w:rsidP="00380403">
            <w:pPr>
              <w:jc w:val="center"/>
              <w:rPr>
                <w:b/>
                <w:sz w:val="17"/>
                <w:szCs w:val="17"/>
                <w:lang w:val="en-GB"/>
              </w:rPr>
            </w:pPr>
            <w:r w:rsidRPr="00C5686E">
              <w:rPr>
                <w:b/>
                <w:sz w:val="17"/>
                <w:szCs w:val="17"/>
                <w:lang w:val="en-GB"/>
              </w:rPr>
              <w:t>Credit Spread</w:t>
            </w:r>
          </w:p>
          <w:p w:rsidR="00095B1A" w:rsidRPr="00C5686E" w:rsidRDefault="00095B1A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15</w:t>
            </w:r>
          </w:p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Credit Spread</w:t>
            </w:r>
          </w:p>
        </w:tc>
        <w:tc>
          <w:tcPr>
            <w:tcW w:w="2290" w:type="pct"/>
          </w:tcPr>
          <w:p w:rsidR="00434D84" w:rsidRPr="00BF0D59" w:rsidRDefault="00434D84" w:rsidP="00434D84">
            <w:pPr>
              <w:pStyle w:val="TableCell"/>
              <w:tabs>
                <w:tab w:val="clear" w:pos="284"/>
              </w:tabs>
              <w:jc w:val="left"/>
              <w:rPr>
                <w:rFonts w:ascii="Times New Roman" w:hAnsi="Times New Roman"/>
                <w:b/>
                <w:szCs w:val="17"/>
              </w:rPr>
            </w:pPr>
            <w:r w:rsidRPr="00BF0D59">
              <w:rPr>
                <w:rFonts w:ascii="Times New Roman" w:hAnsi="Times New Roman"/>
                <w:b/>
                <w:szCs w:val="17"/>
              </w:rPr>
              <w:t>Sovereign CDS portfolio</w:t>
            </w:r>
          </w:p>
          <w:p w:rsidR="00434D84" w:rsidRPr="00BF0D59" w:rsidRDefault="00434D84" w:rsidP="00434D84">
            <w:pPr>
              <w:pStyle w:val="TableText"/>
              <w:rPr>
                <w:rFonts w:ascii="Times New Roman" w:hAnsi="Times New Roman"/>
                <w:b/>
                <w:i/>
                <w:szCs w:val="17"/>
              </w:rPr>
            </w:pPr>
            <w:r w:rsidRPr="00BF0D59">
              <w:rPr>
                <w:rFonts w:ascii="Times New Roman" w:hAnsi="Times New Roman"/>
                <w:b/>
                <w:i/>
                <w:szCs w:val="17"/>
              </w:rPr>
              <w:t>Short protection via CDS on five countries</w:t>
            </w:r>
          </w:p>
          <w:p w:rsidR="00434D84" w:rsidRPr="00BF0D59" w:rsidRDefault="00434D84" w:rsidP="00434D84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BF0D59">
              <w:rPr>
                <w:rFonts w:ascii="Times New Roman" w:hAnsi="Times New Roman"/>
                <w:szCs w:val="17"/>
              </w:rPr>
              <w:t>Short  EUR 2 million per single-name 5year CDS (total 10 million notional) on the following countries:</w:t>
            </w:r>
          </w:p>
          <w:p w:rsidR="00434D84" w:rsidRPr="00BF0D59" w:rsidRDefault="00434D84" w:rsidP="00434D84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BF0D59">
              <w:rPr>
                <w:rFonts w:ascii="Times New Roman" w:hAnsi="Times New Roman"/>
                <w:szCs w:val="17"/>
              </w:rPr>
              <w:t>effective date: 1</w:t>
            </w:r>
            <w:r w:rsidR="000A79BE">
              <w:rPr>
                <w:rFonts w:ascii="Times New Roman" w:hAnsi="Times New Roman"/>
                <w:szCs w:val="17"/>
              </w:rPr>
              <w:t>2</w:t>
            </w:r>
            <w:r w:rsidRPr="00BF0D59">
              <w:rPr>
                <w:rFonts w:ascii="Times New Roman" w:hAnsi="Times New Roman"/>
                <w:szCs w:val="17"/>
              </w:rPr>
              <w:t xml:space="preserve"> October 201</w:t>
            </w:r>
            <w:r w:rsidR="000A79BE">
              <w:rPr>
                <w:rFonts w:ascii="Times New Roman" w:hAnsi="Times New Roman"/>
                <w:szCs w:val="17"/>
              </w:rPr>
              <w:t>7</w:t>
            </w:r>
          </w:p>
          <w:p w:rsidR="00434D84" w:rsidRDefault="00434D84" w:rsidP="00434D84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BF0D59">
              <w:rPr>
                <w:rFonts w:ascii="Times New Roman" w:hAnsi="Times New Roman"/>
                <w:szCs w:val="17"/>
              </w:rPr>
              <w:t>restructuring clause: FULL</w:t>
            </w:r>
          </w:p>
          <w:p w:rsidR="00434D84" w:rsidRDefault="000A79BE" w:rsidP="000B4E2B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>
              <w:rPr>
                <w:rFonts w:ascii="Times New Roman" w:hAnsi="Times New Roman"/>
                <w:szCs w:val="17"/>
              </w:rPr>
              <w:t>standard</w:t>
            </w:r>
            <w:r w:rsidR="00DF17C4">
              <w:rPr>
                <w:rFonts w:ascii="Times New Roman" w:hAnsi="Times New Roman"/>
                <w:szCs w:val="17"/>
              </w:rPr>
              <w:t xml:space="preserve"> ISDA</w:t>
            </w:r>
            <w:r>
              <w:rPr>
                <w:rFonts w:ascii="Times New Roman" w:hAnsi="Times New Roman"/>
                <w:szCs w:val="17"/>
              </w:rPr>
              <w:t xml:space="preserve"> doc clauses apply as fo</w:t>
            </w:r>
            <w:r w:rsidR="00DF17C4">
              <w:rPr>
                <w:rFonts w:ascii="Times New Roman" w:hAnsi="Times New Roman"/>
                <w:szCs w:val="17"/>
              </w:rPr>
              <w:t>llowing</w:t>
            </w:r>
            <w:r>
              <w:rPr>
                <w:rFonts w:ascii="Times New Roman" w:hAnsi="Times New Roman"/>
                <w:szCs w:val="17"/>
              </w:rPr>
              <w:t xml:space="preserve"> current market convention</w:t>
            </w:r>
            <w:r w:rsidR="00DF17C4">
              <w:rPr>
                <w:rFonts w:ascii="Times New Roman" w:hAnsi="Times New Roman"/>
                <w:szCs w:val="17"/>
              </w:rPr>
              <w:t>s</w:t>
            </w:r>
            <w:r>
              <w:rPr>
                <w:rFonts w:ascii="Times New Roman" w:hAnsi="Times New Roman"/>
                <w:szCs w:val="17"/>
              </w:rPr>
              <w:t xml:space="preserve"> </w:t>
            </w:r>
          </w:p>
          <w:p w:rsidR="00DF17C4" w:rsidRPr="00BF0D59" w:rsidRDefault="00DF17C4" w:rsidP="00B31C89">
            <w:pPr>
              <w:pStyle w:val="TableText"/>
              <w:ind w:left="318"/>
              <w:rPr>
                <w:rFonts w:ascii="Times New Roman" w:hAnsi="Times New Roman"/>
                <w:szCs w:val="1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49"/>
              <w:gridCol w:w="826"/>
            </w:tblGrid>
            <w:tr w:rsidR="00434D84" w:rsidRPr="00BF0D59" w:rsidTr="00D00F58"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434D84" w:rsidRPr="00BF0D59" w:rsidRDefault="00434D84" w:rsidP="00EA4DCD">
                  <w:pPr>
                    <w:pStyle w:val="TableColumn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Country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BCBDBC"/>
                    <w:bottom w:val="single" w:sz="4" w:space="0" w:color="auto"/>
                    <w:right w:val="nil"/>
                  </w:tcBorders>
                </w:tcPr>
                <w:p w:rsidR="00434D84" w:rsidRPr="00BF0D59" w:rsidRDefault="00434D84" w:rsidP="00EA4DCD">
                  <w:pPr>
                    <w:pStyle w:val="TableColumn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currency</w:t>
                  </w:r>
                </w:p>
              </w:tc>
            </w:tr>
            <w:tr w:rsidR="00434D84" w:rsidRPr="00BF0D59" w:rsidTr="00D00F58"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434D84" w:rsidRPr="00BF0D59" w:rsidRDefault="00434D84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Italy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434D84" w:rsidRPr="00BF0D59" w:rsidRDefault="00434D84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USD</w:t>
                  </w:r>
                </w:p>
              </w:tc>
            </w:tr>
            <w:tr w:rsidR="00434D84" w:rsidRPr="00BF0D59" w:rsidTr="00D00F58">
              <w:tc>
                <w:tcPr>
                  <w:tcW w:w="849" w:type="dxa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434D84" w:rsidRPr="00BF0D59" w:rsidRDefault="00434D84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UK</w:t>
                  </w:r>
                </w:p>
              </w:tc>
              <w:tc>
                <w:tcPr>
                  <w:tcW w:w="826" w:type="dxa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434D84" w:rsidRPr="00BF0D59" w:rsidRDefault="00434D84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USD</w:t>
                  </w:r>
                </w:p>
              </w:tc>
            </w:tr>
            <w:tr w:rsidR="00434D84" w:rsidRPr="00BF0D59" w:rsidTr="00D00F58">
              <w:tc>
                <w:tcPr>
                  <w:tcW w:w="849" w:type="dxa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434D84" w:rsidRPr="00BF0D59" w:rsidRDefault="00434D84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Germany</w:t>
                  </w:r>
                </w:p>
              </w:tc>
              <w:tc>
                <w:tcPr>
                  <w:tcW w:w="826" w:type="dxa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434D84" w:rsidRPr="00BF0D59" w:rsidRDefault="00434D84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USD</w:t>
                  </w:r>
                </w:p>
              </w:tc>
            </w:tr>
            <w:tr w:rsidR="00434D84" w:rsidRPr="00BF0D59" w:rsidTr="00D00F58">
              <w:tc>
                <w:tcPr>
                  <w:tcW w:w="849" w:type="dxa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434D84" w:rsidRPr="00BF0D59" w:rsidRDefault="00434D84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France</w:t>
                  </w:r>
                </w:p>
              </w:tc>
              <w:tc>
                <w:tcPr>
                  <w:tcW w:w="826" w:type="dxa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434D84" w:rsidRPr="00BF0D59" w:rsidRDefault="00434D84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USD</w:t>
                  </w:r>
                </w:p>
              </w:tc>
            </w:tr>
            <w:tr w:rsidR="00434D84" w:rsidRPr="00BF0D59" w:rsidTr="00D00F58">
              <w:tc>
                <w:tcPr>
                  <w:tcW w:w="849" w:type="dxa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434D84" w:rsidRPr="00BF0D59" w:rsidRDefault="00434D84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US</w:t>
                  </w:r>
                </w:p>
              </w:tc>
              <w:tc>
                <w:tcPr>
                  <w:tcW w:w="826" w:type="dxa"/>
                  <w:tcBorders>
                    <w:top w:val="single" w:sz="4" w:space="0" w:color="BCBDBC"/>
                    <w:left w:val="single" w:sz="4" w:space="0" w:color="BCBDBC"/>
                    <w:bottom w:val="single" w:sz="4" w:space="0" w:color="auto"/>
                    <w:right w:val="nil"/>
                  </w:tcBorders>
                </w:tcPr>
                <w:p w:rsidR="00434D84" w:rsidRPr="00BF0D59" w:rsidRDefault="00434D84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</w:tr>
          </w:tbl>
          <w:p w:rsidR="00230856" w:rsidRPr="00C5686E" w:rsidRDefault="00230856" w:rsidP="003650A8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,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IRC</w:t>
            </w:r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16</w:t>
            </w:r>
          </w:p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Credit Spread</w:t>
            </w:r>
          </w:p>
        </w:tc>
        <w:tc>
          <w:tcPr>
            <w:tcW w:w="2290" w:type="pct"/>
          </w:tcPr>
          <w:p w:rsidR="00434D84" w:rsidRPr="00BF0D59" w:rsidRDefault="00434D84" w:rsidP="00434D84">
            <w:pPr>
              <w:pStyle w:val="TableCell"/>
              <w:tabs>
                <w:tab w:val="clear" w:pos="284"/>
              </w:tabs>
              <w:jc w:val="left"/>
              <w:rPr>
                <w:rFonts w:ascii="Times New Roman" w:hAnsi="Times New Roman"/>
                <w:b/>
                <w:szCs w:val="17"/>
              </w:rPr>
            </w:pPr>
            <w:r w:rsidRPr="00BF0D59">
              <w:rPr>
                <w:rFonts w:ascii="Times New Roman" w:hAnsi="Times New Roman"/>
                <w:b/>
                <w:szCs w:val="17"/>
              </w:rPr>
              <w:t>Sovereign bond/CDS portfolio</w:t>
            </w:r>
          </w:p>
          <w:p w:rsidR="00434D84" w:rsidRPr="00BF0D59" w:rsidRDefault="00434D84" w:rsidP="00434D84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BF0D59">
              <w:rPr>
                <w:rFonts w:ascii="Times New Roman" w:hAnsi="Times New Roman"/>
                <w:szCs w:val="17"/>
              </w:rPr>
              <w:t xml:space="preserve">Long EUR 2 million per single-name 5 year CDS (total 10 million notional) on the following countries: Italy, UK, Germany, France, US as in portfolio  </w:t>
            </w:r>
            <w:r w:rsidR="00EA4DCD">
              <w:rPr>
                <w:rFonts w:ascii="Times New Roman" w:hAnsi="Times New Roman"/>
                <w:szCs w:val="17"/>
              </w:rPr>
              <w:t>15</w:t>
            </w:r>
          </w:p>
          <w:p w:rsidR="00434D84" w:rsidRPr="00BF0D59" w:rsidRDefault="00434D84" w:rsidP="00434D84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BF0D59">
              <w:rPr>
                <w:rFonts w:ascii="Times New Roman" w:hAnsi="Times New Roman"/>
                <w:szCs w:val="17"/>
              </w:rPr>
              <w:t>Long EUR 2 million per single-name 5 year bonds (total 10 million notional) on the following countries: Italy, UK, Germany, France, US (as identified in the following table)</w:t>
            </w:r>
          </w:p>
          <w:p w:rsidR="00434D84" w:rsidRPr="00BF0D59" w:rsidRDefault="00434D84" w:rsidP="00434D84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BF0D59">
              <w:rPr>
                <w:rFonts w:ascii="Times New Roman" w:hAnsi="Times New Roman"/>
                <w:szCs w:val="17"/>
              </w:rPr>
              <w:t>effective date 1</w:t>
            </w:r>
            <w:r w:rsidR="000A79BE">
              <w:rPr>
                <w:rFonts w:ascii="Times New Roman" w:hAnsi="Times New Roman"/>
                <w:szCs w:val="17"/>
              </w:rPr>
              <w:t>2</w:t>
            </w:r>
            <w:r w:rsidRPr="00BF0D59">
              <w:rPr>
                <w:rFonts w:ascii="Times New Roman" w:hAnsi="Times New Roman"/>
                <w:szCs w:val="17"/>
              </w:rPr>
              <w:t xml:space="preserve"> October </w:t>
            </w:r>
            <w:r w:rsidR="000A79BE" w:rsidRPr="00BF0D59">
              <w:rPr>
                <w:rFonts w:ascii="Times New Roman" w:hAnsi="Times New Roman"/>
                <w:szCs w:val="17"/>
              </w:rPr>
              <w:t>201</w:t>
            </w:r>
            <w:r w:rsidR="000A79BE">
              <w:rPr>
                <w:rFonts w:ascii="Times New Roman" w:hAnsi="Times New Roman"/>
                <w:szCs w:val="17"/>
              </w:rPr>
              <w:t>7</w:t>
            </w:r>
          </w:p>
          <w:p w:rsidR="00434D84" w:rsidRPr="00BF0D59" w:rsidRDefault="00434D84" w:rsidP="00434D84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BF0D59">
              <w:rPr>
                <w:rFonts w:ascii="Times New Roman" w:hAnsi="Times New Roman"/>
                <w:szCs w:val="17"/>
              </w:rPr>
              <w:t>to convert the notional of the non-euro bonds use the FX spot as at end of day 1</w:t>
            </w:r>
            <w:r w:rsidR="000A79BE">
              <w:rPr>
                <w:rFonts w:ascii="Times New Roman" w:hAnsi="Times New Roman"/>
                <w:szCs w:val="17"/>
              </w:rPr>
              <w:t>2</w:t>
            </w:r>
            <w:r w:rsidRPr="00BF0D59">
              <w:rPr>
                <w:rFonts w:ascii="Times New Roman" w:hAnsi="Times New Roman"/>
                <w:szCs w:val="17"/>
              </w:rPr>
              <w:t xml:space="preserve"> October 201</w:t>
            </w:r>
            <w:r w:rsidR="000A79BE">
              <w:rPr>
                <w:rFonts w:ascii="Times New Roman" w:hAnsi="Times New Roman"/>
                <w:szCs w:val="17"/>
              </w:rPr>
              <w:t>7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65"/>
              <w:gridCol w:w="2173"/>
            </w:tblGrid>
            <w:tr w:rsidR="00434D84" w:rsidRPr="001043EE" w:rsidTr="00D00F58">
              <w:trPr>
                <w:trHeight w:hRule="exact" w:val="170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34D84" w:rsidRPr="00BF0D59" w:rsidRDefault="00434D84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</w:p>
              </w:tc>
            </w:tr>
            <w:tr w:rsidR="00434D84" w:rsidRPr="00BF0D59" w:rsidTr="00D00F58">
              <w:tc>
                <w:tcPr>
                  <w:tcW w:w="2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434D84" w:rsidRPr="00BF0D59" w:rsidRDefault="00434D84" w:rsidP="00EA4DCD">
                  <w:pPr>
                    <w:pStyle w:val="TableColumn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Identifier</w:t>
                  </w:r>
                </w:p>
              </w:tc>
              <w:tc>
                <w:tcPr>
                  <w:tcW w:w="2691" w:type="pct"/>
                  <w:tcBorders>
                    <w:top w:val="single" w:sz="4" w:space="0" w:color="auto"/>
                    <w:left w:val="single" w:sz="4" w:space="0" w:color="BCBDBC"/>
                    <w:bottom w:val="single" w:sz="4" w:space="0" w:color="auto"/>
                    <w:right w:val="nil"/>
                  </w:tcBorders>
                </w:tcPr>
                <w:p w:rsidR="00434D84" w:rsidRPr="00BF0D59" w:rsidRDefault="00434D84" w:rsidP="00EA4DCD">
                  <w:pPr>
                    <w:pStyle w:val="TableColumn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Description</w:t>
                  </w:r>
                </w:p>
              </w:tc>
            </w:tr>
            <w:tr w:rsidR="00434D84" w:rsidRPr="00E266BF" w:rsidTr="00D00F58">
              <w:tc>
                <w:tcPr>
                  <w:tcW w:w="2309" w:type="pct"/>
                  <w:tcBorders>
                    <w:top w:val="single" w:sz="4" w:space="0" w:color="auto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434D84" w:rsidRPr="00E266BF" w:rsidRDefault="00E266BF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szCs w:val="17"/>
                    </w:rPr>
                    <w:t>IT0004848831</w:t>
                  </w:r>
                </w:p>
              </w:tc>
              <w:tc>
                <w:tcPr>
                  <w:tcW w:w="2691" w:type="pct"/>
                  <w:tcBorders>
                    <w:top w:val="single" w:sz="4" w:space="0" w:color="auto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434D84" w:rsidRPr="00E266BF" w:rsidRDefault="00E266BF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szCs w:val="17"/>
                    </w:rPr>
                    <w:t>BTP 5 ½ 1 NOV 2022</w:t>
                  </w:r>
                </w:p>
              </w:tc>
            </w:tr>
            <w:tr w:rsidR="00434D84" w:rsidRPr="00E266BF" w:rsidTr="00D00F58">
              <w:tc>
                <w:tcPr>
                  <w:tcW w:w="2309" w:type="pct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434D84" w:rsidRPr="00E266BF" w:rsidRDefault="00E266BF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szCs w:val="17"/>
                    </w:rPr>
                    <w:t>DE0001135499</w:t>
                  </w:r>
                </w:p>
              </w:tc>
              <w:tc>
                <w:tcPr>
                  <w:tcW w:w="2691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434D84" w:rsidRPr="00E266BF" w:rsidRDefault="00434D84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E266BF">
                    <w:rPr>
                      <w:rFonts w:ascii="Times New Roman" w:hAnsi="Times New Roman"/>
                      <w:szCs w:val="17"/>
                    </w:rPr>
                    <w:t xml:space="preserve">BUND </w:t>
                  </w:r>
                  <w:r w:rsidR="00E266BF">
                    <w:rPr>
                      <w:rFonts w:ascii="Times New Roman" w:hAnsi="Times New Roman"/>
                      <w:szCs w:val="17"/>
                    </w:rPr>
                    <w:t>1 ½ 4 SEPT 2022</w:t>
                  </w:r>
                </w:p>
              </w:tc>
            </w:tr>
            <w:tr w:rsidR="00434D84" w:rsidRPr="00E266BF" w:rsidTr="00D00F58">
              <w:tc>
                <w:tcPr>
                  <w:tcW w:w="2309" w:type="pct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434D84" w:rsidRPr="00E266BF" w:rsidRDefault="00E266BF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szCs w:val="17"/>
                    </w:rPr>
                    <w:t>GB00B7L9SL19</w:t>
                  </w:r>
                </w:p>
              </w:tc>
              <w:tc>
                <w:tcPr>
                  <w:tcW w:w="2691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434D84" w:rsidRPr="00E266BF" w:rsidRDefault="00434D84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E266BF">
                    <w:rPr>
                      <w:rFonts w:ascii="Times New Roman" w:hAnsi="Times New Roman"/>
                      <w:szCs w:val="17"/>
                    </w:rPr>
                    <w:t xml:space="preserve">GILT </w:t>
                  </w:r>
                  <w:r w:rsidR="00E266BF">
                    <w:rPr>
                      <w:rFonts w:ascii="Times New Roman" w:hAnsi="Times New Roman"/>
                      <w:szCs w:val="17"/>
                    </w:rPr>
                    <w:t>1 ¾ 7 SEPT 2022</w:t>
                  </w:r>
                </w:p>
              </w:tc>
            </w:tr>
            <w:tr w:rsidR="00434D84" w:rsidRPr="00E266BF" w:rsidTr="00D00F58">
              <w:tc>
                <w:tcPr>
                  <w:tcW w:w="2309" w:type="pct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434D84" w:rsidRPr="00E266BF" w:rsidRDefault="00E266BF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szCs w:val="17"/>
                    </w:rPr>
                    <w:t xml:space="preserve"> FR0011337880</w:t>
                  </w:r>
                </w:p>
              </w:tc>
              <w:tc>
                <w:tcPr>
                  <w:tcW w:w="2691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434D84" w:rsidRPr="00E266BF" w:rsidRDefault="00434D84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E266BF">
                    <w:rPr>
                      <w:rFonts w:ascii="Times New Roman" w:hAnsi="Times New Roman"/>
                      <w:szCs w:val="17"/>
                    </w:rPr>
                    <w:t xml:space="preserve">OAT </w:t>
                  </w:r>
                  <w:r w:rsidR="00E266BF">
                    <w:rPr>
                      <w:rFonts w:ascii="Times New Roman" w:hAnsi="Times New Roman"/>
                      <w:szCs w:val="17"/>
                    </w:rPr>
                    <w:t xml:space="preserve">2 ¼ </w:t>
                  </w:r>
                  <w:r w:rsidR="00955605">
                    <w:rPr>
                      <w:rFonts w:ascii="Times New Roman" w:hAnsi="Times New Roman"/>
                      <w:szCs w:val="17"/>
                    </w:rPr>
                    <w:t>25 OCT 2022</w:t>
                  </w:r>
                </w:p>
              </w:tc>
            </w:tr>
            <w:tr w:rsidR="00434D84" w:rsidRPr="00E266BF" w:rsidTr="00D00F58">
              <w:tc>
                <w:tcPr>
                  <w:tcW w:w="2309" w:type="pct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434D84" w:rsidRPr="00955605" w:rsidRDefault="00955605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szCs w:val="17"/>
                    </w:rPr>
                    <w:t xml:space="preserve"> US912828M490</w:t>
                  </w:r>
                </w:p>
              </w:tc>
              <w:tc>
                <w:tcPr>
                  <w:tcW w:w="2691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auto"/>
                    <w:right w:val="nil"/>
                  </w:tcBorders>
                </w:tcPr>
                <w:p w:rsidR="00434D84" w:rsidRPr="00955605" w:rsidRDefault="00434D84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955605">
                    <w:rPr>
                      <w:rFonts w:ascii="Times New Roman" w:hAnsi="Times New Roman"/>
                      <w:szCs w:val="17"/>
                    </w:rPr>
                    <w:t xml:space="preserve">TBOND </w:t>
                  </w:r>
                  <w:r w:rsidR="00955605">
                    <w:rPr>
                      <w:rFonts w:ascii="Times New Roman" w:hAnsi="Times New Roman"/>
                      <w:szCs w:val="17"/>
                    </w:rPr>
                    <w:t>1 7/8 31 OCT 2022</w:t>
                  </w:r>
                </w:p>
              </w:tc>
            </w:tr>
          </w:tbl>
          <w:p w:rsidR="00230856" w:rsidRPr="00C5686E" w:rsidRDefault="00230856" w:rsidP="003650A8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,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IRC</w:t>
            </w:r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17</w:t>
            </w:r>
          </w:p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Credit Spread</w:t>
            </w:r>
          </w:p>
        </w:tc>
        <w:tc>
          <w:tcPr>
            <w:tcW w:w="2290" w:type="pct"/>
          </w:tcPr>
          <w:p w:rsidR="00390D68" w:rsidRPr="00BF0D59" w:rsidRDefault="00390D68" w:rsidP="00390D68">
            <w:pPr>
              <w:pStyle w:val="TableCell"/>
              <w:tabs>
                <w:tab w:val="clear" w:pos="284"/>
              </w:tabs>
              <w:jc w:val="left"/>
              <w:rPr>
                <w:rFonts w:ascii="Times New Roman" w:hAnsi="Times New Roman"/>
                <w:b/>
                <w:szCs w:val="17"/>
              </w:rPr>
            </w:pPr>
            <w:r w:rsidRPr="00BF0D59">
              <w:rPr>
                <w:rFonts w:ascii="Times New Roman" w:hAnsi="Times New Roman"/>
                <w:b/>
                <w:szCs w:val="17"/>
              </w:rPr>
              <w:t xml:space="preserve">Sector concentration portfolio </w:t>
            </w:r>
          </w:p>
          <w:p w:rsidR="00390D68" w:rsidRPr="00BF0D59" w:rsidRDefault="00390D68" w:rsidP="00390D68">
            <w:pPr>
              <w:pStyle w:val="TableText"/>
              <w:rPr>
                <w:rFonts w:ascii="Times New Roman" w:hAnsi="Times New Roman"/>
                <w:b/>
                <w:i/>
                <w:szCs w:val="17"/>
              </w:rPr>
            </w:pPr>
            <w:r w:rsidRPr="00BF0D59">
              <w:rPr>
                <w:rFonts w:ascii="Times New Roman" w:hAnsi="Times New Roman"/>
                <w:b/>
                <w:i/>
                <w:szCs w:val="17"/>
              </w:rPr>
              <w:t xml:space="preserve">Short protection via CDS on </w:t>
            </w:r>
            <w:r>
              <w:rPr>
                <w:rFonts w:ascii="Times New Roman" w:hAnsi="Times New Roman"/>
                <w:b/>
                <w:i/>
                <w:szCs w:val="17"/>
              </w:rPr>
              <w:t>6 insurance conglomerates</w:t>
            </w:r>
          </w:p>
          <w:p w:rsidR="00390D68" w:rsidRPr="00BF0D59" w:rsidRDefault="00390D68" w:rsidP="00390D68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>
              <w:rPr>
                <w:rFonts w:ascii="Times New Roman" w:hAnsi="Times New Roman"/>
                <w:szCs w:val="17"/>
              </w:rPr>
              <w:t>S</w:t>
            </w:r>
            <w:r w:rsidRPr="00BF0D59">
              <w:rPr>
                <w:rFonts w:ascii="Times New Roman" w:hAnsi="Times New Roman"/>
                <w:szCs w:val="17"/>
              </w:rPr>
              <w:t>hort 1 million notional per single-name 5 year CDS (total EUR </w:t>
            </w:r>
            <w:r>
              <w:rPr>
                <w:rFonts w:ascii="Times New Roman" w:hAnsi="Times New Roman"/>
                <w:szCs w:val="17"/>
              </w:rPr>
              <w:t xml:space="preserve"> 6</w:t>
            </w:r>
            <w:r w:rsidRPr="00BF0D59">
              <w:rPr>
                <w:rFonts w:ascii="Times New Roman" w:hAnsi="Times New Roman"/>
                <w:szCs w:val="17"/>
              </w:rPr>
              <w:t xml:space="preserve"> million notional) on the following companies</w:t>
            </w:r>
          </w:p>
          <w:p w:rsidR="00390D68" w:rsidRDefault="00390D68" w:rsidP="00390D68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BF0D59">
              <w:rPr>
                <w:rFonts w:ascii="Times New Roman" w:hAnsi="Times New Roman"/>
                <w:szCs w:val="17"/>
              </w:rPr>
              <w:t>effective date 1</w:t>
            </w:r>
            <w:r w:rsidR="0052595F">
              <w:rPr>
                <w:rFonts w:ascii="Times New Roman" w:hAnsi="Times New Roman"/>
                <w:szCs w:val="17"/>
              </w:rPr>
              <w:t>2</w:t>
            </w:r>
            <w:r w:rsidRPr="00BF0D59">
              <w:rPr>
                <w:rFonts w:ascii="Times New Roman" w:hAnsi="Times New Roman"/>
                <w:szCs w:val="17"/>
              </w:rPr>
              <w:t xml:space="preserve"> October 201</w:t>
            </w:r>
            <w:r w:rsidR="0052595F">
              <w:rPr>
                <w:rFonts w:ascii="Times New Roman" w:hAnsi="Times New Roman"/>
                <w:szCs w:val="17"/>
              </w:rPr>
              <w:t>7</w:t>
            </w:r>
          </w:p>
          <w:p w:rsidR="00FA587D" w:rsidRPr="00BF0D59" w:rsidRDefault="00FA587D" w:rsidP="00B31C89">
            <w:pPr>
              <w:pStyle w:val="TableText"/>
              <w:ind w:left="318"/>
              <w:rPr>
                <w:rFonts w:ascii="Times New Roman" w:hAnsi="Times New Roman"/>
                <w:szCs w:val="17"/>
              </w:rPr>
            </w:pPr>
          </w:p>
          <w:tbl>
            <w:tblPr>
              <w:tblW w:w="374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96"/>
              <w:gridCol w:w="849"/>
              <w:gridCol w:w="779"/>
            </w:tblGrid>
            <w:tr w:rsidR="00390D68" w:rsidRPr="00BF0D59" w:rsidTr="00D00F58">
              <w:tc>
                <w:tcPr>
                  <w:tcW w:w="23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390D68" w:rsidRPr="00BF0D59" w:rsidRDefault="00390D68" w:rsidP="00EA4DCD">
                  <w:pPr>
                    <w:pStyle w:val="TableColumn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lastRenderedPageBreak/>
                    <w:t>Name</w:t>
                  </w:r>
                </w:p>
              </w:tc>
              <w:tc>
                <w:tcPr>
                  <w:tcW w:w="1319" w:type="pct"/>
                  <w:tcBorders>
                    <w:top w:val="single" w:sz="4" w:space="0" w:color="auto"/>
                    <w:left w:val="single" w:sz="4" w:space="0" w:color="BCBDBC"/>
                    <w:bottom w:val="single" w:sz="4" w:space="0" w:color="auto"/>
                    <w:right w:val="nil"/>
                  </w:tcBorders>
                </w:tcPr>
                <w:p w:rsidR="00390D68" w:rsidRPr="00BF0D59" w:rsidRDefault="00390D68" w:rsidP="00EA4DCD">
                  <w:pPr>
                    <w:pStyle w:val="TableColumn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Currency</w:t>
                  </w:r>
                </w:p>
              </w:tc>
              <w:tc>
                <w:tcPr>
                  <w:tcW w:w="1329" w:type="pct"/>
                  <w:tcBorders>
                    <w:top w:val="single" w:sz="4" w:space="0" w:color="auto"/>
                    <w:left w:val="single" w:sz="4" w:space="0" w:color="BCBDBC"/>
                    <w:bottom w:val="single" w:sz="4" w:space="0" w:color="auto"/>
                    <w:right w:val="nil"/>
                  </w:tcBorders>
                </w:tcPr>
                <w:p w:rsidR="00390D68" w:rsidRPr="00BF0D59" w:rsidRDefault="00390D68" w:rsidP="00EA4DCD">
                  <w:pPr>
                    <w:pStyle w:val="TableColumn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Doc clause</w:t>
                  </w:r>
                </w:p>
              </w:tc>
            </w:tr>
            <w:tr w:rsidR="00390D68" w:rsidRPr="00BF0D59" w:rsidTr="00D00F58">
              <w:tc>
                <w:tcPr>
                  <w:tcW w:w="2352" w:type="pct"/>
                  <w:tcBorders>
                    <w:top w:val="single" w:sz="4" w:space="0" w:color="auto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390D68" w:rsidRPr="00BF0D59" w:rsidRDefault="00390D68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i/>
                      <w:szCs w:val="17"/>
                    </w:rPr>
                    <w:t xml:space="preserve">Generali </w:t>
                  </w:r>
                  <w:proofErr w:type="spellStart"/>
                  <w:r>
                    <w:rPr>
                      <w:rFonts w:ascii="Times New Roman" w:hAnsi="Times New Roman"/>
                      <w:i/>
                      <w:szCs w:val="17"/>
                    </w:rPr>
                    <w:t>SpA</w:t>
                  </w:r>
                  <w:proofErr w:type="spellEnd"/>
                </w:p>
              </w:tc>
              <w:tc>
                <w:tcPr>
                  <w:tcW w:w="1319" w:type="pct"/>
                  <w:tcBorders>
                    <w:top w:val="single" w:sz="4" w:space="0" w:color="auto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390D68" w:rsidRPr="00BF0D59" w:rsidRDefault="00390D68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  <w:tc>
                <w:tcPr>
                  <w:tcW w:w="1329" w:type="pct"/>
                  <w:tcBorders>
                    <w:top w:val="single" w:sz="4" w:space="0" w:color="auto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390D68" w:rsidRPr="00BF0D59" w:rsidRDefault="00390D68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M</w:t>
                  </w:r>
                  <w:r>
                    <w:rPr>
                      <w:rFonts w:ascii="Times New Roman" w:hAnsi="Times New Roman"/>
                      <w:szCs w:val="17"/>
                    </w:rPr>
                    <w:t>M</w:t>
                  </w:r>
                </w:p>
              </w:tc>
            </w:tr>
            <w:tr w:rsidR="00390D68" w:rsidRPr="00BF0D59" w:rsidTr="00D00F58">
              <w:tc>
                <w:tcPr>
                  <w:tcW w:w="2352" w:type="pct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390D68" w:rsidRPr="00BF0D59" w:rsidRDefault="00390D68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i/>
                      <w:szCs w:val="17"/>
                    </w:rPr>
                    <w:t>Allianz</w:t>
                  </w:r>
                </w:p>
              </w:tc>
              <w:tc>
                <w:tcPr>
                  <w:tcW w:w="1319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390D68" w:rsidRPr="00BF0D59" w:rsidRDefault="00390D68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  <w:tc>
                <w:tcPr>
                  <w:tcW w:w="1329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390D68" w:rsidRPr="00BF0D59" w:rsidRDefault="00390D68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MM</w:t>
                  </w:r>
                </w:p>
              </w:tc>
            </w:tr>
            <w:tr w:rsidR="00390D68" w:rsidRPr="00BF0D59" w:rsidTr="00D00F58">
              <w:tc>
                <w:tcPr>
                  <w:tcW w:w="2352" w:type="pct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390D68" w:rsidRPr="00BF0D59" w:rsidRDefault="00390D68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i/>
                      <w:szCs w:val="17"/>
                    </w:rPr>
                    <w:t>AXA</w:t>
                  </w:r>
                </w:p>
              </w:tc>
              <w:tc>
                <w:tcPr>
                  <w:tcW w:w="1319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390D68" w:rsidRPr="00BF0D59" w:rsidRDefault="00390D68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  <w:tc>
                <w:tcPr>
                  <w:tcW w:w="1329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390D68" w:rsidRPr="00BF0D59" w:rsidRDefault="00390D68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MM</w:t>
                  </w:r>
                </w:p>
              </w:tc>
            </w:tr>
            <w:tr w:rsidR="00390D68" w:rsidRPr="00BF0D59" w:rsidTr="00D00F58">
              <w:tc>
                <w:tcPr>
                  <w:tcW w:w="2352" w:type="pct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390D68" w:rsidRPr="00BF0D59" w:rsidRDefault="00390D68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proofErr w:type="spellStart"/>
                  <w:r w:rsidRPr="00BF0D59">
                    <w:rPr>
                      <w:rFonts w:ascii="Times New Roman" w:hAnsi="Times New Roman"/>
                      <w:i/>
                      <w:szCs w:val="17"/>
                    </w:rPr>
                    <w:t>Aegon</w:t>
                  </w:r>
                  <w:proofErr w:type="spellEnd"/>
                </w:p>
              </w:tc>
              <w:tc>
                <w:tcPr>
                  <w:tcW w:w="1319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390D68" w:rsidRPr="00BF0D59" w:rsidRDefault="00390D68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  <w:tc>
                <w:tcPr>
                  <w:tcW w:w="1329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390D68" w:rsidRPr="00BF0D59" w:rsidRDefault="00390D68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MM</w:t>
                  </w:r>
                </w:p>
              </w:tc>
            </w:tr>
            <w:tr w:rsidR="00390D68" w:rsidRPr="00BF0D59" w:rsidTr="00D00F58">
              <w:tc>
                <w:tcPr>
                  <w:tcW w:w="2352" w:type="pct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390D68" w:rsidRPr="00BF0D59" w:rsidRDefault="00390D68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i/>
                      <w:szCs w:val="17"/>
                    </w:rPr>
                    <w:t>Aviva</w:t>
                  </w:r>
                </w:p>
              </w:tc>
              <w:tc>
                <w:tcPr>
                  <w:tcW w:w="1319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390D68" w:rsidRPr="00BF0D59" w:rsidRDefault="00390D68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  <w:tc>
                <w:tcPr>
                  <w:tcW w:w="1329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390D68" w:rsidRPr="00BF0D59" w:rsidRDefault="00390D68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MM</w:t>
                  </w:r>
                </w:p>
              </w:tc>
            </w:tr>
            <w:tr w:rsidR="00390D68" w:rsidRPr="00BF0D59" w:rsidTr="00D00F58">
              <w:tc>
                <w:tcPr>
                  <w:tcW w:w="2352" w:type="pct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390D68" w:rsidRPr="00BF0D59" w:rsidRDefault="00390D68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i/>
                      <w:szCs w:val="17"/>
                    </w:rPr>
                    <w:t>Swiss Re</w:t>
                  </w:r>
                  <w:r>
                    <w:rPr>
                      <w:rFonts w:ascii="Times New Roman" w:hAnsi="Times New Roman"/>
                      <w:i/>
                      <w:szCs w:val="17"/>
                    </w:rPr>
                    <w:t>insurance</w:t>
                  </w:r>
                </w:p>
              </w:tc>
              <w:tc>
                <w:tcPr>
                  <w:tcW w:w="1319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390D68" w:rsidRPr="00BF0D59" w:rsidRDefault="00390D68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  <w:tc>
                <w:tcPr>
                  <w:tcW w:w="1329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390D68" w:rsidRPr="00BF0D59" w:rsidRDefault="00390D68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MM</w:t>
                  </w:r>
                </w:p>
              </w:tc>
            </w:tr>
          </w:tbl>
          <w:p w:rsidR="00230856" w:rsidRPr="00C5686E" w:rsidRDefault="00230856" w:rsidP="003650A8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lastRenderedPageBreak/>
              <w:t>EUR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,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IRC</w:t>
            </w:r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lastRenderedPageBreak/>
              <w:t>18</w:t>
            </w:r>
          </w:p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Credit Spread</w:t>
            </w:r>
          </w:p>
        </w:tc>
        <w:tc>
          <w:tcPr>
            <w:tcW w:w="2290" w:type="pct"/>
          </w:tcPr>
          <w:p w:rsidR="00FD1D50" w:rsidRPr="00BF0D59" w:rsidRDefault="00FD1D50" w:rsidP="00FD1D50">
            <w:pPr>
              <w:pStyle w:val="TableCell"/>
              <w:tabs>
                <w:tab w:val="clear" w:pos="284"/>
              </w:tabs>
              <w:jc w:val="left"/>
              <w:rPr>
                <w:rFonts w:ascii="Times New Roman" w:hAnsi="Times New Roman"/>
                <w:b/>
                <w:szCs w:val="17"/>
              </w:rPr>
            </w:pPr>
            <w:r w:rsidRPr="00BF0D59">
              <w:rPr>
                <w:rFonts w:ascii="Times New Roman" w:hAnsi="Times New Roman"/>
                <w:b/>
                <w:szCs w:val="17"/>
              </w:rPr>
              <w:t>Diversified index portfolio</w:t>
            </w:r>
          </w:p>
          <w:p w:rsidR="00FD1D50" w:rsidRPr="00BF0D59" w:rsidRDefault="00FD1D50" w:rsidP="00FD1D50">
            <w:pPr>
              <w:pStyle w:val="TableText"/>
              <w:rPr>
                <w:rFonts w:ascii="Times New Roman" w:hAnsi="Times New Roman"/>
                <w:b/>
                <w:i/>
                <w:szCs w:val="17"/>
              </w:rPr>
            </w:pPr>
            <w:r w:rsidRPr="00BF0D59">
              <w:rPr>
                <w:rFonts w:ascii="Times New Roman" w:hAnsi="Times New Roman"/>
                <w:b/>
                <w:i/>
                <w:szCs w:val="17"/>
              </w:rPr>
              <w:t>Short protection via CDS index</w:t>
            </w:r>
          </w:p>
          <w:p w:rsidR="00FD1D50" w:rsidRDefault="00FD1D50" w:rsidP="00FD1D50">
            <w:pPr>
              <w:pStyle w:val="TableCell"/>
              <w:tabs>
                <w:tab w:val="clear" w:pos="284"/>
              </w:tabs>
              <w:jc w:val="left"/>
              <w:rPr>
                <w:rFonts w:ascii="Times New Roman" w:hAnsi="Times New Roman"/>
                <w:szCs w:val="17"/>
              </w:rPr>
            </w:pPr>
            <w:r w:rsidRPr="00BF0D59">
              <w:rPr>
                <w:rFonts w:ascii="Times New Roman" w:hAnsi="Times New Roman"/>
                <w:szCs w:val="17"/>
              </w:rPr>
              <w:t xml:space="preserve">Short EUR 10 million notional </w:t>
            </w:r>
            <w:proofErr w:type="spellStart"/>
            <w:r w:rsidRPr="00BF0D59">
              <w:rPr>
                <w:rFonts w:ascii="Times New Roman" w:hAnsi="Times New Roman"/>
                <w:szCs w:val="17"/>
              </w:rPr>
              <w:t>iTraxx</w:t>
            </w:r>
            <w:proofErr w:type="spellEnd"/>
            <w:r w:rsidRPr="00BF0D59">
              <w:rPr>
                <w:rFonts w:ascii="Times New Roman" w:hAnsi="Times New Roman"/>
                <w:szCs w:val="17"/>
              </w:rPr>
              <w:t xml:space="preserve"> 5-year Europe </w:t>
            </w:r>
            <w:r w:rsidRPr="00843BD4">
              <w:rPr>
                <w:rFonts w:ascii="Times New Roman" w:hAnsi="Times New Roman"/>
                <w:szCs w:val="17"/>
              </w:rPr>
              <w:t>SF</w:t>
            </w:r>
            <w:r>
              <w:rPr>
                <w:rFonts w:ascii="Times New Roman" w:hAnsi="Times New Roman"/>
                <w:szCs w:val="17"/>
              </w:rPr>
              <w:t xml:space="preserve"> </w:t>
            </w:r>
            <w:r w:rsidRPr="00BF0D59">
              <w:rPr>
                <w:rFonts w:ascii="Times New Roman" w:hAnsi="Times New Roman"/>
                <w:szCs w:val="17"/>
              </w:rPr>
              <w:t xml:space="preserve">index </w:t>
            </w:r>
            <w:r>
              <w:rPr>
                <w:rFonts w:ascii="Times New Roman" w:hAnsi="Times New Roman"/>
                <w:szCs w:val="17"/>
              </w:rPr>
              <w:t>,on-the-run Series</w:t>
            </w:r>
          </w:p>
          <w:p w:rsidR="00FD1D50" w:rsidRPr="005B6663" w:rsidRDefault="00FD1D50" w:rsidP="00641C7D">
            <w:pPr>
              <w:pStyle w:val="TableCell"/>
              <w:tabs>
                <w:tab w:val="clear" w:pos="284"/>
              </w:tabs>
              <w:jc w:val="left"/>
            </w:pPr>
            <w:r w:rsidRPr="00862DB8">
              <w:rPr>
                <w:rFonts w:ascii="Times New Roman" w:hAnsi="Times New Roman"/>
                <w:szCs w:val="17"/>
              </w:rPr>
              <w:t>effective</w:t>
            </w:r>
            <w:r w:rsidRPr="00BF0D59">
              <w:rPr>
                <w:rFonts w:ascii="Times New Roman" w:hAnsi="Times New Roman"/>
                <w:szCs w:val="17"/>
              </w:rPr>
              <w:t xml:space="preserve"> date 1</w:t>
            </w:r>
            <w:r w:rsidR="0052595F">
              <w:rPr>
                <w:rFonts w:ascii="Times New Roman" w:hAnsi="Times New Roman"/>
                <w:szCs w:val="17"/>
              </w:rPr>
              <w:t>2</w:t>
            </w:r>
            <w:r w:rsidRPr="00BF0D59">
              <w:rPr>
                <w:rFonts w:ascii="Times New Roman" w:hAnsi="Times New Roman"/>
                <w:szCs w:val="17"/>
              </w:rPr>
              <w:t xml:space="preserve"> October 201</w:t>
            </w:r>
            <w:r w:rsidR="0052595F">
              <w:rPr>
                <w:rFonts w:ascii="Times New Roman" w:hAnsi="Times New Roman"/>
                <w:szCs w:val="17"/>
              </w:rPr>
              <w:t>7</w:t>
            </w:r>
          </w:p>
          <w:p w:rsidR="00230856" w:rsidRPr="00C5686E" w:rsidRDefault="00230856" w:rsidP="0093404B">
            <w:pPr>
              <w:pStyle w:val="TableText"/>
              <w:rPr>
                <w:rFonts w:ascii="Times New Roman" w:hAnsi="Times New Roman"/>
                <w:b/>
                <w:szCs w:val="17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,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IRC</w:t>
            </w:r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19</w:t>
            </w:r>
          </w:p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Credit Spread</w:t>
            </w:r>
          </w:p>
        </w:tc>
        <w:tc>
          <w:tcPr>
            <w:tcW w:w="2290" w:type="pct"/>
          </w:tcPr>
          <w:p w:rsidR="00FD1D50" w:rsidRPr="00BF0D59" w:rsidRDefault="00FD1D50" w:rsidP="00FD1D50">
            <w:pPr>
              <w:pStyle w:val="TableCell"/>
              <w:tabs>
                <w:tab w:val="clear" w:pos="284"/>
              </w:tabs>
              <w:jc w:val="left"/>
              <w:rPr>
                <w:rFonts w:ascii="Times New Roman" w:hAnsi="Times New Roman"/>
                <w:b/>
                <w:szCs w:val="17"/>
              </w:rPr>
            </w:pPr>
            <w:r w:rsidRPr="00BF0D59">
              <w:rPr>
                <w:rFonts w:ascii="Times New Roman" w:hAnsi="Times New Roman"/>
                <w:b/>
                <w:szCs w:val="17"/>
              </w:rPr>
              <w:t>Diversified index portfolio (higher concentration)</w:t>
            </w:r>
          </w:p>
          <w:p w:rsidR="00FD1D50" w:rsidRPr="00BF0D59" w:rsidRDefault="00FD1D50" w:rsidP="00FD1D50">
            <w:pPr>
              <w:pStyle w:val="TableText"/>
              <w:rPr>
                <w:rFonts w:ascii="Times New Roman" w:hAnsi="Times New Roman"/>
                <w:b/>
                <w:i/>
                <w:szCs w:val="17"/>
              </w:rPr>
            </w:pPr>
            <w:r w:rsidRPr="00BF0D59">
              <w:rPr>
                <w:rFonts w:ascii="Times New Roman" w:hAnsi="Times New Roman"/>
                <w:b/>
                <w:i/>
                <w:szCs w:val="17"/>
              </w:rPr>
              <w:t>Short protection via CDS index</w:t>
            </w:r>
          </w:p>
          <w:p w:rsidR="00FD1D50" w:rsidRPr="00BF0D59" w:rsidRDefault="00FD1D50" w:rsidP="00FD1D50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BF0D59">
              <w:rPr>
                <w:rFonts w:ascii="Times New Roman" w:hAnsi="Times New Roman"/>
                <w:szCs w:val="17"/>
              </w:rPr>
              <w:t xml:space="preserve">Short EUR 5 million notional  </w:t>
            </w:r>
            <w:proofErr w:type="spellStart"/>
            <w:r w:rsidRPr="00BF0D59">
              <w:rPr>
                <w:rFonts w:ascii="Times New Roman" w:hAnsi="Times New Roman"/>
                <w:szCs w:val="17"/>
              </w:rPr>
              <w:t>iTraxx</w:t>
            </w:r>
            <w:proofErr w:type="spellEnd"/>
            <w:r w:rsidRPr="00BF0D59">
              <w:rPr>
                <w:rFonts w:ascii="Times New Roman" w:hAnsi="Times New Roman"/>
                <w:szCs w:val="17"/>
              </w:rPr>
              <w:t xml:space="preserve"> 5-year Europe </w:t>
            </w:r>
            <w:r w:rsidRPr="00D76A4E">
              <w:rPr>
                <w:rFonts w:ascii="Times New Roman" w:hAnsi="Times New Roman"/>
                <w:szCs w:val="17"/>
              </w:rPr>
              <w:t>SF</w:t>
            </w:r>
            <w:r>
              <w:rPr>
                <w:rFonts w:ascii="Times New Roman" w:hAnsi="Times New Roman"/>
                <w:szCs w:val="17"/>
              </w:rPr>
              <w:t xml:space="preserve"> </w:t>
            </w:r>
            <w:r w:rsidRPr="00BF0D59">
              <w:rPr>
                <w:rFonts w:ascii="Times New Roman" w:hAnsi="Times New Roman"/>
                <w:szCs w:val="17"/>
              </w:rPr>
              <w:t xml:space="preserve">index </w:t>
            </w:r>
            <w:r>
              <w:rPr>
                <w:rFonts w:ascii="Times New Roman" w:hAnsi="Times New Roman"/>
                <w:szCs w:val="17"/>
              </w:rPr>
              <w:t>,on-the-run Series,</w:t>
            </w:r>
          </w:p>
          <w:p w:rsidR="00FD1D50" w:rsidRPr="00BF0D59" w:rsidRDefault="00FD1D50" w:rsidP="00FD1D50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BF0D59">
              <w:rPr>
                <w:rFonts w:ascii="Times New Roman" w:hAnsi="Times New Roman"/>
                <w:szCs w:val="17"/>
              </w:rPr>
              <w:t>Short EUR 5 million notional (equally weighted</w:t>
            </w:r>
            <w:r w:rsidR="004F2C75" w:rsidRPr="00BF0D59">
              <w:rPr>
                <w:rFonts w:ascii="Times New Roman" w:hAnsi="Times New Roman"/>
                <w:i/>
                <w:iCs/>
                <w:szCs w:val="17"/>
                <w:vertAlign w:val="superscript"/>
              </w:rPr>
              <w:t>*</w:t>
            </w:r>
            <w:r w:rsidRPr="00BF0D59">
              <w:rPr>
                <w:rFonts w:ascii="Times New Roman" w:hAnsi="Times New Roman"/>
                <w:szCs w:val="17"/>
              </w:rPr>
              <w:t xml:space="preserve">) on the following five financials belonging to the </w:t>
            </w:r>
            <w:proofErr w:type="spellStart"/>
            <w:r w:rsidRPr="00BF0D59">
              <w:rPr>
                <w:rFonts w:ascii="Times New Roman" w:hAnsi="Times New Roman"/>
                <w:szCs w:val="17"/>
              </w:rPr>
              <w:t>iTraxx</w:t>
            </w:r>
            <w:proofErr w:type="spellEnd"/>
            <w:r w:rsidRPr="00BF0D59">
              <w:rPr>
                <w:rFonts w:ascii="Times New Roman" w:hAnsi="Times New Roman"/>
                <w:szCs w:val="17"/>
              </w:rPr>
              <w:t xml:space="preserve"> 5-year Europe </w:t>
            </w:r>
            <w:r w:rsidRPr="00D76A4E">
              <w:rPr>
                <w:rFonts w:ascii="Times New Roman" w:hAnsi="Times New Roman"/>
                <w:szCs w:val="17"/>
              </w:rPr>
              <w:t>SF</w:t>
            </w:r>
            <w:r>
              <w:rPr>
                <w:rFonts w:ascii="Times New Roman" w:hAnsi="Times New Roman"/>
                <w:szCs w:val="17"/>
              </w:rPr>
              <w:t xml:space="preserve"> </w:t>
            </w:r>
            <w:r w:rsidRPr="00BF0D59">
              <w:rPr>
                <w:rFonts w:ascii="Times New Roman" w:hAnsi="Times New Roman"/>
                <w:szCs w:val="17"/>
              </w:rPr>
              <w:t xml:space="preserve">index </w:t>
            </w:r>
            <w:r>
              <w:rPr>
                <w:rFonts w:ascii="Times New Roman" w:hAnsi="Times New Roman"/>
                <w:szCs w:val="17"/>
              </w:rPr>
              <w:t>,on</w:t>
            </w:r>
            <w:r w:rsidR="00540B9F">
              <w:rPr>
                <w:rFonts w:ascii="Times New Roman" w:hAnsi="Times New Roman"/>
                <w:szCs w:val="17"/>
              </w:rPr>
              <w:t>-</w:t>
            </w:r>
            <w:r>
              <w:rPr>
                <w:rFonts w:ascii="Times New Roman" w:hAnsi="Times New Roman"/>
                <w:szCs w:val="17"/>
              </w:rPr>
              <w:t>the</w:t>
            </w:r>
            <w:r w:rsidR="00540B9F">
              <w:rPr>
                <w:rFonts w:ascii="Times New Roman" w:hAnsi="Times New Roman"/>
                <w:szCs w:val="17"/>
              </w:rPr>
              <w:t>-</w:t>
            </w:r>
            <w:r>
              <w:rPr>
                <w:rFonts w:ascii="Times New Roman" w:hAnsi="Times New Roman"/>
                <w:szCs w:val="17"/>
              </w:rPr>
              <w:t>run</w:t>
            </w:r>
            <w:r w:rsidR="00540B9F">
              <w:rPr>
                <w:rFonts w:ascii="Times New Roman" w:hAnsi="Times New Roman"/>
                <w:szCs w:val="17"/>
              </w:rPr>
              <w:t xml:space="preserve"> </w:t>
            </w:r>
            <w:r>
              <w:rPr>
                <w:rFonts w:ascii="Times New Roman" w:hAnsi="Times New Roman"/>
                <w:szCs w:val="17"/>
              </w:rPr>
              <w:t>Series,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15"/>
              <w:gridCol w:w="849"/>
              <w:gridCol w:w="730"/>
            </w:tblGrid>
            <w:tr w:rsidR="00FD1D50" w:rsidRPr="00BF0D59" w:rsidTr="00D00F58">
              <w:tc>
                <w:tcPr>
                  <w:tcW w:w="1115" w:type="dxa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Column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CDS name</w:t>
                  </w:r>
                </w:p>
              </w:tc>
              <w:tc>
                <w:tcPr>
                  <w:tcW w:w="849" w:type="dxa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Column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Currency</w:t>
                  </w:r>
                </w:p>
              </w:tc>
              <w:tc>
                <w:tcPr>
                  <w:tcW w:w="730" w:type="dxa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Column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Doc clause</w:t>
                  </w:r>
                </w:p>
              </w:tc>
            </w:tr>
            <w:tr w:rsidR="00FD1D50" w:rsidRPr="00BF0D59" w:rsidTr="00D00F58">
              <w:tc>
                <w:tcPr>
                  <w:tcW w:w="1115" w:type="dxa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BD4068" w:rsidRDefault="00FD1D5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  <w:lang w:val="fr-FR"/>
                    </w:rPr>
                  </w:pPr>
                  <w:r w:rsidRPr="00BD4068">
                    <w:rPr>
                      <w:rFonts w:ascii="Times New Roman" w:hAnsi="Times New Roman"/>
                      <w:i/>
                      <w:szCs w:val="17"/>
                      <w:lang w:val="fr-FR"/>
                    </w:rPr>
                    <w:t>Allianz SE CDS EUR SR 5Y</w:t>
                  </w:r>
                </w:p>
              </w:tc>
              <w:tc>
                <w:tcPr>
                  <w:tcW w:w="849" w:type="dxa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  <w:tc>
                <w:tcPr>
                  <w:tcW w:w="730" w:type="dxa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MM</w:t>
                  </w:r>
                </w:p>
              </w:tc>
            </w:tr>
            <w:tr w:rsidR="00FD1D50" w:rsidRPr="00BF0D59" w:rsidTr="00D00F58">
              <w:tc>
                <w:tcPr>
                  <w:tcW w:w="1115" w:type="dxa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BD4068" w:rsidRDefault="00FD1D5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  <w:lang w:val="fr-FR"/>
                    </w:rPr>
                  </w:pPr>
                  <w:r w:rsidRPr="00BD4068">
                    <w:rPr>
                      <w:rFonts w:ascii="Times New Roman" w:hAnsi="Times New Roman"/>
                      <w:i/>
                      <w:szCs w:val="17"/>
                      <w:lang w:val="fr-FR"/>
                    </w:rPr>
                    <w:t>AXA CDS EUR SR 5Y</w:t>
                  </w:r>
                </w:p>
              </w:tc>
              <w:tc>
                <w:tcPr>
                  <w:tcW w:w="849" w:type="dxa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  <w:tc>
                <w:tcPr>
                  <w:tcW w:w="730" w:type="dxa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MM</w:t>
                  </w:r>
                </w:p>
              </w:tc>
            </w:tr>
            <w:tr w:rsidR="00FD1D50" w:rsidRPr="00BF0D59" w:rsidTr="00D00F58">
              <w:tc>
                <w:tcPr>
                  <w:tcW w:w="1115" w:type="dxa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5B5454" w:rsidRDefault="00FD1D5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  <w:lang w:val="es-ES_tradnl"/>
                    </w:rPr>
                  </w:pPr>
                  <w:r w:rsidRPr="005B5454">
                    <w:rPr>
                      <w:rFonts w:ascii="Times New Roman" w:hAnsi="Times New Roman"/>
                      <w:i/>
                      <w:szCs w:val="17"/>
                      <w:lang w:val="es-ES_tradnl"/>
                    </w:rPr>
                    <w:t xml:space="preserve">Generali </w:t>
                  </w:r>
                  <w:proofErr w:type="spellStart"/>
                  <w:r w:rsidRPr="005B5454">
                    <w:rPr>
                      <w:rFonts w:ascii="Times New Roman" w:hAnsi="Times New Roman"/>
                      <w:i/>
                      <w:sz w:val="16"/>
                      <w:szCs w:val="16"/>
                      <w:lang w:val="es-ES_tradnl"/>
                    </w:rPr>
                    <w:t>Assicurazioni</w:t>
                  </w:r>
                  <w:proofErr w:type="spellEnd"/>
                  <w:r w:rsidRPr="005B5454">
                    <w:rPr>
                      <w:rFonts w:ascii="Times New Roman" w:hAnsi="Times New Roman"/>
                      <w:i/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5B5454">
                    <w:rPr>
                      <w:rFonts w:ascii="Times New Roman" w:hAnsi="Times New Roman"/>
                      <w:i/>
                      <w:szCs w:val="17"/>
                      <w:lang w:val="es-ES_tradnl"/>
                    </w:rPr>
                    <w:t>CDS EUR SR 5Y</w:t>
                  </w:r>
                </w:p>
              </w:tc>
              <w:tc>
                <w:tcPr>
                  <w:tcW w:w="849" w:type="dxa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  <w:tc>
                <w:tcPr>
                  <w:tcW w:w="730" w:type="dxa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MM</w:t>
                  </w:r>
                </w:p>
              </w:tc>
            </w:tr>
            <w:tr w:rsidR="00FD1D50" w:rsidRPr="00BF0D59" w:rsidTr="00D00F58">
              <w:tc>
                <w:tcPr>
                  <w:tcW w:w="1115" w:type="dxa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BD4068" w:rsidRDefault="00FD1D5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  <w:lang w:val="fr-FR"/>
                    </w:rPr>
                  </w:pPr>
                  <w:r w:rsidRPr="00BD4068">
                    <w:rPr>
                      <w:rFonts w:ascii="Times New Roman" w:hAnsi="Times New Roman"/>
                      <w:i/>
                      <w:szCs w:val="17"/>
                      <w:lang w:val="fr-FR"/>
                    </w:rPr>
                    <w:t>AEGON N.V. CDS EUR SR 5Y</w:t>
                  </w:r>
                </w:p>
              </w:tc>
              <w:tc>
                <w:tcPr>
                  <w:tcW w:w="849" w:type="dxa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  <w:tc>
                <w:tcPr>
                  <w:tcW w:w="730" w:type="dxa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MM</w:t>
                  </w:r>
                </w:p>
              </w:tc>
            </w:tr>
            <w:tr w:rsidR="00FD1D50" w:rsidRPr="001043EE" w:rsidTr="00D00F58">
              <w:tc>
                <w:tcPr>
                  <w:tcW w:w="1115" w:type="dxa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BD4068" w:rsidRDefault="00FD1D5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  <w:lang w:val="fr-FR"/>
                    </w:rPr>
                  </w:pPr>
                  <w:r w:rsidRPr="00BD4068">
                    <w:rPr>
                      <w:rFonts w:ascii="Times New Roman" w:hAnsi="Times New Roman"/>
                      <w:i/>
                      <w:szCs w:val="17"/>
                      <w:lang w:val="fr-FR"/>
                    </w:rPr>
                    <w:t>Aviva Plc CDS EUR SR 5Y</w:t>
                  </w:r>
                </w:p>
              </w:tc>
              <w:tc>
                <w:tcPr>
                  <w:tcW w:w="849" w:type="dxa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  <w:tc>
                <w:tcPr>
                  <w:tcW w:w="730" w:type="dxa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MM</w:t>
                  </w:r>
                </w:p>
              </w:tc>
            </w:tr>
          </w:tbl>
          <w:p w:rsidR="00FD1D50" w:rsidRPr="00BF0D59" w:rsidRDefault="00FD1D50" w:rsidP="00FD1D50">
            <w:pPr>
              <w:rPr>
                <w:sz w:val="17"/>
                <w:szCs w:val="17"/>
                <w:lang w:val="en-GB"/>
              </w:rPr>
            </w:pPr>
            <w:r w:rsidRPr="00BF0D59">
              <w:rPr>
                <w:sz w:val="17"/>
                <w:szCs w:val="17"/>
                <w:lang w:val="en-GB"/>
              </w:rPr>
              <w:t>Effective date: 1</w:t>
            </w:r>
            <w:r w:rsidR="0052595F">
              <w:rPr>
                <w:sz w:val="17"/>
                <w:szCs w:val="17"/>
                <w:lang w:val="en-GB"/>
              </w:rPr>
              <w:t>2</w:t>
            </w:r>
            <w:r w:rsidRPr="00BF0D59">
              <w:rPr>
                <w:sz w:val="17"/>
                <w:szCs w:val="17"/>
                <w:lang w:val="en-GB"/>
              </w:rPr>
              <w:t xml:space="preserve"> October 201</w:t>
            </w:r>
            <w:r w:rsidR="0052595F">
              <w:rPr>
                <w:sz w:val="17"/>
                <w:szCs w:val="17"/>
                <w:lang w:val="en-GB"/>
              </w:rPr>
              <w:t>7</w:t>
            </w:r>
          </w:p>
          <w:p w:rsidR="00FD1D50" w:rsidRDefault="00FD1D50" w:rsidP="00FD1D50">
            <w:pPr>
              <w:rPr>
                <w:i/>
                <w:iCs/>
                <w:sz w:val="17"/>
                <w:szCs w:val="17"/>
                <w:lang w:val="en-GB"/>
              </w:rPr>
            </w:pPr>
            <w:r w:rsidRPr="00BF0D59">
              <w:rPr>
                <w:i/>
                <w:iCs/>
                <w:sz w:val="17"/>
                <w:szCs w:val="17"/>
                <w:vertAlign w:val="superscript"/>
                <w:lang w:val="en-GB"/>
              </w:rPr>
              <w:t>*</w:t>
            </w:r>
            <w:r w:rsidRPr="00BF0D59">
              <w:rPr>
                <w:i/>
                <w:iCs/>
                <w:sz w:val="17"/>
                <w:szCs w:val="17"/>
                <w:lang w:val="en-GB"/>
              </w:rPr>
              <w:t xml:space="preserve"> Each single name CDS </w:t>
            </w:r>
            <w:r w:rsidR="009C4E90">
              <w:rPr>
                <w:i/>
                <w:iCs/>
                <w:sz w:val="17"/>
                <w:szCs w:val="17"/>
                <w:lang w:val="en-GB"/>
              </w:rPr>
              <w:t>shall</w:t>
            </w:r>
            <w:r w:rsidRPr="00BF0D59">
              <w:rPr>
                <w:i/>
                <w:iCs/>
                <w:sz w:val="17"/>
                <w:szCs w:val="17"/>
                <w:lang w:val="en-GB"/>
              </w:rPr>
              <w:t xml:space="preserve"> have a notional of EUR</w:t>
            </w:r>
            <w:r>
              <w:rPr>
                <w:i/>
                <w:iCs/>
                <w:sz w:val="17"/>
                <w:szCs w:val="17"/>
                <w:lang w:val="en-GB"/>
              </w:rPr>
              <w:t xml:space="preserve"> 1</w:t>
            </w:r>
            <w:r w:rsidRPr="00BF0D59">
              <w:rPr>
                <w:i/>
                <w:iCs/>
                <w:sz w:val="17"/>
                <w:szCs w:val="17"/>
                <w:lang w:val="en-GB"/>
              </w:rPr>
              <w:t xml:space="preserve"> million.</w:t>
            </w:r>
          </w:p>
          <w:p w:rsidR="00230856" w:rsidRPr="00C5686E" w:rsidRDefault="00230856" w:rsidP="00BE62F6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,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IRC</w:t>
            </w:r>
          </w:p>
        </w:tc>
      </w:tr>
      <w:tr w:rsidR="00230856" w:rsidRPr="00C5686E" w:rsidTr="00B46BE4">
        <w:trPr>
          <w:trHeight w:val="4733"/>
        </w:trPr>
        <w:tc>
          <w:tcPr>
            <w:tcW w:w="771" w:type="pct"/>
          </w:tcPr>
          <w:p w:rsidR="00230856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lastRenderedPageBreak/>
              <w:t>20</w:t>
            </w:r>
          </w:p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Credit Spread</w:t>
            </w:r>
          </w:p>
        </w:tc>
        <w:tc>
          <w:tcPr>
            <w:tcW w:w="2290" w:type="pct"/>
          </w:tcPr>
          <w:p w:rsidR="00FD1D50" w:rsidRPr="00BF0D59" w:rsidRDefault="00FD1D50" w:rsidP="00FD1D50">
            <w:pPr>
              <w:pStyle w:val="TableCell"/>
              <w:tabs>
                <w:tab w:val="clear" w:pos="284"/>
              </w:tabs>
              <w:jc w:val="left"/>
              <w:rPr>
                <w:rFonts w:ascii="Times New Roman" w:hAnsi="Times New Roman"/>
                <w:b/>
                <w:szCs w:val="17"/>
              </w:rPr>
            </w:pPr>
            <w:r w:rsidRPr="00BF0D59">
              <w:rPr>
                <w:rFonts w:ascii="Times New Roman" w:hAnsi="Times New Roman"/>
                <w:b/>
                <w:szCs w:val="17"/>
              </w:rPr>
              <w:t xml:space="preserve">Diversified corporate portfolio </w:t>
            </w:r>
          </w:p>
          <w:p w:rsidR="00FD1D50" w:rsidRPr="00BF0D59" w:rsidRDefault="00FD1D50" w:rsidP="00FD1D50">
            <w:pPr>
              <w:pStyle w:val="TableText"/>
              <w:rPr>
                <w:rFonts w:ascii="Times New Roman" w:hAnsi="Times New Roman"/>
                <w:b/>
                <w:i/>
                <w:szCs w:val="17"/>
              </w:rPr>
            </w:pPr>
            <w:r w:rsidRPr="00BF0D59">
              <w:rPr>
                <w:rFonts w:ascii="Times New Roman" w:hAnsi="Times New Roman"/>
                <w:b/>
                <w:i/>
                <w:szCs w:val="17"/>
              </w:rPr>
              <w:t xml:space="preserve">Short protection via CDS on 10 </w:t>
            </w:r>
            <w:r>
              <w:rPr>
                <w:rFonts w:ascii="Times New Roman" w:hAnsi="Times New Roman"/>
                <w:b/>
                <w:i/>
                <w:szCs w:val="17"/>
              </w:rPr>
              <w:t xml:space="preserve">European </w:t>
            </w:r>
            <w:r w:rsidRPr="00BF0D59">
              <w:rPr>
                <w:rFonts w:ascii="Times New Roman" w:hAnsi="Times New Roman"/>
                <w:b/>
                <w:i/>
                <w:szCs w:val="17"/>
              </w:rPr>
              <w:t>corporate</w:t>
            </w:r>
            <w:r>
              <w:rPr>
                <w:rFonts w:ascii="Times New Roman" w:hAnsi="Times New Roman"/>
                <w:b/>
                <w:i/>
                <w:szCs w:val="17"/>
              </w:rPr>
              <w:t>s</w:t>
            </w:r>
          </w:p>
          <w:p w:rsidR="00FD1D50" w:rsidRPr="00BF0D59" w:rsidRDefault="00FD1D50" w:rsidP="00FD1D50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bCs/>
                <w:szCs w:val="17"/>
              </w:rPr>
            </w:pPr>
            <w:r w:rsidRPr="00BF0D59">
              <w:rPr>
                <w:rFonts w:ascii="Times New Roman" w:hAnsi="Times New Roman"/>
                <w:szCs w:val="17"/>
              </w:rPr>
              <w:t>Short EUR </w:t>
            </w:r>
            <w:r>
              <w:rPr>
                <w:rFonts w:ascii="Times New Roman" w:hAnsi="Times New Roman"/>
                <w:szCs w:val="17"/>
              </w:rPr>
              <w:t>1</w:t>
            </w:r>
            <w:r w:rsidRPr="00BF0D59">
              <w:rPr>
                <w:rFonts w:ascii="Times New Roman" w:hAnsi="Times New Roman"/>
                <w:szCs w:val="17"/>
              </w:rPr>
              <w:t xml:space="preserve"> million notional per single-name 5 year CDS (total EUR </w:t>
            </w:r>
            <w:r>
              <w:rPr>
                <w:rFonts w:ascii="Times New Roman" w:hAnsi="Times New Roman"/>
                <w:szCs w:val="17"/>
              </w:rPr>
              <w:t>1</w:t>
            </w:r>
            <w:r w:rsidRPr="00BF0D59">
              <w:rPr>
                <w:rFonts w:ascii="Times New Roman" w:hAnsi="Times New Roman"/>
                <w:szCs w:val="17"/>
              </w:rPr>
              <w:t>0 million notional) on the following 10 companies</w:t>
            </w:r>
            <w:r w:rsidR="00EA4DCD">
              <w:rPr>
                <w:rFonts w:ascii="Times New Roman" w:hAnsi="Times New Roman"/>
                <w:szCs w:val="17"/>
              </w:rPr>
              <w:t>.</w:t>
            </w:r>
            <w:r w:rsidRPr="00BF0D59">
              <w:rPr>
                <w:rFonts w:ascii="Times New Roman" w:hAnsi="Times New Roman"/>
                <w:szCs w:val="17"/>
              </w:rPr>
              <w:t xml:space="preserve"> </w:t>
            </w:r>
            <w:r w:rsidR="00EA4DCD">
              <w:rPr>
                <w:rFonts w:ascii="Times New Roman" w:hAnsi="Times New Roman"/>
                <w:szCs w:val="17"/>
              </w:rPr>
              <w:t xml:space="preserve"> Effective date: 12 October 2017</w:t>
            </w:r>
          </w:p>
          <w:tbl>
            <w:tblPr>
              <w:tblW w:w="2830" w:type="pct"/>
              <w:tblInd w:w="8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37"/>
              <w:gridCol w:w="849"/>
            </w:tblGrid>
            <w:tr w:rsidR="00FD1D50" w:rsidRPr="00BF0D59" w:rsidTr="00D00F58">
              <w:tc>
                <w:tcPr>
                  <w:tcW w:w="31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Column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Name</w:t>
                  </w:r>
                </w:p>
              </w:tc>
              <w:tc>
                <w:tcPr>
                  <w:tcW w:w="1857" w:type="pct"/>
                  <w:tcBorders>
                    <w:top w:val="single" w:sz="4" w:space="0" w:color="auto"/>
                    <w:left w:val="single" w:sz="4" w:space="0" w:color="BCBDBC"/>
                    <w:bottom w:val="single" w:sz="4" w:space="0" w:color="auto"/>
                    <w:right w:val="nil"/>
                  </w:tcBorders>
                </w:tcPr>
                <w:p w:rsidR="00FD1D50" w:rsidRPr="00BF0D59" w:rsidRDefault="00FD1D50" w:rsidP="00EA4DCD">
                  <w:pPr>
                    <w:pStyle w:val="TableColumn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Currency</w:t>
                  </w:r>
                </w:p>
              </w:tc>
            </w:tr>
            <w:tr w:rsidR="00FD1D50" w:rsidRPr="00BF0D59" w:rsidTr="00D00F58">
              <w:tc>
                <w:tcPr>
                  <w:tcW w:w="3143" w:type="pct"/>
                  <w:tcBorders>
                    <w:top w:val="single" w:sz="4" w:space="0" w:color="auto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i/>
                      <w:szCs w:val="17"/>
                    </w:rPr>
                    <w:t>Total SA</w:t>
                  </w:r>
                </w:p>
              </w:tc>
              <w:tc>
                <w:tcPr>
                  <w:tcW w:w="1857" w:type="pct"/>
                  <w:tcBorders>
                    <w:top w:val="single" w:sz="4" w:space="0" w:color="auto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</w:tr>
            <w:tr w:rsidR="00FD1D50" w:rsidRPr="00BF0D59" w:rsidTr="00D00F58">
              <w:tc>
                <w:tcPr>
                  <w:tcW w:w="3143" w:type="pct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i/>
                      <w:szCs w:val="17"/>
                    </w:rPr>
                    <w:t>Telefonica SA</w:t>
                  </w:r>
                </w:p>
              </w:tc>
              <w:tc>
                <w:tcPr>
                  <w:tcW w:w="1857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</w:tr>
            <w:tr w:rsidR="00FD1D50" w:rsidRPr="00BF0D59" w:rsidTr="00D00F58">
              <w:tc>
                <w:tcPr>
                  <w:tcW w:w="3143" w:type="pct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i/>
                      <w:szCs w:val="17"/>
                    </w:rPr>
                    <w:t>Siemens</w:t>
                  </w:r>
                </w:p>
              </w:tc>
              <w:tc>
                <w:tcPr>
                  <w:tcW w:w="1857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</w:tr>
            <w:tr w:rsidR="00FD1D50" w:rsidRPr="00BF0D59" w:rsidTr="00D00F58">
              <w:tc>
                <w:tcPr>
                  <w:tcW w:w="3143" w:type="pct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i/>
                      <w:szCs w:val="17"/>
                    </w:rPr>
                    <w:t>Royal Dutch Shell</w:t>
                  </w:r>
                </w:p>
              </w:tc>
              <w:tc>
                <w:tcPr>
                  <w:tcW w:w="1857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</w:tr>
            <w:tr w:rsidR="00FD1D50" w:rsidRPr="00BF0D59" w:rsidTr="00D00F58">
              <w:tc>
                <w:tcPr>
                  <w:tcW w:w="3143" w:type="pct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i/>
                      <w:szCs w:val="17"/>
                    </w:rPr>
                    <w:t>Unilever</w:t>
                  </w:r>
                </w:p>
              </w:tc>
              <w:tc>
                <w:tcPr>
                  <w:tcW w:w="1857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</w:tr>
            <w:tr w:rsidR="00FD1D50" w:rsidRPr="00BF0D59" w:rsidTr="00D00F58">
              <w:tc>
                <w:tcPr>
                  <w:tcW w:w="3143" w:type="pct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i/>
                      <w:szCs w:val="17"/>
                    </w:rPr>
                    <w:t>Airbus Group</w:t>
                  </w:r>
                </w:p>
              </w:tc>
              <w:tc>
                <w:tcPr>
                  <w:tcW w:w="1857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</w:tr>
            <w:tr w:rsidR="00FD1D50" w:rsidRPr="00BF0D59" w:rsidTr="00D00F58">
              <w:tc>
                <w:tcPr>
                  <w:tcW w:w="3143" w:type="pct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i/>
                      <w:szCs w:val="17"/>
                    </w:rPr>
                    <w:t>Bayer AG</w:t>
                  </w:r>
                </w:p>
              </w:tc>
              <w:tc>
                <w:tcPr>
                  <w:tcW w:w="1857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</w:tr>
            <w:tr w:rsidR="00FD1D50" w:rsidRPr="00BF0D59" w:rsidTr="00D00F58">
              <w:tc>
                <w:tcPr>
                  <w:tcW w:w="3143" w:type="pct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i/>
                      <w:szCs w:val="17"/>
                    </w:rPr>
                    <w:t>Vodafone</w:t>
                  </w:r>
                </w:p>
              </w:tc>
              <w:tc>
                <w:tcPr>
                  <w:tcW w:w="1857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</w:tr>
            <w:tr w:rsidR="00FD1D50" w:rsidRPr="00BF0D59" w:rsidTr="00D00F58">
              <w:tc>
                <w:tcPr>
                  <w:tcW w:w="3143" w:type="pct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i/>
                      <w:szCs w:val="17"/>
                    </w:rPr>
                    <w:t xml:space="preserve">Enel </w:t>
                  </w:r>
                  <w:proofErr w:type="spellStart"/>
                  <w:r>
                    <w:rPr>
                      <w:rFonts w:ascii="Times New Roman" w:hAnsi="Times New Roman"/>
                      <w:i/>
                      <w:szCs w:val="17"/>
                    </w:rPr>
                    <w:t>SpA</w:t>
                  </w:r>
                  <w:proofErr w:type="spellEnd"/>
                </w:p>
              </w:tc>
              <w:tc>
                <w:tcPr>
                  <w:tcW w:w="1857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</w:tr>
            <w:tr w:rsidR="00FD1D50" w:rsidRPr="00BF0D59" w:rsidTr="00D00F58">
              <w:tc>
                <w:tcPr>
                  <w:tcW w:w="3143" w:type="pct"/>
                  <w:tcBorders>
                    <w:top w:val="single" w:sz="4" w:space="0" w:color="BCBDBC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FD1D50" w:rsidRPr="00BF0D59" w:rsidRDefault="00FD1D5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i/>
                      <w:szCs w:val="17"/>
                    </w:rPr>
                    <w:t>Roche</w:t>
                  </w:r>
                  <w:r w:rsidR="00FA587D">
                    <w:rPr>
                      <w:rFonts w:ascii="Times New Roman" w:hAnsi="Times New Roman"/>
                      <w:i/>
                      <w:szCs w:val="17"/>
                    </w:rPr>
                    <w:t xml:space="preserve"> Holdings Inc.</w:t>
                  </w:r>
                </w:p>
              </w:tc>
              <w:tc>
                <w:tcPr>
                  <w:tcW w:w="1857" w:type="pct"/>
                  <w:tcBorders>
                    <w:top w:val="single" w:sz="4" w:space="0" w:color="BCBDBC"/>
                    <w:left w:val="single" w:sz="4" w:space="0" w:color="BCBDBC"/>
                    <w:bottom w:val="single" w:sz="4" w:space="0" w:color="auto"/>
                    <w:right w:val="nil"/>
                  </w:tcBorders>
                </w:tcPr>
                <w:p w:rsidR="00FD1D50" w:rsidRPr="00BF0D59" w:rsidRDefault="00FD1D5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</w:tr>
          </w:tbl>
          <w:p w:rsidR="00230856" w:rsidRPr="00C5686E" w:rsidRDefault="00230856" w:rsidP="003650A8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,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IRC</w:t>
            </w:r>
          </w:p>
        </w:tc>
      </w:tr>
      <w:tr w:rsidR="00230856" w:rsidRPr="00C5686E" w:rsidTr="00B46BE4">
        <w:trPr>
          <w:trHeight w:val="123"/>
        </w:trPr>
        <w:tc>
          <w:tcPr>
            <w:tcW w:w="771" w:type="pct"/>
          </w:tcPr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90" w:type="pct"/>
          </w:tcPr>
          <w:p w:rsidR="00230856" w:rsidRPr="00C5686E" w:rsidRDefault="00230856" w:rsidP="0093404B">
            <w:pPr>
              <w:pStyle w:val="TableText"/>
              <w:rPr>
                <w:szCs w:val="17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355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21</w:t>
            </w:r>
          </w:p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Credit Spread</w:t>
            </w:r>
          </w:p>
        </w:tc>
        <w:tc>
          <w:tcPr>
            <w:tcW w:w="2290" w:type="pct"/>
          </w:tcPr>
          <w:p w:rsidR="00130C00" w:rsidRPr="00BF0D59" w:rsidRDefault="00130C00" w:rsidP="00130C00">
            <w:pPr>
              <w:pStyle w:val="TableCell"/>
              <w:tabs>
                <w:tab w:val="clear" w:pos="284"/>
              </w:tabs>
              <w:jc w:val="left"/>
              <w:rPr>
                <w:rFonts w:ascii="Times New Roman" w:hAnsi="Times New Roman"/>
                <w:b/>
                <w:szCs w:val="17"/>
              </w:rPr>
            </w:pPr>
            <w:r w:rsidRPr="00BF0D59">
              <w:rPr>
                <w:rFonts w:ascii="Times New Roman" w:hAnsi="Times New Roman"/>
                <w:b/>
                <w:szCs w:val="17"/>
              </w:rPr>
              <w:t>CDS bond basis</w:t>
            </w:r>
          </w:p>
          <w:p w:rsidR="00130C00" w:rsidRPr="00BF0D59" w:rsidRDefault="00130C00" w:rsidP="00130C00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BF0D59">
              <w:rPr>
                <w:rFonts w:ascii="Times New Roman" w:hAnsi="Times New Roman"/>
                <w:szCs w:val="17"/>
              </w:rPr>
              <w:t>Long bonds EUR </w:t>
            </w:r>
            <w:r w:rsidRPr="00521867">
              <w:rPr>
                <w:rFonts w:ascii="Times New Roman" w:hAnsi="Times New Roman"/>
                <w:szCs w:val="17"/>
              </w:rPr>
              <w:t>2</w:t>
            </w:r>
            <w:r w:rsidRPr="00BF0D59">
              <w:rPr>
                <w:rFonts w:ascii="Times New Roman" w:hAnsi="Times New Roman"/>
                <w:szCs w:val="17"/>
              </w:rPr>
              <w:t xml:space="preserve"> million per single-name 5 year bonds on </w:t>
            </w:r>
            <w:r w:rsidRPr="00BD4068">
              <w:rPr>
                <w:rFonts w:ascii="Times New Roman" w:hAnsi="Times New Roman"/>
                <w:szCs w:val="17"/>
              </w:rPr>
              <w:t>3</w:t>
            </w:r>
            <w:r w:rsidRPr="00BF0D59">
              <w:rPr>
                <w:rFonts w:ascii="Times New Roman" w:hAnsi="Times New Roman"/>
                <w:szCs w:val="17"/>
              </w:rPr>
              <w:t xml:space="preserve"> </w:t>
            </w:r>
            <w:r>
              <w:rPr>
                <w:rFonts w:ascii="Times New Roman" w:hAnsi="Times New Roman"/>
                <w:szCs w:val="17"/>
              </w:rPr>
              <w:t>EU Corporates.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81"/>
              <w:gridCol w:w="2557"/>
            </w:tblGrid>
            <w:tr w:rsidR="00130C00" w:rsidRPr="001043EE" w:rsidTr="00D00F58">
              <w:trPr>
                <w:trHeight w:hRule="exact" w:val="170"/>
              </w:trPr>
              <w:tc>
                <w:tcPr>
                  <w:tcW w:w="41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30C00" w:rsidRPr="00BF0D59" w:rsidRDefault="00130C0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</w:p>
              </w:tc>
            </w:tr>
            <w:tr w:rsidR="00130C00" w:rsidRPr="00BF0D59" w:rsidTr="000B4E2B">
              <w:trPr>
                <w:trHeight w:val="457"/>
              </w:trPr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130C00" w:rsidRPr="00BF0D59" w:rsidRDefault="00130C00" w:rsidP="00EA4DCD">
                  <w:pPr>
                    <w:pStyle w:val="TableColumn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ISIN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BCBDBC"/>
                    <w:bottom w:val="single" w:sz="4" w:space="0" w:color="auto"/>
                    <w:right w:val="nil"/>
                  </w:tcBorders>
                </w:tcPr>
                <w:p w:rsidR="00130C00" w:rsidRPr="00BF0D59" w:rsidRDefault="00130C00" w:rsidP="00EA4DCD">
                  <w:pPr>
                    <w:pStyle w:val="TableColumn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Security name</w:t>
                  </w:r>
                </w:p>
              </w:tc>
            </w:tr>
            <w:tr w:rsidR="00130C00" w:rsidRPr="00BF0D59" w:rsidTr="00D00F58"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130C00" w:rsidRPr="0031490C" w:rsidRDefault="0031490C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szCs w:val="17"/>
                    </w:rPr>
                    <w:t>XS0452187916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130C00" w:rsidRPr="0031490C" w:rsidRDefault="00130C0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31490C">
                    <w:rPr>
                      <w:rFonts w:ascii="Times New Roman" w:hAnsi="Times New Roman"/>
                      <w:szCs w:val="17"/>
                    </w:rPr>
                    <w:t xml:space="preserve">ENEL SPA </w:t>
                  </w:r>
                  <w:r w:rsidR="0031490C">
                    <w:rPr>
                      <w:rFonts w:ascii="Times New Roman" w:hAnsi="Times New Roman"/>
                      <w:szCs w:val="17"/>
                    </w:rPr>
                    <w:t xml:space="preserve">5 </w:t>
                  </w:r>
                  <w:r w:rsidR="000B4E2B">
                    <w:rPr>
                      <w:rFonts w:ascii="Times New Roman" w:hAnsi="Times New Roman"/>
                      <w:szCs w:val="17"/>
                    </w:rPr>
                    <w:t xml:space="preserve"> </w:t>
                  </w:r>
                  <w:r w:rsidR="0031490C">
                    <w:rPr>
                      <w:rFonts w:ascii="Times New Roman" w:hAnsi="Times New Roman"/>
                      <w:szCs w:val="17"/>
                    </w:rPr>
                    <w:t>14 SEPT 2022</w:t>
                  </w:r>
                  <w:r w:rsidRPr="0031490C">
                    <w:rPr>
                      <w:rFonts w:ascii="Times New Roman" w:hAnsi="Times New Roman"/>
                      <w:szCs w:val="17"/>
                    </w:rPr>
                    <w:t xml:space="preserve"> </w:t>
                  </w:r>
                </w:p>
              </w:tc>
            </w:tr>
            <w:tr w:rsidR="00130C00" w:rsidRPr="00BF0D59" w:rsidTr="00D00F58">
              <w:tc>
                <w:tcPr>
                  <w:tcW w:w="1492" w:type="dxa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130C00" w:rsidRPr="0031490C" w:rsidRDefault="0031490C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szCs w:val="17"/>
                    </w:rPr>
                    <w:t>-XS0304458051</w:t>
                  </w:r>
                </w:p>
              </w:tc>
              <w:tc>
                <w:tcPr>
                  <w:tcW w:w="2633" w:type="dxa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130C00" w:rsidRPr="0031490C" w:rsidRDefault="00130C0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31490C">
                    <w:rPr>
                      <w:rFonts w:ascii="Times New Roman" w:hAnsi="Times New Roman"/>
                      <w:szCs w:val="17"/>
                    </w:rPr>
                    <w:t xml:space="preserve">VODAFONE GROUP PLC </w:t>
                  </w:r>
                  <w:r w:rsidR="0031490C">
                    <w:rPr>
                      <w:rFonts w:ascii="Times New Roman" w:hAnsi="Times New Roman"/>
                      <w:szCs w:val="17"/>
                    </w:rPr>
                    <w:t>5 3/8</w:t>
                  </w:r>
                  <w:r w:rsidR="000B4E2B">
                    <w:rPr>
                      <w:rFonts w:ascii="Times New Roman" w:hAnsi="Times New Roman"/>
                      <w:szCs w:val="17"/>
                    </w:rPr>
                    <w:t xml:space="preserve"> </w:t>
                  </w:r>
                  <w:r w:rsidR="0031490C">
                    <w:rPr>
                      <w:rFonts w:ascii="Times New Roman" w:hAnsi="Times New Roman"/>
                      <w:szCs w:val="17"/>
                    </w:rPr>
                    <w:t xml:space="preserve"> 6 JUNE 2022</w:t>
                  </w:r>
                </w:p>
              </w:tc>
            </w:tr>
            <w:tr w:rsidR="00130C00" w:rsidRPr="00BF0D59" w:rsidTr="00D00F58">
              <w:tc>
                <w:tcPr>
                  <w:tcW w:w="1492" w:type="dxa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130C00" w:rsidRPr="0031490C" w:rsidRDefault="0031490C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szCs w:val="17"/>
                    </w:rPr>
                    <w:t>FR0011655612</w:t>
                  </w:r>
                </w:p>
              </w:tc>
              <w:tc>
                <w:tcPr>
                  <w:tcW w:w="2633" w:type="dxa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130C00" w:rsidRPr="0031490C" w:rsidRDefault="00130C0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31490C">
                    <w:rPr>
                      <w:rFonts w:ascii="Times New Roman" w:hAnsi="Times New Roman"/>
                      <w:szCs w:val="17"/>
                    </w:rPr>
                    <w:t xml:space="preserve">AXA SA </w:t>
                  </w:r>
                  <w:r w:rsidRPr="0031490C">
                    <w:rPr>
                      <w:rFonts w:ascii="Times New Roman" w:hAnsi="Times New Roman"/>
                      <w:szCs w:val="17"/>
                    </w:rPr>
                    <w:br/>
                  </w:r>
                  <w:r w:rsidR="0031490C">
                    <w:rPr>
                      <w:rFonts w:ascii="Times New Roman" w:hAnsi="Times New Roman"/>
                      <w:szCs w:val="17"/>
                    </w:rPr>
                    <w:t xml:space="preserve">2 5/8 </w:t>
                  </w:r>
                  <w:r w:rsidR="000B4E2B">
                    <w:rPr>
                      <w:rFonts w:ascii="Times New Roman" w:hAnsi="Times New Roman"/>
                      <w:szCs w:val="17"/>
                    </w:rPr>
                    <w:t xml:space="preserve"> </w:t>
                  </w:r>
                  <w:r w:rsidR="0031490C">
                    <w:rPr>
                      <w:rFonts w:ascii="Times New Roman" w:hAnsi="Times New Roman"/>
                      <w:szCs w:val="17"/>
                    </w:rPr>
                    <w:t>19 JUNE 2022</w:t>
                  </w:r>
                </w:p>
              </w:tc>
            </w:tr>
            <w:tr w:rsidR="00130C00" w:rsidRPr="00BF0D59" w:rsidTr="00D00F58">
              <w:trPr>
                <w:trHeight w:hRule="exact" w:val="170"/>
              </w:trPr>
              <w:tc>
                <w:tcPr>
                  <w:tcW w:w="412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30C00" w:rsidRPr="00BF0D59" w:rsidRDefault="00130C0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</w:p>
              </w:tc>
            </w:tr>
          </w:tbl>
          <w:p w:rsidR="00130C00" w:rsidRPr="00BF0D59" w:rsidRDefault="00130C00" w:rsidP="00130C00">
            <w:pPr>
              <w:pStyle w:val="TableText"/>
              <w:numPr>
                <w:ilvl w:val="0"/>
                <w:numId w:val="9"/>
              </w:numPr>
              <w:ind w:left="318" w:hanging="284"/>
              <w:rPr>
                <w:rFonts w:ascii="Times New Roman" w:hAnsi="Times New Roman"/>
                <w:szCs w:val="17"/>
              </w:rPr>
            </w:pPr>
            <w:r w:rsidRPr="00BF0D59">
              <w:rPr>
                <w:rFonts w:ascii="Times New Roman" w:hAnsi="Times New Roman"/>
                <w:szCs w:val="17"/>
              </w:rPr>
              <w:t>Long protection via CDS on the same names (EUR</w:t>
            </w:r>
            <w:r>
              <w:rPr>
                <w:rFonts w:ascii="Times New Roman" w:hAnsi="Times New Roman"/>
                <w:szCs w:val="17"/>
              </w:rPr>
              <w:t xml:space="preserve"> </w:t>
            </w:r>
            <w:r w:rsidRPr="00521867">
              <w:rPr>
                <w:rFonts w:ascii="Times New Roman" w:hAnsi="Times New Roman"/>
                <w:szCs w:val="17"/>
              </w:rPr>
              <w:t>2</w:t>
            </w:r>
            <w:r w:rsidRPr="00BF0D59">
              <w:rPr>
                <w:rFonts w:ascii="Times New Roman" w:hAnsi="Times New Roman"/>
                <w:szCs w:val="17"/>
              </w:rPr>
              <w:t xml:space="preserve"> million per single-name 5 </w:t>
            </w:r>
            <w:proofErr w:type="gramStart"/>
            <w:r w:rsidRPr="00BF0D59">
              <w:rPr>
                <w:rFonts w:ascii="Times New Roman" w:hAnsi="Times New Roman"/>
                <w:szCs w:val="17"/>
              </w:rPr>
              <w:t>year</w:t>
            </w:r>
            <w:proofErr w:type="gramEnd"/>
            <w:r w:rsidRPr="00BF0D59">
              <w:rPr>
                <w:rFonts w:ascii="Times New Roman" w:hAnsi="Times New Roman"/>
                <w:szCs w:val="17"/>
              </w:rPr>
              <w:t>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09"/>
              <w:gridCol w:w="849"/>
              <w:gridCol w:w="967"/>
            </w:tblGrid>
            <w:tr w:rsidR="00130C00" w:rsidRPr="00BF0D59" w:rsidTr="000B4E2B">
              <w:trPr>
                <w:trHeight w:val="376"/>
              </w:trPr>
              <w:tc>
                <w:tcPr>
                  <w:tcW w:w="1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BCBDBC"/>
                  </w:tcBorders>
                </w:tcPr>
                <w:p w:rsidR="00130C00" w:rsidRPr="00BF0D59" w:rsidRDefault="00130C00" w:rsidP="00EA4DCD">
                  <w:pPr>
                    <w:pStyle w:val="TableColumn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Name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BCBDBC"/>
                    <w:bottom w:val="single" w:sz="4" w:space="0" w:color="auto"/>
                    <w:right w:val="nil"/>
                  </w:tcBorders>
                </w:tcPr>
                <w:p w:rsidR="00130C00" w:rsidRPr="00BF0D59" w:rsidRDefault="00130C00" w:rsidP="00EA4DCD">
                  <w:pPr>
                    <w:pStyle w:val="TableColumn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Currency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BCBDBC"/>
                    <w:bottom w:val="single" w:sz="4" w:space="0" w:color="auto"/>
                    <w:right w:val="nil"/>
                  </w:tcBorders>
                </w:tcPr>
                <w:p w:rsidR="00130C00" w:rsidRPr="00BF0D59" w:rsidRDefault="00130C00" w:rsidP="00EA4DCD">
                  <w:pPr>
                    <w:pStyle w:val="TableColumn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Doc clause</w:t>
                  </w:r>
                </w:p>
              </w:tc>
            </w:tr>
            <w:tr w:rsidR="00130C00" w:rsidRPr="00BF0D59" w:rsidTr="00D00F58">
              <w:tc>
                <w:tcPr>
                  <w:tcW w:w="1709" w:type="dxa"/>
                  <w:tcBorders>
                    <w:top w:val="single" w:sz="4" w:space="0" w:color="auto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130C00" w:rsidRPr="00BF0D59" w:rsidRDefault="00130C0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i/>
                      <w:szCs w:val="17"/>
                    </w:rPr>
                    <w:t xml:space="preserve">Enel </w:t>
                  </w:r>
                  <w:proofErr w:type="spellStart"/>
                  <w:r>
                    <w:rPr>
                      <w:rFonts w:ascii="Times New Roman" w:hAnsi="Times New Roman"/>
                      <w:i/>
                      <w:szCs w:val="17"/>
                    </w:rPr>
                    <w:t>SpA</w:t>
                  </w:r>
                  <w:proofErr w:type="spellEnd"/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130C00" w:rsidRPr="00BF0D59" w:rsidRDefault="00130C0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130C00" w:rsidRPr="00BF0D59" w:rsidRDefault="00130C0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M</w:t>
                  </w:r>
                  <w:r>
                    <w:rPr>
                      <w:rFonts w:ascii="Times New Roman" w:hAnsi="Times New Roman"/>
                      <w:szCs w:val="17"/>
                    </w:rPr>
                    <w:t>M</w:t>
                  </w:r>
                </w:p>
              </w:tc>
            </w:tr>
            <w:tr w:rsidR="00130C00" w:rsidRPr="00BF0D59" w:rsidTr="00D00F58">
              <w:tc>
                <w:tcPr>
                  <w:tcW w:w="1709" w:type="dxa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130C00" w:rsidRPr="00BF0D59" w:rsidRDefault="00130C0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i/>
                      <w:szCs w:val="17"/>
                    </w:rPr>
                    <w:t>Vodafone Group PLC</w:t>
                  </w:r>
                </w:p>
              </w:tc>
              <w:tc>
                <w:tcPr>
                  <w:tcW w:w="849" w:type="dxa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130C00" w:rsidRPr="00BF0D59" w:rsidRDefault="00130C0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  <w:tc>
                <w:tcPr>
                  <w:tcW w:w="967" w:type="dxa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130C00" w:rsidRPr="00BF0D59" w:rsidRDefault="00130C0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M</w:t>
                  </w:r>
                  <w:r>
                    <w:rPr>
                      <w:rFonts w:ascii="Times New Roman" w:hAnsi="Times New Roman"/>
                      <w:szCs w:val="17"/>
                    </w:rPr>
                    <w:t>M</w:t>
                  </w:r>
                </w:p>
              </w:tc>
            </w:tr>
            <w:tr w:rsidR="00130C00" w:rsidRPr="00BF0D59" w:rsidTr="00D00F58">
              <w:tc>
                <w:tcPr>
                  <w:tcW w:w="1709" w:type="dxa"/>
                  <w:tcBorders>
                    <w:top w:val="single" w:sz="4" w:space="0" w:color="BCBDBC"/>
                    <w:left w:val="nil"/>
                    <w:bottom w:val="single" w:sz="4" w:space="0" w:color="BCBDBC"/>
                    <w:right w:val="single" w:sz="4" w:space="0" w:color="BCBDBC"/>
                  </w:tcBorders>
                </w:tcPr>
                <w:p w:rsidR="00130C00" w:rsidRPr="00BF0D59" w:rsidRDefault="00130C00" w:rsidP="00EA4DCD">
                  <w:pPr>
                    <w:pStyle w:val="TableRowHeading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i/>
                      <w:szCs w:val="17"/>
                    </w:rPr>
                    <w:t>AXA</w:t>
                  </w:r>
                </w:p>
              </w:tc>
              <w:tc>
                <w:tcPr>
                  <w:tcW w:w="849" w:type="dxa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130C00" w:rsidRPr="00BF0D59" w:rsidRDefault="00130C0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EUR</w:t>
                  </w:r>
                </w:p>
              </w:tc>
              <w:tc>
                <w:tcPr>
                  <w:tcW w:w="967" w:type="dxa"/>
                  <w:tcBorders>
                    <w:top w:val="single" w:sz="4" w:space="0" w:color="BCBDBC"/>
                    <w:left w:val="single" w:sz="4" w:space="0" w:color="BCBDBC"/>
                    <w:bottom w:val="single" w:sz="4" w:space="0" w:color="BCBDBC"/>
                    <w:right w:val="nil"/>
                  </w:tcBorders>
                </w:tcPr>
                <w:p w:rsidR="00130C00" w:rsidRPr="00BF0D59" w:rsidRDefault="00130C00" w:rsidP="00EA4DCD">
                  <w:pPr>
                    <w:pStyle w:val="TableCell"/>
                    <w:framePr w:hSpace="141" w:wrap="around" w:vAnchor="page" w:hAnchor="margin" w:y="2304"/>
                    <w:rPr>
                      <w:rFonts w:ascii="Times New Roman" w:hAnsi="Times New Roman"/>
                      <w:szCs w:val="17"/>
                    </w:rPr>
                  </w:pPr>
                  <w:r w:rsidRPr="00BF0D59">
                    <w:rPr>
                      <w:rFonts w:ascii="Times New Roman" w:hAnsi="Times New Roman"/>
                      <w:szCs w:val="17"/>
                    </w:rPr>
                    <w:t>MM</w:t>
                  </w:r>
                </w:p>
              </w:tc>
            </w:tr>
          </w:tbl>
          <w:p w:rsidR="00230856" w:rsidRPr="00C5686E" w:rsidRDefault="00230856" w:rsidP="003650A8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,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IRC</w:t>
            </w:r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90" w:type="pct"/>
          </w:tcPr>
          <w:p w:rsidR="00130C00" w:rsidRPr="00C5686E" w:rsidRDefault="00130C00" w:rsidP="003650A8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355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90" w:type="pct"/>
          </w:tcPr>
          <w:p w:rsidR="00230856" w:rsidRPr="00C5686E" w:rsidRDefault="00230856" w:rsidP="003650A8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355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</w:tc>
      </w:tr>
      <w:tr w:rsidR="00D3709C" w:rsidRPr="00C5686E" w:rsidTr="00D3709C">
        <w:tc>
          <w:tcPr>
            <w:tcW w:w="5000" w:type="pct"/>
            <w:gridSpan w:val="4"/>
          </w:tcPr>
          <w:p w:rsidR="00D3709C" w:rsidRPr="00C5686E" w:rsidRDefault="00D3709C" w:rsidP="00380403">
            <w:pPr>
              <w:jc w:val="center"/>
              <w:rPr>
                <w:b/>
                <w:sz w:val="17"/>
                <w:szCs w:val="17"/>
                <w:lang w:val="en-GB"/>
              </w:rPr>
            </w:pPr>
            <w:r w:rsidRPr="00C5686E">
              <w:rPr>
                <w:b/>
                <w:sz w:val="17"/>
                <w:szCs w:val="17"/>
                <w:lang w:val="en-GB"/>
              </w:rPr>
              <w:t>All-in portfolios</w:t>
            </w:r>
          </w:p>
          <w:p w:rsidR="00095B1A" w:rsidRPr="00C5686E" w:rsidRDefault="00095B1A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</w:tc>
      </w:tr>
      <w:tr w:rsidR="00230856" w:rsidRPr="00C5686E" w:rsidTr="00B31C89">
        <w:trPr>
          <w:trHeight w:val="239"/>
        </w:trPr>
        <w:tc>
          <w:tcPr>
            <w:tcW w:w="771" w:type="pct"/>
          </w:tcPr>
          <w:p w:rsidR="00230856" w:rsidRPr="00C5686E" w:rsidRDefault="00230856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90" w:type="pct"/>
          </w:tcPr>
          <w:p w:rsidR="00230856" w:rsidRPr="00C5686E" w:rsidRDefault="00230856" w:rsidP="00130C00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355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</w:p>
        </w:tc>
      </w:tr>
      <w:tr w:rsidR="008D3DAE" w:rsidRPr="00C5686E" w:rsidTr="003650A8">
        <w:tc>
          <w:tcPr>
            <w:tcW w:w="771" w:type="pct"/>
          </w:tcPr>
          <w:p w:rsidR="008D3DAE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22</w:t>
            </w:r>
          </w:p>
        </w:tc>
        <w:tc>
          <w:tcPr>
            <w:tcW w:w="2290" w:type="pct"/>
          </w:tcPr>
          <w:p w:rsidR="008D3DAE" w:rsidRPr="00C5686E" w:rsidRDefault="008D3DAE" w:rsidP="008D3D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All-in portfolio (</w:t>
            </w:r>
            <w:r w:rsidR="00130C00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1</w:t>
            </w: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) </w:t>
            </w:r>
          </w:p>
          <w:p w:rsidR="008D3DAE" w:rsidRPr="00C5686E" w:rsidRDefault="000B747D" w:rsidP="000B747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A portfolio made of the p</w:t>
            </w:r>
            <w:r w:rsidR="008D3DAE" w:rsidRPr="00C5686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 xml:space="preserve">ortfolios </w:t>
            </w:r>
            <w:r w:rsidRPr="00C5686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 xml:space="preserve">in rows </w:t>
            </w:r>
            <w:r w:rsidR="008D3DAE" w:rsidRPr="00C5686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 xml:space="preserve">1 to </w:t>
            </w:r>
            <w:r w:rsidR="00CD1218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21</w:t>
            </w:r>
          </w:p>
        </w:tc>
        <w:tc>
          <w:tcPr>
            <w:tcW w:w="584" w:type="pct"/>
          </w:tcPr>
          <w:p w:rsidR="008D3DAE" w:rsidRPr="00C5686E" w:rsidRDefault="008D3DAE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8D3DAE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,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IRC</w:t>
            </w:r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23</w:t>
            </w:r>
          </w:p>
        </w:tc>
        <w:tc>
          <w:tcPr>
            <w:tcW w:w="2290" w:type="pct"/>
          </w:tcPr>
          <w:p w:rsidR="00230856" w:rsidRPr="00C5686E" w:rsidRDefault="008D3DAE" w:rsidP="003650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All-in </w:t>
            </w:r>
            <w:r w:rsidR="00130C00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Equity </w:t>
            </w: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portfolio (</w:t>
            </w:r>
            <w:r w:rsidR="00130C00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2</w:t>
            </w:r>
            <w:r w:rsidR="00230856"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) </w:t>
            </w:r>
          </w:p>
          <w:p w:rsidR="00230856" w:rsidRPr="00C5686E" w:rsidRDefault="000B747D" w:rsidP="000B747D">
            <w:pPr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A portfolio made of the e</w:t>
            </w:r>
            <w:r w:rsidR="00FF175E" w:rsidRPr="00C5686E">
              <w:rPr>
                <w:sz w:val="17"/>
                <w:szCs w:val="17"/>
                <w:lang w:val="en-GB"/>
              </w:rPr>
              <w:t xml:space="preserve">quity portfolios </w:t>
            </w:r>
            <w:r w:rsidRPr="00C5686E">
              <w:rPr>
                <w:sz w:val="17"/>
                <w:szCs w:val="17"/>
                <w:lang w:val="en-GB"/>
              </w:rPr>
              <w:t xml:space="preserve">in rows </w:t>
            </w:r>
            <w:r w:rsidR="00FF175E" w:rsidRPr="00C5686E">
              <w:rPr>
                <w:sz w:val="17"/>
                <w:szCs w:val="17"/>
                <w:lang w:val="en-GB"/>
              </w:rPr>
              <w:t>1</w:t>
            </w:r>
            <w:r w:rsidR="008D3DAE" w:rsidRPr="00C5686E">
              <w:rPr>
                <w:sz w:val="17"/>
                <w:szCs w:val="17"/>
                <w:lang w:val="en-GB"/>
              </w:rPr>
              <w:t xml:space="preserve"> to </w:t>
            </w:r>
            <w:r w:rsidR="00CD1218">
              <w:rPr>
                <w:sz w:val="17"/>
                <w:szCs w:val="17"/>
                <w:lang w:val="en-GB"/>
              </w:rPr>
              <w:t>6</w:t>
            </w: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24</w:t>
            </w:r>
          </w:p>
        </w:tc>
        <w:tc>
          <w:tcPr>
            <w:tcW w:w="2290" w:type="pct"/>
          </w:tcPr>
          <w:p w:rsidR="00230856" w:rsidRPr="00C5686E" w:rsidRDefault="008D3DAE" w:rsidP="003650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All-in </w:t>
            </w:r>
            <w:r w:rsidR="00130C00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IR </w:t>
            </w: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portfolio (</w:t>
            </w:r>
            <w:r w:rsidR="00130C00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3</w:t>
            </w:r>
            <w:r w:rsidR="00230856"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) </w:t>
            </w:r>
          </w:p>
          <w:p w:rsidR="00230856" w:rsidRPr="00C5686E" w:rsidRDefault="000B747D" w:rsidP="000B747D">
            <w:pPr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A portfolio made of the i</w:t>
            </w:r>
            <w:r w:rsidR="008D3DAE" w:rsidRPr="00C5686E">
              <w:rPr>
                <w:sz w:val="17"/>
                <w:szCs w:val="17"/>
                <w:lang w:val="en-GB"/>
              </w:rPr>
              <w:t xml:space="preserve">nterest rate portfolios </w:t>
            </w:r>
            <w:r w:rsidRPr="00C5686E">
              <w:rPr>
                <w:sz w:val="17"/>
                <w:szCs w:val="17"/>
                <w:lang w:val="en-GB"/>
              </w:rPr>
              <w:t xml:space="preserve">in rows </w:t>
            </w:r>
            <w:r w:rsidR="00CD1218">
              <w:rPr>
                <w:sz w:val="17"/>
                <w:szCs w:val="17"/>
                <w:lang w:val="en-GB"/>
              </w:rPr>
              <w:t>7</w:t>
            </w:r>
            <w:r w:rsidR="008D3DAE" w:rsidRPr="00C5686E">
              <w:rPr>
                <w:sz w:val="17"/>
                <w:szCs w:val="17"/>
                <w:lang w:val="en-GB"/>
              </w:rPr>
              <w:t xml:space="preserve"> to </w:t>
            </w:r>
            <w:r w:rsidR="00CD1218">
              <w:rPr>
                <w:sz w:val="17"/>
                <w:szCs w:val="17"/>
                <w:lang w:val="en-GB"/>
              </w:rPr>
              <w:t>9</w:t>
            </w: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</w:p>
        </w:tc>
      </w:tr>
      <w:tr w:rsidR="008D3DAE" w:rsidRPr="00C5686E" w:rsidTr="003650A8">
        <w:tc>
          <w:tcPr>
            <w:tcW w:w="771" w:type="pct"/>
          </w:tcPr>
          <w:p w:rsidR="008D3DAE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25</w:t>
            </w:r>
          </w:p>
        </w:tc>
        <w:tc>
          <w:tcPr>
            <w:tcW w:w="2290" w:type="pct"/>
          </w:tcPr>
          <w:p w:rsidR="008D3DAE" w:rsidRPr="00C5686E" w:rsidRDefault="008D3DAE" w:rsidP="008D3D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All-in </w:t>
            </w:r>
            <w:r w:rsidR="00130C00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FX </w:t>
            </w: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portfolio (</w:t>
            </w:r>
            <w:r w:rsidR="00130C00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4</w:t>
            </w: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) </w:t>
            </w:r>
          </w:p>
          <w:p w:rsidR="008D3DAE" w:rsidRPr="00C5686E" w:rsidRDefault="000B747D" w:rsidP="000B747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 xml:space="preserve">A portfolio made of the </w:t>
            </w:r>
            <w:r w:rsidR="008D3DAE" w:rsidRPr="00C5686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 xml:space="preserve">FX portfolios </w:t>
            </w:r>
            <w:r w:rsidRPr="00C5686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 xml:space="preserve">in rows </w:t>
            </w:r>
            <w:r w:rsidR="00CD1218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10</w:t>
            </w:r>
            <w:r w:rsidR="008D3DAE" w:rsidRPr="00C5686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 xml:space="preserve"> to </w:t>
            </w:r>
            <w:r w:rsidR="00CD1218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12</w:t>
            </w:r>
          </w:p>
        </w:tc>
        <w:tc>
          <w:tcPr>
            <w:tcW w:w="584" w:type="pct"/>
          </w:tcPr>
          <w:p w:rsidR="008D3DAE" w:rsidRPr="00C5686E" w:rsidRDefault="008D3DAE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8D3DAE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26</w:t>
            </w:r>
          </w:p>
        </w:tc>
        <w:tc>
          <w:tcPr>
            <w:tcW w:w="2290" w:type="pct"/>
          </w:tcPr>
          <w:p w:rsidR="00230856" w:rsidRPr="00C5686E" w:rsidRDefault="008D3DAE" w:rsidP="003650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All-in </w:t>
            </w:r>
            <w:r w:rsidR="00130C00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Commodity </w:t>
            </w: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portfolio (</w:t>
            </w:r>
            <w:r w:rsidR="00130C00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5</w:t>
            </w:r>
            <w:r w:rsidR="00230856"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) </w:t>
            </w:r>
          </w:p>
          <w:p w:rsidR="00230856" w:rsidRPr="00C5686E" w:rsidRDefault="000B747D" w:rsidP="000B747D">
            <w:pPr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A portfolio made of the c</w:t>
            </w:r>
            <w:r w:rsidR="00FF175E" w:rsidRPr="00C5686E">
              <w:rPr>
                <w:sz w:val="17"/>
                <w:szCs w:val="17"/>
                <w:lang w:val="en-GB"/>
              </w:rPr>
              <w:t xml:space="preserve">ommodity portfolios </w:t>
            </w:r>
            <w:r w:rsidRPr="00C5686E">
              <w:rPr>
                <w:sz w:val="17"/>
                <w:szCs w:val="17"/>
                <w:lang w:val="en-GB"/>
              </w:rPr>
              <w:t xml:space="preserve">in rows </w:t>
            </w:r>
            <w:r w:rsidR="00CD1218">
              <w:rPr>
                <w:sz w:val="17"/>
                <w:szCs w:val="17"/>
                <w:lang w:val="en-GB"/>
              </w:rPr>
              <w:t>13</w:t>
            </w:r>
            <w:r w:rsidR="00FF175E" w:rsidRPr="00C5686E">
              <w:rPr>
                <w:sz w:val="17"/>
                <w:szCs w:val="17"/>
                <w:lang w:val="en-GB"/>
              </w:rPr>
              <w:t xml:space="preserve"> and </w:t>
            </w:r>
            <w:r w:rsidR="00CD1218">
              <w:rPr>
                <w:sz w:val="17"/>
                <w:szCs w:val="17"/>
                <w:lang w:val="en-GB"/>
              </w:rPr>
              <w:t>14</w:t>
            </w: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</w:p>
        </w:tc>
      </w:tr>
      <w:tr w:rsidR="00230856" w:rsidRPr="00C5686E" w:rsidTr="003650A8">
        <w:tc>
          <w:tcPr>
            <w:tcW w:w="771" w:type="pct"/>
          </w:tcPr>
          <w:p w:rsidR="00230856" w:rsidRPr="00C5686E" w:rsidRDefault="00CD1218" w:rsidP="003650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27</w:t>
            </w:r>
          </w:p>
        </w:tc>
        <w:tc>
          <w:tcPr>
            <w:tcW w:w="2290" w:type="pct"/>
          </w:tcPr>
          <w:p w:rsidR="00230856" w:rsidRPr="00C5686E" w:rsidRDefault="008D3DAE" w:rsidP="003650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All-in </w:t>
            </w:r>
            <w:r w:rsidR="00130C00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Credit Spread </w:t>
            </w:r>
            <w:r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portfolio (</w:t>
            </w:r>
            <w:r w:rsidR="00130C00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>6</w:t>
            </w:r>
            <w:r w:rsidR="00230856" w:rsidRPr="00C5686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  <w:lang w:val="en-GB"/>
              </w:rPr>
              <w:t xml:space="preserve">) </w:t>
            </w:r>
          </w:p>
          <w:p w:rsidR="00230856" w:rsidRPr="00C5686E" w:rsidRDefault="000B747D" w:rsidP="000B747D">
            <w:pPr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 xml:space="preserve">A portfolio made of the </w:t>
            </w:r>
            <w:r w:rsidR="0066008D">
              <w:rPr>
                <w:sz w:val="17"/>
                <w:szCs w:val="17"/>
                <w:lang w:val="en-GB"/>
              </w:rPr>
              <w:t>c</w:t>
            </w:r>
            <w:r w:rsidR="00FF175E" w:rsidRPr="00C5686E">
              <w:rPr>
                <w:sz w:val="17"/>
                <w:szCs w:val="17"/>
                <w:lang w:val="en-GB"/>
              </w:rPr>
              <w:t xml:space="preserve">redit spread portfolios </w:t>
            </w:r>
            <w:r w:rsidRPr="00C5686E">
              <w:rPr>
                <w:sz w:val="17"/>
                <w:szCs w:val="17"/>
                <w:lang w:val="en-GB"/>
              </w:rPr>
              <w:t xml:space="preserve">in rows </w:t>
            </w:r>
            <w:r w:rsidR="00CD1218">
              <w:rPr>
                <w:sz w:val="17"/>
                <w:szCs w:val="17"/>
                <w:lang w:val="en-GB"/>
              </w:rPr>
              <w:t>15</w:t>
            </w:r>
            <w:r w:rsidR="008D3DAE" w:rsidRPr="00C5686E">
              <w:rPr>
                <w:sz w:val="17"/>
                <w:szCs w:val="17"/>
                <w:lang w:val="en-GB"/>
              </w:rPr>
              <w:t xml:space="preserve"> to</w:t>
            </w:r>
            <w:r w:rsidR="00FF175E" w:rsidRPr="00C5686E">
              <w:rPr>
                <w:sz w:val="17"/>
                <w:szCs w:val="17"/>
                <w:lang w:val="en-GB"/>
              </w:rPr>
              <w:t xml:space="preserve"> </w:t>
            </w:r>
            <w:r w:rsidR="00CD1218">
              <w:rPr>
                <w:sz w:val="17"/>
                <w:szCs w:val="17"/>
                <w:lang w:val="en-GB"/>
              </w:rPr>
              <w:t>21</w:t>
            </w:r>
          </w:p>
        </w:tc>
        <w:tc>
          <w:tcPr>
            <w:tcW w:w="584" w:type="pct"/>
          </w:tcPr>
          <w:p w:rsidR="00230856" w:rsidRPr="00C5686E" w:rsidRDefault="00230856" w:rsidP="00380403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230856" w:rsidRPr="00C5686E" w:rsidRDefault="00380403" w:rsidP="00380403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5686E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, </w:t>
            </w:r>
            <w:proofErr w:type="spellStart"/>
            <w:r w:rsidR="00C178BC" w:rsidRPr="00C5686E">
              <w:rPr>
                <w:sz w:val="17"/>
                <w:szCs w:val="17"/>
                <w:lang w:val="en-GB"/>
              </w:rPr>
              <w:t>sVaR</w:t>
            </w:r>
            <w:proofErr w:type="spellEnd"/>
            <w:r w:rsidRPr="00C5686E">
              <w:rPr>
                <w:sz w:val="17"/>
                <w:szCs w:val="17"/>
                <w:lang w:val="en-GB"/>
              </w:rPr>
              <w:t xml:space="preserve"> and IRC</w:t>
            </w:r>
          </w:p>
        </w:tc>
      </w:tr>
    </w:tbl>
    <w:p w:rsidR="00A11B36" w:rsidRPr="00C5686E" w:rsidRDefault="00A11B36">
      <w:pPr>
        <w:jc w:val="left"/>
        <w:rPr>
          <w:b/>
          <w:sz w:val="24"/>
          <w:szCs w:val="17"/>
          <w:lang w:val="en-GB" w:eastAsia="en-GB"/>
        </w:rPr>
      </w:pPr>
      <w:r w:rsidRPr="00C5686E">
        <w:rPr>
          <w:b/>
          <w:sz w:val="24"/>
          <w:szCs w:val="17"/>
          <w:lang w:val="en-GB" w:eastAsia="en-GB"/>
        </w:rPr>
        <w:br w:type="page"/>
      </w:r>
    </w:p>
    <w:p w:rsidR="000B4E2B" w:rsidRDefault="00E7511B" w:rsidP="00B46BE4">
      <w:pPr>
        <w:pStyle w:val="Heading1"/>
      </w:pPr>
      <w:bookmarkStart w:id="6" w:name="_Toc479077167"/>
      <w:r w:rsidRPr="00C5686E">
        <w:rPr>
          <w:rFonts w:ascii="Times New Roman" w:hAnsi="Times New Roman"/>
          <w:sz w:val="24"/>
          <w:szCs w:val="17"/>
          <w:u w:val="single"/>
          <w:lang w:val="en-GB" w:eastAsia="en-GB"/>
        </w:rPr>
        <w:lastRenderedPageBreak/>
        <w:t xml:space="preserve">Section 2: </w:t>
      </w:r>
      <w:r w:rsidR="00F50F08" w:rsidRPr="00C5686E">
        <w:rPr>
          <w:rFonts w:ascii="Times New Roman" w:hAnsi="Times New Roman"/>
          <w:sz w:val="24"/>
          <w:szCs w:val="17"/>
          <w:u w:val="single"/>
          <w:lang w:val="en-GB" w:eastAsia="en-GB"/>
        </w:rPr>
        <w:t>Details for portfolios</w:t>
      </w:r>
      <w:bookmarkStart w:id="7" w:name="_Toc377132895"/>
      <w:bookmarkStart w:id="8" w:name="_Toc378338277"/>
      <w:bookmarkStart w:id="9" w:name="_Toc378847976"/>
      <w:bookmarkEnd w:id="0"/>
      <w:bookmarkEnd w:id="1"/>
      <w:bookmarkEnd w:id="2"/>
      <w:bookmarkEnd w:id="6"/>
    </w:p>
    <w:p w:rsidR="009060F0" w:rsidRPr="00B46BE4" w:rsidRDefault="009060F0" w:rsidP="00B46BE4">
      <w:pPr>
        <w:pStyle w:val="Heading1"/>
        <w:rPr>
          <w:sz w:val="20"/>
        </w:rPr>
      </w:pPr>
      <w:bookmarkStart w:id="10" w:name="_Toc451345847"/>
      <w:bookmarkStart w:id="11" w:name="_Toc377132896"/>
      <w:bookmarkStart w:id="12" w:name="_Toc378338278"/>
      <w:bookmarkStart w:id="13" w:name="_Toc378847977"/>
      <w:bookmarkStart w:id="14" w:name="_Toc479077168"/>
      <w:bookmarkEnd w:id="7"/>
      <w:bookmarkEnd w:id="8"/>
      <w:bookmarkEnd w:id="9"/>
      <w:r w:rsidRPr="00B46BE4">
        <w:rPr>
          <w:sz w:val="20"/>
        </w:rPr>
        <w:t>2.</w:t>
      </w:r>
      <w:r w:rsidR="00C70649" w:rsidRPr="00B46BE4">
        <w:rPr>
          <w:sz w:val="20"/>
        </w:rPr>
        <w:t>1</w:t>
      </w:r>
      <w:r w:rsidRPr="00B46BE4">
        <w:rPr>
          <w:sz w:val="20"/>
        </w:rPr>
        <w:t xml:space="preserve"> </w:t>
      </w:r>
      <w:proofErr w:type="spellStart"/>
      <w:r w:rsidRPr="00B46BE4">
        <w:rPr>
          <w:sz w:val="20"/>
        </w:rPr>
        <w:t>Details</w:t>
      </w:r>
      <w:proofErr w:type="spellEnd"/>
      <w:r w:rsidR="000B4E2B">
        <w:rPr>
          <w:sz w:val="20"/>
        </w:rPr>
        <w:t xml:space="preserve"> </w:t>
      </w:r>
      <w:r w:rsidRPr="00B46BE4">
        <w:rPr>
          <w:sz w:val="20"/>
        </w:rPr>
        <w:t xml:space="preserve">for portfolio </w:t>
      </w:r>
      <w:r w:rsidR="00836B60" w:rsidRPr="00B46BE4">
        <w:rPr>
          <w:sz w:val="20"/>
        </w:rPr>
        <w:t>n</w:t>
      </w:r>
      <w:r w:rsidRPr="00B46BE4">
        <w:rPr>
          <w:sz w:val="20"/>
        </w:rPr>
        <w:t>.</w:t>
      </w:r>
      <w:r w:rsidR="00836B60" w:rsidRPr="00B46BE4">
        <w:rPr>
          <w:sz w:val="20"/>
        </w:rPr>
        <w:t xml:space="preserve"> </w:t>
      </w:r>
      <w:r w:rsidR="00C70649" w:rsidRPr="00B46BE4">
        <w:rPr>
          <w:sz w:val="20"/>
        </w:rPr>
        <w:t>11</w:t>
      </w:r>
      <w:r w:rsidRPr="00B46BE4">
        <w:rPr>
          <w:sz w:val="20"/>
        </w:rPr>
        <w:t>: Knock-out currency option</w:t>
      </w:r>
      <w:bookmarkEnd w:id="10"/>
      <w:bookmarkEnd w:id="14"/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>Trade date:</w:t>
      </w:r>
      <w:r w:rsidRPr="00BF0D59">
        <w:rPr>
          <w:rFonts w:ascii="Times New Roman" w:hAnsi="Times New Roman"/>
          <w:sz w:val="17"/>
          <w:szCs w:val="17"/>
        </w:rPr>
        <w:tab/>
        <w:t>1</w:t>
      </w:r>
      <w:r w:rsidR="00C70649">
        <w:rPr>
          <w:rFonts w:ascii="Times New Roman" w:hAnsi="Times New Roman"/>
          <w:sz w:val="17"/>
          <w:szCs w:val="17"/>
        </w:rPr>
        <w:t>2</w:t>
      </w:r>
      <w:r w:rsidRPr="00BF0D59">
        <w:rPr>
          <w:rFonts w:ascii="Times New Roman" w:hAnsi="Times New Roman"/>
          <w:sz w:val="17"/>
          <w:szCs w:val="17"/>
        </w:rPr>
        <w:t xml:space="preserve"> October</w:t>
      </w:r>
      <w:r w:rsidRPr="00BF0D59" w:rsidDel="005F6164">
        <w:rPr>
          <w:rFonts w:ascii="Times New Roman" w:hAnsi="Times New Roman"/>
          <w:sz w:val="17"/>
          <w:szCs w:val="17"/>
        </w:rPr>
        <w:t xml:space="preserve"> </w:t>
      </w:r>
      <w:r w:rsidRPr="00BF0D59">
        <w:rPr>
          <w:rFonts w:ascii="Times New Roman" w:hAnsi="Times New Roman"/>
          <w:sz w:val="17"/>
          <w:szCs w:val="17"/>
        </w:rPr>
        <w:t>201</w:t>
      </w:r>
      <w:r w:rsidR="00C70649">
        <w:rPr>
          <w:rFonts w:ascii="Times New Roman" w:hAnsi="Times New Roman"/>
          <w:sz w:val="17"/>
          <w:szCs w:val="17"/>
        </w:rPr>
        <w:t>7</w:t>
      </w:r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>Buyer:</w:t>
      </w:r>
      <w:r w:rsidRPr="00BF0D59">
        <w:rPr>
          <w:rFonts w:ascii="Times New Roman" w:hAnsi="Times New Roman"/>
          <w:sz w:val="17"/>
          <w:szCs w:val="17"/>
        </w:rPr>
        <w:tab/>
        <w:t>Participating institution (Party B)</w:t>
      </w:r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>Seller:</w:t>
      </w:r>
      <w:r w:rsidRPr="00BF0D59">
        <w:rPr>
          <w:rFonts w:ascii="Times New Roman" w:hAnsi="Times New Roman"/>
          <w:sz w:val="17"/>
          <w:szCs w:val="17"/>
        </w:rPr>
        <w:tab/>
        <w:t>Client (Party A)</w:t>
      </w:r>
    </w:p>
    <w:p w:rsidR="009060F0" w:rsidRPr="00BF0D59" w:rsidRDefault="009060F0" w:rsidP="009060F0">
      <w:pPr>
        <w:pStyle w:val="Paragraph"/>
        <w:rPr>
          <w:rFonts w:ascii="Times New Roman" w:hAnsi="Times New Roman"/>
          <w:sz w:val="17"/>
          <w:szCs w:val="17"/>
        </w:rPr>
      </w:pPr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Currency option style: </w:t>
      </w:r>
      <w:r w:rsidRPr="00BF0D59">
        <w:rPr>
          <w:rFonts w:ascii="Times New Roman" w:hAnsi="Times New Roman"/>
          <w:sz w:val="17"/>
          <w:szCs w:val="17"/>
        </w:rPr>
        <w:tab/>
        <w:t xml:space="preserve">European </w:t>
      </w:r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>Currency option type:</w:t>
      </w:r>
      <w:r w:rsidRPr="00BF0D59">
        <w:rPr>
          <w:rFonts w:ascii="Times New Roman" w:hAnsi="Times New Roman"/>
          <w:sz w:val="17"/>
          <w:szCs w:val="17"/>
        </w:rPr>
        <w:tab/>
        <w:t>EUR Call USD Put</w:t>
      </w:r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828" w:hanging="3828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>Call currency &amp; call currency amount:</w:t>
      </w:r>
      <w:r w:rsidRPr="00BF0D59">
        <w:rPr>
          <w:rFonts w:ascii="Times New Roman" w:hAnsi="Times New Roman"/>
          <w:sz w:val="17"/>
          <w:szCs w:val="17"/>
        </w:rPr>
        <w:tab/>
        <w:t>EUR 15,000,000.00</w:t>
      </w:r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>Put currency &amp; put currency amount:</w:t>
      </w:r>
      <w:r w:rsidRPr="00BF0D59">
        <w:rPr>
          <w:rFonts w:ascii="Times New Roman" w:hAnsi="Times New Roman"/>
          <w:sz w:val="17"/>
          <w:szCs w:val="17"/>
        </w:rPr>
        <w:tab/>
        <w:t xml:space="preserve">Equivalent amount of EUR 15,000,000.00 based on EUR/USD exchange rate on </w:t>
      </w:r>
      <w:r w:rsidR="00C70649" w:rsidRPr="00BF0D59">
        <w:rPr>
          <w:rFonts w:ascii="Times New Roman" w:hAnsi="Times New Roman"/>
          <w:sz w:val="17"/>
          <w:szCs w:val="17"/>
        </w:rPr>
        <w:t>1</w:t>
      </w:r>
      <w:r w:rsidR="00C70649">
        <w:rPr>
          <w:rFonts w:ascii="Times New Roman" w:hAnsi="Times New Roman"/>
          <w:sz w:val="17"/>
          <w:szCs w:val="17"/>
        </w:rPr>
        <w:t>2</w:t>
      </w:r>
      <w:r w:rsidR="00C70649" w:rsidRPr="00BF0D59">
        <w:rPr>
          <w:rFonts w:ascii="Times New Roman" w:hAnsi="Times New Roman"/>
          <w:sz w:val="17"/>
          <w:szCs w:val="17"/>
        </w:rPr>
        <w:t xml:space="preserve"> </w:t>
      </w:r>
      <w:r w:rsidRPr="00BF0D59">
        <w:rPr>
          <w:rFonts w:ascii="Times New Roman" w:hAnsi="Times New Roman"/>
          <w:sz w:val="17"/>
          <w:szCs w:val="17"/>
        </w:rPr>
        <w:t>October</w:t>
      </w:r>
      <w:r w:rsidRPr="00BF0D59" w:rsidDel="005F6164">
        <w:rPr>
          <w:rFonts w:ascii="Times New Roman" w:hAnsi="Times New Roman"/>
          <w:sz w:val="17"/>
          <w:szCs w:val="17"/>
        </w:rPr>
        <w:t xml:space="preserve"> </w:t>
      </w:r>
      <w:r w:rsidR="00C70649" w:rsidRPr="00BF0D59">
        <w:rPr>
          <w:rFonts w:ascii="Times New Roman" w:hAnsi="Times New Roman"/>
          <w:sz w:val="17"/>
          <w:szCs w:val="17"/>
        </w:rPr>
        <w:t>201</w:t>
      </w:r>
      <w:r w:rsidR="00C70649">
        <w:rPr>
          <w:rFonts w:ascii="Times New Roman" w:hAnsi="Times New Roman"/>
          <w:sz w:val="17"/>
          <w:szCs w:val="17"/>
        </w:rPr>
        <w:t>7</w:t>
      </w:r>
      <w:r w:rsidRPr="00BF0D59">
        <w:rPr>
          <w:rFonts w:ascii="Times New Roman" w:hAnsi="Times New Roman"/>
          <w:sz w:val="17"/>
          <w:szCs w:val="17"/>
        </w:rPr>
        <w:t xml:space="preserve">, New York </w:t>
      </w:r>
      <w:r w:rsidR="00F9049B">
        <w:rPr>
          <w:rFonts w:ascii="Times New Roman" w:hAnsi="Times New Roman"/>
          <w:sz w:val="17"/>
          <w:szCs w:val="17"/>
        </w:rPr>
        <w:t xml:space="preserve">USA </w:t>
      </w:r>
      <w:r w:rsidRPr="00BF0D59">
        <w:rPr>
          <w:rFonts w:ascii="Times New Roman" w:hAnsi="Times New Roman"/>
          <w:sz w:val="17"/>
          <w:szCs w:val="17"/>
        </w:rPr>
        <w:t>closing time</w:t>
      </w:r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>Strike price:</w:t>
      </w:r>
      <w:r w:rsidRPr="00BF0D59">
        <w:rPr>
          <w:rFonts w:ascii="Times New Roman" w:hAnsi="Times New Roman"/>
          <w:sz w:val="17"/>
          <w:szCs w:val="17"/>
        </w:rPr>
        <w:tab/>
        <w:t>EUR/USD exchange rate on 1</w:t>
      </w:r>
      <w:r w:rsidR="00C70649">
        <w:rPr>
          <w:rFonts w:ascii="Times New Roman" w:hAnsi="Times New Roman"/>
          <w:sz w:val="17"/>
          <w:szCs w:val="17"/>
        </w:rPr>
        <w:t>2</w:t>
      </w:r>
      <w:r w:rsidRPr="00BF0D59">
        <w:rPr>
          <w:rFonts w:ascii="Times New Roman" w:hAnsi="Times New Roman"/>
          <w:sz w:val="17"/>
          <w:szCs w:val="17"/>
        </w:rPr>
        <w:t xml:space="preserve"> October</w:t>
      </w:r>
      <w:r w:rsidRPr="00BF0D59" w:rsidDel="005F6164">
        <w:rPr>
          <w:rFonts w:ascii="Times New Roman" w:hAnsi="Times New Roman"/>
          <w:sz w:val="17"/>
          <w:szCs w:val="17"/>
        </w:rPr>
        <w:t xml:space="preserve"> </w:t>
      </w:r>
      <w:r w:rsidRPr="00BF0D59">
        <w:rPr>
          <w:rFonts w:ascii="Times New Roman" w:hAnsi="Times New Roman"/>
          <w:sz w:val="17"/>
          <w:szCs w:val="17"/>
        </w:rPr>
        <w:t>201</w:t>
      </w:r>
      <w:r w:rsidR="00C70649">
        <w:rPr>
          <w:rFonts w:ascii="Times New Roman" w:hAnsi="Times New Roman"/>
          <w:sz w:val="17"/>
          <w:szCs w:val="17"/>
        </w:rPr>
        <w:t>7</w:t>
      </w:r>
      <w:r w:rsidRPr="00BF0D59">
        <w:rPr>
          <w:rFonts w:ascii="Times New Roman" w:hAnsi="Times New Roman"/>
          <w:sz w:val="17"/>
          <w:szCs w:val="17"/>
        </w:rPr>
        <w:t>, New York</w:t>
      </w:r>
      <w:r w:rsidR="00F9049B">
        <w:rPr>
          <w:rFonts w:ascii="Times New Roman" w:hAnsi="Times New Roman"/>
          <w:sz w:val="17"/>
          <w:szCs w:val="17"/>
        </w:rPr>
        <w:t xml:space="preserve"> USA</w:t>
      </w:r>
      <w:r w:rsidRPr="00BF0D59">
        <w:rPr>
          <w:rFonts w:ascii="Times New Roman" w:hAnsi="Times New Roman"/>
          <w:sz w:val="17"/>
          <w:szCs w:val="17"/>
        </w:rPr>
        <w:t xml:space="preserve"> closing time</w:t>
      </w:r>
    </w:p>
    <w:p w:rsidR="009060F0" w:rsidRPr="00BF0D59" w:rsidRDefault="009060F0" w:rsidP="009060F0">
      <w:pPr>
        <w:pStyle w:val="Paragraph"/>
        <w:rPr>
          <w:rFonts w:ascii="Times New Roman" w:hAnsi="Times New Roman"/>
          <w:sz w:val="17"/>
          <w:szCs w:val="17"/>
        </w:rPr>
      </w:pPr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>Expiration date:</w:t>
      </w:r>
      <w:r w:rsidRPr="00BF0D59"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>1</w:t>
      </w:r>
      <w:r w:rsidR="00C70649">
        <w:rPr>
          <w:rFonts w:ascii="Times New Roman" w:hAnsi="Times New Roman"/>
          <w:sz w:val="17"/>
          <w:szCs w:val="17"/>
        </w:rPr>
        <w:t>2</w:t>
      </w:r>
      <w:r w:rsidRPr="00BF0D59">
        <w:rPr>
          <w:rFonts w:ascii="Times New Roman" w:hAnsi="Times New Roman"/>
          <w:sz w:val="17"/>
          <w:szCs w:val="17"/>
        </w:rPr>
        <w:t xml:space="preserve"> October</w:t>
      </w:r>
      <w:r w:rsidRPr="00BF0D59" w:rsidDel="005F6164">
        <w:rPr>
          <w:rFonts w:ascii="Times New Roman" w:hAnsi="Times New Roman"/>
          <w:sz w:val="17"/>
          <w:szCs w:val="17"/>
        </w:rPr>
        <w:t xml:space="preserve"> </w:t>
      </w:r>
      <w:r w:rsidRPr="00BF0D59">
        <w:rPr>
          <w:rFonts w:ascii="Times New Roman" w:hAnsi="Times New Roman"/>
          <w:sz w:val="17"/>
          <w:szCs w:val="17"/>
        </w:rPr>
        <w:t>201</w:t>
      </w:r>
      <w:r w:rsidR="00C70649">
        <w:rPr>
          <w:rFonts w:ascii="Times New Roman" w:hAnsi="Times New Roman"/>
          <w:sz w:val="17"/>
          <w:szCs w:val="17"/>
        </w:rPr>
        <w:t>8</w:t>
      </w:r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>Expiration time:</w:t>
      </w:r>
      <w:r w:rsidRPr="00BF0D59">
        <w:rPr>
          <w:rFonts w:ascii="Times New Roman" w:hAnsi="Times New Roman"/>
          <w:sz w:val="17"/>
          <w:szCs w:val="17"/>
        </w:rPr>
        <w:tab/>
        <w:t>10:00 a</w:t>
      </w:r>
      <w:r>
        <w:rPr>
          <w:rFonts w:ascii="Times New Roman" w:hAnsi="Times New Roman"/>
          <w:sz w:val="17"/>
          <w:szCs w:val="17"/>
        </w:rPr>
        <w:t>.</w:t>
      </w:r>
      <w:r w:rsidRPr="00BF0D59">
        <w:rPr>
          <w:rFonts w:ascii="Times New Roman" w:hAnsi="Times New Roman"/>
          <w:sz w:val="17"/>
          <w:szCs w:val="17"/>
        </w:rPr>
        <w:t>m. New York time</w:t>
      </w:r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Automatic exercise: </w:t>
      </w:r>
      <w:r w:rsidRPr="00BF0D59">
        <w:rPr>
          <w:rFonts w:ascii="Times New Roman" w:hAnsi="Times New Roman"/>
          <w:sz w:val="17"/>
          <w:szCs w:val="17"/>
        </w:rPr>
        <w:tab/>
        <w:t>Applicable</w:t>
      </w:r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>Settlement:</w:t>
      </w:r>
      <w:r w:rsidRPr="00BF0D59"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>Non-</w:t>
      </w:r>
      <w:r w:rsidRPr="00BF0D59">
        <w:rPr>
          <w:rFonts w:ascii="Times New Roman" w:hAnsi="Times New Roman"/>
          <w:sz w:val="17"/>
          <w:szCs w:val="17"/>
        </w:rPr>
        <w:t>Deliverable</w:t>
      </w:r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>Settlement date:</w:t>
      </w:r>
      <w:r w:rsidRPr="00BF0D59">
        <w:rPr>
          <w:rFonts w:ascii="Times New Roman" w:hAnsi="Times New Roman"/>
          <w:sz w:val="17"/>
          <w:szCs w:val="17"/>
        </w:rPr>
        <w:tab/>
      </w:r>
      <w:r w:rsidR="00C70649">
        <w:rPr>
          <w:rFonts w:ascii="Times New Roman" w:hAnsi="Times New Roman"/>
          <w:sz w:val="17"/>
          <w:szCs w:val="17"/>
        </w:rPr>
        <w:t>19</w:t>
      </w:r>
      <w:r w:rsidRPr="00BF0D59">
        <w:rPr>
          <w:rFonts w:ascii="Times New Roman" w:hAnsi="Times New Roman"/>
          <w:sz w:val="17"/>
          <w:szCs w:val="17"/>
        </w:rPr>
        <w:t xml:space="preserve"> October</w:t>
      </w:r>
      <w:r w:rsidRPr="00BF0D59" w:rsidDel="005F6164">
        <w:rPr>
          <w:rFonts w:ascii="Times New Roman" w:hAnsi="Times New Roman"/>
          <w:sz w:val="17"/>
          <w:szCs w:val="17"/>
        </w:rPr>
        <w:t xml:space="preserve"> </w:t>
      </w:r>
      <w:r w:rsidRPr="00BF0D59">
        <w:rPr>
          <w:rFonts w:ascii="Times New Roman" w:hAnsi="Times New Roman"/>
          <w:sz w:val="17"/>
          <w:szCs w:val="17"/>
        </w:rPr>
        <w:t>201</w:t>
      </w:r>
      <w:r w:rsidR="00C70649">
        <w:rPr>
          <w:rFonts w:ascii="Times New Roman" w:hAnsi="Times New Roman"/>
          <w:sz w:val="17"/>
          <w:szCs w:val="17"/>
        </w:rPr>
        <w:t>8</w:t>
      </w:r>
    </w:p>
    <w:p w:rsidR="009060F0" w:rsidRPr="00BF0D59" w:rsidRDefault="009060F0" w:rsidP="009060F0">
      <w:pPr>
        <w:pStyle w:val="Paragraph"/>
        <w:rPr>
          <w:rFonts w:ascii="Times New Roman" w:hAnsi="Times New Roman"/>
          <w:sz w:val="17"/>
          <w:szCs w:val="17"/>
        </w:rPr>
      </w:pPr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>Barrier event:</w:t>
      </w:r>
      <w:r w:rsidRPr="00BF0D59">
        <w:rPr>
          <w:rFonts w:ascii="Times New Roman" w:hAnsi="Times New Roman"/>
          <w:sz w:val="17"/>
          <w:szCs w:val="17"/>
        </w:rPr>
        <w:tab/>
        <w:t>Applicable</w:t>
      </w:r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>Event type:</w:t>
      </w:r>
      <w:r w:rsidRPr="00BF0D59">
        <w:rPr>
          <w:rFonts w:ascii="Times New Roman" w:hAnsi="Times New Roman"/>
          <w:sz w:val="17"/>
          <w:szCs w:val="17"/>
        </w:rPr>
        <w:tab/>
        <w:t>Knock-out</w:t>
      </w:r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Spot exchange rate direction: </w:t>
      </w:r>
      <w:r w:rsidRPr="00BF0D59">
        <w:rPr>
          <w:rFonts w:ascii="Times New Roman" w:hAnsi="Times New Roman"/>
          <w:sz w:val="17"/>
          <w:szCs w:val="17"/>
        </w:rPr>
        <w:tab/>
        <w:t>Greater than or equal to the barrier level</w:t>
      </w:r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Initial spot price: </w:t>
      </w:r>
      <w:r w:rsidRPr="00BF0D59">
        <w:rPr>
          <w:rFonts w:ascii="Times New Roman" w:hAnsi="Times New Roman"/>
          <w:sz w:val="17"/>
          <w:szCs w:val="17"/>
        </w:rPr>
        <w:tab/>
        <w:t>value of EUR/USD on 1</w:t>
      </w:r>
      <w:r w:rsidR="00C70649">
        <w:rPr>
          <w:rFonts w:ascii="Times New Roman" w:hAnsi="Times New Roman"/>
          <w:sz w:val="17"/>
          <w:szCs w:val="17"/>
        </w:rPr>
        <w:t>2</w:t>
      </w:r>
      <w:r w:rsidRPr="00BF0D59">
        <w:rPr>
          <w:rFonts w:ascii="Times New Roman" w:hAnsi="Times New Roman"/>
          <w:sz w:val="17"/>
          <w:szCs w:val="17"/>
        </w:rPr>
        <w:t xml:space="preserve"> October 201</w:t>
      </w:r>
      <w:r w:rsidR="00C70649">
        <w:rPr>
          <w:rFonts w:ascii="Times New Roman" w:hAnsi="Times New Roman"/>
          <w:sz w:val="17"/>
          <w:szCs w:val="17"/>
        </w:rPr>
        <w:t>7</w:t>
      </w:r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Barrier level: </w:t>
      </w:r>
      <w:r w:rsidRPr="00BF0D59"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>120% of the initial spot price (USD/EUR)</w:t>
      </w:r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Event period start date and time: </w:t>
      </w:r>
      <w:r w:rsidRPr="00BF0D59">
        <w:rPr>
          <w:rFonts w:ascii="Times New Roman" w:hAnsi="Times New Roman"/>
          <w:sz w:val="17"/>
          <w:szCs w:val="17"/>
        </w:rPr>
        <w:tab/>
        <w:t>Trade date at the time of execution hereof</w:t>
      </w:r>
    </w:p>
    <w:p w:rsidR="009060F0" w:rsidRPr="00BF0D59" w:rsidRDefault="009060F0" w:rsidP="009060F0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Event period end date and time: </w:t>
      </w:r>
      <w:r w:rsidRPr="00BF0D59">
        <w:rPr>
          <w:rFonts w:ascii="Times New Roman" w:hAnsi="Times New Roman"/>
          <w:sz w:val="17"/>
          <w:szCs w:val="17"/>
        </w:rPr>
        <w:tab/>
        <w:t>Expiration date at the Expiration Time</w:t>
      </w:r>
    </w:p>
    <w:bookmarkEnd w:id="11"/>
    <w:bookmarkEnd w:id="12"/>
    <w:bookmarkEnd w:id="13"/>
    <w:p w:rsidR="00F50F08" w:rsidRPr="00C5686E" w:rsidRDefault="00F50F08" w:rsidP="00F50F08">
      <w:pPr>
        <w:rPr>
          <w:sz w:val="17"/>
          <w:szCs w:val="17"/>
          <w:lang w:val="en-GB" w:eastAsia="en-GB"/>
        </w:rPr>
      </w:pPr>
      <w:r w:rsidRPr="00C5686E">
        <w:rPr>
          <w:sz w:val="17"/>
          <w:szCs w:val="17"/>
          <w:lang w:val="en-GB"/>
        </w:rPr>
        <w:br w:type="page"/>
      </w:r>
    </w:p>
    <w:p w:rsidR="000A09B3" w:rsidRPr="00B46BE4" w:rsidRDefault="000A09B3" w:rsidP="00B46BE4">
      <w:pPr>
        <w:pStyle w:val="Heading1"/>
        <w:rPr>
          <w:sz w:val="20"/>
        </w:rPr>
      </w:pPr>
      <w:bookmarkStart w:id="15" w:name="_Toc451345848"/>
      <w:bookmarkStart w:id="16" w:name="_Toc377132897"/>
      <w:bookmarkStart w:id="17" w:name="_Toc378338279"/>
      <w:bookmarkStart w:id="18" w:name="_Toc378847978"/>
      <w:bookmarkStart w:id="19" w:name="_Toc479077169"/>
      <w:r w:rsidRPr="00B46BE4">
        <w:rPr>
          <w:sz w:val="20"/>
        </w:rPr>
        <w:lastRenderedPageBreak/>
        <w:t>2.</w:t>
      </w:r>
      <w:r w:rsidR="003C1303" w:rsidRPr="00B46BE4">
        <w:rPr>
          <w:sz w:val="20"/>
        </w:rPr>
        <w:t>2</w:t>
      </w:r>
      <w:r w:rsidRPr="00B46BE4">
        <w:rPr>
          <w:sz w:val="20"/>
        </w:rPr>
        <w:t xml:space="preserve"> Details for portfolio </w:t>
      </w:r>
      <w:r w:rsidR="00836B60" w:rsidRPr="00B46BE4">
        <w:rPr>
          <w:sz w:val="20"/>
        </w:rPr>
        <w:t>n</w:t>
      </w:r>
      <w:r w:rsidRPr="00B46BE4">
        <w:rPr>
          <w:sz w:val="20"/>
        </w:rPr>
        <w:t>.</w:t>
      </w:r>
      <w:r w:rsidR="00836B60" w:rsidRPr="00B46BE4">
        <w:rPr>
          <w:sz w:val="20"/>
        </w:rPr>
        <w:t xml:space="preserve"> </w:t>
      </w:r>
      <w:r w:rsidR="003C1303" w:rsidRPr="00B46BE4">
        <w:rPr>
          <w:sz w:val="20"/>
        </w:rPr>
        <w:t>12</w:t>
      </w:r>
      <w:r w:rsidRPr="00B46BE4">
        <w:rPr>
          <w:sz w:val="20"/>
        </w:rPr>
        <w:t>: Double no touch binary currency option</w:t>
      </w:r>
      <w:bookmarkEnd w:id="15"/>
      <w:bookmarkEnd w:id="19"/>
    </w:p>
    <w:p w:rsidR="000A09B3" w:rsidRPr="00BF0D59" w:rsidRDefault="000A09B3" w:rsidP="000A09B3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>Trade Date:</w:t>
      </w:r>
      <w:r w:rsidRPr="00BF0D59">
        <w:rPr>
          <w:rFonts w:ascii="Times New Roman" w:hAnsi="Times New Roman"/>
          <w:sz w:val="17"/>
          <w:szCs w:val="17"/>
        </w:rPr>
        <w:tab/>
        <w:t>1</w:t>
      </w:r>
      <w:r w:rsidR="003C1303">
        <w:rPr>
          <w:rFonts w:ascii="Times New Roman" w:hAnsi="Times New Roman"/>
          <w:sz w:val="17"/>
          <w:szCs w:val="17"/>
        </w:rPr>
        <w:t>2</w:t>
      </w:r>
      <w:r w:rsidRPr="00BF0D59">
        <w:rPr>
          <w:rFonts w:ascii="Times New Roman" w:hAnsi="Times New Roman"/>
          <w:sz w:val="17"/>
          <w:szCs w:val="17"/>
        </w:rPr>
        <w:t xml:space="preserve"> October</w:t>
      </w:r>
      <w:r w:rsidRPr="00BF0D59" w:rsidDel="005F6164">
        <w:rPr>
          <w:rFonts w:ascii="Times New Roman" w:hAnsi="Times New Roman"/>
          <w:sz w:val="17"/>
          <w:szCs w:val="17"/>
        </w:rPr>
        <w:t xml:space="preserve"> </w:t>
      </w:r>
      <w:r w:rsidRPr="00BF0D59">
        <w:rPr>
          <w:rFonts w:ascii="Times New Roman" w:hAnsi="Times New Roman"/>
          <w:sz w:val="17"/>
          <w:szCs w:val="17"/>
        </w:rPr>
        <w:t>201</w:t>
      </w:r>
      <w:r w:rsidR="003C1303">
        <w:rPr>
          <w:rFonts w:ascii="Times New Roman" w:hAnsi="Times New Roman"/>
          <w:sz w:val="17"/>
          <w:szCs w:val="17"/>
        </w:rPr>
        <w:t>7</w:t>
      </w:r>
    </w:p>
    <w:p w:rsidR="000A09B3" w:rsidRPr="00BF0D59" w:rsidRDefault="000A09B3" w:rsidP="000A09B3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>Buyer:</w:t>
      </w:r>
      <w:r w:rsidRPr="00BF0D59">
        <w:rPr>
          <w:rFonts w:ascii="Times New Roman" w:hAnsi="Times New Roman"/>
          <w:sz w:val="17"/>
          <w:szCs w:val="17"/>
        </w:rPr>
        <w:tab/>
        <w:t>Participating institution (Party B)</w:t>
      </w:r>
    </w:p>
    <w:p w:rsidR="000A09B3" w:rsidRPr="00BF0D59" w:rsidRDefault="000A09B3" w:rsidP="000A09B3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>Seller:</w:t>
      </w:r>
      <w:r w:rsidRPr="00BF0D59">
        <w:rPr>
          <w:rFonts w:ascii="Times New Roman" w:hAnsi="Times New Roman"/>
          <w:sz w:val="17"/>
          <w:szCs w:val="17"/>
        </w:rPr>
        <w:tab/>
        <w:t>Client [Party A]</w:t>
      </w:r>
    </w:p>
    <w:p w:rsidR="000A09B3" w:rsidRPr="00BF0D59" w:rsidRDefault="000A09B3" w:rsidP="000A09B3">
      <w:pPr>
        <w:pStyle w:val="Paragraph"/>
        <w:rPr>
          <w:rFonts w:ascii="Times New Roman" w:hAnsi="Times New Roman"/>
          <w:sz w:val="17"/>
          <w:szCs w:val="17"/>
        </w:rPr>
      </w:pPr>
    </w:p>
    <w:p w:rsidR="000A09B3" w:rsidRPr="00BF0D59" w:rsidRDefault="000A09B3" w:rsidP="000A09B3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Currency option style: </w:t>
      </w:r>
      <w:r w:rsidRPr="00BF0D59">
        <w:rPr>
          <w:rFonts w:ascii="Times New Roman" w:hAnsi="Times New Roman"/>
          <w:sz w:val="17"/>
          <w:szCs w:val="17"/>
        </w:rPr>
        <w:tab/>
        <w:t xml:space="preserve">Binary </w:t>
      </w:r>
    </w:p>
    <w:p w:rsidR="000A09B3" w:rsidRPr="00BF0D59" w:rsidRDefault="000A09B3" w:rsidP="000A09B3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Expiration date: </w:t>
      </w:r>
      <w:r w:rsidRPr="00BF0D59">
        <w:rPr>
          <w:rFonts w:ascii="Times New Roman" w:hAnsi="Times New Roman"/>
          <w:sz w:val="17"/>
          <w:szCs w:val="17"/>
        </w:rPr>
        <w:tab/>
        <w:t>1</w:t>
      </w:r>
      <w:r w:rsidR="003C1303">
        <w:rPr>
          <w:rFonts w:ascii="Times New Roman" w:hAnsi="Times New Roman"/>
          <w:sz w:val="17"/>
          <w:szCs w:val="17"/>
        </w:rPr>
        <w:t>2</w:t>
      </w:r>
      <w:r w:rsidRPr="00BF0D59">
        <w:rPr>
          <w:rFonts w:ascii="Times New Roman" w:hAnsi="Times New Roman"/>
          <w:sz w:val="17"/>
          <w:szCs w:val="17"/>
        </w:rPr>
        <w:t xml:space="preserve"> October</w:t>
      </w:r>
      <w:r w:rsidRPr="00BF0D59" w:rsidDel="005F6164">
        <w:rPr>
          <w:rFonts w:ascii="Times New Roman" w:hAnsi="Times New Roman"/>
          <w:sz w:val="17"/>
          <w:szCs w:val="17"/>
        </w:rPr>
        <w:t xml:space="preserve"> </w:t>
      </w:r>
      <w:r w:rsidRPr="00BF0D59">
        <w:rPr>
          <w:rFonts w:ascii="Times New Roman" w:hAnsi="Times New Roman"/>
          <w:sz w:val="17"/>
          <w:szCs w:val="17"/>
        </w:rPr>
        <w:t>201</w:t>
      </w:r>
      <w:r w:rsidR="003C1303">
        <w:rPr>
          <w:rFonts w:ascii="Times New Roman" w:hAnsi="Times New Roman"/>
          <w:sz w:val="17"/>
          <w:szCs w:val="17"/>
        </w:rPr>
        <w:t>8</w:t>
      </w:r>
    </w:p>
    <w:p w:rsidR="000A09B3" w:rsidRPr="00BF0D59" w:rsidRDefault="000A09B3" w:rsidP="000A09B3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Expiration time: </w:t>
      </w:r>
      <w:r w:rsidRPr="00BF0D59">
        <w:rPr>
          <w:rFonts w:ascii="Times New Roman" w:hAnsi="Times New Roman"/>
          <w:sz w:val="17"/>
          <w:szCs w:val="17"/>
        </w:rPr>
        <w:tab/>
        <w:t xml:space="preserve">10:00 </w:t>
      </w:r>
      <w:r>
        <w:rPr>
          <w:rFonts w:ascii="Times New Roman" w:hAnsi="Times New Roman"/>
          <w:sz w:val="17"/>
          <w:szCs w:val="17"/>
        </w:rPr>
        <w:t>AM</w:t>
      </w:r>
      <w:r w:rsidRPr="00BF0D59">
        <w:rPr>
          <w:rFonts w:ascii="Times New Roman" w:hAnsi="Times New Roman"/>
          <w:sz w:val="17"/>
          <w:szCs w:val="17"/>
        </w:rPr>
        <w:t xml:space="preserve"> New York </w:t>
      </w:r>
      <w:r w:rsidR="00F9049B">
        <w:rPr>
          <w:rFonts w:ascii="Times New Roman" w:hAnsi="Times New Roman"/>
          <w:sz w:val="17"/>
          <w:szCs w:val="17"/>
        </w:rPr>
        <w:t xml:space="preserve">USA </w:t>
      </w:r>
      <w:r w:rsidRPr="00BF0D59">
        <w:rPr>
          <w:rFonts w:ascii="Times New Roman" w:hAnsi="Times New Roman"/>
          <w:sz w:val="17"/>
          <w:szCs w:val="17"/>
        </w:rPr>
        <w:t>time</w:t>
      </w:r>
    </w:p>
    <w:p w:rsidR="000A09B3" w:rsidRPr="00BF0D59" w:rsidRDefault="000A09B3" w:rsidP="000A09B3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Automatic exercise: </w:t>
      </w:r>
      <w:r w:rsidRPr="00BF0D59">
        <w:rPr>
          <w:rFonts w:ascii="Times New Roman" w:hAnsi="Times New Roman"/>
          <w:sz w:val="17"/>
          <w:szCs w:val="17"/>
        </w:rPr>
        <w:tab/>
        <w:t>Applicable</w:t>
      </w:r>
    </w:p>
    <w:p w:rsidR="000A09B3" w:rsidRPr="00BF0D59" w:rsidRDefault="000A09B3" w:rsidP="000A09B3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Settlement: </w:t>
      </w:r>
      <w:r w:rsidRPr="00BF0D59">
        <w:rPr>
          <w:rFonts w:ascii="Times New Roman" w:hAnsi="Times New Roman"/>
          <w:sz w:val="17"/>
          <w:szCs w:val="17"/>
        </w:rPr>
        <w:tab/>
        <w:t>Non-deliverable</w:t>
      </w:r>
    </w:p>
    <w:p w:rsidR="000A09B3" w:rsidRPr="00BF0D59" w:rsidRDefault="000A09B3" w:rsidP="000A09B3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Settlement amount: </w:t>
      </w:r>
      <w:r w:rsidRPr="00BF0D59">
        <w:rPr>
          <w:rFonts w:ascii="Times New Roman" w:hAnsi="Times New Roman"/>
          <w:sz w:val="17"/>
          <w:szCs w:val="17"/>
        </w:rPr>
        <w:tab/>
        <w:t>EUR 1, 000,000.00</w:t>
      </w:r>
    </w:p>
    <w:p w:rsidR="000A09B3" w:rsidRPr="00BF0D59" w:rsidRDefault="000A09B3" w:rsidP="000A09B3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Settlement date: </w:t>
      </w:r>
      <w:r w:rsidRPr="00BF0D59">
        <w:rPr>
          <w:rFonts w:ascii="Times New Roman" w:hAnsi="Times New Roman"/>
          <w:sz w:val="17"/>
          <w:szCs w:val="17"/>
        </w:rPr>
        <w:tab/>
      </w:r>
      <w:r w:rsidR="003C1303">
        <w:rPr>
          <w:rFonts w:ascii="Times New Roman" w:hAnsi="Times New Roman"/>
          <w:sz w:val="17"/>
          <w:szCs w:val="17"/>
        </w:rPr>
        <w:t>19</w:t>
      </w:r>
      <w:r w:rsidR="003C1303" w:rsidRPr="00BF0D59">
        <w:rPr>
          <w:rFonts w:ascii="Times New Roman" w:hAnsi="Times New Roman"/>
          <w:sz w:val="17"/>
          <w:szCs w:val="17"/>
        </w:rPr>
        <w:t xml:space="preserve"> </w:t>
      </w:r>
      <w:r w:rsidRPr="00BF0D59">
        <w:rPr>
          <w:rFonts w:ascii="Times New Roman" w:hAnsi="Times New Roman"/>
          <w:sz w:val="17"/>
          <w:szCs w:val="17"/>
        </w:rPr>
        <w:t>October</w:t>
      </w:r>
      <w:r w:rsidRPr="00BF0D59" w:rsidDel="005F6164">
        <w:rPr>
          <w:rFonts w:ascii="Times New Roman" w:hAnsi="Times New Roman"/>
          <w:sz w:val="17"/>
          <w:szCs w:val="17"/>
        </w:rPr>
        <w:t xml:space="preserve"> </w:t>
      </w:r>
      <w:r w:rsidR="003C1303">
        <w:rPr>
          <w:rFonts w:ascii="Times New Roman" w:hAnsi="Times New Roman"/>
          <w:sz w:val="17"/>
          <w:szCs w:val="17"/>
        </w:rPr>
        <w:t>2018</w:t>
      </w:r>
    </w:p>
    <w:p w:rsidR="000A09B3" w:rsidRPr="00BF0D59" w:rsidRDefault="000A09B3" w:rsidP="000A09B3">
      <w:pPr>
        <w:pStyle w:val="Paragraph"/>
        <w:rPr>
          <w:rFonts w:ascii="Times New Roman" w:hAnsi="Times New Roman"/>
          <w:sz w:val="17"/>
          <w:szCs w:val="17"/>
        </w:rPr>
      </w:pPr>
    </w:p>
    <w:p w:rsidR="000A09B3" w:rsidRPr="00BF0D59" w:rsidRDefault="000A09B3" w:rsidP="000A09B3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Barrier event: </w:t>
      </w:r>
      <w:r w:rsidRPr="00BF0D59">
        <w:rPr>
          <w:rFonts w:ascii="Times New Roman" w:hAnsi="Times New Roman"/>
          <w:sz w:val="17"/>
          <w:szCs w:val="17"/>
        </w:rPr>
        <w:tab/>
        <w:t>Applicable</w:t>
      </w:r>
    </w:p>
    <w:p w:rsidR="000A09B3" w:rsidRPr="00BF0D59" w:rsidRDefault="000A09B3" w:rsidP="000A09B3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Event type: </w:t>
      </w:r>
      <w:r w:rsidRPr="00BF0D59">
        <w:rPr>
          <w:rFonts w:ascii="Times New Roman" w:hAnsi="Times New Roman"/>
          <w:sz w:val="17"/>
          <w:szCs w:val="17"/>
        </w:rPr>
        <w:tab/>
        <w:t>Double No-Touch Binary</w:t>
      </w:r>
    </w:p>
    <w:p w:rsidR="000A09B3" w:rsidRPr="00BF0D59" w:rsidRDefault="000A09B3" w:rsidP="000A09B3">
      <w:pPr>
        <w:pStyle w:val="Paragraph"/>
        <w:rPr>
          <w:rFonts w:ascii="Times New Roman" w:hAnsi="Times New Roman"/>
          <w:sz w:val="17"/>
          <w:szCs w:val="17"/>
        </w:rPr>
      </w:pPr>
    </w:p>
    <w:p w:rsidR="000A09B3" w:rsidRPr="00521867" w:rsidRDefault="000A09B3" w:rsidP="000A09B3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Initial spot price: </w:t>
      </w:r>
      <w:r w:rsidRPr="00BF0D59">
        <w:rPr>
          <w:rFonts w:ascii="Times New Roman" w:hAnsi="Times New Roman"/>
          <w:sz w:val="17"/>
          <w:szCs w:val="17"/>
        </w:rPr>
        <w:tab/>
      </w:r>
      <w:r w:rsidRPr="00521867">
        <w:rPr>
          <w:rFonts w:ascii="Times New Roman" w:hAnsi="Times New Roman"/>
          <w:sz w:val="17"/>
          <w:szCs w:val="17"/>
        </w:rPr>
        <w:t xml:space="preserve">Level of USD/EUR on </w:t>
      </w:r>
      <w:r w:rsidR="003C1303">
        <w:rPr>
          <w:rFonts w:ascii="Times New Roman" w:hAnsi="Times New Roman"/>
          <w:sz w:val="17"/>
          <w:szCs w:val="17"/>
        </w:rPr>
        <w:t>12</w:t>
      </w:r>
      <w:r w:rsidR="003C1303" w:rsidRPr="00BF0D59">
        <w:rPr>
          <w:rFonts w:ascii="Times New Roman" w:hAnsi="Times New Roman"/>
          <w:sz w:val="17"/>
          <w:szCs w:val="17"/>
        </w:rPr>
        <w:t xml:space="preserve"> </w:t>
      </w:r>
      <w:r w:rsidRPr="00BF0D59">
        <w:rPr>
          <w:rFonts w:ascii="Times New Roman" w:hAnsi="Times New Roman"/>
          <w:sz w:val="17"/>
          <w:szCs w:val="17"/>
        </w:rPr>
        <w:t>October</w:t>
      </w:r>
      <w:r w:rsidRPr="00BF0D59" w:rsidDel="005F6164">
        <w:rPr>
          <w:rFonts w:ascii="Times New Roman" w:hAnsi="Times New Roman"/>
          <w:sz w:val="17"/>
          <w:szCs w:val="17"/>
        </w:rPr>
        <w:t xml:space="preserve"> </w:t>
      </w:r>
      <w:r w:rsidR="003C1303">
        <w:rPr>
          <w:rFonts w:ascii="Times New Roman" w:hAnsi="Times New Roman"/>
          <w:sz w:val="17"/>
          <w:szCs w:val="17"/>
        </w:rPr>
        <w:t>2017</w:t>
      </w:r>
    </w:p>
    <w:p w:rsidR="000A09B3" w:rsidRPr="00521867" w:rsidRDefault="000A09B3" w:rsidP="000A09B3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521867">
        <w:rPr>
          <w:rFonts w:ascii="Times New Roman" w:hAnsi="Times New Roman"/>
          <w:sz w:val="17"/>
          <w:szCs w:val="17"/>
        </w:rPr>
        <w:t xml:space="preserve">Upper barrier level: </w:t>
      </w:r>
      <w:r w:rsidRPr="00521867"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>120% of the initial spot price (USD/EUR)</w:t>
      </w:r>
    </w:p>
    <w:p w:rsidR="000A09B3" w:rsidRPr="00521867" w:rsidRDefault="000A09B3" w:rsidP="000A09B3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521867">
        <w:rPr>
          <w:rFonts w:ascii="Times New Roman" w:hAnsi="Times New Roman"/>
          <w:sz w:val="17"/>
          <w:szCs w:val="17"/>
        </w:rPr>
        <w:t xml:space="preserve">Lower barrier level: </w:t>
      </w:r>
      <w:r w:rsidRPr="00521867"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>80% of the initial spot price (USD/EUR)</w:t>
      </w:r>
    </w:p>
    <w:p w:rsidR="000A09B3" w:rsidRPr="00BF0D59" w:rsidRDefault="000A09B3" w:rsidP="000A09B3">
      <w:pPr>
        <w:pStyle w:val="Paragraph"/>
        <w:ind w:firstLine="0"/>
        <w:rPr>
          <w:rFonts w:ascii="Times New Roman" w:hAnsi="Times New Roman"/>
          <w:sz w:val="17"/>
          <w:szCs w:val="17"/>
        </w:rPr>
      </w:pPr>
    </w:p>
    <w:p w:rsidR="000A09B3" w:rsidRPr="00BF0D59" w:rsidRDefault="000A09B3" w:rsidP="000A09B3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Event period start date and time: </w:t>
      </w:r>
      <w:r w:rsidRPr="00BF0D59">
        <w:rPr>
          <w:rFonts w:ascii="Times New Roman" w:hAnsi="Times New Roman"/>
          <w:sz w:val="17"/>
          <w:szCs w:val="17"/>
        </w:rPr>
        <w:tab/>
        <w:t>Trade date at the time of execution hereof</w:t>
      </w:r>
    </w:p>
    <w:p w:rsidR="000A09B3" w:rsidRPr="00BF0D59" w:rsidRDefault="000A09B3" w:rsidP="000A09B3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Event period end date and time: </w:t>
      </w:r>
      <w:r w:rsidRPr="00BF0D59">
        <w:rPr>
          <w:rFonts w:ascii="Times New Roman" w:hAnsi="Times New Roman"/>
          <w:sz w:val="17"/>
          <w:szCs w:val="17"/>
        </w:rPr>
        <w:tab/>
        <w:t>Expiration date at the expiration time</w:t>
      </w:r>
    </w:p>
    <w:p w:rsidR="000A09B3" w:rsidRPr="00BF0D59" w:rsidRDefault="000A09B3" w:rsidP="000A09B3">
      <w:pPr>
        <w:pStyle w:val="FirstParagraph"/>
        <w:tabs>
          <w:tab w:val="clear" w:pos="794"/>
          <w:tab w:val="left" w:pos="3119"/>
        </w:tabs>
        <w:ind w:left="3119" w:hanging="3119"/>
        <w:rPr>
          <w:rFonts w:ascii="Times New Roman" w:hAnsi="Times New Roman"/>
          <w:sz w:val="17"/>
          <w:szCs w:val="17"/>
        </w:rPr>
      </w:pPr>
      <w:r w:rsidRPr="00BF0D59">
        <w:rPr>
          <w:rFonts w:ascii="Times New Roman" w:hAnsi="Times New Roman"/>
          <w:sz w:val="17"/>
          <w:szCs w:val="17"/>
        </w:rPr>
        <w:t xml:space="preserve">Business day convention: </w:t>
      </w:r>
      <w:r w:rsidRPr="00BF0D59">
        <w:rPr>
          <w:rFonts w:ascii="Times New Roman" w:hAnsi="Times New Roman"/>
          <w:sz w:val="17"/>
          <w:szCs w:val="17"/>
        </w:rPr>
        <w:tab/>
        <w:t>Following</w:t>
      </w:r>
    </w:p>
    <w:p w:rsidR="000A09B3" w:rsidRPr="00BF0D59" w:rsidRDefault="000A09B3" w:rsidP="000A09B3">
      <w:pPr>
        <w:rPr>
          <w:sz w:val="17"/>
          <w:szCs w:val="17"/>
          <w:lang w:val="en-GB" w:eastAsia="en-GB"/>
        </w:rPr>
      </w:pPr>
      <w:r w:rsidRPr="00BF0D59">
        <w:rPr>
          <w:sz w:val="17"/>
          <w:szCs w:val="17"/>
          <w:lang w:val="en-GB"/>
        </w:rPr>
        <w:br w:type="page"/>
      </w:r>
    </w:p>
    <w:p w:rsidR="00E203A5" w:rsidRPr="00C5686E" w:rsidRDefault="00E7511B" w:rsidP="001E6EFD">
      <w:pPr>
        <w:pStyle w:val="Heading1"/>
        <w:rPr>
          <w:rFonts w:ascii="Times New Roman" w:hAnsi="Times New Roman"/>
          <w:color w:val="000000" w:themeColor="text1"/>
          <w:sz w:val="24"/>
          <w:szCs w:val="24"/>
          <w:u w:val="single"/>
          <w:lang w:val="en-GB" w:eastAsia="en-GB"/>
        </w:rPr>
      </w:pPr>
      <w:bookmarkStart w:id="20" w:name="_Toc479077170"/>
      <w:bookmarkEnd w:id="16"/>
      <w:bookmarkEnd w:id="17"/>
      <w:bookmarkEnd w:id="18"/>
      <w:r w:rsidRPr="00C5686E">
        <w:rPr>
          <w:rFonts w:ascii="Times New Roman" w:hAnsi="Times New Roman"/>
          <w:color w:val="000000" w:themeColor="text1"/>
          <w:sz w:val="24"/>
          <w:szCs w:val="24"/>
          <w:u w:val="single"/>
          <w:lang w:val="en-GB" w:eastAsia="en-GB"/>
        </w:rPr>
        <w:lastRenderedPageBreak/>
        <w:t xml:space="preserve">Section 3: </w:t>
      </w:r>
      <w:r w:rsidR="00DB49CA" w:rsidRPr="00C5686E">
        <w:rPr>
          <w:rFonts w:ascii="Times New Roman" w:hAnsi="Times New Roman"/>
          <w:color w:val="000000" w:themeColor="text1"/>
          <w:sz w:val="24"/>
          <w:szCs w:val="24"/>
          <w:u w:val="single"/>
          <w:lang w:val="en-GB" w:eastAsia="en-GB"/>
        </w:rPr>
        <w:t>Correlation trading portfolios (CTPs)</w:t>
      </w:r>
      <w:bookmarkEnd w:id="20"/>
    </w:p>
    <w:p w:rsidR="00DB49CA" w:rsidRPr="00C5686E" w:rsidRDefault="00DB49CA" w:rsidP="00C544BA">
      <w:pPr>
        <w:rPr>
          <w:sz w:val="17"/>
          <w:szCs w:val="17"/>
          <w:lang w:val="en-GB"/>
        </w:rPr>
      </w:pPr>
    </w:p>
    <w:tbl>
      <w:tblPr>
        <w:tblStyle w:val="TableGrid"/>
        <w:tblpPr w:leftFromText="141" w:rightFromText="141" w:vertAnchor="page" w:horzAnchor="margin" w:tblpY="2304"/>
        <w:tblW w:w="5000" w:type="pct"/>
        <w:tblLook w:val="04A0" w:firstRow="1" w:lastRow="0" w:firstColumn="1" w:lastColumn="0" w:noHBand="0" w:noVBand="1"/>
      </w:tblPr>
      <w:tblGrid>
        <w:gridCol w:w="1432"/>
        <w:gridCol w:w="4254"/>
        <w:gridCol w:w="1085"/>
        <w:gridCol w:w="2517"/>
      </w:tblGrid>
      <w:tr w:rsidR="00DB49CA" w:rsidRPr="00C5686E" w:rsidTr="00B67B3C">
        <w:tc>
          <w:tcPr>
            <w:tcW w:w="771" w:type="pct"/>
          </w:tcPr>
          <w:p w:rsidR="00DB49CA" w:rsidRPr="00C5686E" w:rsidRDefault="00DB49CA" w:rsidP="00B67B3C">
            <w:pPr>
              <w:jc w:val="center"/>
              <w:rPr>
                <w:b/>
                <w:sz w:val="17"/>
                <w:szCs w:val="17"/>
                <w:lang w:val="en-GB"/>
              </w:rPr>
            </w:pPr>
            <w:r w:rsidRPr="00C5686E">
              <w:rPr>
                <w:b/>
                <w:sz w:val="17"/>
                <w:szCs w:val="17"/>
                <w:lang w:val="en-GB"/>
              </w:rPr>
              <w:t>Portfolio number</w:t>
            </w:r>
          </w:p>
          <w:p w:rsidR="00DB49CA" w:rsidRPr="00C5686E" w:rsidRDefault="00F96BBB" w:rsidP="00F96BBB">
            <w:pPr>
              <w:jc w:val="center"/>
              <w:rPr>
                <w:b/>
                <w:sz w:val="17"/>
                <w:szCs w:val="17"/>
                <w:lang w:val="en-GB"/>
              </w:rPr>
            </w:pPr>
            <w:r w:rsidRPr="00C5686E">
              <w:rPr>
                <w:b/>
                <w:sz w:val="17"/>
                <w:szCs w:val="17"/>
                <w:lang w:val="en-GB"/>
              </w:rPr>
              <w:t>Risk factor</w:t>
            </w:r>
          </w:p>
        </w:tc>
        <w:tc>
          <w:tcPr>
            <w:tcW w:w="2290" w:type="pct"/>
          </w:tcPr>
          <w:p w:rsidR="00DB49CA" w:rsidRPr="00C5686E" w:rsidRDefault="00DB49CA" w:rsidP="00B67B3C">
            <w:pPr>
              <w:jc w:val="center"/>
              <w:rPr>
                <w:b/>
                <w:sz w:val="17"/>
                <w:szCs w:val="17"/>
                <w:lang w:val="en-GB"/>
              </w:rPr>
            </w:pPr>
            <w:r w:rsidRPr="00C5686E">
              <w:rPr>
                <w:b/>
                <w:sz w:val="17"/>
                <w:szCs w:val="17"/>
                <w:lang w:val="en-GB"/>
              </w:rPr>
              <w:t xml:space="preserve"> Portfolios</w:t>
            </w:r>
          </w:p>
        </w:tc>
        <w:tc>
          <w:tcPr>
            <w:tcW w:w="584" w:type="pct"/>
          </w:tcPr>
          <w:p w:rsidR="00DB49CA" w:rsidRPr="00C5686E" w:rsidRDefault="00DB49CA" w:rsidP="00B67B3C">
            <w:pPr>
              <w:jc w:val="center"/>
              <w:rPr>
                <w:b/>
                <w:sz w:val="17"/>
                <w:szCs w:val="17"/>
                <w:lang w:val="en-GB"/>
              </w:rPr>
            </w:pPr>
            <w:r w:rsidRPr="00C5686E">
              <w:rPr>
                <w:b/>
                <w:sz w:val="17"/>
                <w:szCs w:val="17"/>
                <w:lang w:val="en-GB"/>
              </w:rPr>
              <w:t>Currency</w:t>
            </w:r>
          </w:p>
        </w:tc>
        <w:tc>
          <w:tcPr>
            <w:tcW w:w="1355" w:type="pct"/>
          </w:tcPr>
          <w:p w:rsidR="00DB49CA" w:rsidRPr="00C5686E" w:rsidRDefault="009175B9" w:rsidP="009175B9">
            <w:pPr>
              <w:jc w:val="center"/>
              <w:rPr>
                <w:b/>
                <w:sz w:val="17"/>
                <w:szCs w:val="17"/>
                <w:lang w:val="en-GB"/>
              </w:rPr>
            </w:pPr>
            <w:r w:rsidRPr="00C5686E">
              <w:rPr>
                <w:b/>
                <w:sz w:val="17"/>
                <w:szCs w:val="17"/>
                <w:lang w:val="en-GB"/>
              </w:rPr>
              <w:t>Risk Metrics requested</w:t>
            </w:r>
          </w:p>
        </w:tc>
      </w:tr>
      <w:tr w:rsidR="00DB49CA" w:rsidRPr="005F1E8E" w:rsidTr="00B67B3C">
        <w:tc>
          <w:tcPr>
            <w:tcW w:w="771" w:type="pct"/>
          </w:tcPr>
          <w:p w:rsidR="00DB49CA" w:rsidRPr="00C5686E" w:rsidRDefault="003C1303" w:rsidP="00B67B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28</w:t>
            </w:r>
          </w:p>
          <w:p w:rsidR="00DB49CA" w:rsidRPr="00C5686E" w:rsidRDefault="00DB49CA" w:rsidP="00B67B3C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CTP</w:t>
            </w:r>
          </w:p>
        </w:tc>
        <w:tc>
          <w:tcPr>
            <w:tcW w:w="2290" w:type="pct"/>
          </w:tcPr>
          <w:p w:rsidR="000A09B3" w:rsidRPr="008407F6" w:rsidRDefault="000A09B3" w:rsidP="000A09B3">
            <w:pPr>
              <w:autoSpaceDE w:val="0"/>
              <w:autoSpaceDN w:val="0"/>
              <w:adjustRightInd w:val="0"/>
              <w:jc w:val="left"/>
              <w:rPr>
                <w:sz w:val="17"/>
                <w:szCs w:val="17"/>
                <w:lang w:val="en-GB"/>
              </w:rPr>
            </w:pPr>
            <w:r w:rsidRPr="008407F6">
              <w:rPr>
                <w:sz w:val="17"/>
                <w:szCs w:val="17"/>
                <w:lang w:val="en-GB"/>
              </w:rPr>
              <w:t xml:space="preserve">Long position in spread hedged equity tranche of </w:t>
            </w:r>
            <w:proofErr w:type="spellStart"/>
            <w:r>
              <w:rPr>
                <w:sz w:val="17"/>
                <w:szCs w:val="17"/>
                <w:lang w:val="en-GB"/>
              </w:rPr>
              <w:t>iTraxx</w:t>
            </w:r>
            <w:proofErr w:type="spellEnd"/>
            <w:r>
              <w:rPr>
                <w:sz w:val="17"/>
                <w:szCs w:val="17"/>
                <w:lang w:val="en-GB"/>
              </w:rPr>
              <w:t xml:space="preserve"> Europe</w:t>
            </w:r>
            <w:r w:rsidRPr="008407F6">
              <w:rPr>
                <w:sz w:val="17"/>
                <w:szCs w:val="17"/>
                <w:lang w:val="en-GB"/>
              </w:rPr>
              <w:t xml:space="preserve"> index </w:t>
            </w:r>
            <w:r w:rsidRPr="00843BD4">
              <w:rPr>
                <w:sz w:val="17"/>
                <w:szCs w:val="17"/>
                <w:lang w:val="en-GB"/>
              </w:rPr>
              <w:t>on</w:t>
            </w:r>
            <w:r>
              <w:rPr>
                <w:sz w:val="17"/>
                <w:szCs w:val="17"/>
                <w:lang w:val="en-GB"/>
              </w:rPr>
              <w:t>-</w:t>
            </w:r>
            <w:r w:rsidRPr="00843BD4">
              <w:rPr>
                <w:sz w:val="17"/>
                <w:szCs w:val="17"/>
                <w:lang w:val="en-GB"/>
              </w:rPr>
              <w:t>the</w:t>
            </w:r>
            <w:r>
              <w:rPr>
                <w:sz w:val="17"/>
                <w:szCs w:val="17"/>
                <w:lang w:val="en-GB"/>
              </w:rPr>
              <w:t>-</w:t>
            </w:r>
            <w:r w:rsidRPr="00843BD4">
              <w:rPr>
                <w:sz w:val="17"/>
                <w:szCs w:val="17"/>
                <w:lang w:val="en-GB"/>
              </w:rPr>
              <w:t>run Series</w:t>
            </w:r>
            <w:r w:rsidRPr="008407F6">
              <w:rPr>
                <w:sz w:val="17"/>
                <w:szCs w:val="17"/>
                <w:lang w:val="en-GB"/>
              </w:rPr>
              <w:t xml:space="preserve"> (attachment point: 0%, detachment point: 3%)</w:t>
            </w:r>
          </w:p>
          <w:p w:rsidR="00DB49CA" w:rsidRPr="00C5686E" w:rsidRDefault="00DB49CA" w:rsidP="003C2ECF">
            <w:pPr>
              <w:autoSpaceDE w:val="0"/>
              <w:autoSpaceDN w:val="0"/>
              <w:adjustRightInd w:val="0"/>
              <w:jc w:val="left"/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DB49CA" w:rsidRPr="00C5686E" w:rsidRDefault="006B7E1F" w:rsidP="009F311A">
            <w:pPr>
              <w:jc w:val="center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DB49CA" w:rsidRPr="00C5686E" w:rsidRDefault="008B0CE6" w:rsidP="004D179A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BF0D59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BF0D59">
              <w:rPr>
                <w:sz w:val="17"/>
                <w:szCs w:val="17"/>
                <w:lang w:val="en-GB"/>
              </w:rPr>
              <w:t xml:space="preserve">, </w:t>
            </w:r>
            <w:proofErr w:type="spellStart"/>
            <w:r w:rsidRPr="00BF0D59">
              <w:rPr>
                <w:sz w:val="17"/>
                <w:szCs w:val="17"/>
                <w:lang w:val="en-GB"/>
              </w:rPr>
              <w:t>sVaR</w:t>
            </w:r>
            <w:proofErr w:type="spellEnd"/>
            <w:r w:rsidR="00A6552F">
              <w:rPr>
                <w:sz w:val="17"/>
                <w:szCs w:val="17"/>
                <w:lang w:val="en-GB"/>
              </w:rPr>
              <w:t>,</w:t>
            </w:r>
            <w:r w:rsidRPr="00BF0D59">
              <w:rPr>
                <w:sz w:val="17"/>
                <w:szCs w:val="17"/>
                <w:lang w:val="en-GB"/>
              </w:rPr>
              <w:t xml:space="preserve"> and </w:t>
            </w:r>
            <w:r w:rsidR="003C1303">
              <w:rPr>
                <w:sz w:val="17"/>
                <w:szCs w:val="17"/>
                <w:lang w:val="en-GB"/>
              </w:rPr>
              <w:t>APR</w:t>
            </w:r>
            <w:r w:rsidRPr="00BF0D59">
              <w:rPr>
                <w:sz w:val="17"/>
                <w:szCs w:val="17"/>
                <w:lang w:val="en-GB"/>
              </w:rPr>
              <w:t xml:space="preserve"> for CTP</w:t>
            </w:r>
          </w:p>
        </w:tc>
      </w:tr>
      <w:tr w:rsidR="00DB49CA" w:rsidRPr="005F1E8E" w:rsidTr="00B67B3C">
        <w:tc>
          <w:tcPr>
            <w:tcW w:w="771" w:type="pct"/>
          </w:tcPr>
          <w:p w:rsidR="00DB49CA" w:rsidRPr="00C5686E" w:rsidRDefault="003C1303" w:rsidP="00B67B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29</w:t>
            </w:r>
          </w:p>
          <w:p w:rsidR="00DB49CA" w:rsidRPr="00C5686E" w:rsidRDefault="00DB49CA" w:rsidP="00B67B3C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CTP</w:t>
            </w:r>
          </w:p>
        </w:tc>
        <w:tc>
          <w:tcPr>
            <w:tcW w:w="2290" w:type="pct"/>
          </w:tcPr>
          <w:p w:rsidR="000A09B3" w:rsidRPr="008407F6" w:rsidRDefault="000A09B3" w:rsidP="000A09B3">
            <w:pPr>
              <w:autoSpaceDE w:val="0"/>
              <w:autoSpaceDN w:val="0"/>
              <w:adjustRightInd w:val="0"/>
              <w:jc w:val="left"/>
              <w:rPr>
                <w:sz w:val="17"/>
                <w:szCs w:val="17"/>
                <w:lang w:val="en-GB"/>
              </w:rPr>
            </w:pPr>
            <w:r w:rsidRPr="008407F6">
              <w:rPr>
                <w:sz w:val="17"/>
                <w:szCs w:val="17"/>
                <w:lang w:val="en-GB"/>
              </w:rPr>
              <w:t xml:space="preserve">Long position in spread hedged mezzanine tranche of </w:t>
            </w:r>
            <w:proofErr w:type="spellStart"/>
            <w:r>
              <w:rPr>
                <w:sz w:val="17"/>
                <w:szCs w:val="17"/>
                <w:lang w:val="en-GB"/>
              </w:rPr>
              <w:t>iTraxx</w:t>
            </w:r>
            <w:proofErr w:type="spellEnd"/>
            <w:r>
              <w:rPr>
                <w:sz w:val="17"/>
                <w:szCs w:val="17"/>
                <w:lang w:val="en-GB"/>
              </w:rPr>
              <w:t xml:space="preserve"> Europe </w:t>
            </w:r>
            <w:r w:rsidRPr="008407F6">
              <w:rPr>
                <w:sz w:val="17"/>
                <w:szCs w:val="17"/>
                <w:lang w:val="en-GB"/>
              </w:rPr>
              <w:t>index on</w:t>
            </w:r>
            <w:r>
              <w:rPr>
                <w:sz w:val="17"/>
                <w:szCs w:val="17"/>
                <w:lang w:val="en-GB"/>
              </w:rPr>
              <w:t>-</w:t>
            </w:r>
            <w:r w:rsidRPr="008407F6">
              <w:rPr>
                <w:sz w:val="17"/>
                <w:szCs w:val="17"/>
                <w:lang w:val="en-GB"/>
              </w:rPr>
              <w:t>the</w:t>
            </w:r>
            <w:r>
              <w:rPr>
                <w:sz w:val="17"/>
                <w:szCs w:val="17"/>
                <w:lang w:val="en-GB"/>
              </w:rPr>
              <w:t>-</w:t>
            </w:r>
            <w:r w:rsidRPr="008407F6">
              <w:rPr>
                <w:sz w:val="17"/>
                <w:szCs w:val="17"/>
                <w:lang w:val="en-GB"/>
              </w:rPr>
              <w:t xml:space="preserve">run </w:t>
            </w:r>
            <w:r w:rsidRPr="00843BD4">
              <w:rPr>
                <w:sz w:val="17"/>
                <w:szCs w:val="17"/>
                <w:lang w:val="en-GB"/>
              </w:rPr>
              <w:t xml:space="preserve">Series </w:t>
            </w:r>
            <w:r w:rsidRPr="008407F6">
              <w:rPr>
                <w:sz w:val="17"/>
                <w:szCs w:val="17"/>
                <w:lang w:val="en-GB"/>
              </w:rPr>
              <w:t>(attachment point: 7%, detachment point: 10%)</w:t>
            </w:r>
          </w:p>
          <w:p w:rsidR="00DB49CA" w:rsidRPr="00C5686E" w:rsidRDefault="00DB49CA" w:rsidP="00B67B3C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DB49CA" w:rsidRPr="00C5686E" w:rsidRDefault="006B7E1F" w:rsidP="009F311A">
            <w:pPr>
              <w:jc w:val="center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DB49CA" w:rsidRPr="00C5686E" w:rsidRDefault="008B0CE6" w:rsidP="004D179A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BF0D59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BF0D59">
              <w:rPr>
                <w:sz w:val="17"/>
                <w:szCs w:val="17"/>
                <w:lang w:val="en-GB"/>
              </w:rPr>
              <w:t xml:space="preserve">, </w:t>
            </w:r>
            <w:proofErr w:type="spellStart"/>
            <w:r w:rsidRPr="00BF0D59">
              <w:rPr>
                <w:sz w:val="17"/>
                <w:szCs w:val="17"/>
                <w:lang w:val="en-GB"/>
              </w:rPr>
              <w:t>sVaR</w:t>
            </w:r>
            <w:r w:rsidR="00A6552F">
              <w:rPr>
                <w:sz w:val="17"/>
                <w:szCs w:val="17"/>
                <w:lang w:val="en-GB"/>
              </w:rPr>
              <w:t>,</w:t>
            </w:r>
            <w:r w:rsidRPr="00BF0D59">
              <w:rPr>
                <w:sz w:val="17"/>
                <w:szCs w:val="17"/>
                <w:lang w:val="en-GB"/>
              </w:rPr>
              <w:t>and</w:t>
            </w:r>
            <w:proofErr w:type="spellEnd"/>
            <w:r w:rsidRPr="00BF0D59">
              <w:rPr>
                <w:sz w:val="17"/>
                <w:szCs w:val="17"/>
                <w:lang w:val="en-GB"/>
              </w:rPr>
              <w:t xml:space="preserve"> </w:t>
            </w:r>
            <w:r w:rsidR="003C1303">
              <w:rPr>
                <w:sz w:val="17"/>
                <w:szCs w:val="17"/>
                <w:lang w:val="en-GB"/>
              </w:rPr>
              <w:t>APR</w:t>
            </w:r>
            <w:r w:rsidR="00D77511">
              <w:rPr>
                <w:sz w:val="17"/>
                <w:szCs w:val="17"/>
                <w:lang w:val="en-GB"/>
              </w:rPr>
              <w:t xml:space="preserve"> </w:t>
            </w:r>
            <w:r w:rsidRPr="00BF0D59">
              <w:rPr>
                <w:sz w:val="17"/>
                <w:szCs w:val="17"/>
                <w:lang w:val="en-GB"/>
              </w:rPr>
              <w:t>for CTP</w:t>
            </w:r>
          </w:p>
        </w:tc>
      </w:tr>
      <w:tr w:rsidR="00DB49CA" w:rsidRPr="005F1E8E" w:rsidTr="00A00977">
        <w:trPr>
          <w:trHeight w:val="775"/>
        </w:trPr>
        <w:tc>
          <w:tcPr>
            <w:tcW w:w="771" w:type="pct"/>
          </w:tcPr>
          <w:p w:rsidR="00DB49CA" w:rsidRPr="00C5686E" w:rsidRDefault="003C1303" w:rsidP="00B67B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30</w:t>
            </w:r>
          </w:p>
          <w:p w:rsidR="00DB49CA" w:rsidRPr="00C5686E" w:rsidRDefault="00DB49CA" w:rsidP="00B67B3C">
            <w:pPr>
              <w:jc w:val="center"/>
              <w:rPr>
                <w:sz w:val="17"/>
                <w:szCs w:val="17"/>
                <w:lang w:val="en-GB"/>
              </w:rPr>
            </w:pPr>
            <w:r w:rsidRPr="00C5686E">
              <w:rPr>
                <w:sz w:val="17"/>
                <w:szCs w:val="17"/>
                <w:lang w:val="en-GB"/>
              </w:rPr>
              <w:t>CTP</w:t>
            </w:r>
          </w:p>
        </w:tc>
        <w:tc>
          <w:tcPr>
            <w:tcW w:w="2290" w:type="pct"/>
          </w:tcPr>
          <w:p w:rsidR="008B0CE6" w:rsidRPr="008407F6" w:rsidRDefault="008B0CE6" w:rsidP="008B0CE6">
            <w:pPr>
              <w:autoSpaceDE w:val="0"/>
              <w:autoSpaceDN w:val="0"/>
              <w:adjustRightInd w:val="0"/>
              <w:jc w:val="left"/>
              <w:rPr>
                <w:sz w:val="17"/>
                <w:szCs w:val="17"/>
                <w:lang w:val="en-GB"/>
              </w:rPr>
            </w:pPr>
            <w:r w:rsidRPr="008407F6">
              <w:rPr>
                <w:sz w:val="17"/>
                <w:szCs w:val="17"/>
                <w:lang w:val="en-GB"/>
              </w:rPr>
              <w:t xml:space="preserve">Short position in spread hedged super senior tranche of </w:t>
            </w:r>
            <w:proofErr w:type="spellStart"/>
            <w:r>
              <w:rPr>
                <w:sz w:val="17"/>
                <w:szCs w:val="17"/>
                <w:lang w:val="en-GB"/>
              </w:rPr>
              <w:t>iTraxx</w:t>
            </w:r>
            <w:proofErr w:type="spellEnd"/>
            <w:r>
              <w:rPr>
                <w:sz w:val="17"/>
                <w:szCs w:val="17"/>
                <w:lang w:val="en-GB"/>
              </w:rPr>
              <w:t xml:space="preserve"> Europe </w:t>
            </w:r>
            <w:r w:rsidRPr="008407F6">
              <w:rPr>
                <w:sz w:val="17"/>
                <w:szCs w:val="17"/>
                <w:lang w:val="en-GB"/>
              </w:rPr>
              <w:t>index</w:t>
            </w:r>
            <w:r w:rsidR="00917081" w:rsidRPr="008407F6">
              <w:rPr>
                <w:sz w:val="17"/>
                <w:szCs w:val="17"/>
                <w:lang w:val="en-GB"/>
              </w:rPr>
              <w:t xml:space="preserve"> on</w:t>
            </w:r>
            <w:r w:rsidR="00917081">
              <w:rPr>
                <w:sz w:val="17"/>
                <w:szCs w:val="17"/>
                <w:lang w:val="en-GB"/>
              </w:rPr>
              <w:t>-</w:t>
            </w:r>
            <w:r w:rsidR="00917081" w:rsidRPr="008407F6">
              <w:rPr>
                <w:sz w:val="17"/>
                <w:szCs w:val="17"/>
                <w:lang w:val="en-GB"/>
              </w:rPr>
              <w:t>the</w:t>
            </w:r>
            <w:r w:rsidR="00917081">
              <w:rPr>
                <w:sz w:val="17"/>
                <w:szCs w:val="17"/>
                <w:lang w:val="en-GB"/>
              </w:rPr>
              <w:t>-</w:t>
            </w:r>
            <w:r w:rsidR="00917081" w:rsidRPr="008407F6">
              <w:rPr>
                <w:sz w:val="17"/>
                <w:szCs w:val="17"/>
                <w:lang w:val="en-GB"/>
              </w:rPr>
              <w:t xml:space="preserve">run </w:t>
            </w:r>
            <w:r w:rsidRPr="00843BD4">
              <w:rPr>
                <w:sz w:val="17"/>
                <w:szCs w:val="17"/>
                <w:lang w:val="en-GB"/>
              </w:rPr>
              <w:t xml:space="preserve">Series </w:t>
            </w:r>
            <w:r w:rsidRPr="008407F6">
              <w:rPr>
                <w:sz w:val="17"/>
                <w:szCs w:val="17"/>
                <w:lang w:val="en-GB"/>
              </w:rPr>
              <w:t>(attachment point: 30%,</w:t>
            </w:r>
            <w:r w:rsidRPr="008407F6">
              <w:rPr>
                <w:lang w:val="en-GB"/>
              </w:rPr>
              <w:t xml:space="preserve"> </w:t>
            </w:r>
            <w:r w:rsidRPr="008407F6">
              <w:rPr>
                <w:sz w:val="17"/>
                <w:szCs w:val="17"/>
                <w:lang w:val="en-GB"/>
              </w:rPr>
              <w:t>detachment point: 100%)</w:t>
            </w:r>
          </w:p>
          <w:p w:rsidR="00A00977" w:rsidRPr="00C5686E" w:rsidRDefault="00A00977" w:rsidP="003C2ECF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584" w:type="pct"/>
          </w:tcPr>
          <w:p w:rsidR="00DB49CA" w:rsidRPr="00C5686E" w:rsidRDefault="006B7E1F" w:rsidP="009F311A">
            <w:pPr>
              <w:jc w:val="center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>EUR</w:t>
            </w:r>
          </w:p>
        </w:tc>
        <w:tc>
          <w:tcPr>
            <w:tcW w:w="1355" w:type="pct"/>
          </w:tcPr>
          <w:p w:rsidR="00DB49CA" w:rsidRPr="00C5686E" w:rsidRDefault="008B0CE6" w:rsidP="004D179A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BF0D59">
              <w:rPr>
                <w:sz w:val="17"/>
                <w:szCs w:val="17"/>
                <w:lang w:val="en-GB"/>
              </w:rPr>
              <w:t>VaR</w:t>
            </w:r>
            <w:proofErr w:type="spellEnd"/>
            <w:r w:rsidRPr="00BF0D59">
              <w:rPr>
                <w:sz w:val="17"/>
                <w:szCs w:val="17"/>
                <w:lang w:val="en-GB"/>
              </w:rPr>
              <w:t xml:space="preserve">, </w:t>
            </w:r>
            <w:proofErr w:type="spellStart"/>
            <w:r w:rsidRPr="00BF0D59">
              <w:rPr>
                <w:sz w:val="17"/>
                <w:szCs w:val="17"/>
                <w:lang w:val="en-GB"/>
              </w:rPr>
              <w:t>sVaR</w:t>
            </w:r>
            <w:proofErr w:type="spellEnd"/>
            <w:r w:rsidRPr="00BF0D59">
              <w:rPr>
                <w:sz w:val="17"/>
                <w:szCs w:val="17"/>
                <w:lang w:val="en-GB"/>
              </w:rPr>
              <w:t xml:space="preserve"> and </w:t>
            </w:r>
            <w:r w:rsidR="003C1303">
              <w:rPr>
                <w:sz w:val="17"/>
                <w:szCs w:val="17"/>
                <w:lang w:val="en-GB"/>
              </w:rPr>
              <w:t>APR</w:t>
            </w:r>
            <w:r w:rsidR="00D77511">
              <w:rPr>
                <w:sz w:val="17"/>
                <w:szCs w:val="17"/>
                <w:lang w:val="en-GB"/>
              </w:rPr>
              <w:t xml:space="preserve"> </w:t>
            </w:r>
            <w:r w:rsidRPr="00BF0D59">
              <w:rPr>
                <w:sz w:val="17"/>
                <w:szCs w:val="17"/>
                <w:lang w:val="en-GB"/>
              </w:rPr>
              <w:t>for CTP</w:t>
            </w:r>
          </w:p>
        </w:tc>
      </w:tr>
    </w:tbl>
    <w:p w:rsidR="005F0928" w:rsidRPr="00C5686E" w:rsidRDefault="005F0928" w:rsidP="00C544BA">
      <w:pPr>
        <w:rPr>
          <w:sz w:val="17"/>
          <w:szCs w:val="17"/>
          <w:lang w:val="en-GB"/>
        </w:rPr>
      </w:pPr>
    </w:p>
    <w:p w:rsidR="005E7A3F" w:rsidRDefault="005E7A3F" w:rsidP="00C544BA">
      <w:pPr>
        <w:rPr>
          <w:sz w:val="18"/>
          <w:szCs w:val="18"/>
          <w:lang w:val="en-GB"/>
        </w:rPr>
      </w:pPr>
    </w:p>
    <w:p w:rsidR="008B0CE6" w:rsidRDefault="008B0CE6" w:rsidP="008B0CE6">
      <w:pPr>
        <w:pStyle w:val="BulletText1"/>
        <w:numPr>
          <w:ilvl w:val="0"/>
          <w:numId w:val="0"/>
        </w:numPr>
        <w:jc w:val="both"/>
        <w:rPr>
          <w:sz w:val="18"/>
          <w:szCs w:val="18"/>
          <w:lang w:val="en-GB"/>
        </w:rPr>
      </w:pPr>
      <w:r w:rsidRPr="00BF0D59">
        <w:rPr>
          <w:sz w:val="18"/>
          <w:szCs w:val="18"/>
          <w:lang w:val="en-GB"/>
        </w:rPr>
        <w:t xml:space="preserve">These </w:t>
      </w:r>
      <w:r w:rsidRPr="00DD0589">
        <w:rPr>
          <w:sz w:val="18"/>
          <w:szCs w:val="18"/>
          <w:lang w:val="en-GB"/>
        </w:rPr>
        <w:t xml:space="preserve">portfolios contain positions in index tranches referencing the </w:t>
      </w:r>
      <w:proofErr w:type="spellStart"/>
      <w:r>
        <w:rPr>
          <w:sz w:val="17"/>
          <w:szCs w:val="17"/>
          <w:lang w:val="en-GB"/>
        </w:rPr>
        <w:t>iTraxx</w:t>
      </w:r>
      <w:proofErr w:type="spellEnd"/>
      <w:r>
        <w:rPr>
          <w:sz w:val="17"/>
          <w:szCs w:val="17"/>
          <w:lang w:val="en-GB"/>
        </w:rPr>
        <w:t xml:space="preserve"> Europe </w:t>
      </w:r>
      <w:r w:rsidRPr="00DD0589">
        <w:rPr>
          <w:color w:val="auto"/>
          <w:sz w:val="18"/>
          <w:szCs w:val="18"/>
          <w:lang w:val="en-GB"/>
        </w:rPr>
        <w:t>index (on the run Series)</w:t>
      </w:r>
      <w:r w:rsidR="003C1303">
        <w:rPr>
          <w:color w:val="auto"/>
          <w:sz w:val="18"/>
          <w:szCs w:val="18"/>
          <w:lang w:val="en-GB"/>
        </w:rPr>
        <w:t xml:space="preserve"> 5 years</w:t>
      </w:r>
      <w:r w:rsidRPr="00DD0589">
        <w:rPr>
          <w:sz w:val="18"/>
          <w:szCs w:val="18"/>
          <w:lang w:val="en-GB"/>
        </w:rPr>
        <w:t xml:space="preserve">. </w:t>
      </w:r>
    </w:p>
    <w:p w:rsidR="008B0CE6" w:rsidRPr="00DD0589" w:rsidRDefault="008B0CE6" w:rsidP="008B0CE6">
      <w:pPr>
        <w:pStyle w:val="BulletText2"/>
        <w:jc w:val="both"/>
        <w:rPr>
          <w:sz w:val="18"/>
          <w:szCs w:val="18"/>
          <w:lang w:val="en-GB"/>
        </w:rPr>
      </w:pPr>
      <w:r w:rsidRPr="00DD0589">
        <w:rPr>
          <w:sz w:val="18"/>
          <w:szCs w:val="18"/>
          <w:lang w:val="en-GB"/>
        </w:rPr>
        <w:t xml:space="preserve">Notional is </w:t>
      </w:r>
      <w:r>
        <w:rPr>
          <w:sz w:val="18"/>
          <w:szCs w:val="18"/>
          <w:lang w:val="en-GB"/>
        </w:rPr>
        <w:t>EUR</w:t>
      </w:r>
      <w:r w:rsidRPr="00DD0589">
        <w:rPr>
          <w:sz w:val="18"/>
          <w:szCs w:val="18"/>
          <w:lang w:val="en-GB"/>
        </w:rPr>
        <w:t xml:space="preserve"> 10 million for each tranche.</w:t>
      </w:r>
    </w:p>
    <w:p w:rsidR="008B0CE6" w:rsidRPr="00DD0589" w:rsidRDefault="008B0CE6" w:rsidP="008B0CE6">
      <w:pPr>
        <w:pStyle w:val="BulletText2"/>
        <w:jc w:val="both"/>
        <w:rPr>
          <w:sz w:val="18"/>
          <w:szCs w:val="18"/>
          <w:lang w:val="en-GB"/>
        </w:rPr>
      </w:pPr>
      <w:r w:rsidRPr="00DD0589">
        <w:rPr>
          <w:sz w:val="18"/>
          <w:szCs w:val="18"/>
          <w:lang w:val="en-GB"/>
        </w:rPr>
        <w:t>The contractual maturity is 5 years.</w:t>
      </w:r>
    </w:p>
    <w:p w:rsidR="008B0CE6" w:rsidRPr="00DD0589" w:rsidRDefault="008B0CE6" w:rsidP="008B0CE6">
      <w:pPr>
        <w:pStyle w:val="BulletText2"/>
        <w:jc w:val="both"/>
        <w:rPr>
          <w:sz w:val="18"/>
          <w:szCs w:val="18"/>
          <w:lang w:val="en-GB"/>
        </w:rPr>
      </w:pPr>
      <w:r w:rsidRPr="00DD0589">
        <w:rPr>
          <w:sz w:val="18"/>
          <w:szCs w:val="18"/>
          <w:lang w:val="en-GB"/>
        </w:rPr>
        <w:t xml:space="preserve">The running spread that shall be used is </w:t>
      </w:r>
      <w:r w:rsidR="00123C14">
        <w:rPr>
          <w:sz w:val="18"/>
          <w:szCs w:val="18"/>
          <w:lang w:val="en-GB"/>
        </w:rPr>
        <w:t>3</w:t>
      </w:r>
      <w:r w:rsidR="003C1303">
        <w:rPr>
          <w:sz w:val="18"/>
          <w:szCs w:val="18"/>
          <w:lang w:val="en-GB"/>
        </w:rPr>
        <w:t>00</w:t>
      </w:r>
      <w:r w:rsidRPr="00DD0589">
        <w:rPr>
          <w:sz w:val="18"/>
          <w:szCs w:val="18"/>
          <w:lang w:val="en-GB"/>
        </w:rPr>
        <w:t xml:space="preserve"> bps for the tranche in portfolio </w:t>
      </w:r>
      <w:r w:rsidR="005A7559">
        <w:rPr>
          <w:sz w:val="18"/>
          <w:szCs w:val="18"/>
          <w:lang w:val="en-GB"/>
        </w:rPr>
        <w:t>28</w:t>
      </w:r>
      <w:r w:rsidR="003C1303">
        <w:rPr>
          <w:sz w:val="18"/>
          <w:szCs w:val="18"/>
          <w:lang w:val="en-GB"/>
        </w:rPr>
        <w:t xml:space="preserve">, 100 bps for </w:t>
      </w:r>
      <w:r w:rsidR="00D553CA" w:rsidRPr="00DD0589">
        <w:rPr>
          <w:sz w:val="18"/>
          <w:szCs w:val="18"/>
          <w:lang w:val="en-GB"/>
        </w:rPr>
        <w:t xml:space="preserve">the tranche in </w:t>
      </w:r>
      <w:r w:rsidR="003C1303">
        <w:rPr>
          <w:sz w:val="18"/>
          <w:szCs w:val="18"/>
          <w:lang w:val="en-GB"/>
        </w:rPr>
        <w:t>portfolio 2</w:t>
      </w:r>
      <w:r w:rsidR="005A7559">
        <w:rPr>
          <w:sz w:val="18"/>
          <w:szCs w:val="18"/>
          <w:lang w:val="en-GB"/>
        </w:rPr>
        <w:t>9</w:t>
      </w:r>
      <w:r w:rsidRPr="00DD0589">
        <w:rPr>
          <w:sz w:val="18"/>
          <w:szCs w:val="18"/>
          <w:lang w:val="en-GB"/>
        </w:rPr>
        <w:t xml:space="preserve">, and </w:t>
      </w:r>
      <w:r w:rsidR="000518CC">
        <w:rPr>
          <w:sz w:val="18"/>
          <w:szCs w:val="18"/>
          <w:lang w:val="en-GB"/>
        </w:rPr>
        <w:t>3</w:t>
      </w:r>
      <w:r w:rsidR="003C1303">
        <w:rPr>
          <w:sz w:val="18"/>
          <w:szCs w:val="18"/>
          <w:lang w:val="en-GB"/>
        </w:rPr>
        <w:t>0</w:t>
      </w:r>
      <w:r w:rsidRPr="00DD0589">
        <w:rPr>
          <w:sz w:val="18"/>
          <w:szCs w:val="18"/>
          <w:lang w:val="en-GB"/>
        </w:rPr>
        <w:t xml:space="preserve"> bps for </w:t>
      </w:r>
      <w:r w:rsidR="00D553CA" w:rsidRPr="00DD0589">
        <w:rPr>
          <w:sz w:val="18"/>
          <w:szCs w:val="18"/>
          <w:lang w:val="en-GB"/>
        </w:rPr>
        <w:t xml:space="preserve">the tranche in </w:t>
      </w:r>
      <w:r w:rsidRPr="00DD0589">
        <w:rPr>
          <w:sz w:val="18"/>
          <w:szCs w:val="18"/>
          <w:lang w:val="en-GB"/>
        </w:rPr>
        <w:t xml:space="preserve">portfolio </w:t>
      </w:r>
      <w:r w:rsidR="00414344">
        <w:rPr>
          <w:sz w:val="18"/>
          <w:szCs w:val="18"/>
          <w:lang w:val="en-GB"/>
        </w:rPr>
        <w:t>3</w:t>
      </w:r>
      <w:r w:rsidR="005A7559">
        <w:rPr>
          <w:sz w:val="18"/>
          <w:szCs w:val="18"/>
          <w:lang w:val="en-GB"/>
        </w:rPr>
        <w:t>0</w:t>
      </w:r>
      <w:r w:rsidRPr="00DD0589">
        <w:rPr>
          <w:sz w:val="18"/>
          <w:szCs w:val="18"/>
          <w:lang w:val="en-GB"/>
        </w:rPr>
        <w:t>.</w:t>
      </w:r>
    </w:p>
    <w:p w:rsidR="008B0CE6" w:rsidRPr="00DD0589" w:rsidRDefault="008B0CE6" w:rsidP="008B0CE6">
      <w:pPr>
        <w:pStyle w:val="BulletText1"/>
        <w:numPr>
          <w:ilvl w:val="0"/>
          <w:numId w:val="0"/>
        </w:numPr>
        <w:ind w:left="173"/>
        <w:jc w:val="both"/>
        <w:rPr>
          <w:sz w:val="18"/>
          <w:szCs w:val="18"/>
          <w:lang w:val="en-GB"/>
        </w:rPr>
      </w:pPr>
    </w:p>
    <w:p w:rsidR="008B0CE6" w:rsidRDefault="008B0CE6" w:rsidP="008B0CE6">
      <w:pPr>
        <w:pStyle w:val="BulletText1"/>
        <w:numPr>
          <w:ilvl w:val="0"/>
          <w:numId w:val="0"/>
        </w:numPr>
        <w:jc w:val="both"/>
        <w:rPr>
          <w:sz w:val="18"/>
          <w:szCs w:val="18"/>
          <w:lang w:val="en-GB"/>
        </w:rPr>
      </w:pPr>
      <w:r w:rsidRPr="00DD0589">
        <w:rPr>
          <w:sz w:val="18"/>
          <w:szCs w:val="18"/>
          <w:lang w:val="en-GB"/>
        </w:rPr>
        <w:t xml:space="preserve">The portfolios are constructed by hedging each index tranche with the </w:t>
      </w:r>
      <w:proofErr w:type="spellStart"/>
      <w:r>
        <w:rPr>
          <w:sz w:val="17"/>
          <w:szCs w:val="17"/>
          <w:lang w:val="en-GB"/>
        </w:rPr>
        <w:t>iTraxx</w:t>
      </w:r>
      <w:proofErr w:type="spellEnd"/>
      <w:r>
        <w:rPr>
          <w:sz w:val="17"/>
          <w:szCs w:val="17"/>
          <w:lang w:val="en-GB"/>
        </w:rPr>
        <w:t xml:space="preserve"> Europe </w:t>
      </w:r>
      <w:r w:rsidRPr="00DD0589">
        <w:rPr>
          <w:color w:val="auto"/>
          <w:sz w:val="18"/>
          <w:szCs w:val="18"/>
          <w:lang w:val="en-GB"/>
        </w:rPr>
        <w:t>index (on</w:t>
      </w:r>
      <w:r w:rsidR="008676CF">
        <w:rPr>
          <w:color w:val="auto"/>
          <w:sz w:val="18"/>
          <w:szCs w:val="18"/>
          <w:lang w:val="en-GB"/>
        </w:rPr>
        <w:t>-</w:t>
      </w:r>
      <w:r w:rsidRPr="00DD0589">
        <w:rPr>
          <w:color w:val="auto"/>
          <w:sz w:val="18"/>
          <w:szCs w:val="18"/>
          <w:lang w:val="en-GB"/>
        </w:rPr>
        <w:t>the</w:t>
      </w:r>
      <w:r w:rsidR="008676CF">
        <w:rPr>
          <w:color w:val="auto"/>
          <w:sz w:val="18"/>
          <w:szCs w:val="18"/>
          <w:lang w:val="en-GB"/>
        </w:rPr>
        <w:t>-</w:t>
      </w:r>
      <w:r w:rsidRPr="00DD0589">
        <w:rPr>
          <w:color w:val="auto"/>
          <w:sz w:val="18"/>
          <w:szCs w:val="18"/>
          <w:lang w:val="en-GB"/>
        </w:rPr>
        <w:t>run Series)</w:t>
      </w:r>
      <w:r w:rsidR="00356EE0">
        <w:rPr>
          <w:color w:val="auto"/>
          <w:sz w:val="18"/>
          <w:szCs w:val="18"/>
          <w:lang w:val="en-GB"/>
        </w:rPr>
        <w:t xml:space="preserve"> 5 years</w:t>
      </w:r>
      <w:r w:rsidRPr="00DD0589">
        <w:rPr>
          <w:color w:val="auto"/>
          <w:sz w:val="18"/>
          <w:szCs w:val="18"/>
          <w:lang w:val="en-GB"/>
        </w:rPr>
        <w:t xml:space="preserve"> </w:t>
      </w:r>
      <w:r w:rsidRPr="00DD0589">
        <w:rPr>
          <w:sz w:val="18"/>
          <w:szCs w:val="18"/>
          <w:lang w:val="en-GB"/>
        </w:rPr>
        <w:t xml:space="preserve">to achieve zero CS01 as of </w:t>
      </w:r>
      <w:r w:rsidR="00356EE0">
        <w:rPr>
          <w:sz w:val="18"/>
          <w:szCs w:val="18"/>
          <w:lang w:val="en-GB"/>
        </w:rPr>
        <w:t xml:space="preserve">booking </w:t>
      </w:r>
      <w:r w:rsidRPr="00DD0589">
        <w:rPr>
          <w:sz w:val="18"/>
          <w:szCs w:val="18"/>
          <w:lang w:val="en-GB"/>
        </w:rPr>
        <w:t>date (‘spread hedged’). No further re-hedging is required.</w:t>
      </w:r>
      <w:r w:rsidR="00356EE0">
        <w:rPr>
          <w:sz w:val="18"/>
          <w:szCs w:val="18"/>
          <w:lang w:val="en-GB"/>
        </w:rPr>
        <w:t xml:space="preserve"> </w:t>
      </w:r>
    </w:p>
    <w:p w:rsidR="008B0CE6" w:rsidRPr="00C5686E" w:rsidRDefault="008B0CE6" w:rsidP="00C544BA">
      <w:pPr>
        <w:rPr>
          <w:sz w:val="18"/>
          <w:szCs w:val="18"/>
          <w:lang w:val="en-GB"/>
        </w:rPr>
      </w:pPr>
    </w:p>
    <w:sectPr w:rsidR="008B0CE6" w:rsidRPr="00C5686E" w:rsidSect="00C4755E">
      <w:headerReference w:type="default" r:id="rId9"/>
      <w:pgSz w:w="11906" w:h="16838"/>
      <w:pgMar w:top="1417" w:right="1417" w:bottom="1417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1E" w:rsidRDefault="00194D1E" w:rsidP="009B147B">
      <w:r>
        <w:separator/>
      </w:r>
    </w:p>
  </w:endnote>
  <w:endnote w:type="continuationSeparator" w:id="0">
    <w:p w:rsidR="00194D1E" w:rsidRDefault="00194D1E" w:rsidP="009B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1E" w:rsidRDefault="00194D1E" w:rsidP="009B147B">
      <w:r>
        <w:separator/>
      </w:r>
    </w:p>
  </w:footnote>
  <w:footnote w:type="continuationSeparator" w:id="0">
    <w:p w:rsidR="00194D1E" w:rsidRDefault="00194D1E" w:rsidP="009B1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D1E" w:rsidRDefault="00194D1E">
    <w:pPr>
      <w:pStyle w:val="Header"/>
      <w:jc w:val="right"/>
      <w:rPr>
        <w:color w:val="4F81BD" w:themeColor="accent1"/>
      </w:rPr>
    </w:pPr>
    <w:r>
      <w:rPr>
        <w:noProof/>
        <w:color w:val="4F81BD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4A838D9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94D1E" w:rsidRPr="001E6EFD" w:rsidRDefault="00194D1E" w:rsidP="001E6EFD">
                          <w:pPr>
                            <w:jc w:val="center"/>
                            <w:rPr>
                              <w:color w:val="000000" w:themeColor="text1"/>
                              <w:lang w:val="en-GB"/>
                            </w:rPr>
                          </w:pPr>
                          <w:r w:rsidRPr="001E6EFD">
                            <w:rPr>
                              <w:color w:val="000000" w:themeColor="text1"/>
                              <w:lang w:val="en-GB"/>
                            </w:rPr>
                            <w:t>EN</w:t>
                          </w:r>
                        </w:p>
                        <w:p w:rsidR="00194D1E" w:rsidRPr="001E6EFD" w:rsidRDefault="00194D1E" w:rsidP="001E6EFD">
                          <w:pPr>
                            <w:jc w:val="center"/>
                            <w:rPr>
                              <w:color w:val="000000" w:themeColor="text1"/>
                              <w:lang w:val="en-GB"/>
                            </w:rPr>
                          </w:pPr>
                          <w:r w:rsidRPr="001E6EFD">
                            <w:rPr>
                              <w:color w:val="000000" w:themeColor="text1"/>
                              <w:lang w:val="en-GB"/>
                            </w:rPr>
                            <w:t>ANNEX V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id="Rectangle 4" o:spid="_x0000_s1026" style="position:absolute;left:0;text-align:left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" fillcolor="white [3212]" stroked="f" strokeweight="2pt">
              <v:textbox>
                <w:txbxContent>
                  <w:p w:rsidR="00194D1E" w:rsidRPr="001E6EFD" w:rsidRDefault="00194D1E" w:rsidP="001E6EFD">
                    <w:pPr>
                      <w:jc w:val="center"/>
                      <w:rPr>
                        <w:color w:val="000000" w:themeColor="text1"/>
                        <w:lang w:val="en-GB"/>
                      </w:rPr>
                    </w:pPr>
                    <w:r w:rsidRPr="001E6EFD">
                      <w:rPr>
                        <w:color w:val="000000" w:themeColor="text1"/>
                        <w:lang w:val="en-GB"/>
                      </w:rPr>
                      <w:t>EN</w:t>
                    </w:r>
                  </w:p>
                  <w:p w:rsidR="00194D1E" w:rsidRPr="001E6EFD" w:rsidRDefault="00194D1E" w:rsidP="001E6EFD">
                    <w:pPr>
                      <w:jc w:val="center"/>
                      <w:rPr>
                        <w:color w:val="000000" w:themeColor="text1"/>
                        <w:lang w:val="en-GB"/>
                      </w:rPr>
                    </w:pPr>
                    <w:r w:rsidRPr="001E6EFD">
                      <w:rPr>
                        <w:color w:val="000000" w:themeColor="text1"/>
                        <w:lang w:val="en-GB"/>
                      </w:rPr>
                      <w:t>ANNEX V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:rsidR="00194D1E" w:rsidRPr="00327E44" w:rsidRDefault="00194D1E" w:rsidP="00C4755E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1B0"/>
    <w:multiLevelType w:val="hybridMultilevel"/>
    <w:tmpl w:val="9BC8B64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E6DB4"/>
    <w:multiLevelType w:val="hybridMultilevel"/>
    <w:tmpl w:val="960E11F0"/>
    <w:lvl w:ilvl="0" w:tplc="D610DA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17E6F"/>
    <w:multiLevelType w:val="hybridMultilevel"/>
    <w:tmpl w:val="6CEC3BB8"/>
    <w:lvl w:ilvl="0" w:tplc="040C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96F0DC8"/>
    <w:multiLevelType w:val="hybridMultilevel"/>
    <w:tmpl w:val="B920B2DC"/>
    <w:lvl w:ilvl="0" w:tplc="040C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0AF75311"/>
    <w:multiLevelType w:val="hybridMultilevel"/>
    <w:tmpl w:val="8CBC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72E40"/>
    <w:multiLevelType w:val="hybridMultilevel"/>
    <w:tmpl w:val="5D0611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7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02B1510"/>
    <w:multiLevelType w:val="hybridMultilevel"/>
    <w:tmpl w:val="5DEEE5AC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34D930A3"/>
    <w:multiLevelType w:val="hybridMultilevel"/>
    <w:tmpl w:val="26B8D982"/>
    <w:lvl w:ilvl="0" w:tplc="C8B2E232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0">
    <w:nsid w:val="37BB413E"/>
    <w:multiLevelType w:val="hybridMultilevel"/>
    <w:tmpl w:val="404E7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64AEC"/>
    <w:multiLevelType w:val="hybridMultilevel"/>
    <w:tmpl w:val="26F61A2A"/>
    <w:lvl w:ilvl="0" w:tplc="F3D27BB2">
      <w:start w:val="16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64E589C">
      <w:numFmt w:val="bullet"/>
      <w:lvlText w:val="•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E0F0293"/>
    <w:multiLevelType w:val="hybridMultilevel"/>
    <w:tmpl w:val="AE56B3B4"/>
    <w:lvl w:ilvl="0" w:tplc="BCAC9C2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4">
    <w:nsid w:val="62DB3D68"/>
    <w:multiLevelType w:val="hybridMultilevel"/>
    <w:tmpl w:val="01CEAC38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5B5DB4"/>
    <w:multiLevelType w:val="hybridMultilevel"/>
    <w:tmpl w:val="2A822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329E9"/>
    <w:multiLevelType w:val="multilevel"/>
    <w:tmpl w:val="CF3CDE3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7E067FF4"/>
    <w:multiLevelType w:val="hybridMultilevel"/>
    <w:tmpl w:val="0DC00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44CC8"/>
    <w:multiLevelType w:val="hybridMultilevel"/>
    <w:tmpl w:val="CD9EE0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6"/>
  </w:num>
  <w:num w:numId="7">
    <w:abstractNumId w:val="13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12"/>
  </w:num>
  <w:num w:numId="16">
    <w:abstractNumId w:val="11"/>
  </w:num>
  <w:num w:numId="17">
    <w:abstractNumId w:val="18"/>
  </w:num>
  <w:num w:numId="18">
    <w:abstractNumId w:val="14"/>
  </w:num>
  <w:num w:numId="19">
    <w:abstractNumId w:val="0"/>
  </w:num>
  <w:num w:numId="20">
    <w:abstractNumId w:val="10"/>
  </w:num>
  <w:num w:numId="21">
    <w:abstractNumId w:val="15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LW_DocType" w:val="NORMAL"/>
  </w:docVars>
  <w:rsids>
    <w:rsidRoot w:val="001E257C"/>
    <w:rsid w:val="00003FD1"/>
    <w:rsid w:val="00020B2B"/>
    <w:rsid w:val="0002140F"/>
    <w:rsid w:val="00030638"/>
    <w:rsid w:val="00036204"/>
    <w:rsid w:val="000518CC"/>
    <w:rsid w:val="0007163B"/>
    <w:rsid w:val="00072F62"/>
    <w:rsid w:val="00082B9B"/>
    <w:rsid w:val="00095B1A"/>
    <w:rsid w:val="000A09B3"/>
    <w:rsid w:val="000A0C56"/>
    <w:rsid w:val="000A240D"/>
    <w:rsid w:val="000A79BE"/>
    <w:rsid w:val="000B0226"/>
    <w:rsid w:val="000B4E2B"/>
    <w:rsid w:val="000B5569"/>
    <w:rsid w:val="000B58E9"/>
    <w:rsid w:val="000B67D3"/>
    <w:rsid w:val="000B747D"/>
    <w:rsid w:val="000C2143"/>
    <w:rsid w:val="000C3928"/>
    <w:rsid w:val="000D0D5B"/>
    <w:rsid w:val="000D4C26"/>
    <w:rsid w:val="000D527B"/>
    <w:rsid w:val="000D6B72"/>
    <w:rsid w:val="000E69FA"/>
    <w:rsid w:val="00100229"/>
    <w:rsid w:val="00102935"/>
    <w:rsid w:val="00102F48"/>
    <w:rsid w:val="00105C4F"/>
    <w:rsid w:val="00115B83"/>
    <w:rsid w:val="0011623E"/>
    <w:rsid w:val="00116D3C"/>
    <w:rsid w:val="00123C14"/>
    <w:rsid w:val="00126D24"/>
    <w:rsid w:val="00130C00"/>
    <w:rsid w:val="0013227A"/>
    <w:rsid w:val="0013565B"/>
    <w:rsid w:val="0014020E"/>
    <w:rsid w:val="00150661"/>
    <w:rsid w:val="00174AD1"/>
    <w:rsid w:val="00175A9E"/>
    <w:rsid w:val="00183166"/>
    <w:rsid w:val="00183B47"/>
    <w:rsid w:val="00190347"/>
    <w:rsid w:val="00190C9E"/>
    <w:rsid w:val="00194D1E"/>
    <w:rsid w:val="001A3251"/>
    <w:rsid w:val="001A5AAA"/>
    <w:rsid w:val="001B08E0"/>
    <w:rsid w:val="001B41C9"/>
    <w:rsid w:val="001C6921"/>
    <w:rsid w:val="001E1648"/>
    <w:rsid w:val="001E1FF2"/>
    <w:rsid w:val="001E257C"/>
    <w:rsid w:val="001E6EFD"/>
    <w:rsid w:val="001F3006"/>
    <w:rsid w:val="001F3A34"/>
    <w:rsid w:val="0020540F"/>
    <w:rsid w:val="00223F2C"/>
    <w:rsid w:val="002276B4"/>
    <w:rsid w:val="00230856"/>
    <w:rsid w:val="00231680"/>
    <w:rsid w:val="00243B8E"/>
    <w:rsid w:val="00271CDF"/>
    <w:rsid w:val="0027454F"/>
    <w:rsid w:val="00280A0B"/>
    <w:rsid w:val="002A6E47"/>
    <w:rsid w:val="002B0CC0"/>
    <w:rsid w:val="002B1D42"/>
    <w:rsid w:val="002B362B"/>
    <w:rsid w:val="002B4733"/>
    <w:rsid w:val="002C5A87"/>
    <w:rsid w:val="002C6C19"/>
    <w:rsid w:val="002C7196"/>
    <w:rsid w:val="002D1E0D"/>
    <w:rsid w:val="002D62FE"/>
    <w:rsid w:val="002D6371"/>
    <w:rsid w:val="00304CAE"/>
    <w:rsid w:val="0031490C"/>
    <w:rsid w:val="00316736"/>
    <w:rsid w:val="003218FB"/>
    <w:rsid w:val="00326372"/>
    <w:rsid w:val="00327DDC"/>
    <w:rsid w:val="00333365"/>
    <w:rsid w:val="00333393"/>
    <w:rsid w:val="00337BA8"/>
    <w:rsid w:val="00344D5F"/>
    <w:rsid w:val="0035004A"/>
    <w:rsid w:val="00356EE0"/>
    <w:rsid w:val="00357F76"/>
    <w:rsid w:val="0036499C"/>
    <w:rsid w:val="003650A8"/>
    <w:rsid w:val="00367D9F"/>
    <w:rsid w:val="00380403"/>
    <w:rsid w:val="00380A05"/>
    <w:rsid w:val="00380A43"/>
    <w:rsid w:val="00390D68"/>
    <w:rsid w:val="00394D2D"/>
    <w:rsid w:val="003A3F75"/>
    <w:rsid w:val="003A6B53"/>
    <w:rsid w:val="003B3449"/>
    <w:rsid w:val="003B52B0"/>
    <w:rsid w:val="003C1303"/>
    <w:rsid w:val="003C2ECF"/>
    <w:rsid w:val="003C4399"/>
    <w:rsid w:val="003E31E5"/>
    <w:rsid w:val="003E452F"/>
    <w:rsid w:val="003E74C3"/>
    <w:rsid w:val="003F0692"/>
    <w:rsid w:val="003F26EB"/>
    <w:rsid w:val="003F6980"/>
    <w:rsid w:val="004019E8"/>
    <w:rsid w:val="00414344"/>
    <w:rsid w:val="00434D84"/>
    <w:rsid w:val="00443A08"/>
    <w:rsid w:val="00450E58"/>
    <w:rsid w:val="00453897"/>
    <w:rsid w:val="00465E30"/>
    <w:rsid w:val="0046712B"/>
    <w:rsid w:val="0047673F"/>
    <w:rsid w:val="004801E5"/>
    <w:rsid w:val="00481B62"/>
    <w:rsid w:val="00482714"/>
    <w:rsid w:val="004858A4"/>
    <w:rsid w:val="004A652A"/>
    <w:rsid w:val="004B0724"/>
    <w:rsid w:val="004B5588"/>
    <w:rsid w:val="004D179A"/>
    <w:rsid w:val="004D5C83"/>
    <w:rsid w:val="004E4CB5"/>
    <w:rsid w:val="004F2C75"/>
    <w:rsid w:val="004F376A"/>
    <w:rsid w:val="00510DB2"/>
    <w:rsid w:val="00515B52"/>
    <w:rsid w:val="005240B3"/>
    <w:rsid w:val="0052595F"/>
    <w:rsid w:val="00540B9F"/>
    <w:rsid w:val="005469B5"/>
    <w:rsid w:val="00550A25"/>
    <w:rsid w:val="005653FC"/>
    <w:rsid w:val="00574645"/>
    <w:rsid w:val="00576692"/>
    <w:rsid w:val="00577C9A"/>
    <w:rsid w:val="005842EF"/>
    <w:rsid w:val="0058501A"/>
    <w:rsid w:val="00596C7F"/>
    <w:rsid w:val="005A2516"/>
    <w:rsid w:val="005A43BB"/>
    <w:rsid w:val="005A47C2"/>
    <w:rsid w:val="005A577D"/>
    <w:rsid w:val="005A7559"/>
    <w:rsid w:val="005B5454"/>
    <w:rsid w:val="005C47B8"/>
    <w:rsid w:val="005C530B"/>
    <w:rsid w:val="005D021E"/>
    <w:rsid w:val="005D0D12"/>
    <w:rsid w:val="005D1797"/>
    <w:rsid w:val="005E404F"/>
    <w:rsid w:val="005E73B0"/>
    <w:rsid w:val="005E7A3F"/>
    <w:rsid w:val="005F0928"/>
    <w:rsid w:val="005F1E8E"/>
    <w:rsid w:val="005F6164"/>
    <w:rsid w:val="0061247F"/>
    <w:rsid w:val="00612995"/>
    <w:rsid w:val="00612BD1"/>
    <w:rsid w:val="006141E4"/>
    <w:rsid w:val="00622564"/>
    <w:rsid w:val="00624A5D"/>
    <w:rsid w:val="00630AD0"/>
    <w:rsid w:val="00631423"/>
    <w:rsid w:val="00641C7D"/>
    <w:rsid w:val="00641F4F"/>
    <w:rsid w:val="006448CF"/>
    <w:rsid w:val="00645389"/>
    <w:rsid w:val="00645DD4"/>
    <w:rsid w:val="00650394"/>
    <w:rsid w:val="00650621"/>
    <w:rsid w:val="006576F1"/>
    <w:rsid w:val="0066008D"/>
    <w:rsid w:val="0067190E"/>
    <w:rsid w:val="00672639"/>
    <w:rsid w:val="00674882"/>
    <w:rsid w:val="0068508C"/>
    <w:rsid w:val="00687BBD"/>
    <w:rsid w:val="006A265E"/>
    <w:rsid w:val="006B277C"/>
    <w:rsid w:val="006B431E"/>
    <w:rsid w:val="006B452E"/>
    <w:rsid w:val="006B6C43"/>
    <w:rsid w:val="006B7E1F"/>
    <w:rsid w:val="006D0628"/>
    <w:rsid w:val="006E0F92"/>
    <w:rsid w:val="006F0342"/>
    <w:rsid w:val="006F3BDA"/>
    <w:rsid w:val="00705F65"/>
    <w:rsid w:val="00723D3B"/>
    <w:rsid w:val="00734B8A"/>
    <w:rsid w:val="00735DCB"/>
    <w:rsid w:val="00747370"/>
    <w:rsid w:val="00747C6F"/>
    <w:rsid w:val="00751E34"/>
    <w:rsid w:val="0076196B"/>
    <w:rsid w:val="00767E9D"/>
    <w:rsid w:val="00773A88"/>
    <w:rsid w:val="00776DF5"/>
    <w:rsid w:val="00786F8D"/>
    <w:rsid w:val="007A0EE2"/>
    <w:rsid w:val="007A15AF"/>
    <w:rsid w:val="007A292F"/>
    <w:rsid w:val="007A35F0"/>
    <w:rsid w:val="007B097E"/>
    <w:rsid w:val="007B4CC9"/>
    <w:rsid w:val="007C0788"/>
    <w:rsid w:val="007C39D4"/>
    <w:rsid w:val="007C4164"/>
    <w:rsid w:val="007D7756"/>
    <w:rsid w:val="007E078D"/>
    <w:rsid w:val="007F1809"/>
    <w:rsid w:val="007F7EE2"/>
    <w:rsid w:val="008024AD"/>
    <w:rsid w:val="008122D3"/>
    <w:rsid w:val="00812FD1"/>
    <w:rsid w:val="008133E0"/>
    <w:rsid w:val="0081399D"/>
    <w:rsid w:val="0082034C"/>
    <w:rsid w:val="00822EDF"/>
    <w:rsid w:val="00835E56"/>
    <w:rsid w:val="00836B60"/>
    <w:rsid w:val="00836E30"/>
    <w:rsid w:val="00840D88"/>
    <w:rsid w:val="0084473F"/>
    <w:rsid w:val="00852ADB"/>
    <w:rsid w:val="008541D6"/>
    <w:rsid w:val="008621D8"/>
    <w:rsid w:val="00863CFD"/>
    <w:rsid w:val="008671E7"/>
    <w:rsid w:val="008676CF"/>
    <w:rsid w:val="00871AD3"/>
    <w:rsid w:val="00881545"/>
    <w:rsid w:val="00882F10"/>
    <w:rsid w:val="00883052"/>
    <w:rsid w:val="00883E42"/>
    <w:rsid w:val="008869C1"/>
    <w:rsid w:val="0089393A"/>
    <w:rsid w:val="008955D8"/>
    <w:rsid w:val="008968C7"/>
    <w:rsid w:val="008B0CE6"/>
    <w:rsid w:val="008B5FC4"/>
    <w:rsid w:val="008B6350"/>
    <w:rsid w:val="008B7ADD"/>
    <w:rsid w:val="008C4991"/>
    <w:rsid w:val="008D2664"/>
    <w:rsid w:val="008D3DAE"/>
    <w:rsid w:val="008E23EA"/>
    <w:rsid w:val="008E619A"/>
    <w:rsid w:val="00904C15"/>
    <w:rsid w:val="009060F0"/>
    <w:rsid w:val="00907F19"/>
    <w:rsid w:val="00914EB2"/>
    <w:rsid w:val="00917081"/>
    <w:rsid w:val="009175B9"/>
    <w:rsid w:val="00931338"/>
    <w:rsid w:val="0093404B"/>
    <w:rsid w:val="00934627"/>
    <w:rsid w:val="009346F7"/>
    <w:rsid w:val="00955605"/>
    <w:rsid w:val="0096687F"/>
    <w:rsid w:val="00966BB3"/>
    <w:rsid w:val="00972D77"/>
    <w:rsid w:val="009767FC"/>
    <w:rsid w:val="00981DC6"/>
    <w:rsid w:val="00985E77"/>
    <w:rsid w:val="009A1789"/>
    <w:rsid w:val="009A6A5C"/>
    <w:rsid w:val="009B147B"/>
    <w:rsid w:val="009B4C50"/>
    <w:rsid w:val="009B736E"/>
    <w:rsid w:val="009C4E90"/>
    <w:rsid w:val="009D0565"/>
    <w:rsid w:val="009E49ED"/>
    <w:rsid w:val="009F2650"/>
    <w:rsid w:val="009F311A"/>
    <w:rsid w:val="009F509E"/>
    <w:rsid w:val="009F5AF4"/>
    <w:rsid w:val="009F6976"/>
    <w:rsid w:val="009F7C20"/>
    <w:rsid w:val="00A00977"/>
    <w:rsid w:val="00A05314"/>
    <w:rsid w:val="00A11B36"/>
    <w:rsid w:val="00A35EA1"/>
    <w:rsid w:val="00A51E40"/>
    <w:rsid w:val="00A5259C"/>
    <w:rsid w:val="00A54D5D"/>
    <w:rsid w:val="00A56F87"/>
    <w:rsid w:val="00A64F4D"/>
    <w:rsid w:val="00A6549A"/>
    <w:rsid w:val="00A6552F"/>
    <w:rsid w:val="00A65FF5"/>
    <w:rsid w:val="00A837F4"/>
    <w:rsid w:val="00A97153"/>
    <w:rsid w:val="00A9730E"/>
    <w:rsid w:val="00AA090A"/>
    <w:rsid w:val="00AB29E6"/>
    <w:rsid w:val="00AB77DC"/>
    <w:rsid w:val="00AC180E"/>
    <w:rsid w:val="00AC298A"/>
    <w:rsid w:val="00AC3817"/>
    <w:rsid w:val="00AC640E"/>
    <w:rsid w:val="00AD19F0"/>
    <w:rsid w:val="00AD4CC1"/>
    <w:rsid w:val="00AD4D0C"/>
    <w:rsid w:val="00AD6121"/>
    <w:rsid w:val="00AE118B"/>
    <w:rsid w:val="00AE3DAF"/>
    <w:rsid w:val="00B00033"/>
    <w:rsid w:val="00B065CB"/>
    <w:rsid w:val="00B163B6"/>
    <w:rsid w:val="00B24BCC"/>
    <w:rsid w:val="00B31C89"/>
    <w:rsid w:val="00B46BE4"/>
    <w:rsid w:val="00B50768"/>
    <w:rsid w:val="00B6026E"/>
    <w:rsid w:val="00B62741"/>
    <w:rsid w:val="00B67B3C"/>
    <w:rsid w:val="00B82C42"/>
    <w:rsid w:val="00B82EBE"/>
    <w:rsid w:val="00B83600"/>
    <w:rsid w:val="00B86AA0"/>
    <w:rsid w:val="00B94209"/>
    <w:rsid w:val="00BA23F1"/>
    <w:rsid w:val="00BC232F"/>
    <w:rsid w:val="00BC5885"/>
    <w:rsid w:val="00BD53C7"/>
    <w:rsid w:val="00BE62F6"/>
    <w:rsid w:val="00BF61A9"/>
    <w:rsid w:val="00C118DC"/>
    <w:rsid w:val="00C13AE8"/>
    <w:rsid w:val="00C13B4C"/>
    <w:rsid w:val="00C178BC"/>
    <w:rsid w:val="00C37593"/>
    <w:rsid w:val="00C40E9B"/>
    <w:rsid w:val="00C4451B"/>
    <w:rsid w:val="00C46071"/>
    <w:rsid w:val="00C4755E"/>
    <w:rsid w:val="00C512D0"/>
    <w:rsid w:val="00C544BA"/>
    <w:rsid w:val="00C55C7F"/>
    <w:rsid w:val="00C5686E"/>
    <w:rsid w:val="00C6016D"/>
    <w:rsid w:val="00C605D3"/>
    <w:rsid w:val="00C65FE7"/>
    <w:rsid w:val="00C70649"/>
    <w:rsid w:val="00C76880"/>
    <w:rsid w:val="00C77CAC"/>
    <w:rsid w:val="00C8526B"/>
    <w:rsid w:val="00C949BF"/>
    <w:rsid w:val="00C95CC0"/>
    <w:rsid w:val="00CC116B"/>
    <w:rsid w:val="00CD1218"/>
    <w:rsid w:val="00CD17A4"/>
    <w:rsid w:val="00CD7E0F"/>
    <w:rsid w:val="00CE17E8"/>
    <w:rsid w:val="00CF071E"/>
    <w:rsid w:val="00D0080A"/>
    <w:rsid w:val="00D00F58"/>
    <w:rsid w:val="00D03DD0"/>
    <w:rsid w:val="00D3280B"/>
    <w:rsid w:val="00D35D79"/>
    <w:rsid w:val="00D3709C"/>
    <w:rsid w:val="00D41890"/>
    <w:rsid w:val="00D42583"/>
    <w:rsid w:val="00D43228"/>
    <w:rsid w:val="00D540AD"/>
    <w:rsid w:val="00D553CA"/>
    <w:rsid w:val="00D6149B"/>
    <w:rsid w:val="00D64F26"/>
    <w:rsid w:val="00D76A7B"/>
    <w:rsid w:val="00D77511"/>
    <w:rsid w:val="00D801B8"/>
    <w:rsid w:val="00D854C7"/>
    <w:rsid w:val="00D93897"/>
    <w:rsid w:val="00DA3462"/>
    <w:rsid w:val="00DA5BF9"/>
    <w:rsid w:val="00DA5C2A"/>
    <w:rsid w:val="00DB005D"/>
    <w:rsid w:val="00DB210E"/>
    <w:rsid w:val="00DB49CA"/>
    <w:rsid w:val="00DC7993"/>
    <w:rsid w:val="00DC7AB1"/>
    <w:rsid w:val="00DD0808"/>
    <w:rsid w:val="00DD4B2E"/>
    <w:rsid w:val="00DF0DCC"/>
    <w:rsid w:val="00DF17C4"/>
    <w:rsid w:val="00DF378A"/>
    <w:rsid w:val="00E0181E"/>
    <w:rsid w:val="00E16A8E"/>
    <w:rsid w:val="00E203A5"/>
    <w:rsid w:val="00E266BF"/>
    <w:rsid w:val="00E340D3"/>
    <w:rsid w:val="00E55497"/>
    <w:rsid w:val="00E633C0"/>
    <w:rsid w:val="00E65D7A"/>
    <w:rsid w:val="00E7511B"/>
    <w:rsid w:val="00E80820"/>
    <w:rsid w:val="00EA4DCD"/>
    <w:rsid w:val="00EB528C"/>
    <w:rsid w:val="00EC4468"/>
    <w:rsid w:val="00ED4F51"/>
    <w:rsid w:val="00F0122C"/>
    <w:rsid w:val="00F05FDF"/>
    <w:rsid w:val="00F06CA5"/>
    <w:rsid w:val="00F1064F"/>
    <w:rsid w:val="00F12071"/>
    <w:rsid w:val="00F22BA8"/>
    <w:rsid w:val="00F249F5"/>
    <w:rsid w:val="00F30006"/>
    <w:rsid w:val="00F32F4E"/>
    <w:rsid w:val="00F33C38"/>
    <w:rsid w:val="00F35B23"/>
    <w:rsid w:val="00F411A7"/>
    <w:rsid w:val="00F50F08"/>
    <w:rsid w:val="00F6465B"/>
    <w:rsid w:val="00F70781"/>
    <w:rsid w:val="00F76812"/>
    <w:rsid w:val="00F8227F"/>
    <w:rsid w:val="00F82810"/>
    <w:rsid w:val="00F86229"/>
    <w:rsid w:val="00F9049B"/>
    <w:rsid w:val="00F96BBB"/>
    <w:rsid w:val="00FA0D3E"/>
    <w:rsid w:val="00FA587D"/>
    <w:rsid w:val="00FA75BC"/>
    <w:rsid w:val="00FA75E6"/>
    <w:rsid w:val="00FA7A69"/>
    <w:rsid w:val="00FC11F7"/>
    <w:rsid w:val="00FC268D"/>
    <w:rsid w:val="00FC39AB"/>
    <w:rsid w:val="00FC76CD"/>
    <w:rsid w:val="00FD1D50"/>
    <w:rsid w:val="00FF175E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61247F"/>
    <w:pPr>
      <w:keepNext/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Heading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Heading3">
    <w:name w:val="heading 3"/>
    <w:basedOn w:val="Heading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Heading4">
    <w:name w:val="heading 4"/>
    <w:basedOn w:val="Heading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Heading5">
    <w:name w:val="heading 5"/>
    <w:basedOn w:val="Heading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Header">
    <w:name w:val="header"/>
    <w:basedOn w:val="Normal"/>
    <w:link w:val="HeaderChar"/>
    <w:uiPriority w:val="99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FootnoteText">
    <w:name w:val="footnote text"/>
    <w:basedOn w:val="Normal"/>
    <w:link w:val="FootnoteTextChar"/>
    <w:uiPriority w:val="99"/>
    <w:rsid w:val="0061247F"/>
    <w:pPr>
      <w:spacing w:before="40" w:after="40"/>
      <w:ind w:left="170" w:right="851" w:hanging="170"/>
    </w:pPr>
    <w:rPr>
      <w:sz w:val="16"/>
    </w:rPr>
  </w:style>
  <w:style w:type="paragraph" w:styleId="Footer">
    <w:name w:val="footer"/>
    <w:basedOn w:val="Normal"/>
    <w:link w:val="FooterChar"/>
    <w:uiPriority w:val="99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OC1">
    <w:name w:val="toc 1"/>
    <w:basedOn w:val="Normal"/>
    <w:next w:val="Normal"/>
    <w:autoRedefine/>
    <w:uiPriority w:val="39"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OC2">
    <w:name w:val="toc 2"/>
    <w:basedOn w:val="Normal"/>
    <w:next w:val="Normal"/>
    <w:autoRedefine/>
    <w:uiPriority w:val="39"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OC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le">
    <w:name w:val="Title"/>
    <w:basedOn w:val="Normal"/>
    <w:next w:val="Normal"/>
    <w:link w:val="TitleCh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1E2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57C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9A17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17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1789"/>
  </w:style>
  <w:style w:type="paragraph" w:styleId="CommentSubject">
    <w:name w:val="annotation subject"/>
    <w:basedOn w:val="CommentText"/>
    <w:next w:val="CommentText"/>
    <w:link w:val="CommentSubjectChar"/>
    <w:rsid w:val="009A1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1789"/>
    <w:rPr>
      <w:b/>
      <w:bCs/>
    </w:rPr>
  </w:style>
  <w:style w:type="paragraph" w:styleId="Revision">
    <w:name w:val="Revision"/>
    <w:hidden/>
    <w:uiPriority w:val="99"/>
    <w:semiHidden/>
    <w:rsid w:val="009A1789"/>
    <w:rPr>
      <w:sz w:val="22"/>
    </w:rPr>
  </w:style>
  <w:style w:type="paragraph" w:styleId="BalloonText">
    <w:name w:val="Balloon Text"/>
    <w:basedOn w:val="Normal"/>
    <w:link w:val="BalloonTextChar"/>
    <w:rsid w:val="009A1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1789"/>
    <w:rPr>
      <w:rFonts w:ascii="Tahoma" w:hAnsi="Tahoma" w:cs="Tahoma"/>
      <w:sz w:val="16"/>
      <w:szCs w:val="16"/>
    </w:rPr>
  </w:style>
  <w:style w:type="paragraph" w:customStyle="1" w:styleId="TableColumnHeading">
    <w:name w:val="TableColumnHeading"/>
    <w:basedOn w:val="Normal"/>
    <w:uiPriority w:val="99"/>
    <w:rsid w:val="00DF378A"/>
    <w:pPr>
      <w:spacing w:before="40" w:after="40"/>
      <w:jc w:val="center"/>
    </w:pPr>
    <w:rPr>
      <w:rFonts w:ascii="Segoe UI" w:hAnsi="Segoe UI"/>
      <w:sz w:val="17"/>
      <w:lang w:val="en-GB" w:eastAsia="en-US"/>
    </w:rPr>
  </w:style>
  <w:style w:type="paragraph" w:customStyle="1" w:styleId="TableText">
    <w:name w:val="TableText"/>
    <w:basedOn w:val="TableCell"/>
    <w:uiPriority w:val="99"/>
    <w:rsid w:val="00DF378A"/>
    <w:pPr>
      <w:tabs>
        <w:tab w:val="clear" w:pos="284"/>
      </w:tabs>
      <w:jc w:val="left"/>
    </w:pPr>
  </w:style>
  <w:style w:type="paragraph" w:customStyle="1" w:styleId="TableCell">
    <w:name w:val="TableCell"/>
    <w:basedOn w:val="Normal"/>
    <w:rsid w:val="00DF378A"/>
    <w:pPr>
      <w:tabs>
        <w:tab w:val="decimal" w:pos="284"/>
      </w:tabs>
      <w:spacing w:before="40" w:after="40"/>
      <w:jc w:val="center"/>
    </w:pPr>
    <w:rPr>
      <w:rFonts w:ascii="Segoe UI" w:hAnsi="Segoe UI"/>
      <w:sz w:val="17"/>
      <w:lang w:val="en-GB" w:eastAsia="en-US"/>
    </w:rPr>
  </w:style>
  <w:style w:type="paragraph" w:customStyle="1" w:styleId="TableRowHeading">
    <w:name w:val="TableRowHeading"/>
    <w:basedOn w:val="Normal"/>
    <w:rsid w:val="00DF378A"/>
    <w:pPr>
      <w:tabs>
        <w:tab w:val="left" w:pos="397"/>
        <w:tab w:val="left" w:pos="794"/>
        <w:tab w:val="left" w:pos="1191"/>
      </w:tabs>
      <w:spacing w:before="40" w:after="40"/>
      <w:jc w:val="left"/>
    </w:pPr>
    <w:rPr>
      <w:rFonts w:ascii="Segoe UI" w:hAnsi="Segoe UI"/>
      <w:sz w:val="17"/>
      <w:lang w:val="en-GB" w:eastAsia="en-US"/>
    </w:rPr>
  </w:style>
  <w:style w:type="character" w:customStyle="1" w:styleId="FootnoteTextChar">
    <w:name w:val="Footnote Text Char"/>
    <w:link w:val="FootnoteText"/>
    <w:uiPriority w:val="99"/>
    <w:rsid w:val="00183166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83166"/>
    <w:rPr>
      <w:sz w:val="18"/>
    </w:rPr>
  </w:style>
  <w:style w:type="paragraph" w:customStyle="1" w:styleId="FirstParagraph">
    <w:name w:val="FirstParagraph"/>
    <w:basedOn w:val="Paragraph"/>
    <w:next w:val="Paragraph"/>
    <w:qFormat/>
    <w:rsid w:val="00F50F08"/>
    <w:pPr>
      <w:tabs>
        <w:tab w:val="left" w:pos="794"/>
      </w:tabs>
      <w:spacing w:before="120"/>
      <w:ind w:firstLine="0"/>
    </w:pPr>
    <w:rPr>
      <w:lang w:eastAsia="en-GB"/>
    </w:rPr>
  </w:style>
  <w:style w:type="paragraph" w:customStyle="1" w:styleId="Paragraph">
    <w:name w:val="Paragraph"/>
    <w:basedOn w:val="Normal"/>
    <w:link w:val="ParagraphChar"/>
    <w:uiPriority w:val="99"/>
    <w:qFormat/>
    <w:rsid w:val="00F50F08"/>
    <w:pPr>
      <w:spacing w:after="120"/>
      <w:ind w:firstLine="794"/>
    </w:pPr>
    <w:rPr>
      <w:rFonts w:ascii="Segoe UI" w:hAnsi="Segoe UI"/>
      <w:sz w:val="20"/>
      <w:lang w:val="en-GB" w:eastAsia="en-US"/>
    </w:rPr>
  </w:style>
  <w:style w:type="character" w:customStyle="1" w:styleId="ParagraphChar">
    <w:name w:val="Paragraph Char"/>
    <w:link w:val="Paragraph"/>
    <w:uiPriority w:val="99"/>
    <w:locked/>
    <w:rsid w:val="00F50F08"/>
    <w:rPr>
      <w:rFonts w:ascii="Segoe UI" w:hAnsi="Segoe UI"/>
      <w:lang w:val="en-GB" w:eastAsia="en-US"/>
    </w:rPr>
  </w:style>
  <w:style w:type="paragraph" w:customStyle="1" w:styleId="IndentedHeading1">
    <w:name w:val="Indented Heading 1"/>
    <w:basedOn w:val="Heading1"/>
    <w:next w:val="FirstParagraph"/>
    <w:qFormat/>
    <w:rsid w:val="00F50F08"/>
    <w:pPr>
      <w:keepLines/>
      <w:tabs>
        <w:tab w:val="left" w:pos="794"/>
      </w:tabs>
      <w:spacing w:before="600" w:after="360"/>
      <w:ind w:left="794" w:hanging="794"/>
    </w:pPr>
    <w:rPr>
      <w:rFonts w:ascii="Segoe UI" w:hAnsi="Segoe UI"/>
      <w:b w:val="0"/>
      <w:color w:val="AA322F"/>
      <w:sz w:val="28"/>
      <w:lang w:val="en-GB" w:eastAsia="en-GB"/>
    </w:rPr>
  </w:style>
  <w:style w:type="paragraph" w:customStyle="1" w:styleId="IndentedHeading2">
    <w:name w:val="Indented Heading 2"/>
    <w:basedOn w:val="Heading2"/>
    <w:next w:val="FirstParagraph"/>
    <w:qFormat/>
    <w:rsid w:val="00F50F08"/>
    <w:pPr>
      <w:numPr>
        <w:ilvl w:val="0"/>
        <w:numId w:val="0"/>
      </w:numPr>
      <w:tabs>
        <w:tab w:val="left" w:pos="794"/>
      </w:tabs>
      <w:spacing w:after="240"/>
      <w:ind w:left="794" w:hanging="794"/>
    </w:pPr>
    <w:rPr>
      <w:rFonts w:ascii="Segoe UI" w:hAnsi="Segoe UI"/>
      <w:color w:val="AA322F"/>
      <w:sz w:val="24"/>
      <w:lang w:val="en-GB" w:eastAsia="en-GB"/>
    </w:rPr>
  </w:style>
  <w:style w:type="character" w:styleId="Hyperlink">
    <w:name w:val="Hyperlink"/>
    <w:basedOn w:val="DefaultParagraphFont"/>
    <w:uiPriority w:val="99"/>
    <w:rsid w:val="00DB21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2FD1"/>
    <w:pPr>
      <w:ind w:left="720"/>
      <w:contextualSpacing/>
    </w:pPr>
  </w:style>
  <w:style w:type="paragraph" w:customStyle="1" w:styleId="Runningtitle">
    <w:name w:val="Running title"/>
    <w:qFormat/>
    <w:rsid w:val="009B147B"/>
    <w:rPr>
      <w:rFonts w:asciiTheme="minorHAnsi" w:eastAsiaTheme="minorEastAsia" w:hAnsiTheme="minorHAnsi" w:cstheme="minorBidi"/>
      <w:caps/>
      <w:sz w:val="16"/>
      <w:szCs w:val="1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147B"/>
    <w:rPr>
      <w:rFonts w:ascii="Arial" w:hAnsi="Arial"/>
      <w:sz w:val="18"/>
    </w:rPr>
  </w:style>
  <w:style w:type="character" w:styleId="Emphasis">
    <w:name w:val="Emphasis"/>
    <w:basedOn w:val="DefaultParagraphFont"/>
    <w:uiPriority w:val="20"/>
    <w:qFormat/>
    <w:rsid w:val="003E31E5"/>
    <w:rPr>
      <w:b/>
      <w:bCs/>
      <w:i w:val="0"/>
      <w:iCs w:val="0"/>
    </w:rPr>
  </w:style>
  <w:style w:type="paragraph" w:customStyle="1" w:styleId="Numberedheadinglevel1">
    <w:name w:val="Numbered heading level 1"/>
    <w:basedOn w:val="Normal"/>
    <w:next w:val="Normal"/>
    <w:qFormat/>
    <w:rsid w:val="00A05314"/>
    <w:pPr>
      <w:tabs>
        <w:tab w:val="left" w:pos="0"/>
      </w:tabs>
      <w:spacing w:before="360" w:after="360"/>
      <w:ind w:left="567" w:hanging="567"/>
    </w:pPr>
    <w:rPr>
      <w:rFonts w:ascii="Arial" w:hAnsi="Arial"/>
      <w:color w:val="48748F"/>
      <w:sz w:val="28"/>
      <w:szCs w:val="28"/>
      <w:lang w:val="en-GB" w:eastAsia="en-US"/>
    </w:rPr>
  </w:style>
  <w:style w:type="paragraph" w:customStyle="1" w:styleId="BulletText1">
    <w:name w:val="Bullet Text 1"/>
    <w:basedOn w:val="Normal"/>
    <w:uiPriority w:val="99"/>
    <w:rsid w:val="005F0928"/>
    <w:pPr>
      <w:numPr>
        <w:numId w:val="18"/>
      </w:numPr>
      <w:jc w:val="left"/>
    </w:pPr>
    <w:rPr>
      <w:rFonts w:eastAsia="MS Mincho"/>
      <w:color w:val="000000"/>
      <w:sz w:val="24"/>
      <w:lang w:val="en-US" w:eastAsia="en-US"/>
    </w:rPr>
  </w:style>
  <w:style w:type="paragraph" w:customStyle="1" w:styleId="BulletText2">
    <w:name w:val="Bullet Text 2"/>
    <w:basedOn w:val="Normal"/>
    <w:uiPriority w:val="99"/>
    <w:rsid w:val="005F0928"/>
    <w:pPr>
      <w:numPr>
        <w:numId w:val="19"/>
      </w:numPr>
      <w:jc w:val="left"/>
    </w:pPr>
    <w:rPr>
      <w:rFonts w:eastAsia="MS Mincho"/>
      <w:color w:val="000000"/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850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61247F"/>
    <w:pPr>
      <w:keepNext/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Heading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Heading3">
    <w:name w:val="heading 3"/>
    <w:basedOn w:val="Heading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Heading4">
    <w:name w:val="heading 4"/>
    <w:basedOn w:val="Heading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Heading5">
    <w:name w:val="heading 5"/>
    <w:basedOn w:val="Heading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Header">
    <w:name w:val="header"/>
    <w:basedOn w:val="Normal"/>
    <w:link w:val="HeaderChar"/>
    <w:uiPriority w:val="99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FootnoteText">
    <w:name w:val="footnote text"/>
    <w:basedOn w:val="Normal"/>
    <w:link w:val="FootnoteTextChar"/>
    <w:uiPriority w:val="99"/>
    <w:rsid w:val="0061247F"/>
    <w:pPr>
      <w:spacing w:before="40" w:after="40"/>
      <w:ind w:left="170" w:right="851" w:hanging="170"/>
    </w:pPr>
    <w:rPr>
      <w:sz w:val="16"/>
    </w:rPr>
  </w:style>
  <w:style w:type="paragraph" w:styleId="Footer">
    <w:name w:val="footer"/>
    <w:basedOn w:val="Normal"/>
    <w:link w:val="FooterChar"/>
    <w:uiPriority w:val="99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OC1">
    <w:name w:val="toc 1"/>
    <w:basedOn w:val="Normal"/>
    <w:next w:val="Normal"/>
    <w:autoRedefine/>
    <w:uiPriority w:val="39"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OC2">
    <w:name w:val="toc 2"/>
    <w:basedOn w:val="Normal"/>
    <w:next w:val="Normal"/>
    <w:autoRedefine/>
    <w:uiPriority w:val="39"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OC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le">
    <w:name w:val="Title"/>
    <w:basedOn w:val="Normal"/>
    <w:next w:val="Normal"/>
    <w:link w:val="TitleCh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1E2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57C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9A17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17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1789"/>
  </w:style>
  <w:style w:type="paragraph" w:styleId="CommentSubject">
    <w:name w:val="annotation subject"/>
    <w:basedOn w:val="CommentText"/>
    <w:next w:val="CommentText"/>
    <w:link w:val="CommentSubjectChar"/>
    <w:rsid w:val="009A1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1789"/>
    <w:rPr>
      <w:b/>
      <w:bCs/>
    </w:rPr>
  </w:style>
  <w:style w:type="paragraph" w:styleId="Revision">
    <w:name w:val="Revision"/>
    <w:hidden/>
    <w:uiPriority w:val="99"/>
    <w:semiHidden/>
    <w:rsid w:val="009A1789"/>
    <w:rPr>
      <w:sz w:val="22"/>
    </w:rPr>
  </w:style>
  <w:style w:type="paragraph" w:styleId="BalloonText">
    <w:name w:val="Balloon Text"/>
    <w:basedOn w:val="Normal"/>
    <w:link w:val="BalloonTextChar"/>
    <w:rsid w:val="009A1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1789"/>
    <w:rPr>
      <w:rFonts w:ascii="Tahoma" w:hAnsi="Tahoma" w:cs="Tahoma"/>
      <w:sz w:val="16"/>
      <w:szCs w:val="16"/>
    </w:rPr>
  </w:style>
  <w:style w:type="paragraph" w:customStyle="1" w:styleId="TableColumnHeading">
    <w:name w:val="TableColumnHeading"/>
    <w:basedOn w:val="Normal"/>
    <w:uiPriority w:val="99"/>
    <w:rsid w:val="00DF378A"/>
    <w:pPr>
      <w:spacing w:before="40" w:after="40"/>
      <w:jc w:val="center"/>
    </w:pPr>
    <w:rPr>
      <w:rFonts w:ascii="Segoe UI" w:hAnsi="Segoe UI"/>
      <w:sz w:val="17"/>
      <w:lang w:val="en-GB" w:eastAsia="en-US"/>
    </w:rPr>
  </w:style>
  <w:style w:type="paragraph" w:customStyle="1" w:styleId="TableText">
    <w:name w:val="TableText"/>
    <w:basedOn w:val="TableCell"/>
    <w:uiPriority w:val="99"/>
    <w:rsid w:val="00DF378A"/>
    <w:pPr>
      <w:tabs>
        <w:tab w:val="clear" w:pos="284"/>
      </w:tabs>
      <w:jc w:val="left"/>
    </w:pPr>
  </w:style>
  <w:style w:type="paragraph" w:customStyle="1" w:styleId="TableCell">
    <w:name w:val="TableCell"/>
    <w:basedOn w:val="Normal"/>
    <w:rsid w:val="00DF378A"/>
    <w:pPr>
      <w:tabs>
        <w:tab w:val="decimal" w:pos="284"/>
      </w:tabs>
      <w:spacing w:before="40" w:after="40"/>
      <w:jc w:val="center"/>
    </w:pPr>
    <w:rPr>
      <w:rFonts w:ascii="Segoe UI" w:hAnsi="Segoe UI"/>
      <w:sz w:val="17"/>
      <w:lang w:val="en-GB" w:eastAsia="en-US"/>
    </w:rPr>
  </w:style>
  <w:style w:type="paragraph" w:customStyle="1" w:styleId="TableRowHeading">
    <w:name w:val="TableRowHeading"/>
    <w:basedOn w:val="Normal"/>
    <w:rsid w:val="00DF378A"/>
    <w:pPr>
      <w:tabs>
        <w:tab w:val="left" w:pos="397"/>
        <w:tab w:val="left" w:pos="794"/>
        <w:tab w:val="left" w:pos="1191"/>
      </w:tabs>
      <w:spacing w:before="40" w:after="40"/>
      <w:jc w:val="left"/>
    </w:pPr>
    <w:rPr>
      <w:rFonts w:ascii="Segoe UI" w:hAnsi="Segoe UI"/>
      <w:sz w:val="17"/>
      <w:lang w:val="en-GB" w:eastAsia="en-US"/>
    </w:rPr>
  </w:style>
  <w:style w:type="character" w:customStyle="1" w:styleId="FootnoteTextChar">
    <w:name w:val="Footnote Text Char"/>
    <w:link w:val="FootnoteText"/>
    <w:uiPriority w:val="99"/>
    <w:rsid w:val="00183166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83166"/>
    <w:rPr>
      <w:sz w:val="18"/>
    </w:rPr>
  </w:style>
  <w:style w:type="paragraph" w:customStyle="1" w:styleId="FirstParagraph">
    <w:name w:val="FirstParagraph"/>
    <w:basedOn w:val="Paragraph"/>
    <w:next w:val="Paragraph"/>
    <w:qFormat/>
    <w:rsid w:val="00F50F08"/>
    <w:pPr>
      <w:tabs>
        <w:tab w:val="left" w:pos="794"/>
      </w:tabs>
      <w:spacing w:before="120"/>
      <w:ind w:firstLine="0"/>
    </w:pPr>
    <w:rPr>
      <w:lang w:eastAsia="en-GB"/>
    </w:rPr>
  </w:style>
  <w:style w:type="paragraph" w:customStyle="1" w:styleId="Paragraph">
    <w:name w:val="Paragraph"/>
    <w:basedOn w:val="Normal"/>
    <w:link w:val="ParagraphChar"/>
    <w:uiPriority w:val="99"/>
    <w:qFormat/>
    <w:rsid w:val="00F50F08"/>
    <w:pPr>
      <w:spacing w:after="120"/>
      <w:ind w:firstLine="794"/>
    </w:pPr>
    <w:rPr>
      <w:rFonts w:ascii="Segoe UI" w:hAnsi="Segoe UI"/>
      <w:sz w:val="20"/>
      <w:lang w:val="en-GB" w:eastAsia="en-US"/>
    </w:rPr>
  </w:style>
  <w:style w:type="character" w:customStyle="1" w:styleId="ParagraphChar">
    <w:name w:val="Paragraph Char"/>
    <w:link w:val="Paragraph"/>
    <w:uiPriority w:val="99"/>
    <w:locked/>
    <w:rsid w:val="00F50F08"/>
    <w:rPr>
      <w:rFonts w:ascii="Segoe UI" w:hAnsi="Segoe UI"/>
      <w:lang w:val="en-GB" w:eastAsia="en-US"/>
    </w:rPr>
  </w:style>
  <w:style w:type="paragraph" w:customStyle="1" w:styleId="IndentedHeading1">
    <w:name w:val="Indented Heading 1"/>
    <w:basedOn w:val="Heading1"/>
    <w:next w:val="FirstParagraph"/>
    <w:qFormat/>
    <w:rsid w:val="00F50F08"/>
    <w:pPr>
      <w:keepLines/>
      <w:tabs>
        <w:tab w:val="left" w:pos="794"/>
      </w:tabs>
      <w:spacing w:before="600" w:after="360"/>
      <w:ind w:left="794" w:hanging="794"/>
    </w:pPr>
    <w:rPr>
      <w:rFonts w:ascii="Segoe UI" w:hAnsi="Segoe UI"/>
      <w:b w:val="0"/>
      <w:color w:val="AA322F"/>
      <w:sz w:val="28"/>
      <w:lang w:val="en-GB" w:eastAsia="en-GB"/>
    </w:rPr>
  </w:style>
  <w:style w:type="paragraph" w:customStyle="1" w:styleId="IndentedHeading2">
    <w:name w:val="Indented Heading 2"/>
    <w:basedOn w:val="Heading2"/>
    <w:next w:val="FirstParagraph"/>
    <w:qFormat/>
    <w:rsid w:val="00F50F08"/>
    <w:pPr>
      <w:numPr>
        <w:ilvl w:val="0"/>
        <w:numId w:val="0"/>
      </w:numPr>
      <w:tabs>
        <w:tab w:val="left" w:pos="794"/>
      </w:tabs>
      <w:spacing w:after="240"/>
      <w:ind w:left="794" w:hanging="794"/>
    </w:pPr>
    <w:rPr>
      <w:rFonts w:ascii="Segoe UI" w:hAnsi="Segoe UI"/>
      <w:color w:val="AA322F"/>
      <w:sz w:val="24"/>
      <w:lang w:val="en-GB" w:eastAsia="en-GB"/>
    </w:rPr>
  </w:style>
  <w:style w:type="character" w:styleId="Hyperlink">
    <w:name w:val="Hyperlink"/>
    <w:basedOn w:val="DefaultParagraphFont"/>
    <w:uiPriority w:val="99"/>
    <w:rsid w:val="00DB21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2FD1"/>
    <w:pPr>
      <w:ind w:left="720"/>
      <w:contextualSpacing/>
    </w:pPr>
  </w:style>
  <w:style w:type="paragraph" w:customStyle="1" w:styleId="Runningtitle">
    <w:name w:val="Running title"/>
    <w:qFormat/>
    <w:rsid w:val="009B147B"/>
    <w:rPr>
      <w:rFonts w:asciiTheme="minorHAnsi" w:eastAsiaTheme="minorEastAsia" w:hAnsiTheme="minorHAnsi" w:cstheme="minorBidi"/>
      <w:caps/>
      <w:sz w:val="16"/>
      <w:szCs w:val="1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147B"/>
    <w:rPr>
      <w:rFonts w:ascii="Arial" w:hAnsi="Arial"/>
      <w:sz w:val="18"/>
    </w:rPr>
  </w:style>
  <w:style w:type="character" w:styleId="Emphasis">
    <w:name w:val="Emphasis"/>
    <w:basedOn w:val="DefaultParagraphFont"/>
    <w:uiPriority w:val="20"/>
    <w:qFormat/>
    <w:rsid w:val="003E31E5"/>
    <w:rPr>
      <w:b/>
      <w:bCs/>
      <w:i w:val="0"/>
      <w:iCs w:val="0"/>
    </w:rPr>
  </w:style>
  <w:style w:type="paragraph" w:customStyle="1" w:styleId="Numberedheadinglevel1">
    <w:name w:val="Numbered heading level 1"/>
    <w:basedOn w:val="Normal"/>
    <w:next w:val="Normal"/>
    <w:qFormat/>
    <w:rsid w:val="00A05314"/>
    <w:pPr>
      <w:tabs>
        <w:tab w:val="left" w:pos="0"/>
      </w:tabs>
      <w:spacing w:before="360" w:after="360"/>
      <w:ind w:left="567" w:hanging="567"/>
    </w:pPr>
    <w:rPr>
      <w:rFonts w:ascii="Arial" w:hAnsi="Arial"/>
      <w:color w:val="48748F"/>
      <w:sz w:val="28"/>
      <w:szCs w:val="28"/>
      <w:lang w:val="en-GB" w:eastAsia="en-US"/>
    </w:rPr>
  </w:style>
  <w:style w:type="paragraph" w:customStyle="1" w:styleId="BulletText1">
    <w:name w:val="Bullet Text 1"/>
    <w:basedOn w:val="Normal"/>
    <w:uiPriority w:val="99"/>
    <w:rsid w:val="005F0928"/>
    <w:pPr>
      <w:numPr>
        <w:numId w:val="18"/>
      </w:numPr>
      <w:jc w:val="left"/>
    </w:pPr>
    <w:rPr>
      <w:rFonts w:eastAsia="MS Mincho"/>
      <w:color w:val="000000"/>
      <w:sz w:val="24"/>
      <w:lang w:val="en-US" w:eastAsia="en-US"/>
    </w:rPr>
  </w:style>
  <w:style w:type="paragraph" w:customStyle="1" w:styleId="BulletText2">
    <w:name w:val="Bullet Text 2"/>
    <w:basedOn w:val="Normal"/>
    <w:uiPriority w:val="99"/>
    <w:rsid w:val="005F0928"/>
    <w:pPr>
      <w:numPr>
        <w:numId w:val="19"/>
      </w:numPr>
      <w:jc w:val="left"/>
    </w:pPr>
    <w:rPr>
      <w:rFonts w:eastAsia="MS Mincho"/>
      <w:color w:val="000000"/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850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CF0C4-91E1-4DCB-BDFC-E81872AF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3040</Words>
  <Characters>15831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Banque de France</Company>
  <LinksUpToDate>false</LinksUpToDate>
  <CharactersWithSpaces>18834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ALLMAN</dc:creator>
  <cp:lastModifiedBy>Walter Vecchiato</cp:lastModifiedBy>
  <cp:revision>39</cp:revision>
  <cp:lastPrinted>2016-06-06T09:31:00Z</cp:lastPrinted>
  <dcterms:created xsi:type="dcterms:W3CDTF">2016-10-17T17:08:00Z</dcterms:created>
  <dcterms:modified xsi:type="dcterms:W3CDTF">2017-04-04T12:51:00Z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PRA 2182125</vt:lpwstr>
  </property>
  <property fmtid="{D5CDD505-2E9C-101B-9397-08002B2CF9AE}" pid="3" name="DocVer">
    <vt:lpwstr>PRA 2182125v2</vt:lpwstr>
  </property>
</Properties>
</file>