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694CC" w14:textId="77777777" w:rsidR="002B5CF2" w:rsidRPr="00826E1D" w:rsidRDefault="00392600" w:rsidP="002B5CF2">
      <w:pPr>
        <w:pStyle w:val="Numberedtilelevel1"/>
        <w:numPr>
          <w:ilvl w:val="0"/>
          <w:numId w:val="0"/>
        </w:numPr>
        <w:rPr>
          <w:rStyle w:val="Hyperlink"/>
          <w:u w:val="none"/>
          <w:lang w:val="en-GB"/>
        </w:rPr>
      </w:pPr>
      <w:bookmarkStart w:id="0" w:name="_Toc238803087"/>
      <w:bookmarkStart w:id="1" w:name="_Toc238803888"/>
      <w:bookmarkStart w:id="2" w:name="_Toc331517775"/>
      <w:bookmarkStart w:id="3" w:name="_Toc246389303"/>
      <w:r>
        <w:rPr>
          <w:rStyle w:val="Hyperlink"/>
          <w:u w:val="none"/>
          <w:lang w:val="en-GB"/>
        </w:rPr>
        <w:t>Guidelines</w:t>
      </w:r>
      <w:r w:rsidRPr="00A64B3F">
        <w:rPr>
          <w:rStyle w:val="Hyperlink"/>
          <w:u w:val="none"/>
          <w:lang w:val="en-GB"/>
        </w:rPr>
        <w:t xml:space="preserve"> </w:t>
      </w:r>
      <w:r w:rsidR="002B5CF2" w:rsidRPr="00A64B3F">
        <w:rPr>
          <w:rStyle w:val="Hyperlink"/>
          <w:u w:val="none"/>
          <w:lang w:val="en-GB"/>
        </w:rPr>
        <w:t>compliance table</w:t>
      </w:r>
    </w:p>
    <w:tbl>
      <w:tblPr>
        <w:tblpPr w:leftFromText="180" w:rightFromText="180" w:vertAnchor="text" w:tblpY="1"/>
        <w:tblOverlap w:val="never"/>
        <w:tblW w:w="0" w:type="auto"/>
        <w:tblCellMar>
          <w:top w:w="85" w:type="dxa"/>
          <w:bottom w:w="85" w:type="dxa"/>
        </w:tblCellMar>
        <w:tblLook w:val="04A0" w:firstRow="1" w:lastRow="0" w:firstColumn="1" w:lastColumn="0" w:noHBand="0" w:noVBand="1"/>
      </w:tblPr>
      <w:tblGrid>
        <w:gridCol w:w="3686"/>
      </w:tblGrid>
      <w:tr w:rsidR="002B5CF2" w:rsidRPr="00CD3A8C" w14:paraId="231712E3" w14:textId="77777777" w:rsidTr="00BF027D">
        <w:tc>
          <w:tcPr>
            <w:tcW w:w="3686" w:type="dxa"/>
            <w:tcBorders>
              <w:bottom w:val="single" w:sz="4" w:space="0" w:color="A6A6A6" w:themeColor="background1" w:themeShade="A6"/>
            </w:tcBorders>
            <w:shd w:val="clear" w:color="auto" w:fill="auto"/>
          </w:tcPr>
          <w:p w14:paraId="5B674035" w14:textId="501A5D0B" w:rsidR="002B5CF2" w:rsidRPr="00CD3A8C" w:rsidRDefault="00A75FBE" w:rsidP="006432B2">
            <w:r>
              <w:rPr>
                <w:rFonts w:cstheme="minorHAnsi"/>
              </w:rPr>
              <w:fldChar w:fldCharType="begin">
                <w:ffData>
                  <w:name w:val=""/>
                  <w:enabled/>
                  <w:calcOnExit w:val="0"/>
                  <w:textInput>
                    <w:default w:val="EBA/GL/2017/12"/>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EBA/GL/2017/12</w:t>
            </w:r>
            <w:r>
              <w:rPr>
                <w:rFonts w:cstheme="minorHAnsi"/>
              </w:rPr>
              <w:fldChar w:fldCharType="end"/>
            </w:r>
            <w:r w:rsidR="00B32033">
              <w:rPr>
                <w:rFonts w:cstheme="minorHAnsi"/>
              </w:rPr>
              <w:t xml:space="preserve"> (</w:t>
            </w:r>
            <w:r w:rsidR="00B32033" w:rsidRPr="00B32033">
              <w:rPr>
                <w:rFonts w:cstheme="minorHAnsi"/>
              </w:rPr>
              <w:t>ESMA</w:t>
            </w:r>
            <w:r w:rsidR="006432B2">
              <w:rPr>
                <w:rFonts w:cstheme="minorHAnsi"/>
              </w:rPr>
              <w:t>71-99-598</w:t>
            </w:r>
            <w:r w:rsidR="00B32033" w:rsidRPr="00B32033">
              <w:rPr>
                <w:rFonts w:cstheme="minorHAnsi"/>
              </w:rPr>
              <w:t>)</w:t>
            </w:r>
          </w:p>
        </w:tc>
      </w:tr>
      <w:tr w:rsidR="002B5CF2" w:rsidRPr="00CD3A8C" w14:paraId="719FFF58" w14:textId="77777777" w:rsidTr="00BF027D">
        <w:tc>
          <w:tcPr>
            <w:tcW w:w="3686" w:type="dxa"/>
            <w:tcBorders>
              <w:top w:val="single" w:sz="4" w:space="0" w:color="A6A6A6" w:themeColor="background1" w:themeShade="A6"/>
              <w:bottom w:val="single" w:sz="4" w:space="0" w:color="A6A6A6" w:themeColor="background1" w:themeShade="A6"/>
            </w:tcBorders>
            <w:shd w:val="clear" w:color="auto" w:fill="auto"/>
          </w:tcPr>
          <w:p w14:paraId="473C5BF1" w14:textId="06A4E072" w:rsidR="002B5CF2" w:rsidRPr="00CD3A8C" w:rsidRDefault="00A75FBE" w:rsidP="00BF027D">
            <w:r>
              <w:rPr>
                <w:rFonts w:cstheme="minorHAnsi"/>
              </w:rPr>
              <w:t>26 September 2017</w:t>
            </w:r>
            <w:r w:rsidR="002D702A">
              <w:rPr>
                <w:rFonts w:cstheme="minorHAnsi"/>
              </w:rPr>
              <w:t>; Date of application –</w:t>
            </w:r>
            <w:r>
              <w:rPr>
                <w:rFonts w:cstheme="minorHAnsi"/>
              </w:rPr>
              <w:t xml:space="preserve"> 30 June 2018</w:t>
            </w:r>
          </w:p>
        </w:tc>
      </w:tr>
      <w:tr w:rsidR="002B5CF2" w:rsidRPr="00CD3A8C" w14:paraId="6BF283AA" w14:textId="77777777" w:rsidTr="00BF027D">
        <w:tc>
          <w:tcPr>
            <w:tcW w:w="3686" w:type="dxa"/>
            <w:tcBorders>
              <w:top w:val="single" w:sz="4" w:space="0" w:color="A6A6A6" w:themeColor="background1" w:themeShade="A6"/>
            </w:tcBorders>
            <w:shd w:val="clear" w:color="auto" w:fill="auto"/>
          </w:tcPr>
          <w:p w14:paraId="2213C829" w14:textId="77777777" w:rsidR="002B5CF2" w:rsidRPr="00CD3A8C" w:rsidRDefault="002B5CF2" w:rsidP="00BF027D"/>
        </w:tc>
      </w:tr>
    </w:tbl>
    <w:p w14:paraId="2D1FBAE5" w14:textId="5AD2D4F4" w:rsidR="00A75FBE" w:rsidRDefault="00BF027D" w:rsidP="002B5CF2">
      <w:pPr>
        <w:pStyle w:val="body"/>
        <w:jc w:val="left"/>
        <w:rPr>
          <w:rFonts w:asciiTheme="majorHAnsi" w:eastAsiaTheme="majorEastAsia" w:hAnsiTheme="majorHAnsi" w:cstheme="majorBidi"/>
          <w:bCs/>
          <w:color w:val="2F5773" w:themeColor="text2"/>
          <w:sz w:val="32"/>
          <w:lang w:val="en-GB"/>
        </w:rPr>
      </w:pPr>
      <w:r>
        <w:rPr>
          <w:rFonts w:asciiTheme="majorHAnsi" w:eastAsiaTheme="majorEastAsia" w:hAnsiTheme="majorHAnsi" w:cstheme="majorBidi"/>
          <w:bCs/>
          <w:color w:val="2F5773" w:themeColor="text2"/>
          <w:sz w:val="32"/>
          <w:lang w:val="en-GB"/>
        </w:rPr>
        <w:br w:type="textWrapping" w:clear="all"/>
      </w:r>
      <w:r w:rsidR="00A75FBE" w:rsidRPr="00A75FBE">
        <w:rPr>
          <w:rFonts w:asciiTheme="majorHAnsi" w:eastAsiaTheme="majorEastAsia" w:hAnsiTheme="majorHAnsi" w:cstheme="majorBidi"/>
          <w:bCs/>
          <w:color w:val="2F5773" w:themeColor="text2"/>
          <w:sz w:val="32"/>
          <w:lang w:val="en-GB"/>
        </w:rPr>
        <w:t xml:space="preserve">Joint ESMA and EBA Guidelines on the assessment of the suitability of members of the management body and key function holders under Directive 2013/36/EU and Directive 2014/65/EU </w:t>
      </w:r>
    </w:p>
    <w:p w14:paraId="35FCADCE" w14:textId="2FF4B296" w:rsidR="00AC1436" w:rsidRPr="00CD3A8C" w:rsidRDefault="002B5CF2" w:rsidP="002B5CF2">
      <w:pPr>
        <w:pStyle w:val="body"/>
        <w:jc w:val="left"/>
        <w:rPr>
          <w:lang w:val="en-GB"/>
        </w:rPr>
      </w:pPr>
      <w:r>
        <w:rPr>
          <w:lang w:val="en-GB"/>
        </w:rPr>
        <w:t xml:space="preserve">The following competent authorities* comply or intend to comply with </w:t>
      </w:r>
      <w:r w:rsidR="00261450">
        <w:rPr>
          <w:lang w:val="en-GB"/>
        </w:rPr>
        <w:t>the</w:t>
      </w:r>
      <w:r>
        <w:rPr>
          <w:lang w:val="en-GB"/>
        </w:rPr>
        <w:t xml:space="preserve"> </w:t>
      </w:r>
      <w:r w:rsidR="00A75FBE" w:rsidRPr="00A75FBE">
        <w:rPr>
          <w:lang w:val="en-GB"/>
        </w:rPr>
        <w:t>Joint ESMA and EBA Guidelines on the assessment of the suitability of members of the management body and key function holders</w:t>
      </w:r>
      <w:r w:rsidR="00217C42">
        <w:rPr>
          <w:rStyle w:val="FootnoteReference"/>
          <w:lang w:val="en-GB"/>
        </w:rPr>
        <w:footnoteReference w:id="2"/>
      </w:r>
      <w:r w:rsidR="00D73169">
        <w:rPr>
          <w:lang w:val="en-GB"/>
        </w:rPr>
        <w:t>:</w:t>
      </w:r>
    </w:p>
    <w:tbl>
      <w:tblPr>
        <w:tblStyle w:val="EBAtable"/>
        <w:tblpPr w:leftFromText="180" w:rightFromText="180" w:vertAnchor="text" w:tblpXSpec="center" w:tblpY="1"/>
        <w:tblOverlap w:val="never"/>
        <w:tblW w:w="10173" w:type="dxa"/>
        <w:tblLayout w:type="fixed"/>
        <w:tblLook w:val="04A0" w:firstRow="1" w:lastRow="0" w:firstColumn="1" w:lastColumn="0" w:noHBand="0" w:noVBand="1"/>
      </w:tblPr>
      <w:tblGrid>
        <w:gridCol w:w="534"/>
        <w:gridCol w:w="459"/>
        <w:gridCol w:w="283"/>
        <w:gridCol w:w="1135"/>
        <w:gridCol w:w="1559"/>
        <w:gridCol w:w="1134"/>
        <w:gridCol w:w="1559"/>
        <w:gridCol w:w="3510"/>
      </w:tblGrid>
      <w:tr w:rsidR="006426E8" w:rsidRPr="00A2678D" w14:paraId="687044A0" w14:textId="77777777" w:rsidTr="00BF3540">
        <w:trPr>
          <w:cnfStyle w:val="100000000000" w:firstRow="1" w:lastRow="0" w:firstColumn="0" w:lastColumn="0" w:oddVBand="0" w:evenVBand="0" w:oddHBand="0" w:evenHBand="0" w:firstRowFirstColumn="0" w:firstRowLastColumn="0" w:lastRowFirstColumn="0" w:lastRowLastColumn="0"/>
          <w:trHeight w:val="748"/>
        </w:trPr>
        <w:tc>
          <w:tcPr>
            <w:tcW w:w="2411" w:type="dxa"/>
            <w:gridSpan w:val="4"/>
          </w:tcPr>
          <w:p w14:paraId="39A47E1F" w14:textId="77777777" w:rsidR="006426E8" w:rsidRPr="006D2ED5" w:rsidRDefault="006426E8" w:rsidP="00BF3540">
            <w:pPr>
              <w:pStyle w:val="Tableheader"/>
              <w:rPr>
                <w:rFonts w:asciiTheme="minorHAnsi" w:hAnsiTheme="minorHAnsi"/>
                <w:sz w:val="20"/>
                <w:szCs w:val="20"/>
                <w:lang w:val="en-GB"/>
              </w:rPr>
            </w:pPr>
          </w:p>
        </w:tc>
        <w:tc>
          <w:tcPr>
            <w:tcW w:w="1559" w:type="dxa"/>
          </w:tcPr>
          <w:p w14:paraId="76872D45" w14:textId="77777777" w:rsidR="006426E8" w:rsidRPr="006D2ED5" w:rsidRDefault="006426E8" w:rsidP="00BF3540">
            <w:pPr>
              <w:pStyle w:val="Tableheader"/>
              <w:rPr>
                <w:rFonts w:asciiTheme="minorHAnsi" w:hAnsiTheme="minorHAnsi"/>
                <w:sz w:val="20"/>
                <w:szCs w:val="20"/>
                <w:lang w:val="en-GB"/>
              </w:rPr>
            </w:pPr>
            <w:r w:rsidRPr="006D2ED5">
              <w:rPr>
                <w:rFonts w:asciiTheme="minorHAnsi" w:hAnsiTheme="minorHAnsi"/>
                <w:sz w:val="20"/>
                <w:szCs w:val="20"/>
                <w:lang w:val="en-GB"/>
              </w:rPr>
              <w:t>Competent</w:t>
            </w:r>
            <w:r w:rsidRPr="006D2ED5">
              <w:rPr>
                <w:rFonts w:asciiTheme="minorHAnsi" w:hAnsiTheme="minorHAnsi"/>
                <w:sz w:val="20"/>
                <w:szCs w:val="20"/>
                <w:lang w:val="en-GB"/>
              </w:rPr>
              <w:br/>
              <w:t>authority</w:t>
            </w:r>
          </w:p>
        </w:tc>
        <w:tc>
          <w:tcPr>
            <w:tcW w:w="1134" w:type="dxa"/>
          </w:tcPr>
          <w:p w14:paraId="0C7CE883" w14:textId="15643A04" w:rsidR="006426E8" w:rsidRPr="006D2ED5" w:rsidRDefault="006426E8" w:rsidP="00BF3540">
            <w:pPr>
              <w:pStyle w:val="Tableheader"/>
              <w:rPr>
                <w:rFonts w:asciiTheme="minorHAnsi" w:hAnsiTheme="minorHAnsi"/>
                <w:sz w:val="20"/>
                <w:szCs w:val="20"/>
                <w:lang w:val="en-GB"/>
              </w:rPr>
            </w:pPr>
            <w:r>
              <w:rPr>
                <w:rFonts w:asciiTheme="minorHAnsi" w:hAnsiTheme="minorHAnsi"/>
                <w:sz w:val="20"/>
                <w:szCs w:val="20"/>
                <w:lang w:val="en-GB"/>
              </w:rPr>
              <w:t>Relevant ESMA/EBA</w:t>
            </w:r>
          </w:p>
        </w:tc>
        <w:tc>
          <w:tcPr>
            <w:tcW w:w="1559" w:type="dxa"/>
          </w:tcPr>
          <w:p w14:paraId="3AE0B13E" w14:textId="39E11F5C" w:rsidR="006426E8" w:rsidRPr="006D2ED5" w:rsidRDefault="006426E8" w:rsidP="00BF3540">
            <w:pPr>
              <w:pStyle w:val="Tableheader"/>
              <w:rPr>
                <w:rFonts w:asciiTheme="minorHAnsi" w:hAnsiTheme="minorHAnsi"/>
                <w:sz w:val="20"/>
                <w:szCs w:val="20"/>
                <w:lang w:val="en-GB"/>
              </w:rPr>
            </w:pPr>
            <w:r w:rsidRPr="006D2ED5">
              <w:rPr>
                <w:rFonts w:asciiTheme="minorHAnsi" w:hAnsiTheme="minorHAnsi"/>
                <w:sz w:val="20"/>
                <w:szCs w:val="20"/>
                <w:lang w:val="en-GB"/>
              </w:rPr>
              <w:t>Complies or</w:t>
            </w:r>
            <w:r w:rsidRPr="006D2ED5">
              <w:rPr>
                <w:rFonts w:asciiTheme="minorHAnsi" w:hAnsiTheme="minorHAnsi"/>
                <w:sz w:val="20"/>
                <w:szCs w:val="20"/>
                <w:lang w:val="en-GB"/>
              </w:rPr>
              <w:br/>
              <w:t>intends to comply</w:t>
            </w:r>
          </w:p>
        </w:tc>
        <w:tc>
          <w:tcPr>
            <w:tcW w:w="3510" w:type="dxa"/>
          </w:tcPr>
          <w:p w14:paraId="58FC770E" w14:textId="77777777" w:rsidR="006426E8" w:rsidRPr="006D2ED5" w:rsidRDefault="006426E8" w:rsidP="00BF3540">
            <w:pPr>
              <w:pStyle w:val="Tableheader"/>
              <w:rPr>
                <w:rFonts w:asciiTheme="minorHAnsi" w:hAnsiTheme="minorHAnsi"/>
                <w:sz w:val="20"/>
                <w:szCs w:val="20"/>
                <w:lang w:val="en-GB"/>
              </w:rPr>
            </w:pPr>
            <w:r w:rsidRPr="006D2ED5">
              <w:rPr>
                <w:rFonts w:asciiTheme="minorHAnsi" w:hAnsiTheme="minorHAnsi"/>
                <w:sz w:val="20"/>
                <w:szCs w:val="20"/>
                <w:lang w:val="en-GB"/>
              </w:rPr>
              <w:t>Comments</w:t>
            </w:r>
          </w:p>
        </w:tc>
      </w:tr>
      <w:tr w:rsidR="006426E8" w:rsidRPr="00A2678D" w14:paraId="69C88330" w14:textId="77777777" w:rsidTr="00BF3540">
        <w:tc>
          <w:tcPr>
            <w:tcW w:w="993" w:type="dxa"/>
            <w:gridSpan w:val="2"/>
            <w:tcBorders>
              <w:bottom w:val="single" w:sz="4" w:space="0" w:color="auto"/>
            </w:tcBorders>
          </w:tcPr>
          <w:p w14:paraId="3605A796" w14:textId="77777777" w:rsidR="006426E8" w:rsidRPr="00A64B3F" w:rsidRDefault="006426E8" w:rsidP="00BF3540">
            <w:pPr>
              <w:pStyle w:val="Tabledata"/>
              <w:jc w:val="left"/>
              <w:rPr>
                <w:szCs w:val="20"/>
              </w:rPr>
            </w:pPr>
            <w:r>
              <w:rPr>
                <w:szCs w:val="20"/>
              </w:rPr>
              <w:t>Member State</w:t>
            </w:r>
          </w:p>
        </w:tc>
        <w:tc>
          <w:tcPr>
            <w:tcW w:w="1418" w:type="dxa"/>
            <w:gridSpan w:val="2"/>
            <w:tcBorders>
              <w:bottom w:val="single" w:sz="4" w:space="0" w:color="auto"/>
            </w:tcBorders>
          </w:tcPr>
          <w:p w14:paraId="11FAE9D4" w14:textId="77777777" w:rsidR="006426E8" w:rsidRPr="008B5776" w:rsidRDefault="006426E8" w:rsidP="00BF3540">
            <w:pPr>
              <w:pStyle w:val="Tabledata"/>
              <w:jc w:val="left"/>
              <w:rPr>
                <w:szCs w:val="20"/>
              </w:rPr>
            </w:pPr>
          </w:p>
        </w:tc>
        <w:tc>
          <w:tcPr>
            <w:tcW w:w="1559" w:type="dxa"/>
            <w:tcBorders>
              <w:bottom w:val="single" w:sz="4" w:space="0" w:color="auto"/>
            </w:tcBorders>
          </w:tcPr>
          <w:p w14:paraId="61E936AA" w14:textId="77777777" w:rsidR="006426E8" w:rsidRPr="00DA049C" w:rsidRDefault="006426E8" w:rsidP="00BF3540">
            <w:pPr>
              <w:pStyle w:val="Tabledata"/>
              <w:jc w:val="left"/>
              <w:rPr>
                <w:szCs w:val="20"/>
              </w:rPr>
            </w:pPr>
          </w:p>
        </w:tc>
        <w:tc>
          <w:tcPr>
            <w:tcW w:w="1134" w:type="dxa"/>
            <w:tcBorders>
              <w:bottom w:val="single" w:sz="4" w:space="0" w:color="auto"/>
            </w:tcBorders>
            <w:shd w:val="clear" w:color="auto" w:fill="auto"/>
          </w:tcPr>
          <w:p w14:paraId="61223733" w14:textId="77777777" w:rsidR="006426E8" w:rsidRDefault="006426E8" w:rsidP="00BF3540">
            <w:pPr>
              <w:pStyle w:val="Tabledata"/>
              <w:jc w:val="left"/>
              <w:rPr>
                <w:b/>
                <w:color w:val="auto"/>
                <w:szCs w:val="20"/>
              </w:rPr>
            </w:pPr>
          </w:p>
        </w:tc>
        <w:tc>
          <w:tcPr>
            <w:tcW w:w="1559" w:type="dxa"/>
            <w:tcBorders>
              <w:bottom w:val="single" w:sz="4" w:space="0" w:color="auto"/>
            </w:tcBorders>
            <w:shd w:val="clear" w:color="auto" w:fill="auto"/>
          </w:tcPr>
          <w:p w14:paraId="4AE310FE" w14:textId="2EF0A622" w:rsidR="006426E8" w:rsidRDefault="006426E8" w:rsidP="00BF3540">
            <w:pPr>
              <w:pStyle w:val="Tabledata"/>
              <w:jc w:val="left"/>
              <w:rPr>
                <w:b/>
                <w:color w:val="auto"/>
                <w:szCs w:val="20"/>
              </w:rPr>
            </w:pPr>
          </w:p>
        </w:tc>
        <w:tc>
          <w:tcPr>
            <w:tcW w:w="3510" w:type="dxa"/>
            <w:tcBorders>
              <w:bottom w:val="single" w:sz="4" w:space="0" w:color="auto"/>
            </w:tcBorders>
          </w:tcPr>
          <w:p w14:paraId="040FB612" w14:textId="77777777" w:rsidR="006426E8" w:rsidRPr="006D2ED5" w:rsidRDefault="006426E8" w:rsidP="00BF3540">
            <w:pPr>
              <w:suppressAutoHyphens/>
              <w:rPr>
                <w:rFonts w:cs="Calibri"/>
                <w:color w:val="000000"/>
                <w:sz w:val="20"/>
                <w:szCs w:val="20"/>
                <w:lang w:eastAsia="en-GB"/>
              </w:rPr>
            </w:pPr>
          </w:p>
        </w:tc>
      </w:tr>
      <w:tr w:rsidR="009F14A1" w:rsidRPr="00A2678D" w14:paraId="5473CF94" w14:textId="77777777" w:rsidTr="00BF3540">
        <w:tc>
          <w:tcPr>
            <w:tcW w:w="993" w:type="dxa"/>
            <w:gridSpan w:val="2"/>
            <w:vMerge w:val="restart"/>
            <w:tcBorders>
              <w:top w:val="single" w:sz="4" w:space="0" w:color="auto"/>
              <w:left w:val="single" w:sz="4" w:space="0" w:color="auto"/>
              <w:right w:val="single" w:sz="4" w:space="0" w:color="auto"/>
            </w:tcBorders>
          </w:tcPr>
          <w:p w14:paraId="4C5DC08C" w14:textId="147FFADF" w:rsidR="009F14A1" w:rsidRPr="006426E8" w:rsidRDefault="009F14A1" w:rsidP="00BF3540">
            <w:pPr>
              <w:pStyle w:val="Tabledata"/>
              <w:jc w:val="center"/>
              <w:rPr>
                <w:rFonts w:cs="Arial"/>
                <w:bCs w:val="0"/>
              </w:rPr>
            </w:pPr>
            <w:r w:rsidRPr="006426E8">
              <w:rPr>
                <w:rFonts w:cs="Arial"/>
                <w:bCs w:val="0"/>
              </w:rPr>
              <w:t>BE</w:t>
            </w:r>
          </w:p>
        </w:tc>
        <w:tc>
          <w:tcPr>
            <w:tcW w:w="1418" w:type="dxa"/>
            <w:gridSpan w:val="2"/>
            <w:vMerge w:val="restart"/>
            <w:tcBorders>
              <w:top w:val="single" w:sz="4" w:space="0" w:color="auto"/>
              <w:left w:val="single" w:sz="4" w:space="0" w:color="auto"/>
              <w:right w:val="single" w:sz="4" w:space="0" w:color="auto"/>
            </w:tcBorders>
          </w:tcPr>
          <w:p w14:paraId="43B09B38" w14:textId="67FC26C3" w:rsidR="009F14A1" w:rsidRPr="006426E8" w:rsidRDefault="009F14A1" w:rsidP="00BF3540">
            <w:pPr>
              <w:pStyle w:val="Tabledata"/>
              <w:jc w:val="center"/>
              <w:rPr>
                <w:rFonts w:cs="Arial"/>
                <w:bCs w:val="0"/>
              </w:rPr>
            </w:pPr>
            <w:r w:rsidRPr="006426E8">
              <w:rPr>
                <w:rFonts w:cs="Arial"/>
                <w:bCs w:val="0"/>
              </w:rPr>
              <w:t>Belgium</w:t>
            </w:r>
          </w:p>
        </w:tc>
        <w:tc>
          <w:tcPr>
            <w:tcW w:w="1559" w:type="dxa"/>
            <w:tcBorders>
              <w:top w:val="single" w:sz="4" w:space="0" w:color="auto"/>
              <w:left w:val="single" w:sz="4" w:space="0" w:color="auto"/>
              <w:bottom w:val="single" w:sz="4" w:space="0" w:color="auto"/>
              <w:right w:val="single" w:sz="4" w:space="0" w:color="auto"/>
            </w:tcBorders>
          </w:tcPr>
          <w:p w14:paraId="693F7D72" w14:textId="77777777" w:rsidR="009F14A1" w:rsidRPr="006426E8" w:rsidRDefault="009F14A1" w:rsidP="00BF3540">
            <w:pPr>
              <w:pStyle w:val="Tabledata"/>
              <w:jc w:val="left"/>
              <w:rPr>
                <w:rFonts w:cs="Arial"/>
                <w:bCs w:val="0"/>
              </w:rPr>
            </w:pPr>
            <w:r w:rsidRPr="006426E8">
              <w:rPr>
                <w:rFonts w:cs="Arial"/>
                <w:bCs w:val="0"/>
              </w:rPr>
              <w:t>National Bank of Belgium</w:t>
            </w:r>
          </w:p>
        </w:tc>
        <w:tc>
          <w:tcPr>
            <w:tcW w:w="1134" w:type="dxa"/>
            <w:tcBorders>
              <w:top w:val="single" w:sz="4" w:space="0" w:color="auto"/>
              <w:left w:val="single" w:sz="4" w:space="0" w:color="auto"/>
              <w:bottom w:val="single" w:sz="4" w:space="0" w:color="auto"/>
              <w:right w:val="single" w:sz="4" w:space="0" w:color="auto"/>
            </w:tcBorders>
          </w:tcPr>
          <w:p w14:paraId="0BAA7D78" w14:textId="6012DF5D" w:rsidR="009F14A1" w:rsidRPr="00A75FBE" w:rsidRDefault="009F14A1" w:rsidP="00BF3540">
            <w:pPr>
              <w:pStyle w:val="Tabledata"/>
              <w:jc w:val="center"/>
              <w:rPr>
                <w:b/>
                <w:color w:val="auto"/>
                <w:szCs w:val="20"/>
              </w:rPr>
            </w:pPr>
            <w:r>
              <w:rPr>
                <w:b/>
                <w:color w:val="auto"/>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43BC70E8" w14:textId="4F0FD1B8" w:rsidR="009F14A1" w:rsidRPr="00A75FBE" w:rsidRDefault="009F14A1" w:rsidP="00BF3540">
            <w:pPr>
              <w:pStyle w:val="Tabledata"/>
              <w:jc w:val="center"/>
              <w:rPr>
                <w:b/>
                <w:color w:val="auto"/>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D2EFF96" w14:textId="77777777" w:rsidR="009F14A1" w:rsidRDefault="009F14A1" w:rsidP="00BF3540">
            <w:pPr>
              <w:pStyle w:val="Tabledata"/>
              <w:contextualSpacing/>
              <w:jc w:val="left"/>
            </w:pPr>
            <w:r w:rsidRPr="00124B0A">
              <w:rPr>
                <w:bCs w:val="0"/>
              </w:rPr>
              <w:t>The National Bank of Belgium will generally and almost entirely comply with the EBA</w:t>
            </w:r>
            <w:r>
              <w:rPr>
                <w:bCs w:val="0"/>
              </w:rPr>
              <w:t xml:space="preserve"> </w:t>
            </w:r>
            <w:r w:rsidRPr="00124B0A">
              <w:rPr>
                <w:bCs w:val="0"/>
              </w:rPr>
              <w:t>Guidelines on suitability of members of the management body and key function holders</w:t>
            </w:r>
            <w:r>
              <w:rPr>
                <w:bCs w:val="0"/>
              </w:rPr>
              <w:t xml:space="preserve"> </w:t>
            </w:r>
            <w:r w:rsidRPr="00124B0A">
              <w:rPr>
                <w:bCs w:val="0"/>
              </w:rPr>
              <w:t>under Directive 2</w:t>
            </w:r>
            <w:r>
              <w:rPr>
                <w:bCs w:val="0"/>
              </w:rPr>
              <w:t>013/36/EU and Directive 2014/65/</w:t>
            </w:r>
            <w:r w:rsidRPr="00124B0A">
              <w:rPr>
                <w:bCs w:val="0"/>
              </w:rPr>
              <w:t>EU (EBA/GL/2017I12). However, as some</w:t>
            </w:r>
            <w:r>
              <w:rPr>
                <w:bCs w:val="0"/>
              </w:rPr>
              <w:t xml:space="preserve"> </w:t>
            </w:r>
            <w:r w:rsidRPr="00124B0A">
              <w:rPr>
                <w:bCs w:val="0"/>
              </w:rPr>
              <w:t>aspects in the Guidelines differ from the requirements laid down in the Law of 25 April 2014</w:t>
            </w:r>
            <w:r>
              <w:rPr>
                <w:bCs w:val="0"/>
              </w:rPr>
              <w:t xml:space="preserve"> </w:t>
            </w:r>
            <w:r w:rsidRPr="00124B0A">
              <w:rPr>
                <w:bCs w:val="0"/>
              </w:rPr>
              <w:t>on the legal status and supervision of credit institutions and stockbroking firms ("Banking</w:t>
            </w:r>
            <w:r>
              <w:rPr>
                <w:bCs w:val="0"/>
              </w:rPr>
              <w:t xml:space="preserve"> </w:t>
            </w:r>
            <w:r w:rsidRPr="00124B0A">
              <w:rPr>
                <w:bCs w:val="0"/>
              </w:rPr>
              <w:t>Law"), the following aspects of the Guidelines will be taken into account as a good practice,</w:t>
            </w:r>
            <w:r>
              <w:rPr>
                <w:bCs w:val="0"/>
              </w:rPr>
              <w:t xml:space="preserve"> </w:t>
            </w:r>
            <w:r w:rsidRPr="00124B0A">
              <w:rPr>
                <w:bCs w:val="0"/>
              </w:rPr>
              <w:t>rather than a formal requirement:</w:t>
            </w:r>
            <w:r>
              <w:rPr>
                <w:bCs w:val="0"/>
              </w:rPr>
              <w:t xml:space="preserve"> </w:t>
            </w:r>
            <w:r w:rsidRPr="00124B0A">
              <w:rPr>
                <w:bCs w:val="0"/>
                <w:u w:val="single"/>
              </w:rPr>
              <w:t>Calculation of the number of directorships (§§ 52-55 Guidelines)</w:t>
            </w:r>
            <w:r>
              <w:rPr>
                <w:bCs w:val="0"/>
              </w:rPr>
              <w:t xml:space="preserve"> </w:t>
            </w:r>
            <w:r w:rsidRPr="00124B0A">
              <w:rPr>
                <w:bCs w:val="0"/>
              </w:rPr>
              <w:t>According to article 62, § 9 of the Banking Law, the exercise of several directorships in</w:t>
            </w:r>
            <w:r>
              <w:rPr>
                <w:bCs w:val="0"/>
              </w:rPr>
              <w:t xml:space="preserve"> </w:t>
            </w:r>
            <w:r w:rsidRPr="00124B0A">
              <w:rPr>
                <w:bCs w:val="0"/>
              </w:rPr>
              <w:t>undertakings that form part of the group to which the institution belongs or of another</w:t>
            </w:r>
            <w:r>
              <w:rPr>
                <w:bCs w:val="0"/>
              </w:rPr>
              <w:t xml:space="preserve"> </w:t>
            </w:r>
            <w:r w:rsidRPr="00124B0A">
              <w:rPr>
                <w:bCs w:val="0"/>
              </w:rPr>
              <w:t xml:space="preserve">group </w:t>
            </w:r>
            <w:proofErr w:type="gramStart"/>
            <w:r w:rsidRPr="00124B0A">
              <w:rPr>
                <w:bCs w:val="0"/>
              </w:rPr>
              <w:lastRenderedPageBreak/>
              <w:t>shall</w:t>
            </w:r>
            <w:proofErr w:type="gramEnd"/>
            <w:r w:rsidRPr="00124B0A">
              <w:rPr>
                <w:bCs w:val="0"/>
              </w:rPr>
              <w:t xml:space="preserve"> be counted as one single mandate. For the application of this article, "group"</w:t>
            </w:r>
            <w:r>
              <w:rPr>
                <w:bCs w:val="0"/>
              </w:rPr>
              <w:t xml:space="preserve"> </w:t>
            </w:r>
            <w:r w:rsidRPr="00124B0A">
              <w:rPr>
                <w:bCs w:val="0"/>
              </w:rPr>
              <w:t xml:space="preserve">shall be </w:t>
            </w:r>
            <w:r>
              <w:rPr>
                <w:bCs w:val="0"/>
              </w:rPr>
              <w:t>u</w:t>
            </w:r>
            <w:r w:rsidRPr="00124B0A">
              <w:rPr>
                <w:bCs w:val="0"/>
              </w:rPr>
              <w:t>nderstood to mean a set of undertakings that are formed by one parent</w:t>
            </w:r>
            <w:r>
              <w:rPr>
                <w:bCs w:val="0"/>
              </w:rPr>
              <w:t xml:space="preserve"> </w:t>
            </w:r>
            <w:r w:rsidRPr="00124B0A">
              <w:rPr>
                <w:bCs w:val="0"/>
              </w:rPr>
              <w:t>undertaking, its subsidiaries, the undertakings in which the parent undertaking or its</w:t>
            </w:r>
            <w:r>
              <w:rPr>
                <w:bCs w:val="0"/>
              </w:rPr>
              <w:t xml:space="preserve"> </w:t>
            </w:r>
            <w:r w:rsidRPr="00124B0A">
              <w:rPr>
                <w:bCs w:val="0"/>
              </w:rPr>
              <w:t>subsidiaries have a direct or indirect holding within the meaning of article 3, 26° of the</w:t>
            </w:r>
            <w:r>
              <w:rPr>
                <w:bCs w:val="0"/>
              </w:rPr>
              <w:t xml:space="preserve"> </w:t>
            </w:r>
            <w:r w:rsidRPr="00124B0A">
              <w:rPr>
                <w:bCs w:val="0"/>
              </w:rPr>
              <w:t>Banking Law, as well as undertakings forming a consortium and undertakings that are</w:t>
            </w:r>
            <w:r>
              <w:rPr>
                <w:bCs w:val="0"/>
              </w:rPr>
              <w:t xml:space="preserve"> </w:t>
            </w:r>
            <w:r w:rsidRPr="00124B0A">
              <w:rPr>
                <w:bCs w:val="0"/>
              </w:rPr>
              <w:t>controlled by the latter undertakings or in which these latter undertakings have a holding</w:t>
            </w:r>
            <w:r>
              <w:rPr>
                <w:bCs w:val="0"/>
              </w:rPr>
              <w:t xml:space="preserve"> </w:t>
            </w:r>
            <w:r w:rsidRPr="00124B0A">
              <w:rPr>
                <w:bCs w:val="0"/>
              </w:rPr>
              <w:t>within the meaning of article 3, 26° of the Banking Law.</w:t>
            </w:r>
            <w:r>
              <w:rPr>
                <w:bCs w:val="0"/>
              </w:rPr>
              <w:t xml:space="preserve"> </w:t>
            </w:r>
            <w:r w:rsidRPr="00124B0A">
              <w:rPr>
                <w:bCs w:val="0"/>
              </w:rPr>
              <w:t>Therefore, according to this article, the definition of group encompasses, amongst others,</w:t>
            </w:r>
            <w:r>
              <w:rPr>
                <w:bCs w:val="0"/>
              </w:rPr>
              <w:t xml:space="preserve"> </w:t>
            </w:r>
            <w:r w:rsidRPr="00124B0A">
              <w:rPr>
                <w:bCs w:val="0"/>
              </w:rPr>
              <w:t>both subsidiaries and qualifying holdings. Consequently, the Banking Law does not require</w:t>
            </w:r>
            <w:r>
              <w:rPr>
                <w:bCs w:val="0"/>
              </w:rPr>
              <w:t xml:space="preserve"> </w:t>
            </w:r>
            <w:r w:rsidRPr="00124B0A">
              <w:rPr>
                <w:bCs w:val="0"/>
              </w:rPr>
              <w:t>to count (</w:t>
            </w:r>
            <w:proofErr w:type="spellStart"/>
            <w:r w:rsidRPr="00124B0A">
              <w:rPr>
                <w:bCs w:val="0"/>
              </w:rPr>
              <w:t>i</w:t>
            </w:r>
            <w:proofErr w:type="spellEnd"/>
            <w:r w:rsidRPr="00124B0A">
              <w:rPr>
                <w:bCs w:val="0"/>
              </w:rPr>
              <w:t>) directorships held within entities th</w:t>
            </w:r>
            <w:r>
              <w:rPr>
                <w:bCs w:val="0"/>
              </w:rPr>
              <w:t xml:space="preserve">at belong to the group and (ii) </w:t>
            </w:r>
            <w:r w:rsidRPr="00124B0A">
              <w:rPr>
                <w:bCs w:val="0"/>
              </w:rPr>
              <w:t>directorships</w:t>
            </w:r>
            <w:r>
              <w:rPr>
                <w:bCs w:val="0"/>
              </w:rPr>
              <w:t xml:space="preserve"> </w:t>
            </w:r>
            <w:r w:rsidRPr="00124B0A">
              <w:t>held in all qualifying holdings of the same group as two (separate) directorships.</w:t>
            </w:r>
            <w:r>
              <w:t xml:space="preserve"> </w:t>
            </w:r>
            <w:r w:rsidRPr="00124B0A">
              <w:t>"Being independent" (§§ 91-92 Guidelines</w:t>
            </w:r>
            <w:r>
              <w:t xml:space="preserve">) </w:t>
            </w:r>
            <w:r w:rsidRPr="00124B0A">
              <w:t>In the Banking Law, independence of directors is defined with reference to the</w:t>
            </w:r>
            <w:r>
              <w:t xml:space="preserve"> </w:t>
            </w:r>
            <w:r w:rsidRPr="00124B0A">
              <w:t>independence criteria laid down in article 526ter of the Belgian Companies Code. Although</w:t>
            </w:r>
            <w:r>
              <w:t xml:space="preserve"> </w:t>
            </w:r>
            <w:r w:rsidRPr="00124B0A">
              <w:t>many of these criteria concur with the criteria listed under§ 91 of the Guidelines, it is not an</w:t>
            </w:r>
            <w:r>
              <w:t xml:space="preserve"> </w:t>
            </w:r>
            <w:r w:rsidRPr="00124B0A">
              <w:t>identical match (both wider and narrower). Moreover, the criteria of article 526ter of the</w:t>
            </w:r>
            <w:r>
              <w:t xml:space="preserve"> </w:t>
            </w:r>
            <w:r w:rsidRPr="00124B0A">
              <w:t>Belgian Companies Code are mandatory: in case one of the criteria for being independent is</w:t>
            </w:r>
            <w:r>
              <w:t xml:space="preserve"> not met, then, </w:t>
            </w:r>
            <w:r w:rsidRPr="00124B0A">
              <w:t>automatically, the person cannot be considered as independent anymore</w:t>
            </w:r>
            <w:r>
              <w:t xml:space="preserve"> </w:t>
            </w:r>
            <w:r w:rsidRPr="00124B0A">
              <w:t>according to the Banking Law, which is more stringent than the approach put forward in</w:t>
            </w:r>
            <w:r>
              <w:t xml:space="preserve"> </w:t>
            </w:r>
            <w:r w:rsidRPr="00124B0A">
              <w:t>§92.</w:t>
            </w:r>
            <w:r>
              <w:t xml:space="preserve"> </w:t>
            </w:r>
            <w:r w:rsidRPr="00124B0A">
              <w:t>Therefore, where t</w:t>
            </w:r>
            <w:r>
              <w:t>he Banking Law requires directo</w:t>
            </w:r>
            <w:r w:rsidRPr="00124B0A">
              <w:t>rs to be independent, this independence</w:t>
            </w:r>
            <w:r>
              <w:t xml:space="preserve"> </w:t>
            </w:r>
            <w:r w:rsidRPr="00124B0A">
              <w:t>will in first instance be verified according to the legal criteria put forward in article 526ter of</w:t>
            </w:r>
            <w:r>
              <w:t xml:space="preserve"> </w:t>
            </w:r>
            <w:r w:rsidRPr="00124B0A">
              <w:t>the Belgian Companies Code, while any additional criteria put forward in the Guidelines will</w:t>
            </w:r>
            <w:r>
              <w:t xml:space="preserve"> </w:t>
            </w:r>
            <w:r w:rsidRPr="00124B0A">
              <w:t xml:space="preserve">be applied as a good practice rather than a formal </w:t>
            </w:r>
            <w:r>
              <w:t>r</w:t>
            </w:r>
            <w:r w:rsidRPr="00124B0A">
              <w:t>equirement.</w:t>
            </w:r>
            <w:r>
              <w:t xml:space="preserve"> </w:t>
            </w:r>
          </w:p>
          <w:p w14:paraId="56961F0C" w14:textId="77777777" w:rsidR="009F14A1" w:rsidRDefault="009F14A1" w:rsidP="00BF3540">
            <w:pPr>
              <w:pStyle w:val="Tabledata"/>
              <w:contextualSpacing/>
              <w:jc w:val="left"/>
              <w:rPr>
                <w:u w:val="single"/>
              </w:rPr>
            </w:pPr>
            <w:r w:rsidRPr="00124B0A">
              <w:rPr>
                <w:u w:val="single"/>
              </w:rPr>
              <w:t>Assessment of the suitability of the CFO (in case not part of the management body) by the</w:t>
            </w:r>
            <w:r>
              <w:rPr>
                <w:u w:val="single"/>
              </w:rPr>
              <w:t xml:space="preserve"> </w:t>
            </w:r>
            <w:r w:rsidRPr="00124B0A">
              <w:rPr>
                <w:u w:val="single"/>
              </w:rPr>
              <w:t>competent authority for significant CRD-institutions (§ 171 Guidelines)</w:t>
            </w:r>
            <w:r>
              <w:rPr>
                <w:u w:val="single"/>
              </w:rPr>
              <w:t xml:space="preserve"> </w:t>
            </w:r>
          </w:p>
          <w:p w14:paraId="67DAEAEF" w14:textId="04E4E933" w:rsidR="009F14A1" w:rsidRPr="00180E1B" w:rsidRDefault="009F14A1" w:rsidP="00BF3540">
            <w:pPr>
              <w:pStyle w:val="Tabledata"/>
              <w:contextualSpacing/>
              <w:jc w:val="left"/>
              <w:rPr>
                <w:rFonts w:cs="Calibri"/>
                <w:szCs w:val="20"/>
              </w:rPr>
            </w:pPr>
            <w:r w:rsidRPr="00124B0A">
              <w:t>The Banking Law does not require the competent authority to assess the suitability of the</w:t>
            </w:r>
            <w:r>
              <w:t xml:space="preserve"> </w:t>
            </w:r>
            <w:r w:rsidRPr="00124B0A">
              <w:t>CFO, where not part of the management body. However, it is to be highlighted that for</w:t>
            </w:r>
            <w:r>
              <w:t xml:space="preserve"> </w:t>
            </w:r>
            <w:r w:rsidRPr="00124B0A">
              <w:t>significant CRD-institutions, based on sound prudential supervisory expectations, the CFO</w:t>
            </w:r>
            <w:r>
              <w:t xml:space="preserve"> </w:t>
            </w:r>
            <w:r w:rsidRPr="00124B0A">
              <w:t>should in principle always be a member of the management body, in which case, the</w:t>
            </w:r>
            <w:r>
              <w:t xml:space="preserve"> </w:t>
            </w:r>
            <w:r w:rsidRPr="00124B0A">
              <w:t>suitability will be assessed. Consequently, we expect this issue to be non-material in</w:t>
            </w:r>
            <w:r>
              <w:t xml:space="preserve"> </w:t>
            </w:r>
            <w:r w:rsidRPr="00124B0A">
              <w:t>practice as currently we have not a significant CRD-bank where the CFO is not part of the</w:t>
            </w:r>
            <w:r>
              <w:t xml:space="preserve"> </w:t>
            </w:r>
            <w:r w:rsidRPr="00124B0A">
              <w:t>management body.</w:t>
            </w:r>
          </w:p>
        </w:tc>
      </w:tr>
      <w:tr w:rsidR="009F14A1" w:rsidRPr="00951C03" w14:paraId="1DEF8A81" w14:textId="77777777" w:rsidTr="00BF3540">
        <w:tc>
          <w:tcPr>
            <w:tcW w:w="993" w:type="dxa"/>
            <w:gridSpan w:val="2"/>
            <w:vMerge/>
            <w:tcBorders>
              <w:left w:val="single" w:sz="4" w:space="0" w:color="auto"/>
              <w:bottom w:val="single" w:sz="4" w:space="0" w:color="auto"/>
              <w:right w:val="single" w:sz="4" w:space="0" w:color="auto"/>
            </w:tcBorders>
          </w:tcPr>
          <w:p w14:paraId="13EB9481" w14:textId="075F5599" w:rsidR="009F14A1" w:rsidRPr="006426E8" w:rsidRDefault="009F14A1" w:rsidP="00BF3540">
            <w:pPr>
              <w:pStyle w:val="Tabledata"/>
              <w:jc w:val="center"/>
              <w:rPr>
                <w:rFonts w:cs="Arial"/>
                <w:bCs w:val="0"/>
              </w:rPr>
            </w:pPr>
          </w:p>
        </w:tc>
        <w:tc>
          <w:tcPr>
            <w:tcW w:w="1418" w:type="dxa"/>
            <w:gridSpan w:val="2"/>
            <w:vMerge/>
            <w:tcBorders>
              <w:left w:val="single" w:sz="4" w:space="0" w:color="auto"/>
              <w:bottom w:val="single" w:sz="4" w:space="0" w:color="auto"/>
              <w:right w:val="single" w:sz="4" w:space="0" w:color="auto"/>
            </w:tcBorders>
          </w:tcPr>
          <w:p w14:paraId="4FACE6DD" w14:textId="4780CD7A" w:rsidR="009F14A1" w:rsidRPr="006426E8" w:rsidRDefault="009F14A1" w:rsidP="00BF3540">
            <w:pPr>
              <w:pStyle w:val="Tabledata"/>
              <w:jc w:val="center"/>
              <w:rPr>
                <w:rFonts w:cs="Arial"/>
                <w:bCs w:val="0"/>
              </w:rPr>
            </w:pPr>
          </w:p>
        </w:tc>
        <w:tc>
          <w:tcPr>
            <w:tcW w:w="1559" w:type="dxa"/>
            <w:tcBorders>
              <w:top w:val="single" w:sz="4" w:space="0" w:color="auto"/>
              <w:left w:val="single" w:sz="4" w:space="0" w:color="auto"/>
              <w:bottom w:val="single" w:sz="4" w:space="0" w:color="auto"/>
              <w:right w:val="single" w:sz="4" w:space="0" w:color="auto"/>
            </w:tcBorders>
          </w:tcPr>
          <w:p w14:paraId="3721897F" w14:textId="147A1B82" w:rsidR="009F14A1" w:rsidRPr="006426E8" w:rsidRDefault="009F14A1" w:rsidP="00BF3540">
            <w:pPr>
              <w:pStyle w:val="Tabledata"/>
              <w:jc w:val="left"/>
              <w:rPr>
                <w:rFonts w:cs="Arial"/>
                <w:bCs w:val="0"/>
              </w:rPr>
            </w:pPr>
            <w:r w:rsidRPr="009F14A1">
              <w:rPr>
                <w:rFonts w:cs="Arial"/>
                <w:bCs w:val="0"/>
              </w:rPr>
              <w:t>Financial Services and Markets Authority (FSMA</w:t>
            </w:r>
            <w:r w:rsidR="00A15B4F">
              <w:rPr>
                <w:rFonts w:cs="Arial"/>
                <w:bCs w:val="0"/>
              </w:rPr>
              <w:t>)</w:t>
            </w:r>
          </w:p>
        </w:tc>
        <w:tc>
          <w:tcPr>
            <w:tcW w:w="1134" w:type="dxa"/>
            <w:tcBorders>
              <w:top w:val="single" w:sz="4" w:space="0" w:color="auto"/>
              <w:left w:val="single" w:sz="4" w:space="0" w:color="auto"/>
              <w:bottom w:val="single" w:sz="4" w:space="0" w:color="auto"/>
              <w:right w:val="single" w:sz="4" w:space="0" w:color="auto"/>
            </w:tcBorders>
          </w:tcPr>
          <w:p w14:paraId="1CA4A57B" w14:textId="0BED134A" w:rsidR="009F14A1" w:rsidRDefault="009F14A1" w:rsidP="00BF3540">
            <w:pPr>
              <w:pStyle w:val="Tabledata"/>
              <w:jc w:val="center"/>
              <w:rPr>
                <w:b/>
                <w:color w:val="auto"/>
                <w:szCs w:val="20"/>
              </w:rPr>
            </w:pPr>
            <w:r>
              <w:rPr>
                <w:b/>
                <w:color w:val="auto"/>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736D1913" w14:textId="2A673DB9" w:rsidR="009F14A1" w:rsidRDefault="009F14A1"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154CCFA" w14:textId="1ECBFEF1" w:rsidR="00FC0BA6" w:rsidRDefault="00FC0BA6" w:rsidP="00BF3540">
            <w:pPr>
              <w:pStyle w:val="Tabledata"/>
              <w:contextualSpacing/>
              <w:jc w:val="left"/>
            </w:pPr>
            <w:r>
              <w:t xml:space="preserve">As at 18.05.2018, notification date </w:t>
            </w:r>
          </w:p>
          <w:p w14:paraId="3B67F35A" w14:textId="79CC21F9" w:rsidR="009F14A1" w:rsidRDefault="009F14A1" w:rsidP="00BF3540">
            <w:pPr>
              <w:pStyle w:val="Tabledata"/>
              <w:contextualSpacing/>
              <w:jc w:val="left"/>
            </w:pPr>
          </w:p>
        </w:tc>
      </w:tr>
      <w:tr w:rsidR="009F14A1" w:rsidRPr="00A2678D" w14:paraId="69B53366" w14:textId="77777777" w:rsidTr="00BF3540">
        <w:tc>
          <w:tcPr>
            <w:tcW w:w="993" w:type="dxa"/>
            <w:gridSpan w:val="2"/>
            <w:vMerge w:val="restart"/>
            <w:tcBorders>
              <w:top w:val="single" w:sz="4" w:space="0" w:color="auto"/>
              <w:left w:val="single" w:sz="4" w:space="0" w:color="auto"/>
              <w:right w:val="single" w:sz="4" w:space="0" w:color="auto"/>
            </w:tcBorders>
          </w:tcPr>
          <w:p w14:paraId="79EF4B29" w14:textId="77777777" w:rsidR="009F14A1" w:rsidRPr="006426E8" w:rsidRDefault="009F14A1" w:rsidP="00BF3540">
            <w:pPr>
              <w:pStyle w:val="Tabledata"/>
              <w:jc w:val="center"/>
              <w:rPr>
                <w:rFonts w:cs="Arial"/>
                <w:bCs w:val="0"/>
              </w:rPr>
            </w:pPr>
            <w:r w:rsidRPr="006426E8">
              <w:rPr>
                <w:rFonts w:cs="Arial"/>
                <w:bCs w:val="0"/>
              </w:rPr>
              <w:t xml:space="preserve">BG </w:t>
            </w:r>
          </w:p>
        </w:tc>
        <w:tc>
          <w:tcPr>
            <w:tcW w:w="1418" w:type="dxa"/>
            <w:gridSpan w:val="2"/>
            <w:vMerge w:val="restart"/>
            <w:tcBorders>
              <w:top w:val="single" w:sz="4" w:space="0" w:color="auto"/>
              <w:left w:val="single" w:sz="4" w:space="0" w:color="auto"/>
              <w:right w:val="single" w:sz="4" w:space="0" w:color="auto"/>
            </w:tcBorders>
          </w:tcPr>
          <w:p w14:paraId="6C236166" w14:textId="77777777" w:rsidR="009F14A1" w:rsidRPr="006426E8" w:rsidRDefault="009F14A1" w:rsidP="00BF3540">
            <w:pPr>
              <w:pStyle w:val="Tabledata"/>
              <w:jc w:val="center"/>
              <w:rPr>
                <w:rFonts w:cs="Arial"/>
                <w:bCs w:val="0"/>
              </w:rPr>
            </w:pPr>
            <w:r w:rsidRPr="006426E8">
              <w:rPr>
                <w:rFonts w:cs="Arial"/>
                <w:bCs w:val="0"/>
              </w:rPr>
              <w:t>Bulgaria</w:t>
            </w:r>
          </w:p>
        </w:tc>
        <w:tc>
          <w:tcPr>
            <w:tcW w:w="1559" w:type="dxa"/>
            <w:tcBorders>
              <w:top w:val="single" w:sz="4" w:space="0" w:color="auto"/>
              <w:left w:val="single" w:sz="4" w:space="0" w:color="auto"/>
              <w:bottom w:val="single" w:sz="4" w:space="0" w:color="auto"/>
              <w:right w:val="single" w:sz="4" w:space="0" w:color="auto"/>
            </w:tcBorders>
          </w:tcPr>
          <w:p w14:paraId="245C697D" w14:textId="15AFF4BC" w:rsidR="009F14A1" w:rsidRPr="006426E8" w:rsidRDefault="009F14A1" w:rsidP="00BF3540">
            <w:pPr>
              <w:pStyle w:val="Tabledata"/>
              <w:jc w:val="left"/>
              <w:rPr>
                <w:rFonts w:cs="Arial"/>
                <w:bCs w:val="0"/>
              </w:rPr>
            </w:pPr>
            <w:proofErr w:type="spellStart"/>
            <w:r w:rsidRPr="00CD3A8C">
              <w:rPr>
                <w:rFonts w:cs="Arial"/>
                <w:bCs w:val="0"/>
              </w:rPr>
              <w:t>Българска</w:t>
            </w:r>
            <w:proofErr w:type="spellEnd"/>
            <w:r w:rsidRPr="00CD3A8C">
              <w:rPr>
                <w:rFonts w:cs="Arial"/>
                <w:bCs w:val="0"/>
              </w:rPr>
              <w:t xml:space="preserve"> </w:t>
            </w:r>
            <w:proofErr w:type="spellStart"/>
            <w:r w:rsidRPr="00CD3A8C">
              <w:rPr>
                <w:rFonts w:cs="Arial"/>
                <w:bCs w:val="0"/>
              </w:rPr>
              <w:t>народна</w:t>
            </w:r>
            <w:proofErr w:type="spellEnd"/>
            <w:r w:rsidRPr="00CD3A8C">
              <w:rPr>
                <w:rFonts w:cs="Arial"/>
                <w:bCs w:val="0"/>
              </w:rPr>
              <w:t xml:space="preserve"> </w:t>
            </w:r>
            <w:proofErr w:type="spellStart"/>
            <w:r w:rsidRPr="00CD3A8C">
              <w:rPr>
                <w:rFonts w:cs="Arial"/>
                <w:bCs w:val="0"/>
              </w:rPr>
              <w:t>банка</w:t>
            </w:r>
            <w:proofErr w:type="spellEnd"/>
            <w:r w:rsidRPr="00CD3A8C">
              <w:rPr>
                <w:rFonts w:cs="Arial"/>
                <w:bCs w:val="0"/>
              </w:rPr>
              <w:t xml:space="preserve"> (Bulgarian National Bank)</w:t>
            </w:r>
          </w:p>
        </w:tc>
        <w:tc>
          <w:tcPr>
            <w:tcW w:w="1134" w:type="dxa"/>
            <w:tcBorders>
              <w:top w:val="single" w:sz="4" w:space="0" w:color="auto"/>
              <w:left w:val="single" w:sz="4" w:space="0" w:color="auto"/>
              <w:bottom w:val="single" w:sz="4" w:space="0" w:color="auto"/>
              <w:right w:val="single" w:sz="4" w:space="0" w:color="auto"/>
            </w:tcBorders>
          </w:tcPr>
          <w:p w14:paraId="505C594B" w14:textId="1A4C856C" w:rsidR="009F14A1" w:rsidRPr="00A75FBE" w:rsidRDefault="009F14A1" w:rsidP="00BF3540">
            <w:pPr>
              <w:pStyle w:val="Tabledata"/>
              <w:jc w:val="center"/>
              <w:rPr>
                <w:b/>
                <w:color w:val="auto"/>
                <w:szCs w:val="20"/>
              </w:rPr>
            </w:pPr>
            <w:r>
              <w:rPr>
                <w:b/>
                <w:color w:val="auto"/>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8479563" w14:textId="04A751C3" w:rsidR="009F14A1" w:rsidRPr="00A75FBE" w:rsidRDefault="009F14A1" w:rsidP="00BF3540">
            <w:pPr>
              <w:pStyle w:val="Tabledata"/>
              <w:jc w:val="center"/>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52BBB17" w14:textId="21F84AEE" w:rsidR="009F14A1" w:rsidRPr="001128FF" w:rsidRDefault="009F14A1" w:rsidP="00BF3540">
            <w:pPr>
              <w:autoSpaceDE w:val="0"/>
              <w:autoSpaceDN w:val="0"/>
              <w:adjustRightInd w:val="0"/>
              <w:rPr>
                <w:rFonts w:ascii="Arial" w:hAnsi="Arial" w:cs="Arial"/>
                <w:sz w:val="20"/>
                <w:szCs w:val="20"/>
              </w:rPr>
            </w:pPr>
            <w:r w:rsidRPr="006426E8">
              <w:rPr>
                <w:rFonts w:eastAsia="Times New Roman" w:cstheme="minorHAnsi"/>
                <w:bCs/>
                <w:color w:val="000000"/>
                <w:sz w:val="20"/>
                <w:lang w:eastAsia="en-GB"/>
              </w:rPr>
              <w:t>By 01.01.2019.</w:t>
            </w:r>
            <w:r>
              <w:rPr>
                <w:szCs w:val="20"/>
              </w:rPr>
              <w:t xml:space="preserve"> </w:t>
            </w:r>
          </w:p>
        </w:tc>
      </w:tr>
      <w:tr w:rsidR="009F14A1" w:rsidRPr="00A2678D" w14:paraId="602BEC42" w14:textId="77777777" w:rsidTr="00BF3540">
        <w:tc>
          <w:tcPr>
            <w:tcW w:w="993" w:type="dxa"/>
            <w:gridSpan w:val="2"/>
            <w:vMerge/>
            <w:tcBorders>
              <w:left w:val="single" w:sz="4" w:space="0" w:color="auto"/>
              <w:bottom w:val="single" w:sz="4" w:space="0" w:color="auto"/>
              <w:right w:val="single" w:sz="4" w:space="0" w:color="auto"/>
            </w:tcBorders>
          </w:tcPr>
          <w:p w14:paraId="6C97607F" w14:textId="77777777" w:rsidR="009F14A1" w:rsidRPr="006426E8" w:rsidRDefault="009F14A1" w:rsidP="00BF3540">
            <w:pPr>
              <w:pStyle w:val="Tabledata"/>
              <w:jc w:val="center"/>
              <w:rPr>
                <w:rFonts w:cs="Arial"/>
                <w:bCs w:val="0"/>
              </w:rPr>
            </w:pPr>
          </w:p>
        </w:tc>
        <w:tc>
          <w:tcPr>
            <w:tcW w:w="1418" w:type="dxa"/>
            <w:gridSpan w:val="2"/>
            <w:vMerge/>
            <w:tcBorders>
              <w:left w:val="single" w:sz="4" w:space="0" w:color="auto"/>
              <w:bottom w:val="single" w:sz="4" w:space="0" w:color="auto"/>
              <w:right w:val="single" w:sz="4" w:space="0" w:color="auto"/>
            </w:tcBorders>
          </w:tcPr>
          <w:p w14:paraId="065DDC0E" w14:textId="77777777" w:rsidR="009F14A1" w:rsidRPr="006426E8" w:rsidRDefault="009F14A1" w:rsidP="00BF3540">
            <w:pPr>
              <w:pStyle w:val="Tabledata"/>
              <w:jc w:val="center"/>
              <w:rPr>
                <w:rFonts w:cs="Arial"/>
                <w:bCs w:val="0"/>
              </w:rPr>
            </w:pPr>
          </w:p>
        </w:tc>
        <w:tc>
          <w:tcPr>
            <w:tcW w:w="1559" w:type="dxa"/>
            <w:tcBorders>
              <w:top w:val="single" w:sz="4" w:space="0" w:color="auto"/>
              <w:left w:val="single" w:sz="4" w:space="0" w:color="auto"/>
              <w:bottom w:val="single" w:sz="4" w:space="0" w:color="auto"/>
              <w:right w:val="single" w:sz="4" w:space="0" w:color="auto"/>
            </w:tcBorders>
          </w:tcPr>
          <w:p w14:paraId="59CFB88F" w14:textId="3BBA2DFB" w:rsidR="009F14A1" w:rsidRPr="00CD3A8C" w:rsidRDefault="009F14A1" w:rsidP="00BF3540">
            <w:pPr>
              <w:pStyle w:val="Tabledata"/>
              <w:jc w:val="left"/>
              <w:rPr>
                <w:rFonts w:cs="Arial"/>
                <w:bCs w:val="0"/>
              </w:rPr>
            </w:pPr>
            <w:r w:rsidRPr="009F14A1">
              <w:rPr>
                <w:rFonts w:cs="Arial"/>
                <w:bCs w:val="0"/>
              </w:rPr>
              <w:t>Financial Supervision Commission (FSC)</w:t>
            </w:r>
          </w:p>
        </w:tc>
        <w:tc>
          <w:tcPr>
            <w:tcW w:w="1134" w:type="dxa"/>
            <w:tcBorders>
              <w:top w:val="single" w:sz="4" w:space="0" w:color="auto"/>
              <w:left w:val="single" w:sz="4" w:space="0" w:color="auto"/>
              <w:bottom w:val="single" w:sz="4" w:space="0" w:color="auto"/>
              <w:right w:val="single" w:sz="4" w:space="0" w:color="auto"/>
            </w:tcBorders>
          </w:tcPr>
          <w:p w14:paraId="10E83DFD" w14:textId="31A31045" w:rsidR="009F14A1" w:rsidRDefault="009F14A1" w:rsidP="00BF3540">
            <w:pPr>
              <w:pStyle w:val="Tabledata"/>
              <w:jc w:val="center"/>
              <w:rPr>
                <w:b/>
                <w:color w:val="auto"/>
                <w:szCs w:val="20"/>
              </w:rPr>
            </w:pPr>
            <w:r>
              <w:rPr>
                <w:b/>
                <w:color w:val="auto"/>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89EC5F0" w14:textId="1E006878" w:rsidR="009F14A1" w:rsidRDefault="009F14A1" w:rsidP="00BF3540">
            <w:pPr>
              <w:pStyle w:val="Tabledata"/>
              <w:jc w:val="center"/>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8473F05" w14:textId="6228BD35" w:rsidR="00E019B7" w:rsidRDefault="00E019B7" w:rsidP="00BF3540">
            <w:pPr>
              <w:autoSpaceDE w:val="0"/>
              <w:autoSpaceDN w:val="0"/>
              <w:adjustRightInd w:val="0"/>
              <w:rPr>
                <w:rFonts w:cstheme="minorHAnsi"/>
                <w:sz w:val="20"/>
                <w:szCs w:val="20"/>
              </w:rPr>
            </w:pPr>
            <w:r>
              <w:rPr>
                <w:rFonts w:cstheme="minorHAnsi"/>
                <w:sz w:val="20"/>
                <w:szCs w:val="20"/>
              </w:rPr>
              <w:t>By 1.11.2018</w:t>
            </w:r>
          </w:p>
          <w:p w14:paraId="3E1C566A" w14:textId="593C294E" w:rsidR="009F14A1" w:rsidRPr="006426E8" w:rsidRDefault="009F14A1" w:rsidP="00BF3540">
            <w:pPr>
              <w:autoSpaceDE w:val="0"/>
              <w:autoSpaceDN w:val="0"/>
              <w:adjustRightInd w:val="0"/>
              <w:rPr>
                <w:rFonts w:eastAsia="Times New Roman" w:cstheme="minorHAnsi"/>
                <w:bCs/>
                <w:color w:val="000000"/>
                <w:sz w:val="20"/>
                <w:lang w:eastAsia="en-GB"/>
              </w:rPr>
            </w:pPr>
            <w:r w:rsidRPr="009F14A1">
              <w:rPr>
                <w:rFonts w:cstheme="minorHAnsi"/>
                <w:sz w:val="20"/>
                <w:szCs w:val="20"/>
              </w:rPr>
              <w:t xml:space="preserve">FSC will initiate the necessary regulatory proceedings in order to transpose the guidelines into its secondary legislation (ordinances of FSC). The term for final compliance </w:t>
            </w:r>
            <w:r w:rsidR="00E019B7">
              <w:rPr>
                <w:rFonts w:cstheme="minorHAnsi"/>
                <w:sz w:val="20"/>
                <w:szCs w:val="20"/>
              </w:rPr>
              <w:t xml:space="preserve">(est. </w:t>
            </w:r>
            <w:r w:rsidR="004051D4">
              <w:rPr>
                <w:rFonts w:cstheme="minorHAnsi"/>
                <w:sz w:val="20"/>
                <w:szCs w:val="20"/>
              </w:rPr>
              <w:t>01.11.</w:t>
            </w:r>
            <w:r w:rsidRPr="009F14A1">
              <w:rPr>
                <w:rFonts w:cstheme="minorHAnsi"/>
                <w:sz w:val="20"/>
                <w:szCs w:val="20"/>
              </w:rPr>
              <w:t>2018</w:t>
            </w:r>
            <w:r w:rsidR="00E019B7">
              <w:rPr>
                <w:rFonts w:cstheme="minorHAnsi"/>
                <w:sz w:val="20"/>
                <w:szCs w:val="20"/>
              </w:rPr>
              <w:t>)</w:t>
            </w:r>
            <w:r w:rsidRPr="009F14A1">
              <w:rPr>
                <w:rFonts w:cstheme="minorHAnsi"/>
                <w:sz w:val="20"/>
                <w:szCs w:val="20"/>
              </w:rPr>
              <w:t xml:space="preserve"> will depend on those regulatory proceedings.</w:t>
            </w:r>
          </w:p>
        </w:tc>
      </w:tr>
      <w:tr w:rsidR="009F14A1" w:rsidRPr="00A2678D" w14:paraId="572A6010" w14:textId="77777777" w:rsidTr="00BF3540">
        <w:tc>
          <w:tcPr>
            <w:tcW w:w="993" w:type="dxa"/>
            <w:gridSpan w:val="2"/>
            <w:vMerge w:val="restart"/>
            <w:tcBorders>
              <w:top w:val="single" w:sz="4" w:space="0" w:color="auto"/>
              <w:left w:val="single" w:sz="4" w:space="0" w:color="auto"/>
              <w:right w:val="single" w:sz="4" w:space="0" w:color="auto"/>
            </w:tcBorders>
          </w:tcPr>
          <w:p w14:paraId="6781CC49" w14:textId="77777777" w:rsidR="009F14A1" w:rsidRPr="006426E8" w:rsidRDefault="009F14A1" w:rsidP="00BF3540">
            <w:pPr>
              <w:pStyle w:val="Tabledata"/>
              <w:jc w:val="center"/>
              <w:rPr>
                <w:rFonts w:cs="Arial"/>
                <w:bCs w:val="0"/>
              </w:rPr>
            </w:pPr>
            <w:r w:rsidRPr="006426E8">
              <w:rPr>
                <w:rFonts w:cs="Arial"/>
                <w:bCs w:val="0"/>
              </w:rPr>
              <w:t xml:space="preserve">CZ </w:t>
            </w:r>
          </w:p>
        </w:tc>
        <w:tc>
          <w:tcPr>
            <w:tcW w:w="1418" w:type="dxa"/>
            <w:gridSpan w:val="2"/>
            <w:vMerge w:val="restart"/>
            <w:tcBorders>
              <w:top w:val="single" w:sz="4" w:space="0" w:color="auto"/>
              <w:left w:val="single" w:sz="4" w:space="0" w:color="auto"/>
              <w:right w:val="single" w:sz="4" w:space="0" w:color="auto"/>
            </w:tcBorders>
          </w:tcPr>
          <w:p w14:paraId="7986EC80" w14:textId="74098474" w:rsidR="009F14A1" w:rsidRPr="006426E8" w:rsidRDefault="009F14A1" w:rsidP="00BF3540">
            <w:pPr>
              <w:pStyle w:val="Tabledata"/>
              <w:jc w:val="center"/>
              <w:rPr>
                <w:rFonts w:cs="Arial"/>
                <w:bCs w:val="0"/>
              </w:rPr>
            </w:pPr>
            <w:r w:rsidRPr="006426E8">
              <w:rPr>
                <w:rFonts w:cs="Arial"/>
                <w:bCs w:val="0"/>
              </w:rPr>
              <w:t>Czech</w:t>
            </w:r>
            <w:r w:rsidR="005E0698">
              <w:rPr>
                <w:rFonts w:cs="Arial"/>
                <w:bCs w:val="0"/>
              </w:rPr>
              <w:t xml:space="preserve"> </w:t>
            </w:r>
            <w:r w:rsidRPr="006426E8">
              <w:rPr>
                <w:rFonts w:cs="Arial"/>
                <w:bCs w:val="0"/>
              </w:rPr>
              <w:t>Republic</w:t>
            </w:r>
          </w:p>
        </w:tc>
        <w:tc>
          <w:tcPr>
            <w:tcW w:w="1559" w:type="dxa"/>
            <w:tcBorders>
              <w:top w:val="single" w:sz="4" w:space="0" w:color="auto"/>
              <w:left w:val="single" w:sz="4" w:space="0" w:color="auto"/>
              <w:bottom w:val="single" w:sz="4" w:space="0" w:color="auto"/>
              <w:right w:val="single" w:sz="4" w:space="0" w:color="auto"/>
            </w:tcBorders>
          </w:tcPr>
          <w:p w14:paraId="60F58168" w14:textId="77777777" w:rsidR="009F14A1" w:rsidRDefault="009F14A1" w:rsidP="00BF3540">
            <w:pPr>
              <w:pStyle w:val="Tabledata"/>
              <w:jc w:val="left"/>
              <w:rPr>
                <w:rFonts w:cs="Arial"/>
                <w:bCs w:val="0"/>
              </w:rPr>
            </w:pPr>
            <w:r>
              <w:rPr>
                <w:rFonts w:cs="Arial"/>
                <w:bCs w:val="0"/>
              </w:rPr>
              <w:t>Czech National Bank</w:t>
            </w:r>
          </w:p>
          <w:p w14:paraId="482BDE7D" w14:textId="606902CC" w:rsidR="00150AA1" w:rsidRPr="006426E8" w:rsidRDefault="00150AA1" w:rsidP="00BF3540">
            <w:pPr>
              <w:pStyle w:val="Tabledata"/>
              <w:jc w:val="left"/>
              <w:rPr>
                <w:rFonts w:cs="Arial"/>
                <w:bCs w:val="0"/>
              </w:rPr>
            </w:pPr>
            <w:r>
              <w:rPr>
                <w:rFonts w:cs="Arial"/>
                <w:bCs w:val="0"/>
              </w:rPr>
              <w:t>(CNB)</w:t>
            </w:r>
          </w:p>
        </w:tc>
        <w:tc>
          <w:tcPr>
            <w:tcW w:w="1134" w:type="dxa"/>
            <w:tcBorders>
              <w:top w:val="single" w:sz="4" w:space="0" w:color="auto"/>
              <w:left w:val="single" w:sz="4" w:space="0" w:color="auto"/>
              <w:bottom w:val="single" w:sz="4" w:space="0" w:color="auto"/>
              <w:right w:val="single" w:sz="4" w:space="0" w:color="auto"/>
            </w:tcBorders>
          </w:tcPr>
          <w:p w14:paraId="335A5AB3" w14:textId="6BF79366" w:rsidR="009F14A1" w:rsidRPr="00A75FBE" w:rsidRDefault="009F14A1" w:rsidP="00BF3540">
            <w:pPr>
              <w:pStyle w:val="Tabledata"/>
              <w:ind w:left="284"/>
              <w:jc w:val="left"/>
              <w:rPr>
                <w:b/>
                <w:color w:val="auto"/>
                <w:szCs w:val="20"/>
              </w:rPr>
            </w:pPr>
            <w:r>
              <w:rPr>
                <w:b/>
                <w:color w:val="auto"/>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6034224" w14:textId="13DE967C" w:rsidR="009F14A1" w:rsidRPr="00A75FBE" w:rsidRDefault="009F14A1"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D3FD236" w14:textId="77777777" w:rsidR="009F14A1" w:rsidRPr="00DF69F0" w:rsidRDefault="009F14A1" w:rsidP="00BF3540">
            <w:pPr>
              <w:pStyle w:val="Tabledata"/>
              <w:contextualSpacing/>
              <w:jc w:val="left"/>
              <w:rPr>
                <w:rFonts w:eastAsiaTheme="minorEastAsia"/>
                <w:bCs w:val="0"/>
                <w:color w:val="auto"/>
                <w:szCs w:val="20"/>
                <w:lang w:eastAsia="en-US"/>
              </w:rPr>
            </w:pPr>
            <w:r w:rsidRPr="00DF69F0">
              <w:rPr>
                <w:rFonts w:eastAsiaTheme="minorEastAsia"/>
                <w:bCs w:val="0"/>
                <w:color w:val="auto"/>
                <w:szCs w:val="20"/>
                <w:lang w:eastAsia="en-US"/>
              </w:rPr>
              <w:t xml:space="preserve">By 30.06.2018, the application date of the Guidelines. </w:t>
            </w:r>
          </w:p>
          <w:p w14:paraId="7470402C" w14:textId="77777777" w:rsidR="009F14A1" w:rsidRPr="00DF69F0" w:rsidRDefault="009F14A1" w:rsidP="00BF3540">
            <w:pPr>
              <w:pStyle w:val="Tabledata"/>
              <w:contextualSpacing/>
              <w:jc w:val="left"/>
              <w:rPr>
                <w:rFonts w:eastAsiaTheme="minorEastAsia"/>
                <w:bCs w:val="0"/>
                <w:color w:val="auto"/>
                <w:szCs w:val="20"/>
                <w:lang w:eastAsia="en-US"/>
              </w:rPr>
            </w:pPr>
            <w:r w:rsidRPr="00DF69F0">
              <w:rPr>
                <w:rFonts w:eastAsiaTheme="minorEastAsia"/>
                <w:bCs w:val="0"/>
                <w:color w:val="auto"/>
                <w:szCs w:val="20"/>
                <w:lang w:eastAsia="en-US"/>
              </w:rPr>
              <w:t xml:space="preserve">Electronic links to effective national measures published in the Czech Republic ensuring the compliance with the Guidelines can be found on a dedicated Czech National web pages for </w:t>
            </w:r>
          </w:p>
          <w:p w14:paraId="6D679DD9" w14:textId="77777777" w:rsidR="009F14A1" w:rsidRDefault="009F14A1" w:rsidP="00BF3540">
            <w:pPr>
              <w:pStyle w:val="Tabledata"/>
              <w:contextualSpacing/>
              <w:jc w:val="left"/>
              <w:rPr>
                <w:rFonts w:eastAsiaTheme="minorEastAsia"/>
                <w:bCs w:val="0"/>
                <w:color w:val="auto"/>
                <w:szCs w:val="20"/>
                <w:lang w:eastAsia="en-US"/>
              </w:rPr>
            </w:pPr>
            <w:r w:rsidRPr="00DF69F0">
              <w:rPr>
                <w:rFonts w:eastAsiaTheme="minorEastAsia"/>
                <w:bCs w:val="0"/>
                <w:color w:val="auto"/>
                <w:szCs w:val="20"/>
                <w:lang w:eastAsia="en-US"/>
              </w:rPr>
              <w:t>(</w:t>
            </w:r>
            <w:proofErr w:type="spellStart"/>
            <w:r w:rsidRPr="00DF69F0">
              <w:rPr>
                <w:rFonts w:eastAsiaTheme="minorEastAsia"/>
                <w:bCs w:val="0"/>
                <w:color w:val="auto"/>
                <w:szCs w:val="20"/>
                <w:lang w:eastAsia="en-US"/>
              </w:rPr>
              <w:t>i</w:t>
            </w:r>
            <w:proofErr w:type="spellEnd"/>
            <w:r w:rsidRPr="00DF69F0">
              <w:rPr>
                <w:rFonts w:eastAsiaTheme="minorEastAsia"/>
                <w:bCs w:val="0"/>
                <w:color w:val="auto"/>
                <w:szCs w:val="20"/>
                <w:lang w:eastAsia="en-US"/>
              </w:rPr>
              <w:t>) Licensing and approval proceedings - banks,</w:t>
            </w:r>
          </w:p>
          <w:p w14:paraId="712D7E21" w14:textId="77777777" w:rsidR="009F14A1" w:rsidRDefault="009F14A1" w:rsidP="00BF3540">
            <w:pPr>
              <w:pStyle w:val="Tabledata"/>
              <w:contextualSpacing/>
              <w:jc w:val="left"/>
              <w:rPr>
                <w:szCs w:val="20"/>
              </w:rPr>
            </w:pPr>
            <w:r w:rsidRPr="00DF69F0">
              <w:rPr>
                <w:szCs w:val="20"/>
              </w:rPr>
              <w:t xml:space="preserve">(ii) Licensing and approval proceedings - credit unions, </w:t>
            </w:r>
          </w:p>
          <w:p w14:paraId="6C8311EB" w14:textId="77777777" w:rsidR="009F14A1" w:rsidRDefault="009F14A1" w:rsidP="00BF3540">
            <w:pPr>
              <w:pStyle w:val="Tabledata"/>
              <w:contextualSpacing/>
              <w:jc w:val="left"/>
              <w:rPr>
                <w:szCs w:val="20"/>
              </w:rPr>
            </w:pPr>
            <w:r>
              <w:rPr>
                <w:szCs w:val="20"/>
              </w:rPr>
              <w:t xml:space="preserve">(iii) </w:t>
            </w:r>
            <w:r w:rsidRPr="00DF69F0">
              <w:rPr>
                <w:szCs w:val="20"/>
              </w:rPr>
              <w:t xml:space="preserve">Supervision, </w:t>
            </w:r>
            <w:r>
              <w:rPr>
                <w:szCs w:val="20"/>
              </w:rPr>
              <w:t>r</w:t>
            </w:r>
            <w:r w:rsidRPr="00DF69F0">
              <w:rPr>
                <w:szCs w:val="20"/>
              </w:rPr>
              <w:t xml:space="preserve">egulation </w:t>
            </w:r>
            <w:r>
              <w:rPr>
                <w:szCs w:val="20"/>
              </w:rPr>
              <w:t>→</w:t>
            </w:r>
            <w:r w:rsidRPr="00DF69F0">
              <w:rPr>
                <w:szCs w:val="20"/>
              </w:rPr>
              <w:t xml:space="preserve"> Legislation </w:t>
            </w:r>
            <w:r>
              <w:rPr>
                <w:szCs w:val="20"/>
              </w:rPr>
              <w:t>→</w:t>
            </w:r>
            <w:r w:rsidRPr="00DF69F0">
              <w:rPr>
                <w:szCs w:val="20"/>
              </w:rPr>
              <w:t xml:space="preserve"> Banks, credit unions; Investment firms and</w:t>
            </w:r>
            <w:r>
              <w:rPr>
                <w:szCs w:val="20"/>
              </w:rPr>
              <w:t xml:space="preserve"> </w:t>
            </w:r>
            <w:r w:rsidRPr="00DF69F0">
              <w:rPr>
                <w:szCs w:val="20"/>
              </w:rPr>
              <w:t>investment intermediaries</w:t>
            </w:r>
            <w:r>
              <w:rPr>
                <w:szCs w:val="20"/>
              </w:rPr>
              <w:t xml:space="preserve"> </w:t>
            </w:r>
            <w:r w:rsidRPr="00DF69F0">
              <w:rPr>
                <w:szCs w:val="20"/>
              </w:rPr>
              <w:t>in particular in these ones:</w:t>
            </w:r>
          </w:p>
          <w:p w14:paraId="4B8ABC69" w14:textId="77777777" w:rsidR="009F14A1" w:rsidRDefault="009F14A1" w:rsidP="00BF3540">
            <w:pPr>
              <w:pStyle w:val="Tabledata"/>
              <w:contextualSpacing/>
              <w:jc w:val="left"/>
              <w:rPr>
                <w:szCs w:val="20"/>
              </w:rPr>
            </w:pPr>
            <w:r w:rsidRPr="00DF69F0">
              <w:rPr>
                <w:szCs w:val="20"/>
              </w:rPr>
              <w:t>• Act on Banks (21/1992 Coll. ) -version valid until 2014; version in force is available in Czech</w:t>
            </w:r>
            <w:r>
              <w:rPr>
                <w:szCs w:val="20"/>
              </w:rPr>
              <w:t xml:space="preserve"> </w:t>
            </w:r>
            <w:r w:rsidRPr="00DF69F0">
              <w:rPr>
                <w:szCs w:val="20"/>
              </w:rPr>
              <w:t>only</w:t>
            </w:r>
          </w:p>
          <w:p w14:paraId="0865AAAF" w14:textId="77777777" w:rsidR="004051D4" w:rsidRDefault="009F14A1" w:rsidP="00BF3540">
            <w:pPr>
              <w:pStyle w:val="Tabledata"/>
              <w:contextualSpacing/>
              <w:jc w:val="left"/>
              <w:rPr>
                <w:szCs w:val="20"/>
              </w:rPr>
            </w:pPr>
            <w:r w:rsidRPr="00DF69F0">
              <w:rPr>
                <w:szCs w:val="20"/>
              </w:rPr>
              <w:t>• Act on Credit Unions (87 /1995 Coll.) (external link, available in Czech only)</w:t>
            </w:r>
          </w:p>
          <w:p w14:paraId="4EC33FC5" w14:textId="77777777" w:rsidR="004051D4" w:rsidRDefault="009F14A1" w:rsidP="00BF3540">
            <w:pPr>
              <w:pStyle w:val="Tabledata"/>
              <w:contextualSpacing/>
              <w:jc w:val="left"/>
              <w:rPr>
                <w:szCs w:val="20"/>
              </w:rPr>
            </w:pPr>
            <w:r w:rsidRPr="00DF69F0">
              <w:rPr>
                <w:szCs w:val="20"/>
              </w:rPr>
              <w:t>• Act No. 256/2004 Coll., Capital Market Undertakings Act -version valid until 30 March 2006,new version (external link) is available in Czech only</w:t>
            </w:r>
          </w:p>
          <w:p w14:paraId="7EE9237D" w14:textId="77777777" w:rsidR="004051D4" w:rsidRDefault="009F14A1" w:rsidP="00BF3540">
            <w:pPr>
              <w:pStyle w:val="Tabledata"/>
              <w:ind w:left="212"/>
              <w:contextualSpacing/>
              <w:jc w:val="left"/>
              <w:rPr>
                <w:szCs w:val="20"/>
              </w:rPr>
            </w:pPr>
            <w:r w:rsidRPr="00DF69F0">
              <w:rPr>
                <w:szCs w:val="20"/>
              </w:rPr>
              <w:t>o Decree No. 233/2009 Coll. on Applications, Approval of Persons and the Manner of</w:t>
            </w:r>
            <w:r>
              <w:rPr>
                <w:szCs w:val="20"/>
              </w:rPr>
              <w:t xml:space="preserve"> </w:t>
            </w:r>
            <w:r w:rsidRPr="00DF69F0">
              <w:rPr>
                <w:szCs w:val="20"/>
              </w:rPr>
              <w:t>Proving Professional Qualifications, Trustworthiness and Experience of Persons, as</w:t>
            </w:r>
            <w:r>
              <w:rPr>
                <w:szCs w:val="20"/>
              </w:rPr>
              <w:t xml:space="preserve"> </w:t>
            </w:r>
            <w:r w:rsidRPr="00DF69F0">
              <w:rPr>
                <w:szCs w:val="20"/>
              </w:rPr>
              <w:t>amended (comprehensive version)</w:t>
            </w:r>
          </w:p>
          <w:p w14:paraId="045C8CA7" w14:textId="77777777" w:rsidR="004051D4" w:rsidRDefault="009F14A1" w:rsidP="00BF3540">
            <w:pPr>
              <w:pStyle w:val="Tabledata"/>
              <w:ind w:left="212"/>
              <w:contextualSpacing/>
              <w:jc w:val="left"/>
              <w:rPr>
                <w:szCs w:val="20"/>
              </w:rPr>
            </w:pPr>
            <w:r w:rsidRPr="00DF69F0">
              <w:rPr>
                <w:szCs w:val="20"/>
              </w:rPr>
              <w:t>o Decree No. 163/2014 Coll., on the performance of the activities of banks, credit</w:t>
            </w:r>
            <w:r>
              <w:rPr>
                <w:szCs w:val="20"/>
              </w:rPr>
              <w:t xml:space="preserve"> </w:t>
            </w:r>
            <w:r w:rsidRPr="00DF69F0">
              <w:rPr>
                <w:szCs w:val="20"/>
              </w:rPr>
              <w:t>unions and investment firms and Decree No. 392/2017 Coll., amending Decree No.</w:t>
            </w:r>
            <w:r>
              <w:rPr>
                <w:szCs w:val="20"/>
              </w:rPr>
              <w:t xml:space="preserve"> </w:t>
            </w:r>
            <w:r w:rsidRPr="00DF69F0">
              <w:rPr>
                <w:szCs w:val="20"/>
              </w:rPr>
              <w:t>163/2014 Coll., on the performance of the activities of banks, credit unions and</w:t>
            </w:r>
            <w:r>
              <w:rPr>
                <w:szCs w:val="20"/>
              </w:rPr>
              <w:t xml:space="preserve"> </w:t>
            </w:r>
            <w:r w:rsidRPr="00DF69F0">
              <w:rPr>
                <w:szCs w:val="20"/>
              </w:rPr>
              <w:t>investment firms</w:t>
            </w:r>
          </w:p>
          <w:p w14:paraId="52CC5356" w14:textId="77777777" w:rsidR="004051D4" w:rsidRDefault="009F14A1" w:rsidP="00BF3540">
            <w:pPr>
              <w:pStyle w:val="Tabledata"/>
              <w:ind w:left="212"/>
              <w:contextualSpacing/>
              <w:jc w:val="left"/>
              <w:rPr>
                <w:szCs w:val="20"/>
              </w:rPr>
            </w:pPr>
            <w:r w:rsidRPr="00DF69F0">
              <w:rPr>
                <w:szCs w:val="20"/>
              </w:rPr>
              <w:t>• Official Information of 3 December 2013 regarding the interpretation of the</w:t>
            </w:r>
            <w:r>
              <w:rPr>
                <w:szCs w:val="20"/>
              </w:rPr>
              <w:t xml:space="preserve"> </w:t>
            </w:r>
            <w:r w:rsidRPr="00DF69F0">
              <w:rPr>
                <w:szCs w:val="20"/>
              </w:rPr>
              <w:t>terms trustworthiness and competence</w:t>
            </w:r>
          </w:p>
          <w:p w14:paraId="3517DB0B" w14:textId="6D1B7E61" w:rsidR="009F14A1" w:rsidRDefault="009F14A1" w:rsidP="00BF3540">
            <w:pPr>
              <w:pStyle w:val="Tabledata"/>
              <w:ind w:left="212"/>
              <w:contextualSpacing/>
              <w:jc w:val="left"/>
              <w:rPr>
                <w:szCs w:val="20"/>
              </w:rPr>
            </w:pPr>
            <w:r w:rsidRPr="00DF69F0">
              <w:rPr>
                <w:szCs w:val="20"/>
              </w:rPr>
              <w:t>• Official Information of 7 July 2008 (available in Czech only), announcing the</w:t>
            </w:r>
            <w:r>
              <w:rPr>
                <w:szCs w:val="20"/>
              </w:rPr>
              <w:t xml:space="preserve"> </w:t>
            </w:r>
            <w:r w:rsidRPr="00DF69F0">
              <w:rPr>
                <w:szCs w:val="20"/>
              </w:rPr>
              <w:t>practice of the Czech National Bank regarding extract or copy from the crime</w:t>
            </w:r>
            <w:r>
              <w:rPr>
                <w:szCs w:val="20"/>
              </w:rPr>
              <w:t xml:space="preserve"> </w:t>
            </w:r>
            <w:r w:rsidRPr="00DF69F0">
              <w:rPr>
                <w:szCs w:val="20"/>
              </w:rPr>
              <w:t>register</w:t>
            </w:r>
            <w:r>
              <w:rPr>
                <w:szCs w:val="20"/>
              </w:rPr>
              <w:t xml:space="preserve"> </w:t>
            </w:r>
          </w:p>
          <w:p w14:paraId="560D4C06" w14:textId="71D936CA" w:rsidR="009F14A1" w:rsidRPr="007A62E0" w:rsidRDefault="009F14A1" w:rsidP="00BF3540">
            <w:pPr>
              <w:autoSpaceDE w:val="0"/>
              <w:autoSpaceDN w:val="0"/>
              <w:adjustRightInd w:val="0"/>
              <w:ind w:left="354"/>
              <w:contextualSpacing/>
              <w:rPr>
                <w:rFonts w:cs="Calibri"/>
                <w:szCs w:val="20"/>
              </w:rPr>
            </w:pPr>
            <w:r w:rsidRPr="00DF69F0">
              <w:rPr>
                <w:rFonts w:cstheme="minorHAnsi"/>
                <w:sz w:val="20"/>
                <w:szCs w:val="20"/>
              </w:rPr>
              <w:t>• Official Information of 13 December 2002 regarding the assessment of the</w:t>
            </w:r>
            <w:r>
              <w:rPr>
                <w:rFonts w:cstheme="minorHAnsi"/>
                <w:sz w:val="20"/>
                <w:szCs w:val="20"/>
              </w:rPr>
              <w:t xml:space="preserve"> </w:t>
            </w:r>
            <w:r w:rsidRPr="00DF69F0">
              <w:rPr>
                <w:rFonts w:cstheme="minorHAnsi"/>
                <w:sz w:val="20"/>
                <w:szCs w:val="20"/>
              </w:rPr>
              <w:t>competence, trustworthiness and experience of persons nominated for</w:t>
            </w:r>
            <w:r>
              <w:rPr>
                <w:rFonts w:cstheme="minorHAnsi"/>
                <w:sz w:val="20"/>
                <w:szCs w:val="20"/>
              </w:rPr>
              <w:t xml:space="preserve"> </w:t>
            </w:r>
            <w:r w:rsidRPr="00DF69F0">
              <w:rPr>
                <w:rFonts w:cstheme="minorHAnsi"/>
                <w:sz w:val="20"/>
                <w:szCs w:val="20"/>
              </w:rPr>
              <w:t>executive managerial positions in banks and foreign bank branches.</w:t>
            </w:r>
          </w:p>
        </w:tc>
      </w:tr>
      <w:tr w:rsidR="009F14A1" w:rsidRPr="00A2678D" w14:paraId="2DD6346D" w14:textId="77777777" w:rsidTr="00BF3540">
        <w:tc>
          <w:tcPr>
            <w:tcW w:w="993" w:type="dxa"/>
            <w:gridSpan w:val="2"/>
            <w:vMerge/>
            <w:tcBorders>
              <w:left w:val="single" w:sz="4" w:space="0" w:color="auto"/>
              <w:bottom w:val="single" w:sz="4" w:space="0" w:color="auto"/>
              <w:right w:val="single" w:sz="4" w:space="0" w:color="auto"/>
            </w:tcBorders>
          </w:tcPr>
          <w:p w14:paraId="1E270F11" w14:textId="77777777" w:rsidR="009F14A1" w:rsidRPr="006426E8" w:rsidRDefault="009F14A1" w:rsidP="00BF3540">
            <w:pPr>
              <w:pStyle w:val="Tabledata"/>
              <w:jc w:val="center"/>
              <w:rPr>
                <w:rFonts w:cs="Arial"/>
                <w:bCs w:val="0"/>
              </w:rPr>
            </w:pPr>
          </w:p>
        </w:tc>
        <w:tc>
          <w:tcPr>
            <w:tcW w:w="1418" w:type="dxa"/>
            <w:gridSpan w:val="2"/>
            <w:vMerge/>
            <w:tcBorders>
              <w:left w:val="single" w:sz="4" w:space="0" w:color="auto"/>
              <w:bottom w:val="single" w:sz="4" w:space="0" w:color="auto"/>
              <w:right w:val="single" w:sz="4" w:space="0" w:color="auto"/>
            </w:tcBorders>
          </w:tcPr>
          <w:p w14:paraId="5B79BF9D" w14:textId="77777777" w:rsidR="009F14A1" w:rsidRPr="006426E8" w:rsidRDefault="009F14A1" w:rsidP="00BF3540">
            <w:pPr>
              <w:pStyle w:val="Tabledata"/>
              <w:jc w:val="center"/>
              <w:rPr>
                <w:rFonts w:cs="Arial"/>
                <w:bCs w:val="0"/>
              </w:rPr>
            </w:pPr>
          </w:p>
        </w:tc>
        <w:tc>
          <w:tcPr>
            <w:tcW w:w="1559" w:type="dxa"/>
            <w:tcBorders>
              <w:top w:val="single" w:sz="4" w:space="0" w:color="auto"/>
              <w:left w:val="single" w:sz="4" w:space="0" w:color="auto"/>
              <w:bottom w:val="single" w:sz="4" w:space="0" w:color="auto"/>
              <w:right w:val="single" w:sz="4" w:space="0" w:color="auto"/>
            </w:tcBorders>
          </w:tcPr>
          <w:p w14:paraId="68B8CBF7" w14:textId="16B912B2" w:rsidR="009F14A1" w:rsidRDefault="009F14A1" w:rsidP="00BF3540">
            <w:pPr>
              <w:pStyle w:val="Tabledata"/>
              <w:jc w:val="left"/>
              <w:rPr>
                <w:rFonts w:cs="Arial"/>
                <w:bCs w:val="0"/>
              </w:rPr>
            </w:pPr>
            <w:r w:rsidRPr="009F14A1">
              <w:rPr>
                <w:rFonts w:cs="Arial"/>
                <w:bCs w:val="0"/>
              </w:rPr>
              <w:t>Czech National Bank (CNB)</w:t>
            </w:r>
          </w:p>
        </w:tc>
        <w:tc>
          <w:tcPr>
            <w:tcW w:w="1134" w:type="dxa"/>
            <w:tcBorders>
              <w:top w:val="single" w:sz="4" w:space="0" w:color="auto"/>
              <w:left w:val="single" w:sz="4" w:space="0" w:color="auto"/>
              <w:bottom w:val="single" w:sz="4" w:space="0" w:color="auto"/>
              <w:right w:val="single" w:sz="4" w:space="0" w:color="auto"/>
            </w:tcBorders>
          </w:tcPr>
          <w:p w14:paraId="1475AC15" w14:textId="09D001DD" w:rsidR="009F14A1" w:rsidRDefault="009F14A1" w:rsidP="00BF3540">
            <w:pPr>
              <w:pStyle w:val="Tabledata"/>
              <w:ind w:left="284"/>
              <w:jc w:val="left"/>
              <w:rPr>
                <w:b/>
                <w:color w:val="auto"/>
                <w:szCs w:val="20"/>
              </w:rPr>
            </w:pPr>
            <w:r>
              <w:rPr>
                <w:b/>
                <w:color w:val="auto"/>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015763F2" w14:textId="2740530E" w:rsidR="009F14A1" w:rsidRDefault="006660A7" w:rsidP="00BF3540">
            <w:pPr>
              <w:pStyle w:val="Tabledata"/>
              <w:ind w:left="284"/>
              <w:jc w:val="left"/>
              <w:rPr>
                <w:b/>
                <w:color w:val="auto"/>
                <w:szCs w:val="20"/>
              </w:rPr>
            </w:pPr>
            <w:r>
              <w:rPr>
                <w:b/>
                <w:color w:val="auto"/>
                <w:szCs w:val="20"/>
              </w:rPr>
              <w:t>Y</w:t>
            </w:r>
            <w:r w:rsidR="00467817">
              <w:rPr>
                <w:b/>
                <w:color w:val="auto"/>
                <w:szCs w:val="20"/>
              </w:rPr>
              <w:t>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A2F9E85" w14:textId="12DEEE04" w:rsidR="009F14A1" w:rsidRPr="009F14A1" w:rsidRDefault="009F14A1" w:rsidP="00BF3540">
            <w:pPr>
              <w:suppressAutoHyphens/>
              <w:rPr>
                <w:rFonts w:cs="Arial"/>
                <w:color w:val="000000"/>
                <w:sz w:val="20"/>
                <w:szCs w:val="20"/>
                <w:lang w:eastAsia="en-GB"/>
              </w:rPr>
            </w:pPr>
          </w:p>
          <w:p w14:paraId="10A1E4E1" w14:textId="2BE8D0AD" w:rsidR="009F14A1" w:rsidRPr="00BF3540" w:rsidRDefault="008C7712" w:rsidP="00BF3540">
            <w:pPr>
              <w:suppressAutoHyphens/>
              <w:rPr>
                <w:rFonts w:cs="Arial"/>
                <w:color w:val="000000"/>
                <w:sz w:val="20"/>
                <w:szCs w:val="20"/>
                <w:lang w:eastAsia="en-GB"/>
              </w:rPr>
            </w:pPr>
            <w:r>
              <w:rPr>
                <w:rFonts w:cs="Arial"/>
                <w:color w:val="000000"/>
                <w:sz w:val="20"/>
                <w:szCs w:val="20"/>
                <w:lang w:eastAsia="en-GB"/>
              </w:rPr>
              <w:t>As at 30.06.2018</w:t>
            </w:r>
            <w:r w:rsidR="00BF3540" w:rsidRPr="00BF3540">
              <w:rPr>
                <w:rFonts w:cs="Arial"/>
                <w:color w:val="000000"/>
                <w:sz w:val="20"/>
                <w:szCs w:val="20"/>
                <w:lang w:eastAsia="en-GB"/>
              </w:rPr>
              <w:t>, notification date</w:t>
            </w:r>
            <w:r w:rsidR="00BF3540">
              <w:rPr>
                <w:rFonts w:cs="Arial"/>
                <w:color w:val="000000"/>
                <w:sz w:val="20"/>
                <w:szCs w:val="20"/>
                <w:lang w:eastAsia="en-GB"/>
              </w:rPr>
              <w:t>.</w:t>
            </w:r>
          </w:p>
        </w:tc>
      </w:tr>
      <w:tr w:rsidR="00863543" w:rsidRPr="00A2678D" w14:paraId="5AB39D13" w14:textId="77777777" w:rsidTr="00BF3540">
        <w:trPr>
          <w:trHeight w:val="1825"/>
        </w:trPr>
        <w:tc>
          <w:tcPr>
            <w:tcW w:w="993" w:type="dxa"/>
            <w:gridSpan w:val="2"/>
            <w:tcBorders>
              <w:top w:val="single" w:sz="4" w:space="0" w:color="auto"/>
              <w:left w:val="single" w:sz="4" w:space="0" w:color="auto"/>
              <w:right w:val="single" w:sz="4" w:space="0" w:color="auto"/>
            </w:tcBorders>
          </w:tcPr>
          <w:p w14:paraId="0FB43682" w14:textId="0D5DC781" w:rsidR="00863543" w:rsidRPr="006426E8" w:rsidRDefault="00863543" w:rsidP="00BF3540">
            <w:pPr>
              <w:pStyle w:val="Tabledata"/>
              <w:jc w:val="center"/>
              <w:rPr>
                <w:rFonts w:cs="Arial"/>
                <w:bCs w:val="0"/>
              </w:rPr>
            </w:pPr>
            <w:r w:rsidRPr="006426E8">
              <w:rPr>
                <w:rFonts w:cs="Arial"/>
                <w:bCs w:val="0"/>
              </w:rPr>
              <w:t>DK</w:t>
            </w:r>
          </w:p>
        </w:tc>
        <w:tc>
          <w:tcPr>
            <w:tcW w:w="1418" w:type="dxa"/>
            <w:gridSpan w:val="2"/>
            <w:tcBorders>
              <w:top w:val="single" w:sz="4" w:space="0" w:color="auto"/>
              <w:left w:val="single" w:sz="4" w:space="0" w:color="auto"/>
              <w:right w:val="single" w:sz="4" w:space="0" w:color="auto"/>
            </w:tcBorders>
          </w:tcPr>
          <w:p w14:paraId="0F9BD3E6" w14:textId="77777777" w:rsidR="00863543" w:rsidRPr="006426E8" w:rsidRDefault="00863543" w:rsidP="00BF3540">
            <w:pPr>
              <w:pStyle w:val="Tabledata"/>
              <w:jc w:val="center"/>
              <w:rPr>
                <w:rFonts w:cs="Arial"/>
                <w:bCs w:val="0"/>
              </w:rPr>
            </w:pPr>
            <w:r w:rsidRPr="006426E8">
              <w:rPr>
                <w:rFonts w:cs="Arial"/>
                <w:bCs w:val="0"/>
              </w:rPr>
              <w:t>Denmark</w:t>
            </w:r>
          </w:p>
        </w:tc>
        <w:tc>
          <w:tcPr>
            <w:tcW w:w="1559" w:type="dxa"/>
            <w:tcBorders>
              <w:top w:val="single" w:sz="4" w:space="0" w:color="auto"/>
              <w:left w:val="single" w:sz="4" w:space="0" w:color="auto"/>
              <w:right w:val="single" w:sz="4" w:space="0" w:color="auto"/>
            </w:tcBorders>
          </w:tcPr>
          <w:p w14:paraId="58A18123" w14:textId="77777777" w:rsidR="00863543" w:rsidRPr="006426E8" w:rsidRDefault="00863543" w:rsidP="00BF3540">
            <w:pPr>
              <w:pStyle w:val="Tabledata"/>
              <w:jc w:val="left"/>
              <w:rPr>
                <w:rFonts w:cs="Arial"/>
                <w:bCs w:val="0"/>
              </w:rPr>
            </w:pPr>
            <w:proofErr w:type="spellStart"/>
            <w:r w:rsidRPr="0039304D">
              <w:rPr>
                <w:rFonts w:cs="Arial"/>
                <w:bCs w:val="0"/>
              </w:rPr>
              <w:t>Finanstilsynet</w:t>
            </w:r>
            <w:proofErr w:type="spellEnd"/>
            <w:r w:rsidRPr="0039304D">
              <w:rPr>
                <w:rFonts w:cs="Arial"/>
                <w:bCs w:val="0"/>
              </w:rPr>
              <w:t xml:space="preserve"> (</w:t>
            </w:r>
            <w:r w:rsidRPr="00CD3A8C">
              <w:rPr>
                <w:rFonts w:cs="Arial"/>
                <w:bCs w:val="0"/>
              </w:rPr>
              <w:t>Danish F</w:t>
            </w:r>
            <w:r>
              <w:rPr>
                <w:rFonts w:cs="Arial"/>
                <w:bCs w:val="0"/>
              </w:rPr>
              <w:t xml:space="preserve">inancial Supervisory Authority) </w:t>
            </w:r>
          </w:p>
          <w:p w14:paraId="681CDAA5" w14:textId="61BB4E3E" w:rsidR="00863543" w:rsidRPr="006426E8" w:rsidRDefault="00863543" w:rsidP="00BF3540">
            <w:pPr>
              <w:pStyle w:val="Tabledata"/>
              <w:jc w:val="left"/>
              <w:rPr>
                <w:rFonts w:cs="Arial"/>
                <w:bCs w:val="0"/>
              </w:rPr>
            </w:pPr>
          </w:p>
        </w:tc>
        <w:tc>
          <w:tcPr>
            <w:tcW w:w="1134" w:type="dxa"/>
            <w:tcBorders>
              <w:top w:val="single" w:sz="4" w:space="0" w:color="auto"/>
              <w:left w:val="single" w:sz="4" w:space="0" w:color="auto"/>
              <w:right w:val="single" w:sz="4" w:space="0" w:color="auto"/>
            </w:tcBorders>
          </w:tcPr>
          <w:p w14:paraId="11618376" w14:textId="77777777" w:rsidR="00863543" w:rsidRPr="00A75FBE" w:rsidRDefault="00863543" w:rsidP="00BF3540">
            <w:pPr>
              <w:pStyle w:val="Tabledata"/>
              <w:ind w:left="284"/>
              <w:jc w:val="left"/>
              <w:rPr>
                <w:b/>
                <w:szCs w:val="20"/>
              </w:rPr>
            </w:pPr>
            <w:r>
              <w:rPr>
                <w:b/>
                <w:szCs w:val="20"/>
              </w:rPr>
              <w:t>EBA/ESMA</w:t>
            </w:r>
          </w:p>
          <w:p w14:paraId="07A21D6A" w14:textId="69B58B12" w:rsidR="00863543" w:rsidRPr="00A75FBE" w:rsidRDefault="00863543" w:rsidP="00BF3540">
            <w:pPr>
              <w:pStyle w:val="Tabledata"/>
              <w:ind w:left="284"/>
              <w:jc w:val="left"/>
              <w:rPr>
                <w:b/>
                <w:szCs w:val="20"/>
              </w:rPr>
            </w:pPr>
          </w:p>
        </w:tc>
        <w:tc>
          <w:tcPr>
            <w:tcW w:w="1559" w:type="dxa"/>
            <w:tcBorders>
              <w:top w:val="single" w:sz="4" w:space="0" w:color="auto"/>
              <w:left w:val="single" w:sz="4" w:space="0" w:color="auto"/>
              <w:right w:val="single" w:sz="4" w:space="0" w:color="auto"/>
            </w:tcBorders>
            <w:shd w:val="clear" w:color="auto" w:fill="92D050"/>
          </w:tcPr>
          <w:p w14:paraId="2E3E6343" w14:textId="77777777" w:rsidR="00863543" w:rsidRPr="00A75FBE" w:rsidRDefault="00863543" w:rsidP="00BF3540">
            <w:pPr>
              <w:pStyle w:val="Tabledata"/>
              <w:ind w:left="284"/>
              <w:jc w:val="left"/>
              <w:rPr>
                <w:b/>
                <w:szCs w:val="20"/>
              </w:rPr>
            </w:pPr>
            <w:r>
              <w:rPr>
                <w:b/>
                <w:color w:val="auto"/>
                <w:szCs w:val="20"/>
              </w:rPr>
              <w:t>Intends to comply**</w:t>
            </w:r>
          </w:p>
          <w:p w14:paraId="35FCDFB5" w14:textId="7C618682" w:rsidR="00863543" w:rsidRPr="00A75FBE" w:rsidRDefault="00863543" w:rsidP="00BF3540">
            <w:pPr>
              <w:pStyle w:val="Tabledata"/>
              <w:ind w:left="284"/>
              <w:jc w:val="left"/>
              <w:rPr>
                <w:b/>
                <w:szCs w:val="20"/>
              </w:rPr>
            </w:pPr>
          </w:p>
        </w:tc>
        <w:tc>
          <w:tcPr>
            <w:tcW w:w="3510" w:type="dxa"/>
            <w:tcBorders>
              <w:top w:val="single" w:sz="4" w:space="0" w:color="auto"/>
              <w:left w:val="single" w:sz="4" w:space="0" w:color="auto"/>
              <w:right w:val="single" w:sz="4" w:space="0" w:color="auto"/>
            </w:tcBorders>
            <w:shd w:val="clear" w:color="auto" w:fill="auto"/>
          </w:tcPr>
          <w:p w14:paraId="3877B00C" w14:textId="77777777" w:rsidR="00863543" w:rsidRPr="00180E1B" w:rsidRDefault="00863543" w:rsidP="00BF3540">
            <w:pPr>
              <w:pStyle w:val="Tabledata"/>
              <w:jc w:val="left"/>
              <w:rPr>
                <w:szCs w:val="20"/>
              </w:rPr>
            </w:pPr>
            <w:r w:rsidRPr="00E25AC7">
              <w:t>By 31.12.2018.</w:t>
            </w:r>
            <w:r>
              <w:rPr>
                <w:rFonts w:eastAsia="Arial" w:cs="Arial"/>
              </w:rPr>
              <w:t xml:space="preserve"> </w:t>
            </w:r>
          </w:p>
          <w:p w14:paraId="411EEE95" w14:textId="5987B11C" w:rsidR="00863543" w:rsidRPr="00180E1B" w:rsidRDefault="00863543" w:rsidP="00BF3540">
            <w:pPr>
              <w:pStyle w:val="Tabledata"/>
              <w:jc w:val="left"/>
              <w:rPr>
                <w:szCs w:val="20"/>
              </w:rPr>
            </w:pPr>
          </w:p>
        </w:tc>
      </w:tr>
      <w:tr w:rsidR="009F14A1" w:rsidRPr="00A2678D" w14:paraId="10FA7D42" w14:textId="77777777" w:rsidTr="00BF3540">
        <w:tc>
          <w:tcPr>
            <w:tcW w:w="993" w:type="dxa"/>
            <w:gridSpan w:val="2"/>
            <w:vMerge w:val="restart"/>
            <w:tcBorders>
              <w:top w:val="single" w:sz="4" w:space="0" w:color="auto"/>
              <w:left w:val="single" w:sz="4" w:space="0" w:color="auto"/>
              <w:right w:val="single" w:sz="4" w:space="0" w:color="auto"/>
            </w:tcBorders>
          </w:tcPr>
          <w:p w14:paraId="379DBEAA" w14:textId="77777777" w:rsidR="009F14A1" w:rsidRPr="00A64B3F" w:rsidRDefault="009F14A1" w:rsidP="00BF3540">
            <w:pPr>
              <w:pStyle w:val="Tabledata"/>
              <w:jc w:val="center"/>
              <w:rPr>
                <w:szCs w:val="20"/>
              </w:rPr>
            </w:pPr>
            <w:r w:rsidRPr="00CD3A8C">
              <w:t>DE</w:t>
            </w:r>
          </w:p>
        </w:tc>
        <w:tc>
          <w:tcPr>
            <w:tcW w:w="1418" w:type="dxa"/>
            <w:gridSpan w:val="2"/>
            <w:vMerge w:val="restart"/>
            <w:tcBorders>
              <w:top w:val="single" w:sz="4" w:space="0" w:color="auto"/>
              <w:left w:val="single" w:sz="4" w:space="0" w:color="auto"/>
              <w:right w:val="single" w:sz="4" w:space="0" w:color="auto"/>
            </w:tcBorders>
          </w:tcPr>
          <w:p w14:paraId="39A854A7" w14:textId="77777777" w:rsidR="009F14A1" w:rsidRPr="00A64B3F" w:rsidRDefault="009F14A1" w:rsidP="00BF3540">
            <w:pPr>
              <w:pStyle w:val="Tabledata"/>
              <w:jc w:val="center"/>
              <w:rPr>
                <w:szCs w:val="20"/>
              </w:rPr>
            </w:pPr>
            <w:r w:rsidRPr="00CD3A8C">
              <w:t>Germany</w:t>
            </w:r>
          </w:p>
        </w:tc>
        <w:tc>
          <w:tcPr>
            <w:tcW w:w="1559" w:type="dxa"/>
            <w:tcBorders>
              <w:top w:val="single" w:sz="4" w:space="0" w:color="auto"/>
              <w:left w:val="single" w:sz="4" w:space="0" w:color="auto"/>
              <w:bottom w:val="single" w:sz="4" w:space="0" w:color="auto"/>
              <w:right w:val="single" w:sz="4" w:space="0" w:color="auto"/>
            </w:tcBorders>
          </w:tcPr>
          <w:p w14:paraId="09C45CCB" w14:textId="75B3948A" w:rsidR="009F14A1" w:rsidRPr="00B72435" w:rsidRDefault="00C62418" w:rsidP="00BF3540">
            <w:pPr>
              <w:pStyle w:val="Tabledata"/>
              <w:jc w:val="left"/>
              <w:rPr>
                <w:rFonts w:cs="Arial"/>
                <w:bCs w:val="0"/>
              </w:rPr>
            </w:pPr>
            <w:proofErr w:type="spellStart"/>
            <w:r w:rsidRPr="00C62418">
              <w:rPr>
                <w:rFonts w:cs="Arial"/>
                <w:bCs w:val="0"/>
              </w:rPr>
              <w:t>Bundesanstalt</w:t>
            </w:r>
            <w:proofErr w:type="spellEnd"/>
            <w:r w:rsidRPr="00C62418">
              <w:rPr>
                <w:rFonts w:cs="Arial"/>
                <w:bCs w:val="0"/>
              </w:rPr>
              <w:t xml:space="preserve"> </w:t>
            </w:r>
            <w:proofErr w:type="spellStart"/>
            <w:r w:rsidRPr="00C62418">
              <w:rPr>
                <w:rFonts w:cs="Arial"/>
                <w:bCs w:val="0"/>
              </w:rPr>
              <w:t>für</w:t>
            </w:r>
            <w:proofErr w:type="spellEnd"/>
            <w:r w:rsidRPr="00C62418">
              <w:rPr>
                <w:rFonts w:cs="Arial"/>
                <w:bCs w:val="0"/>
              </w:rPr>
              <w:t xml:space="preserve"> </w:t>
            </w:r>
            <w:proofErr w:type="spellStart"/>
            <w:r w:rsidRPr="00C62418">
              <w:rPr>
                <w:rFonts w:cs="Arial"/>
                <w:bCs w:val="0"/>
              </w:rPr>
              <w:t>Finanzdienstleistungsaufsicht</w:t>
            </w:r>
            <w:proofErr w:type="spellEnd"/>
            <w:r w:rsidRPr="00C62418">
              <w:rPr>
                <w:rFonts w:cs="Arial"/>
                <w:bCs w:val="0"/>
              </w:rPr>
              <w:t xml:space="preserve"> (Federal Financial Supervisory</w:t>
            </w:r>
            <w:r>
              <w:rPr>
                <w:rFonts w:cs="Arial"/>
                <w:bCs w:val="0"/>
              </w:rPr>
              <w:t xml:space="preserve"> Authority, </w:t>
            </w:r>
            <w:r w:rsidR="009F14A1">
              <w:rPr>
                <w:rFonts w:cs="Arial"/>
                <w:bCs w:val="0"/>
              </w:rPr>
              <w:t>BaFin</w:t>
            </w:r>
            <w:r>
              <w:rPr>
                <w:rFonts w:cs="Arial"/>
                <w:bCs w:val="0"/>
              </w:rPr>
              <w:t>)</w:t>
            </w:r>
          </w:p>
        </w:tc>
        <w:tc>
          <w:tcPr>
            <w:tcW w:w="1134" w:type="dxa"/>
            <w:tcBorders>
              <w:top w:val="single" w:sz="4" w:space="0" w:color="auto"/>
              <w:left w:val="single" w:sz="4" w:space="0" w:color="auto"/>
              <w:bottom w:val="single" w:sz="4" w:space="0" w:color="auto"/>
              <w:right w:val="single" w:sz="4" w:space="0" w:color="auto"/>
            </w:tcBorders>
          </w:tcPr>
          <w:p w14:paraId="0425128F" w14:textId="7D12B313" w:rsidR="009F14A1" w:rsidRPr="00922663" w:rsidRDefault="009F14A1"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4D288E38" w14:textId="516CD623" w:rsidR="009F14A1" w:rsidRPr="00922663" w:rsidRDefault="009F14A1"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7E4D635" w14:textId="54670145" w:rsidR="009F14A1" w:rsidRPr="00877ECD" w:rsidRDefault="009F14A1" w:rsidP="00BF3540">
            <w:pPr>
              <w:pStyle w:val="Tabledata"/>
              <w:contextualSpacing/>
              <w:jc w:val="left"/>
            </w:pPr>
            <w:r w:rsidRPr="000918AC">
              <w:rPr>
                <w:bCs w:val="0"/>
              </w:rPr>
              <w:t>BaFin intends to comply with the Guidelines by 31.12.2018 except for the provisions on formal</w:t>
            </w:r>
            <w:r>
              <w:rPr>
                <w:bCs w:val="0"/>
              </w:rPr>
              <w:t xml:space="preserve"> </w:t>
            </w:r>
            <w:r w:rsidRPr="000918AC">
              <w:rPr>
                <w:bCs w:val="0"/>
              </w:rPr>
              <w:t>independence (GL section 9.3) and the supervisory requirements regarding key function holders</w:t>
            </w:r>
            <w:r>
              <w:rPr>
                <w:bCs w:val="0"/>
              </w:rPr>
              <w:t xml:space="preserve"> </w:t>
            </w:r>
            <w:r w:rsidRPr="000918AC">
              <w:rPr>
                <w:bCs w:val="0"/>
              </w:rPr>
              <w:t xml:space="preserve">(GL para 170 ff.). We see no adequate legal basis for such rules in </w:t>
            </w:r>
            <w:r w:rsidRPr="007E16D1">
              <w:rPr>
                <w:rFonts w:eastAsiaTheme="minorEastAsia" w:cstheme="minorBidi"/>
                <w:bCs w:val="0"/>
                <w:color w:val="auto"/>
                <w:szCs w:val="20"/>
                <w:lang w:eastAsia="en-US"/>
              </w:rPr>
              <w:t>directive 2013/36/EU (CRD IV). In</w:t>
            </w:r>
            <w:r>
              <w:rPr>
                <w:rFonts w:eastAsiaTheme="minorEastAsia" w:cstheme="minorBidi"/>
                <w:bCs w:val="0"/>
                <w:color w:val="auto"/>
                <w:szCs w:val="20"/>
                <w:lang w:eastAsia="en-US"/>
              </w:rPr>
              <w:t xml:space="preserve"> </w:t>
            </w:r>
            <w:r w:rsidRPr="007E16D1">
              <w:rPr>
                <w:szCs w:val="20"/>
              </w:rPr>
              <w:t>addition, as regards formal independence, the intended supervisory added value is not evident.</w:t>
            </w:r>
          </w:p>
        </w:tc>
      </w:tr>
      <w:tr w:rsidR="009F14A1" w:rsidRPr="00A2678D" w14:paraId="5F17544D" w14:textId="77777777" w:rsidTr="00BF3540">
        <w:tc>
          <w:tcPr>
            <w:tcW w:w="993" w:type="dxa"/>
            <w:gridSpan w:val="2"/>
            <w:vMerge/>
            <w:tcBorders>
              <w:left w:val="single" w:sz="4" w:space="0" w:color="auto"/>
              <w:bottom w:val="single" w:sz="4" w:space="0" w:color="auto"/>
              <w:right w:val="single" w:sz="4" w:space="0" w:color="auto"/>
            </w:tcBorders>
          </w:tcPr>
          <w:p w14:paraId="2BFE705B" w14:textId="77777777" w:rsidR="009F14A1" w:rsidRPr="00CD3A8C" w:rsidRDefault="009F14A1"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5B291D63" w14:textId="77777777" w:rsidR="009F14A1" w:rsidRPr="00CD3A8C" w:rsidRDefault="009F14A1"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53593FFF" w14:textId="203EEC43" w:rsidR="009F14A1" w:rsidRDefault="009F14A1" w:rsidP="00BF3540">
            <w:pPr>
              <w:pStyle w:val="Tabledata"/>
              <w:jc w:val="left"/>
              <w:rPr>
                <w:rFonts w:cs="Arial"/>
                <w:bCs w:val="0"/>
              </w:rPr>
            </w:pPr>
            <w:proofErr w:type="spellStart"/>
            <w:r w:rsidRPr="003B0569">
              <w:rPr>
                <w:rFonts w:cs="Arial"/>
                <w:bCs w:val="0"/>
              </w:rPr>
              <w:t>Bundesanstalt</w:t>
            </w:r>
            <w:proofErr w:type="spellEnd"/>
            <w:r w:rsidRPr="003B0569">
              <w:rPr>
                <w:rFonts w:cs="Arial"/>
                <w:bCs w:val="0"/>
              </w:rPr>
              <w:t xml:space="preserve"> </w:t>
            </w:r>
            <w:proofErr w:type="spellStart"/>
            <w:r w:rsidRPr="003B0569">
              <w:rPr>
                <w:rFonts w:cs="Arial"/>
                <w:bCs w:val="0"/>
              </w:rPr>
              <w:t>für</w:t>
            </w:r>
            <w:proofErr w:type="spellEnd"/>
            <w:r w:rsidRPr="003B0569">
              <w:rPr>
                <w:rFonts w:cs="Arial"/>
                <w:bCs w:val="0"/>
              </w:rPr>
              <w:t xml:space="preserve"> </w:t>
            </w:r>
            <w:proofErr w:type="spellStart"/>
            <w:r w:rsidRPr="003B0569">
              <w:rPr>
                <w:rFonts w:cs="Arial"/>
                <w:bCs w:val="0"/>
              </w:rPr>
              <w:t>Finanzdienstlei</w:t>
            </w:r>
            <w:proofErr w:type="spellEnd"/>
            <w:r w:rsidRPr="003B0569">
              <w:rPr>
                <w:rFonts w:cs="Arial"/>
                <w:bCs w:val="0"/>
              </w:rPr>
              <w:t xml:space="preserve"> </w:t>
            </w:r>
            <w:proofErr w:type="spellStart"/>
            <w:r w:rsidRPr="003B0569">
              <w:rPr>
                <w:rFonts w:cs="Arial"/>
                <w:bCs w:val="0"/>
              </w:rPr>
              <w:t>stungsaufsicht</w:t>
            </w:r>
            <w:proofErr w:type="spellEnd"/>
            <w:r w:rsidRPr="003B0569">
              <w:rPr>
                <w:rFonts w:cs="Arial"/>
                <w:bCs w:val="0"/>
              </w:rPr>
              <w:t xml:space="preserve"> (</w:t>
            </w:r>
            <w:r w:rsidR="00C62418" w:rsidRPr="00C62418">
              <w:rPr>
                <w:rFonts w:cs="Arial"/>
                <w:bCs w:val="0"/>
              </w:rPr>
              <w:t>Federal Financial Supervisory</w:t>
            </w:r>
            <w:r w:rsidR="00C62418">
              <w:rPr>
                <w:rFonts w:cs="Arial"/>
                <w:bCs w:val="0"/>
              </w:rPr>
              <w:t xml:space="preserve"> Authority, </w:t>
            </w:r>
            <w:r w:rsidRPr="003B0569">
              <w:rPr>
                <w:rFonts w:cs="Arial"/>
                <w:bCs w:val="0"/>
              </w:rPr>
              <w:t>BaFin)</w:t>
            </w:r>
          </w:p>
        </w:tc>
        <w:tc>
          <w:tcPr>
            <w:tcW w:w="1134" w:type="dxa"/>
            <w:tcBorders>
              <w:top w:val="single" w:sz="4" w:space="0" w:color="auto"/>
              <w:left w:val="single" w:sz="4" w:space="0" w:color="auto"/>
              <w:bottom w:val="single" w:sz="4" w:space="0" w:color="auto"/>
              <w:right w:val="single" w:sz="4" w:space="0" w:color="auto"/>
            </w:tcBorders>
          </w:tcPr>
          <w:p w14:paraId="21F8FC18" w14:textId="353D0D80" w:rsidR="009F14A1" w:rsidRDefault="009F14A1" w:rsidP="00BF3540">
            <w:pPr>
              <w:pStyle w:val="Tabledata"/>
              <w:ind w:left="284"/>
              <w:jc w:val="left"/>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67EBF21E" w14:textId="4DD428F2" w:rsidR="009F14A1" w:rsidRDefault="009F14A1" w:rsidP="00BF3540">
            <w:pPr>
              <w:pStyle w:val="Tabledata"/>
              <w:jc w:val="center"/>
              <w:rPr>
                <w:b/>
                <w:color w:val="auto"/>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1B45B16" w14:textId="2DD8740B" w:rsidR="009F14A1" w:rsidRDefault="009F14A1" w:rsidP="00BF3540">
            <w:pPr>
              <w:suppressAutoHyphens/>
            </w:pPr>
            <w:r w:rsidRPr="009F14A1">
              <w:rPr>
                <w:bCs/>
                <w:sz w:val="20"/>
                <w:szCs w:val="20"/>
              </w:rPr>
              <w:t>BaFin intends to comp</w:t>
            </w:r>
            <w:r w:rsidR="00E627F4">
              <w:rPr>
                <w:bCs/>
                <w:sz w:val="20"/>
                <w:szCs w:val="20"/>
              </w:rPr>
              <w:t>ly with the Guidelines by 31.12.</w:t>
            </w:r>
            <w:r w:rsidRPr="009F14A1">
              <w:rPr>
                <w:bCs/>
                <w:sz w:val="20"/>
                <w:szCs w:val="20"/>
              </w:rPr>
              <w:t>2018 except for the provisions on formal independence (GL section 9.3). We see no adequate legal basis for such rules in directive 2014/65/EU (MiFID 2). In addition, as regards formal independence, the intended supervisory added value is not evident.</w:t>
            </w:r>
          </w:p>
        </w:tc>
      </w:tr>
      <w:tr w:rsidR="00863543" w:rsidRPr="00A2678D" w14:paraId="024CC5AE" w14:textId="77777777" w:rsidTr="00BF3540">
        <w:trPr>
          <w:trHeight w:val="1581"/>
        </w:trPr>
        <w:tc>
          <w:tcPr>
            <w:tcW w:w="993" w:type="dxa"/>
            <w:gridSpan w:val="2"/>
            <w:tcBorders>
              <w:top w:val="single" w:sz="4" w:space="0" w:color="auto"/>
              <w:left w:val="single" w:sz="4" w:space="0" w:color="auto"/>
              <w:right w:val="single" w:sz="4" w:space="0" w:color="auto"/>
            </w:tcBorders>
          </w:tcPr>
          <w:p w14:paraId="74A403D2" w14:textId="77777777" w:rsidR="00863543" w:rsidRPr="00DD00A2" w:rsidRDefault="00863543" w:rsidP="00BF3540">
            <w:pPr>
              <w:pStyle w:val="Tabledata"/>
              <w:jc w:val="center"/>
              <w:rPr>
                <w:szCs w:val="20"/>
              </w:rPr>
            </w:pPr>
            <w:r>
              <w:rPr>
                <w:szCs w:val="20"/>
              </w:rPr>
              <w:t>EE</w:t>
            </w:r>
          </w:p>
        </w:tc>
        <w:tc>
          <w:tcPr>
            <w:tcW w:w="1418" w:type="dxa"/>
            <w:gridSpan w:val="2"/>
            <w:tcBorders>
              <w:top w:val="single" w:sz="4" w:space="0" w:color="auto"/>
              <w:left w:val="single" w:sz="4" w:space="0" w:color="auto"/>
              <w:right w:val="single" w:sz="4" w:space="0" w:color="auto"/>
            </w:tcBorders>
          </w:tcPr>
          <w:p w14:paraId="53338DFE" w14:textId="77777777" w:rsidR="00863543" w:rsidRPr="00DD00A2" w:rsidRDefault="00863543" w:rsidP="00BF3540">
            <w:pPr>
              <w:pStyle w:val="Tabledata"/>
              <w:jc w:val="center"/>
              <w:rPr>
                <w:szCs w:val="20"/>
              </w:rPr>
            </w:pPr>
            <w:r w:rsidRPr="00CD3A8C">
              <w:t>Estonia</w:t>
            </w:r>
          </w:p>
        </w:tc>
        <w:tc>
          <w:tcPr>
            <w:tcW w:w="1559" w:type="dxa"/>
            <w:tcBorders>
              <w:top w:val="single" w:sz="4" w:space="0" w:color="auto"/>
              <w:left w:val="single" w:sz="4" w:space="0" w:color="auto"/>
              <w:right w:val="single" w:sz="4" w:space="0" w:color="auto"/>
            </w:tcBorders>
          </w:tcPr>
          <w:p w14:paraId="6B35608E" w14:textId="77777777" w:rsidR="00863543" w:rsidRPr="00B72435" w:rsidRDefault="00863543" w:rsidP="00BF3540">
            <w:pPr>
              <w:pStyle w:val="Tabledata"/>
              <w:jc w:val="left"/>
              <w:rPr>
                <w:szCs w:val="20"/>
              </w:rPr>
            </w:pPr>
            <w:proofErr w:type="spellStart"/>
            <w:r>
              <w:rPr>
                <w:rFonts w:cs="Arial"/>
                <w:bCs w:val="0"/>
              </w:rPr>
              <w:t>Finantsinspektsioon</w:t>
            </w:r>
            <w:proofErr w:type="spellEnd"/>
            <w:r>
              <w:rPr>
                <w:rFonts w:cs="Arial"/>
                <w:bCs w:val="0"/>
              </w:rPr>
              <w:t xml:space="preserve"> </w:t>
            </w:r>
            <w:r w:rsidRPr="00736CA6">
              <w:rPr>
                <w:rFonts w:cs="Arial"/>
                <w:bCs w:val="0"/>
              </w:rPr>
              <w:t>(Financial Supervision Authority</w:t>
            </w:r>
            <w:r>
              <w:rPr>
                <w:rFonts w:cs="Arial"/>
                <w:bCs w:val="0"/>
              </w:rPr>
              <w:t>, FSA</w:t>
            </w:r>
            <w:r w:rsidRPr="00736CA6">
              <w:rPr>
                <w:rFonts w:cs="Arial"/>
                <w:bCs w:val="0"/>
              </w:rPr>
              <w:t>)</w:t>
            </w:r>
          </w:p>
          <w:p w14:paraId="7BDB291A" w14:textId="45A257AA" w:rsidR="00863543" w:rsidRPr="00B72435" w:rsidRDefault="00863543" w:rsidP="00BF3540">
            <w:pPr>
              <w:pStyle w:val="Tabledata"/>
              <w:jc w:val="left"/>
              <w:rPr>
                <w:szCs w:val="20"/>
              </w:rPr>
            </w:pPr>
          </w:p>
        </w:tc>
        <w:tc>
          <w:tcPr>
            <w:tcW w:w="1134" w:type="dxa"/>
            <w:tcBorders>
              <w:top w:val="single" w:sz="4" w:space="0" w:color="auto"/>
              <w:left w:val="single" w:sz="4" w:space="0" w:color="auto"/>
              <w:right w:val="single" w:sz="4" w:space="0" w:color="auto"/>
            </w:tcBorders>
          </w:tcPr>
          <w:p w14:paraId="43C58449" w14:textId="77777777" w:rsidR="00863543" w:rsidRPr="00FF0A17" w:rsidRDefault="00863543" w:rsidP="00BF3540">
            <w:pPr>
              <w:pStyle w:val="Tabledata"/>
              <w:ind w:left="284"/>
              <w:jc w:val="left"/>
              <w:rPr>
                <w:b/>
                <w:szCs w:val="20"/>
              </w:rPr>
            </w:pPr>
            <w:r>
              <w:rPr>
                <w:b/>
                <w:szCs w:val="20"/>
              </w:rPr>
              <w:t>EBA/ESMA</w:t>
            </w:r>
          </w:p>
          <w:p w14:paraId="139D93FB" w14:textId="0009DC18" w:rsidR="00863543" w:rsidRPr="00FF0A17" w:rsidRDefault="00863543" w:rsidP="00BF3540">
            <w:pPr>
              <w:pStyle w:val="Tabledata"/>
              <w:ind w:left="284"/>
              <w:jc w:val="left"/>
              <w:rPr>
                <w:b/>
                <w:szCs w:val="20"/>
              </w:rPr>
            </w:pPr>
          </w:p>
        </w:tc>
        <w:tc>
          <w:tcPr>
            <w:tcW w:w="1559" w:type="dxa"/>
            <w:tcBorders>
              <w:top w:val="single" w:sz="4" w:space="0" w:color="auto"/>
              <w:left w:val="single" w:sz="4" w:space="0" w:color="auto"/>
              <w:right w:val="single" w:sz="4" w:space="0" w:color="auto"/>
            </w:tcBorders>
            <w:shd w:val="clear" w:color="auto" w:fill="00B050"/>
          </w:tcPr>
          <w:p w14:paraId="4DECB30A" w14:textId="77777777" w:rsidR="00863543" w:rsidRPr="00FF0A17" w:rsidRDefault="00863543" w:rsidP="00BF3540">
            <w:pPr>
              <w:pStyle w:val="Tabledata"/>
              <w:jc w:val="center"/>
              <w:rPr>
                <w:b/>
                <w:szCs w:val="20"/>
              </w:rPr>
            </w:pPr>
            <w:r>
              <w:rPr>
                <w:b/>
                <w:color w:val="auto"/>
                <w:szCs w:val="20"/>
              </w:rPr>
              <w:t>Yes</w:t>
            </w:r>
          </w:p>
          <w:p w14:paraId="21C4D6DD" w14:textId="154D3533" w:rsidR="00863543" w:rsidRPr="00FF0A17" w:rsidRDefault="00863543" w:rsidP="00BF3540">
            <w:pPr>
              <w:pStyle w:val="Tabledata"/>
              <w:jc w:val="center"/>
              <w:rPr>
                <w:b/>
                <w:szCs w:val="20"/>
              </w:rPr>
            </w:pPr>
          </w:p>
        </w:tc>
        <w:tc>
          <w:tcPr>
            <w:tcW w:w="3510" w:type="dxa"/>
            <w:tcBorders>
              <w:top w:val="single" w:sz="4" w:space="0" w:color="auto"/>
              <w:left w:val="single" w:sz="4" w:space="0" w:color="auto"/>
              <w:right w:val="single" w:sz="4" w:space="0" w:color="auto"/>
            </w:tcBorders>
            <w:shd w:val="clear" w:color="auto" w:fill="auto"/>
          </w:tcPr>
          <w:p w14:paraId="49A96321" w14:textId="3DE86931" w:rsidR="00863543" w:rsidRPr="00FF0A17" w:rsidRDefault="00863543" w:rsidP="00BF3540">
            <w:r w:rsidRPr="00D236A2">
              <w:rPr>
                <w:rFonts w:cstheme="minorHAnsi"/>
                <w:sz w:val="20"/>
              </w:rPr>
              <w:t>As at 21.05.2018, notification date.</w:t>
            </w:r>
            <w:r>
              <w:rPr>
                <w:szCs w:val="20"/>
              </w:rPr>
              <w:t xml:space="preserve"> </w:t>
            </w:r>
          </w:p>
        </w:tc>
      </w:tr>
      <w:tr w:rsidR="008C40E7" w:rsidRPr="00A2678D" w14:paraId="255B0312" w14:textId="77777777" w:rsidTr="00BF3540">
        <w:tc>
          <w:tcPr>
            <w:tcW w:w="993" w:type="dxa"/>
            <w:gridSpan w:val="2"/>
            <w:vMerge w:val="restart"/>
            <w:tcBorders>
              <w:top w:val="single" w:sz="4" w:space="0" w:color="auto"/>
              <w:left w:val="single" w:sz="4" w:space="0" w:color="auto"/>
              <w:right w:val="single" w:sz="4" w:space="0" w:color="auto"/>
            </w:tcBorders>
          </w:tcPr>
          <w:p w14:paraId="56484BC6" w14:textId="77777777" w:rsidR="008C40E7" w:rsidRPr="00DD00A2" w:rsidRDefault="008C40E7" w:rsidP="00BF3540">
            <w:pPr>
              <w:pStyle w:val="Tabledata"/>
              <w:jc w:val="center"/>
              <w:rPr>
                <w:szCs w:val="20"/>
              </w:rPr>
            </w:pPr>
            <w:r>
              <w:t>IE</w:t>
            </w:r>
          </w:p>
        </w:tc>
        <w:tc>
          <w:tcPr>
            <w:tcW w:w="1418" w:type="dxa"/>
            <w:gridSpan w:val="2"/>
            <w:vMerge w:val="restart"/>
            <w:tcBorders>
              <w:top w:val="single" w:sz="4" w:space="0" w:color="auto"/>
              <w:left w:val="single" w:sz="4" w:space="0" w:color="auto"/>
              <w:right w:val="single" w:sz="4" w:space="0" w:color="auto"/>
            </w:tcBorders>
          </w:tcPr>
          <w:p w14:paraId="2E8FC12D" w14:textId="77777777" w:rsidR="008C40E7" w:rsidRPr="00DD00A2" w:rsidRDefault="008C40E7" w:rsidP="00BF3540">
            <w:pPr>
              <w:pStyle w:val="Tabledata"/>
              <w:jc w:val="center"/>
              <w:rPr>
                <w:szCs w:val="20"/>
              </w:rPr>
            </w:pPr>
            <w:r>
              <w:t>Ireland</w:t>
            </w:r>
          </w:p>
        </w:tc>
        <w:tc>
          <w:tcPr>
            <w:tcW w:w="1559" w:type="dxa"/>
            <w:tcBorders>
              <w:top w:val="single" w:sz="4" w:space="0" w:color="auto"/>
              <w:left w:val="single" w:sz="4" w:space="0" w:color="auto"/>
              <w:bottom w:val="single" w:sz="4" w:space="0" w:color="auto"/>
              <w:right w:val="single" w:sz="4" w:space="0" w:color="auto"/>
            </w:tcBorders>
          </w:tcPr>
          <w:p w14:paraId="5BF2A873" w14:textId="31734328" w:rsidR="008C40E7" w:rsidRPr="00B72435" w:rsidRDefault="008C40E7" w:rsidP="00BF3540">
            <w:pPr>
              <w:pStyle w:val="Tabledata"/>
              <w:jc w:val="left"/>
              <w:rPr>
                <w:szCs w:val="20"/>
              </w:rPr>
            </w:pPr>
            <w:r w:rsidRPr="00CD3A8C">
              <w:rPr>
                <w:rFonts w:cs="Arial"/>
                <w:bCs w:val="0"/>
              </w:rPr>
              <w:t>Central Bank of Ireland</w:t>
            </w:r>
          </w:p>
        </w:tc>
        <w:tc>
          <w:tcPr>
            <w:tcW w:w="1134" w:type="dxa"/>
            <w:tcBorders>
              <w:top w:val="single" w:sz="4" w:space="0" w:color="auto"/>
              <w:left w:val="single" w:sz="4" w:space="0" w:color="auto"/>
              <w:bottom w:val="single" w:sz="4" w:space="0" w:color="auto"/>
              <w:right w:val="single" w:sz="4" w:space="0" w:color="auto"/>
            </w:tcBorders>
          </w:tcPr>
          <w:p w14:paraId="5FB4873C" w14:textId="2DE4318B" w:rsidR="008C40E7" w:rsidRPr="002C19B0"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7351A19" w14:textId="264D7D6F" w:rsidR="008C40E7" w:rsidRPr="002C19B0"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B36EE27" w14:textId="05D1E04C" w:rsidR="008C40E7" w:rsidRPr="002C19B0" w:rsidRDefault="008C40E7" w:rsidP="00BF3540">
            <w:pPr>
              <w:pStyle w:val="Tabledata"/>
              <w:jc w:val="left"/>
            </w:pPr>
            <w:r>
              <w:t xml:space="preserve">By 30.06.2018. </w:t>
            </w:r>
          </w:p>
        </w:tc>
      </w:tr>
      <w:tr w:rsidR="008C40E7" w:rsidRPr="00A2678D" w14:paraId="02509788" w14:textId="77777777" w:rsidTr="00BF3540">
        <w:tc>
          <w:tcPr>
            <w:tcW w:w="993" w:type="dxa"/>
            <w:gridSpan w:val="2"/>
            <w:vMerge/>
            <w:tcBorders>
              <w:left w:val="single" w:sz="4" w:space="0" w:color="auto"/>
              <w:bottom w:val="single" w:sz="4" w:space="0" w:color="auto"/>
              <w:right w:val="single" w:sz="4" w:space="0" w:color="auto"/>
            </w:tcBorders>
          </w:tcPr>
          <w:p w14:paraId="1D020A6D"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7256C9F1"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068E144C" w14:textId="391714B1" w:rsidR="008C40E7" w:rsidRPr="00CD3A8C" w:rsidRDefault="008C40E7" w:rsidP="00BF3540">
            <w:pPr>
              <w:pStyle w:val="Tabledata"/>
              <w:jc w:val="left"/>
              <w:rPr>
                <w:rFonts w:cs="Arial"/>
                <w:bCs w:val="0"/>
              </w:rPr>
            </w:pPr>
            <w:r w:rsidRPr="008C40E7">
              <w:rPr>
                <w:rFonts w:cs="Arial"/>
                <w:bCs w:val="0"/>
              </w:rPr>
              <w:t>Central Bank of Ireland</w:t>
            </w:r>
          </w:p>
        </w:tc>
        <w:tc>
          <w:tcPr>
            <w:tcW w:w="1134" w:type="dxa"/>
            <w:tcBorders>
              <w:top w:val="single" w:sz="4" w:space="0" w:color="auto"/>
              <w:left w:val="single" w:sz="4" w:space="0" w:color="auto"/>
              <w:bottom w:val="single" w:sz="4" w:space="0" w:color="auto"/>
              <w:right w:val="single" w:sz="4" w:space="0" w:color="auto"/>
            </w:tcBorders>
          </w:tcPr>
          <w:p w14:paraId="13AD50E6" w14:textId="20160126" w:rsidR="008C40E7" w:rsidRDefault="008C40E7" w:rsidP="00BF3540">
            <w:pPr>
              <w:pStyle w:val="Tabledata"/>
              <w:ind w:left="284"/>
              <w:jc w:val="left"/>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7B053E40" w14:textId="67FD5CAD" w:rsidR="008C40E7" w:rsidRDefault="001365E6"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3320E05" w14:textId="10974757" w:rsidR="008C40E7" w:rsidRDefault="006A2572" w:rsidP="00BF3540">
            <w:pPr>
              <w:pStyle w:val="Tabledata"/>
              <w:jc w:val="left"/>
            </w:pPr>
            <w:r>
              <w:t>As at 27.08.</w:t>
            </w:r>
            <w:r w:rsidR="001365E6">
              <w:t>2018, notification date</w:t>
            </w:r>
          </w:p>
        </w:tc>
      </w:tr>
      <w:tr w:rsidR="008C40E7" w:rsidRPr="00A2678D" w14:paraId="2A98CE0E" w14:textId="77777777" w:rsidTr="00BF3540">
        <w:tc>
          <w:tcPr>
            <w:tcW w:w="993" w:type="dxa"/>
            <w:gridSpan w:val="2"/>
            <w:vMerge w:val="restart"/>
            <w:tcBorders>
              <w:top w:val="single" w:sz="4" w:space="0" w:color="auto"/>
              <w:left w:val="single" w:sz="4" w:space="0" w:color="auto"/>
              <w:right w:val="single" w:sz="4" w:space="0" w:color="auto"/>
            </w:tcBorders>
          </w:tcPr>
          <w:p w14:paraId="2F918628" w14:textId="77777777" w:rsidR="008C40E7" w:rsidRPr="00DD00A2" w:rsidRDefault="008C40E7" w:rsidP="00BF3540">
            <w:pPr>
              <w:pStyle w:val="Tabledata"/>
              <w:jc w:val="center"/>
              <w:rPr>
                <w:szCs w:val="20"/>
              </w:rPr>
            </w:pPr>
            <w:r>
              <w:t>EL</w:t>
            </w:r>
          </w:p>
        </w:tc>
        <w:tc>
          <w:tcPr>
            <w:tcW w:w="1418" w:type="dxa"/>
            <w:gridSpan w:val="2"/>
            <w:vMerge w:val="restart"/>
            <w:tcBorders>
              <w:top w:val="single" w:sz="4" w:space="0" w:color="auto"/>
              <w:left w:val="single" w:sz="4" w:space="0" w:color="auto"/>
              <w:right w:val="single" w:sz="4" w:space="0" w:color="auto"/>
            </w:tcBorders>
          </w:tcPr>
          <w:p w14:paraId="7CD48458" w14:textId="77777777" w:rsidR="008C40E7" w:rsidRPr="00DD00A2" w:rsidRDefault="008C40E7" w:rsidP="00BF3540">
            <w:pPr>
              <w:pStyle w:val="Tabledata"/>
              <w:jc w:val="center"/>
              <w:rPr>
                <w:szCs w:val="20"/>
              </w:rPr>
            </w:pPr>
            <w:r>
              <w:t>Greece</w:t>
            </w:r>
          </w:p>
        </w:tc>
        <w:tc>
          <w:tcPr>
            <w:tcW w:w="1559" w:type="dxa"/>
            <w:tcBorders>
              <w:top w:val="single" w:sz="4" w:space="0" w:color="auto"/>
              <w:left w:val="single" w:sz="4" w:space="0" w:color="auto"/>
              <w:bottom w:val="single" w:sz="4" w:space="0" w:color="auto"/>
              <w:right w:val="single" w:sz="4" w:space="0" w:color="auto"/>
            </w:tcBorders>
          </w:tcPr>
          <w:p w14:paraId="7FE61FAC" w14:textId="61285B9F" w:rsidR="008C40E7" w:rsidRPr="00DD00A2" w:rsidRDefault="008C40E7" w:rsidP="00BF3540">
            <w:pPr>
              <w:pStyle w:val="Tabledata"/>
              <w:jc w:val="left"/>
              <w:rPr>
                <w:szCs w:val="20"/>
              </w:rPr>
            </w:pPr>
            <w:r>
              <w:rPr>
                <w:rFonts w:cs="Arial"/>
                <w:bCs w:val="0"/>
              </w:rPr>
              <w:t>Bank of Greece</w:t>
            </w:r>
          </w:p>
        </w:tc>
        <w:tc>
          <w:tcPr>
            <w:tcW w:w="1134" w:type="dxa"/>
            <w:tcBorders>
              <w:top w:val="single" w:sz="4" w:space="0" w:color="auto"/>
              <w:left w:val="single" w:sz="4" w:space="0" w:color="auto"/>
              <w:bottom w:val="single" w:sz="4" w:space="0" w:color="auto"/>
              <w:right w:val="single" w:sz="4" w:space="0" w:color="auto"/>
            </w:tcBorders>
          </w:tcPr>
          <w:p w14:paraId="577E00D5" w14:textId="644FDFD1"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A5A057E" w14:textId="674A34D5" w:rsidR="008C40E7" w:rsidRPr="00180E1B"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A917DEE" w14:textId="24D9BC67" w:rsidR="008C40E7" w:rsidRPr="00180E1B" w:rsidRDefault="008C40E7" w:rsidP="00BF3540">
            <w:pPr>
              <w:pStyle w:val="Tabledata"/>
              <w:spacing w:before="0" w:after="0"/>
              <w:jc w:val="left"/>
            </w:pPr>
            <w:r>
              <w:t>By end of 2018.</w:t>
            </w:r>
          </w:p>
        </w:tc>
      </w:tr>
      <w:tr w:rsidR="008C40E7" w:rsidRPr="00A2678D" w14:paraId="52FAFFD1" w14:textId="77777777" w:rsidTr="00BF3540">
        <w:tc>
          <w:tcPr>
            <w:tcW w:w="993" w:type="dxa"/>
            <w:gridSpan w:val="2"/>
            <w:vMerge/>
            <w:tcBorders>
              <w:left w:val="single" w:sz="4" w:space="0" w:color="auto"/>
              <w:bottom w:val="single" w:sz="4" w:space="0" w:color="auto"/>
              <w:right w:val="single" w:sz="4" w:space="0" w:color="auto"/>
            </w:tcBorders>
          </w:tcPr>
          <w:p w14:paraId="3F56FC0A"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070FD19F"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04E966E7" w14:textId="6E1BAF0C" w:rsidR="008C40E7" w:rsidRDefault="008C40E7" w:rsidP="00BF3540">
            <w:pPr>
              <w:pStyle w:val="Tabledata"/>
              <w:jc w:val="left"/>
              <w:rPr>
                <w:rFonts w:cs="Arial"/>
                <w:bCs w:val="0"/>
              </w:rPr>
            </w:pPr>
            <w:r w:rsidRPr="008C40E7">
              <w:rPr>
                <w:rFonts w:cs="Arial"/>
                <w:bCs w:val="0"/>
              </w:rPr>
              <w:t>Hellenic Capital Market Commission (HCMC)</w:t>
            </w:r>
          </w:p>
        </w:tc>
        <w:tc>
          <w:tcPr>
            <w:tcW w:w="1134" w:type="dxa"/>
            <w:tcBorders>
              <w:top w:val="single" w:sz="4" w:space="0" w:color="auto"/>
              <w:left w:val="single" w:sz="4" w:space="0" w:color="auto"/>
              <w:bottom w:val="single" w:sz="4" w:space="0" w:color="auto"/>
              <w:right w:val="single" w:sz="4" w:space="0" w:color="auto"/>
            </w:tcBorders>
          </w:tcPr>
          <w:p w14:paraId="091D70DB" w14:textId="7700533C" w:rsidR="008C40E7" w:rsidRDefault="008C40E7" w:rsidP="00BF3540">
            <w:pPr>
              <w:pStyle w:val="Tabledata"/>
              <w:ind w:left="284"/>
              <w:jc w:val="left"/>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497F393B" w14:textId="659511FF" w:rsidR="008C40E7" w:rsidRDefault="008C40E7"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0C364B3" w14:textId="4AF96246" w:rsidR="008C40E7" w:rsidRDefault="008C40E7" w:rsidP="00BF3540">
            <w:pPr>
              <w:pStyle w:val="Tabledata"/>
              <w:spacing w:before="0" w:after="0"/>
              <w:jc w:val="left"/>
            </w:pPr>
            <w:r w:rsidRPr="008C40E7">
              <w:t>As at 23.05.2018, notification date.</w:t>
            </w:r>
          </w:p>
        </w:tc>
      </w:tr>
      <w:tr w:rsidR="008C40E7" w:rsidRPr="00A2678D" w14:paraId="3DCA8419" w14:textId="77777777" w:rsidTr="00BF3540">
        <w:tc>
          <w:tcPr>
            <w:tcW w:w="993" w:type="dxa"/>
            <w:gridSpan w:val="2"/>
            <w:vMerge w:val="restart"/>
            <w:tcBorders>
              <w:top w:val="single" w:sz="4" w:space="0" w:color="auto"/>
              <w:left w:val="single" w:sz="4" w:space="0" w:color="auto"/>
              <w:right w:val="single" w:sz="4" w:space="0" w:color="auto"/>
            </w:tcBorders>
          </w:tcPr>
          <w:p w14:paraId="4325CA93" w14:textId="77777777" w:rsidR="008C40E7" w:rsidRPr="00DD00A2" w:rsidRDefault="008C40E7" w:rsidP="00BF3540">
            <w:pPr>
              <w:pStyle w:val="Tabledata"/>
              <w:jc w:val="center"/>
              <w:rPr>
                <w:szCs w:val="20"/>
              </w:rPr>
            </w:pPr>
            <w:r>
              <w:t>HR</w:t>
            </w:r>
          </w:p>
        </w:tc>
        <w:tc>
          <w:tcPr>
            <w:tcW w:w="1418" w:type="dxa"/>
            <w:gridSpan w:val="2"/>
            <w:vMerge w:val="restart"/>
            <w:tcBorders>
              <w:top w:val="single" w:sz="4" w:space="0" w:color="auto"/>
              <w:left w:val="single" w:sz="4" w:space="0" w:color="auto"/>
              <w:right w:val="single" w:sz="4" w:space="0" w:color="auto"/>
            </w:tcBorders>
          </w:tcPr>
          <w:p w14:paraId="1BD93AED" w14:textId="77777777" w:rsidR="008C40E7" w:rsidRPr="00DD00A2" w:rsidRDefault="008C40E7" w:rsidP="00BF3540">
            <w:pPr>
              <w:pStyle w:val="Tabledata"/>
              <w:jc w:val="center"/>
              <w:rPr>
                <w:szCs w:val="20"/>
              </w:rPr>
            </w:pPr>
            <w:r>
              <w:t>Croatia</w:t>
            </w:r>
          </w:p>
        </w:tc>
        <w:tc>
          <w:tcPr>
            <w:tcW w:w="1559" w:type="dxa"/>
            <w:tcBorders>
              <w:top w:val="single" w:sz="4" w:space="0" w:color="auto"/>
              <w:left w:val="single" w:sz="4" w:space="0" w:color="auto"/>
              <w:bottom w:val="single" w:sz="4" w:space="0" w:color="auto"/>
              <w:right w:val="single" w:sz="4" w:space="0" w:color="auto"/>
            </w:tcBorders>
          </w:tcPr>
          <w:p w14:paraId="77B6618C" w14:textId="0FB6C9CB" w:rsidR="008C40E7" w:rsidRPr="00DD00A2" w:rsidRDefault="008C40E7" w:rsidP="00BF3540">
            <w:pPr>
              <w:pStyle w:val="Tabledata"/>
              <w:jc w:val="left"/>
              <w:rPr>
                <w:szCs w:val="20"/>
              </w:rPr>
            </w:pPr>
            <w:proofErr w:type="spellStart"/>
            <w:r>
              <w:rPr>
                <w:rFonts w:cs="Arial"/>
              </w:rPr>
              <w:t>Hrvatska</w:t>
            </w:r>
            <w:proofErr w:type="spellEnd"/>
            <w:r>
              <w:rPr>
                <w:rFonts w:cs="Arial"/>
              </w:rPr>
              <w:t xml:space="preserve"> </w:t>
            </w:r>
            <w:proofErr w:type="spellStart"/>
            <w:r>
              <w:rPr>
                <w:rFonts w:cs="Arial"/>
              </w:rPr>
              <w:t>narodna</w:t>
            </w:r>
            <w:proofErr w:type="spellEnd"/>
            <w:r>
              <w:rPr>
                <w:rFonts w:cs="Arial"/>
              </w:rPr>
              <w:t xml:space="preserve"> </w:t>
            </w:r>
            <w:proofErr w:type="spellStart"/>
            <w:r>
              <w:rPr>
                <w:rFonts w:cs="Arial"/>
              </w:rPr>
              <w:t>banka</w:t>
            </w:r>
            <w:proofErr w:type="spellEnd"/>
            <w:r>
              <w:rPr>
                <w:rFonts w:cs="Arial"/>
              </w:rPr>
              <w:t xml:space="preserve"> (National Bank Croatia)</w:t>
            </w:r>
          </w:p>
        </w:tc>
        <w:tc>
          <w:tcPr>
            <w:tcW w:w="1134" w:type="dxa"/>
            <w:tcBorders>
              <w:top w:val="single" w:sz="4" w:space="0" w:color="auto"/>
              <w:left w:val="single" w:sz="4" w:space="0" w:color="auto"/>
              <w:bottom w:val="single" w:sz="4" w:space="0" w:color="auto"/>
              <w:right w:val="single" w:sz="4" w:space="0" w:color="auto"/>
            </w:tcBorders>
          </w:tcPr>
          <w:p w14:paraId="5790467F" w14:textId="72681D67"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2AC934B1" w14:textId="1F3CE7A7" w:rsidR="008C40E7" w:rsidRPr="00180E1B" w:rsidRDefault="008C40E7"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3F73575" w14:textId="24711280" w:rsidR="008C40E7" w:rsidRPr="00FA6B7D" w:rsidRDefault="008C40E7" w:rsidP="00BF3540">
            <w:pPr>
              <w:pStyle w:val="Tabledata"/>
              <w:contextualSpacing/>
              <w:jc w:val="left"/>
              <w:rPr>
                <w:rFonts w:ascii="Calibri" w:hAnsi="Calibri"/>
                <w:szCs w:val="20"/>
              </w:rPr>
            </w:pPr>
            <w:r w:rsidRPr="008145B1">
              <w:t>CNB does not comply and does not intend to comply with parts of the Joint ESMA and EBA Guidelines on the assessment of the suitability of members of the management body (EBA/GL/2017/12) with respect to Competent authorities assessment procedures for heads of internal control functions and the CFO a</w:t>
            </w:r>
            <w:r w:rsidR="00E627F4">
              <w:t xml:space="preserve">s stipulated in points from 170 to 192 </w:t>
            </w:r>
            <w:r w:rsidRPr="008145B1">
              <w:t>of the Guidelines. CNB will in accordance with the SREP Guidelines continue to assess the overall internal governance framework of the institutions and whether the independent risk control function ensures that the institution’s risk measurement, assessment and monitoring processes are appropriate. If there are doubts or detected serious deficiencies of the internal control functions and thus the appropriateness of the internal control framework and internal controls is considered inappropriate CNB will take appropriate supervisory measures.</w:t>
            </w:r>
          </w:p>
        </w:tc>
      </w:tr>
      <w:tr w:rsidR="008C40E7" w:rsidRPr="00A2678D" w14:paraId="10F40DAE" w14:textId="77777777" w:rsidTr="00BF3540">
        <w:tc>
          <w:tcPr>
            <w:tcW w:w="993" w:type="dxa"/>
            <w:gridSpan w:val="2"/>
            <w:vMerge/>
            <w:tcBorders>
              <w:left w:val="single" w:sz="4" w:space="0" w:color="auto"/>
              <w:bottom w:val="single" w:sz="4" w:space="0" w:color="auto"/>
              <w:right w:val="single" w:sz="4" w:space="0" w:color="auto"/>
            </w:tcBorders>
          </w:tcPr>
          <w:p w14:paraId="48E524AA"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19BC7550"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6DED3296" w14:textId="344E73A3" w:rsidR="008C40E7" w:rsidRPr="003B0569" w:rsidRDefault="008C40E7" w:rsidP="00BF3540">
            <w:pPr>
              <w:pStyle w:val="Tabledata"/>
              <w:jc w:val="left"/>
              <w:rPr>
                <w:rFonts w:cs="Arial"/>
                <w:bCs w:val="0"/>
              </w:rPr>
            </w:pPr>
            <w:proofErr w:type="spellStart"/>
            <w:r w:rsidRPr="003B0569">
              <w:rPr>
                <w:rFonts w:cs="Arial"/>
                <w:bCs w:val="0"/>
              </w:rPr>
              <w:t>Hrvatska</w:t>
            </w:r>
            <w:proofErr w:type="spellEnd"/>
            <w:r w:rsidRPr="003B0569">
              <w:rPr>
                <w:rFonts w:cs="Arial"/>
                <w:bCs w:val="0"/>
              </w:rPr>
              <w:t xml:space="preserve"> </w:t>
            </w:r>
            <w:proofErr w:type="spellStart"/>
            <w:r w:rsidRPr="003B0569">
              <w:rPr>
                <w:rFonts w:cs="Arial"/>
                <w:bCs w:val="0"/>
              </w:rPr>
              <w:t>agencija</w:t>
            </w:r>
            <w:proofErr w:type="spellEnd"/>
            <w:r w:rsidRPr="003B0569">
              <w:rPr>
                <w:rFonts w:cs="Arial"/>
                <w:bCs w:val="0"/>
              </w:rPr>
              <w:t xml:space="preserve"> </w:t>
            </w:r>
            <w:proofErr w:type="spellStart"/>
            <w:r w:rsidRPr="003B0569">
              <w:rPr>
                <w:rFonts w:cs="Arial"/>
                <w:bCs w:val="0"/>
              </w:rPr>
              <w:t>za</w:t>
            </w:r>
            <w:proofErr w:type="spellEnd"/>
            <w:r w:rsidRPr="003B0569">
              <w:rPr>
                <w:rFonts w:cs="Arial"/>
                <w:bCs w:val="0"/>
              </w:rPr>
              <w:t xml:space="preserve"> </w:t>
            </w:r>
            <w:proofErr w:type="spellStart"/>
            <w:r w:rsidRPr="003B0569">
              <w:rPr>
                <w:rFonts w:cs="Arial"/>
                <w:bCs w:val="0"/>
              </w:rPr>
              <w:t>nadzor</w:t>
            </w:r>
            <w:proofErr w:type="spellEnd"/>
            <w:r w:rsidRPr="003B0569">
              <w:rPr>
                <w:rFonts w:cs="Arial"/>
                <w:bCs w:val="0"/>
              </w:rPr>
              <w:t xml:space="preserve"> </w:t>
            </w:r>
            <w:proofErr w:type="spellStart"/>
            <w:r w:rsidRPr="003B0569">
              <w:rPr>
                <w:rFonts w:cs="Arial"/>
                <w:bCs w:val="0"/>
              </w:rPr>
              <w:t>financijskih</w:t>
            </w:r>
            <w:proofErr w:type="spellEnd"/>
            <w:r w:rsidRPr="003B0569">
              <w:rPr>
                <w:rFonts w:cs="Arial"/>
                <w:bCs w:val="0"/>
              </w:rPr>
              <w:t xml:space="preserve"> </w:t>
            </w:r>
            <w:proofErr w:type="spellStart"/>
            <w:r w:rsidRPr="003B0569">
              <w:rPr>
                <w:rFonts w:cs="Arial"/>
                <w:bCs w:val="0"/>
              </w:rPr>
              <w:t>usluga</w:t>
            </w:r>
            <w:proofErr w:type="spellEnd"/>
            <w:r w:rsidRPr="003B0569">
              <w:rPr>
                <w:rFonts w:cs="Arial"/>
                <w:bCs w:val="0"/>
              </w:rPr>
              <w:t xml:space="preserve"> (HANFA)</w:t>
            </w:r>
          </w:p>
        </w:tc>
        <w:tc>
          <w:tcPr>
            <w:tcW w:w="1134" w:type="dxa"/>
            <w:tcBorders>
              <w:top w:val="single" w:sz="4" w:space="0" w:color="auto"/>
              <w:left w:val="single" w:sz="4" w:space="0" w:color="auto"/>
              <w:bottom w:val="single" w:sz="4" w:space="0" w:color="auto"/>
              <w:right w:val="single" w:sz="4" w:space="0" w:color="auto"/>
            </w:tcBorders>
          </w:tcPr>
          <w:p w14:paraId="3FBA8AFF" w14:textId="40ADC5C7" w:rsidR="008C40E7"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72731EB1" w14:textId="033E5C9A" w:rsidR="008C40E7" w:rsidRDefault="008C40E7"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56D6622" w14:textId="229C754A" w:rsidR="008C40E7" w:rsidRDefault="008C40E7" w:rsidP="00BF3540">
            <w:pPr>
              <w:pStyle w:val="Tabledata"/>
              <w:contextualSpacing/>
              <w:jc w:val="left"/>
            </w:pPr>
            <w:r w:rsidRPr="003B0569">
              <w:t>As at 16.05</w:t>
            </w:r>
            <w:r w:rsidR="00BF3540">
              <w:t>.</w:t>
            </w:r>
            <w:r w:rsidRPr="003B0569">
              <w:t>2018, notification date.</w:t>
            </w:r>
          </w:p>
        </w:tc>
      </w:tr>
      <w:tr w:rsidR="008C40E7" w:rsidRPr="00A2678D" w14:paraId="593F7B6E" w14:textId="77777777" w:rsidTr="00BF3540">
        <w:tc>
          <w:tcPr>
            <w:tcW w:w="993" w:type="dxa"/>
            <w:gridSpan w:val="2"/>
            <w:vMerge w:val="restart"/>
            <w:tcBorders>
              <w:top w:val="single" w:sz="4" w:space="0" w:color="auto"/>
              <w:left w:val="single" w:sz="4" w:space="0" w:color="auto"/>
              <w:right w:val="single" w:sz="4" w:space="0" w:color="auto"/>
            </w:tcBorders>
          </w:tcPr>
          <w:p w14:paraId="1D3A8E92" w14:textId="77777777" w:rsidR="008C40E7" w:rsidRPr="00DD00A2" w:rsidRDefault="008C40E7" w:rsidP="00BF3540">
            <w:pPr>
              <w:pStyle w:val="Tabledata"/>
              <w:jc w:val="center"/>
              <w:rPr>
                <w:szCs w:val="20"/>
              </w:rPr>
            </w:pPr>
            <w:r>
              <w:t>ES</w:t>
            </w:r>
          </w:p>
        </w:tc>
        <w:tc>
          <w:tcPr>
            <w:tcW w:w="1418" w:type="dxa"/>
            <w:gridSpan w:val="2"/>
            <w:vMerge w:val="restart"/>
            <w:tcBorders>
              <w:top w:val="single" w:sz="4" w:space="0" w:color="auto"/>
              <w:left w:val="single" w:sz="4" w:space="0" w:color="auto"/>
              <w:right w:val="single" w:sz="4" w:space="0" w:color="auto"/>
            </w:tcBorders>
          </w:tcPr>
          <w:p w14:paraId="6A7C488F" w14:textId="77777777" w:rsidR="008C40E7" w:rsidRPr="00DD00A2" w:rsidRDefault="008C40E7" w:rsidP="00BF3540">
            <w:pPr>
              <w:pStyle w:val="Tabledata"/>
              <w:jc w:val="center"/>
              <w:rPr>
                <w:szCs w:val="20"/>
              </w:rPr>
            </w:pPr>
            <w:r>
              <w:t>Spain</w:t>
            </w:r>
          </w:p>
        </w:tc>
        <w:tc>
          <w:tcPr>
            <w:tcW w:w="1559" w:type="dxa"/>
            <w:tcBorders>
              <w:top w:val="single" w:sz="4" w:space="0" w:color="auto"/>
              <w:left w:val="single" w:sz="4" w:space="0" w:color="auto"/>
              <w:bottom w:val="single" w:sz="4" w:space="0" w:color="auto"/>
              <w:right w:val="single" w:sz="4" w:space="0" w:color="auto"/>
            </w:tcBorders>
          </w:tcPr>
          <w:p w14:paraId="3CF887C4" w14:textId="33978170" w:rsidR="008C40E7" w:rsidRPr="00DD00A2" w:rsidRDefault="008C40E7" w:rsidP="00BF3540">
            <w:pPr>
              <w:pStyle w:val="Tabledata"/>
              <w:jc w:val="left"/>
              <w:rPr>
                <w:szCs w:val="20"/>
              </w:rPr>
            </w:pPr>
            <w:r>
              <w:rPr>
                <w:rFonts w:cs="Arial"/>
                <w:bCs w:val="0"/>
              </w:rPr>
              <w:t xml:space="preserve">Banco de </w:t>
            </w:r>
            <w:proofErr w:type="spellStart"/>
            <w:r>
              <w:rPr>
                <w:rFonts w:cs="Arial"/>
                <w:bCs w:val="0"/>
              </w:rPr>
              <w:t>Espaňa</w:t>
            </w:r>
            <w:proofErr w:type="spellEnd"/>
          </w:p>
        </w:tc>
        <w:tc>
          <w:tcPr>
            <w:tcW w:w="1134" w:type="dxa"/>
            <w:tcBorders>
              <w:top w:val="single" w:sz="4" w:space="0" w:color="auto"/>
              <w:left w:val="single" w:sz="4" w:space="0" w:color="auto"/>
              <w:bottom w:val="single" w:sz="4" w:space="0" w:color="auto"/>
              <w:right w:val="single" w:sz="4" w:space="0" w:color="auto"/>
            </w:tcBorders>
          </w:tcPr>
          <w:p w14:paraId="32581682" w14:textId="564D824C"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257D40AC" w14:textId="768C8AED" w:rsidR="008C40E7" w:rsidRPr="00180E1B" w:rsidRDefault="008C40E7"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9EC8E3" w14:textId="77777777" w:rsidR="008C40E7" w:rsidRPr="007E16D1" w:rsidRDefault="008C40E7" w:rsidP="00BF3540">
            <w:pPr>
              <w:pStyle w:val="Tabledata"/>
              <w:contextualSpacing/>
              <w:jc w:val="left"/>
              <w:rPr>
                <w:rFonts w:eastAsiaTheme="minorEastAsia" w:cstheme="minorBidi"/>
                <w:bCs w:val="0"/>
                <w:color w:val="auto"/>
                <w:szCs w:val="20"/>
                <w:lang w:eastAsia="en-US"/>
              </w:rPr>
            </w:pPr>
            <w:r>
              <w:rPr>
                <w:bCs w:val="0"/>
              </w:rPr>
              <w:t xml:space="preserve">Banco de </w:t>
            </w:r>
            <w:proofErr w:type="spellStart"/>
            <w:r>
              <w:rPr>
                <w:bCs w:val="0"/>
              </w:rPr>
              <w:t>Espaň</w:t>
            </w:r>
            <w:r w:rsidRPr="00780725">
              <w:rPr>
                <w:bCs w:val="0"/>
              </w:rPr>
              <w:t>a</w:t>
            </w:r>
            <w:proofErr w:type="spellEnd"/>
            <w:r w:rsidRPr="00780725">
              <w:rPr>
                <w:bCs w:val="0"/>
              </w:rPr>
              <w:t xml:space="preserve"> intends to comply with </w:t>
            </w:r>
            <w:r w:rsidRPr="007E16D1">
              <w:rPr>
                <w:rFonts w:eastAsiaTheme="minorEastAsia" w:cstheme="minorBidi"/>
                <w:bCs w:val="0"/>
                <w:color w:val="auto"/>
                <w:szCs w:val="20"/>
                <w:lang w:eastAsia="en-US"/>
              </w:rPr>
              <w:t xml:space="preserve">the Guidelines by 30.06.2018, except with respect to Guideline 91 (last sentence) and Guideline 186 as we consider them inconsistent with the Spanish national provisions implementing Directive 2013/36/EU. Please find below further details: </w:t>
            </w:r>
          </w:p>
          <w:p w14:paraId="5126D17D" w14:textId="158D9D4F" w:rsidR="008C40E7" w:rsidRPr="00AF44EF" w:rsidRDefault="008C40E7" w:rsidP="00BF3540">
            <w:pPr>
              <w:pStyle w:val="BodyText"/>
              <w:ind w:left="0" w:right="318"/>
              <w:rPr>
                <w:rFonts w:asciiTheme="minorHAnsi" w:hAnsiTheme="minorHAnsi"/>
              </w:rPr>
            </w:pPr>
            <w:r w:rsidRPr="007E16D1">
              <w:rPr>
                <w:rFonts w:asciiTheme="minorHAnsi" w:eastAsiaTheme="minorEastAsia" w:hAnsiTheme="minorHAnsi"/>
              </w:rPr>
              <w:t xml:space="preserve">• Guideline 91, paragraph g (partially): the Spanish national provisions implementing Directive 2013/36/EU do not deal with the definition of independent directors. Spanish Corporate Act 10/2014 -in line with the UE "Commission Recommendation on the role of non-executive or supervisory directors of listed companies and on the committees of the (supervisory) board of 15 February 2005"- sets forth for listed companies a cooling-off period of 1 year for professional advisers or material consultants, while the Guidelines extend it to 3 years. </w:t>
            </w:r>
            <w:r w:rsidRPr="007E16D1">
              <w:rPr>
                <w:rFonts w:asciiTheme="minorHAnsi" w:eastAsiaTheme="minorEastAsia" w:hAnsiTheme="minorHAnsi"/>
              </w:rPr>
              <w:br/>
              <w:t>• Guideline 186 (partially): Spanish law sets forth a 3 months term for the competent authority to issue a resolution on the suitability other individual being assessed. However, in those cases where the procedure has been suspended, Spanish law does not specifically foresee a maximum term of 6 months to render a decision.</w:t>
            </w:r>
          </w:p>
        </w:tc>
      </w:tr>
      <w:tr w:rsidR="008C40E7" w:rsidRPr="00A2678D" w14:paraId="2DC951E0" w14:textId="77777777" w:rsidTr="00BF3540">
        <w:tc>
          <w:tcPr>
            <w:tcW w:w="993" w:type="dxa"/>
            <w:gridSpan w:val="2"/>
            <w:vMerge/>
            <w:tcBorders>
              <w:left w:val="single" w:sz="4" w:space="0" w:color="auto"/>
              <w:bottom w:val="single" w:sz="4" w:space="0" w:color="auto"/>
              <w:right w:val="single" w:sz="4" w:space="0" w:color="auto"/>
            </w:tcBorders>
          </w:tcPr>
          <w:p w14:paraId="7998D26A"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76CD2A76"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37E2D7BF" w14:textId="4B0DE652" w:rsidR="008C40E7" w:rsidRPr="00243783" w:rsidRDefault="008C40E7" w:rsidP="00BF3540">
            <w:pPr>
              <w:pStyle w:val="Tabledata"/>
              <w:jc w:val="left"/>
              <w:rPr>
                <w:rFonts w:cs="Arial"/>
                <w:bCs w:val="0"/>
                <w:lang w:val="it-IT"/>
              </w:rPr>
            </w:pPr>
            <w:r w:rsidRPr="00243783">
              <w:rPr>
                <w:rFonts w:cs="Arial"/>
                <w:bCs w:val="0"/>
                <w:lang w:val="it-IT"/>
              </w:rPr>
              <w:t>Comisión Nacional del Mercado de Valores (CNMV)</w:t>
            </w:r>
          </w:p>
        </w:tc>
        <w:tc>
          <w:tcPr>
            <w:tcW w:w="1134" w:type="dxa"/>
            <w:tcBorders>
              <w:top w:val="single" w:sz="4" w:space="0" w:color="auto"/>
              <w:left w:val="single" w:sz="4" w:space="0" w:color="auto"/>
              <w:bottom w:val="single" w:sz="4" w:space="0" w:color="auto"/>
              <w:right w:val="single" w:sz="4" w:space="0" w:color="auto"/>
            </w:tcBorders>
          </w:tcPr>
          <w:p w14:paraId="147B7D00" w14:textId="3C783028" w:rsidR="008C40E7"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0772ED5" w14:textId="0CC97643" w:rsidR="008C40E7" w:rsidRDefault="008C40E7" w:rsidP="00BF3540">
            <w:pPr>
              <w:pStyle w:val="Tabledata"/>
              <w:jc w:val="center"/>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74C864E" w14:textId="3E401829" w:rsidR="008C40E7" w:rsidRDefault="008C40E7" w:rsidP="00BF3540">
            <w:pPr>
              <w:pStyle w:val="Tabledata"/>
              <w:contextualSpacing/>
              <w:jc w:val="left"/>
            </w:pPr>
            <w:r w:rsidRPr="008C40E7">
              <w:rPr>
                <w:rFonts w:eastAsiaTheme="minorEastAsia" w:cstheme="minorBidi"/>
                <w:bCs w:val="0"/>
                <w:color w:val="auto"/>
                <w:szCs w:val="20"/>
                <w:lang w:eastAsia="en-US"/>
              </w:rPr>
              <w:t xml:space="preserve">By </w:t>
            </w:r>
            <w:r w:rsidR="00E75ECD">
              <w:rPr>
                <w:rFonts w:eastAsiaTheme="minorEastAsia" w:cstheme="minorBidi"/>
                <w:bCs w:val="0"/>
                <w:color w:val="auto"/>
                <w:szCs w:val="20"/>
                <w:lang w:eastAsia="en-US"/>
              </w:rPr>
              <w:t xml:space="preserve">end </w:t>
            </w:r>
            <w:r w:rsidRPr="008C40E7">
              <w:rPr>
                <w:rFonts w:eastAsiaTheme="minorEastAsia" w:cstheme="minorBidi"/>
                <w:bCs w:val="0"/>
                <w:color w:val="auto"/>
                <w:szCs w:val="20"/>
                <w:lang w:eastAsia="en-US"/>
              </w:rPr>
              <w:t>2018.</w:t>
            </w:r>
          </w:p>
        </w:tc>
      </w:tr>
      <w:tr w:rsidR="008C40E7" w:rsidRPr="00A2678D" w14:paraId="6E5312D8" w14:textId="77777777" w:rsidTr="00BF3540">
        <w:tc>
          <w:tcPr>
            <w:tcW w:w="993" w:type="dxa"/>
            <w:gridSpan w:val="2"/>
            <w:vMerge w:val="restart"/>
            <w:tcBorders>
              <w:top w:val="single" w:sz="4" w:space="0" w:color="auto"/>
              <w:left w:val="single" w:sz="4" w:space="0" w:color="auto"/>
              <w:right w:val="single" w:sz="4" w:space="0" w:color="auto"/>
            </w:tcBorders>
          </w:tcPr>
          <w:p w14:paraId="736F0EB0" w14:textId="77777777" w:rsidR="008C40E7" w:rsidRPr="00DD00A2" w:rsidRDefault="008C40E7" w:rsidP="00BF3540">
            <w:pPr>
              <w:pStyle w:val="Tabledata"/>
              <w:jc w:val="center"/>
              <w:rPr>
                <w:szCs w:val="20"/>
              </w:rPr>
            </w:pPr>
            <w:r>
              <w:t>FR</w:t>
            </w:r>
          </w:p>
        </w:tc>
        <w:tc>
          <w:tcPr>
            <w:tcW w:w="1418" w:type="dxa"/>
            <w:gridSpan w:val="2"/>
            <w:vMerge w:val="restart"/>
            <w:tcBorders>
              <w:top w:val="single" w:sz="4" w:space="0" w:color="auto"/>
              <w:left w:val="single" w:sz="4" w:space="0" w:color="auto"/>
              <w:right w:val="single" w:sz="4" w:space="0" w:color="auto"/>
            </w:tcBorders>
          </w:tcPr>
          <w:p w14:paraId="06936D14" w14:textId="77777777" w:rsidR="008C40E7" w:rsidRPr="00DD00A2" w:rsidRDefault="008C40E7" w:rsidP="00BF3540">
            <w:pPr>
              <w:pStyle w:val="Tabledata"/>
              <w:jc w:val="center"/>
              <w:rPr>
                <w:szCs w:val="20"/>
              </w:rPr>
            </w:pPr>
            <w:r>
              <w:t>France</w:t>
            </w:r>
          </w:p>
        </w:tc>
        <w:tc>
          <w:tcPr>
            <w:tcW w:w="1559" w:type="dxa"/>
            <w:tcBorders>
              <w:top w:val="single" w:sz="4" w:space="0" w:color="auto"/>
              <w:left w:val="single" w:sz="4" w:space="0" w:color="auto"/>
              <w:bottom w:val="single" w:sz="4" w:space="0" w:color="auto"/>
              <w:right w:val="single" w:sz="4" w:space="0" w:color="auto"/>
            </w:tcBorders>
          </w:tcPr>
          <w:p w14:paraId="60CC448C" w14:textId="227E597D" w:rsidR="008C40E7" w:rsidRPr="00584E24" w:rsidRDefault="008C40E7" w:rsidP="00BF3540">
            <w:pPr>
              <w:pStyle w:val="Tabledata"/>
              <w:jc w:val="left"/>
              <w:rPr>
                <w:szCs w:val="20"/>
                <w:lang w:val="fr-FR"/>
              </w:rPr>
            </w:pPr>
            <w:r w:rsidRPr="00584E24">
              <w:rPr>
                <w:rFonts w:cs="Arial"/>
                <w:bCs w:val="0"/>
                <w:lang w:val="fr-FR"/>
              </w:rPr>
              <w:t xml:space="preserve">Autorité de </w:t>
            </w:r>
            <w:proofErr w:type="spellStart"/>
            <w:r w:rsidRPr="00584E24">
              <w:rPr>
                <w:rFonts w:cs="Arial"/>
                <w:bCs w:val="0"/>
                <w:lang w:val="fr-FR"/>
              </w:rPr>
              <w:t>ContrôIe</w:t>
            </w:r>
            <w:proofErr w:type="spellEnd"/>
            <w:r w:rsidRPr="00584E24">
              <w:rPr>
                <w:rFonts w:cs="Arial"/>
                <w:bCs w:val="0"/>
                <w:lang w:val="fr-FR"/>
              </w:rPr>
              <w:t xml:space="preserve"> Prudentiel et de Résolution</w:t>
            </w:r>
          </w:p>
        </w:tc>
        <w:tc>
          <w:tcPr>
            <w:tcW w:w="1134" w:type="dxa"/>
            <w:tcBorders>
              <w:top w:val="single" w:sz="4" w:space="0" w:color="auto"/>
              <w:left w:val="single" w:sz="4" w:space="0" w:color="auto"/>
              <w:bottom w:val="single" w:sz="4" w:space="0" w:color="auto"/>
              <w:right w:val="single" w:sz="4" w:space="0" w:color="auto"/>
            </w:tcBorders>
          </w:tcPr>
          <w:p w14:paraId="379AB57A" w14:textId="4CBEF3B5" w:rsidR="008C40E7" w:rsidRPr="00180E1B" w:rsidRDefault="008C40E7" w:rsidP="00BF3540">
            <w:pPr>
              <w:pStyle w:val="Tabledata"/>
              <w:ind w:left="284"/>
              <w:jc w:val="left"/>
              <w:rPr>
                <w:b/>
                <w:szCs w:val="20"/>
              </w:rPr>
            </w:pPr>
            <w:r>
              <w:rPr>
                <w:b/>
                <w:szCs w:val="20"/>
              </w:rPr>
              <w:t xml:space="preserve">EBA </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176E961D" w14:textId="42C73AD7" w:rsidR="008C40E7" w:rsidRPr="00180E1B" w:rsidRDefault="008C40E7" w:rsidP="00BF3540">
            <w:pPr>
              <w:pStyle w:val="Tabledata"/>
              <w:ind w:left="284"/>
              <w:jc w:val="left"/>
              <w:rPr>
                <w:b/>
                <w:szCs w:val="20"/>
              </w:rPr>
            </w:pPr>
            <w:r>
              <w:rPr>
                <w:b/>
                <w:szCs w:val="20"/>
              </w:rPr>
              <w:t xml:space="preserve">No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55A6DC2" w14:textId="77777777" w:rsidR="008C40E7" w:rsidRDefault="008C40E7" w:rsidP="00BF3540">
            <w:pPr>
              <w:autoSpaceDE w:val="0"/>
              <w:autoSpaceDN w:val="0"/>
              <w:adjustRightInd w:val="0"/>
              <w:rPr>
                <w:rFonts w:eastAsia="Times New Roman" w:cstheme="minorHAnsi"/>
                <w:bCs/>
                <w:color w:val="000000"/>
                <w:sz w:val="20"/>
                <w:lang w:eastAsia="en-GB"/>
              </w:rPr>
            </w:pPr>
            <w:r w:rsidRPr="00CB3D8F">
              <w:rPr>
                <w:sz w:val="20"/>
                <w:szCs w:val="20"/>
              </w:rPr>
              <w:t xml:space="preserve">The </w:t>
            </w:r>
            <w:r w:rsidRPr="00CB3D8F">
              <w:rPr>
                <w:rFonts w:eastAsia="Times New Roman" w:cstheme="minorHAnsi"/>
                <w:bCs/>
                <w:color w:val="000000"/>
                <w:sz w:val="20"/>
                <w:lang w:eastAsia="en-GB"/>
              </w:rPr>
              <w:t>ACPR intends to comply with the Guidelines with the exception of those paragraphs relating</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to the supervisory authority's assessment of the suitability of key functions holders.</w:t>
            </w:r>
            <w:r>
              <w:rPr>
                <w:rFonts w:eastAsia="Times New Roman" w:cstheme="minorHAnsi"/>
                <w:bCs/>
                <w:color w:val="000000"/>
                <w:sz w:val="20"/>
                <w:lang w:eastAsia="en-GB"/>
              </w:rPr>
              <w:t xml:space="preserve"> </w:t>
            </w:r>
          </w:p>
          <w:p w14:paraId="672DB406" w14:textId="77777777" w:rsidR="008C40E7" w:rsidRPr="00CB3D8F" w:rsidRDefault="008C40E7" w:rsidP="00BF3540">
            <w:pPr>
              <w:autoSpaceDE w:val="0"/>
              <w:autoSpaceDN w:val="0"/>
              <w:adjustRightInd w:val="0"/>
              <w:rPr>
                <w:rFonts w:eastAsia="Times New Roman" w:cstheme="minorHAnsi"/>
                <w:bCs/>
                <w:color w:val="000000"/>
                <w:sz w:val="20"/>
                <w:u w:val="single"/>
                <w:lang w:eastAsia="en-GB"/>
              </w:rPr>
            </w:pPr>
            <w:r w:rsidRPr="00CB3D8F">
              <w:rPr>
                <w:rFonts w:eastAsia="Times New Roman" w:cstheme="minorHAnsi"/>
                <w:bCs/>
                <w:color w:val="000000"/>
                <w:sz w:val="20"/>
                <w:u w:val="single"/>
                <w:lang w:eastAsia="en-GB"/>
              </w:rPr>
              <w:t xml:space="preserve">Non-compliance on the supervisory authority's assessment of the suitability of key functions Holders </w:t>
            </w:r>
          </w:p>
          <w:p w14:paraId="393B193A" w14:textId="6638FDFE" w:rsidR="008C40E7" w:rsidRPr="00CB3D8F"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The declaration of non-compliance applies to paragraphs 162 and 176 (transmission to the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compete</w:t>
            </w:r>
            <w:r>
              <w:rPr>
                <w:rFonts w:eastAsia="Times New Roman" w:cstheme="minorHAnsi"/>
                <w:bCs/>
                <w:color w:val="000000"/>
                <w:sz w:val="20"/>
                <w:lang w:eastAsia="en-GB"/>
              </w:rPr>
              <w:t xml:space="preserve">nt authority of the results and </w:t>
            </w:r>
            <w:r w:rsidRPr="00CB3D8F">
              <w:rPr>
                <w:rFonts w:eastAsia="Times New Roman" w:cstheme="minorHAnsi"/>
                <w:bCs/>
                <w:color w:val="000000"/>
                <w:sz w:val="20"/>
                <w:lang w:eastAsia="en-GB"/>
              </w:rPr>
              <w:t>documentation relating to the internal evaluation) and</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paragraphs 171 and 172 (assessment of the suitability of internal control functions managers and</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the Chief Financial Officer by the competent authority).</w:t>
            </w:r>
          </w:p>
          <w:p w14:paraId="5CD8F9A0" w14:textId="08F4BC8B" w:rsidR="008C40E7" w:rsidRPr="00CB3D8F"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In the current state of the French legal framework, the ACPR cannot comply with the above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mentioned paragraphs. Actually, the suitability assessment of key functions holders is neither</w:t>
            </w:r>
          </w:p>
          <w:p w14:paraId="0AED5302" w14:textId="77777777" w:rsidR="008C40E7" w:rsidRPr="00CB3D8F" w:rsidRDefault="008C40E7" w:rsidP="00BF3540">
            <w:pPr>
              <w:autoSpaceDE w:val="0"/>
              <w:autoSpaceDN w:val="0"/>
              <w:adjustRightInd w:val="0"/>
              <w:rPr>
                <w:rFonts w:eastAsia="Times New Roman" w:cstheme="minorHAnsi"/>
                <w:bCs/>
                <w:color w:val="000000"/>
                <w:sz w:val="20"/>
                <w:lang w:eastAsia="en-GB"/>
              </w:rPr>
            </w:pPr>
            <w:proofErr w:type="gramStart"/>
            <w:r w:rsidRPr="00CB3D8F">
              <w:rPr>
                <w:rFonts w:eastAsia="Times New Roman" w:cstheme="minorHAnsi"/>
                <w:bCs/>
                <w:color w:val="000000"/>
                <w:sz w:val="20"/>
                <w:lang w:eastAsia="en-GB"/>
              </w:rPr>
              <w:t>explicitly</w:t>
            </w:r>
            <w:proofErr w:type="gramEnd"/>
            <w:r w:rsidRPr="00CB3D8F">
              <w:rPr>
                <w:rFonts w:eastAsia="Times New Roman" w:cstheme="minorHAnsi"/>
                <w:bCs/>
                <w:color w:val="000000"/>
                <w:sz w:val="20"/>
                <w:lang w:eastAsia="en-GB"/>
              </w:rPr>
              <w:t xml:space="preserve"> provided for in CRD IV nor in the French provisions and, at this stage.</w:t>
            </w:r>
          </w:p>
          <w:p w14:paraId="4D962C12" w14:textId="77777777" w:rsidR="008C40E7" w:rsidRPr="00CB3D8F"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Current legislative provisions on the suitability requirements and assessments can be found in the</w:t>
            </w:r>
          </w:p>
          <w:p w14:paraId="0A58388C" w14:textId="3A121746" w:rsidR="008C40E7" w:rsidRPr="00CB3D8F"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French Monetary and Financial Code (see in particular articles L.511-51, L.533-25, L.612-23-1). In</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compliance with these provisions, the ACPR performs suitability assessments for members of the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management bodies, and only carries out a formal assessment of the suitability of internal control</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managers when institutions are being authorized and in ca</w:t>
            </w:r>
            <w:r>
              <w:rPr>
                <w:rFonts w:eastAsia="Times New Roman" w:cstheme="minorHAnsi"/>
                <w:bCs/>
                <w:color w:val="000000"/>
                <w:sz w:val="20"/>
                <w:lang w:eastAsia="en-GB"/>
              </w:rPr>
              <w:t xml:space="preserve">se of shareholding changes. The </w:t>
            </w:r>
            <w:r w:rsidRPr="00CB3D8F">
              <w:rPr>
                <w:rFonts w:eastAsia="Times New Roman" w:cstheme="minorHAnsi"/>
                <w:bCs/>
                <w:color w:val="000000"/>
                <w:sz w:val="20"/>
                <w:lang w:eastAsia="en-GB"/>
              </w:rPr>
              <w:t>Guidelines go further than these provisions by requesting an external suitability assessment by</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the competent authority of Key Function Holders at each appointment or renewal. Against this</w:t>
            </w:r>
            <w:r w:rsidR="00DB2C5E">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background, the ACPR does not intend to comply with paragraphs 162,171, 172 and 176.</w:t>
            </w:r>
          </w:p>
          <w:p w14:paraId="757E0EE0" w14:textId="77777777" w:rsidR="008C40E7" w:rsidRPr="00CB3D8F"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 Any other additional information that may be necessary:</w:t>
            </w:r>
          </w:p>
          <w:p w14:paraId="22D7D328" w14:textId="77777777" w:rsidR="008C40E7" w:rsidRDefault="008C40E7" w:rsidP="00BF3540">
            <w:pPr>
              <w:autoSpaceDE w:val="0"/>
              <w:autoSpaceDN w:val="0"/>
              <w:adjustRightInd w:val="0"/>
              <w:rPr>
                <w:rFonts w:eastAsia="Times New Roman" w:cstheme="minorHAnsi"/>
                <w:bCs/>
                <w:color w:val="000000"/>
                <w:sz w:val="20"/>
                <w:lang w:eastAsia="en-GB"/>
              </w:rPr>
            </w:pPr>
            <w:r w:rsidRPr="00CB3D8F">
              <w:rPr>
                <w:rFonts w:eastAsia="Times New Roman" w:cstheme="minorHAnsi"/>
                <w:bCs/>
                <w:color w:val="000000"/>
                <w:sz w:val="20"/>
                <w:lang w:eastAsia="en-GB"/>
              </w:rPr>
              <w:t xml:space="preserve">1) Please note that ACPR intends to comply with the paragraphs relating to the presence and the definition of independent members, but under two reserves of interpretation that it deems allowed by the text: </w:t>
            </w:r>
          </w:p>
          <w:p w14:paraId="06DAEC4F" w14:textId="77777777" w:rsidR="008C40E7" w:rsidRDefault="008C40E7" w:rsidP="00BF3540">
            <w:pPr>
              <w:autoSpaceDE w:val="0"/>
              <w:autoSpaceDN w:val="0"/>
              <w:adjustRightInd w:val="0"/>
              <w:rPr>
                <w:rFonts w:eastAsia="Times New Roman" w:cstheme="minorHAnsi"/>
                <w:bCs/>
                <w:color w:val="000000"/>
                <w:sz w:val="20"/>
                <w:lang w:eastAsia="en-GB"/>
              </w:rPr>
            </w:pP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formal independence of the members of the management body and the members of the Risk Committee and the Nomination Committee does not constitute a suitability criterion, which would be enforceable in the context of examination of an individual application. Pursuant to the French law, indeed the implementation of the guidelines cannot lead to the refusal on this sole ground of an individual application under the "fit and proper" assessment. In addition, except for the specific case of audit committees of public-interest entities, for which Article L. 823-19 of the Commercial Code provides, in principle, for the presence of an independent member, under the transposition of</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Directive 2006/43/EC of the European Parliament and of the Council of 17 May 2006 on</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statutory audits of annual accounts and consolidated accounts, the presence of independent members in management bodies and other committees is considered by</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ACPR a good practice to be encouraged but is not as legal or regulatory requirement.</w:t>
            </w:r>
            <w:r>
              <w:rPr>
                <w:rFonts w:eastAsia="Times New Roman" w:cstheme="minorHAnsi"/>
                <w:bCs/>
                <w:color w:val="000000"/>
                <w:sz w:val="20"/>
                <w:lang w:eastAsia="en-GB"/>
              </w:rPr>
              <w:t xml:space="preserve"> </w:t>
            </w:r>
          </w:p>
          <w:p w14:paraId="6F03A16C" w14:textId="76392799" w:rsidR="008C40E7" w:rsidRPr="00CB3D8F" w:rsidRDefault="008C40E7" w:rsidP="00BF3540">
            <w:pPr>
              <w:autoSpaceDE w:val="0"/>
              <w:autoSpaceDN w:val="0"/>
              <w:adjustRightInd w:val="0"/>
              <w:rPr>
                <w:rFonts w:eastAsia="Times New Roman" w:cstheme="minorHAnsi"/>
                <w:bCs/>
                <w:color w:val="000000"/>
                <w:sz w:val="20"/>
                <w:lang w:eastAsia="en-GB"/>
              </w:rPr>
            </w:pPr>
            <w:r>
              <w:rPr>
                <w:rFonts w:eastAsia="Times New Roman" w:cstheme="minorHAnsi"/>
                <w:bCs/>
                <w:color w:val="000000"/>
                <w:sz w:val="20"/>
                <w:lang w:eastAsia="en-GB"/>
              </w:rPr>
              <w:t>- I</w:t>
            </w:r>
            <w:r w:rsidRPr="00CB3D8F">
              <w:rPr>
                <w:rFonts w:eastAsia="Times New Roman" w:cstheme="minorHAnsi"/>
                <w:bCs/>
                <w:color w:val="000000"/>
                <w:sz w:val="20"/>
                <w:lang w:eastAsia="en-GB"/>
              </w:rPr>
              <w:t>n law, failure to comply with one or more of the criteria listed in the guidelines (paragraph 91) does not constitute a presumption of non-independence. Noncompliance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with these criteria does not exhaust the notion of independence and the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analysis of this quality must also take into account other measures, in particular those</w:t>
            </w:r>
            <w:r>
              <w:rPr>
                <w:rFonts w:eastAsia="Times New Roman" w:cstheme="minorHAnsi"/>
                <w:bCs/>
                <w:color w:val="000000"/>
                <w:sz w:val="20"/>
                <w:lang w:eastAsia="en-GB"/>
              </w:rPr>
              <w:t xml:space="preserve"> that would be </w:t>
            </w:r>
            <w:r w:rsidRPr="00CB3D8F">
              <w:rPr>
                <w:rFonts w:eastAsia="Times New Roman" w:cstheme="minorHAnsi"/>
                <w:bCs/>
                <w:color w:val="000000"/>
                <w:sz w:val="20"/>
                <w:lang w:eastAsia="en-GB"/>
              </w:rPr>
              <w:t>developed by French institutions in the con</w:t>
            </w:r>
            <w:r>
              <w:rPr>
                <w:rFonts w:eastAsia="Times New Roman" w:cstheme="minorHAnsi"/>
                <w:bCs/>
                <w:color w:val="000000"/>
                <w:sz w:val="20"/>
                <w:lang w:eastAsia="en-GB"/>
              </w:rPr>
              <w:t xml:space="preserve">text of laws and regulations in </w:t>
            </w:r>
            <w:r w:rsidRPr="00CB3D8F">
              <w:rPr>
                <w:rFonts w:eastAsia="Times New Roman" w:cstheme="minorHAnsi"/>
                <w:bCs/>
                <w:color w:val="000000"/>
                <w:sz w:val="20"/>
                <w:lang w:eastAsia="en-GB"/>
              </w:rPr>
              <w:t>force and which could achieve the same objective of independence.</w:t>
            </w:r>
          </w:p>
          <w:p w14:paraId="0881958E" w14:textId="1510B7EF" w:rsidR="008C40E7" w:rsidRPr="00A6657E" w:rsidRDefault="008C40E7" w:rsidP="00BF3540">
            <w:pPr>
              <w:autoSpaceDE w:val="0"/>
              <w:autoSpaceDN w:val="0"/>
              <w:adjustRightInd w:val="0"/>
              <w:rPr>
                <w:sz w:val="20"/>
                <w:szCs w:val="20"/>
              </w:rPr>
            </w:pPr>
            <w:r w:rsidRPr="00CB3D8F">
              <w:rPr>
                <w:rFonts w:eastAsia="Times New Roman" w:cstheme="minorHAnsi"/>
                <w:bCs/>
                <w:color w:val="000000"/>
                <w:sz w:val="20"/>
                <w:lang w:eastAsia="en-GB"/>
              </w:rPr>
              <w:t xml:space="preserve">2) Please note that the </w:t>
            </w:r>
            <w:proofErr w:type="spellStart"/>
            <w:r w:rsidRPr="00064397">
              <w:rPr>
                <w:rFonts w:eastAsia="Arial"/>
                <w:sz w:val="20"/>
                <w:szCs w:val="20"/>
              </w:rPr>
              <w:t>Autorité</w:t>
            </w:r>
            <w:proofErr w:type="spellEnd"/>
            <w:r>
              <w:rPr>
                <w:rFonts w:eastAsia="Arial"/>
                <w:sz w:val="20"/>
                <w:szCs w:val="20"/>
              </w:rPr>
              <w:t xml:space="preserve"> de </w:t>
            </w:r>
            <w:proofErr w:type="spellStart"/>
            <w:r>
              <w:rPr>
                <w:rFonts w:eastAsia="Arial"/>
                <w:sz w:val="20"/>
                <w:szCs w:val="20"/>
              </w:rPr>
              <w:t>c</w:t>
            </w:r>
            <w:r w:rsidRPr="00064397">
              <w:rPr>
                <w:rFonts w:eastAsia="Arial"/>
                <w:sz w:val="20"/>
                <w:szCs w:val="20"/>
              </w:rPr>
              <w:t>ontrô</w:t>
            </w:r>
            <w:r>
              <w:rPr>
                <w:rFonts w:eastAsia="Arial"/>
                <w:sz w:val="20"/>
                <w:szCs w:val="20"/>
              </w:rPr>
              <w:t>Ie</w:t>
            </w:r>
            <w:proofErr w:type="spellEnd"/>
            <w:r>
              <w:rPr>
                <w:rFonts w:eastAsia="Arial"/>
                <w:sz w:val="20"/>
                <w:szCs w:val="20"/>
              </w:rPr>
              <w:t xml:space="preserve"> </w:t>
            </w:r>
            <w:proofErr w:type="spellStart"/>
            <w:r>
              <w:rPr>
                <w:rFonts w:eastAsia="Arial"/>
                <w:sz w:val="20"/>
                <w:szCs w:val="20"/>
              </w:rPr>
              <w:t>prudentiel</w:t>
            </w:r>
            <w:proofErr w:type="spellEnd"/>
            <w:r>
              <w:rPr>
                <w:rFonts w:eastAsia="Arial"/>
                <w:sz w:val="20"/>
                <w:szCs w:val="20"/>
              </w:rPr>
              <w:t xml:space="preserve"> et de </w:t>
            </w:r>
            <w:proofErr w:type="spellStart"/>
            <w:r>
              <w:rPr>
                <w:rFonts w:eastAsia="Arial"/>
                <w:sz w:val="20"/>
                <w:szCs w:val="20"/>
              </w:rPr>
              <w:t>r</w:t>
            </w:r>
            <w:r w:rsidRPr="00064397">
              <w:rPr>
                <w:rFonts w:eastAsia="Arial"/>
                <w:sz w:val="20"/>
                <w:szCs w:val="20"/>
              </w:rPr>
              <w:t>ésolution</w:t>
            </w:r>
            <w:proofErr w:type="spellEnd"/>
            <w:r w:rsidRPr="00CB3D8F">
              <w:rPr>
                <w:rFonts w:eastAsia="Times New Roman" w:cstheme="minorHAnsi"/>
                <w:bCs/>
                <w:color w:val="000000"/>
                <w:sz w:val="20"/>
                <w:lang w:eastAsia="en-GB"/>
              </w:rPr>
              <w:t xml:space="preserve"> (ACPR) published on</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05 June 2018 on its official register a notice declaring its partial compliance with the Joint</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ESMA and EBA Guidelines on the assessment of the suitability of members of the</w:t>
            </w:r>
            <w:r>
              <w:rPr>
                <w:rFonts w:eastAsia="Times New Roman" w:cstheme="minorHAnsi"/>
                <w:bCs/>
                <w:color w:val="000000"/>
                <w:sz w:val="20"/>
                <w:lang w:eastAsia="en-GB"/>
              </w:rPr>
              <w:t xml:space="preserve"> </w:t>
            </w:r>
            <w:r w:rsidRPr="00CB3D8F">
              <w:rPr>
                <w:rFonts w:eastAsia="Times New Roman" w:cstheme="minorHAnsi"/>
                <w:bCs/>
                <w:color w:val="000000"/>
                <w:sz w:val="20"/>
                <w:lang w:eastAsia="en-GB"/>
              </w:rPr>
              <w:t>management body (EBA/GL/2017/12) by 30 June 2018.</w:t>
            </w:r>
          </w:p>
        </w:tc>
      </w:tr>
      <w:tr w:rsidR="008C40E7" w:rsidRPr="00A2678D" w14:paraId="498DF01E" w14:textId="77777777" w:rsidTr="00BF3540">
        <w:tc>
          <w:tcPr>
            <w:tcW w:w="993" w:type="dxa"/>
            <w:gridSpan w:val="2"/>
            <w:vMerge/>
            <w:tcBorders>
              <w:left w:val="single" w:sz="4" w:space="0" w:color="auto"/>
              <w:bottom w:val="single" w:sz="4" w:space="0" w:color="auto"/>
              <w:right w:val="single" w:sz="4" w:space="0" w:color="auto"/>
            </w:tcBorders>
          </w:tcPr>
          <w:p w14:paraId="1E8F8E75"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0458F307"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637002D2" w14:textId="5FEEC67D" w:rsidR="008C40E7" w:rsidRPr="00584E24" w:rsidRDefault="008C40E7" w:rsidP="00BF3540">
            <w:pPr>
              <w:pStyle w:val="Tabledata"/>
              <w:jc w:val="left"/>
              <w:rPr>
                <w:rFonts w:cs="Arial"/>
                <w:bCs w:val="0"/>
                <w:lang w:val="fr-FR"/>
              </w:rPr>
            </w:pPr>
            <w:r w:rsidRPr="00584E24">
              <w:rPr>
                <w:rFonts w:cs="Arial"/>
                <w:bCs w:val="0"/>
                <w:lang w:val="fr-FR"/>
              </w:rPr>
              <w:t>Autorité des Marchés Financiers (AMF)</w:t>
            </w:r>
          </w:p>
        </w:tc>
        <w:tc>
          <w:tcPr>
            <w:tcW w:w="1134" w:type="dxa"/>
            <w:tcBorders>
              <w:top w:val="single" w:sz="4" w:space="0" w:color="auto"/>
              <w:left w:val="single" w:sz="4" w:space="0" w:color="auto"/>
              <w:bottom w:val="single" w:sz="4" w:space="0" w:color="auto"/>
              <w:right w:val="single" w:sz="4" w:space="0" w:color="auto"/>
            </w:tcBorders>
          </w:tcPr>
          <w:p w14:paraId="5B2923BB" w14:textId="10E7FEDE" w:rsidR="008C40E7"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544C96EC" w14:textId="079CC3C6" w:rsidR="008C40E7" w:rsidRDefault="008C40E7" w:rsidP="00BF3540">
            <w:pPr>
              <w:pStyle w:val="Tabledata"/>
              <w:jc w:val="center"/>
              <w:rPr>
                <w:b/>
                <w:szCs w:val="20"/>
              </w:rPr>
            </w:pPr>
            <w:r>
              <w:rPr>
                <w:b/>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34D3C6A" w14:textId="6313BC9B" w:rsidR="008C40E7" w:rsidRPr="008C40E7" w:rsidRDefault="008C40E7" w:rsidP="00BF3540">
            <w:pPr>
              <w:suppressAutoHyphens/>
              <w:rPr>
                <w:rFonts w:eastAsia="Times New Roman" w:cstheme="minorHAnsi"/>
                <w:bCs/>
                <w:color w:val="000000"/>
                <w:sz w:val="20"/>
                <w:lang w:eastAsia="en-GB"/>
              </w:rPr>
            </w:pPr>
            <w:r w:rsidRPr="008C40E7">
              <w:rPr>
                <w:rFonts w:eastAsia="Times New Roman" w:cstheme="minorHAnsi"/>
                <w:bCs/>
                <w:color w:val="000000"/>
                <w:sz w:val="20"/>
                <w:lang w:eastAsia="en-GB"/>
              </w:rPr>
              <w:t xml:space="preserve">The AMF complies with the joint Guidelines to assess the suitability of members of management body and key function holders except </w:t>
            </w:r>
            <w:proofErr w:type="gramStart"/>
            <w:r w:rsidR="006A164B">
              <w:rPr>
                <w:rFonts w:eastAsia="Times New Roman" w:cstheme="minorHAnsi"/>
                <w:bCs/>
                <w:color w:val="000000"/>
                <w:sz w:val="20"/>
                <w:lang w:eastAsia="en-GB"/>
              </w:rPr>
              <w:t xml:space="preserve">for </w:t>
            </w:r>
            <w:r w:rsidRPr="008C40E7">
              <w:rPr>
                <w:rFonts w:eastAsia="Times New Roman" w:cstheme="minorHAnsi"/>
                <w:bCs/>
                <w:color w:val="000000"/>
                <w:sz w:val="20"/>
                <w:lang w:eastAsia="en-GB"/>
              </w:rPr>
              <w:t xml:space="preserve"> paragraphs</w:t>
            </w:r>
            <w:proofErr w:type="gramEnd"/>
            <w:r w:rsidRPr="008C40E7">
              <w:rPr>
                <w:rFonts w:eastAsia="Times New Roman" w:cstheme="minorHAnsi"/>
                <w:bCs/>
                <w:color w:val="000000"/>
                <w:sz w:val="20"/>
                <w:lang w:eastAsia="en-GB"/>
              </w:rPr>
              <w:t xml:space="preserve"> 162, 171, 172 and 176 of the guidelines for the reasons detailed below.</w:t>
            </w:r>
          </w:p>
          <w:p w14:paraId="45135253" w14:textId="34FDC62D" w:rsidR="008C40E7" w:rsidRPr="008C40E7" w:rsidRDefault="008C40E7" w:rsidP="00BF3540">
            <w:pPr>
              <w:suppressAutoHyphens/>
              <w:rPr>
                <w:rFonts w:eastAsia="Times New Roman" w:cstheme="minorHAnsi"/>
                <w:bCs/>
                <w:color w:val="000000"/>
                <w:sz w:val="20"/>
                <w:lang w:eastAsia="en-GB"/>
              </w:rPr>
            </w:pPr>
            <w:r w:rsidRPr="008C40E7">
              <w:rPr>
                <w:rFonts w:eastAsia="Times New Roman" w:cstheme="minorHAnsi"/>
                <w:bCs/>
                <w:color w:val="000000"/>
                <w:sz w:val="20"/>
                <w:lang w:eastAsia="en-GB"/>
              </w:rPr>
              <w:t xml:space="preserve">The AMF receives the information on key function holders (“KFH”) from the </w:t>
            </w:r>
            <w:proofErr w:type="spellStart"/>
            <w:r w:rsidRPr="008C40E7">
              <w:rPr>
                <w:rFonts w:eastAsia="Times New Roman" w:cstheme="minorHAnsi"/>
                <w:bCs/>
                <w:color w:val="000000"/>
                <w:sz w:val="20"/>
                <w:lang w:eastAsia="en-GB"/>
              </w:rPr>
              <w:t>Autorité</w:t>
            </w:r>
            <w:proofErr w:type="spellEnd"/>
            <w:r w:rsidRPr="008C40E7">
              <w:rPr>
                <w:rFonts w:eastAsia="Times New Roman" w:cstheme="minorHAnsi"/>
                <w:bCs/>
                <w:color w:val="000000"/>
                <w:sz w:val="20"/>
                <w:lang w:eastAsia="en-GB"/>
              </w:rPr>
              <w:t xml:space="preserve"> de </w:t>
            </w:r>
            <w:proofErr w:type="spellStart"/>
            <w:r w:rsidRPr="008C40E7">
              <w:rPr>
                <w:rFonts w:eastAsia="Times New Roman" w:cstheme="minorHAnsi"/>
                <w:bCs/>
                <w:color w:val="000000"/>
                <w:sz w:val="20"/>
                <w:lang w:eastAsia="en-GB"/>
              </w:rPr>
              <w:t>Contrôle</w:t>
            </w:r>
            <w:proofErr w:type="spellEnd"/>
            <w:r w:rsidRPr="008C40E7">
              <w:rPr>
                <w:rFonts w:eastAsia="Times New Roman" w:cstheme="minorHAnsi"/>
                <w:bCs/>
                <w:color w:val="000000"/>
                <w:sz w:val="20"/>
                <w:lang w:eastAsia="en-GB"/>
              </w:rPr>
              <w:t xml:space="preserve"> </w:t>
            </w:r>
            <w:proofErr w:type="spellStart"/>
            <w:r w:rsidRPr="008C40E7">
              <w:rPr>
                <w:rFonts w:eastAsia="Times New Roman" w:cstheme="minorHAnsi"/>
                <w:bCs/>
                <w:color w:val="000000"/>
                <w:sz w:val="20"/>
                <w:lang w:eastAsia="en-GB"/>
              </w:rPr>
              <w:t>Prudentiel</w:t>
            </w:r>
            <w:proofErr w:type="spellEnd"/>
            <w:r w:rsidRPr="008C40E7">
              <w:rPr>
                <w:rFonts w:eastAsia="Times New Roman" w:cstheme="minorHAnsi"/>
                <w:bCs/>
                <w:color w:val="000000"/>
                <w:sz w:val="20"/>
                <w:lang w:eastAsia="en-GB"/>
              </w:rPr>
              <w:t xml:space="preserve"> et de </w:t>
            </w:r>
            <w:proofErr w:type="spellStart"/>
            <w:r w:rsidRPr="008C40E7">
              <w:rPr>
                <w:rFonts w:eastAsia="Times New Roman" w:cstheme="minorHAnsi"/>
                <w:bCs/>
                <w:color w:val="000000"/>
                <w:sz w:val="20"/>
                <w:lang w:eastAsia="en-GB"/>
              </w:rPr>
              <w:t>Résolution</w:t>
            </w:r>
            <w:proofErr w:type="spellEnd"/>
            <w:r w:rsidRPr="008C40E7">
              <w:rPr>
                <w:rFonts w:eastAsia="Times New Roman" w:cstheme="minorHAnsi"/>
                <w:bCs/>
                <w:color w:val="000000"/>
                <w:sz w:val="20"/>
                <w:lang w:eastAsia="en-GB"/>
              </w:rPr>
              <w:t xml:space="preserve"> (“ACPR”), which is the French competent authority to authorise investment firms and/or credit institutions providing investment services. </w:t>
            </w:r>
          </w:p>
          <w:p w14:paraId="1946BB58" w14:textId="77588AF5" w:rsidR="008C40E7" w:rsidRDefault="008C40E7" w:rsidP="00BF3540">
            <w:pPr>
              <w:rPr>
                <w:sz w:val="20"/>
                <w:szCs w:val="20"/>
              </w:rPr>
            </w:pPr>
            <w:r w:rsidRPr="008C40E7">
              <w:rPr>
                <w:rFonts w:eastAsia="Times New Roman" w:cstheme="minorHAnsi"/>
                <w:bCs/>
                <w:color w:val="000000"/>
                <w:sz w:val="20"/>
                <w:lang w:eastAsia="en-GB"/>
              </w:rPr>
              <w:t xml:space="preserve">Since CRD IV and MiFID II do not provide for the notification </w:t>
            </w:r>
            <w:r w:rsidR="006A164B">
              <w:rPr>
                <w:rFonts w:eastAsia="Times New Roman" w:cstheme="minorHAnsi"/>
                <w:bCs/>
                <w:color w:val="000000"/>
                <w:sz w:val="20"/>
                <w:lang w:eastAsia="en-GB"/>
              </w:rPr>
              <w:t xml:space="preserve">to </w:t>
            </w:r>
            <w:r w:rsidRPr="008C40E7">
              <w:rPr>
                <w:rFonts w:eastAsia="Times New Roman" w:cstheme="minorHAnsi"/>
                <w:bCs/>
                <w:color w:val="000000"/>
                <w:sz w:val="20"/>
                <w:lang w:eastAsia="en-GB"/>
              </w:rPr>
              <w:t>competent authorities of the nomination of KFH during the lifecycle of a firm or institutions, and the assessment of such persons as a result, the AMF cannot comply with paragraphs 162, 171, 172 and 176 of the guidelines.</w:t>
            </w:r>
          </w:p>
        </w:tc>
      </w:tr>
      <w:tr w:rsidR="008C40E7" w:rsidRPr="00A2678D" w14:paraId="30B64A2E" w14:textId="77777777" w:rsidTr="00BF3540">
        <w:tc>
          <w:tcPr>
            <w:tcW w:w="993" w:type="dxa"/>
            <w:gridSpan w:val="2"/>
            <w:vMerge w:val="restart"/>
            <w:tcBorders>
              <w:top w:val="single" w:sz="4" w:space="0" w:color="auto"/>
              <w:left w:val="single" w:sz="4" w:space="0" w:color="auto"/>
              <w:right w:val="single" w:sz="4" w:space="0" w:color="auto"/>
            </w:tcBorders>
          </w:tcPr>
          <w:p w14:paraId="0406D365" w14:textId="77777777" w:rsidR="008C40E7" w:rsidRPr="00DD00A2" w:rsidRDefault="008C40E7" w:rsidP="00BF3540">
            <w:pPr>
              <w:pStyle w:val="Tabledata"/>
              <w:jc w:val="center"/>
              <w:rPr>
                <w:szCs w:val="20"/>
              </w:rPr>
            </w:pPr>
            <w:r>
              <w:t>IT</w:t>
            </w:r>
          </w:p>
        </w:tc>
        <w:tc>
          <w:tcPr>
            <w:tcW w:w="1418" w:type="dxa"/>
            <w:gridSpan w:val="2"/>
            <w:vMerge w:val="restart"/>
            <w:tcBorders>
              <w:top w:val="single" w:sz="4" w:space="0" w:color="auto"/>
              <w:left w:val="single" w:sz="4" w:space="0" w:color="auto"/>
              <w:right w:val="single" w:sz="4" w:space="0" w:color="auto"/>
            </w:tcBorders>
          </w:tcPr>
          <w:p w14:paraId="14E884F6" w14:textId="77777777" w:rsidR="008C40E7" w:rsidRPr="00DD00A2" w:rsidRDefault="008C40E7" w:rsidP="00BF3540">
            <w:pPr>
              <w:pStyle w:val="Tabledata"/>
              <w:jc w:val="center"/>
              <w:rPr>
                <w:szCs w:val="20"/>
              </w:rPr>
            </w:pPr>
            <w:r>
              <w:t>Italy</w:t>
            </w:r>
          </w:p>
        </w:tc>
        <w:tc>
          <w:tcPr>
            <w:tcW w:w="1559" w:type="dxa"/>
            <w:tcBorders>
              <w:top w:val="single" w:sz="4" w:space="0" w:color="auto"/>
              <w:left w:val="single" w:sz="4" w:space="0" w:color="auto"/>
              <w:bottom w:val="single" w:sz="4" w:space="0" w:color="auto"/>
              <w:right w:val="single" w:sz="4" w:space="0" w:color="auto"/>
            </w:tcBorders>
          </w:tcPr>
          <w:p w14:paraId="37419ED8" w14:textId="771763A3" w:rsidR="008C40E7" w:rsidRPr="00DD00A2" w:rsidRDefault="008C40E7" w:rsidP="00BF3540">
            <w:pPr>
              <w:pStyle w:val="Tabledata"/>
              <w:jc w:val="left"/>
              <w:rPr>
                <w:szCs w:val="20"/>
              </w:rPr>
            </w:pPr>
            <w:r>
              <w:rPr>
                <w:rFonts w:cs="Arial"/>
                <w:bCs w:val="0"/>
              </w:rPr>
              <w:t xml:space="preserve">Banca </w:t>
            </w:r>
            <w:proofErr w:type="spellStart"/>
            <w:r>
              <w:rPr>
                <w:rFonts w:cs="Arial"/>
                <w:bCs w:val="0"/>
              </w:rPr>
              <w:t>d'Italia</w:t>
            </w:r>
            <w:proofErr w:type="spellEnd"/>
          </w:p>
        </w:tc>
        <w:tc>
          <w:tcPr>
            <w:tcW w:w="1134" w:type="dxa"/>
            <w:tcBorders>
              <w:top w:val="single" w:sz="4" w:space="0" w:color="auto"/>
              <w:left w:val="single" w:sz="4" w:space="0" w:color="auto"/>
              <w:bottom w:val="single" w:sz="4" w:space="0" w:color="auto"/>
              <w:right w:val="single" w:sz="4" w:space="0" w:color="auto"/>
            </w:tcBorders>
          </w:tcPr>
          <w:p w14:paraId="7BFB166E" w14:textId="5756652A"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B779743" w14:textId="2873ED54" w:rsidR="008C40E7" w:rsidRPr="00180E1B"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5F2DA87" w14:textId="1AD7DAEF" w:rsidR="008C40E7" w:rsidRPr="00180E1B" w:rsidRDefault="008C40E7" w:rsidP="00BF3540">
            <w:pPr>
              <w:autoSpaceDE w:val="0"/>
              <w:autoSpaceDN w:val="0"/>
              <w:adjustRightInd w:val="0"/>
            </w:pPr>
            <w:r>
              <w:rPr>
                <w:rFonts w:eastAsia="Times New Roman" w:cstheme="minorHAnsi"/>
                <w:bCs/>
                <w:color w:val="000000"/>
                <w:sz w:val="20"/>
                <w:lang w:eastAsia="en-GB"/>
              </w:rPr>
              <w:t xml:space="preserve">By such time as the necessary legislative preceding have been completed. </w:t>
            </w:r>
            <w:r w:rsidRPr="000918AC">
              <w:rPr>
                <w:rFonts w:eastAsia="Times New Roman" w:cstheme="minorHAnsi"/>
                <w:bCs/>
                <w:color w:val="000000"/>
                <w:sz w:val="20"/>
                <w:lang w:eastAsia="en-GB"/>
              </w:rPr>
              <w:t xml:space="preserve">According to Italian Law, suitability requirements for </w:t>
            </w:r>
            <w:r>
              <w:rPr>
                <w:rFonts w:eastAsia="Times New Roman" w:cstheme="minorHAnsi"/>
                <w:bCs/>
                <w:color w:val="000000"/>
                <w:sz w:val="20"/>
                <w:lang w:eastAsia="en-GB"/>
              </w:rPr>
              <w:t>m</w:t>
            </w:r>
            <w:r w:rsidRPr="000918AC">
              <w:rPr>
                <w:rFonts w:eastAsia="Times New Roman" w:cstheme="minorHAnsi"/>
                <w:bCs/>
                <w:color w:val="000000"/>
                <w:sz w:val="20"/>
                <w:lang w:eastAsia="en-GB"/>
              </w:rPr>
              <w:t>embers of the management body and key</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function holders of banks and investment firms must be set in two decrees of the Ministry of</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Economy and Finance. The Ban</w:t>
            </w:r>
            <w:r w:rsidR="007D145E">
              <w:rPr>
                <w:rFonts w:eastAsia="Times New Roman" w:cstheme="minorHAnsi"/>
                <w:bCs/>
                <w:color w:val="000000"/>
                <w:sz w:val="20"/>
                <w:lang w:eastAsia="en-GB"/>
              </w:rPr>
              <w:t>k</w:t>
            </w:r>
            <w:r w:rsidRPr="000918AC">
              <w:rPr>
                <w:rFonts w:eastAsia="Times New Roman" w:cstheme="minorHAnsi"/>
                <w:bCs/>
                <w:color w:val="000000"/>
                <w:sz w:val="20"/>
                <w:lang w:eastAsia="en-GB"/>
              </w:rPr>
              <w:t xml:space="preserve"> of Italy is called to provide an opinion, jointly with the </w:t>
            </w:r>
            <w:proofErr w:type="spellStart"/>
            <w:r w:rsidRPr="000918AC">
              <w:rPr>
                <w:rFonts w:eastAsia="Times New Roman" w:cstheme="minorHAnsi"/>
                <w:bCs/>
                <w:color w:val="000000"/>
                <w:sz w:val="20"/>
                <w:lang w:eastAsia="en-GB"/>
              </w:rPr>
              <w:t>Consob</w:t>
            </w:r>
            <w:proofErr w:type="spellEnd"/>
            <w:r w:rsidRPr="000918AC">
              <w:rPr>
                <w:rFonts w:eastAsia="Times New Roman" w:cstheme="minorHAnsi"/>
                <w:bCs/>
                <w:color w:val="000000"/>
                <w:sz w:val="20"/>
                <w:lang w:eastAsia="en-GB"/>
              </w:rPr>
              <w:t xml:space="preserve"> for</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 xml:space="preserve">requirements that apply to investment </w:t>
            </w:r>
            <w:proofErr w:type="gramStart"/>
            <w:r w:rsidRPr="000918AC">
              <w:rPr>
                <w:rFonts w:eastAsia="Times New Roman" w:cstheme="minorHAnsi"/>
                <w:bCs/>
                <w:color w:val="000000"/>
                <w:sz w:val="20"/>
                <w:lang w:eastAsia="en-GB"/>
              </w:rPr>
              <w:t>firms</w:t>
            </w:r>
            <w:proofErr w:type="gramEnd"/>
            <w:r w:rsidRPr="000918AC">
              <w:rPr>
                <w:rFonts w:eastAsia="Times New Roman" w:cstheme="minorHAnsi"/>
                <w:bCs/>
                <w:color w:val="000000"/>
                <w:sz w:val="20"/>
                <w:lang w:eastAsia="en-GB"/>
              </w:rPr>
              <w:t xml:space="preserve"> management body and KFH.</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The decree regarding suitability requirements for banks board members and KFHs was already</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published for consultation some months ago, and we expect it will soon be enacted. For suitability</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requirements applicable to investment firms more time might be needed.</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The Bank of Italy deems important that the forthcoming national rules on suitability requirements</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be compliant with the EBA - ESMA Guidelines (as well as other relevant standards}; in releasing its</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opinions to the Ministry, the Bank of Italy strives to achieve this goal. Few marginal pieces of the</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EBA - ESMA Guidelines are under the direct remit of the Bank of Italy and are already largely</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compliant with the Guidelines; the Bank of Italy will be able to assess the need for their fine-tuning</w:t>
            </w:r>
            <w:r>
              <w:rPr>
                <w:rFonts w:eastAsia="Times New Roman" w:cstheme="minorHAnsi"/>
                <w:bCs/>
                <w:color w:val="000000"/>
                <w:sz w:val="20"/>
                <w:lang w:eastAsia="en-GB"/>
              </w:rPr>
              <w:t xml:space="preserve"> </w:t>
            </w:r>
            <w:r w:rsidRPr="000918AC">
              <w:rPr>
                <w:rFonts w:eastAsia="Times New Roman" w:cstheme="minorHAnsi"/>
                <w:bCs/>
                <w:color w:val="000000"/>
                <w:sz w:val="20"/>
                <w:lang w:eastAsia="en-GB"/>
              </w:rPr>
              <w:t>only once the new decrees will be enacted and their practical impact considered.</w:t>
            </w:r>
          </w:p>
        </w:tc>
      </w:tr>
      <w:tr w:rsidR="008C40E7" w:rsidRPr="00A2678D" w14:paraId="281482C0" w14:textId="77777777" w:rsidTr="00BF3540">
        <w:tc>
          <w:tcPr>
            <w:tcW w:w="993" w:type="dxa"/>
            <w:gridSpan w:val="2"/>
            <w:vMerge/>
            <w:tcBorders>
              <w:left w:val="single" w:sz="4" w:space="0" w:color="auto"/>
              <w:bottom w:val="single" w:sz="4" w:space="0" w:color="auto"/>
              <w:right w:val="single" w:sz="4" w:space="0" w:color="auto"/>
            </w:tcBorders>
          </w:tcPr>
          <w:p w14:paraId="621DDD47"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2EBEDD1D"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6B355FB9" w14:textId="0F6AD1DD" w:rsidR="008C40E7" w:rsidRPr="00620102" w:rsidRDefault="008C40E7" w:rsidP="00BF3540">
            <w:pPr>
              <w:pStyle w:val="Tabledata"/>
              <w:jc w:val="left"/>
              <w:rPr>
                <w:rFonts w:cs="Arial"/>
                <w:bCs w:val="0"/>
                <w:lang w:val="it-IT"/>
              </w:rPr>
            </w:pPr>
            <w:r w:rsidRPr="00620102">
              <w:rPr>
                <w:rFonts w:cs="Arial"/>
                <w:bCs w:val="0"/>
                <w:lang w:val="it-IT"/>
              </w:rPr>
              <w:t>Commissione Nazionale per le Società e la Borsa (CONSOB)</w:t>
            </w:r>
          </w:p>
        </w:tc>
        <w:tc>
          <w:tcPr>
            <w:tcW w:w="1134" w:type="dxa"/>
            <w:tcBorders>
              <w:top w:val="single" w:sz="4" w:space="0" w:color="auto"/>
              <w:left w:val="single" w:sz="4" w:space="0" w:color="auto"/>
              <w:bottom w:val="single" w:sz="4" w:space="0" w:color="auto"/>
              <w:right w:val="single" w:sz="4" w:space="0" w:color="auto"/>
            </w:tcBorders>
          </w:tcPr>
          <w:p w14:paraId="79A63344" w14:textId="1A86981E" w:rsidR="008C40E7"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09A9AA" w14:textId="087D3B42" w:rsidR="008C40E7" w:rsidRDefault="008C40E7" w:rsidP="00BF3540">
            <w:pPr>
              <w:pStyle w:val="Tabledata"/>
              <w:jc w:val="center"/>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EA45EC2" w14:textId="16717C8D" w:rsidR="00620102" w:rsidRDefault="00451AFF" w:rsidP="00BF3540">
            <w:pPr>
              <w:suppressAutoHyphens/>
              <w:rPr>
                <w:rFonts w:eastAsia="Times New Roman" w:cstheme="minorHAnsi"/>
                <w:bCs/>
                <w:color w:val="000000"/>
                <w:sz w:val="20"/>
                <w:lang w:eastAsia="en-GB"/>
              </w:rPr>
            </w:pPr>
            <w:r>
              <w:rPr>
                <w:rFonts w:eastAsia="Times New Roman" w:cstheme="minorHAnsi"/>
                <w:bCs/>
                <w:color w:val="000000"/>
                <w:sz w:val="20"/>
                <w:lang w:eastAsia="en-GB"/>
              </w:rPr>
              <w:t>B</w:t>
            </w:r>
            <w:r w:rsidR="00620102">
              <w:rPr>
                <w:rFonts w:eastAsia="Times New Roman" w:cstheme="minorHAnsi"/>
                <w:bCs/>
                <w:color w:val="000000"/>
                <w:sz w:val="20"/>
                <w:lang w:eastAsia="en-GB"/>
              </w:rPr>
              <w:t xml:space="preserve">y such time </w:t>
            </w:r>
            <w:r w:rsidR="00327025">
              <w:rPr>
                <w:rFonts w:eastAsia="Times New Roman" w:cstheme="minorHAnsi"/>
                <w:bCs/>
                <w:color w:val="000000"/>
                <w:sz w:val="20"/>
                <w:lang w:eastAsia="en-GB"/>
              </w:rPr>
              <w:t xml:space="preserve">as </w:t>
            </w:r>
            <w:r w:rsidR="00620102">
              <w:rPr>
                <w:rFonts w:eastAsia="Times New Roman" w:cstheme="minorHAnsi"/>
                <w:bCs/>
                <w:color w:val="000000"/>
                <w:sz w:val="20"/>
                <w:lang w:eastAsia="en-GB"/>
              </w:rPr>
              <w:t>the necessary legislative or regulatory proceedings have been completed.</w:t>
            </w:r>
          </w:p>
          <w:p w14:paraId="10A40587" w14:textId="22ED8F6F" w:rsidR="008C40E7" w:rsidRPr="008C40E7" w:rsidRDefault="008C40E7" w:rsidP="00BF3540">
            <w:pPr>
              <w:suppressAutoHyphens/>
              <w:rPr>
                <w:rFonts w:eastAsia="Times New Roman" w:cstheme="minorHAnsi"/>
                <w:bCs/>
                <w:color w:val="000000"/>
                <w:sz w:val="20"/>
                <w:lang w:eastAsia="en-GB"/>
              </w:rPr>
            </w:pPr>
            <w:r w:rsidRPr="008C40E7">
              <w:rPr>
                <w:rFonts w:eastAsia="Times New Roman" w:cstheme="minorHAnsi"/>
                <w:bCs/>
                <w:color w:val="000000"/>
                <w:sz w:val="20"/>
                <w:lang w:eastAsia="en-GB"/>
              </w:rPr>
              <w:t>The consolidated Law on Finance no. 58/98 as subsequently amended delegates the establishment of suitability requirements of members of the board and key function holders to the Ministry of Economy and Finance.</w:t>
            </w:r>
          </w:p>
          <w:p w14:paraId="25BEE99A" w14:textId="7F74C4C3" w:rsidR="008C40E7" w:rsidRDefault="008C40E7" w:rsidP="00BF3540">
            <w:pPr>
              <w:autoSpaceDE w:val="0"/>
              <w:autoSpaceDN w:val="0"/>
              <w:adjustRightInd w:val="0"/>
              <w:rPr>
                <w:rFonts w:eastAsia="Times New Roman" w:cstheme="minorHAnsi"/>
                <w:bCs/>
                <w:color w:val="000000"/>
                <w:sz w:val="20"/>
                <w:lang w:eastAsia="en-GB"/>
              </w:rPr>
            </w:pPr>
            <w:proofErr w:type="spellStart"/>
            <w:r w:rsidRPr="008C40E7">
              <w:rPr>
                <w:rFonts w:eastAsia="Times New Roman" w:cstheme="minorHAnsi"/>
                <w:bCs/>
                <w:color w:val="000000"/>
                <w:sz w:val="20"/>
                <w:lang w:eastAsia="en-GB"/>
              </w:rPr>
              <w:t>Consob</w:t>
            </w:r>
            <w:proofErr w:type="spellEnd"/>
            <w:r w:rsidRPr="008C40E7">
              <w:rPr>
                <w:rFonts w:eastAsia="Times New Roman" w:cstheme="minorHAnsi"/>
                <w:bCs/>
                <w:color w:val="000000"/>
                <w:sz w:val="20"/>
                <w:lang w:eastAsia="en-GB"/>
              </w:rPr>
              <w:t xml:space="preserve"> informed the Ministry about the need to amend the Ministerial Decree no. 468/1998 (which is currently under revision) in order to fully implement the guidelines.</w:t>
            </w:r>
          </w:p>
        </w:tc>
      </w:tr>
      <w:tr w:rsidR="008C40E7" w:rsidRPr="00A2678D" w14:paraId="22757490" w14:textId="77777777" w:rsidTr="00BF3540">
        <w:tc>
          <w:tcPr>
            <w:tcW w:w="993" w:type="dxa"/>
            <w:gridSpan w:val="2"/>
            <w:vMerge w:val="restart"/>
            <w:tcBorders>
              <w:top w:val="single" w:sz="4" w:space="0" w:color="auto"/>
              <w:left w:val="single" w:sz="4" w:space="0" w:color="auto"/>
              <w:right w:val="single" w:sz="4" w:space="0" w:color="auto"/>
            </w:tcBorders>
          </w:tcPr>
          <w:p w14:paraId="5C489815" w14:textId="77777777" w:rsidR="008C40E7" w:rsidRPr="00DD00A2" w:rsidRDefault="008C40E7" w:rsidP="00BF3540">
            <w:pPr>
              <w:pStyle w:val="Tabledata"/>
              <w:jc w:val="center"/>
              <w:rPr>
                <w:szCs w:val="20"/>
              </w:rPr>
            </w:pPr>
            <w:r>
              <w:t>CY</w:t>
            </w:r>
          </w:p>
        </w:tc>
        <w:tc>
          <w:tcPr>
            <w:tcW w:w="1418" w:type="dxa"/>
            <w:gridSpan w:val="2"/>
            <w:vMerge w:val="restart"/>
            <w:tcBorders>
              <w:top w:val="single" w:sz="4" w:space="0" w:color="auto"/>
              <w:left w:val="single" w:sz="4" w:space="0" w:color="auto"/>
              <w:right w:val="single" w:sz="4" w:space="0" w:color="auto"/>
            </w:tcBorders>
          </w:tcPr>
          <w:p w14:paraId="67FF4182" w14:textId="77777777" w:rsidR="008C40E7" w:rsidRPr="00DD00A2" w:rsidRDefault="008C40E7" w:rsidP="00BF3540">
            <w:pPr>
              <w:pStyle w:val="Tabledata"/>
              <w:jc w:val="center"/>
              <w:rPr>
                <w:szCs w:val="20"/>
              </w:rPr>
            </w:pPr>
            <w:r>
              <w:t>Cyprus</w:t>
            </w:r>
          </w:p>
        </w:tc>
        <w:tc>
          <w:tcPr>
            <w:tcW w:w="1559" w:type="dxa"/>
            <w:tcBorders>
              <w:top w:val="single" w:sz="4" w:space="0" w:color="auto"/>
              <w:left w:val="single" w:sz="4" w:space="0" w:color="auto"/>
              <w:bottom w:val="single" w:sz="4" w:space="0" w:color="auto"/>
              <w:right w:val="single" w:sz="4" w:space="0" w:color="auto"/>
            </w:tcBorders>
          </w:tcPr>
          <w:p w14:paraId="4680F6F0" w14:textId="61B99DEE" w:rsidR="008C40E7" w:rsidRPr="00DD00A2" w:rsidRDefault="008C40E7" w:rsidP="00BF3540">
            <w:pPr>
              <w:pStyle w:val="Tabledata"/>
              <w:jc w:val="left"/>
              <w:rPr>
                <w:szCs w:val="20"/>
              </w:rPr>
            </w:pPr>
            <w:r>
              <w:rPr>
                <w:rFonts w:cs="Arial"/>
                <w:bCs w:val="0"/>
              </w:rPr>
              <w:t>Central Bank of Cyprus</w:t>
            </w:r>
          </w:p>
        </w:tc>
        <w:tc>
          <w:tcPr>
            <w:tcW w:w="1134" w:type="dxa"/>
            <w:tcBorders>
              <w:top w:val="single" w:sz="4" w:space="0" w:color="auto"/>
              <w:left w:val="single" w:sz="4" w:space="0" w:color="auto"/>
              <w:bottom w:val="single" w:sz="4" w:space="0" w:color="auto"/>
              <w:right w:val="single" w:sz="4" w:space="0" w:color="auto"/>
            </w:tcBorders>
          </w:tcPr>
          <w:p w14:paraId="7631B366" w14:textId="28ECA940"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C8E1F71" w14:textId="1A25C469" w:rsidR="008C40E7" w:rsidRPr="00180E1B"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A329B1D" w14:textId="35ECA08D" w:rsidR="008C40E7" w:rsidRPr="00180E1B" w:rsidRDefault="008C40E7" w:rsidP="00BF3540">
            <w:pPr>
              <w:suppressAutoHyphens/>
            </w:pPr>
            <w:r w:rsidRPr="007E16D1">
              <w:rPr>
                <w:sz w:val="20"/>
                <w:szCs w:val="20"/>
              </w:rPr>
              <w:t>By 31.12.2018.</w:t>
            </w:r>
            <w:r>
              <w:t xml:space="preserve"> </w:t>
            </w:r>
          </w:p>
        </w:tc>
      </w:tr>
      <w:tr w:rsidR="008C40E7" w:rsidRPr="00A2678D" w14:paraId="672E9560" w14:textId="77777777" w:rsidTr="00BF3540">
        <w:tc>
          <w:tcPr>
            <w:tcW w:w="993" w:type="dxa"/>
            <w:gridSpan w:val="2"/>
            <w:vMerge/>
            <w:tcBorders>
              <w:left w:val="single" w:sz="4" w:space="0" w:color="auto"/>
              <w:bottom w:val="single" w:sz="4" w:space="0" w:color="auto"/>
              <w:right w:val="single" w:sz="4" w:space="0" w:color="auto"/>
            </w:tcBorders>
          </w:tcPr>
          <w:p w14:paraId="58A5170D" w14:textId="77777777" w:rsidR="008C40E7" w:rsidRDefault="008C40E7"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507225EA" w14:textId="77777777" w:rsidR="008C40E7" w:rsidRDefault="008C40E7"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462553D4" w14:textId="18AD9858" w:rsidR="008C40E7" w:rsidRDefault="008C40E7" w:rsidP="00BF3540">
            <w:pPr>
              <w:pStyle w:val="Tabledata"/>
              <w:jc w:val="left"/>
              <w:rPr>
                <w:rFonts w:cs="Arial"/>
                <w:bCs w:val="0"/>
              </w:rPr>
            </w:pPr>
            <w:r w:rsidRPr="003B0569">
              <w:rPr>
                <w:rFonts w:cs="Arial"/>
                <w:bCs w:val="0"/>
              </w:rPr>
              <w:t>Cyprus Securities and Exchange Commission (</w:t>
            </w:r>
            <w:proofErr w:type="spellStart"/>
            <w:r w:rsidRPr="003B0569">
              <w:rPr>
                <w:rFonts w:cs="Arial"/>
                <w:bCs w:val="0"/>
              </w:rPr>
              <w:t>CySEC</w:t>
            </w:r>
            <w:proofErr w:type="spellEnd"/>
            <w:r w:rsidRPr="003B0569">
              <w:rPr>
                <w:rFonts w:cs="Arial"/>
                <w:bCs w:val="0"/>
              </w:rPr>
              <w:t>)</w:t>
            </w:r>
          </w:p>
        </w:tc>
        <w:tc>
          <w:tcPr>
            <w:tcW w:w="1134" w:type="dxa"/>
            <w:tcBorders>
              <w:top w:val="single" w:sz="4" w:space="0" w:color="auto"/>
              <w:left w:val="single" w:sz="4" w:space="0" w:color="auto"/>
              <w:bottom w:val="single" w:sz="4" w:space="0" w:color="auto"/>
              <w:right w:val="single" w:sz="4" w:space="0" w:color="auto"/>
            </w:tcBorders>
          </w:tcPr>
          <w:p w14:paraId="210DD358" w14:textId="43211AA5" w:rsidR="008C40E7"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A719CF4" w14:textId="65955775" w:rsidR="008C40E7" w:rsidRDefault="008C40E7"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1B2ECD0" w14:textId="65F6B519" w:rsidR="008D7BFF" w:rsidRDefault="008D7BFF" w:rsidP="00BF3540">
            <w:pPr>
              <w:suppressAutoHyphens/>
              <w:rPr>
                <w:rFonts w:eastAsia="Times New Roman" w:cstheme="minorHAnsi"/>
                <w:bCs/>
                <w:color w:val="000000"/>
                <w:sz w:val="20"/>
                <w:lang w:eastAsia="en-GB"/>
              </w:rPr>
            </w:pPr>
            <w:r>
              <w:rPr>
                <w:rFonts w:eastAsia="Times New Roman" w:cstheme="minorHAnsi"/>
                <w:bCs/>
                <w:color w:val="000000"/>
                <w:sz w:val="20"/>
                <w:lang w:eastAsia="en-GB"/>
              </w:rPr>
              <w:t>B</w:t>
            </w:r>
            <w:r w:rsidR="008C40E7" w:rsidRPr="008C40E7">
              <w:rPr>
                <w:rFonts w:eastAsia="Times New Roman" w:cstheme="minorHAnsi"/>
                <w:bCs/>
                <w:color w:val="000000"/>
                <w:sz w:val="20"/>
                <w:lang w:eastAsia="en-GB"/>
              </w:rPr>
              <w:t xml:space="preserve">y </w:t>
            </w:r>
            <w:r w:rsidR="009A018E">
              <w:rPr>
                <w:rFonts w:eastAsia="Times New Roman" w:cstheme="minorHAnsi"/>
                <w:bCs/>
                <w:color w:val="000000"/>
                <w:sz w:val="20"/>
                <w:lang w:eastAsia="en-GB"/>
              </w:rPr>
              <w:t>1 January 2019</w:t>
            </w:r>
            <w:r>
              <w:rPr>
                <w:rFonts w:eastAsia="Times New Roman" w:cstheme="minorHAnsi"/>
                <w:bCs/>
                <w:color w:val="000000"/>
                <w:sz w:val="20"/>
                <w:lang w:eastAsia="en-GB"/>
              </w:rPr>
              <w:t>.</w:t>
            </w:r>
          </w:p>
          <w:p w14:paraId="639F0924" w14:textId="5F9517C9" w:rsidR="008C40E7" w:rsidRPr="007E16D1" w:rsidRDefault="008D7BFF" w:rsidP="00BF3540">
            <w:pPr>
              <w:suppressAutoHyphens/>
              <w:rPr>
                <w:sz w:val="20"/>
                <w:szCs w:val="20"/>
              </w:rPr>
            </w:pPr>
            <w:proofErr w:type="spellStart"/>
            <w:r>
              <w:rPr>
                <w:rFonts w:eastAsia="Times New Roman" w:cstheme="minorHAnsi"/>
                <w:bCs/>
                <w:color w:val="000000"/>
                <w:sz w:val="20"/>
                <w:lang w:eastAsia="en-GB"/>
              </w:rPr>
              <w:t>CySEC</w:t>
            </w:r>
            <w:proofErr w:type="spellEnd"/>
            <w:r>
              <w:rPr>
                <w:rFonts w:eastAsia="Times New Roman" w:cstheme="minorHAnsi"/>
                <w:bCs/>
                <w:color w:val="000000"/>
                <w:sz w:val="20"/>
                <w:lang w:eastAsia="en-GB"/>
              </w:rPr>
              <w:t xml:space="preserve"> has complied with the guidelines by 30 June 2018 by issui</w:t>
            </w:r>
            <w:r w:rsidR="00F3720F">
              <w:rPr>
                <w:rFonts w:eastAsia="Times New Roman" w:cstheme="minorHAnsi"/>
                <w:bCs/>
                <w:color w:val="000000"/>
                <w:sz w:val="20"/>
                <w:lang w:eastAsia="en-GB"/>
              </w:rPr>
              <w:t>ng the following circular https</w:t>
            </w:r>
            <w:r>
              <w:rPr>
                <w:rFonts w:eastAsia="Times New Roman" w:cstheme="minorHAnsi"/>
                <w:bCs/>
                <w:color w:val="000000"/>
                <w:sz w:val="20"/>
                <w:lang w:eastAsia="en-GB"/>
              </w:rPr>
              <w:t>://www.cysec.gov.cy/CMSPages/GetFile.aspx?guid=37222c3a-5e81-43d7-84b9-3445dca9adb0</w:t>
            </w:r>
            <w:r w:rsidR="008C40E7" w:rsidRPr="008C40E7">
              <w:rPr>
                <w:rFonts w:eastAsia="Times New Roman" w:cstheme="minorHAnsi"/>
                <w:bCs/>
                <w:color w:val="000000"/>
                <w:sz w:val="20"/>
                <w:lang w:eastAsia="en-GB"/>
              </w:rPr>
              <w:t xml:space="preserve">, except from the part requiring NCAs to assess the suitability of certain key function holders in relation to Significant CRD </w:t>
            </w:r>
            <w:r w:rsidR="008C40E7">
              <w:rPr>
                <w:rFonts w:eastAsia="Times New Roman" w:cstheme="minorHAnsi"/>
                <w:bCs/>
                <w:color w:val="000000"/>
                <w:sz w:val="20"/>
                <w:lang w:eastAsia="en-GB"/>
              </w:rPr>
              <w:t>Institutions</w:t>
            </w:r>
            <w:r w:rsidR="00B20839">
              <w:rPr>
                <w:rFonts w:eastAsia="Times New Roman" w:cstheme="minorHAnsi"/>
                <w:bCs/>
                <w:color w:val="000000"/>
                <w:sz w:val="20"/>
                <w:lang w:eastAsia="en-GB"/>
              </w:rPr>
              <w:t>. S</w:t>
            </w:r>
            <w:r w:rsidR="008C40E7">
              <w:rPr>
                <w:rFonts w:eastAsia="Times New Roman" w:cstheme="minorHAnsi"/>
                <w:bCs/>
                <w:color w:val="000000"/>
                <w:sz w:val="20"/>
                <w:lang w:eastAsia="en-GB"/>
              </w:rPr>
              <w:t xml:space="preserve">uch arrangement </w:t>
            </w:r>
            <w:r w:rsidR="008C40E7" w:rsidRPr="008C40E7">
              <w:rPr>
                <w:rFonts w:eastAsia="Times New Roman" w:cstheme="minorHAnsi"/>
                <w:bCs/>
                <w:color w:val="000000"/>
                <w:sz w:val="20"/>
                <w:lang w:eastAsia="en-GB"/>
              </w:rPr>
              <w:t>require</w:t>
            </w:r>
            <w:r w:rsidR="00B20839">
              <w:rPr>
                <w:rFonts w:eastAsia="Times New Roman" w:cstheme="minorHAnsi"/>
                <w:bCs/>
                <w:color w:val="000000"/>
                <w:sz w:val="20"/>
                <w:lang w:eastAsia="en-GB"/>
              </w:rPr>
              <w:t>s</w:t>
            </w:r>
            <w:r w:rsidR="008C40E7" w:rsidRPr="008C40E7">
              <w:rPr>
                <w:rFonts w:eastAsia="Times New Roman" w:cstheme="minorHAnsi"/>
                <w:bCs/>
                <w:color w:val="000000"/>
                <w:sz w:val="20"/>
                <w:lang w:eastAsia="en-GB"/>
              </w:rPr>
              <w:t xml:space="preserve"> legislative amendments. </w:t>
            </w:r>
            <w:proofErr w:type="spellStart"/>
            <w:r w:rsidR="008C40E7" w:rsidRPr="008C40E7">
              <w:rPr>
                <w:rFonts w:eastAsia="Times New Roman" w:cstheme="minorHAnsi"/>
                <w:bCs/>
                <w:color w:val="000000"/>
                <w:sz w:val="20"/>
                <w:lang w:eastAsia="en-GB"/>
              </w:rPr>
              <w:t>CySEC</w:t>
            </w:r>
            <w:proofErr w:type="spellEnd"/>
            <w:r w:rsidR="008C40E7" w:rsidRPr="008C40E7">
              <w:rPr>
                <w:rFonts w:eastAsia="Times New Roman" w:cstheme="minorHAnsi"/>
                <w:bCs/>
                <w:color w:val="000000"/>
                <w:sz w:val="20"/>
                <w:lang w:eastAsia="en-GB"/>
              </w:rPr>
              <w:t xml:space="preserve"> will issue a consultation paper in the coming weeks proposing the assessment of these as also of additional key function holders in relation to all Cyprus Investment Firms. The feedback will be evaluated and based on the outcome the necessary amendments will be made in our national legislation in order to incorporate such practice into regulatory framework.</w:t>
            </w:r>
          </w:p>
        </w:tc>
      </w:tr>
      <w:tr w:rsidR="00863543" w:rsidRPr="00A2678D" w14:paraId="026E504A" w14:textId="77777777" w:rsidTr="00BF3540">
        <w:trPr>
          <w:trHeight w:val="10288"/>
        </w:trPr>
        <w:tc>
          <w:tcPr>
            <w:tcW w:w="993" w:type="dxa"/>
            <w:gridSpan w:val="2"/>
            <w:tcBorders>
              <w:top w:val="single" w:sz="4" w:space="0" w:color="auto"/>
              <w:left w:val="single" w:sz="4" w:space="0" w:color="auto"/>
              <w:right w:val="single" w:sz="4" w:space="0" w:color="auto"/>
            </w:tcBorders>
          </w:tcPr>
          <w:p w14:paraId="0F0587AA" w14:textId="77777777" w:rsidR="00863543" w:rsidRPr="00DD00A2" w:rsidRDefault="00863543" w:rsidP="00BF3540">
            <w:pPr>
              <w:pStyle w:val="Tabledata"/>
              <w:jc w:val="center"/>
              <w:rPr>
                <w:szCs w:val="20"/>
              </w:rPr>
            </w:pPr>
            <w:r>
              <w:t>LV</w:t>
            </w:r>
          </w:p>
        </w:tc>
        <w:tc>
          <w:tcPr>
            <w:tcW w:w="1418" w:type="dxa"/>
            <w:gridSpan w:val="2"/>
            <w:tcBorders>
              <w:top w:val="single" w:sz="4" w:space="0" w:color="auto"/>
              <w:left w:val="single" w:sz="4" w:space="0" w:color="auto"/>
              <w:right w:val="single" w:sz="4" w:space="0" w:color="auto"/>
            </w:tcBorders>
          </w:tcPr>
          <w:p w14:paraId="623245F2" w14:textId="77777777" w:rsidR="00863543" w:rsidRPr="00DD00A2" w:rsidRDefault="00863543" w:rsidP="00BF3540">
            <w:pPr>
              <w:pStyle w:val="Tabledata"/>
              <w:jc w:val="center"/>
              <w:rPr>
                <w:szCs w:val="20"/>
              </w:rPr>
            </w:pPr>
            <w:r>
              <w:t>Latvia</w:t>
            </w:r>
          </w:p>
        </w:tc>
        <w:tc>
          <w:tcPr>
            <w:tcW w:w="1559" w:type="dxa"/>
            <w:tcBorders>
              <w:top w:val="single" w:sz="4" w:space="0" w:color="auto"/>
              <w:left w:val="single" w:sz="4" w:space="0" w:color="auto"/>
              <w:right w:val="single" w:sz="4" w:space="0" w:color="auto"/>
            </w:tcBorders>
          </w:tcPr>
          <w:p w14:paraId="697C94E7" w14:textId="23F415F4" w:rsidR="00863543" w:rsidRPr="00DD00A2" w:rsidRDefault="00863543" w:rsidP="00BF3540">
            <w:pPr>
              <w:pStyle w:val="Tabledata"/>
              <w:jc w:val="left"/>
              <w:rPr>
                <w:szCs w:val="20"/>
              </w:rPr>
            </w:pPr>
          </w:p>
          <w:p w14:paraId="3DB22FCD" w14:textId="6B6945DF" w:rsidR="00863543" w:rsidRPr="00DD00A2" w:rsidRDefault="00863543" w:rsidP="00BF3540">
            <w:pPr>
              <w:pStyle w:val="Tabledata"/>
              <w:jc w:val="left"/>
              <w:rPr>
                <w:szCs w:val="20"/>
              </w:rPr>
            </w:pPr>
            <w:r w:rsidRPr="003B0569">
              <w:rPr>
                <w:rFonts w:cs="Arial"/>
                <w:bCs w:val="0"/>
              </w:rPr>
              <w:t>Financial and Capital Market Commission (FCMC)</w:t>
            </w:r>
          </w:p>
        </w:tc>
        <w:tc>
          <w:tcPr>
            <w:tcW w:w="1134" w:type="dxa"/>
            <w:tcBorders>
              <w:top w:val="single" w:sz="4" w:space="0" w:color="auto"/>
              <w:left w:val="single" w:sz="4" w:space="0" w:color="auto"/>
              <w:right w:val="single" w:sz="4" w:space="0" w:color="auto"/>
            </w:tcBorders>
          </w:tcPr>
          <w:p w14:paraId="195D57E8" w14:textId="65FB0615" w:rsidR="00863543" w:rsidRPr="00180E1B" w:rsidRDefault="00863543" w:rsidP="00BF3540">
            <w:pPr>
              <w:pStyle w:val="Tabledata"/>
              <w:ind w:left="284"/>
              <w:jc w:val="left"/>
              <w:rPr>
                <w:b/>
                <w:szCs w:val="20"/>
              </w:rPr>
            </w:pPr>
          </w:p>
          <w:p w14:paraId="315A316B" w14:textId="2D02238B" w:rsidR="00863543" w:rsidRPr="00180E1B" w:rsidRDefault="00863543" w:rsidP="00BF3540">
            <w:pPr>
              <w:pStyle w:val="Tabledata"/>
              <w:jc w:val="center"/>
              <w:rPr>
                <w:b/>
                <w:szCs w:val="20"/>
              </w:rPr>
            </w:pPr>
            <w:r>
              <w:rPr>
                <w:b/>
                <w:szCs w:val="20"/>
              </w:rPr>
              <w:t>EBA/ESMA</w:t>
            </w:r>
          </w:p>
        </w:tc>
        <w:tc>
          <w:tcPr>
            <w:tcW w:w="1559" w:type="dxa"/>
            <w:tcBorders>
              <w:top w:val="single" w:sz="4" w:space="0" w:color="auto"/>
              <w:left w:val="single" w:sz="4" w:space="0" w:color="auto"/>
              <w:right w:val="single" w:sz="4" w:space="0" w:color="auto"/>
            </w:tcBorders>
            <w:shd w:val="clear" w:color="auto" w:fill="FF0000"/>
          </w:tcPr>
          <w:p w14:paraId="79C41D69" w14:textId="6A2548AA" w:rsidR="00863543" w:rsidRPr="00180E1B" w:rsidRDefault="00863543" w:rsidP="00BF3540">
            <w:pPr>
              <w:pStyle w:val="Tabledata"/>
              <w:jc w:val="center"/>
              <w:rPr>
                <w:b/>
                <w:szCs w:val="20"/>
              </w:rPr>
            </w:pPr>
          </w:p>
          <w:p w14:paraId="77E0B1F9" w14:textId="73A936F5" w:rsidR="00863543" w:rsidRPr="00180E1B" w:rsidRDefault="00863543" w:rsidP="00BF3540">
            <w:pPr>
              <w:pStyle w:val="Tabledata"/>
              <w:jc w:val="center"/>
              <w:rPr>
                <w:b/>
                <w:szCs w:val="20"/>
              </w:rPr>
            </w:pPr>
            <w:r>
              <w:rPr>
                <w:b/>
                <w:color w:val="auto"/>
                <w:szCs w:val="20"/>
              </w:rPr>
              <w:t>No</w:t>
            </w:r>
          </w:p>
        </w:tc>
        <w:tc>
          <w:tcPr>
            <w:tcW w:w="3510" w:type="dxa"/>
            <w:tcBorders>
              <w:top w:val="single" w:sz="4" w:space="0" w:color="auto"/>
              <w:left w:val="single" w:sz="4" w:space="0" w:color="auto"/>
              <w:right w:val="single" w:sz="4" w:space="0" w:color="auto"/>
            </w:tcBorders>
            <w:shd w:val="clear" w:color="auto" w:fill="auto"/>
          </w:tcPr>
          <w:p w14:paraId="5897A27E" w14:textId="77777777" w:rsidR="00863543" w:rsidRPr="00633A3C" w:rsidRDefault="00863543" w:rsidP="00BF3540">
            <w:pPr>
              <w:suppressAutoHyphens/>
              <w:rPr>
                <w:rFonts w:eastAsia="Times New Roman" w:cstheme="minorHAnsi"/>
                <w:bCs/>
                <w:color w:val="000000"/>
                <w:sz w:val="20"/>
                <w:lang w:eastAsia="en-GB"/>
              </w:rPr>
            </w:pPr>
            <w:r w:rsidRPr="00713F48">
              <w:rPr>
                <w:rFonts w:eastAsia="Times New Roman" w:cstheme="minorHAnsi"/>
                <w:bCs/>
                <w:color w:val="000000"/>
                <w:sz w:val="20"/>
                <w:lang w:eastAsia="en-GB"/>
              </w:rPr>
              <w:t xml:space="preserve">The Financial and Capital Market Commission, which is the competent authority in Latvia for supervision of institutions subject to these guidelines, already complies with parts of these guidelines (aspects that relate to the already implemented provisions of the directive 2013/36/EU and EBA guidelines on the assessment of the suitability of members of the management body and key function holders (22 November 2012) – the identification of key function holders, time commitment requirements, counting of directorships, diversity matters, collective suitability, independence of mind, nomination committee requirements, etc.). The partial compliance will results for the requirements of independent members of a management body in its supervisory function (hereinafter – the Board) (the principle of being independent). Given Latvia’s small banking sector both in asset size and number of market participants, and also limited options to recruit suitable candidates as independent members, it would not be proportionate to require small banks with a few Board members t </w:t>
            </w:r>
            <w:r w:rsidRPr="00633A3C">
              <w:rPr>
                <w:rFonts w:eastAsia="Times New Roman" w:cstheme="minorHAnsi"/>
                <w:bCs/>
                <w:color w:val="000000"/>
                <w:sz w:val="20"/>
                <w:lang w:eastAsia="en-GB"/>
              </w:rPr>
              <w:t xml:space="preserve">artificially increase those Boards. The strengthening of the management of the conflicts of interest should be fostered for those banks. </w:t>
            </w:r>
          </w:p>
          <w:p w14:paraId="021889E2" w14:textId="2D188C79" w:rsidR="00863543" w:rsidRPr="00565FDC" w:rsidRDefault="00863543" w:rsidP="00BF3540">
            <w:pPr>
              <w:rPr>
                <w:szCs w:val="20"/>
              </w:rPr>
            </w:pPr>
            <w:r w:rsidRPr="00633A3C">
              <w:rPr>
                <w:rFonts w:eastAsia="Times New Roman" w:cstheme="minorHAnsi"/>
                <w:bCs/>
                <w:color w:val="000000"/>
                <w:sz w:val="20"/>
                <w:lang w:eastAsia="en-GB"/>
              </w:rPr>
              <w:t>The competent authority intends to comply partially with the Guidelines by 30.09.2018</w:t>
            </w:r>
            <w:r w:rsidRPr="009A1203">
              <w:rPr>
                <w:rFonts w:eastAsia="Times New Roman" w:cstheme="minorHAnsi"/>
                <w:bCs/>
                <w:color w:val="000000"/>
                <w:sz w:val="20"/>
                <w:lang w:eastAsia="en-GB"/>
              </w:rPr>
              <w:t>.</w:t>
            </w:r>
          </w:p>
        </w:tc>
      </w:tr>
      <w:tr w:rsidR="00713F48" w:rsidRPr="00A2678D" w14:paraId="245311CE" w14:textId="77777777" w:rsidTr="00BF3540">
        <w:tc>
          <w:tcPr>
            <w:tcW w:w="993" w:type="dxa"/>
            <w:gridSpan w:val="2"/>
            <w:vMerge w:val="restart"/>
            <w:tcBorders>
              <w:top w:val="single" w:sz="4" w:space="0" w:color="auto"/>
              <w:left w:val="single" w:sz="4" w:space="0" w:color="auto"/>
              <w:right w:val="single" w:sz="4" w:space="0" w:color="auto"/>
            </w:tcBorders>
          </w:tcPr>
          <w:p w14:paraId="5D0AC84D" w14:textId="77777777" w:rsidR="00713F48" w:rsidRPr="00DD00A2" w:rsidRDefault="00713F48" w:rsidP="00BF3540">
            <w:pPr>
              <w:pStyle w:val="Tabledata"/>
              <w:jc w:val="center"/>
              <w:rPr>
                <w:szCs w:val="20"/>
              </w:rPr>
            </w:pPr>
            <w:r>
              <w:t>LT</w:t>
            </w:r>
          </w:p>
        </w:tc>
        <w:tc>
          <w:tcPr>
            <w:tcW w:w="1418" w:type="dxa"/>
            <w:gridSpan w:val="2"/>
            <w:vMerge w:val="restart"/>
            <w:tcBorders>
              <w:top w:val="single" w:sz="4" w:space="0" w:color="auto"/>
              <w:left w:val="single" w:sz="4" w:space="0" w:color="auto"/>
              <w:right w:val="single" w:sz="4" w:space="0" w:color="auto"/>
            </w:tcBorders>
          </w:tcPr>
          <w:p w14:paraId="01B32344" w14:textId="77777777" w:rsidR="00713F48" w:rsidRPr="00DD00A2" w:rsidRDefault="00713F48" w:rsidP="00BF3540">
            <w:pPr>
              <w:pStyle w:val="Tabledata"/>
              <w:jc w:val="center"/>
              <w:rPr>
                <w:szCs w:val="20"/>
              </w:rPr>
            </w:pPr>
            <w:r w:rsidRPr="00CD3A8C">
              <w:t>Lithuania</w:t>
            </w:r>
          </w:p>
        </w:tc>
        <w:tc>
          <w:tcPr>
            <w:tcW w:w="1559" w:type="dxa"/>
            <w:tcBorders>
              <w:top w:val="single" w:sz="4" w:space="0" w:color="auto"/>
              <w:left w:val="single" w:sz="4" w:space="0" w:color="auto"/>
              <w:bottom w:val="single" w:sz="4" w:space="0" w:color="auto"/>
              <w:right w:val="single" w:sz="4" w:space="0" w:color="auto"/>
            </w:tcBorders>
          </w:tcPr>
          <w:p w14:paraId="505C85C0" w14:textId="3DCC73CF" w:rsidR="00713F48" w:rsidRPr="00DD00A2" w:rsidRDefault="00713F48" w:rsidP="00BF3540">
            <w:pPr>
              <w:pStyle w:val="Tabledata"/>
              <w:jc w:val="left"/>
              <w:rPr>
                <w:szCs w:val="20"/>
              </w:rPr>
            </w:pPr>
            <w:r>
              <w:rPr>
                <w:rFonts w:cs="Arial"/>
                <w:bCs w:val="0"/>
              </w:rPr>
              <w:t>Bank of Lithuania</w:t>
            </w:r>
          </w:p>
        </w:tc>
        <w:tc>
          <w:tcPr>
            <w:tcW w:w="1134" w:type="dxa"/>
            <w:tcBorders>
              <w:top w:val="single" w:sz="4" w:space="0" w:color="auto"/>
              <w:left w:val="single" w:sz="4" w:space="0" w:color="auto"/>
              <w:bottom w:val="single" w:sz="4" w:space="0" w:color="auto"/>
              <w:right w:val="single" w:sz="4" w:space="0" w:color="auto"/>
            </w:tcBorders>
          </w:tcPr>
          <w:p w14:paraId="21D6BA4F" w14:textId="67839913"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0883EA60" w14:textId="21D1CF55" w:rsidR="00713F48" w:rsidRPr="00180E1B" w:rsidRDefault="008B3D2D"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FE18005" w14:textId="3A022C91" w:rsidR="00713F48" w:rsidRDefault="00713F48" w:rsidP="00BF3540">
            <w:pPr>
              <w:pStyle w:val="Tabledata"/>
              <w:contextualSpacing/>
              <w:jc w:val="left"/>
            </w:pPr>
            <w:r w:rsidRPr="003E0C89">
              <w:rPr>
                <w:bCs w:val="0"/>
              </w:rPr>
              <w:t xml:space="preserve">Bank of Lithuania will </w:t>
            </w:r>
            <w:r>
              <w:rPr>
                <w:bCs w:val="0"/>
              </w:rPr>
              <w:t>comply with</w:t>
            </w:r>
            <w:r w:rsidRPr="003E0C89">
              <w:rPr>
                <w:bCs w:val="0"/>
              </w:rPr>
              <w:t xml:space="preserve"> the Guidelines</w:t>
            </w:r>
            <w:r>
              <w:rPr>
                <w:bCs w:val="0"/>
              </w:rPr>
              <w:t xml:space="preserve"> </w:t>
            </w:r>
            <w:r w:rsidRPr="003E0C89">
              <w:t>on the assessment of the suitability of members of the management body and key</w:t>
            </w:r>
            <w:r>
              <w:t xml:space="preserve"> </w:t>
            </w:r>
            <w:r w:rsidRPr="003E0C89">
              <w:t>function holders except for the provisions relating to suitability assessment of key function</w:t>
            </w:r>
            <w:r>
              <w:t xml:space="preserve"> </w:t>
            </w:r>
            <w:r w:rsidRPr="003E0C89">
              <w:t xml:space="preserve">holders </w:t>
            </w:r>
            <w:r>
              <w:t>(except</w:t>
            </w:r>
            <w:r w:rsidRPr="003E0C89">
              <w:t xml:space="preserve"> for internal auditor</w:t>
            </w:r>
            <w:r>
              <w:t>) to be carried out by competent</w:t>
            </w:r>
            <w:r w:rsidRPr="003E0C89">
              <w:t xml:space="preserve"> authority (Title VIII,</w:t>
            </w:r>
            <w:r>
              <w:t xml:space="preserve"> sections 23-24</w:t>
            </w:r>
            <w:r w:rsidRPr="003E0C89">
              <w:t xml:space="preserve">) due to the following reasons: </w:t>
            </w:r>
          </w:p>
          <w:p w14:paraId="09A0225B" w14:textId="18F35271" w:rsidR="00713F48" w:rsidRDefault="00713F48" w:rsidP="00BF3540">
            <w:pPr>
              <w:pStyle w:val="Tabledata"/>
              <w:contextualSpacing/>
              <w:jc w:val="left"/>
            </w:pPr>
            <w:r w:rsidRPr="003E0C89">
              <w:t>1) Key function holders are not considered</w:t>
            </w:r>
            <w:r>
              <w:t xml:space="preserve"> to</w:t>
            </w:r>
            <w:r w:rsidRPr="003E0C89">
              <w:t xml:space="preserve"> be the managers of a credit institution according </w:t>
            </w:r>
            <w:r>
              <w:t xml:space="preserve">to CRD IV;  </w:t>
            </w:r>
            <w:r w:rsidRPr="003E0C89">
              <w:t>2) the Bank of Lithuania</w:t>
            </w:r>
            <w:r>
              <w:t xml:space="preserve"> </w:t>
            </w:r>
            <w:r w:rsidRPr="003E0C89">
              <w:t>would prefer to leave the assessment of key function holders within the competence of a</w:t>
            </w:r>
            <w:r>
              <w:t xml:space="preserve"> </w:t>
            </w:r>
            <w:r w:rsidRPr="003E0C89">
              <w:t>supervised entity as credit institutions, with the managers approved by competent</w:t>
            </w:r>
            <w:r>
              <w:t xml:space="preserve"> </w:t>
            </w:r>
            <w:r w:rsidRPr="003E0C89">
              <w:t xml:space="preserve">authority, are considered to be competent enough </w:t>
            </w:r>
            <w:r>
              <w:t>t</w:t>
            </w:r>
            <w:r w:rsidRPr="003E0C89">
              <w:t>o carry out the assessment of key</w:t>
            </w:r>
            <w:r>
              <w:t xml:space="preserve"> </w:t>
            </w:r>
            <w:r w:rsidRPr="003E0C89">
              <w:t xml:space="preserve">function holders themselves; </w:t>
            </w:r>
            <w:r>
              <w:t xml:space="preserve"> </w:t>
            </w:r>
          </w:p>
          <w:p w14:paraId="286BB701" w14:textId="77777777" w:rsidR="00713F48" w:rsidRDefault="00713F48" w:rsidP="00BF3540">
            <w:pPr>
              <w:pStyle w:val="Tabledata"/>
              <w:contextualSpacing/>
              <w:jc w:val="left"/>
            </w:pPr>
            <w:r w:rsidRPr="003E0C89">
              <w:t xml:space="preserve">3) </w:t>
            </w:r>
            <w:proofErr w:type="gramStart"/>
            <w:r w:rsidRPr="003E0C89">
              <w:t>the</w:t>
            </w:r>
            <w:proofErr w:type="gramEnd"/>
            <w:r w:rsidRPr="003E0C89">
              <w:t xml:space="preserve"> assessment of key function holders, carried out by</w:t>
            </w:r>
            <w:r>
              <w:t xml:space="preserve"> competent </w:t>
            </w:r>
            <w:r w:rsidRPr="003E0C89">
              <w:t>authority, would increase administrative burden to both supervised entity</w:t>
            </w:r>
            <w:r>
              <w:t xml:space="preserve"> </w:t>
            </w:r>
            <w:r w:rsidRPr="003E0C89">
              <w:t>and competent authority.</w:t>
            </w:r>
          </w:p>
          <w:p w14:paraId="47C32444" w14:textId="1A0E23D4" w:rsidR="00802E0F" w:rsidRPr="00565FDC" w:rsidRDefault="00802E0F" w:rsidP="00BF3540">
            <w:pPr>
              <w:pStyle w:val="Tabledata"/>
              <w:contextualSpacing/>
              <w:jc w:val="left"/>
              <w:rPr>
                <w:rFonts w:ascii="Calibri" w:eastAsia="Arial" w:hAnsi="Calibri" w:cs="Arial"/>
                <w:szCs w:val="20"/>
              </w:rPr>
            </w:pPr>
            <w:r w:rsidRPr="00D45B79">
              <w:t xml:space="preserve">According to Lithuanian </w:t>
            </w:r>
            <w:r w:rsidRPr="00D45B79">
              <w:rPr>
                <w:bCs w:val="0"/>
              </w:rPr>
              <w:t>legislation,</w:t>
            </w:r>
            <w:r w:rsidRPr="00D45B79">
              <w:t xml:space="preserve"> ke</w:t>
            </w:r>
            <w:r>
              <w:t>y</w:t>
            </w:r>
            <w:r w:rsidRPr="00D45B79">
              <w:rPr>
                <w:bCs w:val="0"/>
              </w:rPr>
              <w:t xml:space="preserve"> </w:t>
            </w:r>
            <w:r w:rsidRPr="00D45B79">
              <w:t>function holders (except for internal auditor) do not need</w:t>
            </w:r>
            <w:r>
              <w:t xml:space="preserve"> </w:t>
            </w:r>
            <w:r w:rsidRPr="00D45B79">
              <w:t>the permission of supervisory authority to hold the positions of key function holders</w:t>
            </w:r>
            <w:r>
              <w:t>.</w:t>
            </w:r>
          </w:p>
        </w:tc>
      </w:tr>
      <w:tr w:rsidR="00713F48" w:rsidRPr="00A2678D" w14:paraId="2FCADC20" w14:textId="77777777" w:rsidTr="00BF3540">
        <w:tc>
          <w:tcPr>
            <w:tcW w:w="993" w:type="dxa"/>
            <w:gridSpan w:val="2"/>
            <w:vMerge/>
            <w:tcBorders>
              <w:left w:val="single" w:sz="4" w:space="0" w:color="auto"/>
              <w:bottom w:val="single" w:sz="4" w:space="0" w:color="auto"/>
              <w:right w:val="single" w:sz="4" w:space="0" w:color="auto"/>
            </w:tcBorders>
          </w:tcPr>
          <w:p w14:paraId="5C54C578" w14:textId="77777777" w:rsidR="00713F48"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3B286BC1"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18BA98D1" w14:textId="180E5772" w:rsidR="00713F48" w:rsidRDefault="00713F48" w:rsidP="00BF3540">
            <w:pPr>
              <w:pStyle w:val="Tabledata"/>
              <w:jc w:val="left"/>
              <w:rPr>
                <w:rFonts w:cs="Arial"/>
                <w:bCs w:val="0"/>
              </w:rPr>
            </w:pPr>
            <w:r w:rsidRPr="004051D4">
              <w:rPr>
                <w:rFonts w:cs="Arial"/>
                <w:bCs w:val="0"/>
              </w:rPr>
              <w:t>Bank of</w:t>
            </w:r>
            <w:r w:rsidR="004051D4">
              <w:rPr>
                <w:rFonts w:cs="Arial"/>
                <w:bCs w:val="0"/>
              </w:rPr>
              <w:t xml:space="preserve"> </w:t>
            </w:r>
            <w:r w:rsidRPr="004051D4">
              <w:rPr>
                <w:rFonts w:cs="Arial"/>
                <w:bCs w:val="0"/>
              </w:rPr>
              <w:t>Lithuania</w:t>
            </w:r>
          </w:p>
        </w:tc>
        <w:tc>
          <w:tcPr>
            <w:tcW w:w="1134" w:type="dxa"/>
            <w:tcBorders>
              <w:top w:val="single" w:sz="4" w:space="0" w:color="auto"/>
              <w:left w:val="single" w:sz="4" w:space="0" w:color="auto"/>
              <w:bottom w:val="single" w:sz="4" w:space="0" w:color="auto"/>
              <w:right w:val="single" w:sz="4" w:space="0" w:color="auto"/>
            </w:tcBorders>
          </w:tcPr>
          <w:p w14:paraId="49854B43" w14:textId="73796E65"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19A5322B" w14:textId="27DFE8FC" w:rsidR="00713F48" w:rsidRDefault="00713F48" w:rsidP="00BF3540">
            <w:pPr>
              <w:pStyle w:val="Tabledata"/>
              <w:jc w:val="center"/>
              <w:rPr>
                <w:b/>
                <w:color w:val="auto"/>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E388FE3" w14:textId="76A869C6" w:rsidR="002258F3" w:rsidRDefault="00713F48" w:rsidP="00BF3540">
            <w:pPr>
              <w:suppressAutoHyphens/>
              <w:rPr>
                <w:rFonts w:cstheme="minorHAnsi"/>
                <w:color w:val="000000"/>
                <w:sz w:val="20"/>
                <w:lang w:eastAsia="en-GB"/>
              </w:rPr>
            </w:pPr>
            <w:r w:rsidRPr="00713F48">
              <w:rPr>
                <w:rFonts w:cstheme="minorHAnsi"/>
                <w:color w:val="000000"/>
                <w:sz w:val="20"/>
                <w:lang w:eastAsia="en-GB"/>
              </w:rPr>
              <w:t>Bank of Lithuania will comply with the Guidelines on the assessment of the suitability of members of management body and key function holders except for the provisions relating to suitability assessment of key function holders (except for internal auditor) to be carried out by competent authority (Title VIII, sections 23-24) due to the following reasons:</w:t>
            </w:r>
          </w:p>
          <w:p w14:paraId="71825384" w14:textId="0AB5DEFF" w:rsidR="00713F48" w:rsidRPr="003E0C89" w:rsidRDefault="00713F48" w:rsidP="00BF3540">
            <w:pPr>
              <w:suppressAutoHyphens/>
            </w:pPr>
            <w:r w:rsidRPr="00713F48">
              <w:rPr>
                <w:rFonts w:cstheme="minorHAnsi"/>
                <w:color w:val="000000"/>
                <w:sz w:val="20"/>
                <w:lang w:eastAsia="en-GB"/>
              </w:rPr>
              <w:t>1) Key function holders are not considered to be the managers of a credit institution according to CRD IV; 2) the Bank of Lithuania would prefer to leave the assessment of key function holders within the competence of a supervised entity as a credit institutions, with the managers approved by competent authority, are</w:t>
            </w:r>
            <w:r w:rsidRPr="00713F48">
              <w:rPr>
                <w:rFonts w:cstheme="minorHAnsi"/>
              </w:rPr>
              <w:t xml:space="preserve"> </w:t>
            </w:r>
            <w:r w:rsidRPr="00713F48">
              <w:rPr>
                <w:rFonts w:cstheme="minorHAnsi"/>
                <w:color w:val="000000"/>
                <w:sz w:val="20"/>
                <w:lang w:eastAsia="en-GB"/>
              </w:rPr>
              <w:t>considered to be competent enough to carry out the assessment of key function holders themselves; 3) the assessment of key function holders, carried out by competent authority would increase administrative burden to both supervised entity and competent authority.</w:t>
            </w:r>
          </w:p>
        </w:tc>
      </w:tr>
      <w:tr w:rsidR="00713F48" w:rsidRPr="00A2678D" w14:paraId="03C10D4B" w14:textId="77777777" w:rsidTr="00BF3540">
        <w:tc>
          <w:tcPr>
            <w:tcW w:w="993" w:type="dxa"/>
            <w:gridSpan w:val="2"/>
            <w:vMerge w:val="restart"/>
            <w:tcBorders>
              <w:top w:val="single" w:sz="4" w:space="0" w:color="auto"/>
              <w:left w:val="single" w:sz="4" w:space="0" w:color="auto"/>
              <w:right w:val="single" w:sz="4" w:space="0" w:color="auto"/>
            </w:tcBorders>
          </w:tcPr>
          <w:p w14:paraId="21DEE228" w14:textId="77777777" w:rsidR="00713F48" w:rsidRPr="00DD00A2" w:rsidRDefault="00713F48" w:rsidP="00BF3540">
            <w:pPr>
              <w:pStyle w:val="Tabledata"/>
              <w:jc w:val="center"/>
              <w:rPr>
                <w:szCs w:val="20"/>
              </w:rPr>
            </w:pPr>
            <w:r>
              <w:t>LU</w:t>
            </w:r>
          </w:p>
        </w:tc>
        <w:tc>
          <w:tcPr>
            <w:tcW w:w="1418" w:type="dxa"/>
            <w:gridSpan w:val="2"/>
            <w:vMerge w:val="restart"/>
            <w:tcBorders>
              <w:top w:val="single" w:sz="4" w:space="0" w:color="auto"/>
              <w:left w:val="single" w:sz="4" w:space="0" w:color="auto"/>
              <w:right w:val="single" w:sz="4" w:space="0" w:color="auto"/>
            </w:tcBorders>
          </w:tcPr>
          <w:p w14:paraId="7E96D598" w14:textId="77777777" w:rsidR="00713F48" w:rsidRPr="00DD00A2" w:rsidRDefault="00713F48" w:rsidP="00BF3540">
            <w:pPr>
              <w:pStyle w:val="Tabledata"/>
              <w:jc w:val="center"/>
              <w:rPr>
                <w:szCs w:val="20"/>
              </w:rPr>
            </w:pPr>
            <w:r w:rsidRPr="00CD3A8C">
              <w:t>Luxembourg</w:t>
            </w:r>
          </w:p>
        </w:tc>
        <w:tc>
          <w:tcPr>
            <w:tcW w:w="1559" w:type="dxa"/>
            <w:tcBorders>
              <w:top w:val="single" w:sz="4" w:space="0" w:color="auto"/>
              <w:left w:val="single" w:sz="4" w:space="0" w:color="auto"/>
              <w:bottom w:val="single" w:sz="4" w:space="0" w:color="auto"/>
              <w:right w:val="single" w:sz="4" w:space="0" w:color="auto"/>
            </w:tcBorders>
          </w:tcPr>
          <w:p w14:paraId="7B8D29D7" w14:textId="77777777" w:rsidR="00713F48" w:rsidRPr="00A90C64" w:rsidRDefault="00713F48" w:rsidP="00BF3540">
            <w:pPr>
              <w:pStyle w:val="Tabledata"/>
              <w:jc w:val="left"/>
              <w:rPr>
                <w:szCs w:val="20"/>
                <w:lang w:val="fr-FR"/>
              </w:rPr>
            </w:pPr>
            <w:r w:rsidRPr="00A90C64">
              <w:rPr>
                <w:rFonts w:cs="Arial"/>
                <w:bCs w:val="0"/>
                <w:lang w:val="fr-FR"/>
              </w:rPr>
              <w:t>Commission de Surveillance du Secteur Financier (CSSF)</w:t>
            </w:r>
          </w:p>
        </w:tc>
        <w:tc>
          <w:tcPr>
            <w:tcW w:w="1134" w:type="dxa"/>
            <w:tcBorders>
              <w:top w:val="single" w:sz="4" w:space="0" w:color="auto"/>
              <w:left w:val="single" w:sz="4" w:space="0" w:color="auto"/>
              <w:bottom w:val="single" w:sz="4" w:space="0" w:color="auto"/>
              <w:right w:val="single" w:sz="4" w:space="0" w:color="auto"/>
            </w:tcBorders>
          </w:tcPr>
          <w:p w14:paraId="7B770190" w14:textId="533FA752"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18B2699" w14:textId="31AAC4EA" w:rsidR="00713F48" w:rsidRPr="00180E1B" w:rsidRDefault="00713F48" w:rsidP="00BF3540">
            <w:pPr>
              <w:pStyle w:val="Tabledata"/>
              <w:ind w:left="284"/>
              <w:jc w:val="left"/>
              <w:rPr>
                <w:b/>
                <w:szCs w:val="20"/>
              </w:rPr>
            </w:pPr>
            <w:r>
              <w:rPr>
                <w:b/>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1106854" w14:textId="0F2B30C2" w:rsidR="00713F48" w:rsidRDefault="00713F48" w:rsidP="00BF3540">
            <w:pPr>
              <w:autoSpaceDE w:val="0"/>
              <w:autoSpaceDN w:val="0"/>
              <w:adjustRightInd w:val="0"/>
            </w:pPr>
            <w:r w:rsidRPr="00DE1FEF">
              <w:rPr>
                <w:rFonts w:eastAsia="Times New Roman" w:cstheme="minorHAnsi"/>
                <w:bCs/>
                <w:color w:val="000000"/>
                <w:sz w:val="20"/>
                <w:lang w:eastAsia="en-GB"/>
              </w:rPr>
              <w:t xml:space="preserve">By such time as </w:t>
            </w:r>
            <w:r w:rsidR="00C07BC8">
              <w:rPr>
                <w:rFonts w:eastAsia="Times New Roman" w:cstheme="minorHAnsi"/>
                <w:bCs/>
                <w:color w:val="000000"/>
                <w:sz w:val="20"/>
                <w:lang w:eastAsia="en-GB"/>
              </w:rPr>
              <w:t xml:space="preserve">the </w:t>
            </w:r>
            <w:r w:rsidRPr="00DE1FEF">
              <w:rPr>
                <w:rFonts w:eastAsia="Times New Roman" w:cstheme="minorHAnsi"/>
                <w:bCs/>
                <w:color w:val="000000"/>
                <w:sz w:val="20"/>
                <w:lang w:eastAsia="en-GB"/>
              </w:rPr>
              <w:t>necessary legislative or regulatory proceedings have been completed.</w:t>
            </w:r>
            <w:r>
              <w:t xml:space="preserve"> </w:t>
            </w:r>
          </w:p>
          <w:p w14:paraId="0254A16A" w14:textId="776BBEC3" w:rsidR="00713F48" w:rsidRPr="00180E1B" w:rsidRDefault="00713F48" w:rsidP="00BF3540">
            <w:pPr>
              <w:autoSpaceDE w:val="0"/>
              <w:autoSpaceDN w:val="0"/>
              <w:adjustRightInd w:val="0"/>
            </w:pPr>
            <w:r w:rsidRPr="00DE1FEF">
              <w:rPr>
                <w:rFonts w:eastAsia="Times New Roman" w:cstheme="minorHAnsi"/>
                <w:bCs/>
                <w:color w:val="000000"/>
                <w:sz w:val="20"/>
                <w:lang w:eastAsia="en-GB"/>
              </w:rPr>
              <w:t>The regulatory proceedings including the elements covered by the Guidelines are currently under review and update.</w:t>
            </w:r>
            <w:r>
              <w:t xml:space="preserve"> </w:t>
            </w:r>
          </w:p>
        </w:tc>
      </w:tr>
      <w:tr w:rsidR="00713F48" w:rsidRPr="00A2678D" w14:paraId="7536381B" w14:textId="77777777" w:rsidTr="00BF3540">
        <w:tc>
          <w:tcPr>
            <w:tcW w:w="993" w:type="dxa"/>
            <w:gridSpan w:val="2"/>
            <w:vMerge/>
            <w:tcBorders>
              <w:left w:val="single" w:sz="4" w:space="0" w:color="auto"/>
              <w:bottom w:val="single" w:sz="4" w:space="0" w:color="auto"/>
              <w:right w:val="single" w:sz="4" w:space="0" w:color="auto"/>
            </w:tcBorders>
          </w:tcPr>
          <w:p w14:paraId="0776DF95" w14:textId="77777777" w:rsidR="00713F48"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766BFE2A"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28028373" w14:textId="25288CB1" w:rsidR="00713F48" w:rsidRPr="00A90C64" w:rsidRDefault="00713F48" w:rsidP="00BF3540">
            <w:pPr>
              <w:pStyle w:val="Tabledata"/>
              <w:jc w:val="left"/>
              <w:rPr>
                <w:rFonts w:cs="Arial"/>
                <w:bCs w:val="0"/>
                <w:lang w:val="fr-FR"/>
              </w:rPr>
            </w:pPr>
            <w:r w:rsidRPr="00A90C64">
              <w:rPr>
                <w:rFonts w:cs="Arial"/>
                <w:bCs w:val="0"/>
                <w:lang w:val="fr-FR"/>
              </w:rPr>
              <w:t>Commission de Surveillance du Secteur Financier (CSSF)</w:t>
            </w:r>
          </w:p>
        </w:tc>
        <w:tc>
          <w:tcPr>
            <w:tcW w:w="1134" w:type="dxa"/>
            <w:tcBorders>
              <w:top w:val="single" w:sz="4" w:space="0" w:color="auto"/>
              <w:left w:val="single" w:sz="4" w:space="0" w:color="auto"/>
              <w:bottom w:val="single" w:sz="4" w:space="0" w:color="auto"/>
              <w:right w:val="single" w:sz="4" w:space="0" w:color="auto"/>
            </w:tcBorders>
          </w:tcPr>
          <w:p w14:paraId="0379A5BA" w14:textId="70A5B31E"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CD786F7" w14:textId="1ADAB821" w:rsidR="00713F48" w:rsidRDefault="00713F48" w:rsidP="00BF3540">
            <w:pPr>
              <w:pStyle w:val="Tabledata"/>
              <w:ind w:left="284"/>
              <w:jc w:val="left"/>
              <w:rPr>
                <w:b/>
                <w:szCs w:val="20"/>
              </w:rPr>
            </w:pPr>
            <w:r>
              <w:rPr>
                <w:b/>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9A03B46" w14:textId="04CF9B00" w:rsidR="00713F48" w:rsidRPr="00713F48" w:rsidRDefault="008111B3" w:rsidP="00BF3540">
            <w:pPr>
              <w:suppressAutoHyphens/>
              <w:rPr>
                <w:rFonts w:eastAsia="Times New Roman" w:cstheme="minorHAnsi"/>
                <w:bCs/>
                <w:color w:val="000000"/>
                <w:sz w:val="20"/>
                <w:lang w:eastAsia="en-GB"/>
              </w:rPr>
            </w:pPr>
            <w:r>
              <w:rPr>
                <w:rFonts w:eastAsia="Times New Roman" w:cstheme="minorHAnsi"/>
                <w:bCs/>
                <w:color w:val="000000"/>
                <w:sz w:val="20"/>
                <w:lang w:eastAsia="en-GB"/>
              </w:rPr>
              <w:t>B</w:t>
            </w:r>
            <w:r w:rsidR="00713F48" w:rsidRPr="00713F48">
              <w:rPr>
                <w:rFonts w:eastAsia="Times New Roman" w:cstheme="minorHAnsi"/>
                <w:bCs/>
                <w:color w:val="000000"/>
                <w:sz w:val="20"/>
                <w:lang w:eastAsia="en-GB"/>
              </w:rPr>
              <w:t xml:space="preserve">y such time </w:t>
            </w:r>
            <w:r w:rsidR="00C07BC8">
              <w:rPr>
                <w:rFonts w:eastAsia="Times New Roman" w:cstheme="minorHAnsi"/>
                <w:bCs/>
                <w:color w:val="000000"/>
                <w:sz w:val="20"/>
                <w:lang w:eastAsia="en-GB"/>
              </w:rPr>
              <w:t xml:space="preserve">as </w:t>
            </w:r>
            <w:r w:rsidR="00713F48" w:rsidRPr="00713F48">
              <w:rPr>
                <w:rFonts w:eastAsia="Times New Roman" w:cstheme="minorHAnsi"/>
                <w:bCs/>
                <w:color w:val="000000"/>
                <w:sz w:val="20"/>
                <w:lang w:eastAsia="en-GB"/>
              </w:rPr>
              <w:t>the necessary legislative or regulatory proceedings have been completed.</w:t>
            </w:r>
          </w:p>
          <w:p w14:paraId="2361ACFD" w14:textId="6413096F" w:rsidR="00713F48" w:rsidRPr="00DE1FEF" w:rsidRDefault="00713F48" w:rsidP="00BF3540">
            <w:pPr>
              <w:autoSpaceDE w:val="0"/>
              <w:autoSpaceDN w:val="0"/>
              <w:adjustRightInd w:val="0"/>
              <w:rPr>
                <w:rFonts w:eastAsia="Times New Roman" w:cstheme="minorHAnsi"/>
                <w:bCs/>
                <w:color w:val="000000"/>
                <w:sz w:val="20"/>
                <w:lang w:eastAsia="en-GB"/>
              </w:rPr>
            </w:pPr>
            <w:r w:rsidRPr="00713F48">
              <w:rPr>
                <w:rFonts w:eastAsia="Times New Roman" w:cstheme="minorHAnsi"/>
                <w:bCs/>
                <w:color w:val="000000"/>
                <w:sz w:val="20"/>
                <w:lang w:eastAsia="en-GB"/>
              </w:rPr>
              <w:t>The regulatory proceeding including the elements covered by the Guidelines are currently under review and update</w:t>
            </w:r>
            <w:r w:rsidR="00AC1ED0">
              <w:rPr>
                <w:rFonts w:eastAsia="Times New Roman" w:cstheme="minorHAnsi"/>
                <w:bCs/>
                <w:color w:val="000000"/>
                <w:sz w:val="20"/>
                <w:lang w:eastAsia="en-GB"/>
              </w:rPr>
              <w:t xml:space="preserve"> (est. end 2018)</w:t>
            </w:r>
            <w:r w:rsidRPr="00713F48">
              <w:rPr>
                <w:rFonts w:eastAsia="Times New Roman" w:cstheme="minorHAnsi"/>
                <w:bCs/>
                <w:color w:val="000000"/>
                <w:sz w:val="20"/>
                <w:lang w:eastAsia="en-GB"/>
              </w:rPr>
              <w:t>.</w:t>
            </w:r>
          </w:p>
        </w:tc>
      </w:tr>
      <w:tr w:rsidR="00713F48" w:rsidRPr="00A2678D" w14:paraId="6E56BC6F" w14:textId="77777777" w:rsidTr="00BF3540">
        <w:tc>
          <w:tcPr>
            <w:tcW w:w="993" w:type="dxa"/>
            <w:gridSpan w:val="2"/>
            <w:vMerge w:val="restart"/>
            <w:tcBorders>
              <w:top w:val="single" w:sz="4" w:space="0" w:color="auto"/>
              <w:left w:val="single" w:sz="4" w:space="0" w:color="auto"/>
              <w:right w:val="single" w:sz="4" w:space="0" w:color="auto"/>
            </w:tcBorders>
          </w:tcPr>
          <w:p w14:paraId="2027A90D" w14:textId="77777777" w:rsidR="00713F48" w:rsidRPr="00DD00A2" w:rsidRDefault="00713F48" w:rsidP="00BF3540">
            <w:pPr>
              <w:pStyle w:val="Tabledata"/>
              <w:jc w:val="center"/>
              <w:rPr>
                <w:szCs w:val="20"/>
              </w:rPr>
            </w:pPr>
            <w:r>
              <w:t>HU</w:t>
            </w:r>
          </w:p>
        </w:tc>
        <w:tc>
          <w:tcPr>
            <w:tcW w:w="1418" w:type="dxa"/>
            <w:gridSpan w:val="2"/>
            <w:vMerge w:val="restart"/>
            <w:tcBorders>
              <w:top w:val="single" w:sz="4" w:space="0" w:color="auto"/>
              <w:left w:val="single" w:sz="4" w:space="0" w:color="auto"/>
              <w:right w:val="single" w:sz="4" w:space="0" w:color="auto"/>
            </w:tcBorders>
          </w:tcPr>
          <w:p w14:paraId="2C8D280A" w14:textId="77777777" w:rsidR="00713F48" w:rsidRPr="00DD00A2" w:rsidRDefault="00713F48" w:rsidP="00BF3540">
            <w:pPr>
              <w:pStyle w:val="Tabledata"/>
              <w:jc w:val="center"/>
              <w:rPr>
                <w:szCs w:val="20"/>
              </w:rPr>
            </w:pPr>
            <w:r w:rsidRPr="00CD3A8C">
              <w:t>Hungary</w:t>
            </w:r>
          </w:p>
        </w:tc>
        <w:tc>
          <w:tcPr>
            <w:tcW w:w="1559" w:type="dxa"/>
            <w:tcBorders>
              <w:top w:val="single" w:sz="4" w:space="0" w:color="auto"/>
              <w:left w:val="single" w:sz="4" w:space="0" w:color="auto"/>
              <w:bottom w:val="single" w:sz="4" w:space="0" w:color="auto"/>
              <w:right w:val="single" w:sz="4" w:space="0" w:color="auto"/>
            </w:tcBorders>
          </w:tcPr>
          <w:p w14:paraId="3E45C76F" w14:textId="269A6E83" w:rsidR="00713F48" w:rsidRPr="00DD00A2" w:rsidRDefault="00A90C64" w:rsidP="00BF3540">
            <w:pPr>
              <w:pStyle w:val="Tabledata"/>
              <w:jc w:val="left"/>
              <w:rPr>
                <w:szCs w:val="20"/>
              </w:rPr>
            </w:pPr>
            <w:r w:rsidRPr="00A90C64">
              <w:rPr>
                <w:rFonts w:cs="Arial"/>
                <w:bCs w:val="0"/>
              </w:rPr>
              <w:t xml:space="preserve">Magyar </w:t>
            </w:r>
            <w:proofErr w:type="spellStart"/>
            <w:r w:rsidRPr="00A90C64">
              <w:rPr>
                <w:rFonts w:cs="Arial"/>
                <w:bCs w:val="0"/>
              </w:rPr>
              <w:t>Nemzeti</w:t>
            </w:r>
            <w:proofErr w:type="spellEnd"/>
            <w:r w:rsidRPr="00A90C64">
              <w:rPr>
                <w:rFonts w:cs="Arial"/>
                <w:bCs w:val="0"/>
              </w:rPr>
              <w:t xml:space="preserve"> Bank (National Bank of Hungary</w:t>
            </w:r>
            <w:r>
              <w:rPr>
                <w:rFonts w:cs="Arial"/>
                <w:bCs w:val="0"/>
              </w:rPr>
              <w:t>, MNB</w:t>
            </w:r>
            <w:r w:rsidRPr="00A90C64">
              <w:rPr>
                <w:rFonts w:cs="Arial"/>
                <w:bCs w:val="0"/>
              </w:rPr>
              <w:t>)</w:t>
            </w:r>
          </w:p>
        </w:tc>
        <w:tc>
          <w:tcPr>
            <w:tcW w:w="1134" w:type="dxa"/>
            <w:tcBorders>
              <w:top w:val="single" w:sz="4" w:space="0" w:color="auto"/>
              <w:left w:val="single" w:sz="4" w:space="0" w:color="auto"/>
              <w:bottom w:val="single" w:sz="4" w:space="0" w:color="auto"/>
              <w:right w:val="single" w:sz="4" w:space="0" w:color="auto"/>
            </w:tcBorders>
          </w:tcPr>
          <w:p w14:paraId="20938C35" w14:textId="0D8E50FD" w:rsidR="00713F48" w:rsidRPr="00180E1B" w:rsidRDefault="00713F48" w:rsidP="00BF3540">
            <w:pPr>
              <w:pStyle w:val="Tabledata"/>
              <w:jc w:val="center"/>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600CD93" w14:textId="25919FEC" w:rsidR="00713F48" w:rsidRPr="00180E1B" w:rsidRDefault="00713F48"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7DB2CE9" w14:textId="5EB0F986" w:rsidR="00713F48" w:rsidRPr="00180E1B" w:rsidRDefault="00713F48" w:rsidP="00BF3540">
            <w:pPr>
              <w:pStyle w:val="Tabledata"/>
              <w:jc w:val="left"/>
            </w:pPr>
            <w:r>
              <w:t xml:space="preserve">By 30.06.2018. </w:t>
            </w:r>
          </w:p>
        </w:tc>
      </w:tr>
      <w:tr w:rsidR="00713F48" w:rsidRPr="00A2678D" w14:paraId="4BA84D97" w14:textId="77777777" w:rsidTr="00BF3540">
        <w:tc>
          <w:tcPr>
            <w:tcW w:w="993" w:type="dxa"/>
            <w:gridSpan w:val="2"/>
            <w:vMerge/>
            <w:tcBorders>
              <w:left w:val="single" w:sz="4" w:space="0" w:color="auto"/>
              <w:bottom w:val="single" w:sz="4" w:space="0" w:color="auto"/>
              <w:right w:val="single" w:sz="4" w:space="0" w:color="auto"/>
            </w:tcBorders>
          </w:tcPr>
          <w:p w14:paraId="7B0AD024" w14:textId="77777777" w:rsidR="00713F48"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68E000AB"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7486893E" w14:textId="04D4A7D7" w:rsidR="00713F48" w:rsidRDefault="00713F48" w:rsidP="00BF3540">
            <w:pPr>
              <w:pStyle w:val="Tabledata"/>
              <w:jc w:val="left"/>
              <w:rPr>
                <w:rFonts w:cs="Arial"/>
                <w:bCs w:val="0"/>
              </w:rPr>
            </w:pPr>
            <w:r w:rsidRPr="003B0569">
              <w:rPr>
                <w:rFonts w:cs="Arial"/>
                <w:bCs w:val="0"/>
              </w:rPr>
              <w:t xml:space="preserve">Magyar </w:t>
            </w:r>
            <w:proofErr w:type="spellStart"/>
            <w:r w:rsidRPr="003B0569">
              <w:rPr>
                <w:rFonts w:cs="Arial"/>
                <w:bCs w:val="0"/>
              </w:rPr>
              <w:t>Nemzeti</w:t>
            </w:r>
            <w:proofErr w:type="spellEnd"/>
            <w:r w:rsidRPr="003B0569">
              <w:rPr>
                <w:rFonts w:cs="Arial"/>
                <w:bCs w:val="0"/>
              </w:rPr>
              <w:t xml:space="preserve"> Bank (</w:t>
            </w:r>
            <w:r w:rsidR="00A90C64" w:rsidRPr="00A90C64">
              <w:rPr>
                <w:rFonts w:cs="Arial"/>
                <w:bCs w:val="0"/>
              </w:rPr>
              <w:t>National Bank of Hungary</w:t>
            </w:r>
            <w:r w:rsidR="00A90C64">
              <w:rPr>
                <w:rFonts w:cs="Arial"/>
                <w:bCs w:val="0"/>
              </w:rPr>
              <w:t xml:space="preserve">, </w:t>
            </w:r>
            <w:r w:rsidRPr="003B0569">
              <w:rPr>
                <w:rFonts w:cs="Arial"/>
                <w:bCs w:val="0"/>
              </w:rPr>
              <w:t>MNB)</w:t>
            </w:r>
          </w:p>
        </w:tc>
        <w:tc>
          <w:tcPr>
            <w:tcW w:w="1134" w:type="dxa"/>
            <w:tcBorders>
              <w:top w:val="single" w:sz="4" w:space="0" w:color="auto"/>
              <w:left w:val="single" w:sz="4" w:space="0" w:color="auto"/>
              <w:bottom w:val="single" w:sz="4" w:space="0" w:color="auto"/>
              <w:right w:val="single" w:sz="4" w:space="0" w:color="auto"/>
            </w:tcBorders>
          </w:tcPr>
          <w:p w14:paraId="684C09A8" w14:textId="6152FA4D"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81B4EDE" w14:textId="4F3AA7A2" w:rsidR="00713F48" w:rsidRDefault="00713F48"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AAD7682" w14:textId="27C5B2A2" w:rsidR="00713F48" w:rsidRDefault="00713F48" w:rsidP="00BF3540">
            <w:pPr>
              <w:suppressAutoHyphens/>
            </w:pPr>
            <w:r w:rsidRPr="00713F48">
              <w:rPr>
                <w:rFonts w:eastAsia="Times New Roman" w:cstheme="minorHAnsi"/>
                <w:bCs/>
                <w:color w:val="000000"/>
                <w:sz w:val="20"/>
                <w:lang w:eastAsia="en-GB"/>
              </w:rPr>
              <w:t>By 3</w:t>
            </w:r>
            <w:r w:rsidR="00EE3C9F">
              <w:rPr>
                <w:rFonts w:eastAsia="Times New Roman" w:cstheme="minorHAnsi"/>
                <w:bCs/>
                <w:color w:val="000000"/>
                <w:sz w:val="20"/>
                <w:lang w:eastAsia="en-GB"/>
              </w:rPr>
              <w:t>1.12</w:t>
            </w:r>
            <w:r w:rsidRPr="00713F48">
              <w:rPr>
                <w:rFonts w:eastAsia="Times New Roman" w:cstheme="minorHAnsi"/>
                <w:bCs/>
                <w:color w:val="000000"/>
                <w:sz w:val="20"/>
                <w:lang w:eastAsia="en-GB"/>
              </w:rPr>
              <w:t>.2018.</w:t>
            </w:r>
            <w:r>
              <w:rPr>
                <w:rFonts w:ascii="Arial" w:hAnsi="Arial" w:cs="Arial"/>
                <w:color w:val="000000"/>
                <w:sz w:val="20"/>
                <w:szCs w:val="20"/>
                <w:lang w:eastAsia="en-GB"/>
              </w:rPr>
              <w:t xml:space="preserve"> </w:t>
            </w:r>
            <w:r w:rsidRPr="007F5021">
              <w:rPr>
                <w:rFonts w:ascii="Arial" w:hAnsi="Arial" w:cs="Arial"/>
                <w:color w:val="000000"/>
                <w:sz w:val="20"/>
                <w:szCs w:val="20"/>
                <w:highlight w:val="yellow"/>
                <w:lang w:eastAsia="en-GB"/>
              </w:rPr>
              <w:t xml:space="preserve"> </w:t>
            </w:r>
          </w:p>
        </w:tc>
      </w:tr>
      <w:tr w:rsidR="008C40E7" w:rsidRPr="00A2678D" w14:paraId="5F8D1611" w14:textId="77777777" w:rsidTr="00BF3540">
        <w:tc>
          <w:tcPr>
            <w:tcW w:w="993" w:type="dxa"/>
            <w:gridSpan w:val="2"/>
            <w:vMerge w:val="restart"/>
            <w:tcBorders>
              <w:top w:val="single" w:sz="4" w:space="0" w:color="auto"/>
              <w:left w:val="single" w:sz="4" w:space="0" w:color="auto"/>
              <w:right w:val="single" w:sz="4" w:space="0" w:color="auto"/>
            </w:tcBorders>
          </w:tcPr>
          <w:p w14:paraId="78003825" w14:textId="5CFA7FE3" w:rsidR="008C40E7" w:rsidRPr="00CD3A8C" w:rsidRDefault="008C40E7" w:rsidP="00BF3540">
            <w:pPr>
              <w:pStyle w:val="Tabledata"/>
              <w:jc w:val="center"/>
            </w:pPr>
            <w:r w:rsidRPr="00CD3A8C">
              <w:t>MT</w:t>
            </w:r>
          </w:p>
        </w:tc>
        <w:tc>
          <w:tcPr>
            <w:tcW w:w="1418" w:type="dxa"/>
            <w:gridSpan w:val="2"/>
            <w:vMerge w:val="restart"/>
            <w:tcBorders>
              <w:top w:val="single" w:sz="4" w:space="0" w:color="auto"/>
              <w:left w:val="single" w:sz="4" w:space="0" w:color="auto"/>
              <w:right w:val="single" w:sz="4" w:space="0" w:color="auto"/>
            </w:tcBorders>
          </w:tcPr>
          <w:p w14:paraId="3B76CBAB" w14:textId="0F576093" w:rsidR="008C40E7" w:rsidRPr="00CD3A8C" w:rsidRDefault="008C40E7" w:rsidP="00BF3540">
            <w:pPr>
              <w:pStyle w:val="Tabledata"/>
              <w:jc w:val="center"/>
            </w:pPr>
            <w:r w:rsidRPr="00CD3A8C">
              <w:t>Malta</w:t>
            </w:r>
          </w:p>
        </w:tc>
        <w:tc>
          <w:tcPr>
            <w:tcW w:w="1559" w:type="dxa"/>
            <w:tcBorders>
              <w:top w:val="single" w:sz="4" w:space="0" w:color="auto"/>
              <w:left w:val="single" w:sz="4" w:space="0" w:color="auto"/>
              <w:bottom w:val="single" w:sz="4" w:space="0" w:color="auto"/>
              <w:right w:val="single" w:sz="4" w:space="0" w:color="auto"/>
            </w:tcBorders>
          </w:tcPr>
          <w:p w14:paraId="57702C12" w14:textId="0CB7AE38" w:rsidR="008C40E7" w:rsidRDefault="008C40E7" w:rsidP="00BF3540">
            <w:pPr>
              <w:pStyle w:val="Tabledata"/>
              <w:jc w:val="left"/>
              <w:rPr>
                <w:rFonts w:cs="Arial"/>
                <w:bCs w:val="0"/>
              </w:rPr>
            </w:pPr>
            <w:r>
              <w:rPr>
                <w:rFonts w:cs="Arial"/>
                <w:bCs w:val="0"/>
              </w:rPr>
              <w:t>MFSA</w:t>
            </w:r>
          </w:p>
        </w:tc>
        <w:tc>
          <w:tcPr>
            <w:tcW w:w="1134" w:type="dxa"/>
            <w:tcBorders>
              <w:top w:val="single" w:sz="4" w:space="0" w:color="auto"/>
              <w:left w:val="single" w:sz="4" w:space="0" w:color="auto"/>
              <w:bottom w:val="single" w:sz="4" w:space="0" w:color="auto"/>
              <w:right w:val="single" w:sz="4" w:space="0" w:color="auto"/>
            </w:tcBorders>
          </w:tcPr>
          <w:p w14:paraId="05579D49" w14:textId="781E5228" w:rsidR="008C40E7"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D39BED5" w14:textId="6739C074" w:rsidR="008C40E7" w:rsidRDefault="008C40E7"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5AA587" w14:textId="4E216BD8" w:rsidR="008C40E7" w:rsidRDefault="008C40E7" w:rsidP="00BF3540">
            <w:pPr>
              <w:pStyle w:val="Tabledata"/>
              <w:jc w:val="left"/>
              <w:rPr>
                <w:szCs w:val="20"/>
              </w:rPr>
            </w:pPr>
            <w:r>
              <w:rPr>
                <w:szCs w:val="20"/>
              </w:rPr>
              <w:t xml:space="preserve">By their application date. </w:t>
            </w:r>
            <w:r w:rsidRPr="00093605">
              <w:rPr>
                <w:szCs w:val="20"/>
              </w:rPr>
              <w:t>The Current Banking Rules already reflect the EBA Guidelines on Internal Governance (GL44) as well as the EBA Guidelines on the Assessment of the Suitability of Members of the Management Body and Key Function Holders issued in 2012 (EBA/GL/2012/06). The Current Banking Rules will now be reviewed and, where necessary, amended so as to reflect the Joint ESMA and EBA Guidelines on the assessment of the suitability of members of the management body and key function holders under Directive 2013/36/EU and Directive 2014/65/EU (EBA/GL/2017/12).</w:t>
            </w:r>
          </w:p>
        </w:tc>
      </w:tr>
      <w:tr w:rsidR="008C40E7" w:rsidRPr="00A2678D" w14:paraId="48BC0C04" w14:textId="77777777" w:rsidTr="00BF3540">
        <w:tc>
          <w:tcPr>
            <w:tcW w:w="993" w:type="dxa"/>
            <w:gridSpan w:val="2"/>
            <w:vMerge/>
            <w:tcBorders>
              <w:left w:val="single" w:sz="4" w:space="0" w:color="auto"/>
              <w:bottom w:val="single" w:sz="4" w:space="0" w:color="auto"/>
              <w:right w:val="single" w:sz="4" w:space="0" w:color="auto"/>
            </w:tcBorders>
          </w:tcPr>
          <w:p w14:paraId="1087EDB5" w14:textId="3113BB05" w:rsidR="008C40E7" w:rsidRPr="00DD00A2" w:rsidRDefault="008C40E7" w:rsidP="00BF3540">
            <w:pPr>
              <w:pStyle w:val="Tabledata"/>
              <w:jc w:val="center"/>
              <w:rPr>
                <w:szCs w:val="20"/>
              </w:rPr>
            </w:pPr>
          </w:p>
        </w:tc>
        <w:tc>
          <w:tcPr>
            <w:tcW w:w="1418" w:type="dxa"/>
            <w:gridSpan w:val="2"/>
            <w:vMerge/>
            <w:tcBorders>
              <w:left w:val="single" w:sz="4" w:space="0" w:color="auto"/>
              <w:bottom w:val="single" w:sz="4" w:space="0" w:color="auto"/>
              <w:right w:val="single" w:sz="4" w:space="0" w:color="auto"/>
            </w:tcBorders>
          </w:tcPr>
          <w:p w14:paraId="49B6E423" w14:textId="357CC9D2" w:rsidR="008C40E7" w:rsidRPr="00DD00A2" w:rsidRDefault="008C40E7" w:rsidP="00BF3540">
            <w:pPr>
              <w:pStyle w:val="Tabledata"/>
              <w:jc w:val="center"/>
              <w:rPr>
                <w:szCs w:val="20"/>
              </w:rPr>
            </w:pPr>
          </w:p>
        </w:tc>
        <w:tc>
          <w:tcPr>
            <w:tcW w:w="1559" w:type="dxa"/>
            <w:tcBorders>
              <w:top w:val="single" w:sz="4" w:space="0" w:color="auto"/>
              <w:left w:val="single" w:sz="4" w:space="0" w:color="auto"/>
              <w:bottom w:val="single" w:sz="4" w:space="0" w:color="auto"/>
              <w:right w:val="single" w:sz="4" w:space="0" w:color="auto"/>
            </w:tcBorders>
          </w:tcPr>
          <w:p w14:paraId="085AF314" w14:textId="3D38AC81" w:rsidR="008C40E7" w:rsidRPr="00DD00A2" w:rsidRDefault="008C40E7" w:rsidP="00BF3540">
            <w:pPr>
              <w:pStyle w:val="Tabledata"/>
              <w:jc w:val="left"/>
              <w:rPr>
                <w:szCs w:val="20"/>
              </w:rPr>
            </w:pPr>
            <w:r>
              <w:rPr>
                <w:rFonts w:cs="Arial"/>
                <w:bCs w:val="0"/>
              </w:rPr>
              <w:t>MFSA</w:t>
            </w:r>
          </w:p>
        </w:tc>
        <w:tc>
          <w:tcPr>
            <w:tcW w:w="1134" w:type="dxa"/>
            <w:tcBorders>
              <w:top w:val="single" w:sz="4" w:space="0" w:color="auto"/>
              <w:left w:val="single" w:sz="4" w:space="0" w:color="auto"/>
              <w:bottom w:val="single" w:sz="4" w:space="0" w:color="auto"/>
              <w:right w:val="single" w:sz="4" w:space="0" w:color="auto"/>
            </w:tcBorders>
          </w:tcPr>
          <w:p w14:paraId="7A0FA243" w14:textId="5FC76171" w:rsidR="008C40E7" w:rsidRPr="00180E1B" w:rsidRDefault="008C40E7"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42BEA02" w14:textId="79F9639E" w:rsidR="008C40E7" w:rsidRPr="00180E1B"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82C9899" w14:textId="14F0E2A4" w:rsidR="004A1B90" w:rsidRPr="00EA0781" w:rsidRDefault="004A1B90" w:rsidP="00BF3540">
            <w:pPr>
              <w:rPr>
                <w:color w:val="000000"/>
                <w:sz w:val="20"/>
                <w:szCs w:val="20"/>
              </w:rPr>
            </w:pPr>
            <w:r w:rsidRPr="00EA0781">
              <w:rPr>
                <w:color w:val="000000"/>
                <w:sz w:val="20"/>
                <w:szCs w:val="20"/>
              </w:rPr>
              <w:t>By such time as necessary regulatory proceedings have been completed</w:t>
            </w:r>
            <w:r w:rsidR="009D07CD">
              <w:rPr>
                <w:color w:val="000000"/>
                <w:sz w:val="20"/>
                <w:szCs w:val="20"/>
              </w:rPr>
              <w:t xml:space="preserve"> (est. 30.09.2018)</w:t>
            </w:r>
            <w:r w:rsidRPr="00EA0781">
              <w:rPr>
                <w:color w:val="000000"/>
                <w:sz w:val="20"/>
                <w:szCs w:val="20"/>
              </w:rPr>
              <w:t xml:space="preserve">. </w:t>
            </w:r>
          </w:p>
          <w:p w14:paraId="43BD1ADB" w14:textId="7429BAF3" w:rsidR="008C40E7" w:rsidRPr="00180E1B" w:rsidRDefault="008C40E7" w:rsidP="00BF3540">
            <w:pPr>
              <w:pStyle w:val="Tabledata"/>
              <w:spacing w:before="0" w:after="0"/>
              <w:contextualSpacing/>
              <w:jc w:val="left"/>
            </w:pPr>
            <w:r w:rsidRPr="004051D4">
              <w:rPr>
                <w:bCs w:val="0"/>
                <w:szCs w:val="20"/>
              </w:rPr>
              <w:t>Current Sectoral Rules applicable to investment firms already provide for the suitability assessment of the management body as well as key function holders of investment firms at authorisation stage and also on an ongoing basis, when changes are proposed to the composition of the management body and/or key functions.</w:t>
            </w:r>
            <w:r w:rsidR="00713F48">
              <w:rPr>
                <w:bCs w:val="0"/>
                <w:szCs w:val="20"/>
              </w:rPr>
              <w:t xml:space="preserve"> </w:t>
            </w:r>
          </w:p>
        </w:tc>
      </w:tr>
      <w:tr w:rsidR="00713F48" w:rsidRPr="00A2678D" w14:paraId="2490F394" w14:textId="77777777" w:rsidTr="00BF3540">
        <w:tc>
          <w:tcPr>
            <w:tcW w:w="993" w:type="dxa"/>
            <w:gridSpan w:val="2"/>
            <w:vMerge w:val="restart"/>
            <w:tcBorders>
              <w:top w:val="single" w:sz="4" w:space="0" w:color="auto"/>
              <w:left w:val="single" w:sz="4" w:space="0" w:color="auto"/>
              <w:right w:val="single" w:sz="4" w:space="0" w:color="auto"/>
            </w:tcBorders>
          </w:tcPr>
          <w:p w14:paraId="7125C1BA" w14:textId="77777777" w:rsidR="00713F48" w:rsidRPr="00DD00A2" w:rsidRDefault="00713F48" w:rsidP="00BF3540">
            <w:pPr>
              <w:pStyle w:val="Tabledata"/>
              <w:jc w:val="center"/>
              <w:rPr>
                <w:szCs w:val="20"/>
              </w:rPr>
            </w:pPr>
            <w:r w:rsidRPr="00CD3A8C">
              <w:t>NL</w:t>
            </w:r>
          </w:p>
        </w:tc>
        <w:tc>
          <w:tcPr>
            <w:tcW w:w="1418" w:type="dxa"/>
            <w:gridSpan w:val="2"/>
            <w:vMerge w:val="restart"/>
            <w:tcBorders>
              <w:top w:val="single" w:sz="4" w:space="0" w:color="auto"/>
              <w:left w:val="single" w:sz="4" w:space="0" w:color="auto"/>
              <w:right w:val="single" w:sz="4" w:space="0" w:color="auto"/>
            </w:tcBorders>
          </w:tcPr>
          <w:p w14:paraId="5085F953" w14:textId="77777777" w:rsidR="00713F48" w:rsidRPr="00DD00A2" w:rsidRDefault="00713F48" w:rsidP="00BF3540">
            <w:pPr>
              <w:pStyle w:val="Tabledata"/>
              <w:jc w:val="center"/>
              <w:rPr>
                <w:szCs w:val="20"/>
              </w:rPr>
            </w:pPr>
            <w:r w:rsidRPr="00CD3A8C">
              <w:t>Netherlands</w:t>
            </w:r>
          </w:p>
        </w:tc>
        <w:tc>
          <w:tcPr>
            <w:tcW w:w="1559" w:type="dxa"/>
            <w:tcBorders>
              <w:top w:val="single" w:sz="4" w:space="0" w:color="auto"/>
              <w:left w:val="single" w:sz="4" w:space="0" w:color="auto"/>
              <w:bottom w:val="single" w:sz="4" w:space="0" w:color="auto"/>
              <w:right w:val="single" w:sz="4" w:space="0" w:color="auto"/>
            </w:tcBorders>
          </w:tcPr>
          <w:p w14:paraId="3EBACFA0" w14:textId="07A25F95" w:rsidR="00713F48" w:rsidRPr="00DD00A2" w:rsidRDefault="00713F48" w:rsidP="00BF3540">
            <w:pPr>
              <w:pStyle w:val="Tabledata"/>
              <w:jc w:val="left"/>
              <w:rPr>
                <w:szCs w:val="20"/>
              </w:rPr>
            </w:pPr>
            <w:r w:rsidRPr="00B90AA4">
              <w:rPr>
                <w:rFonts w:cs="Arial"/>
                <w:bCs w:val="0"/>
              </w:rPr>
              <w:t xml:space="preserve">De </w:t>
            </w:r>
            <w:proofErr w:type="spellStart"/>
            <w:r w:rsidRPr="00B90AA4">
              <w:rPr>
                <w:rFonts w:cs="Arial"/>
                <w:bCs w:val="0"/>
              </w:rPr>
              <w:t>Nederlandsche</w:t>
            </w:r>
            <w:proofErr w:type="spellEnd"/>
            <w:r w:rsidRPr="00B90AA4">
              <w:rPr>
                <w:rFonts w:cs="Arial"/>
                <w:bCs w:val="0"/>
              </w:rPr>
              <w:t xml:space="preserve"> Bank </w:t>
            </w:r>
          </w:p>
        </w:tc>
        <w:tc>
          <w:tcPr>
            <w:tcW w:w="1134" w:type="dxa"/>
            <w:tcBorders>
              <w:top w:val="single" w:sz="4" w:space="0" w:color="auto"/>
              <w:left w:val="single" w:sz="4" w:space="0" w:color="auto"/>
              <w:bottom w:val="single" w:sz="4" w:space="0" w:color="auto"/>
              <w:right w:val="single" w:sz="4" w:space="0" w:color="auto"/>
            </w:tcBorders>
          </w:tcPr>
          <w:p w14:paraId="1E6088DC" w14:textId="7B397AAD"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FBC0B3D" w14:textId="67242B79" w:rsidR="00713F48" w:rsidRPr="00180E1B" w:rsidRDefault="00713F48"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1A4B146" w14:textId="77777777" w:rsidR="00713F48" w:rsidRPr="00EA0781" w:rsidRDefault="00713F48" w:rsidP="00BF3540">
            <w:pPr>
              <w:rPr>
                <w:color w:val="000000"/>
                <w:sz w:val="20"/>
                <w:szCs w:val="20"/>
              </w:rPr>
            </w:pPr>
            <w:r w:rsidRPr="00EA0781">
              <w:rPr>
                <w:color w:val="000000"/>
                <w:sz w:val="20"/>
                <w:szCs w:val="20"/>
              </w:rPr>
              <w:t xml:space="preserve">By such time as the necessary regulatory proceedings have been completed. </w:t>
            </w:r>
          </w:p>
          <w:p w14:paraId="0C07DC09" w14:textId="5631AEFC" w:rsidR="00713F48" w:rsidRPr="00180E1B" w:rsidRDefault="00713F48" w:rsidP="00BF3540">
            <w:pPr>
              <w:pStyle w:val="Tabledata"/>
              <w:spacing w:before="0" w:after="0"/>
              <w:jc w:val="left"/>
            </w:pPr>
            <w:r w:rsidRPr="00EA0781">
              <w:rPr>
                <w:szCs w:val="20"/>
              </w:rPr>
              <w:t>Regarding the concept of formal independence, the Dutch Corporate Governance Code is not fully in line with the Guidelines on the assessment of the suitability of members of the management body. DNB is currently examining how to address these differences and what the cross sectoral consequences would be. In anticipation of these regulatory proceedings, DNB intends to comply with the Guidelines on the assessment of the suitability of members of the management body.</w:t>
            </w:r>
          </w:p>
        </w:tc>
      </w:tr>
      <w:tr w:rsidR="00713F48" w:rsidRPr="00A2678D" w14:paraId="7346D647" w14:textId="77777777" w:rsidTr="00BF3540">
        <w:tc>
          <w:tcPr>
            <w:tcW w:w="993" w:type="dxa"/>
            <w:gridSpan w:val="2"/>
            <w:vMerge/>
            <w:tcBorders>
              <w:left w:val="single" w:sz="4" w:space="0" w:color="auto"/>
              <w:bottom w:val="single" w:sz="4" w:space="0" w:color="auto"/>
              <w:right w:val="single" w:sz="4" w:space="0" w:color="auto"/>
            </w:tcBorders>
          </w:tcPr>
          <w:p w14:paraId="24F736E2" w14:textId="77777777" w:rsidR="00713F48" w:rsidRPr="00CD3A8C"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3B013F63"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39E99727" w14:textId="5B0494AF" w:rsidR="00713F48" w:rsidRPr="00B90AA4" w:rsidRDefault="00713F48" w:rsidP="00BF3540">
            <w:pPr>
              <w:pStyle w:val="Tabledata"/>
              <w:jc w:val="left"/>
              <w:rPr>
                <w:rFonts w:cs="Arial"/>
                <w:bCs w:val="0"/>
              </w:rPr>
            </w:pPr>
            <w:r w:rsidRPr="00713F48">
              <w:rPr>
                <w:rFonts w:cs="Arial"/>
                <w:bCs w:val="0"/>
              </w:rPr>
              <w:t>Netherlands Authority for the Financial Markets (AFM)</w:t>
            </w:r>
          </w:p>
        </w:tc>
        <w:tc>
          <w:tcPr>
            <w:tcW w:w="1134" w:type="dxa"/>
            <w:tcBorders>
              <w:top w:val="single" w:sz="4" w:space="0" w:color="auto"/>
              <w:left w:val="single" w:sz="4" w:space="0" w:color="auto"/>
              <w:bottom w:val="single" w:sz="4" w:space="0" w:color="auto"/>
              <w:right w:val="single" w:sz="4" w:space="0" w:color="auto"/>
            </w:tcBorders>
          </w:tcPr>
          <w:p w14:paraId="51587302" w14:textId="2CC94D5B"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4940E446" w14:textId="3289CE96" w:rsidR="00713F48" w:rsidRDefault="00713F48"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9823562" w14:textId="32D08BEA" w:rsidR="00713F48" w:rsidRPr="00EA0781" w:rsidRDefault="00713F48" w:rsidP="00BF3540">
            <w:pPr>
              <w:rPr>
                <w:color w:val="000000"/>
                <w:sz w:val="20"/>
                <w:szCs w:val="20"/>
              </w:rPr>
            </w:pPr>
            <w:r w:rsidRPr="00713F48">
              <w:rPr>
                <w:rFonts w:eastAsia="Times New Roman" w:cstheme="minorHAnsi"/>
                <w:bCs/>
                <w:color w:val="000000"/>
                <w:sz w:val="20"/>
                <w:szCs w:val="20"/>
                <w:lang w:eastAsia="en-GB"/>
              </w:rPr>
              <w:t>As at 23.05.2018, notification date.</w:t>
            </w:r>
          </w:p>
        </w:tc>
      </w:tr>
      <w:tr w:rsidR="00713F48" w:rsidRPr="00A2678D" w14:paraId="4AB9B83D" w14:textId="77777777" w:rsidTr="00BF3540">
        <w:tc>
          <w:tcPr>
            <w:tcW w:w="993" w:type="dxa"/>
            <w:gridSpan w:val="2"/>
            <w:vMerge w:val="restart"/>
            <w:tcBorders>
              <w:top w:val="single" w:sz="4" w:space="0" w:color="auto"/>
              <w:left w:val="single" w:sz="4" w:space="0" w:color="auto"/>
              <w:right w:val="single" w:sz="4" w:space="0" w:color="auto"/>
            </w:tcBorders>
          </w:tcPr>
          <w:p w14:paraId="67DD31FB" w14:textId="77777777" w:rsidR="00713F48" w:rsidRPr="00DD00A2" w:rsidRDefault="00713F48" w:rsidP="00BF3540">
            <w:pPr>
              <w:pStyle w:val="Tabledata"/>
              <w:jc w:val="center"/>
              <w:rPr>
                <w:szCs w:val="20"/>
              </w:rPr>
            </w:pPr>
            <w:r w:rsidRPr="00CD3A8C">
              <w:t>AT</w:t>
            </w:r>
          </w:p>
        </w:tc>
        <w:tc>
          <w:tcPr>
            <w:tcW w:w="1418" w:type="dxa"/>
            <w:gridSpan w:val="2"/>
            <w:vMerge w:val="restart"/>
            <w:tcBorders>
              <w:top w:val="single" w:sz="4" w:space="0" w:color="auto"/>
              <w:left w:val="single" w:sz="4" w:space="0" w:color="auto"/>
              <w:right w:val="single" w:sz="4" w:space="0" w:color="auto"/>
            </w:tcBorders>
          </w:tcPr>
          <w:p w14:paraId="2BD35362" w14:textId="77777777" w:rsidR="00713F48" w:rsidRPr="00DD00A2" w:rsidRDefault="00713F48" w:rsidP="00BF3540">
            <w:pPr>
              <w:pStyle w:val="Tabledata"/>
              <w:jc w:val="center"/>
              <w:rPr>
                <w:szCs w:val="20"/>
              </w:rPr>
            </w:pPr>
            <w:r w:rsidRPr="00CD3A8C">
              <w:t>Austria</w:t>
            </w:r>
          </w:p>
        </w:tc>
        <w:tc>
          <w:tcPr>
            <w:tcW w:w="1559" w:type="dxa"/>
            <w:tcBorders>
              <w:top w:val="single" w:sz="4" w:space="0" w:color="auto"/>
              <w:left w:val="single" w:sz="4" w:space="0" w:color="auto"/>
              <w:bottom w:val="single" w:sz="4" w:space="0" w:color="auto"/>
              <w:right w:val="single" w:sz="4" w:space="0" w:color="auto"/>
            </w:tcBorders>
          </w:tcPr>
          <w:p w14:paraId="6532B156" w14:textId="69941B52" w:rsidR="00713F48" w:rsidRPr="00DD00A2" w:rsidRDefault="00713F48" w:rsidP="00BF3540">
            <w:pPr>
              <w:pStyle w:val="Tabledata"/>
              <w:jc w:val="left"/>
              <w:rPr>
                <w:szCs w:val="20"/>
              </w:rPr>
            </w:pPr>
            <w:r>
              <w:rPr>
                <w:rFonts w:cs="Arial"/>
                <w:bCs w:val="0"/>
              </w:rPr>
              <w:t xml:space="preserve">Austrian </w:t>
            </w:r>
            <w:r w:rsidRPr="00CD3A8C">
              <w:rPr>
                <w:rFonts w:cs="Arial"/>
                <w:bCs w:val="0"/>
              </w:rPr>
              <w:t>Financial Market Authority</w:t>
            </w:r>
            <w:r w:rsidR="00191E18">
              <w:rPr>
                <w:rFonts w:cs="Arial"/>
                <w:bCs w:val="0"/>
              </w:rPr>
              <w:t xml:space="preserve"> (FMA)</w:t>
            </w:r>
          </w:p>
        </w:tc>
        <w:tc>
          <w:tcPr>
            <w:tcW w:w="1134" w:type="dxa"/>
            <w:tcBorders>
              <w:top w:val="single" w:sz="4" w:space="0" w:color="auto"/>
              <w:left w:val="single" w:sz="4" w:space="0" w:color="auto"/>
              <w:bottom w:val="single" w:sz="4" w:space="0" w:color="auto"/>
              <w:right w:val="single" w:sz="4" w:space="0" w:color="auto"/>
            </w:tcBorders>
          </w:tcPr>
          <w:p w14:paraId="5D2A6978" w14:textId="30D42481"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4CA2F2B" w14:textId="55893F7B" w:rsidR="00713F48" w:rsidRPr="00180E1B" w:rsidRDefault="00713F48"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D552AA0" w14:textId="77777777" w:rsidR="00713F48" w:rsidRPr="00E25AC7" w:rsidRDefault="00713F48" w:rsidP="00BF3540">
            <w:pPr>
              <w:autoSpaceDE w:val="0"/>
              <w:autoSpaceDN w:val="0"/>
              <w:adjustRightInd w:val="0"/>
              <w:rPr>
                <w:color w:val="000000"/>
                <w:sz w:val="20"/>
                <w:szCs w:val="20"/>
              </w:rPr>
            </w:pPr>
            <w:r w:rsidRPr="00E25AC7">
              <w:rPr>
                <w:color w:val="000000"/>
                <w:sz w:val="20"/>
                <w:szCs w:val="20"/>
              </w:rPr>
              <w:t xml:space="preserve">By 01.07.2018. </w:t>
            </w:r>
          </w:p>
          <w:p w14:paraId="175106E8" w14:textId="77777777" w:rsidR="00713F48" w:rsidRPr="00E25AC7" w:rsidRDefault="00713F48" w:rsidP="00BF3540">
            <w:pPr>
              <w:autoSpaceDE w:val="0"/>
              <w:autoSpaceDN w:val="0"/>
              <w:adjustRightInd w:val="0"/>
              <w:rPr>
                <w:color w:val="000000"/>
                <w:sz w:val="20"/>
                <w:szCs w:val="20"/>
              </w:rPr>
            </w:pPr>
            <w:r w:rsidRPr="00E25AC7">
              <w:rPr>
                <w:color w:val="000000"/>
                <w:sz w:val="20"/>
                <w:szCs w:val="20"/>
              </w:rPr>
              <w:t xml:space="preserve">The concept of independent members is not inherent to the Austrian legislation applicable to </w:t>
            </w:r>
            <w:r>
              <w:rPr>
                <w:color w:val="000000"/>
                <w:sz w:val="20"/>
                <w:szCs w:val="20"/>
              </w:rPr>
              <w:t>c</w:t>
            </w:r>
            <w:r w:rsidRPr="00E25AC7">
              <w:rPr>
                <w:color w:val="000000"/>
                <w:sz w:val="20"/>
                <w:szCs w:val="20"/>
              </w:rPr>
              <w:t xml:space="preserve">orporations. Therefore a legal basis is needed that introduces the concept of independent members to the supervisory board under Austrian law. A government bill has been passed to parliament to vote on (amending the Austrian Banking Act (BWG; </w:t>
            </w:r>
            <w:proofErr w:type="spellStart"/>
            <w:r w:rsidRPr="00E25AC7">
              <w:rPr>
                <w:color w:val="000000"/>
                <w:sz w:val="20"/>
                <w:szCs w:val="20"/>
              </w:rPr>
              <w:t>Bankwesengesetz</w:t>
            </w:r>
            <w:proofErr w:type="spellEnd"/>
            <w:r w:rsidRPr="00E25AC7">
              <w:rPr>
                <w:color w:val="000000"/>
                <w:sz w:val="20"/>
                <w:szCs w:val="20"/>
              </w:rPr>
              <w:t xml:space="preserve">)) in order to allow for a formal independence requirement. While the aforementioned amendment will enter into force on 1 January 2019, it will contain a transitional period until 1 July 2019 for implementation. Institutions will have to take into consideration the new independence criteria if any member of the supervisory board is changed on/after 1 January 2019. However all institutions’ supervisory boards will have to show a sufficient number of independent members at latest by 1 July 2019. </w:t>
            </w:r>
          </w:p>
          <w:p w14:paraId="3B807949" w14:textId="1A82B066" w:rsidR="00713F48" w:rsidRPr="00180E1B" w:rsidRDefault="00713F48" w:rsidP="00BF3540">
            <w:pPr>
              <w:pStyle w:val="Tabledata"/>
              <w:spacing w:before="0" w:after="0"/>
              <w:jc w:val="left"/>
            </w:pPr>
            <w:r w:rsidRPr="00E25AC7">
              <w:rPr>
                <w:szCs w:val="20"/>
              </w:rPr>
              <w:t>Hence the FMA does intend to comply with the guidelines with effect from 1 July 2019.</w:t>
            </w:r>
          </w:p>
        </w:tc>
      </w:tr>
      <w:tr w:rsidR="00713F48" w:rsidRPr="00A2678D" w14:paraId="609196E8" w14:textId="77777777" w:rsidTr="00BF3540">
        <w:tc>
          <w:tcPr>
            <w:tcW w:w="993" w:type="dxa"/>
            <w:gridSpan w:val="2"/>
            <w:vMerge/>
            <w:tcBorders>
              <w:left w:val="single" w:sz="4" w:space="0" w:color="auto"/>
              <w:bottom w:val="single" w:sz="4" w:space="0" w:color="auto"/>
              <w:right w:val="single" w:sz="4" w:space="0" w:color="auto"/>
            </w:tcBorders>
          </w:tcPr>
          <w:p w14:paraId="2AACCF9C" w14:textId="77777777" w:rsidR="00713F48" w:rsidRPr="00CD3A8C"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42A56DD0"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5F728BBE" w14:textId="60C9C5A8" w:rsidR="00713F48" w:rsidRDefault="00713F48" w:rsidP="00BF3540">
            <w:pPr>
              <w:pStyle w:val="Tabledata"/>
              <w:jc w:val="left"/>
              <w:rPr>
                <w:rFonts w:cs="Arial"/>
                <w:bCs w:val="0"/>
              </w:rPr>
            </w:pPr>
            <w:r w:rsidRPr="00713F48">
              <w:rPr>
                <w:rFonts w:cs="Arial"/>
                <w:bCs w:val="0"/>
              </w:rPr>
              <w:t>Financial Market Authority (FMA)</w:t>
            </w:r>
          </w:p>
        </w:tc>
        <w:tc>
          <w:tcPr>
            <w:tcW w:w="1134" w:type="dxa"/>
            <w:tcBorders>
              <w:top w:val="single" w:sz="4" w:space="0" w:color="auto"/>
              <w:left w:val="single" w:sz="4" w:space="0" w:color="auto"/>
              <w:bottom w:val="single" w:sz="4" w:space="0" w:color="auto"/>
              <w:right w:val="single" w:sz="4" w:space="0" w:color="auto"/>
            </w:tcBorders>
          </w:tcPr>
          <w:p w14:paraId="4867E74B" w14:textId="0550EF6F"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5520F7F8" w14:textId="62241B47" w:rsidR="00713F48" w:rsidRDefault="00713F48"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CD5C91F" w14:textId="4BC7665C" w:rsidR="00713F48" w:rsidRPr="00E25AC7" w:rsidRDefault="00713F48" w:rsidP="00BF3540">
            <w:pPr>
              <w:autoSpaceDE w:val="0"/>
              <w:autoSpaceDN w:val="0"/>
              <w:adjustRightInd w:val="0"/>
              <w:rPr>
                <w:color w:val="000000"/>
                <w:sz w:val="20"/>
                <w:szCs w:val="20"/>
              </w:rPr>
            </w:pPr>
            <w:r w:rsidRPr="00713F48">
              <w:rPr>
                <w:color w:val="000000"/>
                <w:sz w:val="20"/>
                <w:szCs w:val="20"/>
              </w:rPr>
              <w:t>As at 16.05.2018, notification date.</w:t>
            </w:r>
          </w:p>
        </w:tc>
      </w:tr>
      <w:tr w:rsidR="00713F48" w:rsidRPr="00A2678D" w14:paraId="718A298E" w14:textId="77777777" w:rsidTr="00BF3540">
        <w:trPr>
          <w:trHeight w:val="324"/>
        </w:trPr>
        <w:tc>
          <w:tcPr>
            <w:tcW w:w="993" w:type="dxa"/>
            <w:gridSpan w:val="2"/>
            <w:vMerge w:val="restart"/>
            <w:tcBorders>
              <w:top w:val="single" w:sz="4" w:space="0" w:color="auto"/>
              <w:left w:val="single" w:sz="4" w:space="0" w:color="auto"/>
              <w:right w:val="single" w:sz="4" w:space="0" w:color="auto"/>
            </w:tcBorders>
          </w:tcPr>
          <w:p w14:paraId="51DDEA61" w14:textId="77777777" w:rsidR="00713F48" w:rsidRPr="00DD00A2" w:rsidRDefault="00713F48" w:rsidP="00BF3540">
            <w:pPr>
              <w:pStyle w:val="Tabledata"/>
              <w:jc w:val="center"/>
              <w:rPr>
                <w:szCs w:val="20"/>
              </w:rPr>
            </w:pPr>
            <w:r w:rsidRPr="00CD3A8C">
              <w:t>PL</w:t>
            </w:r>
          </w:p>
        </w:tc>
        <w:tc>
          <w:tcPr>
            <w:tcW w:w="1418" w:type="dxa"/>
            <w:gridSpan w:val="2"/>
            <w:vMerge w:val="restart"/>
            <w:tcBorders>
              <w:top w:val="single" w:sz="4" w:space="0" w:color="auto"/>
              <w:left w:val="single" w:sz="4" w:space="0" w:color="auto"/>
              <w:right w:val="single" w:sz="4" w:space="0" w:color="auto"/>
            </w:tcBorders>
          </w:tcPr>
          <w:p w14:paraId="49756C7F" w14:textId="77777777" w:rsidR="00713F48" w:rsidRPr="00DD00A2" w:rsidRDefault="00713F48" w:rsidP="00BF3540">
            <w:pPr>
              <w:pStyle w:val="Tabledata"/>
              <w:jc w:val="center"/>
              <w:rPr>
                <w:szCs w:val="20"/>
              </w:rPr>
            </w:pPr>
            <w:r w:rsidRPr="00CD3A8C">
              <w:t>Poland</w:t>
            </w:r>
          </w:p>
        </w:tc>
        <w:tc>
          <w:tcPr>
            <w:tcW w:w="1559" w:type="dxa"/>
            <w:tcBorders>
              <w:top w:val="single" w:sz="4" w:space="0" w:color="auto"/>
              <w:left w:val="single" w:sz="4" w:space="0" w:color="auto"/>
              <w:bottom w:val="single" w:sz="4" w:space="0" w:color="auto"/>
              <w:right w:val="single" w:sz="4" w:space="0" w:color="auto"/>
            </w:tcBorders>
          </w:tcPr>
          <w:p w14:paraId="38D01523" w14:textId="041363C4" w:rsidR="00713F48" w:rsidRPr="00DD00A2" w:rsidRDefault="00713F48" w:rsidP="00BF3540">
            <w:pPr>
              <w:pStyle w:val="Tabledata"/>
              <w:jc w:val="left"/>
              <w:rPr>
                <w:szCs w:val="20"/>
              </w:rPr>
            </w:pPr>
            <w:proofErr w:type="spellStart"/>
            <w:r w:rsidRPr="00CD3A8C">
              <w:rPr>
                <w:rFonts w:cs="Arial"/>
                <w:bCs w:val="0"/>
              </w:rPr>
              <w:t>Komisja</w:t>
            </w:r>
            <w:proofErr w:type="spellEnd"/>
            <w:r w:rsidRPr="00CD3A8C">
              <w:rPr>
                <w:rFonts w:cs="Arial"/>
                <w:bCs w:val="0"/>
              </w:rPr>
              <w:t xml:space="preserve"> </w:t>
            </w:r>
            <w:proofErr w:type="spellStart"/>
            <w:r w:rsidRPr="00CD3A8C">
              <w:rPr>
                <w:rFonts w:cs="Arial"/>
                <w:bCs w:val="0"/>
              </w:rPr>
              <w:t>Nadzoru</w:t>
            </w:r>
            <w:proofErr w:type="spellEnd"/>
            <w:r w:rsidRPr="00CD3A8C">
              <w:rPr>
                <w:rFonts w:cs="Arial"/>
                <w:bCs w:val="0"/>
              </w:rPr>
              <w:t xml:space="preserve"> </w:t>
            </w:r>
            <w:proofErr w:type="spellStart"/>
            <w:r w:rsidRPr="00CD3A8C">
              <w:rPr>
                <w:rFonts w:cs="Arial"/>
                <w:bCs w:val="0"/>
              </w:rPr>
              <w:t>Finansowego</w:t>
            </w:r>
            <w:proofErr w:type="spellEnd"/>
            <w:r w:rsidRPr="00CD3A8C">
              <w:rPr>
                <w:rFonts w:cs="Arial"/>
                <w:bCs w:val="0"/>
              </w:rPr>
              <w:t xml:space="preserve"> </w:t>
            </w:r>
            <w:r w:rsidR="00904D19">
              <w:rPr>
                <w:rFonts w:cs="Arial"/>
                <w:bCs w:val="0"/>
              </w:rPr>
              <w:t>(KNF)</w:t>
            </w:r>
          </w:p>
        </w:tc>
        <w:tc>
          <w:tcPr>
            <w:tcW w:w="1134" w:type="dxa"/>
            <w:tcBorders>
              <w:top w:val="single" w:sz="4" w:space="0" w:color="auto"/>
              <w:left w:val="single" w:sz="4" w:space="0" w:color="auto"/>
              <w:right w:val="single" w:sz="4" w:space="0" w:color="auto"/>
            </w:tcBorders>
          </w:tcPr>
          <w:p w14:paraId="574174AA" w14:textId="6867985E"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right w:val="single" w:sz="4" w:space="0" w:color="auto"/>
            </w:tcBorders>
            <w:shd w:val="clear" w:color="auto" w:fill="92D050"/>
          </w:tcPr>
          <w:p w14:paraId="21C7A0C1" w14:textId="694D32ED" w:rsidR="00713F48" w:rsidRPr="00180E1B" w:rsidRDefault="00713F48"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right w:val="single" w:sz="4" w:space="0" w:color="auto"/>
            </w:tcBorders>
            <w:shd w:val="clear" w:color="auto" w:fill="auto"/>
          </w:tcPr>
          <w:p w14:paraId="58490961" w14:textId="77777777" w:rsidR="00720551" w:rsidRDefault="00713F48" w:rsidP="00BF3540">
            <w:pPr>
              <w:pStyle w:val="Tabledata"/>
              <w:contextualSpacing/>
              <w:jc w:val="left"/>
              <w:rPr>
                <w:rFonts w:eastAsiaTheme="minorEastAsia" w:cstheme="minorBidi"/>
                <w:bCs w:val="0"/>
                <w:szCs w:val="20"/>
                <w:lang w:val="en-US" w:eastAsia="en-US"/>
              </w:rPr>
            </w:pPr>
            <w:r w:rsidRPr="00720551">
              <w:rPr>
                <w:rFonts w:eastAsiaTheme="minorEastAsia" w:cstheme="minorBidi"/>
                <w:bCs w:val="0"/>
                <w:szCs w:val="20"/>
                <w:lang w:val="en-US" w:eastAsia="en-US"/>
              </w:rPr>
              <w:t xml:space="preserve">By such time as the necessary legislative proceedings have been completed. </w:t>
            </w:r>
          </w:p>
          <w:p w14:paraId="608C57CA" w14:textId="77777777" w:rsidR="00720551" w:rsidRDefault="00720551" w:rsidP="00BF3540">
            <w:pPr>
              <w:pStyle w:val="Tabledata"/>
              <w:contextualSpacing/>
              <w:jc w:val="left"/>
              <w:rPr>
                <w:rFonts w:cstheme="minorBidi"/>
                <w:szCs w:val="20"/>
                <w:lang w:val="en-US"/>
              </w:rPr>
            </w:pPr>
            <w:r w:rsidRPr="00720551">
              <w:rPr>
                <w:rFonts w:cstheme="minorBidi"/>
                <w:szCs w:val="20"/>
                <w:lang w:val="en-US"/>
              </w:rPr>
              <w:t>The full compliance will only be possible, after the amendment of Polish regulatory framework</w:t>
            </w:r>
            <w:r>
              <w:rPr>
                <w:rFonts w:cstheme="minorBidi"/>
                <w:szCs w:val="20"/>
                <w:lang w:val="en-US"/>
              </w:rPr>
              <w:t xml:space="preserve"> </w:t>
            </w:r>
            <w:r w:rsidRPr="00720551">
              <w:rPr>
                <w:rFonts w:cstheme="minorBidi"/>
                <w:szCs w:val="20"/>
                <w:lang w:val="en-US"/>
              </w:rPr>
              <w:t>(specifically - the Banking Act), in the area of the personal data protection issues.</w:t>
            </w:r>
          </w:p>
          <w:p w14:paraId="5A092680" w14:textId="77777777" w:rsidR="00720551" w:rsidRDefault="00720551" w:rsidP="00BF3540">
            <w:pPr>
              <w:pStyle w:val="Tabledata"/>
              <w:contextualSpacing/>
              <w:jc w:val="left"/>
              <w:rPr>
                <w:rFonts w:cstheme="minorBidi"/>
                <w:szCs w:val="20"/>
                <w:lang w:val="en-US"/>
              </w:rPr>
            </w:pPr>
            <w:r w:rsidRPr="00720551">
              <w:rPr>
                <w:rFonts w:cstheme="minorBidi"/>
                <w:szCs w:val="20"/>
                <w:lang w:val="en-US"/>
              </w:rPr>
              <w:t>The legislative proceedings in the above-mentioned scope, have already been initiated. However,</w:t>
            </w:r>
            <w:r>
              <w:rPr>
                <w:rFonts w:cstheme="minorBidi"/>
                <w:szCs w:val="20"/>
                <w:lang w:val="en-US"/>
              </w:rPr>
              <w:t xml:space="preserve"> </w:t>
            </w:r>
            <w:r w:rsidRPr="00720551">
              <w:rPr>
                <w:rFonts w:cstheme="minorBidi"/>
                <w:szCs w:val="20"/>
                <w:lang w:val="en-US"/>
              </w:rPr>
              <w:t>the date, by which those proceedings will be completed, is yet unknown.</w:t>
            </w:r>
          </w:p>
          <w:p w14:paraId="0A01DE43" w14:textId="59891CC1" w:rsidR="00720551" w:rsidRPr="00720551" w:rsidRDefault="00720551" w:rsidP="00BF3540">
            <w:pPr>
              <w:pStyle w:val="Tabledata"/>
              <w:contextualSpacing/>
              <w:jc w:val="left"/>
              <w:rPr>
                <w:rFonts w:cstheme="minorBidi"/>
                <w:szCs w:val="20"/>
                <w:lang w:val="en-US"/>
              </w:rPr>
            </w:pPr>
            <w:r w:rsidRPr="00720551">
              <w:rPr>
                <w:rFonts w:cstheme="minorBidi"/>
                <w:szCs w:val="20"/>
                <w:lang w:val="en-US"/>
              </w:rPr>
              <w:t>Guidelines will be implemented also under Regulation of the Minister of Finance regarding</w:t>
            </w:r>
            <w:r>
              <w:rPr>
                <w:rFonts w:cstheme="minorBidi"/>
                <w:szCs w:val="20"/>
                <w:lang w:val="en-US"/>
              </w:rPr>
              <w:t xml:space="preserve"> </w:t>
            </w:r>
            <w:r w:rsidRPr="00720551">
              <w:rPr>
                <w:rFonts w:cstheme="minorBidi"/>
                <w:szCs w:val="20"/>
                <w:lang w:val="en-US"/>
              </w:rPr>
              <w:t>technical and operational requirements of investment firms, banks referred to in Article 70(2) of</w:t>
            </w:r>
            <w:r>
              <w:rPr>
                <w:rFonts w:cstheme="minorBidi"/>
                <w:szCs w:val="20"/>
                <w:lang w:val="en-US"/>
              </w:rPr>
              <w:t xml:space="preserve"> </w:t>
            </w:r>
            <w:r w:rsidRPr="00720551">
              <w:rPr>
                <w:rFonts w:cstheme="minorBidi"/>
                <w:szCs w:val="20"/>
                <w:lang w:val="en-US"/>
              </w:rPr>
              <w:t>the Act on Trading in Financial Instruments, and custodian banks. Currently this Regulation is</w:t>
            </w:r>
            <w:r>
              <w:rPr>
                <w:rFonts w:cstheme="minorBidi"/>
                <w:szCs w:val="20"/>
                <w:lang w:val="en-US"/>
              </w:rPr>
              <w:t xml:space="preserve"> </w:t>
            </w:r>
            <w:r w:rsidRPr="00720551">
              <w:rPr>
                <w:rFonts w:cstheme="minorBidi"/>
                <w:szCs w:val="20"/>
                <w:lang w:val="en-US"/>
              </w:rPr>
              <w:t>being discussed between the Ministry of Finance, market participants and KNF. Please see below</w:t>
            </w:r>
            <w:r>
              <w:rPr>
                <w:rFonts w:cstheme="minorBidi"/>
                <w:szCs w:val="20"/>
                <w:lang w:val="en-US"/>
              </w:rPr>
              <w:t xml:space="preserve"> </w:t>
            </w:r>
            <w:r w:rsidRPr="00720551">
              <w:rPr>
                <w:rFonts w:cstheme="minorBidi"/>
                <w:szCs w:val="20"/>
                <w:lang w:val="en-US"/>
              </w:rPr>
              <w:t>a link where you can find details of legislative proceedings:</w:t>
            </w:r>
            <w:r>
              <w:rPr>
                <w:rFonts w:cstheme="minorBidi"/>
                <w:szCs w:val="20"/>
                <w:lang w:val="en-US"/>
              </w:rPr>
              <w:t xml:space="preserve"> </w:t>
            </w:r>
            <w:hyperlink r:id="rId12" w:history="1">
              <w:r w:rsidRPr="0057563F">
                <w:rPr>
                  <w:rStyle w:val="Hyperlink"/>
                  <w:rFonts w:cstheme="minorBidi"/>
                  <w:szCs w:val="20"/>
                  <w:lang w:val="en-US"/>
                </w:rPr>
                <w:t>https://legislacja.rcl.gov.pl/projekt/12308800</w:t>
              </w:r>
            </w:hyperlink>
            <w:r>
              <w:rPr>
                <w:rFonts w:cstheme="minorBidi"/>
                <w:szCs w:val="20"/>
                <w:lang w:val="en-US"/>
              </w:rPr>
              <w:t xml:space="preserve"> </w:t>
            </w:r>
            <w:r w:rsidRPr="00720551">
              <w:rPr>
                <w:rFonts w:cstheme="minorBidi"/>
                <w:szCs w:val="20"/>
                <w:lang w:val="en-US"/>
              </w:rPr>
              <w:t>We assume that the Guidelines will be implemented</w:t>
            </w:r>
          </w:p>
          <w:p w14:paraId="026ED912" w14:textId="04B864F2" w:rsidR="00720551" w:rsidRPr="00180E1B" w:rsidRDefault="00720551" w:rsidP="00BF3540">
            <w:pPr>
              <w:pStyle w:val="Tabledata"/>
              <w:contextualSpacing/>
              <w:jc w:val="left"/>
            </w:pPr>
            <w:proofErr w:type="gramStart"/>
            <w:r w:rsidRPr="00720551">
              <w:rPr>
                <w:rFonts w:eastAsiaTheme="minorEastAsia" w:cstheme="minorBidi"/>
                <w:bCs w:val="0"/>
                <w:szCs w:val="20"/>
                <w:lang w:val="en-US" w:eastAsia="en-US"/>
              </w:rPr>
              <w:t>by</w:t>
            </w:r>
            <w:proofErr w:type="gramEnd"/>
            <w:r w:rsidRPr="00720551">
              <w:rPr>
                <w:rFonts w:eastAsiaTheme="minorEastAsia" w:cstheme="minorBidi"/>
                <w:bCs w:val="0"/>
                <w:szCs w:val="20"/>
                <w:lang w:val="en-US" w:eastAsia="en-US"/>
              </w:rPr>
              <w:t xml:space="preserve"> the end of June 2018.</w:t>
            </w:r>
          </w:p>
        </w:tc>
      </w:tr>
      <w:tr w:rsidR="00713F48" w:rsidRPr="00A2678D" w14:paraId="1608913E" w14:textId="77777777" w:rsidTr="00BF3540">
        <w:trPr>
          <w:trHeight w:val="324"/>
        </w:trPr>
        <w:tc>
          <w:tcPr>
            <w:tcW w:w="993" w:type="dxa"/>
            <w:gridSpan w:val="2"/>
            <w:vMerge/>
            <w:tcBorders>
              <w:left w:val="single" w:sz="4" w:space="0" w:color="auto"/>
              <w:right w:val="single" w:sz="4" w:space="0" w:color="auto"/>
            </w:tcBorders>
          </w:tcPr>
          <w:p w14:paraId="4D68B36B" w14:textId="77777777" w:rsidR="00713F48" w:rsidRPr="00CD3A8C" w:rsidRDefault="00713F48" w:rsidP="00BF3540">
            <w:pPr>
              <w:pStyle w:val="Tabledata"/>
              <w:jc w:val="center"/>
            </w:pPr>
          </w:p>
        </w:tc>
        <w:tc>
          <w:tcPr>
            <w:tcW w:w="1418" w:type="dxa"/>
            <w:gridSpan w:val="2"/>
            <w:vMerge/>
            <w:tcBorders>
              <w:left w:val="single" w:sz="4" w:space="0" w:color="auto"/>
              <w:right w:val="single" w:sz="4" w:space="0" w:color="auto"/>
            </w:tcBorders>
          </w:tcPr>
          <w:p w14:paraId="44B7FACB"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611D1F4D" w14:textId="12F033B9" w:rsidR="00713F48" w:rsidRPr="00CD3A8C" w:rsidRDefault="00713F48" w:rsidP="00BF3540">
            <w:pPr>
              <w:pStyle w:val="Tabledata"/>
              <w:jc w:val="left"/>
              <w:rPr>
                <w:rFonts w:cs="Arial"/>
                <w:bCs w:val="0"/>
              </w:rPr>
            </w:pPr>
            <w:proofErr w:type="spellStart"/>
            <w:r w:rsidRPr="00A91275">
              <w:rPr>
                <w:rFonts w:cs="Arial"/>
                <w:bCs w:val="0"/>
              </w:rPr>
              <w:t>Komisja</w:t>
            </w:r>
            <w:proofErr w:type="spellEnd"/>
            <w:r w:rsidRPr="00A91275">
              <w:rPr>
                <w:rFonts w:cs="Arial"/>
                <w:bCs w:val="0"/>
              </w:rPr>
              <w:t xml:space="preserve"> </w:t>
            </w:r>
            <w:proofErr w:type="spellStart"/>
            <w:r w:rsidRPr="00A91275">
              <w:rPr>
                <w:rFonts w:cs="Arial"/>
                <w:bCs w:val="0"/>
              </w:rPr>
              <w:t>Nadzoru</w:t>
            </w:r>
            <w:proofErr w:type="spellEnd"/>
            <w:r w:rsidRPr="00A91275">
              <w:rPr>
                <w:rFonts w:cs="Arial"/>
                <w:bCs w:val="0"/>
              </w:rPr>
              <w:t xml:space="preserve"> </w:t>
            </w:r>
            <w:proofErr w:type="spellStart"/>
            <w:r w:rsidRPr="00A91275">
              <w:rPr>
                <w:rFonts w:cs="Arial"/>
                <w:bCs w:val="0"/>
              </w:rPr>
              <w:t>Finansowego</w:t>
            </w:r>
            <w:proofErr w:type="spellEnd"/>
            <w:r w:rsidRPr="00A91275">
              <w:rPr>
                <w:rFonts w:cs="Arial"/>
                <w:bCs w:val="0"/>
              </w:rPr>
              <w:t xml:space="preserve"> (KNF)</w:t>
            </w:r>
          </w:p>
        </w:tc>
        <w:tc>
          <w:tcPr>
            <w:tcW w:w="1134" w:type="dxa"/>
            <w:tcBorders>
              <w:top w:val="single" w:sz="4" w:space="0" w:color="auto"/>
              <w:left w:val="single" w:sz="4" w:space="0" w:color="auto"/>
              <w:right w:val="single" w:sz="4" w:space="0" w:color="auto"/>
            </w:tcBorders>
          </w:tcPr>
          <w:p w14:paraId="3546B9D8" w14:textId="407E5B9B"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right w:val="single" w:sz="4" w:space="0" w:color="auto"/>
            </w:tcBorders>
            <w:shd w:val="clear" w:color="auto" w:fill="00B050"/>
          </w:tcPr>
          <w:p w14:paraId="75546A62" w14:textId="7FF5E4B9" w:rsidR="00713F48" w:rsidRDefault="007540CD" w:rsidP="00BF3540">
            <w:pPr>
              <w:pStyle w:val="Tabledata"/>
              <w:ind w:left="284"/>
              <w:jc w:val="left"/>
              <w:rPr>
                <w:b/>
                <w:color w:val="auto"/>
                <w:szCs w:val="20"/>
              </w:rPr>
            </w:pPr>
            <w:r>
              <w:rPr>
                <w:b/>
                <w:color w:val="auto"/>
                <w:szCs w:val="20"/>
              </w:rPr>
              <w:t>Yes</w:t>
            </w:r>
            <w:r w:rsidDel="007540CD">
              <w:rPr>
                <w:b/>
                <w:color w:val="auto"/>
                <w:szCs w:val="20"/>
              </w:rPr>
              <w:t xml:space="preserve"> </w:t>
            </w:r>
          </w:p>
        </w:tc>
        <w:tc>
          <w:tcPr>
            <w:tcW w:w="3510" w:type="dxa"/>
            <w:tcBorders>
              <w:top w:val="single" w:sz="4" w:space="0" w:color="auto"/>
              <w:left w:val="single" w:sz="4" w:space="0" w:color="auto"/>
              <w:right w:val="single" w:sz="4" w:space="0" w:color="auto"/>
            </w:tcBorders>
            <w:shd w:val="clear" w:color="auto" w:fill="auto"/>
          </w:tcPr>
          <w:p w14:paraId="163EBE0F" w14:textId="163C261E" w:rsidR="007540CD" w:rsidRDefault="008C7712" w:rsidP="00BF3540">
            <w:pPr>
              <w:suppressAutoHyphens/>
              <w:rPr>
                <w:rFonts w:cs="Arial"/>
                <w:color w:val="000000"/>
                <w:sz w:val="20"/>
                <w:szCs w:val="20"/>
                <w:lang w:eastAsia="en-GB"/>
              </w:rPr>
            </w:pPr>
            <w:r>
              <w:rPr>
                <w:rFonts w:cs="Arial"/>
                <w:color w:val="000000"/>
                <w:sz w:val="20"/>
                <w:szCs w:val="20"/>
                <w:lang w:eastAsia="en-GB"/>
              </w:rPr>
              <w:t>As at 23.06.2018</w:t>
            </w:r>
            <w:r w:rsidR="00BF3540">
              <w:rPr>
                <w:rFonts w:cs="Arial"/>
                <w:color w:val="000000"/>
                <w:sz w:val="20"/>
                <w:szCs w:val="20"/>
                <w:lang w:eastAsia="en-GB"/>
              </w:rPr>
              <w:t>.</w:t>
            </w:r>
          </w:p>
          <w:p w14:paraId="4282266A" w14:textId="7A20A315" w:rsidR="00713F48" w:rsidRPr="00720551" w:rsidRDefault="00713F48" w:rsidP="00BF3540">
            <w:pPr>
              <w:suppressAutoHyphens/>
              <w:rPr>
                <w:rFonts w:cs="Arial"/>
                <w:color w:val="000000"/>
                <w:sz w:val="20"/>
                <w:szCs w:val="20"/>
                <w:lang w:eastAsia="en-GB"/>
              </w:rPr>
            </w:pPr>
          </w:p>
        </w:tc>
      </w:tr>
      <w:tr w:rsidR="00713F48" w:rsidRPr="00A2678D" w14:paraId="58596DEE" w14:textId="77777777" w:rsidTr="00BF3540">
        <w:tc>
          <w:tcPr>
            <w:tcW w:w="993" w:type="dxa"/>
            <w:gridSpan w:val="2"/>
            <w:vMerge w:val="restart"/>
            <w:tcBorders>
              <w:top w:val="single" w:sz="4" w:space="0" w:color="auto"/>
              <w:left w:val="single" w:sz="4" w:space="0" w:color="auto"/>
              <w:right w:val="single" w:sz="4" w:space="0" w:color="auto"/>
            </w:tcBorders>
          </w:tcPr>
          <w:p w14:paraId="5C691842" w14:textId="77777777" w:rsidR="00713F48" w:rsidRPr="00DD00A2" w:rsidRDefault="00713F48" w:rsidP="00BF3540">
            <w:pPr>
              <w:pStyle w:val="Tabledata"/>
              <w:jc w:val="center"/>
              <w:rPr>
                <w:szCs w:val="20"/>
              </w:rPr>
            </w:pPr>
            <w:r w:rsidRPr="00CD3A8C">
              <w:t>PT</w:t>
            </w:r>
          </w:p>
        </w:tc>
        <w:tc>
          <w:tcPr>
            <w:tcW w:w="1418" w:type="dxa"/>
            <w:gridSpan w:val="2"/>
            <w:vMerge w:val="restart"/>
            <w:tcBorders>
              <w:top w:val="single" w:sz="4" w:space="0" w:color="auto"/>
              <w:left w:val="single" w:sz="4" w:space="0" w:color="auto"/>
              <w:right w:val="single" w:sz="4" w:space="0" w:color="auto"/>
            </w:tcBorders>
          </w:tcPr>
          <w:p w14:paraId="46D48D7E" w14:textId="77777777" w:rsidR="00713F48" w:rsidRPr="00DD00A2" w:rsidRDefault="00713F48" w:rsidP="00BF3540">
            <w:pPr>
              <w:pStyle w:val="Tabledata"/>
              <w:jc w:val="center"/>
              <w:rPr>
                <w:szCs w:val="20"/>
              </w:rPr>
            </w:pPr>
            <w:r w:rsidRPr="00CD3A8C">
              <w:t>Portugal</w:t>
            </w:r>
          </w:p>
        </w:tc>
        <w:tc>
          <w:tcPr>
            <w:tcW w:w="1559" w:type="dxa"/>
            <w:tcBorders>
              <w:top w:val="single" w:sz="4" w:space="0" w:color="auto"/>
              <w:left w:val="single" w:sz="4" w:space="0" w:color="auto"/>
              <w:bottom w:val="single" w:sz="4" w:space="0" w:color="auto"/>
              <w:right w:val="single" w:sz="4" w:space="0" w:color="auto"/>
            </w:tcBorders>
          </w:tcPr>
          <w:p w14:paraId="6344FBBB" w14:textId="54F15CBE" w:rsidR="00713F48" w:rsidRPr="00DD00A2" w:rsidRDefault="00713F48" w:rsidP="00BF3540">
            <w:pPr>
              <w:pStyle w:val="Tabledata"/>
              <w:jc w:val="left"/>
              <w:rPr>
                <w:szCs w:val="20"/>
              </w:rPr>
            </w:pPr>
            <w:r w:rsidRPr="00C82C29">
              <w:rPr>
                <w:rFonts w:cs="Arial"/>
                <w:bCs w:val="0"/>
                <w:lang w:val="pt-PT"/>
              </w:rPr>
              <w:t xml:space="preserve">Banco de Portugal </w:t>
            </w:r>
          </w:p>
        </w:tc>
        <w:tc>
          <w:tcPr>
            <w:tcW w:w="1134" w:type="dxa"/>
            <w:tcBorders>
              <w:top w:val="single" w:sz="4" w:space="0" w:color="auto"/>
              <w:left w:val="single" w:sz="4" w:space="0" w:color="auto"/>
              <w:bottom w:val="single" w:sz="4" w:space="0" w:color="auto"/>
              <w:right w:val="single" w:sz="4" w:space="0" w:color="auto"/>
            </w:tcBorders>
          </w:tcPr>
          <w:p w14:paraId="0CD3D2F1" w14:textId="4A7FC54E"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87A106B" w14:textId="22C12AD6" w:rsidR="00713F48" w:rsidRPr="00180E1B" w:rsidRDefault="00713F48"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EADA41E" w14:textId="77777777" w:rsidR="00713F48" w:rsidRDefault="00713F48" w:rsidP="00BF3540">
            <w:pPr>
              <w:pStyle w:val="Tabledata"/>
              <w:contextualSpacing/>
              <w:jc w:val="left"/>
            </w:pPr>
            <w:r>
              <w:t xml:space="preserve">By such time as the necessary legislative or regulatory proceedings have been completed. </w:t>
            </w:r>
            <w:r w:rsidRPr="006F0E6B">
              <w:rPr>
                <w:bCs w:val="0"/>
              </w:rPr>
              <w:t xml:space="preserve">Banco de Portugal is </w:t>
            </w:r>
            <w:r>
              <w:rPr>
                <w:bCs w:val="0"/>
              </w:rPr>
              <w:t xml:space="preserve"> </w:t>
            </w:r>
            <w:r w:rsidRPr="006F0E6B">
              <w:rPr>
                <w:bCs w:val="0"/>
              </w:rPr>
              <w:t>compliant with most of the provisions of EBA/GL/2017 /12 ("the Guidelines"), which</w:t>
            </w:r>
            <w:r>
              <w:rPr>
                <w:bCs w:val="0"/>
              </w:rPr>
              <w:t xml:space="preserve"> </w:t>
            </w:r>
            <w:r w:rsidRPr="006F0E6B">
              <w:rPr>
                <w:bCs w:val="0"/>
              </w:rPr>
              <w:t>are reflected in the legislation and regulation currently in force in Portugal, notably in the Legal</w:t>
            </w:r>
            <w:r>
              <w:rPr>
                <w:bCs w:val="0"/>
              </w:rPr>
              <w:t xml:space="preserve"> </w:t>
            </w:r>
            <w:r w:rsidRPr="006F0E6B">
              <w:rPr>
                <w:bCs w:val="0"/>
              </w:rPr>
              <w:t>Framework of Credit Institutions and Investment Firms an</w:t>
            </w:r>
            <w:r>
              <w:rPr>
                <w:bCs w:val="0"/>
              </w:rPr>
              <w:t>d in the regulation "</w:t>
            </w:r>
            <w:proofErr w:type="spellStart"/>
            <w:r>
              <w:rPr>
                <w:bCs w:val="0"/>
              </w:rPr>
              <w:t>lnstrução</w:t>
            </w:r>
            <w:proofErr w:type="spellEnd"/>
            <w:r w:rsidRPr="006F0E6B">
              <w:rPr>
                <w:bCs w:val="0"/>
              </w:rPr>
              <w:t xml:space="preserve"> do Banco de</w:t>
            </w:r>
            <w:r>
              <w:rPr>
                <w:bCs w:val="0"/>
              </w:rPr>
              <w:t xml:space="preserve"> Portugal n.º</w:t>
            </w:r>
            <w:r w:rsidRPr="006F0E6B">
              <w:rPr>
                <w:bCs w:val="0"/>
              </w:rPr>
              <w:t xml:space="preserve"> 12/2015".</w:t>
            </w:r>
            <w:r>
              <w:rPr>
                <w:bCs w:val="0"/>
              </w:rPr>
              <w:t xml:space="preserve"> </w:t>
            </w:r>
            <w:r w:rsidRPr="006F0E6B">
              <w:rPr>
                <w:bCs w:val="0"/>
              </w:rPr>
              <w:t xml:space="preserve">Furthermore, Banco de Portugal addressed a Circular Letter </w:t>
            </w:r>
            <w:r>
              <w:rPr>
                <w:bCs w:val="0"/>
              </w:rPr>
              <w:t>(</w:t>
            </w:r>
            <w:r w:rsidRPr="006F0E6B">
              <w:rPr>
                <w:bCs w:val="0"/>
              </w:rPr>
              <w:t>CC/2018/00000018, dated 22 February</w:t>
            </w:r>
            <w:r>
              <w:rPr>
                <w:bCs w:val="0"/>
              </w:rPr>
              <w:t xml:space="preserve"> </w:t>
            </w:r>
            <w:r w:rsidRPr="006F0E6B">
              <w:rPr>
                <w:bCs w:val="0"/>
              </w:rPr>
              <w:t xml:space="preserve">2018) to the credit institutions and investment firms included in the scope of application of the </w:t>
            </w:r>
            <w:r>
              <w:rPr>
                <w:bCs w:val="0"/>
              </w:rPr>
              <w:t xml:space="preserve"> G</w:t>
            </w:r>
            <w:r w:rsidRPr="006F0E6B">
              <w:rPr>
                <w:bCs w:val="0"/>
              </w:rPr>
              <w:t>uidelines</w:t>
            </w:r>
            <w:r>
              <w:rPr>
                <w:bCs w:val="0"/>
              </w:rPr>
              <w:t xml:space="preserve"> </w:t>
            </w:r>
            <w:r w:rsidRPr="006F0E6B">
              <w:rPr>
                <w:bCs w:val="0"/>
              </w:rPr>
              <w:t xml:space="preserve">informing about its publication and encouraging the </w:t>
            </w:r>
            <w:r>
              <w:rPr>
                <w:bCs w:val="0"/>
              </w:rPr>
              <w:t>a</w:t>
            </w:r>
            <w:r w:rsidRPr="006F0E6B">
              <w:rPr>
                <w:bCs w:val="0"/>
              </w:rPr>
              <w:t>ddresses to adopt the necessary measures to</w:t>
            </w:r>
            <w:r>
              <w:rPr>
                <w:bCs w:val="0"/>
              </w:rPr>
              <w:t xml:space="preserve"> </w:t>
            </w:r>
            <w:r w:rsidRPr="006F0E6B">
              <w:rPr>
                <w:bCs w:val="0"/>
              </w:rPr>
              <w:t>comply with the guidelines as of 1 July 2018.</w:t>
            </w:r>
            <w:r>
              <w:rPr>
                <w:bCs w:val="0"/>
              </w:rPr>
              <w:t xml:space="preserve"> </w:t>
            </w:r>
            <w:r w:rsidRPr="006F0E6B">
              <w:rPr>
                <w:bCs w:val="0"/>
              </w:rPr>
              <w:t>In this Circular Letter, Banco de Portugal highlighted that institutions should comply with the Guidelines</w:t>
            </w:r>
            <w:r>
              <w:rPr>
                <w:bCs w:val="0"/>
              </w:rPr>
              <w:t xml:space="preserve"> </w:t>
            </w:r>
            <w:r w:rsidRPr="006F0E6B">
              <w:t>that are to be applied in the context of the legislation and regulations in full force and effect, specifically</w:t>
            </w:r>
            <w:r>
              <w:t xml:space="preserve"> </w:t>
            </w:r>
            <w:r w:rsidRPr="006F0E6B">
              <w:t>as a complement to the Legal Framework of Credit Institutions and Investment Firms as regards this</w:t>
            </w:r>
            <w:r>
              <w:t xml:space="preserve"> </w:t>
            </w:r>
            <w:r w:rsidRPr="006F0E6B">
              <w:t>subject matter.</w:t>
            </w:r>
            <w:r>
              <w:t xml:space="preserve"> </w:t>
            </w:r>
            <w:r w:rsidRPr="006F0E6B">
              <w:t>The Carta Circular is available at the following link:</w:t>
            </w:r>
            <w:hyperlink r:id="rId13" w:history="1">
              <w:r w:rsidRPr="00343A4A">
                <w:rPr>
                  <w:rStyle w:val="Hyperlink"/>
                </w:rPr>
                <w:t>https://www.bportugal.pt/sites/default/files/anexos/cartas-circulares/295915471_5.docx.pdf</w:t>
              </w:r>
            </w:hyperlink>
            <w:r>
              <w:t xml:space="preserve"> </w:t>
            </w:r>
            <w:r w:rsidRPr="006F0E6B">
              <w:t>Nevertheless, there are three specific aspects mentioned in the Guidelines with which Banco de Portugal</w:t>
            </w:r>
            <w:r>
              <w:t xml:space="preserve"> </w:t>
            </w:r>
            <w:r w:rsidRPr="006F0E6B">
              <w:t>cannot ensure compliance by the application date of the Guidelines, but intends to comply with by such</w:t>
            </w:r>
            <w:r>
              <w:t xml:space="preserve"> </w:t>
            </w:r>
            <w:r w:rsidRPr="006F0E6B">
              <w:t>time as the necessary legislative or regulatory proceedings have been completed. These aspects are as</w:t>
            </w:r>
            <w:r>
              <w:t xml:space="preserve"> </w:t>
            </w:r>
            <w:r w:rsidRPr="006F0E6B">
              <w:t>follows:</w:t>
            </w:r>
            <w:r>
              <w:t xml:space="preserve"> </w:t>
            </w:r>
          </w:p>
          <w:p w14:paraId="70D9396B" w14:textId="77777777" w:rsidR="00713F48" w:rsidRDefault="00713F48" w:rsidP="00BF3540">
            <w:pPr>
              <w:pStyle w:val="Tabledata"/>
              <w:contextualSpacing/>
              <w:jc w:val="left"/>
            </w:pPr>
            <w:r w:rsidRPr="006F0E6B">
              <w:t xml:space="preserve">1) Competent authority's suitability assessment of key function holders (mentioned in section 23. </w:t>
            </w:r>
            <w:r>
              <w:t>o</w:t>
            </w:r>
            <w:r w:rsidRPr="006F0E6B">
              <w:t>f</w:t>
            </w:r>
            <w:r>
              <w:t xml:space="preserve"> </w:t>
            </w:r>
            <w:r w:rsidRPr="006F0E6B">
              <w:t>Title VII of the Guidelines)</w:t>
            </w:r>
            <w:r>
              <w:t xml:space="preserve"> </w:t>
            </w:r>
            <w:r w:rsidRPr="006F0E6B">
              <w:t>The existing national legal framework establishes that institutions must assess the suitability of</w:t>
            </w:r>
            <w:r>
              <w:t xml:space="preserve"> </w:t>
            </w:r>
            <w:r w:rsidRPr="006F0E6B">
              <w:t xml:space="preserve">their key function holders. </w:t>
            </w:r>
            <w:r>
              <w:t xml:space="preserve"> H</w:t>
            </w:r>
            <w:r w:rsidRPr="006F0E6B">
              <w:t>owever, under that legal framework, Banco de Portugal will only</w:t>
            </w:r>
            <w:r>
              <w:t xml:space="preserve"> </w:t>
            </w:r>
            <w:r w:rsidRPr="006F0E6B">
              <w:t>assess the suitability of key function holders if it considers that a particular circumstance was not</w:t>
            </w:r>
            <w:r>
              <w:t xml:space="preserve"> </w:t>
            </w:r>
            <w:r w:rsidRPr="006F0E6B">
              <w:t>properly assessed by the institution or based on new facts that come to Banco de Portugal's</w:t>
            </w:r>
            <w:r>
              <w:t xml:space="preserve"> </w:t>
            </w:r>
            <w:r w:rsidRPr="006F0E6B">
              <w:t>attention.</w:t>
            </w:r>
            <w:r>
              <w:t xml:space="preserve"> </w:t>
            </w:r>
            <w:r w:rsidRPr="006F0E6B">
              <w:t>In order for Banco de Portugal to assess the suitability of key function holders of significant CRD</w:t>
            </w:r>
            <w:r>
              <w:t xml:space="preserve"> </w:t>
            </w:r>
            <w:r w:rsidRPr="006F0E6B">
              <w:t>institutions</w:t>
            </w:r>
            <w:r>
              <w:t xml:space="preserve"> </w:t>
            </w:r>
            <w:r w:rsidRPr="006F0E6B">
              <w:t>as provided in the Guidelines a specific binding regulation will have to be enacted. This</w:t>
            </w:r>
            <w:r>
              <w:t xml:space="preserve"> </w:t>
            </w:r>
            <w:r w:rsidRPr="006F0E6B">
              <w:t>will probably not take place by the application date of the Guidelines, but it is expected to occur</w:t>
            </w:r>
            <w:r>
              <w:t xml:space="preserve"> </w:t>
            </w:r>
            <w:r w:rsidRPr="006F0E6B">
              <w:t>until the end of 2018.</w:t>
            </w:r>
            <w:r>
              <w:t xml:space="preserve"> </w:t>
            </w:r>
          </w:p>
          <w:p w14:paraId="1F9F6AD0" w14:textId="77777777" w:rsidR="00713F48" w:rsidRDefault="00713F48" w:rsidP="00BF3540">
            <w:pPr>
              <w:pStyle w:val="Tabledata"/>
              <w:contextualSpacing/>
              <w:jc w:val="left"/>
            </w:pPr>
            <w:r w:rsidRPr="006F0E6B">
              <w:t>2) Calculation of the number of directorships (mentioned paragraphs 52 and 53 of section 5. of Title</w:t>
            </w:r>
            <w:r>
              <w:t xml:space="preserve"> </w:t>
            </w:r>
            <w:r w:rsidRPr="006F0E6B">
              <w:t>Ill of the Guidelines)</w:t>
            </w:r>
            <w:r>
              <w:t xml:space="preserve"> </w:t>
            </w:r>
            <w:r w:rsidRPr="006F0E6B">
              <w:t>Whereas paragraph 52 of the Guidelines establishes that all directorships held within the same</w:t>
            </w:r>
            <w:r>
              <w:t xml:space="preserve"> </w:t>
            </w:r>
            <w:r w:rsidRPr="006F0E6B">
              <w:t xml:space="preserve">group count as a single </w:t>
            </w:r>
            <w:r>
              <w:t>d</w:t>
            </w:r>
            <w:r w:rsidRPr="006F0E6B">
              <w:t>irectorship, the Portuguese legal framework provides that directorships</w:t>
            </w:r>
            <w:r>
              <w:t xml:space="preserve"> </w:t>
            </w:r>
            <w:r w:rsidRPr="006F0E6B">
              <w:t>held in entities included in the same consolidated supervision perimeter will be count as a single</w:t>
            </w:r>
            <w:r>
              <w:t xml:space="preserve"> </w:t>
            </w:r>
            <w:r w:rsidRPr="006F0E6B">
              <w:t>directorship.</w:t>
            </w:r>
            <w:r>
              <w:t xml:space="preserve"> </w:t>
            </w:r>
            <w:r w:rsidRPr="006F0E6B">
              <w:t>Hence, in this particular aspect Banco de Portugal cannot ensure compliance with the Guidelines,</w:t>
            </w:r>
            <w:r>
              <w:t xml:space="preserve"> </w:t>
            </w:r>
            <w:r w:rsidRPr="006F0E6B">
              <w:t>but only because it follows a more restrictive criterion when it comes to the counting of</w:t>
            </w:r>
            <w:r>
              <w:t xml:space="preserve"> </w:t>
            </w:r>
            <w:r w:rsidRPr="006F0E6B">
              <w:t>directorships in a group context. In fact, the rules for calculating the number of directorships set</w:t>
            </w:r>
            <w:r>
              <w:t xml:space="preserve"> </w:t>
            </w:r>
            <w:r w:rsidRPr="006F0E6B">
              <w:t xml:space="preserve">forth in the </w:t>
            </w:r>
            <w:r>
              <w:t>P</w:t>
            </w:r>
            <w:r w:rsidRPr="006F0E6B">
              <w:t>ortuguese legal framework are more narrow and rigorous for institutions than the</w:t>
            </w:r>
            <w:r>
              <w:t xml:space="preserve"> </w:t>
            </w:r>
            <w:r w:rsidRPr="006F0E6B">
              <w:t>one that results from the application of paragraph 52 of the Guidelines, which is also the criterion</w:t>
            </w:r>
            <w:r>
              <w:t xml:space="preserve"> </w:t>
            </w:r>
            <w:r w:rsidRPr="006F0E6B">
              <w:t>used in most Member States.</w:t>
            </w:r>
            <w:r>
              <w:t xml:space="preserve"> </w:t>
            </w:r>
            <w:r w:rsidRPr="006F0E6B">
              <w:t>Furthermore, when it comes to the counting of directorships held in undertakings in which the</w:t>
            </w:r>
            <w:r>
              <w:t xml:space="preserve"> </w:t>
            </w:r>
            <w:r w:rsidRPr="006F0E6B">
              <w:t>institution has qualifying holdings, which are counted as a single directorships, paragraph 53 of</w:t>
            </w:r>
            <w:r>
              <w:t xml:space="preserve"> </w:t>
            </w:r>
            <w:r w:rsidRPr="006F0E6B">
              <w:t>the Guidelines provides that this single directorship in qualifying holdings counts as a separate</w:t>
            </w:r>
            <w:r>
              <w:t xml:space="preserve"> </w:t>
            </w:r>
            <w:r w:rsidRPr="006F0E6B">
              <w:t xml:space="preserve">single </w:t>
            </w:r>
            <w:r>
              <w:t>d</w:t>
            </w:r>
            <w:r w:rsidRPr="006F0E6B">
              <w:t>irectorship, i.e., the directorship held within the same institution and the single directorship</w:t>
            </w:r>
            <w:r>
              <w:t xml:space="preserve"> </w:t>
            </w:r>
            <w:r w:rsidRPr="006F0E6B">
              <w:t>in its qualifying holdings together count as two directorships. Banco de Portugal in its supervisory</w:t>
            </w:r>
            <w:r>
              <w:t xml:space="preserve"> </w:t>
            </w:r>
            <w:r w:rsidRPr="006F0E6B">
              <w:t>practice does not follow this rule, which means that those directorships together count as one</w:t>
            </w:r>
            <w:r>
              <w:t xml:space="preserve"> </w:t>
            </w:r>
            <w:r w:rsidRPr="006F0E6B">
              <w:t xml:space="preserve">directorship only. This is due to the fact that under Portuguese law </w:t>
            </w:r>
            <w:r>
              <w:t xml:space="preserve"> </w:t>
            </w:r>
            <w:r w:rsidRPr="006F0E6B">
              <w:t>institutions are subject to a</w:t>
            </w:r>
            <w:r>
              <w:t xml:space="preserve"> </w:t>
            </w:r>
            <w:r w:rsidRPr="006F0E6B">
              <w:t>stricter criterion for calculation of the number of directorships within a group context (as</w:t>
            </w:r>
            <w:r>
              <w:t xml:space="preserve"> </w:t>
            </w:r>
            <w:r w:rsidRPr="006F0E6B">
              <w:t>mentioned above) and therefore this rule in paragraph 53 of the Guidelines should not be applied</w:t>
            </w:r>
            <w:r>
              <w:t xml:space="preserve"> </w:t>
            </w:r>
            <w:r w:rsidRPr="006F0E6B">
              <w:t>for the time being in order to level the assessment with the remaining Member States.</w:t>
            </w:r>
            <w:r>
              <w:t xml:space="preserve"> </w:t>
            </w:r>
            <w:r w:rsidRPr="006F0E6B">
              <w:t>Nevertheless, Banco de Portugal is working on a proposal to amend the Legal Framework of Credit</w:t>
            </w:r>
            <w:r>
              <w:t xml:space="preserve"> </w:t>
            </w:r>
            <w:r w:rsidRPr="006F0E6B">
              <w:t>Institutions and Investment Firms, which will entail a broad revision of the existing provisions,</w:t>
            </w:r>
            <w:r>
              <w:t xml:space="preserve"> </w:t>
            </w:r>
            <w:r w:rsidRPr="006F0E6B">
              <w:t>including the issues mentioned above in order to ensure full compliance with the provisions of the</w:t>
            </w:r>
            <w:r>
              <w:t xml:space="preserve"> </w:t>
            </w:r>
            <w:r w:rsidRPr="006F0E6B">
              <w:t>Guidelines. This proposal will be presented to the Portuguese Government, which is the competent</w:t>
            </w:r>
            <w:r>
              <w:t xml:space="preserve"> </w:t>
            </w:r>
            <w:r w:rsidRPr="006F0E6B">
              <w:t>entity to enact the corresponding legal instrument.</w:t>
            </w:r>
            <w:r>
              <w:t xml:space="preserve"> </w:t>
            </w:r>
          </w:p>
          <w:p w14:paraId="2DD4D0C2" w14:textId="65B56C86" w:rsidR="00713F48" w:rsidRPr="00180E1B" w:rsidRDefault="00713F48" w:rsidP="00BF3540">
            <w:pPr>
              <w:pStyle w:val="Tabledata"/>
              <w:contextualSpacing/>
              <w:jc w:val="left"/>
            </w:pPr>
            <w:r>
              <w:t>3)</w:t>
            </w:r>
            <w:r w:rsidRPr="006F0E6B">
              <w:t xml:space="preserve"> Possibility of </w:t>
            </w:r>
            <w:r>
              <w:t>p</w:t>
            </w:r>
            <w:r w:rsidRPr="006F0E6B">
              <w:t>erforming the individual and collective suitability assessment after the person's</w:t>
            </w:r>
            <w:r>
              <w:t xml:space="preserve"> </w:t>
            </w:r>
            <w:r w:rsidRPr="006F0E6B">
              <w:t>appointment in exceptional cases (mentioned paragraphs 135 and 139 of section 17. of Title VII of</w:t>
            </w:r>
            <w:r>
              <w:t xml:space="preserve"> </w:t>
            </w:r>
            <w:r w:rsidRPr="006F0E6B">
              <w:t>the Guidelines)</w:t>
            </w:r>
            <w:r>
              <w:t xml:space="preserve">. </w:t>
            </w:r>
            <w:r w:rsidRPr="006F0E6B">
              <w:t>The possibility of institutions appointing members of the management body without a prior</w:t>
            </w:r>
            <w:r>
              <w:t xml:space="preserve"> </w:t>
            </w:r>
            <w:r w:rsidRPr="006F0E6B">
              <w:t>suitability assessment, based on exceptional circumstances established in paragraph 135 of the</w:t>
            </w:r>
            <w:r>
              <w:t xml:space="preserve"> </w:t>
            </w:r>
            <w:r w:rsidRPr="006F0E6B">
              <w:t>Guidelines, is not currently foreseen under Portuguese law.</w:t>
            </w:r>
            <w:r>
              <w:t xml:space="preserve"> </w:t>
            </w:r>
            <w:r w:rsidRPr="006F0E6B">
              <w:t>Nevertheless, the aforementioned proposal to amend the Legal Framework of Credit Institutions</w:t>
            </w:r>
            <w:r>
              <w:t xml:space="preserve"> </w:t>
            </w:r>
            <w:r w:rsidRPr="006F0E6B">
              <w:t xml:space="preserve">and </w:t>
            </w:r>
            <w:r>
              <w:t>I</w:t>
            </w:r>
            <w:r w:rsidRPr="006F0E6B">
              <w:t>nvestment Firms in which Banco de Portugal is working on foresees this particular issue in</w:t>
            </w:r>
            <w:r>
              <w:t xml:space="preserve"> </w:t>
            </w:r>
            <w:r w:rsidRPr="006F0E6B">
              <w:t>order to ensure full compliance with the provisions of the Guidelines. As mentioned above, this</w:t>
            </w:r>
            <w:r>
              <w:t xml:space="preserve"> </w:t>
            </w:r>
            <w:r w:rsidRPr="006F0E6B">
              <w:t>proposal will be presented to the Portuguese Government, which is the competent entity to enact</w:t>
            </w:r>
            <w:r>
              <w:t xml:space="preserve"> </w:t>
            </w:r>
            <w:r w:rsidRPr="006F0E6B">
              <w:t>the corresponding legal instrument.</w:t>
            </w:r>
          </w:p>
        </w:tc>
      </w:tr>
      <w:tr w:rsidR="00713F48" w:rsidRPr="00A2678D" w14:paraId="7CC6F2FA" w14:textId="77777777" w:rsidTr="00BF3540">
        <w:tc>
          <w:tcPr>
            <w:tcW w:w="993" w:type="dxa"/>
            <w:gridSpan w:val="2"/>
            <w:vMerge/>
            <w:tcBorders>
              <w:left w:val="single" w:sz="4" w:space="0" w:color="auto"/>
              <w:bottom w:val="single" w:sz="4" w:space="0" w:color="auto"/>
              <w:right w:val="single" w:sz="4" w:space="0" w:color="auto"/>
            </w:tcBorders>
          </w:tcPr>
          <w:p w14:paraId="0D34B774" w14:textId="77777777" w:rsidR="00713F48" w:rsidRPr="00CD3A8C"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3A6EA346"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417A8EDE" w14:textId="2A813379" w:rsidR="00713F48" w:rsidRPr="00C82C29" w:rsidRDefault="00713F48" w:rsidP="00BF3540">
            <w:pPr>
              <w:pStyle w:val="Tabledata"/>
              <w:jc w:val="left"/>
              <w:rPr>
                <w:rFonts w:cs="Arial"/>
                <w:bCs w:val="0"/>
                <w:lang w:val="pt-PT"/>
              </w:rPr>
            </w:pPr>
            <w:proofErr w:type="spellStart"/>
            <w:r w:rsidRPr="00713F48">
              <w:rPr>
                <w:rFonts w:cs="Arial"/>
                <w:szCs w:val="20"/>
              </w:rPr>
              <w:t>Comissão</w:t>
            </w:r>
            <w:proofErr w:type="spellEnd"/>
            <w:r w:rsidRPr="00713F48">
              <w:rPr>
                <w:rFonts w:cs="Arial"/>
                <w:szCs w:val="20"/>
              </w:rPr>
              <w:t xml:space="preserve"> do Mercado de </w:t>
            </w:r>
            <w:proofErr w:type="spellStart"/>
            <w:r w:rsidRPr="00713F48">
              <w:rPr>
                <w:rFonts w:cs="Arial"/>
                <w:szCs w:val="20"/>
              </w:rPr>
              <w:t>Valores</w:t>
            </w:r>
            <w:proofErr w:type="spellEnd"/>
            <w:r w:rsidRPr="00713F48">
              <w:rPr>
                <w:rFonts w:cs="Arial"/>
                <w:szCs w:val="20"/>
              </w:rPr>
              <w:t xml:space="preserve"> </w:t>
            </w:r>
            <w:proofErr w:type="spellStart"/>
            <w:r w:rsidRPr="00713F48">
              <w:rPr>
                <w:rFonts w:cs="Arial"/>
                <w:szCs w:val="20"/>
              </w:rPr>
              <w:t>Mobiliários</w:t>
            </w:r>
            <w:proofErr w:type="spellEnd"/>
            <w:r w:rsidRPr="00713F48">
              <w:rPr>
                <w:rFonts w:cs="Arial"/>
                <w:szCs w:val="20"/>
              </w:rPr>
              <w:t xml:space="preserve"> (CMVM)</w:t>
            </w:r>
          </w:p>
        </w:tc>
        <w:tc>
          <w:tcPr>
            <w:tcW w:w="1134" w:type="dxa"/>
            <w:tcBorders>
              <w:top w:val="single" w:sz="4" w:space="0" w:color="auto"/>
              <w:left w:val="single" w:sz="4" w:space="0" w:color="auto"/>
              <w:bottom w:val="single" w:sz="4" w:space="0" w:color="auto"/>
              <w:right w:val="single" w:sz="4" w:space="0" w:color="auto"/>
            </w:tcBorders>
          </w:tcPr>
          <w:p w14:paraId="15C7BDB5" w14:textId="2B92C5E6"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2AC5812D" w14:textId="0F028374" w:rsidR="00713F48" w:rsidRDefault="00394213" w:rsidP="00BF3540">
            <w:pPr>
              <w:pStyle w:val="Tabledata"/>
              <w:ind w:left="284"/>
              <w:jc w:val="left"/>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5F96C91" w14:textId="11E6183B" w:rsidR="00713F48" w:rsidRDefault="00394213" w:rsidP="00BF3540">
            <w:pPr>
              <w:pStyle w:val="Tabledata"/>
              <w:contextualSpacing/>
              <w:jc w:val="left"/>
            </w:pPr>
            <w:r w:rsidRPr="00713F48">
              <w:rPr>
                <w:szCs w:val="20"/>
              </w:rPr>
              <w:t xml:space="preserve">As at </w:t>
            </w:r>
            <w:r w:rsidR="00796DC3">
              <w:rPr>
                <w:szCs w:val="20"/>
              </w:rPr>
              <w:t>24.10</w:t>
            </w:r>
            <w:r w:rsidRPr="00713F48">
              <w:rPr>
                <w:szCs w:val="20"/>
              </w:rPr>
              <w:t>.2018, notification date.</w:t>
            </w:r>
          </w:p>
        </w:tc>
      </w:tr>
      <w:tr w:rsidR="00713F48" w:rsidRPr="00A2678D" w14:paraId="57632EB4" w14:textId="77777777" w:rsidTr="00BF3540">
        <w:tc>
          <w:tcPr>
            <w:tcW w:w="993" w:type="dxa"/>
            <w:gridSpan w:val="2"/>
            <w:vMerge w:val="restart"/>
            <w:tcBorders>
              <w:top w:val="single" w:sz="4" w:space="0" w:color="auto"/>
              <w:left w:val="single" w:sz="4" w:space="0" w:color="auto"/>
              <w:right w:val="single" w:sz="4" w:space="0" w:color="auto"/>
            </w:tcBorders>
          </w:tcPr>
          <w:p w14:paraId="79DB19ED" w14:textId="77777777" w:rsidR="00713F48" w:rsidRPr="00DD00A2" w:rsidRDefault="00713F48" w:rsidP="00BF3540">
            <w:pPr>
              <w:pStyle w:val="Tabledata"/>
              <w:jc w:val="center"/>
              <w:rPr>
                <w:szCs w:val="20"/>
              </w:rPr>
            </w:pPr>
            <w:r w:rsidRPr="00CD3A8C">
              <w:t>RO</w:t>
            </w:r>
          </w:p>
        </w:tc>
        <w:tc>
          <w:tcPr>
            <w:tcW w:w="1418" w:type="dxa"/>
            <w:gridSpan w:val="2"/>
            <w:vMerge w:val="restart"/>
            <w:tcBorders>
              <w:top w:val="single" w:sz="4" w:space="0" w:color="auto"/>
              <w:left w:val="single" w:sz="4" w:space="0" w:color="auto"/>
              <w:right w:val="single" w:sz="4" w:space="0" w:color="auto"/>
            </w:tcBorders>
          </w:tcPr>
          <w:p w14:paraId="657E8A76" w14:textId="77777777" w:rsidR="00713F48" w:rsidRPr="00DD00A2" w:rsidRDefault="00713F48" w:rsidP="00BF3540">
            <w:pPr>
              <w:pStyle w:val="Tabledata"/>
              <w:jc w:val="center"/>
              <w:rPr>
                <w:szCs w:val="20"/>
              </w:rPr>
            </w:pPr>
            <w:r w:rsidRPr="00CD3A8C">
              <w:t>Romania</w:t>
            </w:r>
          </w:p>
        </w:tc>
        <w:tc>
          <w:tcPr>
            <w:tcW w:w="1559" w:type="dxa"/>
            <w:tcBorders>
              <w:top w:val="single" w:sz="4" w:space="0" w:color="auto"/>
              <w:left w:val="single" w:sz="4" w:space="0" w:color="auto"/>
              <w:bottom w:val="single" w:sz="4" w:space="0" w:color="auto"/>
              <w:right w:val="single" w:sz="4" w:space="0" w:color="auto"/>
            </w:tcBorders>
          </w:tcPr>
          <w:p w14:paraId="4292CA53" w14:textId="77777777" w:rsidR="00713F48" w:rsidRPr="00DD00A2" w:rsidRDefault="00713F48" w:rsidP="00BF3540">
            <w:pPr>
              <w:pStyle w:val="Tabledata"/>
              <w:jc w:val="left"/>
              <w:rPr>
                <w:szCs w:val="20"/>
              </w:rPr>
            </w:pPr>
            <w:r w:rsidRPr="00CD3A8C">
              <w:rPr>
                <w:rFonts w:cs="Arial"/>
                <w:szCs w:val="20"/>
              </w:rPr>
              <w:t>National Bank of Romania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2573A" w14:textId="06EAA019" w:rsidR="00713F48" w:rsidRPr="00180E1B" w:rsidRDefault="00713F48"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468BCDA" w14:textId="671B0919" w:rsidR="00713F48" w:rsidRPr="00180E1B" w:rsidRDefault="00713F48" w:rsidP="00BF3540">
            <w:pPr>
              <w:pStyle w:val="Tabledata"/>
              <w:ind w:left="284"/>
              <w:jc w:val="left"/>
              <w:rPr>
                <w:b/>
                <w:szCs w:val="20"/>
              </w:rPr>
            </w:pPr>
            <w:r>
              <w:rPr>
                <w:b/>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EBB4C6E" w14:textId="77777777" w:rsidR="00713F48" w:rsidRPr="000653C3" w:rsidRDefault="00713F48" w:rsidP="00BF3540">
            <w:pPr>
              <w:suppressAutoHyphens/>
              <w:rPr>
                <w:rFonts w:eastAsia="Times New Roman" w:cstheme="minorHAnsi"/>
                <w:bCs/>
                <w:color w:val="000000"/>
                <w:sz w:val="20"/>
                <w:lang w:eastAsia="en-GB"/>
              </w:rPr>
            </w:pPr>
            <w:r w:rsidRPr="000653C3">
              <w:rPr>
                <w:rFonts w:eastAsia="Times New Roman" w:cstheme="minorHAnsi"/>
                <w:bCs/>
                <w:color w:val="000000"/>
                <w:sz w:val="20"/>
                <w:lang w:eastAsia="en-GB"/>
              </w:rPr>
              <w:t xml:space="preserve">By such time as the necessary legislative or regulatory proceedings have been completed. </w:t>
            </w:r>
          </w:p>
          <w:p w14:paraId="35FAECE7" w14:textId="64F0BBA6" w:rsidR="00713F48" w:rsidRPr="000653C3" w:rsidRDefault="00713F48" w:rsidP="00BF3540">
            <w:pPr>
              <w:autoSpaceDE w:val="0"/>
              <w:autoSpaceDN w:val="0"/>
              <w:adjustRightInd w:val="0"/>
              <w:rPr>
                <w:rFonts w:eastAsia="Times New Roman" w:cstheme="minorHAnsi"/>
                <w:bCs/>
                <w:color w:val="000000"/>
                <w:sz w:val="20"/>
                <w:lang w:eastAsia="en-GB"/>
              </w:rPr>
            </w:pPr>
            <w:r w:rsidRPr="000653C3">
              <w:rPr>
                <w:rFonts w:eastAsia="Times New Roman" w:cstheme="minorHAnsi"/>
                <w:bCs/>
                <w:color w:val="000000"/>
                <w:sz w:val="20"/>
                <w:lang w:eastAsia="en-GB"/>
              </w:rPr>
              <w:t>In this respect, we mention that, we are currently in the</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process of reviewing the regulatory framework applicable to credit institutions in the areas such</w:t>
            </w:r>
          </w:p>
          <w:p w14:paraId="3E3760CE" w14:textId="67F377F7" w:rsidR="00713F48" w:rsidRPr="000653C3" w:rsidRDefault="00713F48" w:rsidP="00BF3540">
            <w:pPr>
              <w:autoSpaceDE w:val="0"/>
              <w:autoSpaceDN w:val="0"/>
              <w:adjustRightInd w:val="0"/>
              <w:rPr>
                <w:rFonts w:eastAsia="Times New Roman" w:cstheme="minorHAnsi"/>
                <w:bCs/>
                <w:color w:val="000000"/>
                <w:sz w:val="20"/>
                <w:lang w:eastAsia="en-GB"/>
              </w:rPr>
            </w:pPr>
            <w:r w:rsidRPr="000653C3">
              <w:rPr>
                <w:rFonts w:eastAsia="Times New Roman" w:cstheme="minorHAnsi"/>
                <w:bCs/>
                <w:color w:val="000000"/>
                <w:sz w:val="20"/>
                <w:lang w:eastAsia="en-GB"/>
              </w:rPr>
              <w:t>as: authorization, changes occurred in the activity of the credit institutions after authorisation,</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mergers/divisions and authorisation of the bridge credit institution, which is mainly determined</w:t>
            </w:r>
          </w:p>
          <w:p w14:paraId="1121C3DA" w14:textId="42008AEE" w:rsidR="00713F48" w:rsidRPr="000653C3" w:rsidRDefault="00713F48" w:rsidP="00BF3540">
            <w:pPr>
              <w:autoSpaceDE w:val="0"/>
              <w:autoSpaceDN w:val="0"/>
              <w:adjustRightInd w:val="0"/>
              <w:rPr>
                <w:rFonts w:eastAsia="Times New Roman" w:cstheme="minorHAnsi"/>
                <w:bCs/>
                <w:color w:val="000000"/>
                <w:sz w:val="20"/>
                <w:lang w:eastAsia="en-GB"/>
              </w:rPr>
            </w:pPr>
            <w:proofErr w:type="gramStart"/>
            <w:r w:rsidRPr="000653C3">
              <w:rPr>
                <w:rFonts w:eastAsia="Times New Roman" w:cstheme="minorHAnsi"/>
                <w:bCs/>
                <w:color w:val="000000"/>
                <w:sz w:val="20"/>
                <w:lang w:eastAsia="en-GB"/>
              </w:rPr>
              <w:t>by</w:t>
            </w:r>
            <w:proofErr w:type="gramEnd"/>
            <w:r w:rsidRPr="000653C3">
              <w:rPr>
                <w:rFonts w:eastAsia="Times New Roman" w:cstheme="minorHAnsi"/>
                <w:bCs/>
                <w:color w:val="000000"/>
                <w:sz w:val="20"/>
                <w:lang w:eastAsia="en-GB"/>
              </w:rPr>
              <w:t xml:space="preserve"> the development of EBA's draft regulatory and implementing technical standards in the field of</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authorization (RTS and ITS). In this context, we also intend to ensure the transposition of the new</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EBA Guideli</w:t>
            </w:r>
            <w:r>
              <w:rPr>
                <w:rFonts w:eastAsia="Times New Roman" w:cstheme="minorHAnsi"/>
                <w:bCs/>
                <w:color w:val="000000"/>
                <w:sz w:val="20"/>
                <w:lang w:eastAsia="en-GB"/>
              </w:rPr>
              <w:t>nes on internal governance (EBA</w:t>
            </w:r>
            <w:r w:rsidRPr="000653C3">
              <w:rPr>
                <w:rFonts w:eastAsia="Times New Roman" w:cstheme="minorHAnsi"/>
                <w:bCs/>
                <w:color w:val="000000"/>
                <w:sz w:val="20"/>
                <w:lang w:eastAsia="en-GB"/>
              </w:rPr>
              <w:t>/GL/2017 /11) and EBA Guidelines on the assessment</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of th</w:t>
            </w:r>
            <w:r>
              <w:rPr>
                <w:rFonts w:eastAsia="Times New Roman" w:cstheme="minorHAnsi"/>
                <w:bCs/>
                <w:color w:val="000000"/>
                <w:sz w:val="20"/>
                <w:lang w:eastAsia="en-GB"/>
              </w:rPr>
              <w:t xml:space="preserve">e suitability of members of the </w:t>
            </w:r>
            <w:r w:rsidRPr="000653C3">
              <w:rPr>
                <w:rFonts w:eastAsia="Times New Roman" w:cstheme="minorHAnsi"/>
                <w:bCs/>
                <w:color w:val="000000"/>
                <w:sz w:val="20"/>
                <w:lang w:eastAsia="en-GB"/>
              </w:rPr>
              <w:t>management body and key function holders</w:t>
            </w:r>
            <w:r>
              <w:rPr>
                <w:rFonts w:eastAsia="Times New Roman" w:cstheme="minorHAnsi"/>
                <w:bCs/>
                <w:color w:val="000000"/>
                <w:sz w:val="20"/>
                <w:lang w:eastAsia="en-GB"/>
              </w:rPr>
              <w:t xml:space="preserve"> (EBA/GL/2017</w:t>
            </w:r>
            <w:r w:rsidRPr="000653C3">
              <w:rPr>
                <w:rFonts w:eastAsia="Times New Roman" w:cstheme="minorHAnsi"/>
                <w:bCs/>
                <w:color w:val="000000"/>
                <w:sz w:val="20"/>
                <w:lang w:eastAsia="en-GB"/>
              </w:rPr>
              <w:t>/12) into national regulation. As a result, the completion of the transposition of the above mentioned guidelines depends on the adoption and publication in the Official Journal of</w:t>
            </w:r>
            <w:r>
              <w:rPr>
                <w:rFonts w:eastAsia="Times New Roman" w:cstheme="minorHAnsi"/>
                <w:bCs/>
                <w:color w:val="000000"/>
                <w:sz w:val="20"/>
                <w:lang w:eastAsia="en-GB"/>
              </w:rPr>
              <w:t xml:space="preserve"> </w:t>
            </w:r>
            <w:r w:rsidRPr="000653C3">
              <w:rPr>
                <w:rFonts w:eastAsia="Times New Roman" w:cstheme="minorHAnsi"/>
                <w:bCs/>
                <w:color w:val="000000"/>
                <w:sz w:val="20"/>
                <w:lang w:eastAsia="en-GB"/>
              </w:rPr>
              <w:t>the UE of RTS and ITS."</w:t>
            </w:r>
          </w:p>
        </w:tc>
      </w:tr>
      <w:tr w:rsidR="00713F48" w:rsidRPr="00A2678D" w14:paraId="7767EAC6" w14:textId="77777777" w:rsidTr="00BF3540">
        <w:tc>
          <w:tcPr>
            <w:tcW w:w="993" w:type="dxa"/>
            <w:gridSpan w:val="2"/>
            <w:vMerge/>
            <w:tcBorders>
              <w:left w:val="single" w:sz="4" w:space="0" w:color="auto"/>
              <w:bottom w:val="single" w:sz="4" w:space="0" w:color="auto"/>
              <w:right w:val="single" w:sz="4" w:space="0" w:color="auto"/>
            </w:tcBorders>
          </w:tcPr>
          <w:p w14:paraId="26D82948" w14:textId="77777777" w:rsidR="00713F48" w:rsidRPr="00CD3A8C" w:rsidRDefault="00713F48"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4DB472AB" w14:textId="77777777" w:rsidR="00713F48" w:rsidRPr="00CD3A8C" w:rsidRDefault="00713F48"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1E9FD6DA" w14:textId="35639B64" w:rsidR="00713F48" w:rsidRPr="00CD3A8C" w:rsidRDefault="00713F48" w:rsidP="00BF3540">
            <w:pPr>
              <w:pStyle w:val="Tabledata"/>
              <w:jc w:val="left"/>
              <w:rPr>
                <w:rFonts w:cs="Arial"/>
                <w:szCs w:val="20"/>
              </w:rPr>
            </w:pPr>
            <w:r w:rsidRPr="00713F48">
              <w:rPr>
                <w:rFonts w:cs="Arial"/>
                <w:szCs w:val="20"/>
              </w:rPr>
              <w:t>Romanian Financial Supervisory Authority (ASF)</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21CAB" w14:textId="094D3D8D" w:rsidR="00713F48" w:rsidRDefault="00713F48"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D12C427" w14:textId="34148B7C" w:rsidR="00713F48" w:rsidRDefault="00713F48" w:rsidP="00BF3540">
            <w:pPr>
              <w:pStyle w:val="Tabledata"/>
              <w:ind w:left="284"/>
              <w:jc w:val="left"/>
              <w:rPr>
                <w:b/>
                <w:szCs w:val="20"/>
              </w:rPr>
            </w:pPr>
            <w:r>
              <w:rPr>
                <w:b/>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3FC0C13" w14:textId="680E7C3E" w:rsidR="00713F48" w:rsidRPr="000653C3" w:rsidRDefault="001E1141" w:rsidP="00BF3540">
            <w:pPr>
              <w:suppressAutoHyphens/>
              <w:rPr>
                <w:rFonts w:eastAsia="Times New Roman" w:cstheme="minorHAnsi"/>
                <w:bCs/>
                <w:color w:val="000000"/>
                <w:sz w:val="20"/>
                <w:lang w:eastAsia="en-GB"/>
              </w:rPr>
            </w:pPr>
            <w:r w:rsidRPr="001E1141">
              <w:rPr>
                <w:rFonts w:eastAsia="Times New Roman" w:cstheme="minorHAnsi"/>
                <w:bCs/>
                <w:color w:val="000000"/>
                <w:sz w:val="20"/>
                <w:lang w:eastAsia="en-GB"/>
              </w:rPr>
              <w:t>By 01.01.2019</w:t>
            </w:r>
          </w:p>
        </w:tc>
      </w:tr>
      <w:tr w:rsidR="001E1141" w:rsidRPr="00A2678D" w14:paraId="3FF1D6AB" w14:textId="77777777" w:rsidTr="00BF3540">
        <w:tc>
          <w:tcPr>
            <w:tcW w:w="993" w:type="dxa"/>
            <w:gridSpan w:val="2"/>
            <w:vMerge w:val="restart"/>
            <w:tcBorders>
              <w:top w:val="single" w:sz="4" w:space="0" w:color="auto"/>
              <w:left w:val="single" w:sz="4" w:space="0" w:color="auto"/>
              <w:right w:val="single" w:sz="4" w:space="0" w:color="auto"/>
            </w:tcBorders>
          </w:tcPr>
          <w:p w14:paraId="13038530" w14:textId="77777777" w:rsidR="001E1141" w:rsidRPr="00DD00A2" w:rsidRDefault="001E1141" w:rsidP="00BF3540">
            <w:pPr>
              <w:pStyle w:val="Tabledata"/>
              <w:jc w:val="center"/>
              <w:rPr>
                <w:szCs w:val="20"/>
              </w:rPr>
            </w:pPr>
            <w:r w:rsidRPr="00CD3A8C">
              <w:t>SI</w:t>
            </w:r>
          </w:p>
        </w:tc>
        <w:tc>
          <w:tcPr>
            <w:tcW w:w="1418" w:type="dxa"/>
            <w:gridSpan w:val="2"/>
            <w:vMerge w:val="restart"/>
            <w:tcBorders>
              <w:top w:val="single" w:sz="4" w:space="0" w:color="auto"/>
              <w:left w:val="single" w:sz="4" w:space="0" w:color="auto"/>
              <w:right w:val="single" w:sz="4" w:space="0" w:color="auto"/>
            </w:tcBorders>
          </w:tcPr>
          <w:p w14:paraId="09193518" w14:textId="77777777" w:rsidR="001E1141" w:rsidRPr="00DD00A2" w:rsidRDefault="001E1141" w:rsidP="00BF3540">
            <w:pPr>
              <w:pStyle w:val="Tabledata"/>
              <w:jc w:val="center"/>
              <w:rPr>
                <w:szCs w:val="20"/>
              </w:rPr>
            </w:pPr>
            <w:r w:rsidRPr="00CD3A8C">
              <w:t>Slovenia</w:t>
            </w:r>
          </w:p>
        </w:tc>
        <w:tc>
          <w:tcPr>
            <w:tcW w:w="1559" w:type="dxa"/>
            <w:tcBorders>
              <w:top w:val="single" w:sz="4" w:space="0" w:color="auto"/>
              <w:left w:val="single" w:sz="4" w:space="0" w:color="auto"/>
              <w:bottom w:val="single" w:sz="4" w:space="0" w:color="auto"/>
              <w:right w:val="single" w:sz="4" w:space="0" w:color="auto"/>
            </w:tcBorders>
          </w:tcPr>
          <w:p w14:paraId="2716851B" w14:textId="16E01E6B" w:rsidR="001E1141" w:rsidRPr="00DD00A2" w:rsidRDefault="001E1141" w:rsidP="00BF3540">
            <w:pPr>
              <w:pStyle w:val="Tabledata"/>
              <w:jc w:val="left"/>
              <w:rPr>
                <w:szCs w:val="20"/>
              </w:rPr>
            </w:pPr>
            <w:r>
              <w:t xml:space="preserve">Banka </w:t>
            </w:r>
            <w:proofErr w:type="spellStart"/>
            <w:r>
              <w:t>Slovenije</w:t>
            </w:r>
            <w:proofErr w:type="spellEnd"/>
          </w:p>
        </w:tc>
        <w:tc>
          <w:tcPr>
            <w:tcW w:w="1134" w:type="dxa"/>
            <w:tcBorders>
              <w:top w:val="single" w:sz="4" w:space="0" w:color="auto"/>
              <w:left w:val="single" w:sz="4" w:space="0" w:color="auto"/>
              <w:bottom w:val="single" w:sz="4" w:space="0" w:color="auto"/>
              <w:right w:val="single" w:sz="4" w:space="0" w:color="auto"/>
            </w:tcBorders>
          </w:tcPr>
          <w:p w14:paraId="414D7D35" w14:textId="2EFBB1B5" w:rsidR="001E1141" w:rsidRPr="00180E1B" w:rsidRDefault="001E1141"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25FD16CE" w14:textId="08DD477F" w:rsidR="001E1141" w:rsidRPr="00180E1B" w:rsidRDefault="001E1141"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BF137AE" w14:textId="7DA376D3" w:rsidR="001E1141" w:rsidRPr="00180E1B" w:rsidRDefault="001E1141" w:rsidP="00BF3540">
            <w:pPr>
              <w:pStyle w:val="Tabledata"/>
              <w:contextualSpacing/>
              <w:jc w:val="left"/>
            </w:pPr>
            <w:r w:rsidRPr="003E0C89">
              <w:rPr>
                <w:bCs w:val="0"/>
                <w:szCs w:val="20"/>
                <w:lang w:val="sv-SE"/>
              </w:rPr>
              <w:t>In carrying the tasks and powers of supervision In accordance with Banking Act and Regulation (EU) No.</w:t>
            </w:r>
            <w:r>
              <w:rPr>
                <w:bCs w:val="0"/>
                <w:szCs w:val="20"/>
                <w:lang w:val="sv-SE"/>
              </w:rPr>
              <w:t xml:space="preserve"> </w:t>
            </w:r>
            <w:r w:rsidRPr="003E0C89">
              <w:rPr>
                <w:bCs w:val="0"/>
                <w:szCs w:val="20"/>
                <w:lang w:val="sv-SE"/>
              </w:rPr>
              <w:t>575/2013, the Bank of Slovenia does not, and does not Intend to comply with the Guidelines within the</w:t>
            </w:r>
            <w:r>
              <w:rPr>
                <w:bCs w:val="0"/>
                <w:szCs w:val="20"/>
                <w:lang w:val="sv-SE"/>
              </w:rPr>
              <w:t xml:space="preserve"> </w:t>
            </w:r>
            <w:r w:rsidRPr="003E0C89">
              <w:rPr>
                <w:bCs w:val="0"/>
                <w:szCs w:val="20"/>
                <w:lang w:val="sv-SE"/>
              </w:rPr>
              <w:t>scope of those prov</w:t>
            </w:r>
            <w:r>
              <w:rPr>
                <w:bCs w:val="0"/>
                <w:szCs w:val="20"/>
                <w:lang w:val="sv-SE"/>
              </w:rPr>
              <w:t xml:space="preserve">isions of Title VIII of the Guidelines </w:t>
            </w:r>
            <w:r w:rsidRPr="003E0C89">
              <w:rPr>
                <w:bCs w:val="0"/>
                <w:szCs w:val="20"/>
                <w:lang w:val="sv-SE"/>
              </w:rPr>
              <w:t>that relate to the supervisory assessment of the</w:t>
            </w:r>
            <w:r>
              <w:rPr>
                <w:bCs w:val="0"/>
                <w:szCs w:val="20"/>
                <w:lang w:val="sv-SE"/>
              </w:rPr>
              <w:t xml:space="preserve"> </w:t>
            </w:r>
            <w:r w:rsidRPr="003E0C89">
              <w:rPr>
                <w:bCs w:val="0"/>
                <w:szCs w:val="20"/>
                <w:lang w:val="sv-SE"/>
              </w:rPr>
              <w:t>suitoblllty of Heads of Internal control functions and of the Chief Financial Officer when these persons ore</w:t>
            </w:r>
            <w:r>
              <w:rPr>
                <w:bCs w:val="0"/>
                <w:szCs w:val="20"/>
                <w:lang w:val="sv-SE"/>
              </w:rPr>
              <w:t xml:space="preserve"> </w:t>
            </w:r>
            <w:r w:rsidRPr="003E0C89">
              <w:rPr>
                <w:bCs w:val="0"/>
                <w:szCs w:val="20"/>
                <w:lang w:val="sv-SE"/>
              </w:rPr>
              <w:t>not members of the governing body.</w:t>
            </w:r>
            <w:r>
              <w:rPr>
                <w:bCs w:val="0"/>
                <w:szCs w:val="20"/>
                <w:lang w:val="sv-SE"/>
              </w:rPr>
              <w:t xml:space="preserve"> </w:t>
            </w:r>
            <w:r w:rsidRPr="001D02B8">
              <w:rPr>
                <w:bCs w:val="0"/>
                <w:szCs w:val="20"/>
                <w:lang w:val="sv-SE"/>
              </w:rPr>
              <w:t xml:space="preserve">Bank of Slovenla intends to comply with the rest of the Guidelines by 30 June 2018. </w:t>
            </w:r>
            <w:r>
              <w:rPr>
                <w:bCs w:val="0"/>
                <w:szCs w:val="20"/>
                <w:lang w:val="sv-SE"/>
              </w:rPr>
              <w:t xml:space="preserve">  </w:t>
            </w:r>
            <w:r w:rsidRPr="001D02B8">
              <w:rPr>
                <w:szCs w:val="20"/>
                <w:lang w:val="sv-SE"/>
              </w:rPr>
              <w:t xml:space="preserve">In our view the supervisory assessment of KFH - applicable to </w:t>
            </w:r>
            <w:r>
              <w:rPr>
                <w:szCs w:val="20"/>
                <w:lang w:val="sv-SE"/>
              </w:rPr>
              <w:t>the suitability</w:t>
            </w:r>
            <w:r w:rsidRPr="001D02B8">
              <w:rPr>
                <w:szCs w:val="20"/>
                <w:lang w:val="sv-SE"/>
              </w:rPr>
              <w:t xml:space="preserve"> assessment of members of the</w:t>
            </w:r>
            <w:r>
              <w:rPr>
                <w:szCs w:val="20"/>
                <w:lang w:val="sv-SE"/>
              </w:rPr>
              <w:t xml:space="preserve"> </w:t>
            </w:r>
            <w:r w:rsidRPr="001D02B8">
              <w:rPr>
                <w:szCs w:val="20"/>
                <w:lang w:val="sv-SE"/>
              </w:rPr>
              <w:t>management body of Institutions, as well as the heads of Internal control functions and the CFO, where they</w:t>
            </w:r>
            <w:r>
              <w:rPr>
                <w:szCs w:val="20"/>
                <w:lang w:val="sv-SE"/>
              </w:rPr>
              <w:t xml:space="preserve"> </w:t>
            </w:r>
            <w:r w:rsidRPr="001D02B8">
              <w:rPr>
                <w:szCs w:val="20"/>
                <w:lang w:val="sv-SE"/>
              </w:rPr>
              <w:t>are not part of the management body, In the case of significant CRD-institutions, para 170) - is not</w:t>
            </w:r>
            <w:r>
              <w:rPr>
                <w:szCs w:val="20"/>
                <w:lang w:val="sv-SE"/>
              </w:rPr>
              <w:t xml:space="preserve"> </w:t>
            </w:r>
            <w:r w:rsidRPr="001D02B8">
              <w:rPr>
                <w:szCs w:val="20"/>
                <w:lang w:val="sv-SE"/>
              </w:rPr>
              <w:t>reasonable nor proportionate In the conditions of relatively small banks (which is the case in Slovenia</w:t>
            </w:r>
            <w:r>
              <w:rPr>
                <w:szCs w:val="20"/>
                <w:lang w:val="sv-SE"/>
              </w:rPr>
              <w:t xml:space="preserve"> </w:t>
            </w:r>
            <w:r w:rsidRPr="001D02B8">
              <w:rPr>
                <w:szCs w:val="20"/>
                <w:lang w:val="sv-SE"/>
              </w:rPr>
              <w:t>compared to EU systemically important Institutions)</w:t>
            </w:r>
            <w:r>
              <w:rPr>
                <w:szCs w:val="20"/>
                <w:lang w:val="sv-SE"/>
              </w:rPr>
              <w:t>. Namely, this could result in an i</w:t>
            </w:r>
            <w:r w:rsidRPr="001D02B8">
              <w:rPr>
                <w:szCs w:val="20"/>
                <w:lang w:val="sv-SE"/>
              </w:rPr>
              <w:t>nappropriate</w:t>
            </w:r>
            <w:r>
              <w:rPr>
                <w:szCs w:val="20"/>
                <w:lang w:val="sv-SE"/>
              </w:rPr>
              <w:t xml:space="preserve"> </w:t>
            </w:r>
            <w:r w:rsidRPr="001D02B8">
              <w:rPr>
                <w:szCs w:val="20"/>
                <w:lang w:val="sv-SE"/>
              </w:rPr>
              <w:t>Interference to Internal governance arrangements of particular Institution. We believe that the supervisor</w:t>
            </w:r>
            <w:r>
              <w:rPr>
                <w:szCs w:val="20"/>
                <w:lang w:val="sv-SE"/>
              </w:rPr>
              <w:t xml:space="preserve"> </w:t>
            </w:r>
            <w:r w:rsidRPr="001D02B8">
              <w:rPr>
                <w:szCs w:val="20"/>
                <w:lang w:val="sv-SE"/>
              </w:rPr>
              <w:t>should particular monitor the effectiveness of the institution's internal governance arrangements and how</w:t>
            </w:r>
            <w:r>
              <w:rPr>
                <w:szCs w:val="20"/>
                <w:lang w:val="sv-SE"/>
              </w:rPr>
              <w:t xml:space="preserve"> </w:t>
            </w:r>
            <w:r w:rsidRPr="001D02B8">
              <w:rPr>
                <w:szCs w:val="20"/>
                <w:lang w:val="sv-SE"/>
              </w:rPr>
              <w:t>the Individual KFH contributes to these processes, but not also to assess the professional qualifications of</w:t>
            </w:r>
            <w:r>
              <w:rPr>
                <w:szCs w:val="20"/>
                <w:lang w:val="sv-SE"/>
              </w:rPr>
              <w:t xml:space="preserve"> </w:t>
            </w:r>
            <w:r w:rsidRPr="001D02B8">
              <w:rPr>
                <w:szCs w:val="20"/>
                <w:lang w:val="sv-SE"/>
              </w:rPr>
              <w:t xml:space="preserve">these persons. The choice of these persons should be, In particular, the </w:t>
            </w:r>
            <w:r>
              <w:rPr>
                <w:szCs w:val="20"/>
                <w:lang w:val="sv-SE"/>
              </w:rPr>
              <w:t>result of professional</w:t>
            </w:r>
            <w:r w:rsidRPr="001D02B8">
              <w:rPr>
                <w:szCs w:val="20"/>
                <w:lang w:val="sv-SE"/>
              </w:rPr>
              <w:t xml:space="preserve"> decision of</w:t>
            </w:r>
            <w:r>
              <w:rPr>
                <w:szCs w:val="20"/>
                <w:lang w:val="sv-SE"/>
              </w:rPr>
              <w:t xml:space="preserve"> </w:t>
            </w:r>
            <w:r w:rsidRPr="001D02B8">
              <w:rPr>
                <w:szCs w:val="20"/>
                <w:lang w:val="sv-SE"/>
              </w:rPr>
              <w:t xml:space="preserve">the </w:t>
            </w:r>
            <w:r>
              <w:rPr>
                <w:szCs w:val="20"/>
                <w:lang w:val="sv-SE"/>
              </w:rPr>
              <w:t xml:space="preserve">bank in accordance with its needs </w:t>
            </w:r>
            <w:r w:rsidRPr="001D02B8">
              <w:rPr>
                <w:szCs w:val="20"/>
                <w:lang w:val="sv-SE"/>
              </w:rPr>
              <w:t>(size of the bank, riskiness of their portfolios, types of products,</w:t>
            </w:r>
            <w:r>
              <w:rPr>
                <w:szCs w:val="20"/>
                <w:lang w:val="sv-SE"/>
              </w:rPr>
              <w:t xml:space="preserve"> </w:t>
            </w:r>
            <w:r w:rsidRPr="001D02B8">
              <w:rPr>
                <w:szCs w:val="20"/>
                <w:lang w:val="sv-SE"/>
              </w:rPr>
              <w:t xml:space="preserve">internal organization Issues, nature, scope and complexity of Its activities, risk </w:t>
            </w:r>
            <w:r>
              <w:rPr>
                <w:szCs w:val="20"/>
                <w:lang w:val="sv-SE"/>
              </w:rPr>
              <w:t>m</w:t>
            </w:r>
            <w:r w:rsidRPr="001D02B8">
              <w:rPr>
                <w:szCs w:val="20"/>
                <w:lang w:val="sv-SE"/>
              </w:rPr>
              <w:t>anagement systems).</w:t>
            </w:r>
            <w:r>
              <w:rPr>
                <w:szCs w:val="20"/>
                <w:lang w:val="sv-SE"/>
              </w:rPr>
              <w:t xml:space="preserve"> </w:t>
            </w:r>
            <w:r w:rsidRPr="001D02B8">
              <w:rPr>
                <w:szCs w:val="20"/>
                <w:lang w:val="sv-SE"/>
              </w:rPr>
              <w:t>Furthermore these persons carry out their activities within the expert (and not management) functions of</w:t>
            </w:r>
            <w:r>
              <w:rPr>
                <w:szCs w:val="20"/>
                <w:lang w:val="sv-SE"/>
              </w:rPr>
              <w:t xml:space="preserve"> </w:t>
            </w:r>
            <w:r w:rsidRPr="001D02B8">
              <w:rPr>
                <w:szCs w:val="20"/>
                <w:lang w:val="sv-SE"/>
              </w:rPr>
              <w:t>the bank.</w:t>
            </w:r>
            <w:r>
              <w:rPr>
                <w:szCs w:val="20"/>
                <w:lang w:val="sv-SE"/>
              </w:rPr>
              <w:t xml:space="preserve"> </w:t>
            </w:r>
            <w:r w:rsidRPr="001D02B8">
              <w:rPr>
                <w:szCs w:val="20"/>
                <w:lang w:val="sv-SE"/>
              </w:rPr>
              <w:t xml:space="preserve">In our opinion the supervisor could find It difficult to adequately assess the </w:t>
            </w:r>
            <w:r>
              <w:rPr>
                <w:szCs w:val="20"/>
                <w:lang w:val="sv-SE"/>
              </w:rPr>
              <w:t>professional qualifi</w:t>
            </w:r>
            <w:r w:rsidRPr="001D02B8">
              <w:rPr>
                <w:szCs w:val="20"/>
                <w:lang w:val="sv-SE"/>
              </w:rPr>
              <w:t>cations of the</w:t>
            </w:r>
            <w:r>
              <w:rPr>
                <w:szCs w:val="20"/>
                <w:lang w:val="sv-SE"/>
              </w:rPr>
              <w:t xml:space="preserve"> </w:t>
            </w:r>
            <w:r w:rsidRPr="001D02B8">
              <w:rPr>
                <w:szCs w:val="20"/>
                <w:lang w:val="sv-SE"/>
              </w:rPr>
              <w:t>KFH In relation to the actual needs of the bank, especially for persons who are (yet) not known in the wider</w:t>
            </w:r>
            <w:r>
              <w:rPr>
                <w:szCs w:val="20"/>
                <w:lang w:val="sv-SE"/>
              </w:rPr>
              <w:t xml:space="preserve"> </w:t>
            </w:r>
            <w:r w:rsidRPr="001D02B8">
              <w:rPr>
                <w:szCs w:val="20"/>
                <w:lang w:val="sv-SE"/>
              </w:rPr>
              <w:t>banking environment. This could be the case In the smaller banking systems (as in Slovenia</w:t>
            </w:r>
            <w:r>
              <w:rPr>
                <w:szCs w:val="20"/>
                <w:lang w:val="sv-SE"/>
              </w:rPr>
              <w:t>)</w:t>
            </w:r>
            <w:r w:rsidRPr="001D02B8">
              <w:rPr>
                <w:szCs w:val="20"/>
                <w:lang w:val="sv-SE"/>
              </w:rPr>
              <w:t>.</w:t>
            </w:r>
            <w:r>
              <w:rPr>
                <w:szCs w:val="20"/>
                <w:lang w:val="sv-SE"/>
              </w:rPr>
              <w:t xml:space="preserve"> </w:t>
            </w:r>
            <w:r w:rsidRPr="001D02B8">
              <w:rPr>
                <w:szCs w:val="20"/>
                <w:lang w:val="sv-SE"/>
              </w:rPr>
              <w:t>Furthermore, a multiple consecutive negative supervisory assessment of the suitability of the candidates for</w:t>
            </w:r>
            <w:r>
              <w:rPr>
                <w:szCs w:val="20"/>
                <w:lang w:val="sv-SE"/>
              </w:rPr>
              <w:t xml:space="preserve"> </w:t>
            </w:r>
            <w:r w:rsidRPr="001D02B8">
              <w:rPr>
                <w:szCs w:val="20"/>
                <w:lang w:val="sv-SE"/>
              </w:rPr>
              <w:t>KFH functions may result vacant managerial positions of functions In question for a longer period (months,</w:t>
            </w:r>
            <w:r>
              <w:rPr>
                <w:szCs w:val="20"/>
                <w:lang w:val="sv-SE"/>
              </w:rPr>
              <w:t xml:space="preserve"> </w:t>
            </w:r>
            <w:r w:rsidRPr="001D02B8">
              <w:rPr>
                <w:szCs w:val="20"/>
                <w:lang w:val="sv-SE"/>
              </w:rPr>
              <w:t>even years), considering the length of supervisory suitability assessment procedures and the length of</w:t>
            </w:r>
            <w:r>
              <w:rPr>
                <w:szCs w:val="20"/>
                <w:lang w:val="sv-SE"/>
              </w:rPr>
              <w:t xml:space="preserve"> </w:t>
            </w:r>
            <w:r w:rsidRPr="001D02B8">
              <w:rPr>
                <w:szCs w:val="20"/>
                <w:lang w:val="sv-SE"/>
              </w:rPr>
              <w:t>selection processes in banks.</w:t>
            </w:r>
            <w:r>
              <w:rPr>
                <w:szCs w:val="20"/>
                <w:lang w:val="sv-SE"/>
              </w:rPr>
              <w:t xml:space="preserve"> Any other additio</w:t>
            </w:r>
            <w:r w:rsidRPr="001D02B8">
              <w:rPr>
                <w:szCs w:val="20"/>
                <w:lang w:val="sv-SE"/>
              </w:rPr>
              <w:t>nal Information that may be necessary:</w:t>
            </w:r>
            <w:r>
              <w:rPr>
                <w:szCs w:val="20"/>
                <w:lang w:val="sv-SE"/>
              </w:rPr>
              <w:t xml:space="preserve"> </w:t>
            </w:r>
            <w:r w:rsidRPr="001D02B8">
              <w:rPr>
                <w:szCs w:val="20"/>
                <w:lang w:val="sv-SE"/>
              </w:rPr>
              <w:t>Slovenian Banking Law does not provide a legal basis for the supervisory assessment of the suitability of the</w:t>
            </w:r>
            <w:r>
              <w:rPr>
                <w:szCs w:val="20"/>
                <w:lang w:val="sv-SE"/>
              </w:rPr>
              <w:t xml:space="preserve"> </w:t>
            </w:r>
            <w:r w:rsidRPr="001D02B8">
              <w:rPr>
                <w:szCs w:val="20"/>
                <w:lang w:val="sv-SE"/>
              </w:rPr>
              <w:t xml:space="preserve">KFH. The Banking Law should therefore first be amended to </w:t>
            </w:r>
            <w:r>
              <w:rPr>
                <w:szCs w:val="20"/>
                <w:lang w:val="sv-SE"/>
              </w:rPr>
              <w:t xml:space="preserve">allow the full </w:t>
            </w:r>
            <w:r w:rsidRPr="001D02B8">
              <w:rPr>
                <w:szCs w:val="20"/>
                <w:lang w:val="sv-SE"/>
              </w:rPr>
              <w:t>compliance with the guidelines.</w:t>
            </w:r>
          </w:p>
        </w:tc>
      </w:tr>
      <w:tr w:rsidR="001E1141" w:rsidRPr="00A2678D" w14:paraId="49547E87" w14:textId="77777777" w:rsidTr="00BF3540">
        <w:tc>
          <w:tcPr>
            <w:tcW w:w="993" w:type="dxa"/>
            <w:gridSpan w:val="2"/>
            <w:vMerge/>
            <w:tcBorders>
              <w:left w:val="single" w:sz="4" w:space="0" w:color="auto"/>
              <w:bottom w:val="single" w:sz="4" w:space="0" w:color="auto"/>
              <w:right w:val="single" w:sz="4" w:space="0" w:color="auto"/>
            </w:tcBorders>
          </w:tcPr>
          <w:p w14:paraId="70B39BF7" w14:textId="77777777" w:rsidR="001E1141" w:rsidRPr="00CD3A8C" w:rsidRDefault="001E1141"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35733749" w14:textId="77777777" w:rsidR="001E1141" w:rsidRPr="00CD3A8C" w:rsidRDefault="001E1141"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201CBC5F" w14:textId="43DD6755" w:rsidR="001E1141" w:rsidRDefault="001E1141" w:rsidP="00BF3540">
            <w:pPr>
              <w:pStyle w:val="Tabledata"/>
              <w:jc w:val="left"/>
            </w:pPr>
            <w:r w:rsidRPr="00A91275">
              <w:t>Securities Market Agency (SMA)</w:t>
            </w:r>
          </w:p>
        </w:tc>
        <w:tc>
          <w:tcPr>
            <w:tcW w:w="1134" w:type="dxa"/>
            <w:tcBorders>
              <w:top w:val="single" w:sz="4" w:space="0" w:color="auto"/>
              <w:left w:val="single" w:sz="4" w:space="0" w:color="auto"/>
              <w:bottom w:val="single" w:sz="4" w:space="0" w:color="auto"/>
              <w:right w:val="single" w:sz="4" w:space="0" w:color="auto"/>
            </w:tcBorders>
          </w:tcPr>
          <w:p w14:paraId="09733B9E" w14:textId="5F15EE5E" w:rsidR="001E1141" w:rsidRDefault="001E1141"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24C2CB3B" w14:textId="0D921B01" w:rsidR="001E1141" w:rsidRDefault="001E1141" w:rsidP="00BF3540">
            <w:pPr>
              <w:pStyle w:val="Tabledata"/>
              <w:jc w:val="center"/>
              <w:rPr>
                <w:b/>
                <w:color w:val="auto"/>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FFB5E10" w14:textId="7CDCE8DF" w:rsidR="001E1141" w:rsidRPr="001D02B8" w:rsidRDefault="001E1141" w:rsidP="00BF3540">
            <w:pPr>
              <w:pStyle w:val="Tabledata"/>
              <w:contextualSpacing/>
              <w:jc w:val="left"/>
              <w:rPr>
                <w:bCs w:val="0"/>
                <w:szCs w:val="20"/>
                <w:lang w:val="sv-SE"/>
              </w:rPr>
            </w:pPr>
            <w:r w:rsidRPr="001E1141">
              <w:rPr>
                <w:szCs w:val="20"/>
                <w:lang w:val="sv-SE"/>
              </w:rPr>
              <w:t>As at 21.05.2018, notification date.</w:t>
            </w:r>
          </w:p>
        </w:tc>
      </w:tr>
      <w:tr w:rsidR="001E1141" w:rsidRPr="00A2678D" w14:paraId="56F2FD8D" w14:textId="77777777" w:rsidTr="00BF3540">
        <w:tc>
          <w:tcPr>
            <w:tcW w:w="993" w:type="dxa"/>
            <w:gridSpan w:val="2"/>
            <w:vMerge w:val="restart"/>
            <w:tcBorders>
              <w:top w:val="single" w:sz="4" w:space="0" w:color="auto"/>
              <w:left w:val="single" w:sz="4" w:space="0" w:color="auto"/>
              <w:right w:val="single" w:sz="4" w:space="0" w:color="auto"/>
            </w:tcBorders>
          </w:tcPr>
          <w:p w14:paraId="3BC52A66" w14:textId="77777777" w:rsidR="001E1141" w:rsidRPr="00DD00A2" w:rsidRDefault="001E1141" w:rsidP="00BF3540">
            <w:pPr>
              <w:pStyle w:val="Tabledata"/>
              <w:jc w:val="center"/>
              <w:rPr>
                <w:szCs w:val="20"/>
              </w:rPr>
            </w:pPr>
            <w:r w:rsidRPr="00CD3A8C">
              <w:t>SK</w:t>
            </w:r>
          </w:p>
        </w:tc>
        <w:tc>
          <w:tcPr>
            <w:tcW w:w="1418" w:type="dxa"/>
            <w:gridSpan w:val="2"/>
            <w:vMerge w:val="restart"/>
            <w:tcBorders>
              <w:top w:val="single" w:sz="4" w:space="0" w:color="auto"/>
              <w:left w:val="single" w:sz="4" w:space="0" w:color="auto"/>
              <w:right w:val="single" w:sz="4" w:space="0" w:color="auto"/>
            </w:tcBorders>
          </w:tcPr>
          <w:p w14:paraId="15F86173" w14:textId="77777777" w:rsidR="001E1141" w:rsidRPr="00DD00A2" w:rsidRDefault="001E1141" w:rsidP="00BF3540">
            <w:pPr>
              <w:pStyle w:val="Tabledata"/>
              <w:jc w:val="center"/>
              <w:rPr>
                <w:szCs w:val="20"/>
              </w:rPr>
            </w:pPr>
            <w:r w:rsidRPr="00CD3A8C">
              <w:t>Slovakia</w:t>
            </w:r>
          </w:p>
        </w:tc>
        <w:tc>
          <w:tcPr>
            <w:tcW w:w="1559" w:type="dxa"/>
            <w:tcBorders>
              <w:top w:val="single" w:sz="4" w:space="0" w:color="auto"/>
              <w:left w:val="single" w:sz="4" w:space="0" w:color="auto"/>
              <w:bottom w:val="single" w:sz="4" w:space="0" w:color="auto"/>
              <w:right w:val="single" w:sz="4" w:space="0" w:color="auto"/>
            </w:tcBorders>
          </w:tcPr>
          <w:p w14:paraId="74BF3CCF" w14:textId="2C8CCEDD" w:rsidR="001E1141" w:rsidRPr="00DD00A2" w:rsidRDefault="001E1141" w:rsidP="00BF3540">
            <w:pPr>
              <w:pStyle w:val="Tabledata"/>
              <w:jc w:val="left"/>
              <w:rPr>
                <w:szCs w:val="20"/>
              </w:rPr>
            </w:pPr>
            <w:proofErr w:type="spellStart"/>
            <w:r w:rsidRPr="009E5A2D">
              <w:t>Národná</w:t>
            </w:r>
            <w:proofErr w:type="spellEnd"/>
            <w:r w:rsidRPr="009E5A2D">
              <w:t xml:space="preserve"> Banka </w:t>
            </w:r>
            <w:proofErr w:type="spellStart"/>
            <w:r w:rsidRPr="009E5A2D">
              <w:t>Slovenska</w:t>
            </w:r>
            <w:proofErr w:type="spellEnd"/>
            <w:r w:rsidR="00256F61">
              <w:t xml:space="preserve"> (</w:t>
            </w:r>
            <w:r w:rsidR="00256F61" w:rsidRPr="00256F61">
              <w:t>National Bank of Slovakia</w:t>
            </w:r>
            <w:r w:rsidR="00256F61">
              <w:t>, NBS</w:t>
            </w:r>
            <w:r w:rsidR="00256F61" w:rsidRPr="00256F61">
              <w:t>)</w:t>
            </w:r>
          </w:p>
        </w:tc>
        <w:tc>
          <w:tcPr>
            <w:tcW w:w="1134" w:type="dxa"/>
            <w:tcBorders>
              <w:top w:val="single" w:sz="4" w:space="0" w:color="auto"/>
              <w:left w:val="single" w:sz="4" w:space="0" w:color="auto"/>
              <w:bottom w:val="single" w:sz="4" w:space="0" w:color="auto"/>
              <w:right w:val="single" w:sz="4" w:space="0" w:color="auto"/>
            </w:tcBorders>
          </w:tcPr>
          <w:p w14:paraId="46088C94" w14:textId="5F60B1DA" w:rsidR="001E1141" w:rsidRPr="00180E1B" w:rsidRDefault="001E1141"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78CCEB4" w14:textId="1B93E033" w:rsidR="001E1141" w:rsidRPr="00180E1B" w:rsidRDefault="001E1141"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FE2B2D3" w14:textId="130CBC80" w:rsidR="001E1141" w:rsidRPr="00180E1B" w:rsidRDefault="001E1141" w:rsidP="00BF3540">
            <w:pPr>
              <w:pStyle w:val="Tabledata"/>
              <w:jc w:val="left"/>
            </w:pPr>
            <w:r>
              <w:rPr>
                <w:szCs w:val="20"/>
              </w:rPr>
              <w:t xml:space="preserve">By 01.07.2018. </w:t>
            </w:r>
          </w:p>
        </w:tc>
      </w:tr>
      <w:tr w:rsidR="001E1141" w:rsidRPr="00A2678D" w14:paraId="0807448A" w14:textId="77777777" w:rsidTr="00BF3540">
        <w:tc>
          <w:tcPr>
            <w:tcW w:w="993" w:type="dxa"/>
            <w:gridSpan w:val="2"/>
            <w:vMerge/>
            <w:tcBorders>
              <w:left w:val="single" w:sz="4" w:space="0" w:color="auto"/>
              <w:bottom w:val="single" w:sz="4" w:space="0" w:color="auto"/>
              <w:right w:val="single" w:sz="4" w:space="0" w:color="auto"/>
            </w:tcBorders>
          </w:tcPr>
          <w:p w14:paraId="4F574714" w14:textId="77777777" w:rsidR="001E1141" w:rsidRPr="00CD3A8C" w:rsidRDefault="001E1141" w:rsidP="00BF3540">
            <w:pPr>
              <w:pStyle w:val="Tabledata"/>
              <w:jc w:val="center"/>
            </w:pPr>
          </w:p>
        </w:tc>
        <w:tc>
          <w:tcPr>
            <w:tcW w:w="1418" w:type="dxa"/>
            <w:gridSpan w:val="2"/>
            <w:vMerge/>
            <w:tcBorders>
              <w:left w:val="single" w:sz="4" w:space="0" w:color="auto"/>
              <w:bottom w:val="single" w:sz="4" w:space="0" w:color="auto"/>
              <w:right w:val="single" w:sz="4" w:space="0" w:color="auto"/>
            </w:tcBorders>
          </w:tcPr>
          <w:p w14:paraId="624EB4A9" w14:textId="77777777" w:rsidR="001E1141" w:rsidRPr="00CD3A8C" w:rsidRDefault="001E1141"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0075B4E7" w14:textId="6F53F67B" w:rsidR="001E1141" w:rsidRPr="009E5A2D" w:rsidRDefault="00256F61" w:rsidP="00BF3540">
            <w:pPr>
              <w:pStyle w:val="Tabledata"/>
              <w:jc w:val="left"/>
            </w:pPr>
            <w:proofErr w:type="spellStart"/>
            <w:r w:rsidRPr="009E5A2D">
              <w:t>Národná</w:t>
            </w:r>
            <w:proofErr w:type="spellEnd"/>
            <w:r w:rsidRPr="009E5A2D">
              <w:t xml:space="preserve"> Banka </w:t>
            </w:r>
            <w:proofErr w:type="spellStart"/>
            <w:r w:rsidRPr="009E5A2D">
              <w:t>Slovenska</w:t>
            </w:r>
            <w:proofErr w:type="spellEnd"/>
            <w:r>
              <w:t xml:space="preserve"> (</w:t>
            </w:r>
            <w:r w:rsidR="001E1141" w:rsidRPr="001E1141">
              <w:t xml:space="preserve">National Bank of </w:t>
            </w:r>
            <w:proofErr w:type="spellStart"/>
            <w:r w:rsidR="001E1141" w:rsidRPr="001E1141">
              <w:t>Slovakia</w:t>
            </w:r>
            <w:r>
              <w:t>,</w:t>
            </w:r>
            <w:r w:rsidR="001E1141" w:rsidRPr="001E1141">
              <w:t>NBS</w:t>
            </w:r>
            <w:proofErr w:type="spellEnd"/>
            <w:r w:rsidR="001E1141" w:rsidRPr="001E1141">
              <w:t>)</w:t>
            </w:r>
          </w:p>
        </w:tc>
        <w:tc>
          <w:tcPr>
            <w:tcW w:w="1134" w:type="dxa"/>
            <w:tcBorders>
              <w:top w:val="single" w:sz="4" w:space="0" w:color="auto"/>
              <w:left w:val="single" w:sz="4" w:space="0" w:color="auto"/>
              <w:bottom w:val="single" w:sz="4" w:space="0" w:color="auto"/>
              <w:right w:val="single" w:sz="4" w:space="0" w:color="auto"/>
            </w:tcBorders>
          </w:tcPr>
          <w:p w14:paraId="3EA9BEE9" w14:textId="6BB6F5DB" w:rsidR="001E1141" w:rsidRDefault="001E1141"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10DC4F1" w14:textId="6C2299F2" w:rsidR="001E1141" w:rsidRDefault="001E1141"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8491DC0" w14:textId="37135589" w:rsidR="001E1141" w:rsidRDefault="001E1141" w:rsidP="00BF3540">
            <w:pPr>
              <w:pStyle w:val="Tabledata"/>
              <w:jc w:val="left"/>
              <w:rPr>
                <w:szCs w:val="20"/>
              </w:rPr>
            </w:pPr>
            <w:r>
              <w:rPr>
                <w:szCs w:val="20"/>
              </w:rPr>
              <w:t>By 0</w:t>
            </w:r>
            <w:r w:rsidRPr="001E1141">
              <w:rPr>
                <w:szCs w:val="20"/>
              </w:rPr>
              <w:t>1.07.2020.</w:t>
            </w:r>
          </w:p>
        </w:tc>
      </w:tr>
      <w:tr w:rsidR="002258F3" w:rsidRPr="00A2678D" w14:paraId="70610429" w14:textId="77777777" w:rsidTr="00BF3540">
        <w:trPr>
          <w:trHeight w:val="1132"/>
        </w:trPr>
        <w:tc>
          <w:tcPr>
            <w:tcW w:w="993" w:type="dxa"/>
            <w:gridSpan w:val="2"/>
            <w:tcBorders>
              <w:top w:val="single" w:sz="4" w:space="0" w:color="auto"/>
              <w:left w:val="single" w:sz="4" w:space="0" w:color="auto"/>
              <w:right w:val="single" w:sz="4" w:space="0" w:color="auto"/>
            </w:tcBorders>
          </w:tcPr>
          <w:p w14:paraId="42F5ED34" w14:textId="77777777" w:rsidR="002258F3" w:rsidRPr="00DD00A2" w:rsidRDefault="002258F3" w:rsidP="00BF3540">
            <w:pPr>
              <w:pStyle w:val="Tabledata"/>
              <w:jc w:val="center"/>
              <w:rPr>
                <w:szCs w:val="20"/>
              </w:rPr>
            </w:pPr>
            <w:r w:rsidRPr="00CD3A8C">
              <w:t>FI</w:t>
            </w:r>
          </w:p>
        </w:tc>
        <w:tc>
          <w:tcPr>
            <w:tcW w:w="1418" w:type="dxa"/>
            <w:gridSpan w:val="2"/>
            <w:tcBorders>
              <w:top w:val="single" w:sz="4" w:space="0" w:color="auto"/>
              <w:left w:val="single" w:sz="4" w:space="0" w:color="auto"/>
              <w:right w:val="single" w:sz="4" w:space="0" w:color="auto"/>
            </w:tcBorders>
          </w:tcPr>
          <w:p w14:paraId="6F99BBB4" w14:textId="77777777" w:rsidR="002258F3" w:rsidRPr="00DD00A2" w:rsidRDefault="002258F3" w:rsidP="00BF3540">
            <w:pPr>
              <w:pStyle w:val="Tabledata"/>
              <w:jc w:val="center"/>
              <w:rPr>
                <w:szCs w:val="20"/>
              </w:rPr>
            </w:pPr>
            <w:r w:rsidRPr="00CD3A8C">
              <w:t>Finland</w:t>
            </w:r>
          </w:p>
        </w:tc>
        <w:tc>
          <w:tcPr>
            <w:tcW w:w="1559" w:type="dxa"/>
            <w:tcBorders>
              <w:top w:val="single" w:sz="4" w:space="0" w:color="auto"/>
              <w:left w:val="single" w:sz="4" w:space="0" w:color="auto"/>
              <w:right w:val="single" w:sz="4" w:space="0" w:color="auto"/>
            </w:tcBorders>
          </w:tcPr>
          <w:p w14:paraId="445F9D46" w14:textId="77777777" w:rsidR="002258F3" w:rsidRPr="00DD00A2" w:rsidRDefault="002258F3" w:rsidP="00BF3540">
            <w:pPr>
              <w:pStyle w:val="Tabledata"/>
              <w:jc w:val="left"/>
              <w:rPr>
                <w:szCs w:val="20"/>
              </w:rPr>
            </w:pPr>
            <w:proofErr w:type="spellStart"/>
            <w:r>
              <w:t>Finanssivalvonta</w:t>
            </w:r>
            <w:proofErr w:type="spellEnd"/>
            <w:r>
              <w:t xml:space="preserve"> (FIN-</w:t>
            </w:r>
            <w:r w:rsidRPr="00CD3A8C">
              <w:t>FSA)</w:t>
            </w:r>
          </w:p>
          <w:p w14:paraId="77C2E418" w14:textId="0323C552" w:rsidR="002258F3" w:rsidRPr="00DD00A2" w:rsidRDefault="002258F3" w:rsidP="00BF3540">
            <w:pPr>
              <w:pStyle w:val="Tabledata"/>
              <w:jc w:val="left"/>
              <w:rPr>
                <w:szCs w:val="20"/>
              </w:rPr>
            </w:pPr>
          </w:p>
        </w:tc>
        <w:tc>
          <w:tcPr>
            <w:tcW w:w="1134" w:type="dxa"/>
            <w:tcBorders>
              <w:top w:val="single" w:sz="4" w:space="0" w:color="auto"/>
              <w:left w:val="single" w:sz="4" w:space="0" w:color="auto"/>
              <w:right w:val="single" w:sz="4" w:space="0" w:color="auto"/>
            </w:tcBorders>
          </w:tcPr>
          <w:p w14:paraId="6ED874FA" w14:textId="77777777" w:rsidR="002258F3" w:rsidRPr="00180E1B" w:rsidRDefault="002258F3" w:rsidP="00BF3540">
            <w:pPr>
              <w:pStyle w:val="Tabledata"/>
              <w:ind w:left="284"/>
              <w:jc w:val="left"/>
              <w:rPr>
                <w:b/>
                <w:szCs w:val="20"/>
              </w:rPr>
            </w:pPr>
            <w:r>
              <w:rPr>
                <w:b/>
                <w:szCs w:val="20"/>
              </w:rPr>
              <w:t xml:space="preserve">EBA/ESMA </w:t>
            </w:r>
          </w:p>
          <w:p w14:paraId="6CC262E8" w14:textId="0E559F5A" w:rsidR="002258F3" w:rsidRPr="00180E1B" w:rsidRDefault="002258F3" w:rsidP="00BF3540">
            <w:pPr>
              <w:pStyle w:val="Tabledata"/>
              <w:jc w:val="center"/>
              <w:rPr>
                <w:b/>
                <w:szCs w:val="20"/>
              </w:rPr>
            </w:pPr>
          </w:p>
        </w:tc>
        <w:tc>
          <w:tcPr>
            <w:tcW w:w="1559" w:type="dxa"/>
            <w:tcBorders>
              <w:top w:val="single" w:sz="4" w:space="0" w:color="auto"/>
              <w:left w:val="single" w:sz="4" w:space="0" w:color="auto"/>
              <w:right w:val="single" w:sz="4" w:space="0" w:color="auto"/>
            </w:tcBorders>
            <w:shd w:val="clear" w:color="auto" w:fill="92D050"/>
          </w:tcPr>
          <w:p w14:paraId="67B178BA" w14:textId="77777777" w:rsidR="002258F3" w:rsidRPr="00180E1B" w:rsidRDefault="002258F3" w:rsidP="00BF3540">
            <w:pPr>
              <w:pStyle w:val="Tabledata"/>
              <w:ind w:left="284"/>
              <w:jc w:val="left"/>
              <w:rPr>
                <w:b/>
                <w:szCs w:val="20"/>
              </w:rPr>
            </w:pPr>
            <w:r>
              <w:rPr>
                <w:b/>
                <w:color w:val="auto"/>
                <w:szCs w:val="20"/>
              </w:rPr>
              <w:t>Intends to comply**</w:t>
            </w:r>
          </w:p>
          <w:p w14:paraId="0AB568BB" w14:textId="05CEFAE5" w:rsidR="002258F3" w:rsidRPr="00180E1B" w:rsidRDefault="002258F3" w:rsidP="00BF3540">
            <w:pPr>
              <w:pStyle w:val="Tabledata"/>
              <w:ind w:left="284"/>
              <w:jc w:val="left"/>
              <w:rPr>
                <w:b/>
                <w:szCs w:val="20"/>
              </w:rPr>
            </w:pPr>
          </w:p>
        </w:tc>
        <w:tc>
          <w:tcPr>
            <w:tcW w:w="3510" w:type="dxa"/>
            <w:tcBorders>
              <w:top w:val="single" w:sz="4" w:space="0" w:color="auto"/>
              <w:left w:val="single" w:sz="4" w:space="0" w:color="auto"/>
              <w:right w:val="single" w:sz="4" w:space="0" w:color="auto"/>
            </w:tcBorders>
            <w:shd w:val="clear" w:color="auto" w:fill="auto"/>
          </w:tcPr>
          <w:p w14:paraId="1BB273F4" w14:textId="77777777" w:rsidR="002258F3" w:rsidRPr="0009032C" w:rsidRDefault="002258F3" w:rsidP="00BF3540">
            <w:pPr>
              <w:rPr>
                <w:color w:val="000000"/>
                <w:sz w:val="20"/>
                <w:szCs w:val="20"/>
              </w:rPr>
            </w:pPr>
            <w:r w:rsidRPr="007E16D1">
              <w:rPr>
                <w:sz w:val="20"/>
                <w:szCs w:val="20"/>
              </w:rPr>
              <w:t>By such time as necessary legislative and/or regulatory proceedings have been completed.</w:t>
            </w:r>
            <w:r>
              <w:t xml:space="preserve"> </w:t>
            </w:r>
          </w:p>
          <w:p w14:paraId="6C7F72B9" w14:textId="5A740974" w:rsidR="002258F3" w:rsidRPr="0009032C" w:rsidRDefault="002258F3" w:rsidP="00BF3540">
            <w:pPr>
              <w:rPr>
                <w:color w:val="000000"/>
                <w:sz w:val="20"/>
                <w:szCs w:val="20"/>
              </w:rPr>
            </w:pPr>
          </w:p>
        </w:tc>
      </w:tr>
      <w:tr w:rsidR="001E1141" w:rsidRPr="00A2678D" w14:paraId="3E422A46" w14:textId="77777777" w:rsidTr="00BF3540">
        <w:tc>
          <w:tcPr>
            <w:tcW w:w="993" w:type="dxa"/>
            <w:gridSpan w:val="2"/>
            <w:tcBorders>
              <w:top w:val="single" w:sz="4" w:space="0" w:color="auto"/>
              <w:left w:val="single" w:sz="4" w:space="0" w:color="auto"/>
              <w:right w:val="single" w:sz="4" w:space="0" w:color="auto"/>
            </w:tcBorders>
          </w:tcPr>
          <w:p w14:paraId="54E99AE5" w14:textId="77777777" w:rsidR="001E1141" w:rsidRPr="00DD00A2" w:rsidRDefault="001E1141" w:rsidP="00BF3540">
            <w:pPr>
              <w:pStyle w:val="Tabledata"/>
              <w:jc w:val="center"/>
              <w:rPr>
                <w:szCs w:val="20"/>
              </w:rPr>
            </w:pPr>
            <w:r w:rsidRPr="00CD3A8C">
              <w:t>SE</w:t>
            </w:r>
          </w:p>
        </w:tc>
        <w:tc>
          <w:tcPr>
            <w:tcW w:w="1418" w:type="dxa"/>
            <w:gridSpan w:val="2"/>
            <w:tcBorders>
              <w:top w:val="single" w:sz="4" w:space="0" w:color="auto"/>
              <w:left w:val="single" w:sz="4" w:space="0" w:color="auto"/>
              <w:right w:val="single" w:sz="4" w:space="0" w:color="auto"/>
            </w:tcBorders>
          </w:tcPr>
          <w:p w14:paraId="20E822BA" w14:textId="77777777" w:rsidR="001E1141" w:rsidRPr="00DD00A2" w:rsidRDefault="001E1141" w:rsidP="00BF3540">
            <w:pPr>
              <w:pStyle w:val="Tabledata"/>
              <w:jc w:val="center"/>
              <w:rPr>
                <w:szCs w:val="20"/>
              </w:rPr>
            </w:pPr>
            <w:r w:rsidRPr="00CD3A8C">
              <w:t>Sweden</w:t>
            </w:r>
          </w:p>
        </w:tc>
        <w:tc>
          <w:tcPr>
            <w:tcW w:w="1559" w:type="dxa"/>
            <w:tcBorders>
              <w:top w:val="single" w:sz="4" w:space="0" w:color="auto"/>
              <w:left w:val="single" w:sz="4" w:space="0" w:color="auto"/>
              <w:bottom w:val="single" w:sz="4" w:space="0" w:color="auto"/>
              <w:right w:val="single" w:sz="4" w:space="0" w:color="auto"/>
            </w:tcBorders>
          </w:tcPr>
          <w:p w14:paraId="048903C1" w14:textId="71DEDF45" w:rsidR="001E1141" w:rsidRPr="00DD00A2" w:rsidRDefault="001E1141" w:rsidP="00BF3540">
            <w:pPr>
              <w:pStyle w:val="Tabledata"/>
              <w:jc w:val="left"/>
              <w:rPr>
                <w:szCs w:val="20"/>
              </w:rPr>
            </w:pPr>
            <w:r w:rsidRPr="006E5E18">
              <w:rPr>
                <w:sz w:val="18"/>
                <w:szCs w:val="18"/>
              </w:rPr>
              <w:t>Finansinspektione</w:t>
            </w:r>
            <w:r>
              <w:t>n (The Swedish Financial Supervisory Authority</w:t>
            </w:r>
            <w:r w:rsidR="002D5358">
              <w:t>, FI</w:t>
            </w:r>
            <w:r>
              <w:t xml:space="preserve">) </w:t>
            </w:r>
          </w:p>
        </w:tc>
        <w:tc>
          <w:tcPr>
            <w:tcW w:w="1134" w:type="dxa"/>
            <w:tcBorders>
              <w:top w:val="single" w:sz="4" w:space="0" w:color="auto"/>
              <w:left w:val="single" w:sz="4" w:space="0" w:color="auto"/>
              <w:bottom w:val="single" w:sz="4" w:space="0" w:color="auto"/>
              <w:right w:val="single" w:sz="4" w:space="0" w:color="auto"/>
            </w:tcBorders>
          </w:tcPr>
          <w:p w14:paraId="13CA77FE" w14:textId="393B4A46" w:rsidR="001E1141" w:rsidRPr="00180E1B" w:rsidRDefault="001E1141" w:rsidP="00BF3540">
            <w:pPr>
              <w:pStyle w:val="Tabledata"/>
              <w:ind w:left="284"/>
              <w:jc w:val="left"/>
              <w:rPr>
                <w:b/>
                <w:szCs w:val="20"/>
              </w:rPr>
            </w:pPr>
            <w:r>
              <w:rPr>
                <w:b/>
                <w:szCs w:val="20"/>
              </w:rPr>
              <w:t>EBA</w:t>
            </w:r>
            <w:r w:rsidR="009216A4">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FF0000"/>
          </w:tcPr>
          <w:p w14:paraId="1761AFD9" w14:textId="1C4E06BA" w:rsidR="001E1141" w:rsidRPr="00180E1B" w:rsidRDefault="001E1141" w:rsidP="00BF3540">
            <w:pPr>
              <w:pStyle w:val="Tabledata"/>
              <w:jc w:val="center"/>
              <w:rPr>
                <w:b/>
                <w:szCs w:val="20"/>
              </w:rPr>
            </w:pPr>
            <w:r>
              <w:rPr>
                <w:b/>
                <w:color w:val="auto"/>
                <w:szCs w:val="20"/>
              </w:rPr>
              <w:t>No</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864CE15" w14:textId="1252D81C" w:rsidR="001E1141" w:rsidRDefault="001E1141" w:rsidP="00BF3540">
            <w:pPr>
              <w:rPr>
                <w:sz w:val="20"/>
                <w:szCs w:val="20"/>
                <w:lang w:val="sv-SE"/>
              </w:rPr>
            </w:pPr>
            <w:r>
              <w:rPr>
                <w:sz w:val="20"/>
                <w:szCs w:val="20"/>
                <w:lang w:val="sv-SE"/>
              </w:rPr>
              <w:t xml:space="preserve">Does not comply and does not intend to comply with certain parts of the Guidelines and recommendations. </w:t>
            </w:r>
          </w:p>
          <w:p w14:paraId="51B8E41D" w14:textId="0B9FB77F" w:rsidR="001E1141" w:rsidRPr="00DF69F0" w:rsidRDefault="001E1141" w:rsidP="00BF3540">
            <w:pPr>
              <w:autoSpaceDE w:val="0"/>
              <w:autoSpaceDN w:val="0"/>
              <w:adjustRightInd w:val="0"/>
              <w:rPr>
                <w:sz w:val="20"/>
                <w:szCs w:val="20"/>
                <w:lang w:val="sv-SE"/>
              </w:rPr>
            </w:pPr>
            <w:r w:rsidRPr="00DF69F0">
              <w:rPr>
                <w:sz w:val="20"/>
                <w:szCs w:val="20"/>
                <w:lang w:val="sv-SE"/>
              </w:rPr>
              <w:t>Sweden does not comply and does not intend to comply with certain parts of the Guidelines.</w:t>
            </w:r>
            <w:r>
              <w:rPr>
                <w:sz w:val="20"/>
                <w:szCs w:val="20"/>
                <w:lang w:val="sv-SE"/>
              </w:rPr>
              <w:t xml:space="preserve"> </w:t>
            </w:r>
            <w:r w:rsidRPr="00DF69F0">
              <w:rPr>
                <w:sz w:val="20"/>
                <w:szCs w:val="20"/>
                <w:lang w:val="sv-SE"/>
              </w:rPr>
              <w:t>Non-compliance is for the most part due to Swedish law or binding regulation, which makes it</w:t>
            </w:r>
            <w:r>
              <w:rPr>
                <w:sz w:val="20"/>
                <w:szCs w:val="20"/>
                <w:lang w:val="sv-SE"/>
              </w:rPr>
              <w:t xml:space="preserve"> </w:t>
            </w:r>
            <w:r w:rsidRPr="00DF69F0">
              <w:rPr>
                <w:sz w:val="20"/>
                <w:szCs w:val="20"/>
                <w:lang w:val="sv-SE"/>
              </w:rPr>
              <w:t xml:space="preserve">impossible for the Swedish FSA to comply with the </w:t>
            </w:r>
            <w:r>
              <w:rPr>
                <w:sz w:val="20"/>
                <w:szCs w:val="20"/>
                <w:lang w:val="sv-SE"/>
              </w:rPr>
              <w:t>G</w:t>
            </w:r>
            <w:r w:rsidRPr="00DF69F0">
              <w:rPr>
                <w:sz w:val="20"/>
                <w:szCs w:val="20"/>
                <w:lang w:val="sv-SE"/>
              </w:rPr>
              <w:t>uidelines. The specific reason for noncompliance</w:t>
            </w:r>
            <w:r>
              <w:rPr>
                <w:sz w:val="20"/>
                <w:szCs w:val="20"/>
                <w:lang w:val="sv-SE"/>
              </w:rPr>
              <w:t xml:space="preserve"> </w:t>
            </w:r>
            <w:r w:rsidRPr="00DF69F0">
              <w:rPr>
                <w:sz w:val="20"/>
                <w:szCs w:val="20"/>
                <w:lang w:val="sv-SE"/>
              </w:rPr>
              <w:t>is set forth below:</w:t>
            </w:r>
          </w:p>
          <w:p w14:paraId="4F06E06A" w14:textId="4DC2FBD3" w:rsidR="001E1141" w:rsidRPr="00DF69F0" w:rsidRDefault="001E1141" w:rsidP="00BF3540">
            <w:pPr>
              <w:autoSpaceDE w:val="0"/>
              <w:autoSpaceDN w:val="0"/>
              <w:adjustRightInd w:val="0"/>
              <w:rPr>
                <w:sz w:val="20"/>
                <w:szCs w:val="20"/>
                <w:lang w:val="sv-SE"/>
              </w:rPr>
            </w:pPr>
            <w:r w:rsidRPr="00DF69F0">
              <w:rPr>
                <w:b/>
                <w:sz w:val="20"/>
                <w:szCs w:val="20"/>
                <w:lang w:val="sv-SE"/>
              </w:rPr>
              <w:t>Paragraph 171</w:t>
            </w:r>
            <w:r w:rsidRPr="00DF69F0">
              <w:rPr>
                <w:sz w:val="20"/>
                <w:szCs w:val="20"/>
                <w:lang w:val="sv-SE"/>
              </w:rPr>
              <w:t xml:space="preserve"> Swedish law does not provide for suitability assessments of key function holders.</w:t>
            </w:r>
            <w:r>
              <w:rPr>
                <w:sz w:val="20"/>
                <w:szCs w:val="20"/>
                <w:lang w:val="sv-SE"/>
              </w:rPr>
              <w:t xml:space="preserve"> </w:t>
            </w:r>
            <w:r w:rsidRPr="00DF69F0">
              <w:rPr>
                <w:sz w:val="20"/>
                <w:szCs w:val="20"/>
                <w:lang w:val="sv-SE"/>
              </w:rPr>
              <w:t>Consequently, those parts of the Guidelines which concern the competent authorities obligations</w:t>
            </w:r>
            <w:r>
              <w:rPr>
                <w:sz w:val="20"/>
                <w:szCs w:val="20"/>
                <w:lang w:val="sv-SE"/>
              </w:rPr>
              <w:t xml:space="preserve"> </w:t>
            </w:r>
            <w:r w:rsidRPr="00DF69F0">
              <w:rPr>
                <w:sz w:val="20"/>
                <w:szCs w:val="20"/>
                <w:lang w:val="sv-SE"/>
              </w:rPr>
              <w:t>in relation to the suitability assessment of key function holders will not be implemented in</w:t>
            </w:r>
            <w:r>
              <w:rPr>
                <w:sz w:val="20"/>
                <w:szCs w:val="20"/>
                <w:lang w:val="sv-SE"/>
              </w:rPr>
              <w:t xml:space="preserve"> </w:t>
            </w:r>
            <w:r w:rsidRPr="00DF69F0">
              <w:rPr>
                <w:sz w:val="20"/>
                <w:szCs w:val="20"/>
                <w:lang w:val="sv-SE"/>
              </w:rPr>
              <w:t>Sweden. For the same reason, will paragraph 164 nor be implemented in Sweden.</w:t>
            </w:r>
            <w:r>
              <w:rPr>
                <w:sz w:val="20"/>
                <w:szCs w:val="20"/>
                <w:lang w:val="sv-SE"/>
              </w:rPr>
              <w:t xml:space="preserve"> </w:t>
            </w:r>
            <w:r w:rsidRPr="00DF69F0">
              <w:rPr>
                <w:sz w:val="20"/>
                <w:szCs w:val="20"/>
                <w:lang w:val="sv-SE"/>
              </w:rPr>
              <w:t>Any other additional information that may be necessary:</w:t>
            </w:r>
          </w:p>
          <w:p w14:paraId="7AA53811" w14:textId="0819FEA0" w:rsidR="001E1141" w:rsidRPr="00DF69F0" w:rsidRDefault="001E1141" w:rsidP="00BF3540">
            <w:pPr>
              <w:autoSpaceDE w:val="0"/>
              <w:autoSpaceDN w:val="0"/>
              <w:adjustRightInd w:val="0"/>
              <w:rPr>
                <w:sz w:val="20"/>
                <w:szCs w:val="20"/>
                <w:lang w:val="sv-SE"/>
              </w:rPr>
            </w:pPr>
            <w:r w:rsidRPr="00DF69F0">
              <w:rPr>
                <w:b/>
                <w:sz w:val="20"/>
                <w:szCs w:val="20"/>
                <w:lang w:val="sv-SE"/>
              </w:rPr>
              <w:t>Paragraph 174</w:t>
            </w:r>
            <w:r w:rsidRPr="00DF69F0">
              <w:rPr>
                <w:sz w:val="20"/>
                <w:szCs w:val="20"/>
                <w:lang w:val="sv-SE"/>
              </w:rPr>
              <w:t xml:space="preserve"> For the avoidance of doubt, the Swedish regulation allows suitability assessment</w:t>
            </w:r>
            <w:r>
              <w:rPr>
                <w:sz w:val="20"/>
                <w:szCs w:val="20"/>
                <w:lang w:val="sv-SE"/>
              </w:rPr>
              <w:t xml:space="preserve"> </w:t>
            </w:r>
            <w:r w:rsidRPr="00DF69F0">
              <w:rPr>
                <w:sz w:val="20"/>
                <w:szCs w:val="20"/>
                <w:lang w:val="sv-SE"/>
              </w:rPr>
              <w:t>before and after the appointment. Therefore, it should be noted that institutions under the</w:t>
            </w:r>
          </w:p>
          <w:p w14:paraId="2F64DC23" w14:textId="77777777" w:rsidR="001E1141" w:rsidRPr="00DF69F0" w:rsidRDefault="001E1141" w:rsidP="00BF3540">
            <w:pPr>
              <w:autoSpaceDE w:val="0"/>
              <w:autoSpaceDN w:val="0"/>
              <w:adjustRightInd w:val="0"/>
              <w:rPr>
                <w:sz w:val="20"/>
                <w:szCs w:val="20"/>
                <w:lang w:val="sv-SE"/>
              </w:rPr>
            </w:pPr>
            <w:r w:rsidRPr="00DF69F0">
              <w:rPr>
                <w:sz w:val="20"/>
                <w:szCs w:val="20"/>
                <w:lang w:val="sv-SE"/>
              </w:rPr>
              <w:t>supervision of the Swedish FSA are allowed to notify the Swedish FSA either before or after the</w:t>
            </w:r>
            <w:r>
              <w:rPr>
                <w:sz w:val="20"/>
                <w:szCs w:val="20"/>
                <w:lang w:val="sv-SE"/>
              </w:rPr>
              <w:t xml:space="preserve"> </w:t>
            </w:r>
            <w:r w:rsidRPr="00DF69F0">
              <w:rPr>
                <w:sz w:val="20"/>
                <w:szCs w:val="20"/>
                <w:lang w:val="sv-SE"/>
              </w:rPr>
              <w:t>appointment.</w:t>
            </w:r>
          </w:p>
          <w:p w14:paraId="4B5DFD36" w14:textId="77777777" w:rsidR="001E1141" w:rsidRPr="00DF69F0" w:rsidRDefault="001E1141" w:rsidP="00BF3540">
            <w:pPr>
              <w:autoSpaceDE w:val="0"/>
              <w:autoSpaceDN w:val="0"/>
              <w:adjustRightInd w:val="0"/>
              <w:rPr>
                <w:sz w:val="20"/>
                <w:szCs w:val="20"/>
                <w:lang w:val="sv-SE"/>
              </w:rPr>
            </w:pPr>
            <w:r w:rsidRPr="006E3BEB">
              <w:rPr>
                <w:b/>
                <w:sz w:val="20"/>
                <w:szCs w:val="20"/>
                <w:lang w:val="sv-SE"/>
              </w:rPr>
              <w:t>Section 9.3 (paragraphs 88-93)</w:t>
            </w:r>
            <w:r>
              <w:rPr>
                <w:sz w:val="20"/>
                <w:szCs w:val="20"/>
                <w:lang w:val="sv-SE"/>
              </w:rPr>
              <w:t xml:space="preserve"> </w:t>
            </w:r>
            <w:r w:rsidRPr="00DF69F0">
              <w:rPr>
                <w:sz w:val="20"/>
                <w:szCs w:val="20"/>
                <w:lang w:val="sv-SE"/>
              </w:rPr>
              <w:t>Pursuant to paragraph 88 it should be considered good practice to</w:t>
            </w:r>
            <w:r>
              <w:rPr>
                <w:sz w:val="20"/>
                <w:szCs w:val="20"/>
                <w:lang w:val="sv-SE"/>
              </w:rPr>
              <w:t xml:space="preserve"> </w:t>
            </w:r>
            <w:r w:rsidRPr="00DF69F0">
              <w:rPr>
                <w:sz w:val="20"/>
                <w:szCs w:val="20"/>
                <w:lang w:val="sv-SE"/>
              </w:rPr>
              <w:t>have independent members in the management body for CRD-institutions. In other words this</w:t>
            </w:r>
            <w:r>
              <w:rPr>
                <w:sz w:val="20"/>
                <w:szCs w:val="20"/>
                <w:lang w:val="sv-SE"/>
              </w:rPr>
              <w:t xml:space="preserve"> </w:t>
            </w:r>
            <w:r w:rsidRPr="00DF69F0">
              <w:rPr>
                <w:sz w:val="20"/>
                <w:szCs w:val="20"/>
                <w:lang w:val="sv-SE"/>
              </w:rPr>
              <w:t>means that the comply or explain scheme does not apply to this section for CRD-</w:t>
            </w:r>
            <w:r>
              <w:rPr>
                <w:sz w:val="20"/>
                <w:szCs w:val="20"/>
                <w:lang w:val="sv-SE"/>
              </w:rPr>
              <w:t>i</w:t>
            </w:r>
            <w:r w:rsidRPr="00DF69F0">
              <w:rPr>
                <w:sz w:val="20"/>
                <w:szCs w:val="20"/>
                <w:lang w:val="sv-SE"/>
              </w:rPr>
              <w:t>nstitutions.</w:t>
            </w:r>
          </w:p>
          <w:p w14:paraId="61006D14" w14:textId="0EE36028" w:rsidR="001E1141" w:rsidRPr="00DF69F0" w:rsidRDefault="001E1141" w:rsidP="00BF3540">
            <w:pPr>
              <w:autoSpaceDE w:val="0"/>
              <w:autoSpaceDN w:val="0"/>
              <w:adjustRightInd w:val="0"/>
              <w:rPr>
                <w:sz w:val="20"/>
                <w:szCs w:val="20"/>
                <w:lang w:val="sv-SE"/>
              </w:rPr>
            </w:pPr>
            <w:r>
              <w:rPr>
                <w:b/>
                <w:sz w:val="20"/>
                <w:szCs w:val="20"/>
                <w:lang w:val="sv-SE"/>
              </w:rPr>
              <w:t>Section 15 (paragraphs 124-128)</w:t>
            </w:r>
            <w:r w:rsidRPr="00DF69F0">
              <w:rPr>
                <w:sz w:val="20"/>
                <w:szCs w:val="20"/>
                <w:lang w:val="sv-SE"/>
              </w:rPr>
              <w:t xml:space="preserve"> For the avoidance of doubt, according to Swedish law the</w:t>
            </w:r>
            <w:r>
              <w:rPr>
                <w:sz w:val="20"/>
                <w:szCs w:val="20"/>
                <w:lang w:val="sv-SE"/>
              </w:rPr>
              <w:t xml:space="preserve"> </w:t>
            </w:r>
            <w:r w:rsidRPr="00DF69F0">
              <w:rPr>
                <w:sz w:val="20"/>
                <w:szCs w:val="20"/>
                <w:lang w:val="sv-SE"/>
              </w:rPr>
              <w:t xml:space="preserve">management body does not have </w:t>
            </w:r>
            <w:r>
              <w:rPr>
                <w:sz w:val="20"/>
                <w:szCs w:val="20"/>
                <w:lang w:val="sv-SE"/>
              </w:rPr>
              <w:t>c</w:t>
            </w:r>
            <w:r w:rsidRPr="00DF69F0">
              <w:rPr>
                <w:sz w:val="20"/>
                <w:szCs w:val="20"/>
                <w:lang w:val="sv-SE"/>
              </w:rPr>
              <w:t>ompetence in the process of selection and appointment of any</w:t>
            </w:r>
            <w:r>
              <w:rPr>
                <w:sz w:val="20"/>
                <w:szCs w:val="20"/>
                <w:lang w:val="sv-SE"/>
              </w:rPr>
              <w:t xml:space="preserve"> </w:t>
            </w:r>
            <w:r w:rsidRPr="00DF69F0">
              <w:rPr>
                <w:sz w:val="20"/>
                <w:szCs w:val="20"/>
                <w:lang w:val="sv-SE"/>
              </w:rPr>
              <w:t>of its members. As stated in paragraph 128 the section on nomination committee and its task is</w:t>
            </w:r>
          </w:p>
          <w:p w14:paraId="68658E93" w14:textId="77777777" w:rsidR="001E1141" w:rsidRPr="00DF69F0" w:rsidRDefault="001E1141" w:rsidP="00BF3540">
            <w:pPr>
              <w:autoSpaceDE w:val="0"/>
              <w:autoSpaceDN w:val="0"/>
              <w:adjustRightInd w:val="0"/>
              <w:rPr>
                <w:sz w:val="20"/>
                <w:szCs w:val="20"/>
                <w:lang w:val="sv-SE"/>
              </w:rPr>
            </w:pPr>
            <w:r w:rsidRPr="00DF69F0">
              <w:rPr>
                <w:sz w:val="20"/>
                <w:szCs w:val="20"/>
                <w:lang w:val="sv-SE"/>
              </w:rPr>
              <w:t>thus not applicable in Sweden.</w:t>
            </w:r>
          </w:p>
          <w:p w14:paraId="0C634187" w14:textId="1A8A98B2" w:rsidR="001E1141" w:rsidRPr="00DF69F0" w:rsidRDefault="001E1141" w:rsidP="00BF3540">
            <w:pPr>
              <w:autoSpaceDE w:val="0"/>
              <w:autoSpaceDN w:val="0"/>
              <w:adjustRightInd w:val="0"/>
              <w:rPr>
                <w:sz w:val="20"/>
                <w:szCs w:val="20"/>
                <w:lang w:val="sv-SE"/>
              </w:rPr>
            </w:pPr>
            <w:r w:rsidRPr="00DF69F0">
              <w:rPr>
                <w:b/>
                <w:sz w:val="20"/>
                <w:szCs w:val="20"/>
                <w:lang w:val="sv-SE"/>
              </w:rPr>
              <w:t>Annex Ill paragraph 4.1</w:t>
            </w:r>
            <w:r w:rsidRPr="00DF69F0">
              <w:rPr>
                <w:sz w:val="20"/>
                <w:szCs w:val="20"/>
                <w:lang w:val="sv-SE"/>
              </w:rPr>
              <w:t xml:space="preserve"> According to this paragraph criminal records are required to be</w:t>
            </w:r>
            <w:r>
              <w:rPr>
                <w:sz w:val="20"/>
                <w:szCs w:val="20"/>
                <w:lang w:val="sv-SE"/>
              </w:rPr>
              <w:t xml:space="preserve"> </w:t>
            </w:r>
            <w:r w:rsidRPr="00DF69F0">
              <w:rPr>
                <w:sz w:val="20"/>
                <w:szCs w:val="20"/>
                <w:lang w:val="sv-SE"/>
              </w:rPr>
              <w:t>submitted to the Swedish FSA for each suitability assessment. However, as part of the suitability</w:t>
            </w:r>
          </w:p>
          <w:p w14:paraId="19A3DC2B" w14:textId="56D59B2D" w:rsidR="001E1141" w:rsidRPr="00180E1B" w:rsidRDefault="001E1141" w:rsidP="00BF3540">
            <w:pPr>
              <w:pStyle w:val="Tabledata"/>
              <w:spacing w:before="0" w:after="0"/>
              <w:jc w:val="left"/>
            </w:pPr>
            <w:r w:rsidRPr="00DF69F0">
              <w:rPr>
                <w:szCs w:val="20"/>
                <w:lang w:val="sv-SE"/>
              </w:rPr>
              <w:t>assessment the Swedish FSA request criminal records directly from the Police Authority.</w:t>
            </w:r>
            <w:r>
              <w:rPr>
                <w:szCs w:val="20"/>
                <w:lang w:val="sv-SE"/>
              </w:rPr>
              <w:t xml:space="preserve"> </w:t>
            </w:r>
            <w:r w:rsidRPr="00DF69F0">
              <w:rPr>
                <w:szCs w:val="20"/>
                <w:lang w:val="sv-SE"/>
              </w:rPr>
              <w:t>Therefore, there is no need to submit a criminal record to the Swedish FSA as part of the</w:t>
            </w:r>
            <w:r>
              <w:rPr>
                <w:szCs w:val="20"/>
                <w:lang w:val="sv-SE"/>
              </w:rPr>
              <w:t xml:space="preserve"> </w:t>
            </w:r>
            <w:r w:rsidRPr="00DF69F0">
              <w:rPr>
                <w:szCs w:val="20"/>
                <w:lang w:val="sv-SE"/>
              </w:rPr>
              <w:t>application of each suitability assessment.</w:t>
            </w:r>
          </w:p>
        </w:tc>
      </w:tr>
      <w:tr w:rsidR="008C40E7" w:rsidRPr="00A2678D" w14:paraId="47643796" w14:textId="77777777" w:rsidTr="00BF3540">
        <w:trPr>
          <w:trHeight w:val="294"/>
        </w:trPr>
        <w:tc>
          <w:tcPr>
            <w:tcW w:w="993" w:type="dxa"/>
            <w:gridSpan w:val="2"/>
            <w:vMerge w:val="restart"/>
            <w:tcBorders>
              <w:top w:val="single" w:sz="4" w:space="0" w:color="auto"/>
              <w:left w:val="single" w:sz="4" w:space="0" w:color="auto"/>
              <w:right w:val="single" w:sz="4" w:space="0" w:color="auto"/>
            </w:tcBorders>
          </w:tcPr>
          <w:p w14:paraId="0B5C924E" w14:textId="77777777" w:rsidR="008C40E7" w:rsidRPr="00DD00A2" w:rsidRDefault="008C40E7" w:rsidP="00BF3540">
            <w:pPr>
              <w:pStyle w:val="Tabledata"/>
              <w:jc w:val="center"/>
              <w:rPr>
                <w:szCs w:val="20"/>
              </w:rPr>
            </w:pPr>
            <w:r>
              <w:t>UK</w:t>
            </w:r>
          </w:p>
        </w:tc>
        <w:tc>
          <w:tcPr>
            <w:tcW w:w="1418" w:type="dxa"/>
            <w:gridSpan w:val="2"/>
            <w:vMerge w:val="restart"/>
            <w:tcBorders>
              <w:top w:val="single" w:sz="4" w:space="0" w:color="auto"/>
              <w:left w:val="single" w:sz="4" w:space="0" w:color="auto"/>
              <w:right w:val="single" w:sz="4" w:space="0" w:color="auto"/>
            </w:tcBorders>
          </w:tcPr>
          <w:p w14:paraId="796569C3" w14:textId="77777777" w:rsidR="008C40E7" w:rsidRPr="00DD00A2" w:rsidRDefault="008C40E7" w:rsidP="00BF3540">
            <w:pPr>
              <w:pStyle w:val="Tabledata"/>
              <w:jc w:val="center"/>
              <w:rPr>
                <w:szCs w:val="20"/>
              </w:rPr>
            </w:pPr>
            <w:r>
              <w:t>United Kingdom</w:t>
            </w:r>
          </w:p>
        </w:tc>
        <w:tc>
          <w:tcPr>
            <w:tcW w:w="1559" w:type="dxa"/>
            <w:tcBorders>
              <w:top w:val="single" w:sz="4" w:space="0" w:color="auto"/>
              <w:left w:val="single" w:sz="4" w:space="0" w:color="auto"/>
              <w:bottom w:val="single" w:sz="4" w:space="0" w:color="auto"/>
              <w:right w:val="single" w:sz="4" w:space="0" w:color="auto"/>
            </w:tcBorders>
          </w:tcPr>
          <w:p w14:paraId="42975D38" w14:textId="158EB82A" w:rsidR="008C40E7" w:rsidRPr="00DD00A2" w:rsidRDefault="008C40E7" w:rsidP="00BF3540">
            <w:pPr>
              <w:pStyle w:val="Tabledata"/>
              <w:jc w:val="left"/>
              <w:rPr>
                <w:szCs w:val="20"/>
              </w:rPr>
            </w:pPr>
            <w:r>
              <w:t xml:space="preserve">Prudential Regulation Authority </w:t>
            </w:r>
          </w:p>
        </w:tc>
        <w:tc>
          <w:tcPr>
            <w:tcW w:w="1134" w:type="dxa"/>
            <w:tcBorders>
              <w:top w:val="single" w:sz="4" w:space="0" w:color="auto"/>
              <w:left w:val="single" w:sz="4" w:space="0" w:color="auto"/>
              <w:right w:val="single" w:sz="4" w:space="0" w:color="auto"/>
            </w:tcBorders>
          </w:tcPr>
          <w:p w14:paraId="52A99A0F" w14:textId="1F3BF30F"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right w:val="single" w:sz="4" w:space="0" w:color="auto"/>
            </w:tcBorders>
            <w:shd w:val="clear" w:color="auto" w:fill="00B050"/>
          </w:tcPr>
          <w:p w14:paraId="43DFFF17" w14:textId="59E84B15" w:rsidR="008C40E7" w:rsidRPr="00180E1B" w:rsidRDefault="008C40E7" w:rsidP="00BF3540">
            <w:pPr>
              <w:pStyle w:val="Tabledata"/>
              <w:jc w:val="center"/>
              <w:rPr>
                <w:b/>
                <w:szCs w:val="20"/>
              </w:rPr>
            </w:pPr>
            <w:r>
              <w:rPr>
                <w:b/>
                <w:color w:val="auto"/>
                <w:szCs w:val="20"/>
              </w:rPr>
              <w:t>Yes</w:t>
            </w:r>
          </w:p>
        </w:tc>
        <w:tc>
          <w:tcPr>
            <w:tcW w:w="3510" w:type="dxa"/>
            <w:tcBorders>
              <w:top w:val="single" w:sz="4" w:space="0" w:color="auto"/>
              <w:left w:val="single" w:sz="4" w:space="0" w:color="auto"/>
              <w:right w:val="single" w:sz="4" w:space="0" w:color="auto"/>
            </w:tcBorders>
            <w:shd w:val="clear" w:color="auto" w:fill="auto"/>
          </w:tcPr>
          <w:p w14:paraId="0349F5B8" w14:textId="3F954D27" w:rsidR="008C40E7" w:rsidRPr="00180E1B" w:rsidRDefault="008C40E7" w:rsidP="00BF3540">
            <w:pPr>
              <w:pStyle w:val="body"/>
              <w:spacing w:before="0" w:after="0" w:line="240" w:lineRule="auto"/>
              <w:jc w:val="left"/>
            </w:pPr>
            <w:r w:rsidRPr="007E16D1">
              <w:rPr>
                <w:sz w:val="20"/>
                <w:szCs w:val="20"/>
                <w:lang w:val="en-GB"/>
              </w:rPr>
              <w:t>As at 14.05.2018, notification date.</w:t>
            </w:r>
            <w:r>
              <w:t xml:space="preserve"> </w:t>
            </w:r>
          </w:p>
        </w:tc>
      </w:tr>
      <w:tr w:rsidR="008C40E7" w:rsidRPr="00A2678D" w14:paraId="52A9B10F" w14:textId="77777777" w:rsidTr="00BF3540">
        <w:trPr>
          <w:trHeight w:val="294"/>
        </w:trPr>
        <w:tc>
          <w:tcPr>
            <w:tcW w:w="993" w:type="dxa"/>
            <w:gridSpan w:val="2"/>
            <w:vMerge/>
            <w:tcBorders>
              <w:left w:val="single" w:sz="4" w:space="0" w:color="auto"/>
              <w:bottom w:val="single" w:sz="4" w:space="0" w:color="auto"/>
              <w:right w:val="single" w:sz="4" w:space="0" w:color="auto"/>
            </w:tcBorders>
          </w:tcPr>
          <w:p w14:paraId="6AB5419F" w14:textId="77777777" w:rsidR="008C40E7" w:rsidRDefault="008C40E7" w:rsidP="00BF3540">
            <w:pPr>
              <w:pStyle w:val="Tabledata"/>
              <w:jc w:val="left"/>
            </w:pPr>
          </w:p>
        </w:tc>
        <w:tc>
          <w:tcPr>
            <w:tcW w:w="1418" w:type="dxa"/>
            <w:gridSpan w:val="2"/>
            <w:vMerge/>
            <w:tcBorders>
              <w:left w:val="single" w:sz="4" w:space="0" w:color="auto"/>
              <w:bottom w:val="single" w:sz="4" w:space="0" w:color="auto"/>
              <w:right w:val="single" w:sz="4" w:space="0" w:color="auto"/>
            </w:tcBorders>
          </w:tcPr>
          <w:p w14:paraId="46A35038" w14:textId="77777777" w:rsidR="008C40E7" w:rsidRDefault="008C40E7" w:rsidP="00BF3540">
            <w:pPr>
              <w:pStyle w:val="Tabledata"/>
              <w:jc w:val="left"/>
            </w:pPr>
          </w:p>
        </w:tc>
        <w:tc>
          <w:tcPr>
            <w:tcW w:w="1559" w:type="dxa"/>
            <w:tcBorders>
              <w:top w:val="single" w:sz="4" w:space="0" w:color="auto"/>
              <w:left w:val="single" w:sz="4" w:space="0" w:color="auto"/>
              <w:bottom w:val="single" w:sz="4" w:space="0" w:color="auto"/>
              <w:right w:val="single" w:sz="4" w:space="0" w:color="auto"/>
            </w:tcBorders>
          </w:tcPr>
          <w:p w14:paraId="02495DEC" w14:textId="77777777" w:rsidR="008C40E7" w:rsidRPr="00DD00A2" w:rsidRDefault="008C40E7" w:rsidP="00BF3540">
            <w:pPr>
              <w:pStyle w:val="Tabledata"/>
              <w:jc w:val="left"/>
              <w:rPr>
                <w:szCs w:val="20"/>
              </w:rPr>
            </w:pPr>
            <w:r>
              <w:t>Financial Conduct Authority (FCA)</w:t>
            </w:r>
          </w:p>
        </w:tc>
        <w:tc>
          <w:tcPr>
            <w:tcW w:w="1134" w:type="dxa"/>
            <w:tcBorders>
              <w:left w:val="single" w:sz="4" w:space="0" w:color="auto"/>
              <w:bottom w:val="single" w:sz="4" w:space="0" w:color="auto"/>
              <w:right w:val="single" w:sz="4" w:space="0" w:color="auto"/>
            </w:tcBorders>
          </w:tcPr>
          <w:p w14:paraId="32455AA0" w14:textId="0D301041" w:rsidR="008C40E7" w:rsidRPr="00180E1B" w:rsidRDefault="001E1141" w:rsidP="00BF3540">
            <w:pPr>
              <w:pStyle w:val="Tabledata"/>
              <w:jc w:val="center"/>
              <w:rPr>
                <w:b/>
                <w:szCs w:val="20"/>
              </w:rPr>
            </w:pPr>
            <w:r>
              <w:rPr>
                <w:b/>
                <w:szCs w:val="20"/>
              </w:rPr>
              <w:t>ESMA</w:t>
            </w:r>
          </w:p>
        </w:tc>
        <w:tc>
          <w:tcPr>
            <w:tcW w:w="1559" w:type="dxa"/>
            <w:tcBorders>
              <w:left w:val="single" w:sz="4" w:space="0" w:color="auto"/>
              <w:bottom w:val="single" w:sz="4" w:space="0" w:color="auto"/>
              <w:right w:val="single" w:sz="4" w:space="0" w:color="auto"/>
            </w:tcBorders>
            <w:shd w:val="clear" w:color="auto" w:fill="00B050"/>
          </w:tcPr>
          <w:p w14:paraId="53A4D796" w14:textId="747A3FBE" w:rsidR="008C40E7" w:rsidRPr="00180E1B" w:rsidRDefault="001E1141" w:rsidP="00BF3540">
            <w:pPr>
              <w:pStyle w:val="Tabledata"/>
              <w:jc w:val="center"/>
              <w:rPr>
                <w:b/>
                <w:szCs w:val="20"/>
              </w:rPr>
            </w:pPr>
            <w:r>
              <w:rPr>
                <w:b/>
                <w:szCs w:val="20"/>
              </w:rPr>
              <w:t>Yes</w:t>
            </w:r>
          </w:p>
        </w:tc>
        <w:tc>
          <w:tcPr>
            <w:tcW w:w="3510" w:type="dxa"/>
            <w:tcBorders>
              <w:left w:val="single" w:sz="4" w:space="0" w:color="auto"/>
              <w:bottom w:val="single" w:sz="4" w:space="0" w:color="auto"/>
              <w:right w:val="single" w:sz="4" w:space="0" w:color="auto"/>
            </w:tcBorders>
            <w:shd w:val="clear" w:color="auto" w:fill="auto"/>
          </w:tcPr>
          <w:p w14:paraId="60BD210C" w14:textId="1BCAFA33" w:rsidR="008C40E7" w:rsidRPr="00526777" w:rsidRDefault="001E1141" w:rsidP="00BF3540">
            <w:pPr>
              <w:pStyle w:val="body"/>
              <w:spacing w:before="0" w:after="0" w:line="240" w:lineRule="auto"/>
              <w:jc w:val="left"/>
              <w:rPr>
                <w:sz w:val="20"/>
                <w:szCs w:val="20"/>
              </w:rPr>
            </w:pPr>
            <w:r>
              <w:rPr>
                <w:sz w:val="20"/>
                <w:szCs w:val="20"/>
                <w:lang w:val="en-GB"/>
              </w:rPr>
              <w:t xml:space="preserve">As at </w:t>
            </w:r>
            <w:r w:rsidR="00BA0A43">
              <w:rPr>
                <w:sz w:val="20"/>
                <w:szCs w:val="20"/>
                <w:lang w:val="en-GB"/>
              </w:rPr>
              <w:t>18</w:t>
            </w:r>
            <w:r>
              <w:rPr>
                <w:sz w:val="20"/>
                <w:szCs w:val="20"/>
                <w:lang w:val="en-GB"/>
              </w:rPr>
              <w:t>.05.</w:t>
            </w:r>
            <w:r w:rsidRPr="001E1141">
              <w:rPr>
                <w:sz w:val="20"/>
                <w:szCs w:val="20"/>
                <w:lang w:val="en-GB"/>
              </w:rPr>
              <w:t>2018, notification date.</w:t>
            </w:r>
          </w:p>
        </w:tc>
      </w:tr>
      <w:tr w:rsidR="008C40E7" w:rsidRPr="00A2678D" w14:paraId="6D71DCB0" w14:textId="77777777" w:rsidTr="00BF3540">
        <w:tc>
          <w:tcPr>
            <w:tcW w:w="1276" w:type="dxa"/>
            <w:gridSpan w:val="3"/>
            <w:tcBorders>
              <w:top w:val="single" w:sz="4" w:space="0" w:color="auto"/>
              <w:bottom w:val="single" w:sz="4" w:space="0" w:color="auto"/>
            </w:tcBorders>
            <w:shd w:val="clear" w:color="auto" w:fill="auto"/>
          </w:tcPr>
          <w:p w14:paraId="3C749853" w14:textId="77777777" w:rsidR="008C40E7" w:rsidRDefault="008C40E7" w:rsidP="00BF3540">
            <w:pPr>
              <w:pStyle w:val="Tabledata"/>
              <w:jc w:val="left"/>
              <w:rPr>
                <w:rStyle w:val="Highlighttext"/>
                <w:sz w:val="20"/>
                <w:szCs w:val="20"/>
              </w:rPr>
            </w:pPr>
          </w:p>
        </w:tc>
        <w:tc>
          <w:tcPr>
            <w:tcW w:w="8897" w:type="dxa"/>
            <w:gridSpan w:val="5"/>
            <w:tcBorders>
              <w:top w:val="single" w:sz="4" w:space="0" w:color="auto"/>
              <w:bottom w:val="single" w:sz="4" w:space="0" w:color="auto"/>
            </w:tcBorders>
            <w:shd w:val="clear" w:color="auto" w:fill="auto"/>
            <w:vAlign w:val="top"/>
          </w:tcPr>
          <w:p w14:paraId="52FA7546" w14:textId="29B2690B" w:rsidR="008C40E7" w:rsidRPr="006D2ED5" w:rsidRDefault="008C40E7" w:rsidP="00BF3540">
            <w:pPr>
              <w:pStyle w:val="Tabledata"/>
              <w:jc w:val="left"/>
              <w:rPr>
                <w:szCs w:val="20"/>
              </w:rPr>
            </w:pPr>
            <w:r>
              <w:rPr>
                <w:rStyle w:val="Highlighttext"/>
                <w:sz w:val="20"/>
                <w:szCs w:val="20"/>
              </w:rPr>
              <w:t>EU Institutions – Agencies</w:t>
            </w:r>
          </w:p>
        </w:tc>
      </w:tr>
      <w:tr w:rsidR="008C40E7" w:rsidRPr="00A2678D" w14:paraId="17EB5778" w14:textId="77777777" w:rsidTr="00BF3540">
        <w:tc>
          <w:tcPr>
            <w:tcW w:w="534" w:type="dxa"/>
            <w:tcBorders>
              <w:top w:val="single" w:sz="4" w:space="0" w:color="auto"/>
              <w:left w:val="single" w:sz="4" w:space="0" w:color="auto"/>
              <w:bottom w:val="single" w:sz="4" w:space="0" w:color="auto"/>
              <w:right w:val="single" w:sz="4" w:space="0" w:color="auto"/>
            </w:tcBorders>
          </w:tcPr>
          <w:p w14:paraId="442C391C" w14:textId="77777777" w:rsidR="008C40E7" w:rsidRPr="00A64B3F" w:rsidRDefault="008C40E7" w:rsidP="00BF3540">
            <w:pPr>
              <w:pStyle w:val="Tabledata"/>
              <w:jc w:val="center"/>
              <w:rPr>
                <w:szCs w:val="20"/>
              </w:rPr>
            </w:pPr>
            <w:r>
              <w:rPr>
                <w:szCs w:val="20"/>
              </w:rPr>
              <w:t>ECB</w:t>
            </w:r>
          </w:p>
        </w:tc>
        <w:tc>
          <w:tcPr>
            <w:tcW w:w="1877" w:type="dxa"/>
            <w:gridSpan w:val="3"/>
            <w:tcBorders>
              <w:top w:val="single" w:sz="4" w:space="0" w:color="auto"/>
              <w:left w:val="single" w:sz="4" w:space="0" w:color="auto"/>
              <w:bottom w:val="single" w:sz="4" w:space="0" w:color="auto"/>
              <w:right w:val="single" w:sz="4" w:space="0" w:color="auto"/>
            </w:tcBorders>
          </w:tcPr>
          <w:p w14:paraId="6F97B3AC" w14:textId="77777777" w:rsidR="008C40E7" w:rsidRPr="00A64B3F" w:rsidRDefault="008C40E7" w:rsidP="00BF3540">
            <w:pPr>
              <w:pStyle w:val="Tabledata"/>
              <w:jc w:val="center"/>
              <w:rPr>
                <w:szCs w:val="20"/>
              </w:rPr>
            </w:pPr>
            <w:r>
              <w:rPr>
                <w:szCs w:val="20"/>
              </w:rPr>
              <w:t>ECB</w:t>
            </w:r>
          </w:p>
        </w:tc>
        <w:tc>
          <w:tcPr>
            <w:tcW w:w="1559" w:type="dxa"/>
            <w:tcBorders>
              <w:top w:val="single" w:sz="4" w:space="0" w:color="auto"/>
              <w:left w:val="single" w:sz="4" w:space="0" w:color="auto"/>
              <w:bottom w:val="single" w:sz="4" w:space="0" w:color="auto"/>
              <w:right w:val="single" w:sz="4" w:space="0" w:color="auto"/>
            </w:tcBorders>
          </w:tcPr>
          <w:p w14:paraId="29D4B8C9" w14:textId="77777777" w:rsidR="008C40E7" w:rsidRPr="00A64B3F" w:rsidRDefault="008C40E7" w:rsidP="00BF3540">
            <w:pPr>
              <w:pStyle w:val="Tabledata"/>
              <w:jc w:val="center"/>
              <w:rPr>
                <w:rFonts w:cs="Arial"/>
                <w:bCs w:val="0"/>
                <w:szCs w:val="20"/>
              </w:rPr>
            </w:pPr>
            <w:r>
              <w:rPr>
                <w:szCs w:val="20"/>
              </w:rPr>
              <w:t>ECB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D6E329" w14:textId="6BA2C18D"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60C1AEB1" w14:textId="18E07A79" w:rsidR="008C40E7" w:rsidRPr="00180E1B" w:rsidRDefault="008C40E7" w:rsidP="00BF3540">
            <w:pPr>
              <w:pStyle w:val="Tabledata"/>
              <w:jc w:val="center"/>
              <w:rPr>
                <w:b/>
                <w:szCs w:val="20"/>
              </w:rPr>
            </w:pPr>
            <w:r>
              <w:rPr>
                <w:b/>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726C799" w14:textId="77777777" w:rsidR="008C40E7" w:rsidRPr="004F1CB9" w:rsidRDefault="008C40E7" w:rsidP="00BF3540">
            <w:pPr>
              <w:suppressAutoHyphens/>
              <w:rPr>
                <w:rFonts w:eastAsia="Times New Roman" w:cstheme="minorHAnsi"/>
                <w:bCs/>
                <w:color w:val="000000"/>
                <w:sz w:val="20"/>
                <w:szCs w:val="20"/>
                <w:lang w:val="sv-SE" w:eastAsia="en-GB"/>
              </w:rPr>
            </w:pPr>
            <w:r w:rsidRPr="004F1CB9">
              <w:rPr>
                <w:rFonts w:eastAsia="Times New Roman" w:cstheme="minorHAnsi"/>
                <w:bCs/>
                <w:color w:val="000000"/>
                <w:sz w:val="20"/>
                <w:szCs w:val="20"/>
                <w:lang w:val="sv-SE" w:eastAsia="en-GB"/>
              </w:rPr>
              <w:t xml:space="preserve">As at 22.05.2018, notification date. </w:t>
            </w:r>
          </w:p>
          <w:p w14:paraId="01579492" w14:textId="13F5B3DF" w:rsidR="008C40E7" w:rsidRPr="00180E1B" w:rsidRDefault="008C40E7" w:rsidP="00BF3540">
            <w:pPr>
              <w:suppressAutoHyphens/>
              <w:rPr>
                <w:szCs w:val="20"/>
              </w:rPr>
            </w:pPr>
            <w:r w:rsidRPr="004F1CB9">
              <w:rPr>
                <w:rFonts w:eastAsia="Times New Roman" w:cstheme="minorHAnsi"/>
                <w:bCs/>
                <w:color w:val="000000"/>
                <w:sz w:val="20"/>
                <w:szCs w:val="20"/>
                <w:lang w:val="sv-SE" w:eastAsia="en-GB"/>
              </w:rPr>
              <w:t>The ECB’s compliance with the EBA Guidelines should be considered as operating within the limit of, and without prejudice to, national provisions transposing Directive 2013/36/EU.</w:t>
            </w:r>
          </w:p>
        </w:tc>
      </w:tr>
      <w:tr w:rsidR="008C40E7" w:rsidRPr="006D2ED5" w14:paraId="7498C18B" w14:textId="77777777" w:rsidTr="00BF3540">
        <w:tc>
          <w:tcPr>
            <w:tcW w:w="1276" w:type="dxa"/>
            <w:gridSpan w:val="3"/>
            <w:tcBorders>
              <w:top w:val="single" w:sz="4" w:space="0" w:color="auto"/>
              <w:bottom w:val="single" w:sz="4" w:space="0" w:color="auto"/>
            </w:tcBorders>
            <w:shd w:val="clear" w:color="auto" w:fill="auto"/>
          </w:tcPr>
          <w:p w14:paraId="2CB47CCA" w14:textId="77777777" w:rsidR="008C40E7" w:rsidRDefault="008C40E7" w:rsidP="00BF3540">
            <w:pPr>
              <w:pStyle w:val="Tabledata"/>
              <w:jc w:val="left"/>
              <w:rPr>
                <w:rStyle w:val="Highlighttext"/>
                <w:sz w:val="20"/>
                <w:szCs w:val="20"/>
              </w:rPr>
            </w:pPr>
          </w:p>
        </w:tc>
        <w:tc>
          <w:tcPr>
            <w:tcW w:w="8897" w:type="dxa"/>
            <w:gridSpan w:val="5"/>
            <w:tcBorders>
              <w:top w:val="single" w:sz="4" w:space="0" w:color="auto"/>
              <w:bottom w:val="single" w:sz="4" w:space="0" w:color="auto"/>
            </w:tcBorders>
            <w:shd w:val="clear" w:color="auto" w:fill="auto"/>
            <w:vAlign w:val="top"/>
          </w:tcPr>
          <w:p w14:paraId="3A875370" w14:textId="62D551EB" w:rsidR="008C40E7" w:rsidRPr="006D2ED5" w:rsidRDefault="008C40E7" w:rsidP="00BF3540">
            <w:pPr>
              <w:pStyle w:val="Tabledata"/>
              <w:jc w:val="left"/>
              <w:rPr>
                <w:szCs w:val="20"/>
              </w:rPr>
            </w:pPr>
            <w:r>
              <w:rPr>
                <w:rStyle w:val="Highlighttext"/>
                <w:sz w:val="20"/>
                <w:szCs w:val="20"/>
              </w:rPr>
              <w:t>EEA – EFTA State</w:t>
            </w:r>
          </w:p>
        </w:tc>
      </w:tr>
      <w:tr w:rsidR="008C40E7" w:rsidRPr="008B5776" w14:paraId="76F251A2" w14:textId="77777777" w:rsidTr="00BF3540">
        <w:tc>
          <w:tcPr>
            <w:tcW w:w="534" w:type="dxa"/>
            <w:tcBorders>
              <w:top w:val="single" w:sz="4" w:space="0" w:color="auto"/>
              <w:left w:val="single" w:sz="4" w:space="0" w:color="auto"/>
              <w:bottom w:val="single" w:sz="4" w:space="0" w:color="auto"/>
              <w:right w:val="single" w:sz="4" w:space="0" w:color="auto"/>
            </w:tcBorders>
          </w:tcPr>
          <w:p w14:paraId="2345EF87" w14:textId="77777777" w:rsidR="008C40E7" w:rsidRPr="00A64B3F" w:rsidRDefault="008C40E7" w:rsidP="00BF3540">
            <w:pPr>
              <w:pStyle w:val="Tabledata"/>
              <w:jc w:val="center"/>
              <w:rPr>
                <w:szCs w:val="20"/>
              </w:rPr>
            </w:pPr>
            <w:r>
              <w:t>IS</w:t>
            </w:r>
            <w:r>
              <w:rPr>
                <w:szCs w:val="20"/>
              </w:rPr>
              <w:t xml:space="preserve"> </w:t>
            </w:r>
          </w:p>
        </w:tc>
        <w:tc>
          <w:tcPr>
            <w:tcW w:w="1877" w:type="dxa"/>
            <w:gridSpan w:val="3"/>
            <w:tcBorders>
              <w:top w:val="single" w:sz="4" w:space="0" w:color="auto"/>
              <w:left w:val="single" w:sz="4" w:space="0" w:color="auto"/>
              <w:bottom w:val="single" w:sz="4" w:space="0" w:color="auto"/>
              <w:right w:val="single" w:sz="4" w:space="0" w:color="auto"/>
            </w:tcBorders>
          </w:tcPr>
          <w:p w14:paraId="4D02D599" w14:textId="1C1A2027" w:rsidR="00BF3540" w:rsidRDefault="008C40E7" w:rsidP="00BF3540">
            <w:pPr>
              <w:pStyle w:val="Tabledata"/>
              <w:jc w:val="center"/>
              <w:rPr>
                <w:szCs w:val="20"/>
              </w:rPr>
            </w:pPr>
            <w:r>
              <w:t>Iceland</w:t>
            </w:r>
          </w:p>
          <w:p w14:paraId="31502D25" w14:textId="7D4555E7" w:rsidR="00BF3540" w:rsidRDefault="00BF3540" w:rsidP="00BF3540">
            <w:pPr>
              <w:rPr>
                <w:lang w:eastAsia="en-GB"/>
              </w:rPr>
            </w:pPr>
          </w:p>
          <w:p w14:paraId="67FD71A2" w14:textId="74C6A17D" w:rsidR="00BF3540" w:rsidRDefault="00BF3540" w:rsidP="00BF3540">
            <w:pPr>
              <w:rPr>
                <w:lang w:eastAsia="en-GB"/>
              </w:rPr>
            </w:pPr>
          </w:p>
          <w:p w14:paraId="032E292E" w14:textId="77777777" w:rsidR="008C40E7" w:rsidRPr="00BF3540" w:rsidRDefault="008C40E7" w:rsidP="00BF3540">
            <w:pPr>
              <w:rPr>
                <w:lang w:eastAsia="en-GB"/>
              </w:rPr>
            </w:pPr>
          </w:p>
        </w:tc>
        <w:tc>
          <w:tcPr>
            <w:tcW w:w="1559" w:type="dxa"/>
            <w:tcBorders>
              <w:top w:val="single" w:sz="4" w:space="0" w:color="auto"/>
              <w:left w:val="single" w:sz="4" w:space="0" w:color="auto"/>
              <w:bottom w:val="single" w:sz="4" w:space="0" w:color="auto"/>
              <w:right w:val="single" w:sz="4" w:space="0" w:color="auto"/>
            </w:tcBorders>
          </w:tcPr>
          <w:p w14:paraId="00C93A55" w14:textId="1CA8EEA8" w:rsidR="008C40E7" w:rsidRPr="00A64B3F" w:rsidRDefault="008C40E7" w:rsidP="00BF3540">
            <w:pPr>
              <w:pStyle w:val="Tabledata"/>
              <w:jc w:val="left"/>
              <w:rPr>
                <w:rFonts w:cs="Arial"/>
                <w:bCs w:val="0"/>
                <w:szCs w:val="20"/>
              </w:rPr>
            </w:pPr>
            <w:r w:rsidRPr="00CD3A8C">
              <w:t xml:space="preserve">Financial Supervisory Authority </w:t>
            </w:r>
            <w:r>
              <w:t>, Iceland</w:t>
            </w:r>
          </w:p>
        </w:tc>
        <w:tc>
          <w:tcPr>
            <w:tcW w:w="1134" w:type="dxa"/>
            <w:tcBorders>
              <w:top w:val="single" w:sz="4" w:space="0" w:color="auto"/>
              <w:left w:val="single" w:sz="4" w:space="0" w:color="auto"/>
              <w:bottom w:val="single" w:sz="4" w:space="0" w:color="auto"/>
              <w:right w:val="single" w:sz="4" w:space="0" w:color="auto"/>
            </w:tcBorders>
          </w:tcPr>
          <w:p w14:paraId="39C9A75A" w14:textId="17D852C3"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2CF89FF" w14:textId="60EBD15D" w:rsidR="008C40E7" w:rsidRPr="00180E1B" w:rsidRDefault="008C40E7" w:rsidP="00BF3540">
            <w:pPr>
              <w:pStyle w:val="Tabledata"/>
              <w:ind w:left="284"/>
              <w:jc w:val="left"/>
              <w:rPr>
                <w:b/>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EEDE18B" w14:textId="15593C06" w:rsidR="008C40E7" w:rsidRPr="007E16D1" w:rsidRDefault="008C40E7" w:rsidP="00BF3540">
            <w:pPr>
              <w:rPr>
                <w:sz w:val="20"/>
                <w:szCs w:val="20"/>
              </w:rPr>
            </w:pPr>
            <w:r w:rsidRPr="007E16D1">
              <w:rPr>
                <w:sz w:val="20"/>
                <w:szCs w:val="20"/>
              </w:rPr>
              <w:t xml:space="preserve">By such time as the necessary legislative or regulatory proceedings have been completed. </w:t>
            </w:r>
            <w:proofErr w:type="spellStart"/>
            <w:r w:rsidRPr="007E16D1">
              <w:rPr>
                <w:sz w:val="20"/>
                <w:szCs w:val="20"/>
              </w:rPr>
              <w:t>Fjármálaeftirlitið</w:t>
            </w:r>
            <w:proofErr w:type="spellEnd"/>
            <w:r w:rsidRPr="007E16D1">
              <w:rPr>
                <w:sz w:val="20"/>
                <w:szCs w:val="20"/>
              </w:rPr>
              <w:t xml:space="preserve"> (The Financial Supervisory Authority, </w:t>
            </w:r>
            <w:proofErr w:type="spellStart"/>
            <w:r w:rsidRPr="007E16D1">
              <w:rPr>
                <w:sz w:val="20"/>
                <w:szCs w:val="20"/>
              </w:rPr>
              <w:t>lceland</w:t>
            </w:r>
            <w:proofErr w:type="spellEnd"/>
            <w:r w:rsidRPr="007E16D1">
              <w:rPr>
                <w:sz w:val="20"/>
                <w:szCs w:val="20"/>
              </w:rPr>
              <w:t xml:space="preserve">) will not be able to comply with a part of the guidelines on the assessment of the suitability of members of the management body and key function holders. In order for </w:t>
            </w:r>
            <w:proofErr w:type="spellStart"/>
            <w:r w:rsidRPr="007E16D1">
              <w:rPr>
                <w:sz w:val="20"/>
                <w:szCs w:val="20"/>
              </w:rPr>
              <w:t>Fjármálaeftirlitið</w:t>
            </w:r>
            <w:proofErr w:type="spellEnd"/>
            <w:r w:rsidRPr="007E16D1">
              <w:rPr>
                <w:sz w:val="20"/>
                <w:szCs w:val="20"/>
              </w:rPr>
              <w:t xml:space="preserve"> to be able to comply with Title VIII, paragraphs 170 -198, legislative proceedings will need to be finalised with regard to the authority's power to assess the suitability of key function holders.</w:t>
            </w:r>
          </w:p>
        </w:tc>
      </w:tr>
      <w:tr w:rsidR="001E1141" w:rsidRPr="008B5776" w14:paraId="125817BF" w14:textId="77777777" w:rsidTr="00BF3540">
        <w:tc>
          <w:tcPr>
            <w:tcW w:w="534" w:type="dxa"/>
            <w:vMerge w:val="restart"/>
            <w:tcBorders>
              <w:top w:val="single" w:sz="4" w:space="0" w:color="auto"/>
              <w:left w:val="single" w:sz="4" w:space="0" w:color="auto"/>
              <w:right w:val="single" w:sz="4" w:space="0" w:color="auto"/>
            </w:tcBorders>
          </w:tcPr>
          <w:p w14:paraId="4932A046" w14:textId="77777777" w:rsidR="001E1141" w:rsidRDefault="001E1141" w:rsidP="00BF3540">
            <w:pPr>
              <w:pStyle w:val="Tabledata"/>
              <w:jc w:val="center"/>
              <w:rPr>
                <w:szCs w:val="20"/>
              </w:rPr>
            </w:pPr>
            <w:r w:rsidRPr="00CD3A8C">
              <w:t>LI</w:t>
            </w:r>
          </w:p>
        </w:tc>
        <w:tc>
          <w:tcPr>
            <w:tcW w:w="1877" w:type="dxa"/>
            <w:gridSpan w:val="3"/>
            <w:vMerge w:val="restart"/>
            <w:tcBorders>
              <w:top w:val="single" w:sz="4" w:space="0" w:color="auto"/>
              <w:left w:val="single" w:sz="4" w:space="0" w:color="auto"/>
              <w:right w:val="single" w:sz="4" w:space="0" w:color="auto"/>
            </w:tcBorders>
          </w:tcPr>
          <w:p w14:paraId="363B70FA" w14:textId="77777777" w:rsidR="001E1141" w:rsidRPr="00A64B3F" w:rsidRDefault="001E1141" w:rsidP="00BF3540">
            <w:pPr>
              <w:pStyle w:val="Tabledata"/>
              <w:jc w:val="center"/>
              <w:rPr>
                <w:szCs w:val="20"/>
              </w:rPr>
            </w:pPr>
            <w:r w:rsidRPr="00CD3A8C">
              <w:t>Liechtenstein</w:t>
            </w:r>
          </w:p>
        </w:tc>
        <w:tc>
          <w:tcPr>
            <w:tcW w:w="1559" w:type="dxa"/>
            <w:tcBorders>
              <w:top w:val="single" w:sz="4" w:space="0" w:color="auto"/>
              <w:left w:val="single" w:sz="4" w:space="0" w:color="auto"/>
              <w:bottom w:val="single" w:sz="4" w:space="0" w:color="auto"/>
              <w:right w:val="single" w:sz="4" w:space="0" w:color="auto"/>
            </w:tcBorders>
          </w:tcPr>
          <w:p w14:paraId="2169EE9B" w14:textId="65D317B9" w:rsidR="001E1141" w:rsidRPr="00DD00A2" w:rsidRDefault="001E1141" w:rsidP="00BF3540">
            <w:pPr>
              <w:pStyle w:val="Tabledata"/>
              <w:jc w:val="left"/>
              <w:rPr>
                <w:szCs w:val="20"/>
              </w:rPr>
            </w:pPr>
            <w:r w:rsidRPr="00DA4323">
              <w:rPr>
                <w:szCs w:val="20"/>
              </w:rPr>
              <w:t>Financial Market Authority Liechtenstein</w:t>
            </w:r>
            <w:r>
              <w:rPr>
                <w:szCs w:val="20"/>
              </w:rPr>
              <w:t xml:space="preserve"> (FMA)</w:t>
            </w:r>
          </w:p>
        </w:tc>
        <w:tc>
          <w:tcPr>
            <w:tcW w:w="1134" w:type="dxa"/>
            <w:tcBorders>
              <w:top w:val="single" w:sz="4" w:space="0" w:color="auto"/>
              <w:left w:val="single" w:sz="4" w:space="0" w:color="auto"/>
              <w:bottom w:val="single" w:sz="4" w:space="0" w:color="auto"/>
              <w:right w:val="single" w:sz="4" w:space="0" w:color="auto"/>
            </w:tcBorders>
          </w:tcPr>
          <w:p w14:paraId="324716C6" w14:textId="6E42142F" w:rsidR="001E1141" w:rsidRPr="00180E1B" w:rsidRDefault="001E1141"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77F3643B" w14:textId="780D3234" w:rsidR="001E1141" w:rsidRPr="00180E1B" w:rsidRDefault="001E1141" w:rsidP="00BF3540">
            <w:pPr>
              <w:pStyle w:val="Tabledata"/>
              <w:jc w:val="center"/>
              <w:rPr>
                <w:b/>
                <w:szCs w:val="20"/>
              </w:rPr>
            </w:pPr>
            <w:r>
              <w:rPr>
                <w:b/>
                <w:color w:val="auto"/>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A36C609" w14:textId="2D4BDAB8" w:rsidR="001E1141" w:rsidRPr="00436FD9" w:rsidRDefault="001E1141" w:rsidP="00BF3540">
            <w:pPr>
              <w:rPr>
                <w:rFonts w:eastAsia="Times New Roman" w:cstheme="minorHAnsi"/>
                <w:bCs/>
                <w:color w:val="000000"/>
                <w:sz w:val="20"/>
                <w:lang w:eastAsia="en-GB"/>
              </w:rPr>
            </w:pPr>
            <w:r>
              <w:rPr>
                <w:sz w:val="20"/>
                <w:szCs w:val="20"/>
              </w:rPr>
              <w:t xml:space="preserve">As at 17.05.2018, notification date. </w:t>
            </w:r>
          </w:p>
        </w:tc>
      </w:tr>
      <w:tr w:rsidR="001E1141" w:rsidRPr="008B5776" w14:paraId="0228FF7E" w14:textId="77777777" w:rsidTr="00BF3540">
        <w:tc>
          <w:tcPr>
            <w:tcW w:w="534" w:type="dxa"/>
            <w:vMerge/>
            <w:tcBorders>
              <w:left w:val="single" w:sz="4" w:space="0" w:color="auto"/>
              <w:bottom w:val="single" w:sz="4" w:space="0" w:color="auto"/>
              <w:right w:val="single" w:sz="4" w:space="0" w:color="auto"/>
            </w:tcBorders>
          </w:tcPr>
          <w:p w14:paraId="705113E2" w14:textId="77777777" w:rsidR="001E1141" w:rsidRPr="00CD3A8C" w:rsidRDefault="001E1141" w:rsidP="00BF3540">
            <w:pPr>
              <w:pStyle w:val="Tabledata"/>
              <w:jc w:val="center"/>
            </w:pPr>
          </w:p>
        </w:tc>
        <w:tc>
          <w:tcPr>
            <w:tcW w:w="1877" w:type="dxa"/>
            <w:gridSpan w:val="3"/>
            <w:vMerge/>
            <w:tcBorders>
              <w:left w:val="single" w:sz="4" w:space="0" w:color="auto"/>
              <w:bottom w:val="single" w:sz="4" w:space="0" w:color="auto"/>
              <w:right w:val="single" w:sz="4" w:space="0" w:color="auto"/>
            </w:tcBorders>
          </w:tcPr>
          <w:p w14:paraId="7174C108" w14:textId="77777777" w:rsidR="001E1141" w:rsidRPr="00CD3A8C" w:rsidRDefault="001E1141" w:rsidP="00BF3540">
            <w:pPr>
              <w:pStyle w:val="Tabledata"/>
              <w:jc w:val="center"/>
            </w:pPr>
          </w:p>
        </w:tc>
        <w:tc>
          <w:tcPr>
            <w:tcW w:w="1559" w:type="dxa"/>
            <w:tcBorders>
              <w:top w:val="single" w:sz="4" w:space="0" w:color="auto"/>
              <w:left w:val="single" w:sz="4" w:space="0" w:color="auto"/>
              <w:bottom w:val="single" w:sz="4" w:space="0" w:color="auto"/>
              <w:right w:val="single" w:sz="4" w:space="0" w:color="auto"/>
            </w:tcBorders>
          </w:tcPr>
          <w:p w14:paraId="271E3A88" w14:textId="0F35F85F" w:rsidR="001E1141" w:rsidRPr="00DA4323" w:rsidRDefault="00A91275" w:rsidP="00BF3540">
            <w:pPr>
              <w:pStyle w:val="Tabledata"/>
              <w:jc w:val="left"/>
              <w:rPr>
                <w:szCs w:val="20"/>
              </w:rPr>
            </w:pPr>
            <w:proofErr w:type="spellStart"/>
            <w:r>
              <w:rPr>
                <w:szCs w:val="20"/>
              </w:rPr>
              <w:t>Finanzmarktauf</w:t>
            </w:r>
            <w:r w:rsidR="001E1141" w:rsidRPr="00A91275">
              <w:rPr>
                <w:szCs w:val="20"/>
              </w:rPr>
              <w:t>sicht</w:t>
            </w:r>
            <w:proofErr w:type="spellEnd"/>
            <w:r w:rsidR="001E1141" w:rsidRPr="00A91275">
              <w:rPr>
                <w:szCs w:val="20"/>
              </w:rPr>
              <w:t xml:space="preserve"> (FMA)</w:t>
            </w:r>
          </w:p>
        </w:tc>
        <w:tc>
          <w:tcPr>
            <w:tcW w:w="1134" w:type="dxa"/>
            <w:tcBorders>
              <w:top w:val="single" w:sz="4" w:space="0" w:color="auto"/>
              <w:left w:val="single" w:sz="4" w:space="0" w:color="auto"/>
              <w:bottom w:val="single" w:sz="4" w:space="0" w:color="auto"/>
              <w:right w:val="single" w:sz="4" w:space="0" w:color="auto"/>
            </w:tcBorders>
          </w:tcPr>
          <w:p w14:paraId="4DB8392A" w14:textId="4AE04100" w:rsidR="001E1141" w:rsidRDefault="001E1141" w:rsidP="00BF3540">
            <w:pPr>
              <w:pStyle w:val="Tabledata"/>
              <w:jc w:val="center"/>
              <w:rPr>
                <w:b/>
                <w:szCs w:val="20"/>
              </w:rPr>
            </w:pPr>
            <w:r>
              <w:rPr>
                <w:b/>
                <w:szCs w:val="20"/>
              </w:rPr>
              <w:t>ESMA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F75DE38" w14:textId="3936250F" w:rsidR="001E1141" w:rsidRDefault="00046A86" w:rsidP="00BF3540">
            <w:pPr>
              <w:pStyle w:val="Tabledata"/>
              <w:ind w:left="284"/>
              <w:jc w:val="left"/>
              <w:rPr>
                <w:b/>
                <w:color w:val="auto"/>
                <w:szCs w:val="20"/>
              </w:rPr>
            </w:pPr>
            <w:r>
              <w:rPr>
                <w:b/>
                <w:color w:val="auto"/>
                <w:szCs w:val="20"/>
              </w:rPr>
              <w:t>Intends to comply**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7DADBA4" w14:textId="63AC2057" w:rsidR="001E1141" w:rsidRPr="00046A86" w:rsidRDefault="00046A86" w:rsidP="00BF3540">
            <w:pPr>
              <w:rPr>
                <w:sz w:val="20"/>
                <w:szCs w:val="20"/>
              </w:rPr>
            </w:pPr>
            <w:r w:rsidRPr="00046A86">
              <w:rPr>
                <w:sz w:val="20"/>
                <w:szCs w:val="20"/>
              </w:rPr>
              <w:t>By such time the legislative or regulatory proceeding</w:t>
            </w:r>
            <w:r>
              <w:rPr>
                <w:sz w:val="20"/>
                <w:szCs w:val="20"/>
              </w:rPr>
              <w:t>s</w:t>
            </w:r>
            <w:r w:rsidRPr="00046A86">
              <w:rPr>
                <w:sz w:val="20"/>
                <w:szCs w:val="20"/>
              </w:rPr>
              <w:t xml:space="preserve"> for the incorporation of MiFID II and </w:t>
            </w:r>
            <w:proofErr w:type="spellStart"/>
            <w:r w:rsidRPr="00046A86">
              <w:rPr>
                <w:sz w:val="20"/>
                <w:szCs w:val="20"/>
              </w:rPr>
              <w:t>MiFIR</w:t>
            </w:r>
            <w:proofErr w:type="spellEnd"/>
            <w:r w:rsidRPr="00046A86">
              <w:rPr>
                <w:sz w:val="20"/>
                <w:szCs w:val="20"/>
              </w:rPr>
              <w:t xml:space="preserve"> in the EEA </w:t>
            </w:r>
            <w:r>
              <w:rPr>
                <w:sz w:val="20"/>
                <w:szCs w:val="20"/>
              </w:rPr>
              <w:t xml:space="preserve">agreement </w:t>
            </w:r>
            <w:r w:rsidRPr="00046A86">
              <w:rPr>
                <w:sz w:val="20"/>
                <w:szCs w:val="20"/>
              </w:rPr>
              <w:t>will be completed</w:t>
            </w:r>
          </w:p>
        </w:tc>
      </w:tr>
      <w:tr w:rsidR="008C40E7" w:rsidRPr="008B5776" w14:paraId="54C70261" w14:textId="77777777" w:rsidTr="00BF3540">
        <w:tc>
          <w:tcPr>
            <w:tcW w:w="534" w:type="dxa"/>
            <w:tcBorders>
              <w:top w:val="single" w:sz="4" w:space="0" w:color="auto"/>
              <w:left w:val="single" w:sz="4" w:space="0" w:color="auto"/>
              <w:bottom w:val="single" w:sz="4" w:space="0" w:color="auto"/>
              <w:right w:val="single" w:sz="4" w:space="0" w:color="auto"/>
            </w:tcBorders>
          </w:tcPr>
          <w:p w14:paraId="5893B102" w14:textId="77777777" w:rsidR="008C40E7" w:rsidRDefault="008C40E7" w:rsidP="00BF3540">
            <w:pPr>
              <w:pStyle w:val="Tabledata"/>
              <w:jc w:val="center"/>
              <w:rPr>
                <w:szCs w:val="20"/>
              </w:rPr>
            </w:pPr>
            <w:r w:rsidRPr="00CD3A8C">
              <w:t>NO</w:t>
            </w:r>
          </w:p>
        </w:tc>
        <w:tc>
          <w:tcPr>
            <w:tcW w:w="1877" w:type="dxa"/>
            <w:gridSpan w:val="3"/>
            <w:tcBorders>
              <w:top w:val="single" w:sz="4" w:space="0" w:color="auto"/>
              <w:left w:val="single" w:sz="4" w:space="0" w:color="auto"/>
              <w:bottom w:val="single" w:sz="4" w:space="0" w:color="auto"/>
              <w:right w:val="single" w:sz="4" w:space="0" w:color="auto"/>
            </w:tcBorders>
          </w:tcPr>
          <w:p w14:paraId="34FA8387" w14:textId="77777777" w:rsidR="008C40E7" w:rsidRPr="00A64B3F" w:rsidRDefault="008C40E7" w:rsidP="00BF3540">
            <w:pPr>
              <w:pStyle w:val="Tabledata"/>
              <w:jc w:val="center"/>
              <w:rPr>
                <w:szCs w:val="20"/>
              </w:rPr>
            </w:pPr>
            <w:r w:rsidRPr="00CD3A8C">
              <w:t>Norway</w:t>
            </w:r>
          </w:p>
        </w:tc>
        <w:tc>
          <w:tcPr>
            <w:tcW w:w="1559" w:type="dxa"/>
            <w:tcBorders>
              <w:top w:val="single" w:sz="4" w:space="0" w:color="auto"/>
              <w:left w:val="single" w:sz="4" w:space="0" w:color="auto"/>
              <w:bottom w:val="single" w:sz="4" w:space="0" w:color="auto"/>
              <w:right w:val="single" w:sz="4" w:space="0" w:color="auto"/>
            </w:tcBorders>
          </w:tcPr>
          <w:p w14:paraId="099497CE" w14:textId="79E7D88E" w:rsidR="008C40E7" w:rsidRPr="00DD00A2" w:rsidRDefault="008C40E7" w:rsidP="00BF3540">
            <w:pPr>
              <w:pStyle w:val="Tabledata"/>
              <w:jc w:val="left"/>
              <w:rPr>
                <w:szCs w:val="20"/>
              </w:rPr>
            </w:pPr>
            <w:proofErr w:type="spellStart"/>
            <w:r>
              <w:t>Finanstilsynet</w:t>
            </w:r>
            <w:proofErr w:type="spellEnd"/>
          </w:p>
        </w:tc>
        <w:tc>
          <w:tcPr>
            <w:tcW w:w="1134" w:type="dxa"/>
            <w:tcBorders>
              <w:top w:val="single" w:sz="4" w:space="0" w:color="auto"/>
              <w:left w:val="single" w:sz="4" w:space="0" w:color="auto"/>
              <w:bottom w:val="single" w:sz="4" w:space="0" w:color="auto"/>
              <w:right w:val="single" w:sz="4" w:space="0" w:color="auto"/>
            </w:tcBorders>
          </w:tcPr>
          <w:p w14:paraId="2782F896" w14:textId="4E6BBD77" w:rsidR="008C40E7" w:rsidRPr="00180E1B" w:rsidRDefault="008C40E7" w:rsidP="00BF3540">
            <w:pPr>
              <w:pStyle w:val="Tabledata"/>
              <w:ind w:left="284"/>
              <w:jc w:val="left"/>
              <w:rPr>
                <w:b/>
                <w:szCs w:val="20"/>
              </w:rPr>
            </w:pPr>
            <w:r>
              <w:rPr>
                <w:b/>
                <w:szCs w:val="20"/>
              </w:rPr>
              <w:t>EBA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2490716F" w14:textId="16505E11" w:rsidR="008C40E7" w:rsidRPr="00180E1B" w:rsidRDefault="008C40E7" w:rsidP="00BF3540">
            <w:pPr>
              <w:pStyle w:val="Tabledata"/>
              <w:jc w:val="center"/>
              <w:rPr>
                <w:b/>
                <w:szCs w:val="20"/>
              </w:rPr>
            </w:pPr>
            <w:r>
              <w:rPr>
                <w:b/>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0BB1950" w14:textId="243571DE" w:rsidR="008C40E7" w:rsidRPr="00576974" w:rsidRDefault="008C40E7" w:rsidP="00BF3540">
            <w:r w:rsidRPr="007E16D1">
              <w:rPr>
                <w:sz w:val="20"/>
                <w:szCs w:val="20"/>
              </w:rPr>
              <w:t>As at 16.05.2018, notification date.</w:t>
            </w:r>
            <w:r>
              <w:rPr>
                <w:szCs w:val="20"/>
              </w:rPr>
              <w:t xml:space="preserve"> </w:t>
            </w:r>
          </w:p>
        </w:tc>
      </w:tr>
      <w:tr w:rsidR="008C40E7" w:rsidRPr="006D2ED5" w14:paraId="010D4752" w14:textId="77777777" w:rsidTr="00BF3540">
        <w:tc>
          <w:tcPr>
            <w:tcW w:w="1276" w:type="dxa"/>
            <w:gridSpan w:val="3"/>
            <w:tcBorders>
              <w:top w:val="single" w:sz="4" w:space="0" w:color="auto"/>
              <w:bottom w:val="single" w:sz="4" w:space="0" w:color="auto"/>
            </w:tcBorders>
          </w:tcPr>
          <w:p w14:paraId="71F265F7" w14:textId="77777777" w:rsidR="008C40E7" w:rsidRDefault="008C40E7" w:rsidP="00BF3540">
            <w:pPr>
              <w:pStyle w:val="Tabledata"/>
              <w:jc w:val="left"/>
              <w:rPr>
                <w:rStyle w:val="Highlighttext"/>
                <w:sz w:val="20"/>
                <w:szCs w:val="20"/>
              </w:rPr>
            </w:pPr>
          </w:p>
        </w:tc>
        <w:tc>
          <w:tcPr>
            <w:tcW w:w="8897" w:type="dxa"/>
            <w:gridSpan w:val="5"/>
            <w:tcBorders>
              <w:top w:val="single" w:sz="4" w:space="0" w:color="auto"/>
              <w:bottom w:val="single" w:sz="4" w:space="0" w:color="auto"/>
            </w:tcBorders>
            <w:vAlign w:val="top"/>
          </w:tcPr>
          <w:p w14:paraId="71B327DD" w14:textId="66875C72" w:rsidR="008C40E7" w:rsidRPr="006D2ED5" w:rsidRDefault="008C40E7" w:rsidP="00BF3540">
            <w:pPr>
              <w:pStyle w:val="Tabledata"/>
              <w:jc w:val="left"/>
              <w:rPr>
                <w:szCs w:val="20"/>
              </w:rPr>
            </w:pPr>
            <w:r>
              <w:rPr>
                <w:rStyle w:val="Highlighttext"/>
                <w:sz w:val="20"/>
                <w:szCs w:val="20"/>
              </w:rPr>
              <w:t>European Territories under Article 355(3) TFEU</w:t>
            </w:r>
          </w:p>
        </w:tc>
      </w:tr>
      <w:tr w:rsidR="008C40E7" w:rsidRPr="008B5776" w14:paraId="7720C602" w14:textId="77777777" w:rsidTr="00BF3540">
        <w:tc>
          <w:tcPr>
            <w:tcW w:w="534" w:type="dxa"/>
            <w:tcBorders>
              <w:top w:val="single" w:sz="4" w:space="0" w:color="auto"/>
              <w:left w:val="single" w:sz="4" w:space="0" w:color="auto"/>
              <w:bottom w:val="single" w:sz="4" w:space="0" w:color="auto"/>
              <w:right w:val="single" w:sz="4" w:space="0" w:color="auto"/>
            </w:tcBorders>
          </w:tcPr>
          <w:p w14:paraId="7575B5FB" w14:textId="2DE181C3" w:rsidR="008C40E7" w:rsidRPr="00A64B3F" w:rsidRDefault="00927EE5" w:rsidP="00BF3540">
            <w:pPr>
              <w:pStyle w:val="Tabledata"/>
              <w:jc w:val="center"/>
              <w:rPr>
                <w:szCs w:val="20"/>
              </w:rPr>
            </w:pPr>
            <w:r>
              <w:rPr>
                <w:szCs w:val="20"/>
              </w:rPr>
              <w:t>GI</w:t>
            </w:r>
            <w:r w:rsidR="008C40E7">
              <w:rPr>
                <w:szCs w:val="20"/>
              </w:rPr>
              <w:t xml:space="preserve"> </w:t>
            </w:r>
          </w:p>
        </w:tc>
        <w:tc>
          <w:tcPr>
            <w:tcW w:w="1877" w:type="dxa"/>
            <w:gridSpan w:val="3"/>
            <w:tcBorders>
              <w:top w:val="single" w:sz="4" w:space="0" w:color="auto"/>
              <w:left w:val="single" w:sz="4" w:space="0" w:color="auto"/>
              <w:bottom w:val="single" w:sz="4" w:space="0" w:color="auto"/>
              <w:right w:val="single" w:sz="4" w:space="0" w:color="auto"/>
            </w:tcBorders>
          </w:tcPr>
          <w:p w14:paraId="3FD349EF" w14:textId="779ACC92" w:rsidR="008C40E7" w:rsidRPr="00A64B3F" w:rsidRDefault="00927EE5" w:rsidP="00BF3540">
            <w:pPr>
              <w:pStyle w:val="Tabledata"/>
              <w:jc w:val="center"/>
              <w:rPr>
                <w:szCs w:val="20"/>
              </w:rPr>
            </w:pPr>
            <w:r>
              <w:rPr>
                <w:szCs w:val="20"/>
              </w:rPr>
              <w:t>Gibraltar</w:t>
            </w:r>
          </w:p>
        </w:tc>
        <w:tc>
          <w:tcPr>
            <w:tcW w:w="1559" w:type="dxa"/>
            <w:tcBorders>
              <w:top w:val="single" w:sz="4" w:space="0" w:color="auto"/>
              <w:left w:val="single" w:sz="4" w:space="0" w:color="auto"/>
              <w:bottom w:val="single" w:sz="4" w:space="0" w:color="auto"/>
              <w:right w:val="single" w:sz="4" w:space="0" w:color="auto"/>
            </w:tcBorders>
          </w:tcPr>
          <w:p w14:paraId="27C81C7C" w14:textId="77777777" w:rsidR="008C40E7" w:rsidRPr="00A64B3F" w:rsidRDefault="008C40E7" w:rsidP="00BF3540">
            <w:pPr>
              <w:pStyle w:val="Tabledata"/>
              <w:jc w:val="left"/>
              <w:rPr>
                <w:rFonts w:cs="Arial"/>
                <w:bCs w:val="0"/>
                <w:szCs w:val="20"/>
              </w:rPr>
            </w:pPr>
            <w:r>
              <w:rPr>
                <w:szCs w:val="20"/>
              </w:rPr>
              <w:t>Gibraltar Financial Services Commission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1565A" w14:textId="6D02C519" w:rsidR="008C40E7" w:rsidRPr="00180E1B" w:rsidRDefault="008C40E7" w:rsidP="00BF3540">
            <w:pPr>
              <w:pStyle w:val="Tabledata"/>
              <w:jc w:val="center"/>
              <w:rPr>
                <w:b/>
                <w:szCs w:val="20"/>
              </w:rPr>
            </w:pPr>
            <w:r>
              <w:rPr>
                <w:b/>
                <w:szCs w:val="20"/>
              </w:rPr>
              <w:t>EBA/ESMA</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14:paraId="42F97F8A" w14:textId="6FEBD3D8" w:rsidR="008C40E7" w:rsidRPr="00180E1B" w:rsidRDefault="008C40E7" w:rsidP="00BF3540">
            <w:pPr>
              <w:pStyle w:val="Tabledata"/>
              <w:jc w:val="center"/>
              <w:rPr>
                <w:b/>
                <w:szCs w:val="20"/>
              </w:rPr>
            </w:pPr>
            <w:r>
              <w:rPr>
                <w:b/>
                <w:szCs w:val="20"/>
              </w:rPr>
              <w:t>Yes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89E9756" w14:textId="09DAB45E" w:rsidR="008C40E7" w:rsidRPr="00180E1B" w:rsidRDefault="008C40E7" w:rsidP="00BF3540">
            <w:pPr>
              <w:suppressAutoHyphens/>
              <w:rPr>
                <w:szCs w:val="20"/>
              </w:rPr>
            </w:pPr>
            <w:r w:rsidRPr="000B09BF">
              <w:rPr>
                <w:sz w:val="20"/>
                <w:szCs w:val="20"/>
              </w:rPr>
              <w:t>As at 04.06.2018, notification date.</w:t>
            </w:r>
            <w:r>
              <w:rPr>
                <w:szCs w:val="20"/>
              </w:rPr>
              <w:t xml:space="preserve"> </w:t>
            </w:r>
          </w:p>
        </w:tc>
      </w:tr>
    </w:tbl>
    <w:p w14:paraId="3F594006" w14:textId="2057375F" w:rsidR="002B5CF2" w:rsidRPr="00CD3A8C" w:rsidRDefault="00BF3540" w:rsidP="002B5CF2">
      <w:r>
        <w:br w:type="textWrapping" w:clear="all"/>
      </w:r>
    </w:p>
    <w:p w14:paraId="5DFA0569" w14:textId="06B2D4D9" w:rsidR="002B5CF2" w:rsidRPr="00FC505C" w:rsidRDefault="002B5CF2" w:rsidP="002B5CF2">
      <w:pPr>
        <w:pStyle w:val="body"/>
        <w:jc w:val="left"/>
      </w:pPr>
      <w:r>
        <w:t>*</w:t>
      </w:r>
      <w:r w:rsidRPr="00FC505C">
        <w:t xml:space="preserve">The EEA States other than the Member States of the European Union are not currently required to notify their compliance with the </w:t>
      </w:r>
      <w:r w:rsidR="00261450" w:rsidRPr="00FC505C">
        <w:t>EBA and ESMA Joint</w:t>
      </w:r>
      <w:r w:rsidRPr="00FC505C">
        <w:t xml:space="preserve"> Guidelines. This table is based on information provided from those EEA States on a voluntary basis.</w:t>
      </w:r>
    </w:p>
    <w:p w14:paraId="5BAE882D" w14:textId="77777777" w:rsidR="002B5CF2" w:rsidRPr="00FC505C" w:rsidRDefault="002B5CF2" w:rsidP="002B5CF2">
      <w:pPr>
        <w:pStyle w:val="body"/>
        <w:jc w:val="left"/>
      </w:pPr>
      <w:r w:rsidRPr="00FC505C">
        <w:t>** Please note that, in the interest of transparency, if a competent authority continues to intend to comply after the application date, it will be considered “non-compliant” unless (A) the Guidelines relate to a type of i</w:t>
      </w:r>
      <w:bookmarkStart w:id="4" w:name="_GoBack"/>
      <w:bookmarkEnd w:id="4"/>
      <w:r w:rsidRPr="00FC505C">
        <w:t>nstitution or instruments which do not currently exist in the jurisdiction concerned; or (B) legislative or regulatory proceedings have been initiated to bring any national measures necessary to comply with the Guidelines in force in the jurisdiction concerned.</w:t>
      </w:r>
    </w:p>
    <w:p w14:paraId="51AB09ED" w14:textId="77777777" w:rsidR="002B5CF2" w:rsidRPr="00FC505C" w:rsidRDefault="002B5CF2" w:rsidP="002B5CF2">
      <w:pPr>
        <w:pStyle w:val="Titlelevel3"/>
        <w:rPr>
          <w:lang w:val="en-GB"/>
        </w:rPr>
      </w:pPr>
      <w:r w:rsidRPr="00FC505C">
        <w:rPr>
          <w:lang w:val="en-GB"/>
        </w:rPr>
        <w:t>Notes</w:t>
      </w:r>
    </w:p>
    <w:p w14:paraId="29A8B24C" w14:textId="5C5D7FE7" w:rsidR="002B5CF2" w:rsidRPr="00FC505C" w:rsidRDefault="002B5CF2" w:rsidP="002B5CF2">
      <w:pPr>
        <w:pStyle w:val="body"/>
        <w:jc w:val="left"/>
        <w:rPr>
          <w:lang w:val="en-GB"/>
        </w:rPr>
      </w:pPr>
      <w:r w:rsidRPr="00FC505C">
        <w:rPr>
          <w:lang w:val="en-GB"/>
        </w:rPr>
        <w:t xml:space="preserve">Article 16(3) of the </w:t>
      </w:r>
      <w:r w:rsidR="00261450" w:rsidRPr="00FC505C">
        <w:rPr>
          <w:lang w:val="en-GB"/>
        </w:rPr>
        <w:t>EBA and ESMA’s</w:t>
      </w:r>
      <w:r w:rsidRPr="00FC505C">
        <w:rPr>
          <w:lang w:val="en-GB"/>
        </w:rPr>
        <w:t xml:space="preserve"> Regulations requires national competent authorities to inform us whether they comply or intend to comply with each Guideline or recommendation we issue. If a competent authority does not comply or does not intend to comply it must inform us of the reasons. We decide on a case by case basis whether to publish reasons.</w:t>
      </w:r>
    </w:p>
    <w:p w14:paraId="47CCE859" w14:textId="46ADC7BA" w:rsidR="002B5CF2" w:rsidRPr="00FC505C" w:rsidRDefault="002B5CF2" w:rsidP="002B5CF2">
      <w:pPr>
        <w:pStyle w:val="body"/>
        <w:jc w:val="left"/>
        <w:rPr>
          <w:lang w:val="en-GB"/>
        </w:rPr>
      </w:pPr>
      <w:r w:rsidRPr="00FC505C">
        <w:rPr>
          <w:lang w:val="en-GB"/>
        </w:rPr>
        <w:t>The EBA</w:t>
      </w:r>
      <w:r w:rsidR="00261450" w:rsidRPr="00FC505C">
        <w:rPr>
          <w:lang w:val="en-GB"/>
        </w:rPr>
        <w:t xml:space="preserve"> and ESMA</w:t>
      </w:r>
      <w:r w:rsidRPr="00FC505C">
        <w:rPr>
          <w:lang w:val="en-GB"/>
        </w:rPr>
        <w:t xml:space="preserve"> endeavour to ensure the accuracy of this document, however, the information is provided by the competent authorities and, as such, the EBA</w:t>
      </w:r>
      <w:r w:rsidR="00261450" w:rsidRPr="00FC505C">
        <w:rPr>
          <w:lang w:val="en-GB"/>
        </w:rPr>
        <w:t xml:space="preserve"> and ESMA</w:t>
      </w:r>
      <w:r w:rsidRPr="00FC505C">
        <w:rPr>
          <w:lang w:val="en-GB"/>
        </w:rPr>
        <w:t xml:space="preserve"> cannot accept responsibility for its contents or any reliance placed on it. </w:t>
      </w:r>
    </w:p>
    <w:p w14:paraId="1AFA76E6" w14:textId="2AB62CC5" w:rsidR="002B5CF2" w:rsidRDefault="002B5CF2" w:rsidP="002B5CF2">
      <w:pPr>
        <w:pStyle w:val="body"/>
        <w:jc w:val="left"/>
        <w:rPr>
          <w:lang w:val="en-GB"/>
        </w:rPr>
      </w:pPr>
      <w:r w:rsidRPr="00FC505C">
        <w:rPr>
          <w:lang w:val="en-GB"/>
        </w:rPr>
        <w:t>For further information on the current position of any competent authority, please contact that competent authority. Contact details can be obtained from the EBA</w:t>
      </w:r>
      <w:r w:rsidR="00261450" w:rsidRPr="00FC505C">
        <w:rPr>
          <w:lang w:val="en-GB"/>
        </w:rPr>
        <w:t xml:space="preserve"> and ESMA</w:t>
      </w:r>
      <w:r w:rsidRPr="00FC505C">
        <w:rPr>
          <w:lang w:val="en-GB"/>
        </w:rPr>
        <w:t xml:space="preserve">’s website </w:t>
      </w:r>
      <w:hyperlink r:id="rId14" w:history="1">
        <w:r w:rsidRPr="00FC505C">
          <w:rPr>
            <w:rStyle w:val="Hyperlink"/>
            <w:lang w:val="en-GB"/>
          </w:rPr>
          <w:t>www.eba.europa.eu</w:t>
        </w:r>
      </w:hyperlink>
      <w:r w:rsidR="00261450" w:rsidRPr="00FC505C">
        <w:rPr>
          <w:lang w:val="en-GB"/>
        </w:rPr>
        <w:t xml:space="preserve">, </w:t>
      </w:r>
      <w:hyperlink r:id="rId15" w:history="1">
        <w:r w:rsidR="00261450" w:rsidRPr="00FC505C">
          <w:rPr>
            <w:rStyle w:val="Hyperlink"/>
            <w:lang w:val="en-GB"/>
          </w:rPr>
          <w:t>www.esma.europa.eu</w:t>
        </w:r>
      </w:hyperlink>
    </w:p>
    <w:p w14:paraId="15B023DC" w14:textId="77777777" w:rsidR="002B5CF2" w:rsidRPr="00A527E1" w:rsidRDefault="002B5CF2" w:rsidP="002B5CF2"/>
    <w:p w14:paraId="215C5B48" w14:textId="77777777" w:rsidR="002B5CF2" w:rsidRPr="00A725D6" w:rsidRDefault="002B5CF2" w:rsidP="002B5CF2"/>
    <w:p w14:paraId="6F26A103" w14:textId="77777777" w:rsidR="002B5CF2" w:rsidRPr="00A725D6" w:rsidRDefault="002B5CF2" w:rsidP="002B5CF2"/>
    <w:p w14:paraId="37FBD159" w14:textId="77777777" w:rsidR="002B5CF2" w:rsidRPr="00A725D6" w:rsidRDefault="002B5CF2" w:rsidP="002B5CF2"/>
    <w:bookmarkEnd w:id="0"/>
    <w:bookmarkEnd w:id="1"/>
    <w:bookmarkEnd w:id="2"/>
    <w:bookmarkEnd w:id="3"/>
    <w:p w14:paraId="529B147B" w14:textId="77777777" w:rsidR="00D76E91" w:rsidRPr="002B5CF2" w:rsidRDefault="00D76E91" w:rsidP="002B5CF2"/>
    <w:sectPr w:rsidR="00D76E91" w:rsidRPr="002B5CF2" w:rsidSect="00B55FAB">
      <w:headerReference w:type="even" r:id="rId16"/>
      <w:headerReference w:type="default" r:id="rId17"/>
      <w:footerReference w:type="even" r:id="rId18"/>
      <w:footerReference w:type="default" r:id="rId19"/>
      <w:headerReference w:type="first" r:id="rId20"/>
      <w:pgSz w:w="11900" w:h="16840"/>
      <w:pgMar w:top="2268" w:right="1418"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86CF" w14:textId="77777777" w:rsidR="00643E7E" w:rsidRDefault="00643E7E" w:rsidP="00A00E34">
      <w:r>
        <w:separator/>
      </w:r>
    </w:p>
    <w:p w14:paraId="7FDA606A" w14:textId="77777777" w:rsidR="00643E7E" w:rsidRDefault="00643E7E"/>
  </w:endnote>
  <w:endnote w:type="continuationSeparator" w:id="0">
    <w:p w14:paraId="7A3859F2" w14:textId="77777777" w:rsidR="00643E7E" w:rsidRDefault="00643E7E" w:rsidP="00A00E34">
      <w:r>
        <w:continuationSeparator/>
      </w:r>
    </w:p>
    <w:p w14:paraId="5EDF8BED" w14:textId="77777777" w:rsidR="00643E7E" w:rsidRDefault="00643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00000287" w:usb1="08070000" w:usb2="00000010"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F38E" w14:textId="77777777" w:rsidR="00643E7E" w:rsidRDefault="00643E7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D8918" w14:textId="77777777" w:rsidR="00643E7E" w:rsidRDefault="00643E7E"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35BCA" w14:textId="47217198" w:rsidR="00643E7E" w:rsidRDefault="00643E7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05C">
      <w:rPr>
        <w:rStyle w:val="PageNumber"/>
        <w:noProof/>
      </w:rPr>
      <w:t>1</w:t>
    </w:r>
    <w:r>
      <w:rPr>
        <w:rStyle w:val="PageNumber"/>
      </w:rPr>
      <w:fldChar w:fldCharType="end"/>
    </w:r>
  </w:p>
  <w:p w14:paraId="01350624" w14:textId="77777777" w:rsidR="00643E7E" w:rsidRDefault="00643E7E" w:rsidP="00610305">
    <w:pPr>
      <w:pStyle w:val="Footer"/>
      <w:ind w:right="360"/>
    </w:pPr>
    <w:r>
      <w:rPr>
        <w:noProof/>
        <w:lang w:val="en-GB" w:eastAsia="en-GB"/>
      </w:rPr>
      <mc:AlternateContent>
        <mc:Choice Requires="wps">
          <w:drawing>
            <wp:anchor distT="4294967295" distB="4294967295" distL="114300" distR="114300" simplePos="0" relativeHeight="251669504" behindDoc="1" locked="1" layoutInCell="1" allowOverlap="1" wp14:anchorId="326EE4AE" wp14:editId="6347AD1E">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98A52" id="Straight Connector 10"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D18F" w14:textId="77777777" w:rsidR="00643E7E" w:rsidRPr="00DB5E8F" w:rsidRDefault="00643E7E">
      <w:pPr>
        <w:rPr>
          <w:sz w:val="12"/>
          <w:szCs w:val="12"/>
        </w:rPr>
      </w:pPr>
      <w:r w:rsidRPr="00DB5E8F">
        <w:rPr>
          <w:sz w:val="12"/>
          <w:szCs w:val="12"/>
        </w:rPr>
        <w:separator/>
      </w:r>
    </w:p>
  </w:footnote>
  <w:footnote w:type="continuationSeparator" w:id="0">
    <w:p w14:paraId="504C784D" w14:textId="77777777" w:rsidR="00643E7E" w:rsidRDefault="00643E7E" w:rsidP="00A00E34">
      <w:r>
        <w:continuationSeparator/>
      </w:r>
    </w:p>
    <w:p w14:paraId="20AFF1EC" w14:textId="77777777" w:rsidR="00643E7E" w:rsidRDefault="00643E7E"/>
  </w:footnote>
  <w:footnote w:type="continuationNotice" w:id="1">
    <w:p w14:paraId="00CB399F" w14:textId="77777777" w:rsidR="00643E7E" w:rsidRDefault="00643E7E"/>
  </w:footnote>
  <w:footnote w:id="2">
    <w:p w14:paraId="5973FA49" w14:textId="5F08C994" w:rsidR="00643E7E" w:rsidRPr="00A15B4F" w:rsidRDefault="00643E7E" w:rsidP="00A43644">
      <w:pPr>
        <w:pStyle w:val="FootnoteText"/>
        <w:rPr>
          <w:lang w:val="en-GB"/>
        </w:rPr>
      </w:pPr>
      <w:r w:rsidRPr="00F75CCA">
        <w:rPr>
          <w:rStyle w:val="FootnoteReference"/>
        </w:rPr>
        <w:footnoteRef/>
      </w:r>
      <w:r w:rsidRPr="00F75CCA">
        <w:t xml:space="preserve"> </w:t>
      </w:r>
      <w:r w:rsidRPr="00675A04">
        <w:t>Where the notifications provided by a competent authority to ESMA and the EBA are identical, they are represented in this compliance table in single consolidated form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FE8A" w14:textId="77777777" w:rsidR="00643E7E" w:rsidRDefault="00FC505C">
    <w:sdt>
      <w:sdtPr>
        <w:id w:val="1051503992"/>
        <w:temporary/>
        <w:showingPlcHdr/>
      </w:sdtPr>
      <w:sdtEndPr/>
      <w:sdtContent>
        <w:r w:rsidR="00643E7E">
          <w:t>[Type text]</w:t>
        </w:r>
      </w:sdtContent>
    </w:sdt>
    <w:r w:rsidR="00643E7E">
      <w:ptab w:relativeTo="margin" w:alignment="center" w:leader="none"/>
    </w:r>
    <w:sdt>
      <w:sdtPr>
        <w:id w:val="731575129"/>
        <w:temporary/>
        <w:showingPlcHdr/>
      </w:sdtPr>
      <w:sdtEndPr/>
      <w:sdtContent>
        <w:r w:rsidR="00643E7E">
          <w:t>[Type text]</w:t>
        </w:r>
      </w:sdtContent>
    </w:sdt>
    <w:r w:rsidR="00643E7E">
      <w:ptab w:relativeTo="margin" w:alignment="right" w:leader="none"/>
    </w:r>
    <w:sdt>
      <w:sdtPr>
        <w:id w:val="364179191"/>
        <w:temporary/>
        <w:showingPlcHdr/>
      </w:sdtPr>
      <w:sdtEndPr/>
      <w:sdtContent>
        <w:r w:rsidR="00643E7E">
          <w:t>[Type text]</w:t>
        </w:r>
      </w:sdtContent>
    </w:sdt>
  </w:p>
  <w:p w14:paraId="25B3EF64" w14:textId="77777777" w:rsidR="00643E7E" w:rsidRDefault="00643E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959D" w14:textId="7F6FA241" w:rsidR="00643E7E" w:rsidRPr="00F9452C" w:rsidRDefault="00643E7E" w:rsidP="002C0DCF">
    <w:pPr>
      <w:pStyle w:val="Runningtitle"/>
    </w:pPr>
    <w:r>
      <w:rPr>
        <w:noProof/>
        <w:lang w:val="en-GB" w:eastAsia="en-GB"/>
      </w:rPr>
      <w:drawing>
        <wp:anchor distT="0" distB="0" distL="114300" distR="114300" simplePos="0" relativeHeight="251670528" behindDoc="0" locked="0" layoutInCell="1" allowOverlap="1" wp14:anchorId="1961E56D" wp14:editId="3768448A">
          <wp:simplePos x="0" y="0"/>
          <wp:positionH relativeFrom="page">
            <wp:align>right</wp:align>
          </wp:positionH>
          <wp:positionV relativeFrom="paragraph">
            <wp:posOffset>207010</wp:posOffset>
          </wp:positionV>
          <wp:extent cx="3340151"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rotWithShape="1">
                  <a:blip r:embed="rId1">
                    <a:extLst>
                      <a:ext uri="{28A0092B-C50C-407E-A947-70E740481C1C}">
                        <a14:useLocalDpi xmlns:a14="http://schemas.microsoft.com/office/drawing/2010/main" val="0"/>
                      </a:ext>
                    </a:extLst>
                  </a:blip>
                  <a:srcRect t="-1738" r="46874"/>
                  <a:stretch/>
                </pic:blipFill>
                <pic:spPr bwMode="auto">
                  <a:xfrm>
                    <a:off x="0" y="0"/>
                    <a:ext cx="3340151" cy="6286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15FC9">
      <w:rPr>
        <w:lang w:val="en-GB"/>
      </w:rPr>
      <w:t xml:space="preserve"> </w:t>
    </w:r>
    <w:r>
      <w:rPr>
        <w:lang w:val="en-GB"/>
      </w:rPr>
      <w:t>Confirmation of compliance with guidelines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A120" w14:textId="77777777" w:rsidR="00643E7E" w:rsidRDefault="00643E7E" w:rsidP="00E677EF">
    <w:pPr>
      <w:pStyle w:val="Runningtitle"/>
    </w:pPr>
    <w:r w:rsidRPr="001834D4">
      <w:t xml:space="preserve">running </w:t>
    </w:r>
    <w:r>
      <w:t>title comes here in running title style</w:t>
    </w:r>
    <w:r>
      <w:rPr>
        <w:noProof/>
        <w:lang w:val="en-GB" w:eastAsia="en-GB"/>
      </w:rPr>
      <w:drawing>
        <wp:anchor distT="0" distB="0" distL="114300" distR="114300" simplePos="0" relativeHeight="251660288" behindDoc="1" locked="1" layoutInCell="1" allowOverlap="0" wp14:anchorId="4FC943CB" wp14:editId="773AB229">
          <wp:simplePos x="0" y="0"/>
          <wp:positionH relativeFrom="page">
            <wp:posOffset>4702175</wp:posOffset>
          </wp:positionH>
          <wp:positionV relativeFrom="page">
            <wp:posOffset>450215</wp:posOffset>
          </wp:positionV>
          <wp:extent cx="1941830" cy="719455"/>
          <wp:effectExtent l="0" t="0" r="0" b="0"/>
          <wp:wrapNone/>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1E3333AC"/>
    <w:multiLevelType w:val="multilevel"/>
    <w:tmpl w:val="CBCABAAE"/>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266F2586"/>
    <w:multiLevelType w:val="hybridMultilevel"/>
    <w:tmpl w:val="666A8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900904"/>
    <w:multiLevelType w:val="hybridMultilevel"/>
    <w:tmpl w:val="284EB0F2"/>
    <w:lvl w:ilvl="0" w:tplc="80C6A846">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C6332"/>
    <w:multiLevelType w:val="hybridMultilevel"/>
    <w:tmpl w:val="05EEE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07186D"/>
    <w:multiLevelType w:val="hybridMultilevel"/>
    <w:tmpl w:val="AA700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24E2B"/>
    <w:multiLevelType w:val="hybridMultilevel"/>
    <w:tmpl w:val="3A425A3C"/>
    <w:lvl w:ilvl="0" w:tplc="06DC6AAE">
      <w:start w:val="1"/>
      <w:numFmt w:val="bullet"/>
      <w:lvlText w:val="•"/>
      <w:lvlJc w:val="left"/>
      <w:pPr>
        <w:ind w:left="966" w:hanging="699"/>
      </w:pPr>
      <w:rPr>
        <w:rFonts w:ascii="Arial" w:eastAsia="Arial" w:hAnsi="Arial" w:hint="default"/>
        <w:color w:val="383838"/>
        <w:w w:val="133"/>
        <w:sz w:val="20"/>
        <w:szCs w:val="20"/>
      </w:rPr>
    </w:lvl>
    <w:lvl w:ilvl="1" w:tplc="EC98114E">
      <w:start w:val="1"/>
      <w:numFmt w:val="bullet"/>
      <w:lvlText w:val="o"/>
      <w:lvlJc w:val="left"/>
      <w:pPr>
        <w:ind w:left="1669" w:hanging="355"/>
      </w:pPr>
      <w:rPr>
        <w:rFonts w:ascii="Arial" w:eastAsia="Arial" w:hAnsi="Arial" w:hint="default"/>
        <w:color w:val="828282"/>
        <w:w w:val="106"/>
        <w:sz w:val="20"/>
        <w:szCs w:val="20"/>
      </w:rPr>
    </w:lvl>
    <w:lvl w:ilvl="2" w:tplc="4E64DEEE">
      <w:start w:val="1"/>
      <w:numFmt w:val="bullet"/>
      <w:lvlText w:val="•"/>
      <w:lvlJc w:val="left"/>
      <w:pPr>
        <w:ind w:left="2506" w:hanging="355"/>
      </w:pPr>
      <w:rPr>
        <w:rFonts w:hint="default"/>
      </w:rPr>
    </w:lvl>
    <w:lvl w:ilvl="3" w:tplc="11229A2C">
      <w:start w:val="1"/>
      <w:numFmt w:val="bullet"/>
      <w:lvlText w:val="•"/>
      <w:lvlJc w:val="left"/>
      <w:pPr>
        <w:ind w:left="3342" w:hanging="355"/>
      </w:pPr>
      <w:rPr>
        <w:rFonts w:hint="default"/>
      </w:rPr>
    </w:lvl>
    <w:lvl w:ilvl="4" w:tplc="1B9EE772">
      <w:start w:val="1"/>
      <w:numFmt w:val="bullet"/>
      <w:lvlText w:val="•"/>
      <w:lvlJc w:val="left"/>
      <w:pPr>
        <w:ind w:left="4179" w:hanging="355"/>
      </w:pPr>
      <w:rPr>
        <w:rFonts w:hint="default"/>
      </w:rPr>
    </w:lvl>
    <w:lvl w:ilvl="5" w:tplc="85F6C4C6">
      <w:start w:val="1"/>
      <w:numFmt w:val="bullet"/>
      <w:lvlText w:val="•"/>
      <w:lvlJc w:val="left"/>
      <w:pPr>
        <w:ind w:left="5016" w:hanging="355"/>
      </w:pPr>
      <w:rPr>
        <w:rFonts w:hint="default"/>
      </w:rPr>
    </w:lvl>
    <w:lvl w:ilvl="6" w:tplc="5CFEF91E">
      <w:start w:val="1"/>
      <w:numFmt w:val="bullet"/>
      <w:lvlText w:val="•"/>
      <w:lvlJc w:val="left"/>
      <w:pPr>
        <w:ind w:left="5853" w:hanging="355"/>
      </w:pPr>
      <w:rPr>
        <w:rFonts w:hint="default"/>
      </w:rPr>
    </w:lvl>
    <w:lvl w:ilvl="7" w:tplc="AAF4C7FA">
      <w:start w:val="1"/>
      <w:numFmt w:val="bullet"/>
      <w:lvlText w:val="•"/>
      <w:lvlJc w:val="left"/>
      <w:pPr>
        <w:ind w:left="6689" w:hanging="355"/>
      </w:pPr>
      <w:rPr>
        <w:rFonts w:hint="default"/>
      </w:rPr>
    </w:lvl>
    <w:lvl w:ilvl="8" w:tplc="6DCED4AA">
      <w:start w:val="1"/>
      <w:numFmt w:val="bullet"/>
      <w:lvlText w:val="•"/>
      <w:lvlJc w:val="left"/>
      <w:pPr>
        <w:ind w:left="7526" w:hanging="355"/>
      </w:pPr>
      <w:rPr>
        <w:rFonts w:hint="default"/>
      </w:rPr>
    </w:lvl>
  </w:abstractNum>
  <w:abstractNum w:abstractNumId="16"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31993"/>
    <w:multiLevelType w:val="hybridMultilevel"/>
    <w:tmpl w:val="9F88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F4E5C"/>
    <w:multiLevelType w:val="multilevel"/>
    <w:tmpl w:val="7C92914C"/>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0"/>
  </w:num>
  <w:num w:numId="2">
    <w:abstractNumId w:val="2"/>
  </w:num>
  <w:num w:numId="3">
    <w:abstractNumId w:val="8"/>
  </w:num>
  <w:num w:numId="4">
    <w:abstractNumId w:val="9"/>
  </w:num>
  <w:num w:numId="5">
    <w:abstractNumId w:val="17"/>
  </w:num>
  <w:num w:numId="6">
    <w:abstractNumId w:val="1"/>
  </w:num>
  <w:num w:numId="7">
    <w:abstractNumId w:val="16"/>
  </w:num>
  <w:num w:numId="8">
    <w:abstractNumId w:val="12"/>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0"/>
  </w:num>
  <w:num w:numId="16">
    <w:abstractNumId w:val="3"/>
  </w:num>
  <w:num w:numId="17">
    <w:abstractNumId w:val="6"/>
  </w:num>
  <w:num w:numId="18">
    <w:abstractNumId w:val="19"/>
  </w:num>
  <w:num w:numId="19">
    <w:abstractNumId w:val="4"/>
  </w:num>
  <w:num w:numId="20">
    <w:abstractNumId w:val="5"/>
  </w:num>
  <w:num w:numId="21">
    <w:abstractNumId w:val="11"/>
  </w:num>
  <w:num w:numId="22">
    <w:abstractNumId w:val="15"/>
  </w:num>
  <w:num w:numId="23">
    <w:abstractNumId w:val="18"/>
  </w:num>
  <w:num w:numId="24">
    <w:abstractNumId w:val="7"/>
  </w:num>
  <w:num w:numId="25">
    <w:abstractNumId w:val="14"/>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239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GL-REC 20XX XX (FINAL GLS-REC ON"/>
  </w:docVars>
  <w:rsids>
    <w:rsidRoot w:val="000769FE"/>
    <w:rsid w:val="000002DE"/>
    <w:rsid w:val="000027A1"/>
    <w:rsid w:val="00003F50"/>
    <w:rsid w:val="00006737"/>
    <w:rsid w:val="00011B47"/>
    <w:rsid w:val="00013281"/>
    <w:rsid w:val="00016916"/>
    <w:rsid w:val="00016985"/>
    <w:rsid w:val="00022682"/>
    <w:rsid w:val="000231B7"/>
    <w:rsid w:val="00027CA0"/>
    <w:rsid w:val="00027F13"/>
    <w:rsid w:val="00030D65"/>
    <w:rsid w:val="0003357D"/>
    <w:rsid w:val="00035C39"/>
    <w:rsid w:val="00046A86"/>
    <w:rsid w:val="00052EFC"/>
    <w:rsid w:val="0005683B"/>
    <w:rsid w:val="00060F40"/>
    <w:rsid w:val="0006500D"/>
    <w:rsid w:val="000653C3"/>
    <w:rsid w:val="0006697A"/>
    <w:rsid w:val="0007339F"/>
    <w:rsid w:val="000769FE"/>
    <w:rsid w:val="000843CD"/>
    <w:rsid w:val="0009032C"/>
    <w:rsid w:val="00096DB8"/>
    <w:rsid w:val="000A1C81"/>
    <w:rsid w:val="000A33AC"/>
    <w:rsid w:val="000B09BF"/>
    <w:rsid w:val="000B1645"/>
    <w:rsid w:val="000C29B7"/>
    <w:rsid w:val="000C5A8A"/>
    <w:rsid w:val="000C7CBF"/>
    <w:rsid w:val="000D4082"/>
    <w:rsid w:val="000D7A44"/>
    <w:rsid w:val="000E0C27"/>
    <w:rsid w:val="000E4A25"/>
    <w:rsid w:val="000E6D15"/>
    <w:rsid w:val="000F2B00"/>
    <w:rsid w:val="000F38F9"/>
    <w:rsid w:val="000F607B"/>
    <w:rsid w:val="000F6495"/>
    <w:rsid w:val="000F6FD8"/>
    <w:rsid w:val="00103DC7"/>
    <w:rsid w:val="001051A7"/>
    <w:rsid w:val="00111C9F"/>
    <w:rsid w:val="00112565"/>
    <w:rsid w:val="00112823"/>
    <w:rsid w:val="001128FF"/>
    <w:rsid w:val="00113B80"/>
    <w:rsid w:val="00114C90"/>
    <w:rsid w:val="0011517F"/>
    <w:rsid w:val="00121BB0"/>
    <w:rsid w:val="00122D42"/>
    <w:rsid w:val="0012686C"/>
    <w:rsid w:val="00126FC2"/>
    <w:rsid w:val="0013090C"/>
    <w:rsid w:val="001317C0"/>
    <w:rsid w:val="00131C5D"/>
    <w:rsid w:val="0013547A"/>
    <w:rsid w:val="001365E6"/>
    <w:rsid w:val="00137876"/>
    <w:rsid w:val="00145D24"/>
    <w:rsid w:val="001460D3"/>
    <w:rsid w:val="001478A5"/>
    <w:rsid w:val="00150AA1"/>
    <w:rsid w:val="00150FCF"/>
    <w:rsid w:val="0015244F"/>
    <w:rsid w:val="00152832"/>
    <w:rsid w:val="00152919"/>
    <w:rsid w:val="00152C70"/>
    <w:rsid w:val="001565F4"/>
    <w:rsid w:val="00157C55"/>
    <w:rsid w:val="001600D4"/>
    <w:rsid w:val="001600FC"/>
    <w:rsid w:val="00164F89"/>
    <w:rsid w:val="00172007"/>
    <w:rsid w:val="0017306C"/>
    <w:rsid w:val="0017446F"/>
    <w:rsid w:val="00176CEE"/>
    <w:rsid w:val="001807E7"/>
    <w:rsid w:val="00180E1B"/>
    <w:rsid w:val="001834D4"/>
    <w:rsid w:val="001838C6"/>
    <w:rsid w:val="00185AA2"/>
    <w:rsid w:val="001877AB"/>
    <w:rsid w:val="00191E18"/>
    <w:rsid w:val="00192287"/>
    <w:rsid w:val="00192DCA"/>
    <w:rsid w:val="00194241"/>
    <w:rsid w:val="00196750"/>
    <w:rsid w:val="0019739E"/>
    <w:rsid w:val="001A008A"/>
    <w:rsid w:val="001A016C"/>
    <w:rsid w:val="001A2A81"/>
    <w:rsid w:val="001A5BD4"/>
    <w:rsid w:val="001B03E2"/>
    <w:rsid w:val="001B2C0D"/>
    <w:rsid w:val="001B31DA"/>
    <w:rsid w:val="001B6017"/>
    <w:rsid w:val="001B7A0B"/>
    <w:rsid w:val="001B7EB3"/>
    <w:rsid w:val="001C1FD9"/>
    <w:rsid w:val="001C5BC2"/>
    <w:rsid w:val="001C7009"/>
    <w:rsid w:val="001D0179"/>
    <w:rsid w:val="001D4A56"/>
    <w:rsid w:val="001D5261"/>
    <w:rsid w:val="001D54CB"/>
    <w:rsid w:val="001D5C0E"/>
    <w:rsid w:val="001D5EC4"/>
    <w:rsid w:val="001D6447"/>
    <w:rsid w:val="001E1141"/>
    <w:rsid w:val="001E1188"/>
    <w:rsid w:val="001E3599"/>
    <w:rsid w:val="001E5E08"/>
    <w:rsid w:val="001E70DD"/>
    <w:rsid w:val="001F1CB9"/>
    <w:rsid w:val="001F1EAE"/>
    <w:rsid w:val="001F1F59"/>
    <w:rsid w:val="001F7501"/>
    <w:rsid w:val="00200ADF"/>
    <w:rsid w:val="00205878"/>
    <w:rsid w:val="00210650"/>
    <w:rsid w:val="00213D7B"/>
    <w:rsid w:val="00214DEC"/>
    <w:rsid w:val="002155C8"/>
    <w:rsid w:val="0021782A"/>
    <w:rsid w:val="00217C42"/>
    <w:rsid w:val="0022056E"/>
    <w:rsid w:val="00222B6E"/>
    <w:rsid w:val="00224761"/>
    <w:rsid w:val="00224A3F"/>
    <w:rsid w:val="002258F3"/>
    <w:rsid w:val="002306C7"/>
    <w:rsid w:val="00236244"/>
    <w:rsid w:val="00241BD8"/>
    <w:rsid w:val="00242C05"/>
    <w:rsid w:val="00242DD3"/>
    <w:rsid w:val="002434B0"/>
    <w:rsid w:val="00243783"/>
    <w:rsid w:val="002470E5"/>
    <w:rsid w:val="002509C9"/>
    <w:rsid w:val="00251B2B"/>
    <w:rsid w:val="00255B9E"/>
    <w:rsid w:val="00256F61"/>
    <w:rsid w:val="00261450"/>
    <w:rsid w:val="00261F75"/>
    <w:rsid w:val="00270F40"/>
    <w:rsid w:val="0027418E"/>
    <w:rsid w:val="00276695"/>
    <w:rsid w:val="00290CB7"/>
    <w:rsid w:val="00290DA3"/>
    <w:rsid w:val="00296C83"/>
    <w:rsid w:val="002A1448"/>
    <w:rsid w:val="002A151C"/>
    <w:rsid w:val="002A4B4B"/>
    <w:rsid w:val="002B0425"/>
    <w:rsid w:val="002B0B93"/>
    <w:rsid w:val="002B3A3F"/>
    <w:rsid w:val="002B5325"/>
    <w:rsid w:val="002B5634"/>
    <w:rsid w:val="002B5CF2"/>
    <w:rsid w:val="002B60E5"/>
    <w:rsid w:val="002C0DCF"/>
    <w:rsid w:val="002C19B0"/>
    <w:rsid w:val="002C508D"/>
    <w:rsid w:val="002C79C7"/>
    <w:rsid w:val="002D1867"/>
    <w:rsid w:val="002D5358"/>
    <w:rsid w:val="002D702A"/>
    <w:rsid w:val="002E3AD0"/>
    <w:rsid w:val="002F00DB"/>
    <w:rsid w:val="002F2009"/>
    <w:rsid w:val="002F30E5"/>
    <w:rsid w:val="002F45F9"/>
    <w:rsid w:val="002F7090"/>
    <w:rsid w:val="002F7EA6"/>
    <w:rsid w:val="00300924"/>
    <w:rsid w:val="003025A8"/>
    <w:rsid w:val="00302FF3"/>
    <w:rsid w:val="003036B2"/>
    <w:rsid w:val="003048C7"/>
    <w:rsid w:val="003129B6"/>
    <w:rsid w:val="00314D6E"/>
    <w:rsid w:val="0031654E"/>
    <w:rsid w:val="00320E57"/>
    <w:rsid w:val="003221EF"/>
    <w:rsid w:val="00322CC5"/>
    <w:rsid w:val="003248A2"/>
    <w:rsid w:val="00327025"/>
    <w:rsid w:val="00330740"/>
    <w:rsid w:val="0033316C"/>
    <w:rsid w:val="00336663"/>
    <w:rsid w:val="00336CD1"/>
    <w:rsid w:val="003414B5"/>
    <w:rsid w:val="0035296E"/>
    <w:rsid w:val="0035477B"/>
    <w:rsid w:val="00354EE4"/>
    <w:rsid w:val="0036471E"/>
    <w:rsid w:val="00365AC6"/>
    <w:rsid w:val="00372BEC"/>
    <w:rsid w:val="00392385"/>
    <w:rsid w:val="00392600"/>
    <w:rsid w:val="0039304D"/>
    <w:rsid w:val="00394213"/>
    <w:rsid w:val="003970EB"/>
    <w:rsid w:val="003A5A67"/>
    <w:rsid w:val="003A6C1E"/>
    <w:rsid w:val="003A7159"/>
    <w:rsid w:val="003B0569"/>
    <w:rsid w:val="003B5D3D"/>
    <w:rsid w:val="003C79B9"/>
    <w:rsid w:val="003D4C17"/>
    <w:rsid w:val="003D4D77"/>
    <w:rsid w:val="003D7A72"/>
    <w:rsid w:val="003E1670"/>
    <w:rsid w:val="003E7E81"/>
    <w:rsid w:val="003F36E5"/>
    <w:rsid w:val="00405084"/>
    <w:rsid w:val="004051D4"/>
    <w:rsid w:val="00406634"/>
    <w:rsid w:val="00412567"/>
    <w:rsid w:val="00413181"/>
    <w:rsid w:val="00415FC9"/>
    <w:rsid w:val="00417C0D"/>
    <w:rsid w:val="00424530"/>
    <w:rsid w:val="00425CC7"/>
    <w:rsid w:val="004300A7"/>
    <w:rsid w:val="0043577F"/>
    <w:rsid w:val="00436FD9"/>
    <w:rsid w:val="0044034F"/>
    <w:rsid w:val="00441F85"/>
    <w:rsid w:val="00447341"/>
    <w:rsid w:val="00451AFF"/>
    <w:rsid w:val="0045301B"/>
    <w:rsid w:val="00455E0E"/>
    <w:rsid w:val="00467817"/>
    <w:rsid w:val="00470378"/>
    <w:rsid w:val="004719B4"/>
    <w:rsid w:val="00471CA1"/>
    <w:rsid w:val="00471CCE"/>
    <w:rsid w:val="00475C82"/>
    <w:rsid w:val="004802D9"/>
    <w:rsid w:val="00481AC4"/>
    <w:rsid w:val="00482FB6"/>
    <w:rsid w:val="00491F75"/>
    <w:rsid w:val="00493D36"/>
    <w:rsid w:val="0049653B"/>
    <w:rsid w:val="0049741D"/>
    <w:rsid w:val="004A01E5"/>
    <w:rsid w:val="004A1B90"/>
    <w:rsid w:val="004A5D8B"/>
    <w:rsid w:val="004A79AD"/>
    <w:rsid w:val="004B0502"/>
    <w:rsid w:val="004B2FC0"/>
    <w:rsid w:val="004B3F66"/>
    <w:rsid w:val="004B7784"/>
    <w:rsid w:val="004B7DCA"/>
    <w:rsid w:val="004B7F62"/>
    <w:rsid w:val="004C11FD"/>
    <w:rsid w:val="004C1B19"/>
    <w:rsid w:val="004C6392"/>
    <w:rsid w:val="004C6986"/>
    <w:rsid w:val="004D3F26"/>
    <w:rsid w:val="004E405B"/>
    <w:rsid w:val="004E76BE"/>
    <w:rsid w:val="004F0182"/>
    <w:rsid w:val="004F0AB6"/>
    <w:rsid w:val="004F1CB9"/>
    <w:rsid w:val="004F4E42"/>
    <w:rsid w:val="004F63DB"/>
    <w:rsid w:val="005105EF"/>
    <w:rsid w:val="00513E3C"/>
    <w:rsid w:val="00515F3A"/>
    <w:rsid w:val="00516A25"/>
    <w:rsid w:val="00523895"/>
    <w:rsid w:val="00525BCC"/>
    <w:rsid w:val="00526777"/>
    <w:rsid w:val="005378CB"/>
    <w:rsid w:val="005410AB"/>
    <w:rsid w:val="00541C79"/>
    <w:rsid w:val="00543515"/>
    <w:rsid w:val="005437A3"/>
    <w:rsid w:val="00544449"/>
    <w:rsid w:val="00547C88"/>
    <w:rsid w:val="00553213"/>
    <w:rsid w:val="005608DB"/>
    <w:rsid w:val="00565691"/>
    <w:rsid w:val="00565BEE"/>
    <w:rsid w:val="00565FDC"/>
    <w:rsid w:val="005674A2"/>
    <w:rsid w:val="00571BB6"/>
    <w:rsid w:val="00575BA7"/>
    <w:rsid w:val="00576974"/>
    <w:rsid w:val="00582AA7"/>
    <w:rsid w:val="0058477C"/>
    <w:rsid w:val="00584E24"/>
    <w:rsid w:val="00585F3C"/>
    <w:rsid w:val="0058719A"/>
    <w:rsid w:val="0059444B"/>
    <w:rsid w:val="005A6911"/>
    <w:rsid w:val="005B0412"/>
    <w:rsid w:val="005B0BDF"/>
    <w:rsid w:val="005B2386"/>
    <w:rsid w:val="005B4A7C"/>
    <w:rsid w:val="005B5C09"/>
    <w:rsid w:val="005B7A0A"/>
    <w:rsid w:val="005C024C"/>
    <w:rsid w:val="005C3703"/>
    <w:rsid w:val="005C498B"/>
    <w:rsid w:val="005D0A8E"/>
    <w:rsid w:val="005D4005"/>
    <w:rsid w:val="005D40D1"/>
    <w:rsid w:val="005D5DFC"/>
    <w:rsid w:val="005E0698"/>
    <w:rsid w:val="005E2131"/>
    <w:rsid w:val="005E4011"/>
    <w:rsid w:val="00601FD0"/>
    <w:rsid w:val="00606BA0"/>
    <w:rsid w:val="00610305"/>
    <w:rsid w:val="00610419"/>
    <w:rsid w:val="00611DDB"/>
    <w:rsid w:val="00612C7B"/>
    <w:rsid w:val="00620102"/>
    <w:rsid w:val="0062125B"/>
    <w:rsid w:val="006224C1"/>
    <w:rsid w:val="006269B7"/>
    <w:rsid w:val="00632FD5"/>
    <w:rsid w:val="00633A3C"/>
    <w:rsid w:val="00633DC7"/>
    <w:rsid w:val="00636E1D"/>
    <w:rsid w:val="006426E8"/>
    <w:rsid w:val="006432B2"/>
    <w:rsid w:val="00643E7E"/>
    <w:rsid w:val="00646EE8"/>
    <w:rsid w:val="00657956"/>
    <w:rsid w:val="006619C3"/>
    <w:rsid w:val="00663777"/>
    <w:rsid w:val="00663B0A"/>
    <w:rsid w:val="006641F8"/>
    <w:rsid w:val="006659E9"/>
    <w:rsid w:val="006660A7"/>
    <w:rsid w:val="00666689"/>
    <w:rsid w:val="00670254"/>
    <w:rsid w:val="006712C3"/>
    <w:rsid w:val="00675A04"/>
    <w:rsid w:val="0067612E"/>
    <w:rsid w:val="00685963"/>
    <w:rsid w:val="006867FD"/>
    <w:rsid w:val="00692A98"/>
    <w:rsid w:val="006973AC"/>
    <w:rsid w:val="006A164B"/>
    <w:rsid w:val="006A2572"/>
    <w:rsid w:val="006A31B5"/>
    <w:rsid w:val="006A43C0"/>
    <w:rsid w:val="006A7842"/>
    <w:rsid w:val="006B2931"/>
    <w:rsid w:val="006B55F4"/>
    <w:rsid w:val="006B5D1D"/>
    <w:rsid w:val="006B773B"/>
    <w:rsid w:val="006C186D"/>
    <w:rsid w:val="006C3C77"/>
    <w:rsid w:val="006C6D99"/>
    <w:rsid w:val="006C72F0"/>
    <w:rsid w:val="006E25DB"/>
    <w:rsid w:val="006E3BEB"/>
    <w:rsid w:val="006E55E1"/>
    <w:rsid w:val="006F0DEE"/>
    <w:rsid w:val="006F3084"/>
    <w:rsid w:val="006F3DAC"/>
    <w:rsid w:val="006F445D"/>
    <w:rsid w:val="00703E4E"/>
    <w:rsid w:val="00705EB3"/>
    <w:rsid w:val="00706CDC"/>
    <w:rsid w:val="007071C6"/>
    <w:rsid w:val="00710961"/>
    <w:rsid w:val="0071195A"/>
    <w:rsid w:val="00711E1C"/>
    <w:rsid w:val="00713606"/>
    <w:rsid w:val="00713F48"/>
    <w:rsid w:val="00716CD9"/>
    <w:rsid w:val="00717806"/>
    <w:rsid w:val="00720551"/>
    <w:rsid w:val="00721BD4"/>
    <w:rsid w:val="00721FBA"/>
    <w:rsid w:val="007247F1"/>
    <w:rsid w:val="00730352"/>
    <w:rsid w:val="00731B0A"/>
    <w:rsid w:val="00733C5E"/>
    <w:rsid w:val="00736B52"/>
    <w:rsid w:val="00736CA6"/>
    <w:rsid w:val="00742134"/>
    <w:rsid w:val="00742839"/>
    <w:rsid w:val="00743A49"/>
    <w:rsid w:val="00751C1D"/>
    <w:rsid w:val="007535A1"/>
    <w:rsid w:val="007540CD"/>
    <w:rsid w:val="00754B41"/>
    <w:rsid w:val="00755505"/>
    <w:rsid w:val="00757388"/>
    <w:rsid w:val="00761F87"/>
    <w:rsid w:val="0076316D"/>
    <w:rsid w:val="00764B09"/>
    <w:rsid w:val="00765C61"/>
    <w:rsid w:val="00765F41"/>
    <w:rsid w:val="00770634"/>
    <w:rsid w:val="007715D0"/>
    <w:rsid w:val="00772205"/>
    <w:rsid w:val="00772993"/>
    <w:rsid w:val="007815FB"/>
    <w:rsid w:val="00781D80"/>
    <w:rsid w:val="00783E04"/>
    <w:rsid w:val="00783EDA"/>
    <w:rsid w:val="00792FAF"/>
    <w:rsid w:val="00795DA4"/>
    <w:rsid w:val="00796DC3"/>
    <w:rsid w:val="007A0054"/>
    <w:rsid w:val="007A4167"/>
    <w:rsid w:val="007A44A6"/>
    <w:rsid w:val="007A52B2"/>
    <w:rsid w:val="007A5353"/>
    <w:rsid w:val="007A62E0"/>
    <w:rsid w:val="007B0E84"/>
    <w:rsid w:val="007B3D63"/>
    <w:rsid w:val="007C55D0"/>
    <w:rsid w:val="007D06E5"/>
    <w:rsid w:val="007D145E"/>
    <w:rsid w:val="007D50A5"/>
    <w:rsid w:val="007D7EA3"/>
    <w:rsid w:val="007E04A4"/>
    <w:rsid w:val="007E0AE5"/>
    <w:rsid w:val="007E16D1"/>
    <w:rsid w:val="007E5F39"/>
    <w:rsid w:val="007F61E1"/>
    <w:rsid w:val="00802E0F"/>
    <w:rsid w:val="008074BE"/>
    <w:rsid w:val="00807E16"/>
    <w:rsid w:val="0081072B"/>
    <w:rsid w:val="008111B3"/>
    <w:rsid w:val="0081135D"/>
    <w:rsid w:val="00813BAC"/>
    <w:rsid w:val="00813CD4"/>
    <w:rsid w:val="008149EE"/>
    <w:rsid w:val="00820F31"/>
    <w:rsid w:val="00821B9D"/>
    <w:rsid w:val="0082526D"/>
    <w:rsid w:val="00833DB1"/>
    <w:rsid w:val="00837DF6"/>
    <w:rsid w:val="0084468C"/>
    <w:rsid w:val="0085119A"/>
    <w:rsid w:val="008552A0"/>
    <w:rsid w:val="00856972"/>
    <w:rsid w:val="00857D68"/>
    <w:rsid w:val="00861530"/>
    <w:rsid w:val="00863543"/>
    <w:rsid w:val="00865492"/>
    <w:rsid w:val="00866D8E"/>
    <w:rsid w:val="0086773B"/>
    <w:rsid w:val="00867CB4"/>
    <w:rsid w:val="008708AB"/>
    <w:rsid w:val="0087349B"/>
    <w:rsid w:val="00874280"/>
    <w:rsid w:val="00874ED5"/>
    <w:rsid w:val="00877ECD"/>
    <w:rsid w:val="00882E00"/>
    <w:rsid w:val="00894F59"/>
    <w:rsid w:val="00896C68"/>
    <w:rsid w:val="00896E22"/>
    <w:rsid w:val="008A2DAC"/>
    <w:rsid w:val="008A524A"/>
    <w:rsid w:val="008A7618"/>
    <w:rsid w:val="008B0157"/>
    <w:rsid w:val="008B18DC"/>
    <w:rsid w:val="008B18DE"/>
    <w:rsid w:val="008B3D2D"/>
    <w:rsid w:val="008B67A1"/>
    <w:rsid w:val="008C0E25"/>
    <w:rsid w:val="008C40E7"/>
    <w:rsid w:val="008C5B82"/>
    <w:rsid w:val="008C6B9A"/>
    <w:rsid w:val="008C7712"/>
    <w:rsid w:val="008D4806"/>
    <w:rsid w:val="008D7BFF"/>
    <w:rsid w:val="008E2065"/>
    <w:rsid w:val="008E5C85"/>
    <w:rsid w:val="008E7602"/>
    <w:rsid w:val="008F1DC9"/>
    <w:rsid w:val="008F3908"/>
    <w:rsid w:val="008F399B"/>
    <w:rsid w:val="009014B6"/>
    <w:rsid w:val="00904D19"/>
    <w:rsid w:val="00907509"/>
    <w:rsid w:val="00910E7F"/>
    <w:rsid w:val="00912882"/>
    <w:rsid w:val="00912895"/>
    <w:rsid w:val="00912C04"/>
    <w:rsid w:val="009210DE"/>
    <w:rsid w:val="009216A4"/>
    <w:rsid w:val="00922663"/>
    <w:rsid w:val="00923CA8"/>
    <w:rsid w:val="0092407D"/>
    <w:rsid w:val="0092776C"/>
    <w:rsid w:val="00927EE5"/>
    <w:rsid w:val="0093582D"/>
    <w:rsid w:val="00942F4D"/>
    <w:rsid w:val="00943B87"/>
    <w:rsid w:val="00945C35"/>
    <w:rsid w:val="00951C03"/>
    <w:rsid w:val="0095509A"/>
    <w:rsid w:val="0096160F"/>
    <w:rsid w:val="00963403"/>
    <w:rsid w:val="00965B80"/>
    <w:rsid w:val="009663A1"/>
    <w:rsid w:val="009664C1"/>
    <w:rsid w:val="00986BBC"/>
    <w:rsid w:val="009A018E"/>
    <w:rsid w:val="009A1203"/>
    <w:rsid w:val="009A3FC7"/>
    <w:rsid w:val="009B7D10"/>
    <w:rsid w:val="009C12C9"/>
    <w:rsid w:val="009C14A8"/>
    <w:rsid w:val="009C1CE7"/>
    <w:rsid w:val="009C459F"/>
    <w:rsid w:val="009C501A"/>
    <w:rsid w:val="009D07CD"/>
    <w:rsid w:val="009D29D8"/>
    <w:rsid w:val="009D55F7"/>
    <w:rsid w:val="009D61B5"/>
    <w:rsid w:val="009E3AC1"/>
    <w:rsid w:val="009E5ADB"/>
    <w:rsid w:val="009E6478"/>
    <w:rsid w:val="009E76BE"/>
    <w:rsid w:val="009E79BF"/>
    <w:rsid w:val="009F14A1"/>
    <w:rsid w:val="009F3FE6"/>
    <w:rsid w:val="009F53AF"/>
    <w:rsid w:val="00A00E34"/>
    <w:rsid w:val="00A10257"/>
    <w:rsid w:val="00A120E5"/>
    <w:rsid w:val="00A14332"/>
    <w:rsid w:val="00A154B0"/>
    <w:rsid w:val="00A15B4F"/>
    <w:rsid w:val="00A17FA6"/>
    <w:rsid w:val="00A21AB8"/>
    <w:rsid w:val="00A27D88"/>
    <w:rsid w:val="00A304D0"/>
    <w:rsid w:val="00A4117C"/>
    <w:rsid w:val="00A43644"/>
    <w:rsid w:val="00A4607D"/>
    <w:rsid w:val="00A53705"/>
    <w:rsid w:val="00A53EC9"/>
    <w:rsid w:val="00A62674"/>
    <w:rsid w:val="00A62ADC"/>
    <w:rsid w:val="00A6657E"/>
    <w:rsid w:val="00A725D6"/>
    <w:rsid w:val="00A725F5"/>
    <w:rsid w:val="00A75FBE"/>
    <w:rsid w:val="00A83215"/>
    <w:rsid w:val="00A84CD1"/>
    <w:rsid w:val="00A84E55"/>
    <w:rsid w:val="00A854A3"/>
    <w:rsid w:val="00A90C64"/>
    <w:rsid w:val="00A91275"/>
    <w:rsid w:val="00A92440"/>
    <w:rsid w:val="00AB001A"/>
    <w:rsid w:val="00AB0D0D"/>
    <w:rsid w:val="00AB104D"/>
    <w:rsid w:val="00AB645D"/>
    <w:rsid w:val="00AB6DBA"/>
    <w:rsid w:val="00AC1436"/>
    <w:rsid w:val="00AC1ED0"/>
    <w:rsid w:val="00AC2538"/>
    <w:rsid w:val="00AC2A96"/>
    <w:rsid w:val="00AC69D7"/>
    <w:rsid w:val="00AC6A76"/>
    <w:rsid w:val="00AC7407"/>
    <w:rsid w:val="00AD0C73"/>
    <w:rsid w:val="00AD1C81"/>
    <w:rsid w:val="00AD402D"/>
    <w:rsid w:val="00AD5943"/>
    <w:rsid w:val="00AE1A2D"/>
    <w:rsid w:val="00AE37BF"/>
    <w:rsid w:val="00AE5347"/>
    <w:rsid w:val="00AE55F6"/>
    <w:rsid w:val="00AE56DB"/>
    <w:rsid w:val="00AF1242"/>
    <w:rsid w:val="00AF44EF"/>
    <w:rsid w:val="00AF7A3B"/>
    <w:rsid w:val="00B07515"/>
    <w:rsid w:val="00B13C87"/>
    <w:rsid w:val="00B1710D"/>
    <w:rsid w:val="00B17A79"/>
    <w:rsid w:val="00B20839"/>
    <w:rsid w:val="00B30116"/>
    <w:rsid w:val="00B32033"/>
    <w:rsid w:val="00B32510"/>
    <w:rsid w:val="00B34BE6"/>
    <w:rsid w:val="00B36D5E"/>
    <w:rsid w:val="00B371AD"/>
    <w:rsid w:val="00B37273"/>
    <w:rsid w:val="00B4419C"/>
    <w:rsid w:val="00B526A8"/>
    <w:rsid w:val="00B536B4"/>
    <w:rsid w:val="00B55FAB"/>
    <w:rsid w:val="00B653A4"/>
    <w:rsid w:val="00B6734E"/>
    <w:rsid w:val="00B72435"/>
    <w:rsid w:val="00B73AB9"/>
    <w:rsid w:val="00B741CA"/>
    <w:rsid w:val="00B83D9D"/>
    <w:rsid w:val="00B84529"/>
    <w:rsid w:val="00B85D98"/>
    <w:rsid w:val="00B8721C"/>
    <w:rsid w:val="00B93CED"/>
    <w:rsid w:val="00B94B00"/>
    <w:rsid w:val="00B95978"/>
    <w:rsid w:val="00B96F7F"/>
    <w:rsid w:val="00BA07CC"/>
    <w:rsid w:val="00BA0A43"/>
    <w:rsid w:val="00BA1351"/>
    <w:rsid w:val="00BB2111"/>
    <w:rsid w:val="00BB384B"/>
    <w:rsid w:val="00BB47D4"/>
    <w:rsid w:val="00BB77A5"/>
    <w:rsid w:val="00BC0F51"/>
    <w:rsid w:val="00BC146B"/>
    <w:rsid w:val="00BC5F6B"/>
    <w:rsid w:val="00BC64BB"/>
    <w:rsid w:val="00BC7FD2"/>
    <w:rsid w:val="00BE4788"/>
    <w:rsid w:val="00BF027D"/>
    <w:rsid w:val="00BF0B54"/>
    <w:rsid w:val="00BF3540"/>
    <w:rsid w:val="00BF483E"/>
    <w:rsid w:val="00BF5E1E"/>
    <w:rsid w:val="00C03AE7"/>
    <w:rsid w:val="00C05D9D"/>
    <w:rsid w:val="00C06682"/>
    <w:rsid w:val="00C07BC8"/>
    <w:rsid w:val="00C100B9"/>
    <w:rsid w:val="00C13C1F"/>
    <w:rsid w:val="00C176D4"/>
    <w:rsid w:val="00C20A26"/>
    <w:rsid w:val="00C23940"/>
    <w:rsid w:val="00C246A9"/>
    <w:rsid w:val="00C2797A"/>
    <w:rsid w:val="00C313CA"/>
    <w:rsid w:val="00C34B03"/>
    <w:rsid w:val="00C35592"/>
    <w:rsid w:val="00C356AF"/>
    <w:rsid w:val="00C406B7"/>
    <w:rsid w:val="00C41927"/>
    <w:rsid w:val="00C439D6"/>
    <w:rsid w:val="00C43FD9"/>
    <w:rsid w:val="00C44CD1"/>
    <w:rsid w:val="00C44EB2"/>
    <w:rsid w:val="00C4758D"/>
    <w:rsid w:val="00C47E8F"/>
    <w:rsid w:val="00C5082B"/>
    <w:rsid w:val="00C51A64"/>
    <w:rsid w:val="00C5472C"/>
    <w:rsid w:val="00C60915"/>
    <w:rsid w:val="00C62418"/>
    <w:rsid w:val="00C65939"/>
    <w:rsid w:val="00C73F8B"/>
    <w:rsid w:val="00C7529F"/>
    <w:rsid w:val="00C82735"/>
    <w:rsid w:val="00C964B8"/>
    <w:rsid w:val="00C96BBB"/>
    <w:rsid w:val="00C979B3"/>
    <w:rsid w:val="00CA3521"/>
    <w:rsid w:val="00CA3F97"/>
    <w:rsid w:val="00CA46E1"/>
    <w:rsid w:val="00CB0FD8"/>
    <w:rsid w:val="00CB3D8F"/>
    <w:rsid w:val="00CB56BB"/>
    <w:rsid w:val="00CC19E3"/>
    <w:rsid w:val="00CC3BDA"/>
    <w:rsid w:val="00CD4AF7"/>
    <w:rsid w:val="00D00BF7"/>
    <w:rsid w:val="00D01670"/>
    <w:rsid w:val="00D02599"/>
    <w:rsid w:val="00D05C26"/>
    <w:rsid w:val="00D13FBA"/>
    <w:rsid w:val="00D14CD4"/>
    <w:rsid w:val="00D152E7"/>
    <w:rsid w:val="00D165CD"/>
    <w:rsid w:val="00D21F91"/>
    <w:rsid w:val="00D4164E"/>
    <w:rsid w:val="00D44360"/>
    <w:rsid w:val="00D549B9"/>
    <w:rsid w:val="00D557EE"/>
    <w:rsid w:val="00D55F4F"/>
    <w:rsid w:val="00D56058"/>
    <w:rsid w:val="00D56999"/>
    <w:rsid w:val="00D57F4B"/>
    <w:rsid w:val="00D61D95"/>
    <w:rsid w:val="00D656AD"/>
    <w:rsid w:val="00D664D3"/>
    <w:rsid w:val="00D73169"/>
    <w:rsid w:val="00D7422D"/>
    <w:rsid w:val="00D74AF1"/>
    <w:rsid w:val="00D76E91"/>
    <w:rsid w:val="00D82235"/>
    <w:rsid w:val="00D84B4C"/>
    <w:rsid w:val="00D872D1"/>
    <w:rsid w:val="00D900D2"/>
    <w:rsid w:val="00D91DB3"/>
    <w:rsid w:val="00D97651"/>
    <w:rsid w:val="00DA7582"/>
    <w:rsid w:val="00DB0FD9"/>
    <w:rsid w:val="00DB2C5E"/>
    <w:rsid w:val="00DB2EA8"/>
    <w:rsid w:val="00DB4809"/>
    <w:rsid w:val="00DB5E8F"/>
    <w:rsid w:val="00DC23E2"/>
    <w:rsid w:val="00DC7C3E"/>
    <w:rsid w:val="00DD0927"/>
    <w:rsid w:val="00DE0EAF"/>
    <w:rsid w:val="00DE1FEF"/>
    <w:rsid w:val="00DE30E0"/>
    <w:rsid w:val="00DE5F53"/>
    <w:rsid w:val="00DF07BA"/>
    <w:rsid w:val="00E01300"/>
    <w:rsid w:val="00E019B7"/>
    <w:rsid w:val="00E03514"/>
    <w:rsid w:val="00E053D0"/>
    <w:rsid w:val="00E11899"/>
    <w:rsid w:val="00E16C83"/>
    <w:rsid w:val="00E16DAF"/>
    <w:rsid w:val="00E22921"/>
    <w:rsid w:val="00E22BCE"/>
    <w:rsid w:val="00E23A07"/>
    <w:rsid w:val="00E23F8B"/>
    <w:rsid w:val="00E24E3D"/>
    <w:rsid w:val="00E326FF"/>
    <w:rsid w:val="00E35307"/>
    <w:rsid w:val="00E361B0"/>
    <w:rsid w:val="00E44805"/>
    <w:rsid w:val="00E507B3"/>
    <w:rsid w:val="00E6228D"/>
    <w:rsid w:val="00E627F4"/>
    <w:rsid w:val="00E62DB8"/>
    <w:rsid w:val="00E64FEC"/>
    <w:rsid w:val="00E677EF"/>
    <w:rsid w:val="00E67E3E"/>
    <w:rsid w:val="00E75ECD"/>
    <w:rsid w:val="00E833ED"/>
    <w:rsid w:val="00E859DF"/>
    <w:rsid w:val="00E87041"/>
    <w:rsid w:val="00E877EC"/>
    <w:rsid w:val="00E904EF"/>
    <w:rsid w:val="00E94AC2"/>
    <w:rsid w:val="00E94FCB"/>
    <w:rsid w:val="00E95201"/>
    <w:rsid w:val="00E96100"/>
    <w:rsid w:val="00EA1807"/>
    <w:rsid w:val="00EA1DBF"/>
    <w:rsid w:val="00EA4947"/>
    <w:rsid w:val="00EB3FD7"/>
    <w:rsid w:val="00EB4520"/>
    <w:rsid w:val="00EC0C41"/>
    <w:rsid w:val="00EC13F2"/>
    <w:rsid w:val="00EC1594"/>
    <w:rsid w:val="00EC4CB8"/>
    <w:rsid w:val="00EC5E9F"/>
    <w:rsid w:val="00EC746F"/>
    <w:rsid w:val="00ED014A"/>
    <w:rsid w:val="00ED7A8A"/>
    <w:rsid w:val="00EE3C9F"/>
    <w:rsid w:val="00EE4425"/>
    <w:rsid w:val="00EE456B"/>
    <w:rsid w:val="00EE4785"/>
    <w:rsid w:val="00EE4BBB"/>
    <w:rsid w:val="00EF1CB0"/>
    <w:rsid w:val="00EF1DD9"/>
    <w:rsid w:val="00F00C37"/>
    <w:rsid w:val="00F034AC"/>
    <w:rsid w:val="00F04C19"/>
    <w:rsid w:val="00F06DFB"/>
    <w:rsid w:val="00F1261A"/>
    <w:rsid w:val="00F160D2"/>
    <w:rsid w:val="00F205A2"/>
    <w:rsid w:val="00F23BAE"/>
    <w:rsid w:val="00F365AE"/>
    <w:rsid w:val="00F3720F"/>
    <w:rsid w:val="00F40509"/>
    <w:rsid w:val="00F4748D"/>
    <w:rsid w:val="00F4768C"/>
    <w:rsid w:val="00F60DC9"/>
    <w:rsid w:val="00F612B3"/>
    <w:rsid w:val="00F638FF"/>
    <w:rsid w:val="00F67BC9"/>
    <w:rsid w:val="00F7064A"/>
    <w:rsid w:val="00F747AD"/>
    <w:rsid w:val="00F7496A"/>
    <w:rsid w:val="00F75CCA"/>
    <w:rsid w:val="00F83FC2"/>
    <w:rsid w:val="00F85199"/>
    <w:rsid w:val="00F87DC3"/>
    <w:rsid w:val="00F931C0"/>
    <w:rsid w:val="00F942CA"/>
    <w:rsid w:val="00F9452C"/>
    <w:rsid w:val="00F9703C"/>
    <w:rsid w:val="00F97815"/>
    <w:rsid w:val="00FA30F9"/>
    <w:rsid w:val="00FA42D9"/>
    <w:rsid w:val="00FA6B7D"/>
    <w:rsid w:val="00FB01A5"/>
    <w:rsid w:val="00FB0C35"/>
    <w:rsid w:val="00FB3B38"/>
    <w:rsid w:val="00FB7206"/>
    <w:rsid w:val="00FC0A3E"/>
    <w:rsid w:val="00FC0BA6"/>
    <w:rsid w:val="00FC1D72"/>
    <w:rsid w:val="00FC2259"/>
    <w:rsid w:val="00FC4D6C"/>
    <w:rsid w:val="00FC505C"/>
    <w:rsid w:val="00FC5401"/>
    <w:rsid w:val="00FC7D14"/>
    <w:rsid w:val="00FE5577"/>
    <w:rsid w:val="00FF0A17"/>
    <w:rsid w:val="00FF34CA"/>
    <w:rsid w:val="00FF4E8F"/>
    <w:rsid w:val="00FF7E25"/>
    <w:rsid w:val="00FF7F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23937"/>
    <o:shapelayout v:ext="edit">
      <o:idmap v:ext="edit" data="1"/>
    </o:shapelayout>
  </w:shapeDefaults>
  <w:decimalSymbol w:val="."/>
  <w:listSeparator w:val=";"/>
  <w14:docId w14:val="09955D50"/>
  <w15:docId w15:val="{65EF1D5D-D88A-49D1-AB26-41682AD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C0"/>
    <w:rPr>
      <w:rFonts w:ascii="Calibri" w:eastAsiaTheme="minorHAnsi" w:hAnsi="Calibri" w:cs="Times New Roman"/>
      <w:sz w:val="22"/>
      <w:szCs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szCs w:val="24"/>
      <w:lang w:val="en-US"/>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szCs w:val="24"/>
      <w:lang w:val="en-US"/>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szCs w:val="24"/>
      <w:lang w:val="en-US"/>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rPr>
      <w:rFonts w:asciiTheme="minorHAnsi" w:eastAsiaTheme="minorEastAsia" w:hAnsiTheme="minorHAnsi" w:cstheme="minorBidi"/>
      <w:szCs w:val="24"/>
      <w:lang w:val="en-US"/>
    </w:r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A43644"/>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A43644"/>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rFonts w:asciiTheme="minorHAnsi" w:eastAsiaTheme="minorEastAsia" w:hAnsiTheme="minorHAnsi" w:cstheme="minorBidi"/>
      <w:lang w:val="en-US"/>
    </w:rPr>
  </w:style>
  <w:style w:type="paragraph" w:styleId="TOC4">
    <w:name w:val="toc 4"/>
    <w:basedOn w:val="Normal"/>
    <w:next w:val="Normal"/>
    <w:autoRedefine/>
    <w:uiPriority w:val="39"/>
    <w:rsid w:val="00EE456B"/>
    <w:pPr>
      <w:tabs>
        <w:tab w:val="right" w:pos="8771"/>
      </w:tabs>
      <w:ind w:left="1134"/>
    </w:pPr>
    <w:rPr>
      <w:rFonts w:asciiTheme="minorHAnsi" w:eastAsiaTheme="minorEastAsia" w:hAnsiTheme="minorHAnsi" w:cstheme="minorBidi"/>
      <w:lang w:val="en-US"/>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rPr>
      <w:rFonts w:asciiTheme="minorHAnsi" w:eastAsiaTheme="minorEastAsia" w:hAnsiTheme="minorHAnsi" w:cstheme="minorBidi"/>
      <w:szCs w:val="24"/>
      <w:lang w:val="en-US"/>
    </w:r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lang w:val="en-US"/>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rPr>
      <w:rFonts w:asciiTheme="minorHAnsi" w:eastAsiaTheme="minorEastAsia" w:hAnsiTheme="minorHAnsi" w:cstheme="minorBidi"/>
      <w:szCs w:val="24"/>
      <w:lang w:val="en-US"/>
    </w:r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rPr>
      <w:rFonts w:asciiTheme="minorHAnsi" w:eastAsiaTheme="minorEastAsia" w:hAnsiTheme="minorHAnsi" w:cstheme="minorBidi"/>
      <w:szCs w:val="24"/>
      <w:lang w:val="en-US"/>
    </w:r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rPr>
      <w:rFonts w:asciiTheme="minorHAnsi" w:eastAsiaTheme="minorEastAsia" w:hAnsiTheme="minorHAnsi" w:cstheme="minorBidi"/>
      <w:szCs w:val="24"/>
      <w:lang w:val="en-US"/>
    </w:rPr>
  </w:style>
  <w:style w:type="paragraph" w:styleId="TOC6">
    <w:name w:val="toc 6"/>
    <w:basedOn w:val="Normal"/>
    <w:next w:val="Normal"/>
    <w:autoRedefine/>
    <w:uiPriority w:val="39"/>
    <w:semiHidden/>
    <w:rsid w:val="00B526A8"/>
    <w:pPr>
      <w:ind w:left="1100"/>
    </w:pPr>
    <w:rPr>
      <w:rFonts w:asciiTheme="minorHAnsi" w:eastAsiaTheme="minorEastAsia" w:hAnsiTheme="minorHAnsi" w:cstheme="minorBidi"/>
      <w:szCs w:val="24"/>
      <w:lang w:val="en-US"/>
    </w:rPr>
  </w:style>
  <w:style w:type="paragraph" w:styleId="TOC7">
    <w:name w:val="toc 7"/>
    <w:basedOn w:val="Normal"/>
    <w:next w:val="Normal"/>
    <w:autoRedefine/>
    <w:uiPriority w:val="39"/>
    <w:semiHidden/>
    <w:rsid w:val="00B526A8"/>
    <w:pPr>
      <w:ind w:left="1320"/>
    </w:pPr>
    <w:rPr>
      <w:rFonts w:asciiTheme="minorHAnsi" w:eastAsiaTheme="minorEastAsia" w:hAnsiTheme="minorHAnsi" w:cstheme="minorBidi"/>
      <w:szCs w:val="24"/>
      <w:lang w:val="en-US"/>
    </w:rPr>
  </w:style>
  <w:style w:type="paragraph" w:styleId="TOC8">
    <w:name w:val="toc 8"/>
    <w:basedOn w:val="Normal"/>
    <w:next w:val="Normal"/>
    <w:autoRedefine/>
    <w:uiPriority w:val="39"/>
    <w:semiHidden/>
    <w:rsid w:val="00B526A8"/>
    <w:pPr>
      <w:ind w:left="1540"/>
    </w:pPr>
    <w:rPr>
      <w:rFonts w:asciiTheme="minorHAnsi" w:eastAsiaTheme="minorEastAsia" w:hAnsiTheme="minorHAnsi" w:cstheme="minorBidi"/>
      <w:szCs w:val="24"/>
      <w:lang w:val="en-US"/>
    </w:rPr>
  </w:style>
  <w:style w:type="paragraph" w:styleId="TOC9">
    <w:name w:val="toc 9"/>
    <w:basedOn w:val="Normal"/>
    <w:next w:val="Normal"/>
    <w:autoRedefine/>
    <w:uiPriority w:val="39"/>
    <w:semiHidden/>
    <w:rsid w:val="00B526A8"/>
    <w:pPr>
      <w:ind w:left="1760"/>
    </w:pPr>
    <w:rPr>
      <w:rFonts w:asciiTheme="minorHAnsi" w:eastAsiaTheme="minorEastAsia" w:hAnsiTheme="minorHAnsi" w:cstheme="minorBidi"/>
      <w:szCs w:val="24"/>
      <w:lang w:val="en-US"/>
    </w:rPr>
  </w:style>
  <w:style w:type="paragraph" w:styleId="ListParagraph">
    <w:name w:val="List Paragraph"/>
    <w:basedOn w:val="Normal"/>
    <w:uiPriority w:val="99"/>
    <w:qFormat/>
    <w:rsid w:val="002B5CF2"/>
    <w:pPr>
      <w:suppressAutoHyphens/>
      <w:autoSpaceDN w:val="0"/>
      <w:ind w:left="720"/>
      <w:textAlignment w:val="baseline"/>
    </w:pPr>
    <w:rPr>
      <w:rFonts w:ascii="Georgia" w:eastAsia="Times New Roman" w:hAnsi="Georgia"/>
      <w:kern w:val="3"/>
      <w:szCs w:val="24"/>
      <w:lang w:eastAsia="de-DE"/>
    </w:rPr>
  </w:style>
  <w:style w:type="paragraph" w:styleId="BodyText">
    <w:name w:val="Body Text"/>
    <w:basedOn w:val="Normal"/>
    <w:link w:val="BodyTextChar"/>
    <w:uiPriority w:val="1"/>
    <w:qFormat/>
    <w:rsid w:val="00783EDA"/>
    <w:pPr>
      <w:widowControl w:val="0"/>
      <w:ind w:left="592"/>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sid w:val="00783EDA"/>
    <w:rPr>
      <w:rFonts w:ascii="Arial" w:eastAsia="Arial" w:hAnsi="Arial"/>
      <w:sz w:val="20"/>
      <w:szCs w:val="20"/>
    </w:rPr>
  </w:style>
  <w:style w:type="character" w:styleId="FollowedHyperlink">
    <w:name w:val="FollowedHyperlink"/>
    <w:basedOn w:val="DefaultParagraphFont"/>
    <w:uiPriority w:val="99"/>
    <w:semiHidden/>
    <w:rsid w:val="003D4D77"/>
    <w:rPr>
      <w:color w:val="800080" w:themeColor="followedHyperlink"/>
      <w:u w:val="single"/>
    </w:rPr>
  </w:style>
  <w:style w:type="character" w:styleId="CommentReference">
    <w:name w:val="annotation reference"/>
    <w:basedOn w:val="DefaultParagraphFont"/>
    <w:uiPriority w:val="99"/>
    <w:semiHidden/>
    <w:unhideWhenUsed/>
    <w:rsid w:val="001877AB"/>
    <w:rPr>
      <w:sz w:val="16"/>
      <w:szCs w:val="16"/>
    </w:rPr>
  </w:style>
  <w:style w:type="paragraph" w:styleId="CommentText">
    <w:name w:val="annotation text"/>
    <w:basedOn w:val="Normal"/>
    <w:link w:val="CommentTextChar"/>
    <w:uiPriority w:val="99"/>
    <w:unhideWhenUsed/>
    <w:rsid w:val="001877AB"/>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1877AB"/>
    <w:rPr>
      <w:sz w:val="20"/>
      <w:szCs w:val="20"/>
    </w:rPr>
  </w:style>
  <w:style w:type="paragraph" w:styleId="CommentSubject">
    <w:name w:val="annotation subject"/>
    <w:basedOn w:val="CommentText"/>
    <w:next w:val="CommentText"/>
    <w:link w:val="CommentSubjectChar"/>
    <w:uiPriority w:val="99"/>
    <w:semiHidden/>
    <w:unhideWhenUsed/>
    <w:rsid w:val="001877AB"/>
    <w:rPr>
      <w:b/>
      <w:bCs/>
    </w:rPr>
  </w:style>
  <w:style w:type="character" w:customStyle="1" w:styleId="CommentSubjectChar">
    <w:name w:val="Comment Subject Char"/>
    <w:basedOn w:val="CommentTextChar"/>
    <w:link w:val="CommentSubject"/>
    <w:uiPriority w:val="99"/>
    <w:semiHidden/>
    <w:rsid w:val="001877AB"/>
    <w:rPr>
      <w:b/>
      <w:bCs/>
      <w:sz w:val="20"/>
      <w:szCs w:val="20"/>
    </w:rPr>
  </w:style>
  <w:style w:type="paragraph" w:styleId="Revision">
    <w:name w:val="Revision"/>
    <w:hidden/>
    <w:uiPriority w:val="99"/>
    <w:semiHidden/>
    <w:rsid w:val="00AB6DBA"/>
    <w:rPr>
      <w:rFonts w:ascii="Calibri" w:eastAsiaTheme="minorHAns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1551">
      <w:bodyDiv w:val="1"/>
      <w:marLeft w:val="0"/>
      <w:marRight w:val="0"/>
      <w:marTop w:val="0"/>
      <w:marBottom w:val="0"/>
      <w:divBdr>
        <w:top w:val="none" w:sz="0" w:space="0" w:color="auto"/>
        <w:left w:val="none" w:sz="0" w:space="0" w:color="auto"/>
        <w:bottom w:val="none" w:sz="0" w:space="0" w:color="auto"/>
        <w:right w:val="none" w:sz="0" w:space="0" w:color="auto"/>
      </w:divBdr>
    </w:div>
    <w:div w:id="555163621">
      <w:bodyDiv w:val="1"/>
      <w:marLeft w:val="0"/>
      <w:marRight w:val="0"/>
      <w:marTop w:val="0"/>
      <w:marBottom w:val="0"/>
      <w:divBdr>
        <w:top w:val="none" w:sz="0" w:space="0" w:color="auto"/>
        <w:left w:val="none" w:sz="0" w:space="0" w:color="auto"/>
        <w:bottom w:val="none" w:sz="0" w:space="0" w:color="auto"/>
        <w:right w:val="none" w:sz="0" w:space="0" w:color="auto"/>
      </w:divBdr>
    </w:div>
    <w:div w:id="572664132">
      <w:bodyDiv w:val="1"/>
      <w:marLeft w:val="0"/>
      <w:marRight w:val="0"/>
      <w:marTop w:val="0"/>
      <w:marBottom w:val="0"/>
      <w:divBdr>
        <w:top w:val="none" w:sz="0" w:space="0" w:color="auto"/>
        <w:left w:val="none" w:sz="0" w:space="0" w:color="auto"/>
        <w:bottom w:val="none" w:sz="0" w:space="0" w:color="auto"/>
        <w:right w:val="none" w:sz="0" w:space="0" w:color="auto"/>
      </w:divBdr>
    </w:div>
    <w:div w:id="625619995">
      <w:bodyDiv w:val="1"/>
      <w:marLeft w:val="0"/>
      <w:marRight w:val="0"/>
      <w:marTop w:val="0"/>
      <w:marBottom w:val="0"/>
      <w:divBdr>
        <w:top w:val="none" w:sz="0" w:space="0" w:color="auto"/>
        <w:left w:val="none" w:sz="0" w:space="0" w:color="auto"/>
        <w:bottom w:val="none" w:sz="0" w:space="0" w:color="auto"/>
        <w:right w:val="none" w:sz="0" w:space="0" w:color="auto"/>
      </w:divBdr>
    </w:div>
    <w:div w:id="691152672">
      <w:bodyDiv w:val="1"/>
      <w:marLeft w:val="0"/>
      <w:marRight w:val="0"/>
      <w:marTop w:val="0"/>
      <w:marBottom w:val="0"/>
      <w:divBdr>
        <w:top w:val="none" w:sz="0" w:space="0" w:color="auto"/>
        <w:left w:val="none" w:sz="0" w:space="0" w:color="auto"/>
        <w:bottom w:val="none" w:sz="0" w:space="0" w:color="auto"/>
        <w:right w:val="none" w:sz="0" w:space="0" w:color="auto"/>
      </w:divBdr>
    </w:div>
    <w:div w:id="892622419">
      <w:bodyDiv w:val="1"/>
      <w:marLeft w:val="0"/>
      <w:marRight w:val="0"/>
      <w:marTop w:val="0"/>
      <w:marBottom w:val="0"/>
      <w:divBdr>
        <w:top w:val="none" w:sz="0" w:space="0" w:color="auto"/>
        <w:left w:val="none" w:sz="0" w:space="0" w:color="auto"/>
        <w:bottom w:val="none" w:sz="0" w:space="0" w:color="auto"/>
        <w:right w:val="none" w:sz="0" w:space="0" w:color="auto"/>
      </w:divBdr>
    </w:div>
    <w:div w:id="934629666">
      <w:bodyDiv w:val="1"/>
      <w:marLeft w:val="0"/>
      <w:marRight w:val="0"/>
      <w:marTop w:val="0"/>
      <w:marBottom w:val="0"/>
      <w:divBdr>
        <w:top w:val="none" w:sz="0" w:space="0" w:color="auto"/>
        <w:left w:val="none" w:sz="0" w:space="0" w:color="auto"/>
        <w:bottom w:val="none" w:sz="0" w:space="0" w:color="auto"/>
        <w:right w:val="none" w:sz="0" w:space="0" w:color="auto"/>
      </w:divBdr>
    </w:div>
    <w:div w:id="936594906">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499542261">
      <w:bodyDiv w:val="1"/>
      <w:marLeft w:val="0"/>
      <w:marRight w:val="0"/>
      <w:marTop w:val="0"/>
      <w:marBottom w:val="0"/>
      <w:divBdr>
        <w:top w:val="none" w:sz="0" w:space="0" w:color="auto"/>
        <w:left w:val="none" w:sz="0" w:space="0" w:color="auto"/>
        <w:bottom w:val="none" w:sz="0" w:space="0" w:color="auto"/>
        <w:right w:val="none" w:sz="0" w:space="0" w:color="auto"/>
      </w:divBdr>
    </w:div>
    <w:div w:id="1600214986">
      <w:bodyDiv w:val="1"/>
      <w:marLeft w:val="0"/>
      <w:marRight w:val="0"/>
      <w:marTop w:val="0"/>
      <w:marBottom w:val="0"/>
      <w:divBdr>
        <w:top w:val="none" w:sz="0" w:space="0" w:color="auto"/>
        <w:left w:val="none" w:sz="0" w:space="0" w:color="auto"/>
        <w:bottom w:val="none" w:sz="0" w:space="0" w:color="auto"/>
        <w:right w:val="none" w:sz="0" w:space="0" w:color="auto"/>
      </w:divBdr>
    </w:div>
    <w:div w:id="1724597949">
      <w:bodyDiv w:val="1"/>
      <w:marLeft w:val="0"/>
      <w:marRight w:val="0"/>
      <w:marTop w:val="0"/>
      <w:marBottom w:val="0"/>
      <w:divBdr>
        <w:top w:val="none" w:sz="0" w:space="0" w:color="auto"/>
        <w:left w:val="none" w:sz="0" w:space="0" w:color="auto"/>
        <w:bottom w:val="none" w:sz="0" w:space="0" w:color="auto"/>
        <w:right w:val="none" w:sz="0" w:space="0" w:color="auto"/>
      </w:divBdr>
    </w:div>
    <w:div w:id="2074497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portugal.pt/sites/default/files/anexos/cartas-circulares/295915471_5.docx.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egislacja.rcl.gov.pl/projekt/123088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ba.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Departments\Operations\Office%20Management\Templates\Regulatory%20Products\GLs-Rec%20-%20Compliance%20table.dotx" TargetMode="Externa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Management Body</TermName>
          <TermId xmlns="http://schemas.microsoft.com/office/infopath/2007/PartnerControls">33650ce1-83aa-4f4c-bdb1-cf077275a586</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Year xmlns="3b122f42-3680-41b8-abdb-8f838d66b94f">2018</Year>
    <TaxCatchAll xmlns="3b122f42-3680-41b8-abdb-8f838d66b94f">
      <Value>15</Value>
      <Value>64</Value>
      <Value>30</Value>
      <Value>95</Value>
      <Value>124</Value>
      <Value>20</Value>
      <Value>34</Value>
    </TaxCatchAll>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c96fde18-57b6-49e7-940f-682f491fa8d9</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MiFID</TermName>
          <TermId xmlns="http://schemas.microsoft.com/office/infopath/2007/PartnerControls">12ea640b-499a-4be3-a838-c52eea0d9f66</TermId>
        </TermInfo>
        <TermInfo xmlns="http://schemas.microsoft.com/office/infopath/2007/PartnerControls">
          <TermName xmlns="http://schemas.microsoft.com/office/infopath/2007/PartnerControls">MiFID II</TermName>
          <TermId xmlns="http://schemas.microsoft.com/office/infopath/2007/PartnerControls">79fbf68e-c320-4990-9466-a8f790411f83</TermId>
        </TermInfo>
        <TermInfo xmlns="http://schemas.microsoft.com/office/infopath/2007/PartnerControls">
          <TermName xmlns="http://schemas.microsoft.com/office/infopath/2007/PartnerControls">MiFIR</TermName>
          <TermId xmlns="http://schemas.microsoft.com/office/infopath/2007/PartnerControls">c5186b5e-fb82-43f7-82a3-6b9c77f2e4fa</TermId>
        </TermInfo>
      </Terms>
    </nd85f6bbfc564f3fa1f39842b48e85f3>
    <MeetingDate xmlns="3b122f42-3680-41b8-abdb-8f838d66b94f" xsi:nil="true"/>
    <_dlc_DocId xmlns="3b122f42-3680-41b8-abdb-8f838d66b94f">ESMA35-43-1215</_dlc_DocId>
    <_dlc_DocIdUrl xmlns="3b122f42-3680-41b8-abdb-8f838d66b94f">
      <Url>https://sherpa.esma.europa.eu/sites/INIIPI/_layouts/15/DocIdRedir.aspx?ID=ESMA35-43-1215</Url>
      <Description>ESMA35-43-1215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iFID MiFIR Document" ma:contentTypeID="0x0101004C1F842F26F0BF46AAFF4A33AAF0FAB9020D00573FC9391AEA1B4E836B3F1992EE8425" ma:contentTypeVersion="147" ma:contentTypeDescription="" ma:contentTypeScope="" ma:versionID="ecf372b42340dcf738475275d738d95f">
  <xsd:schema xmlns:xsd="http://www.w3.org/2001/XMLSchema" xmlns:xs="http://www.w3.org/2001/XMLSchema" xmlns:p="http://schemas.microsoft.com/office/2006/metadata/properties" xmlns:ns1="http://schemas.microsoft.com/sharepoint/v3" xmlns:ns2="3b122f42-3680-41b8-abdb-8f838d66b94f" xmlns:ns3="http://schemas.microsoft.com/sharepoint/v4" targetNamespace="http://schemas.microsoft.com/office/2006/metadata/properties" ma:root="true" ma:fieldsID="856f06b5510cfdc3a02e674bb12859ec" ns1:_="" ns2:_="" ns3:_="">
    <xsd:import namespace="http://schemas.microsoft.com/sharepoint/v3"/>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20;#MiFID|12ea640b-499a-4be3-a838-c52eea0d9f66;#34;#MiFID II|79fbf68e-c320-4990-9466-a8f790411f83;#124;#MiFIR|c5186b5e-fb82-43f7-82a3-6b9c77f2e4fa"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80e7b547-73d5-4a28-be7b-816a161bb53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501D-7160-4C34-9EE8-6C001E5392F2}">
  <ds:schemaRefs>
    <ds:schemaRef ds:uri="http://schemas.microsoft.com/sharepoint/events"/>
  </ds:schemaRefs>
</ds:datastoreItem>
</file>

<file path=customXml/itemProps2.xml><?xml version="1.0" encoding="utf-8"?>
<ds:datastoreItem xmlns:ds="http://schemas.openxmlformats.org/officeDocument/2006/customXml" ds:itemID="{1A8C12FB-BCF1-43E8-9AFA-5BAD77ECF404}">
  <ds:schemaRefs>
    <ds:schemaRef ds:uri="http://schemas.microsoft.com/sharepoint/v3/contenttype/forms"/>
  </ds:schemaRefs>
</ds:datastoreItem>
</file>

<file path=customXml/itemProps3.xml><?xml version="1.0" encoding="utf-8"?>
<ds:datastoreItem xmlns:ds="http://schemas.openxmlformats.org/officeDocument/2006/customXml" ds:itemID="{21514F35-D9EE-49CE-BA4F-93143CDB4098}">
  <ds:schemaRefs>
    <ds:schemaRef ds:uri="http://schemas.microsoft.com/office/2006/documentManagement/types"/>
    <ds:schemaRef ds:uri="http://schemas.microsoft.com/office/2006/metadata/properties"/>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3b122f42-3680-41b8-abdb-8f838d66b94f"/>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CCE254F-E22E-4F73-B530-6DE5FF5D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B2264-43F4-4691-817A-F1B5A404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GLs-Rec - Compliance table</Template>
  <TotalTime>656</TotalTime>
  <Pages>23</Pages>
  <Words>6361</Words>
  <Characters>35558</Characters>
  <Application>Microsoft Office Word</Application>
  <DocSecurity>0</DocSecurity>
  <Lines>5926</Lines>
  <Paragraphs>3493</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Faulkner</dc:creator>
  <cp:lastModifiedBy>Lada Hron</cp:lastModifiedBy>
  <cp:revision>72</cp:revision>
  <cp:lastPrinted>2018-07-05T08:16:00Z</cp:lastPrinted>
  <dcterms:created xsi:type="dcterms:W3CDTF">2018-08-02T11:43:00Z</dcterms:created>
  <dcterms:modified xsi:type="dcterms:W3CDTF">2018-11-05T11:44:00Z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0x0101004C1F842F26F0BF46AAFF4A33AAF0FAB9020D00573FC9391AEA1B4E836B3F1992EE8425</vt:lpwstr>
  </property>
  <property fmtid="{D5CDD505-2E9C-101B-9397-08002B2CF9AE}" pid="3" name="EsmaAudience">
    <vt:lpwstr/>
  </property>
  <property fmtid="{D5CDD505-2E9C-101B-9397-08002B2CF9AE}" pid="4" name="Topic">
    <vt:lpwstr>95;#Management Body|33650ce1-83aa-4f4c-bdb1-cf077275a586</vt:lpwstr>
  </property>
  <property fmtid="{D5CDD505-2E9C-101B-9397-08002B2CF9AE}" pid="5" name="TeamName">
    <vt:lpwstr>30;#Investor Protection and Intermediaries|98c55de3-414a-4dc7-97ca-58b003cd9a35</vt:lpwstr>
  </property>
  <property fmtid="{D5CDD505-2E9C-101B-9397-08002B2CF9AE}" pid="6" name="ConfidentialityLevel">
    <vt:lpwstr>15;#Regular|07f1e362-856b-423d-bea6-a14079762141</vt:lpwstr>
  </property>
  <property fmtid="{D5CDD505-2E9C-101B-9397-08002B2CF9AE}" pid="7" name="DocumentType">
    <vt:lpwstr>64;#Guidelines|c96fde18-57b6-49e7-940f-682f491fa8d9</vt:lpwstr>
  </property>
  <property fmtid="{D5CDD505-2E9C-101B-9397-08002B2CF9AE}" pid="8" name="TeamTopic">
    <vt:lpwstr>20;#MiFID|12ea640b-499a-4be3-a838-c52eea0d9f66;#34;#MiFID II|79fbf68e-c320-4990-9466-a8f790411f83;#124;#MiFIR|c5186b5e-fb82-43f7-82a3-6b9c77f2e4fa</vt:lpwstr>
  </property>
  <property fmtid="{D5CDD505-2E9C-101B-9397-08002B2CF9AE}" pid="9" name="_dlc_DocIdItemGuid">
    <vt:lpwstr>ca1ea922-45b5-4ddd-96d4-39297b13c56d</vt:lpwstr>
  </property>
</Properties>
</file>