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BA07C" w14:textId="77777777" w:rsidR="00C85971" w:rsidRPr="007F4CC8" w:rsidRDefault="00C85971" w:rsidP="00C85971">
      <w:pPr>
        <w:pStyle w:val="Annexetitre"/>
      </w:pPr>
      <w:r w:rsidRPr="007F4CC8">
        <w:t>ANNEX VIII – Instructions for own funds disclosure templates</w:t>
      </w:r>
    </w:p>
    <w:p w14:paraId="2B58A8D0" w14:textId="77777777" w:rsidR="00C85971" w:rsidRPr="007F4CC8" w:rsidRDefault="00C85971" w:rsidP="00C85971">
      <w:pPr>
        <w:rPr>
          <w:rFonts w:ascii="Times New Roman" w:hAnsi="Times New Roman" w:cs="Times New Roman"/>
          <w:sz w:val="24"/>
        </w:rPr>
      </w:pPr>
    </w:p>
    <w:p w14:paraId="0350FF78" w14:textId="77777777" w:rsidR="00C85971" w:rsidRPr="007F4CC8" w:rsidRDefault="00C85971" w:rsidP="00C85971">
      <w:pPr>
        <w:rPr>
          <w:rFonts w:ascii="Times New Roman" w:hAnsi="Times New Roman" w:cs="Times New Roman"/>
          <w:b/>
          <w:bCs/>
          <w:sz w:val="24"/>
        </w:rPr>
      </w:pPr>
      <w:r w:rsidRPr="007F4CC8">
        <w:rPr>
          <w:rFonts w:ascii="Times New Roman" w:hAnsi="Times New Roman" w:cs="Times New Roman"/>
          <w:b/>
          <w:bCs/>
          <w:sz w:val="24"/>
        </w:rPr>
        <w:t>Template EU</w:t>
      </w:r>
      <w:r>
        <w:rPr>
          <w:rFonts w:ascii="Times New Roman" w:hAnsi="Times New Roman" w:cs="Times New Roman"/>
          <w:b/>
          <w:bCs/>
          <w:sz w:val="24"/>
        </w:rPr>
        <w:t xml:space="preserve"> </w:t>
      </w:r>
      <w:r w:rsidRPr="007F4CC8">
        <w:rPr>
          <w:rFonts w:ascii="Times New Roman" w:hAnsi="Times New Roman" w:cs="Times New Roman"/>
          <w:b/>
          <w:bCs/>
          <w:sz w:val="24"/>
        </w:rPr>
        <w:t>CC1</w:t>
      </w:r>
      <w:r>
        <w:rPr>
          <w:rFonts w:ascii="Times New Roman" w:hAnsi="Times New Roman" w:cs="Times New Roman"/>
          <w:b/>
          <w:bCs/>
          <w:sz w:val="24"/>
        </w:rPr>
        <w:t xml:space="preserve"> –</w:t>
      </w:r>
      <w:r w:rsidRPr="007F4CC8">
        <w:rPr>
          <w:rFonts w:ascii="Times New Roman" w:hAnsi="Times New Roman" w:cs="Times New Roman"/>
          <w:b/>
          <w:bCs/>
          <w:sz w:val="24"/>
        </w:rPr>
        <w:t xml:space="preserve"> Composition of regulatory own funds</w:t>
      </w:r>
    </w:p>
    <w:p w14:paraId="55655225" w14:textId="77777777" w:rsidR="00C85971" w:rsidRPr="007F4CC8" w:rsidRDefault="00C85971" w:rsidP="00C85971">
      <w:pPr>
        <w:rPr>
          <w:rFonts w:ascii="Times New Roman" w:hAnsi="Times New Roman" w:cs="Times New Roman"/>
          <w:sz w:val="24"/>
        </w:rPr>
      </w:pPr>
    </w:p>
    <w:p w14:paraId="2B0D2E16" w14:textId="73E98823"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Institutions shall </w:t>
      </w:r>
      <w:r w:rsidRPr="007F4CC8">
        <w:rPr>
          <w:rFonts w:ascii="Times New Roman" w:hAnsi="Times New Roman"/>
          <w:sz w:val="24"/>
        </w:rPr>
        <w:t xml:space="preserve">disclose the information referred to in </w:t>
      </w:r>
      <w:r w:rsidRPr="007F4CC8">
        <w:rPr>
          <w:rFonts w:ascii="Times New Roman" w:hAnsi="Times New Roman" w:cs="Times New Roman"/>
          <w:bCs/>
          <w:sz w:val="24"/>
        </w:rPr>
        <w:t xml:space="preserve">points (a), (d), (e) and (f) of Article 437 of </w:t>
      </w:r>
      <w:r w:rsidRPr="007F4CC8">
        <w:rPr>
          <w:rFonts w:ascii="Times New Roman" w:hAnsi="Times New Roman" w:cs="Times New Roman"/>
          <w:color w:val="000000"/>
          <w:sz w:val="24"/>
        </w:rPr>
        <w:t>Regulation (EU) 575/2013</w:t>
      </w:r>
      <w:r w:rsidRPr="007F4CC8">
        <w:rPr>
          <w:rStyle w:val="FootnoteReference"/>
          <w:rFonts w:cs="Times New Roman"/>
          <w:color w:val="000000"/>
        </w:rPr>
        <w:footnoteReference w:id="1"/>
      </w:r>
      <w:r w:rsidRPr="007F4CC8">
        <w:rPr>
          <w:rFonts w:ascii="Times New Roman" w:hAnsi="Times New Roman" w:cs="Times New Roman"/>
          <w:color w:val="000000"/>
          <w:sz w:val="24"/>
        </w:rPr>
        <w:t>(“CRR”)</w:t>
      </w:r>
      <w:r w:rsidRPr="007F4CC8">
        <w:rPr>
          <w:rFonts w:ascii="Times New Roman" w:hAnsi="Times New Roman"/>
          <w:sz w:val="24"/>
        </w:rPr>
        <w:t xml:space="preserve"> by </w:t>
      </w:r>
      <w:r w:rsidRPr="007F4CC8">
        <w:rPr>
          <w:rFonts w:ascii="Times New Roman" w:hAnsi="Times New Roman" w:cs="Times New Roman"/>
          <w:bCs/>
          <w:sz w:val="24"/>
        </w:rPr>
        <w:t xml:space="preserve">following the instructions provided in this Annex to complete </w:t>
      </w:r>
      <w:r>
        <w:rPr>
          <w:rFonts w:ascii="Times New Roman" w:hAnsi="Times New Roman" w:cs="Times New Roman"/>
          <w:bCs/>
          <w:sz w:val="24"/>
        </w:rPr>
        <w:t xml:space="preserve">template EU </w:t>
      </w:r>
      <w:r w:rsidRPr="007F4CC8">
        <w:rPr>
          <w:rFonts w:ascii="Times New Roman" w:hAnsi="Times New Roman" w:cs="Times New Roman"/>
          <w:bCs/>
          <w:sz w:val="24"/>
        </w:rPr>
        <w:t xml:space="preserve">CC1 which is presented in Annex VII </w:t>
      </w:r>
      <w:r w:rsidR="00E05386">
        <w:rPr>
          <w:rFonts w:ascii="Times New Roman" w:hAnsi="Times New Roman" w:cs="Times New Roman"/>
          <w:bCs/>
          <w:sz w:val="24"/>
        </w:rPr>
        <w:t>of the EBA IT solutions</w:t>
      </w:r>
      <w:r w:rsidRPr="007F4CC8">
        <w:rPr>
          <w:rFonts w:ascii="Times New Roman" w:hAnsi="Times New Roman" w:cs="Times New Roman"/>
          <w:bCs/>
          <w:sz w:val="24"/>
        </w:rPr>
        <w:t>.</w:t>
      </w:r>
    </w:p>
    <w:p w14:paraId="33ADC7E7"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For the purposes of </w:t>
      </w:r>
      <w:r>
        <w:rPr>
          <w:rFonts w:ascii="Times New Roman" w:hAnsi="Times New Roman" w:cs="Times New Roman"/>
          <w:bCs/>
          <w:sz w:val="24"/>
        </w:rPr>
        <w:t xml:space="preserve">template EU </w:t>
      </w:r>
      <w:r w:rsidRPr="007F4CC8">
        <w:rPr>
          <w:rFonts w:ascii="Times New Roman" w:hAnsi="Times New Roman" w:cs="Times New Roman"/>
          <w:bCs/>
          <w:sz w:val="24"/>
        </w:rPr>
        <w:t>CC1, regulatory adjustments comprise deductions from own funds and prudential filters.</w:t>
      </w:r>
    </w:p>
    <w:p w14:paraId="2CDAAE74"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Institutions are required to complete column (b) </w:t>
      </w:r>
      <w:r w:rsidRPr="007F4CC8">
        <w:rPr>
          <w:rFonts w:ascii="Times New Roman" w:hAnsi="Times New Roman" w:cs="Times New Roman"/>
          <w:sz w:val="24"/>
        </w:rPr>
        <w:t>of this template</w:t>
      </w:r>
      <w:r w:rsidRPr="007F4CC8">
        <w:rPr>
          <w:rFonts w:ascii="Times New Roman" w:hAnsi="Times New Roman" w:cs="Times New Roman"/>
          <w:bCs/>
          <w:sz w:val="24"/>
        </w:rPr>
        <w:t xml:space="preserve"> to show the source of every major input, which is to be cross-referenced to the corresponding rows in </w:t>
      </w:r>
      <w:r>
        <w:rPr>
          <w:rFonts w:ascii="Times New Roman" w:hAnsi="Times New Roman" w:cs="Times New Roman"/>
          <w:bCs/>
          <w:sz w:val="24"/>
        </w:rPr>
        <w:t xml:space="preserve">template EU </w:t>
      </w:r>
      <w:r w:rsidRPr="007F4CC8">
        <w:rPr>
          <w:rFonts w:ascii="Times New Roman" w:hAnsi="Times New Roman" w:cs="Times New Roman"/>
          <w:bCs/>
          <w:sz w:val="24"/>
        </w:rPr>
        <w:t>CC2.</w:t>
      </w:r>
    </w:p>
    <w:p w14:paraId="5C636132" w14:textId="77777777" w:rsidR="00C85971" w:rsidRPr="007F4CC8" w:rsidRDefault="00C85971" w:rsidP="00C85971">
      <w:pPr>
        <w:numPr>
          <w:ilvl w:val="0"/>
          <w:numId w:val="2"/>
        </w:numPr>
        <w:spacing w:before="120" w:after="120"/>
        <w:jc w:val="both"/>
        <w:rPr>
          <w:rFonts w:ascii="Times New Roman" w:hAnsi="Times New Roman" w:cs="Times New Roman"/>
          <w:bCs/>
          <w:sz w:val="24"/>
        </w:rPr>
      </w:pPr>
      <w:r w:rsidRPr="007F4CC8">
        <w:rPr>
          <w:rFonts w:ascii="Times New Roman" w:hAnsi="Times New Roman" w:cs="Times New Roman"/>
          <w:bCs/>
          <w:sz w:val="24"/>
        </w:rPr>
        <w:t>Institutions shall include in the narrative accompanying the template a description of all restrictions applied to the calculation of own funds in accordance with CRR and the instruments, prudential filters and deductions to which those restrictions apply. They shall also include a comprehensive explanation of the basis on which capital ratios are calculated where those capital ratios are calculated by using elements of own funds determined on a basis other than the basis laid down in the CRR.</w:t>
      </w:r>
    </w:p>
    <w:p w14:paraId="6B9498D2" w14:textId="77777777" w:rsidR="00C85971" w:rsidRPr="007F4CC8" w:rsidRDefault="00C85971" w:rsidP="00C85971">
      <w:pPr>
        <w:jc w:val="both"/>
        <w:rPr>
          <w:rFonts w:ascii="Times New Roman" w:hAnsi="Times New Roman" w:cs="Times New Roman"/>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242"/>
      </w:tblGrid>
      <w:tr w:rsidR="00C85971" w:rsidRPr="007F4CC8" w14:paraId="28456029" w14:textId="77777777" w:rsidTr="00D819DE">
        <w:trPr>
          <w:trHeight w:val="395"/>
        </w:trPr>
        <w:tc>
          <w:tcPr>
            <w:tcW w:w="8414" w:type="dxa"/>
            <w:gridSpan w:val="2"/>
            <w:shd w:val="clear" w:color="auto" w:fill="D9D9D9" w:themeFill="background1" w:themeFillShade="D9"/>
          </w:tcPr>
          <w:p w14:paraId="3EB7B271" w14:textId="77777777" w:rsidR="00C85971" w:rsidRPr="007F4CC8" w:rsidRDefault="00C85971" w:rsidP="00D819DE">
            <w:pPr>
              <w:pStyle w:val="TableTitle"/>
              <w:spacing w:before="0" w:after="0"/>
              <w:jc w:val="left"/>
              <w:rPr>
                <w:rFonts w:ascii="Times New Roman" w:hAnsi="Times New Roman"/>
                <w:noProof w:val="0"/>
                <w:sz w:val="24"/>
                <w:szCs w:val="24"/>
              </w:rPr>
            </w:pPr>
            <w:r w:rsidRPr="007F4CC8">
              <w:rPr>
                <w:rFonts w:ascii="Times New Roman" w:hAnsi="Times New Roman"/>
                <w:noProof w:val="0"/>
                <w:sz w:val="24"/>
                <w:szCs w:val="24"/>
              </w:rPr>
              <w:t>Legal references and instructions</w:t>
            </w:r>
          </w:p>
        </w:tc>
      </w:tr>
      <w:tr w:rsidR="00C85971" w:rsidRPr="007F4CC8" w14:paraId="0AB0475E" w14:textId="77777777" w:rsidTr="00D819DE">
        <w:tc>
          <w:tcPr>
            <w:tcW w:w="1172" w:type="dxa"/>
            <w:shd w:val="clear" w:color="auto" w:fill="D9D9D9" w:themeFill="background1" w:themeFillShade="D9"/>
          </w:tcPr>
          <w:p w14:paraId="0886C6D6" w14:textId="77777777" w:rsidR="00C85971" w:rsidRPr="007F4CC8" w:rsidRDefault="00C85971" w:rsidP="00D819DE">
            <w:pPr>
              <w:rPr>
                <w:rFonts w:ascii="Times New Roman" w:hAnsi="Times New Roman" w:cs="Times New Roman"/>
                <w:b/>
                <w:sz w:val="24"/>
                <w:lang w:eastAsia="ja-JP"/>
              </w:rPr>
            </w:pPr>
            <w:r w:rsidRPr="007F4CC8">
              <w:rPr>
                <w:rFonts w:ascii="Times New Roman" w:hAnsi="Times New Roman" w:cs="Times New Roman"/>
                <w:b/>
                <w:sz w:val="24"/>
                <w:lang w:eastAsia="ja-JP"/>
              </w:rPr>
              <w:t>Row number</w:t>
            </w:r>
          </w:p>
        </w:tc>
        <w:tc>
          <w:tcPr>
            <w:tcW w:w="7242" w:type="dxa"/>
            <w:shd w:val="clear" w:color="auto" w:fill="D9D9D9" w:themeFill="background1" w:themeFillShade="D9"/>
          </w:tcPr>
          <w:p w14:paraId="3586AD3A" w14:textId="77777777" w:rsidR="00C85971" w:rsidRPr="007F4CC8" w:rsidRDefault="00C85971" w:rsidP="00D819DE">
            <w:pPr>
              <w:rPr>
                <w:rFonts w:ascii="Times New Roman" w:hAnsi="Times New Roman" w:cs="Times New Roman"/>
                <w:b/>
                <w:sz w:val="24"/>
                <w:lang w:eastAsia="ja-JP"/>
              </w:rPr>
            </w:pPr>
            <w:r w:rsidRPr="007F4CC8">
              <w:rPr>
                <w:rFonts w:ascii="Times New Roman" w:hAnsi="Times New Roman" w:cs="Times New Roman"/>
                <w:b/>
                <w:sz w:val="24"/>
                <w:lang w:eastAsia="ja-JP"/>
              </w:rPr>
              <w:t>Explanation</w:t>
            </w:r>
          </w:p>
        </w:tc>
      </w:tr>
      <w:tr w:rsidR="00C85971" w:rsidRPr="007F4CC8" w14:paraId="3EC81769" w14:textId="77777777" w:rsidTr="00D819DE">
        <w:tc>
          <w:tcPr>
            <w:tcW w:w="1172" w:type="dxa"/>
            <w:vAlign w:val="center"/>
          </w:tcPr>
          <w:p w14:paraId="27AE8497"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w:t>
            </w:r>
          </w:p>
        </w:tc>
        <w:tc>
          <w:tcPr>
            <w:tcW w:w="7242" w:type="dxa"/>
          </w:tcPr>
          <w:p w14:paraId="6D216B7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w:t>
            </w:r>
          </w:p>
          <w:p w14:paraId="3624D9E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 in accordance with points (a) and (b) of Article 26(1) and with Articles 27, 28, 29 CRR and the EBA list as referred to in Article 26(3) CRR, and their breakdown by the type of the instrument.</w:t>
            </w:r>
          </w:p>
        </w:tc>
      </w:tr>
      <w:tr w:rsidR="00C85971" w:rsidRPr="007F4CC8" w14:paraId="32A6085B" w14:textId="77777777" w:rsidTr="00D819DE">
        <w:tc>
          <w:tcPr>
            <w:tcW w:w="1172" w:type="dxa"/>
            <w:vAlign w:val="center"/>
          </w:tcPr>
          <w:p w14:paraId="1D36DC3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w:t>
            </w:r>
          </w:p>
        </w:tc>
        <w:tc>
          <w:tcPr>
            <w:tcW w:w="7242" w:type="dxa"/>
            <w:vAlign w:val="center"/>
          </w:tcPr>
          <w:p w14:paraId="5CAB890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Retained earnings</w:t>
            </w:r>
          </w:p>
          <w:p w14:paraId="3BB53B0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Retained earnings prior to all regulatory adjustments in accordance with point (c) of Article 26(1) CRR (prior to the inclusion of any interim net profits or losses)</w:t>
            </w:r>
          </w:p>
        </w:tc>
      </w:tr>
      <w:tr w:rsidR="00C85971" w:rsidRPr="007F4CC8" w14:paraId="55D99A61" w14:textId="77777777" w:rsidTr="00D819DE">
        <w:trPr>
          <w:trHeight w:val="980"/>
        </w:trPr>
        <w:tc>
          <w:tcPr>
            <w:tcW w:w="1172" w:type="dxa"/>
            <w:vAlign w:val="center"/>
          </w:tcPr>
          <w:p w14:paraId="269B673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w:t>
            </w:r>
          </w:p>
        </w:tc>
        <w:tc>
          <w:tcPr>
            <w:tcW w:w="7242" w:type="dxa"/>
            <w:vAlign w:val="center"/>
          </w:tcPr>
          <w:p w14:paraId="32D3B93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Accumulated other comprehensive income (and other reserves)</w:t>
            </w:r>
          </w:p>
          <w:p w14:paraId="7F75661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lastRenderedPageBreak/>
              <w:t>Amount of accumulated other comprehensive income and other reserves in accordance with points (d) and (e) of Article 26(1) CRR</w:t>
            </w:r>
          </w:p>
        </w:tc>
      </w:tr>
      <w:tr w:rsidR="00C85971" w:rsidRPr="007F4CC8" w14:paraId="5C04AF2A" w14:textId="77777777" w:rsidTr="00D819DE">
        <w:tc>
          <w:tcPr>
            <w:tcW w:w="1172" w:type="dxa"/>
            <w:vAlign w:val="center"/>
          </w:tcPr>
          <w:p w14:paraId="18044CF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EU-3a</w:t>
            </w:r>
          </w:p>
        </w:tc>
        <w:tc>
          <w:tcPr>
            <w:tcW w:w="7242" w:type="dxa"/>
            <w:vAlign w:val="center"/>
          </w:tcPr>
          <w:p w14:paraId="780A3FE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Funds for general banking risk</w:t>
            </w:r>
          </w:p>
          <w:p w14:paraId="3C42716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funds for general banking risk in accordance with point (f) of Article 26(1) CRR</w:t>
            </w:r>
          </w:p>
        </w:tc>
      </w:tr>
      <w:tr w:rsidR="00C85971" w:rsidRPr="007F4CC8" w14:paraId="429037B8" w14:textId="77777777" w:rsidTr="00D819DE">
        <w:tc>
          <w:tcPr>
            <w:tcW w:w="1172" w:type="dxa"/>
            <w:vAlign w:val="center"/>
          </w:tcPr>
          <w:p w14:paraId="3AC0D40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w:t>
            </w:r>
          </w:p>
        </w:tc>
        <w:tc>
          <w:tcPr>
            <w:tcW w:w="7242" w:type="dxa"/>
            <w:vAlign w:val="center"/>
          </w:tcPr>
          <w:p w14:paraId="1293988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484 (3) CRR and the related share premium accounts subject to phase out from CET1</w:t>
            </w:r>
          </w:p>
          <w:p w14:paraId="434ED6B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484(3) CRR and the related share premium accounts subject to phase out from CET1 as described in Article 486(2) CRR</w:t>
            </w:r>
          </w:p>
        </w:tc>
      </w:tr>
      <w:tr w:rsidR="00C85971" w:rsidRPr="007F4CC8" w14:paraId="0FE5F2C7" w14:textId="77777777" w:rsidTr="00D819DE">
        <w:tc>
          <w:tcPr>
            <w:tcW w:w="1172" w:type="dxa"/>
            <w:vAlign w:val="center"/>
          </w:tcPr>
          <w:p w14:paraId="31B676BF"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w:t>
            </w:r>
          </w:p>
        </w:tc>
        <w:tc>
          <w:tcPr>
            <w:tcW w:w="7242" w:type="dxa"/>
            <w:vAlign w:val="center"/>
          </w:tcPr>
          <w:p w14:paraId="3FF63C4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Minority interests (amount allowed in consolidated CET1)</w:t>
            </w:r>
          </w:p>
          <w:p w14:paraId="64724C4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Minority interests (allowed amount in consolidated CET1) as per Article 84 CRR</w:t>
            </w:r>
          </w:p>
        </w:tc>
      </w:tr>
      <w:tr w:rsidR="00C85971" w:rsidRPr="007F4CC8" w14:paraId="05B4754F" w14:textId="77777777" w:rsidTr="00D819DE">
        <w:tc>
          <w:tcPr>
            <w:tcW w:w="1172" w:type="dxa"/>
            <w:vAlign w:val="center"/>
          </w:tcPr>
          <w:p w14:paraId="039F76B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EU-5a</w:t>
            </w:r>
          </w:p>
        </w:tc>
        <w:tc>
          <w:tcPr>
            <w:tcW w:w="7242" w:type="dxa"/>
            <w:vAlign w:val="center"/>
          </w:tcPr>
          <w:p w14:paraId="179AFE3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Independently reviewed interim profits net of any foreseeable charge or dividend</w:t>
            </w:r>
          </w:p>
          <w:p w14:paraId="3017376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Independently reviewed interim profits net of any foreseeable charge or dividend as per Article 26(2) CRR</w:t>
            </w:r>
          </w:p>
        </w:tc>
      </w:tr>
      <w:tr w:rsidR="00C85971" w:rsidRPr="007F4CC8" w14:paraId="0DB6D54A" w14:textId="77777777" w:rsidTr="00D819DE">
        <w:tc>
          <w:tcPr>
            <w:tcW w:w="1172" w:type="dxa"/>
            <w:vAlign w:val="center"/>
          </w:tcPr>
          <w:p w14:paraId="77050ED8"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w:t>
            </w:r>
          </w:p>
        </w:tc>
        <w:tc>
          <w:tcPr>
            <w:tcW w:w="7242" w:type="dxa"/>
            <w:vAlign w:val="center"/>
          </w:tcPr>
          <w:p w14:paraId="181768A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Common Equity Tier 1 (CET1) capital before regulatory adjustments</w:t>
            </w:r>
          </w:p>
          <w:p w14:paraId="5517D0E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Sum of amounts in rows 1 to EU-5a of this template</w:t>
            </w:r>
          </w:p>
        </w:tc>
      </w:tr>
      <w:tr w:rsidR="00C85971" w:rsidRPr="007F4CC8" w14:paraId="1DB3573D" w14:textId="77777777" w:rsidTr="00D819DE">
        <w:tc>
          <w:tcPr>
            <w:tcW w:w="1172" w:type="dxa"/>
            <w:vAlign w:val="center"/>
          </w:tcPr>
          <w:p w14:paraId="3A212C6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w:t>
            </w:r>
          </w:p>
        </w:tc>
        <w:tc>
          <w:tcPr>
            <w:tcW w:w="7242" w:type="dxa"/>
            <w:vAlign w:val="center"/>
          </w:tcPr>
          <w:p w14:paraId="25B1784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Additional value adjustments (negative amount)</w:t>
            </w:r>
          </w:p>
          <w:p w14:paraId="24604E9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Additional value adjustments in accordance with Article 34 and 105 CRR (negative amount)</w:t>
            </w:r>
          </w:p>
        </w:tc>
      </w:tr>
      <w:tr w:rsidR="00C85971" w:rsidRPr="007F4CC8" w14:paraId="5FE594E0" w14:textId="77777777" w:rsidTr="00D819DE">
        <w:tc>
          <w:tcPr>
            <w:tcW w:w="1172" w:type="dxa"/>
            <w:vAlign w:val="center"/>
          </w:tcPr>
          <w:p w14:paraId="04267FF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w:t>
            </w:r>
          </w:p>
        </w:tc>
        <w:tc>
          <w:tcPr>
            <w:tcW w:w="7242" w:type="dxa"/>
            <w:vAlign w:val="center"/>
          </w:tcPr>
          <w:p w14:paraId="540851D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Intangible assets (net of related tax liability) (negative amount)</w:t>
            </w:r>
          </w:p>
          <w:p w14:paraId="5E39866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Intangible assets (net of related tax liability) in accordance with point (b) of Article 36(1) and with Article 37 CRR (negative amount)</w:t>
            </w:r>
          </w:p>
        </w:tc>
      </w:tr>
      <w:tr w:rsidR="00C85971" w:rsidRPr="007F4CC8" w14:paraId="57D545A8" w14:textId="77777777" w:rsidTr="00D819DE">
        <w:tc>
          <w:tcPr>
            <w:tcW w:w="1172" w:type="dxa"/>
            <w:vAlign w:val="center"/>
          </w:tcPr>
          <w:p w14:paraId="058D3A7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 xml:space="preserve">9 </w:t>
            </w:r>
          </w:p>
        </w:tc>
        <w:tc>
          <w:tcPr>
            <w:tcW w:w="7242" w:type="dxa"/>
            <w:vAlign w:val="center"/>
          </w:tcPr>
          <w:p w14:paraId="16084F4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66B4EBC9" w14:textId="77777777" w:rsidTr="00D819DE">
        <w:tc>
          <w:tcPr>
            <w:tcW w:w="1172" w:type="dxa"/>
            <w:vAlign w:val="center"/>
          </w:tcPr>
          <w:p w14:paraId="2BDE1E17"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10</w:t>
            </w:r>
          </w:p>
        </w:tc>
        <w:tc>
          <w:tcPr>
            <w:tcW w:w="7242" w:type="dxa"/>
            <w:vAlign w:val="center"/>
          </w:tcPr>
          <w:p w14:paraId="03352CF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that rely on future profitability excluding those arising from temporary differences (net of related tax liability where the conditions in Article 38 (3) CRR are met) (negative amount)</w:t>
            </w:r>
          </w:p>
          <w:p w14:paraId="2A0A42E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that rely on future profitability excluding those arising from temporary differences (net of related tax liability where the conditions in Article 38(3) CRR are met) in accordance with point (c) of Article 36(1) and with Article 38 CRR (negative amount)</w:t>
            </w:r>
          </w:p>
        </w:tc>
      </w:tr>
      <w:tr w:rsidR="00C85971" w:rsidRPr="007F4CC8" w14:paraId="6D9F3290" w14:textId="77777777" w:rsidTr="00D819DE">
        <w:tc>
          <w:tcPr>
            <w:tcW w:w="1172" w:type="dxa"/>
            <w:vAlign w:val="center"/>
          </w:tcPr>
          <w:p w14:paraId="45C66F6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11</w:t>
            </w:r>
          </w:p>
        </w:tc>
        <w:tc>
          <w:tcPr>
            <w:tcW w:w="7242" w:type="dxa"/>
            <w:vAlign w:val="center"/>
          </w:tcPr>
          <w:p w14:paraId="68ABFBF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Fair value reserves related to gains or losses on cash flow hedges of financial instruments that are not valued at fair value</w:t>
            </w:r>
          </w:p>
          <w:p w14:paraId="28EED64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Fair value reserves related to gains or losses on cash flow hedges of financial instruments that are not valued at fair value in accordance with point (a) of Article 33(1) CRR</w:t>
            </w:r>
          </w:p>
        </w:tc>
      </w:tr>
      <w:tr w:rsidR="00C85971" w:rsidRPr="007F4CC8" w14:paraId="71D2CA32" w14:textId="77777777" w:rsidTr="00D819DE">
        <w:tc>
          <w:tcPr>
            <w:tcW w:w="1172" w:type="dxa"/>
            <w:vAlign w:val="center"/>
          </w:tcPr>
          <w:p w14:paraId="0F63B72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12</w:t>
            </w:r>
          </w:p>
        </w:tc>
        <w:tc>
          <w:tcPr>
            <w:tcW w:w="7242" w:type="dxa"/>
            <w:vAlign w:val="center"/>
          </w:tcPr>
          <w:p w14:paraId="7F76EC5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Negative amounts resulting from the calculation of expected loss amounts</w:t>
            </w:r>
          </w:p>
          <w:p w14:paraId="1056ED1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Negative amounts resulting from the calculation of expected loss amounts in accordance with point (d) of Article 36(1) and with Article 40 CRR</w:t>
            </w:r>
          </w:p>
        </w:tc>
      </w:tr>
      <w:tr w:rsidR="00C85971" w:rsidRPr="007F4CC8" w14:paraId="668AEBB4" w14:textId="77777777" w:rsidTr="00D819DE">
        <w:tc>
          <w:tcPr>
            <w:tcW w:w="1172" w:type="dxa"/>
            <w:vAlign w:val="center"/>
          </w:tcPr>
          <w:p w14:paraId="3EA3D281"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13</w:t>
            </w:r>
          </w:p>
        </w:tc>
        <w:tc>
          <w:tcPr>
            <w:tcW w:w="7242" w:type="dxa"/>
            <w:vAlign w:val="center"/>
          </w:tcPr>
          <w:p w14:paraId="2DCF7FE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Any increase in equity that results from securitised assets (negative amount)</w:t>
            </w:r>
          </w:p>
          <w:p w14:paraId="0C6A56A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Any increase in equity that results from securitised assets in accordance with Article 32(1) CRR (negative amount)</w:t>
            </w:r>
          </w:p>
        </w:tc>
      </w:tr>
      <w:tr w:rsidR="00C85971" w:rsidRPr="007F4CC8" w14:paraId="04770087" w14:textId="77777777" w:rsidTr="00D819DE">
        <w:tc>
          <w:tcPr>
            <w:tcW w:w="1172" w:type="dxa"/>
            <w:vAlign w:val="center"/>
          </w:tcPr>
          <w:p w14:paraId="7A814A94"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14</w:t>
            </w:r>
          </w:p>
        </w:tc>
        <w:tc>
          <w:tcPr>
            <w:tcW w:w="7242" w:type="dxa"/>
            <w:vAlign w:val="center"/>
          </w:tcPr>
          <w:p w14:paraId="4D17091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Gains or losses on liabilities valued at fair value resulting from changes in own credit standing</w:t>
            </w:r>
          </w:p>
          <w:p w14:paraId="07C3FAB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Gains or losses on liabilities valued at fair value resulting from changes in own credit standing in accordance with point (b) of Article 33(1) of CRR</w:t>
            </w:r>
          </w:p>
        </w:tc>
      </w:tr>
      <w:tr w:rsidR="00C85971" w:rsidRPr="007F4CC8" w14:paraId="68D64C29" w14:textId="77777777" w:rsidTr="00D819DE">
        <w:tc>
          <w:tcPr>
            <w:tcW w:w="1172" w:type="dxa"/>
            <w:vAlign w:val="center"/>
          </w:tcPr>
          <w:p w14:paraId="645BE2A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15</w:t>
            </w:r>
          </w:p>
        </w:tc>
        <w:tc>
          <w:tcPr>
            <w:tcW w:w="7242" w:type="dxa"/>
            <w:vAlign w:val="center"/>
          </w:tcPr>
          <w:p w14:paraId="34140A6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Defined-benefit pension fund assets (negative amount)</w:t>
            </w:r>
          </w:p>
          <w:p w14:paraId="7FE0A99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Defined-benefit pension fund assets in accordance with point (e) of Article 36(1) and Article 41 CRR (negative amount)</w:t>
            </w:r>
          </w:p>
        </w:tc>
      </w:tr>
      <w:tr w:rsidR="00C85971" w:rsidRPr="007F4CC8" w14:paraId="3681BE55" w14:textId="77777777" w:rsidTr="00D819DE">
        <w:tc>
          <w:tcPr>
            <w:tcW w:w="1172" w:type="dxa"/>
            <w:vAlign w:val="center"/>
          </w:tcPr>
          <w:p w14:paraId="0034A022"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16</w:t>
            </w:r>
          </w:p>
        </w:tc>
        <w:tc>
          <w:tcPr>
            <w:tcW w:w="7242" w:type="dxa"/>
            <w:vAlign w:val="center"/>
          </w:tcPr>
          <w:p w14:paraId="7DEFE6A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CET1 instruments (negative amount)</w:t>
            </w:r>
          </w:p>
          <w:p w14:paraId="77709E9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CET1 instruments as described in point (f) of Article 36 (1) and in Article 42 CRR (negative amount)</w:t>
            </w:r>
          </w:p>
        </w:tc>
      </w:tr>
      <w:tr w:rsidR="00C85971" w:rsidRPr="007F4CC8" w14:paraId="32F833B6" w14:textId="77777777" w:rsidTr="00D819DE">
        <w:tc>
          <w:tcPr>
            <w:tcW w:w="1172" w:type="dxa"/>
            <w:vAlign w:val="center"/>
          </w:tcPr>
          <w:p w14:paraId="2A6F9FD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17</w:t>
            </w:r>
          </w:p>
        </w:tc>
        <w:tc>
          <w:tcPr>
            <w:tcW w:w="7242" w:type="dxa"/>
            <w:vAlign w:val="center"/>
          </w:tcPr>
          <w:p w14:paraId="1754CB1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CET 1 instruments of financial sector entities where those entities have reciprocal cross holdings with the institution designed to inflate artificially the own funds of the institution (negative amount)</w:t>
            </w:r>
          </w:p>
          <w:p w14:paraId="2AFFD0C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CET1 instruments of financial sector entities where those entities have reciprocal cross holdings with the institution designed to inflate artificially the own funds of the institution as described in point (g) of Article 36(1) and in Article 44 CRR (negative amount)</w:t>
            </w:r>
          </w:p>
        </w:tc>
      </w:tr>
      <w:tr w:rsidR="00C85971" w:rsidRPr="007F4CC8" w14:paraId="6B072F45" w14:textId="77777777" w:rsidTr="00D819DE">
        <w:tc>
          <w:tcPr>
            <w:tcW w:w="1172" w:type="dxa"/>
            <w:vAlign w:val="center"/>
          </w:tcPr>
          <w:p w14:paraId="76E49E6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18</w:t>
            </w:r>
          </w:p>
        </w:tc>
        <w:tc>
          <w:tcPr>
            <w:tcW w:w="7242" w:type="dxa"/>
            <w:vAlign w:val="center"/>
          </w:tcPr>
          <w:p w14:paraId="3B9E256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Direct, indirect and synthetic holdings by the institution of the CET1 instruments of financial sector entities where the institution does not have </w:t>
            </w:r>
            <w:r w:rsidRPr="007F4CC8">
              <w:rPr>
                <w:rFonts w:ascii="Times New Roman" w:hAnsi="Times New Roman" w:cs="Times New Roman"/>
                <w:sz w:val="24"/>
                <w:lang w:eastAsia="ja-JP"/>
              </w:rPr>
              <w:lastRenderedPageBreak/>
              <w:t>a significant investment in those entities (amount above 10% threshold and net of eligible short positions) (negative amount)</w:t>
            </w:r>
          </w:p>
          <w:p w14:paraId="3D0E5CB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CET1 instruments of financial sector entities where the institution does not have a significant investment in those entities (amount above 10% threshold and net of eligible short positions) as described in point (h) of Article 36(1) and in Articles 43, 45, 46, 49(2) and (3) and 79 CRR (negative amount)</w:t>
            </w:r>
          </w:p>
        </w:tc>
      </w:tr>
      <w:tr w:rsidR="00C85971" w:rsidRPr="007F4CC8" w14:paraId="6302E329" w14:textId="77777777" w:rsidTr="00D819DE">
        <w:tc>
          <w:tcPr>
            <w:tcW w:w="1172" w:type="dxa"/>
            <w:vAlign w:val="center"/>
          </w:tcPr>
          <w:p w14:paraId="0DAD47A8"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19</w:t>
            </w:r>
          </w:p>
        </w:tc>
        <w:tc>
          <w:tcPr>
            <w:tcW w:w="7242" w:type="dxa"/>
            <w:vAlign w:val="center"/>
          </w:tcPr>
          <w:p w14:paraId="4BA2A69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the institution of the CET1 instruments of financial sector entities where the institution has a significant investment in those entities (amount above 10% threshold and net of eligible short positions) (negative amount)</w:t>
            </w:r>
          </w:p>
          <w:p w14:paraId="39DCB46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the institution of the CET1 instruments of financial sector entities where the institution has a significant investment in those entities (amount above 10% threshold and net of eligible short positions) as described in point (i) of Article 36(1), in Articles 43, 45, 47, in point (b) of Article 48(1), and in Article 49(1) to (3) CRR (negative amount)</w:t>
            </w:r>
          </w:p>
        </w:tc>
      </w:tr>
      <w:tr w:rsidR="00C85971" w:rsidRPr="007F4CC8" w14:paraId="42E6F488" w14:textId="77777777" w:rsidTr="00D819DE">
        <w:tc>
          <w:tcPr>
            <w:tcW w:w="1172" w:type="dxa"/>
            <w:vAlign w:val="center"/>
          </w:tcPr>
          <w:p w14:paraId="00D177C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20</w:t>
            </w:r>
          </w:p>
        </w:tc>
        <w:tc>
          <w:tcPr>
            <w:tcW w:w="7242" w:type="dxa"/>
            <w:vAlign w:val="center"/>
          </w:tcPr>
          <w:p w14:paraId="7EEC1B7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61B4CB13" w14:textId="77777777" w:rsidTr="00D819DE">
        <w:tc>
          <w:tcPr>
            <w:tcW w:w="1172" w:type="dxa"/>
            <w:vAlign w:val="center"/>
          </w:tcPr>
          <w:p w14:paraId="313FE94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EU-20a</w:t>
            </w:r>
          </w:p>
        </w:tc>
        <w:tc>
          <w:tcPr>
            <w:tcW w:w="7242" w:type="dxa"/>
            <w:vAlign w:val="center"/>
          </w:tcPr>
          <w:p w14:paraId="7BE5743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Exposure amount of the following items which qualify for a RW of 1250%, where the institution opts for the deduction alternative</w:t>
            </w:r>
          </w:p>
          <w:p w14:paraId="2CA8C5B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Exposure amount which qualifies for a RW of 1250%, where the institution opts for the deduction alternative, as described in point (k) of Article 36 (1) CRR</w:t>
            </w:r>
          </w:p>
        </w:tc>
      </w:tr>
      <w:tr w:rsidR="00C85971" w:rsidRPr="007F4CC8" w14:paraId="216A2996" w14:textId="77777777" w:rsidTr="00D819DE">
        <w:tc>
          <w:tcPr>
            <w:tcW w:w="1172" w:type="dxa"/>
            <w:vAlign w:val="center"/>
          </w:tcPr>
          <w:p w14:paraId="6FDF8572"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EU-20b</w:t>
            </w:r>
          </w:p>
        </w:tc>
        <w:tc>
          <w:tcPr>
            <w:tcW w:w="7242" w:type="dxa"/>
            <w:vAlign w:val="center"/>
          </w:tcPr>
          <w:p w14:paraId="6D0F55A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qualifying holdings outside the financial sector (negative amount)</w:t>
            </w:r>
          </w:p>
          <w:p w14:paraId="0056EA6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EU-20a, the amount relating to qualifying holdings outside the financial sector in accordance with point (k)(i) of Article 36(1) and with Articles 89 to 91 CRR (negative amount)</w:t>
            </w:r>
          </w:p>
        </w:tc>
      </w:tr>
      <w:tr w:rsidR="00C85971" w:rsidRPr="007F4CC8" w14:paraId="694F5B83" w14:textId="77777777" w:rsidTr="00D819DE">
        <w:tc>
          <w:tcPr>
            <w:tcW w:w="1172" w:type="dxa"/>
            <w:vAlign w:val="center"/>
          </w:tcPr>
          <w:p w14:paraId="00CA28A1"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EU-20c</w:t>
            </w:r>
          </w:p>
        </w:tc>
        <w:tc>
          <w:tcPr>
            <w:tcW w:w="7242" w:type="dxa"/>
            <w:vAlign w:val="center"/>
          </w:tcPr>
          <w:p w14:paraId="66854EC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securitisation positions (negative amount)</w:t>
            </w:r>
          </w:p>
          <w:p w14:paraId="232BFB2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EU-20a of this template, the amount relating to securitisation positions, in accordance with point (k)(ii) of Article 36(1), with point (b) of Article 243(1), with point (b) of Article 244(1) and with Article 258 CRR (negative amount)</w:t>
            </w:r>
          </w:p>
        </w:tc>
      </w:tr>
      <w:tr w:rsidR="00C85971" w:rsidRPr="007F4CC8" w14:paraId="7CC14FB6" w14:textId="77777777" w:rsidTr="00D819DE">
        <w:tc>
          <w:tcPr>
            <w:tcW w:w="1172" w:type="dxa"/>
            <w:vAlign w:val="center"/>
          </w:tcPr>
          <w:p w14:paraId="2476A7F4"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EU-20d</w:t>
            </w:r>
          </w:p>
        </w:tc>
        <w:tc>
          <w:tcPr>
            <w:tcW w:w="7242" w:type="dxa"/>
            <w:vAlign w:val="center"/>
          </w:tcPr>
          <w:p w14:paraId="7715FCA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free deliveries (negative amount)</w:t>
            </w:r>
          </w:p>
          <w:p w14:paraId="218B6C2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EU-20a of this template, the amount relating to free deliveries in accordance with point (k)(iii) of Article 36(1) and with Article 379(3) CRR (negative amount)</w:t>
            </w:r>
          </w:p>
        </w:tc>
      </w:tr>
      <w:tr w:rsidR="00C85971" w:rsidRPr="007F4CC8" w14:paraId="2AAF4949" w14:textId="77777777" w:rsidTr="00D819DE">
        <w:tc>
          <w:tcPr>
            <w:tcW w:w="1172" w:type="dxa"/>
            <w:vAlign w:val="center"/>
          </w:tcPr>
          <w:p w14:paraId="1F1BEBC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21</w:t>
            </w:r>
          </w:p>
        </w:tc>
        <w:tc>
          <w:tcPr>
            <w:tcW w:w="7242" w:type="dxa"/>
            <w:vAlign w:val="center"/>
          </w:tcPr>
          <w:p w14:paraId="0D30480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arising from temporary differences (amount above 10% threshold, net of related tax liability where the conditions in Article 38(3) CRR are met) (negative amount)</w:t>
            </w:r>
          </w:p>
          <w:p w14:paraId="1047B9C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arising from temporary differences (amount above 10% threshold, net of related tax liability where the conditions in Article 38(3) CRR are met) as described in point (c) of Article 36(1), in Article 38 and in point (a) of Article 48(1) CRR (negative amount)</w:t>
            </w:r>
          </w:p>
        </w:tc>
      </w:tr>
      <w:tr w:rsidR="00C85971" w:rsidRPr="007F4CC8" w14:paraId="38402C5C" w14:textId="77777777" w:rsidTr="00D819DE">
        <w:tc>
          <w:tcPr>
            <w:tcW w:w="1172" w:type="dxa"/>
            <w:vAlign w:val="center"/>
          </w:tcPr>
          <w:p w14:paraId="219B334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22</w:t>
            </w:r>
          </w:p>
        </w:tc>
        <w:tc>
          <w:tcPr>
            <w:tcW w:w="7242" w:type="dxa"/>
            <w:vAlign w:val="center"/>
          </w:tcPr>
          <w:p w14:paraId="5A0A5E9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exceeding the 17,65% threshold (negative amount)</w:t>
            </w:r>
          </w:p>
          <w:p w14:paraId="5ADBAB1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exceeding the 17.65% threshold in accordance with Article 48(1) CRR (negative amount)</w:t>
            </w:r>
          </w:p>
        </w:tc>
      </w:tr>
      <w:tr w:rsidR="00C85971" w:rsidRPr="007F4CC8" w14:paraId="7F34C5C9" w14:textId="77777777" w:rsidTr="00D819DE">
        <w:tc>
          <w:tcPr>
            <w:tcW w:w="1172" w:type="dxa"/>
            <w:vAlign w:val="center"/>
          </w:tcPr>
          <w:p w14:paraId="10F2A170"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23</w:t>
            </w:r>
          </w:p>
        </w:tc>
        <w:tc>
          <w:tcPr>
            <w:tcW w:w="7242" w:type="dxa"/>
            <w:vAlign w:val="center"/>
          </w:tcPr>
          <w:p w14:paraId="4727FB4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direct, indirect and synthetic holdings by the institution of the CET1 instruments of financial sector entities where the institution has a significant investment in those entities</w:t>
            </w:r>
          </w:p>
          <w:p w14:paraId="63DF0E4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row 22 of this template, the amount of direct, indirect and synthetic holdings by the institution of the CET1 instruments of financial sector entities where the institution has a significant investment in those entities as described in point (i) of Article 36(1) and in point (b) of Article 48(1) CRR</w:t>
            </w:r>
          </w:p>
        </w:tc>
      </w:tr>
      <w:tr w:rsidR="00C85971" w:rsidRPr="007F4CC8" w14:paraId="0813CA46" w14:textId="77777777" w:rsidTr="00D819DE">
        <w:tc>
          <w:tcPr>
            <w:tcW w:w="1172" w:type="dxa"/>
            <w:vAlign w:val="center"/>
          </w:tcPr>
          <w:p w14:paraId="2694AF1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24</w:t>
            </w:r>
          </w:p>
        </w:tc>
        <w:tc>
          <w:tcPr>
            <w:tcW w:w="7242" w:type="dxa"/>
            <w:vAlign w:val="center"/>
          </w:tcPr>
          <w:p w14:paraId="310E2E5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02EC4B80" w14:textId="77777777" w:rsidTr="00D819DE">
        <w:tc>
          <w:tcPr>
            <w:tcW w:w="1172" w:type="dxa"/>
            <w:vAlign w:val="center"/>
          </w:tcPr>
          <w:p w14:paraId="7A4381A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25</w:t>
            </w:r>
          </w:p>
        </w:tc>
        <w:tc>
          <w:tcPr>
            <w:tcW w:w="7242" w:type="dxa"/>
            <w:vAlign w:val="center"/>
          </w:tcPr>
          <w:p w14:paraId="0AD27DB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deferred tax assets arising from temporary differences</w:t>
            </w:r>
          </w:p>
          <w:p w14:paraId="482D0A2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row 22 of this template the amount of deferred tax assets arising from temporary differences as described in point (c) of Article 36(1) in Article 38 and in point (a) of Article 48(1) CRR</w:t>
            </w:r>
          </w:p>
        </w:tc>
      </w:tr>
      <w:tr w:rsidR="00C85971" w:rsidRPr="007F4CC8" w14:paraId="6B2DEE6B" w14:textId="77777777" w:rsidTr="00D819DE">
        <w:tc>
          <w:tcPr>
            <w:tcW w:w="1172" w:type="dxa"/>
            <w:vAlign w:val="center"/>
          </w:tcPr>
          <w:p w14:paraId="3E19173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EU-25a</w:t>
            </w:r>
          </w:p>
        </w:tc>
        <w:tc>
          <w:tcPr>
            <w:tcW w:w="7242" w:type="dxa"/>
            <w:vAlign w:val="center"/>
          </w:tcPr>
          <w:p w14:paraId="639D394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Losses for the current financial year (negative amount)</w:t>
            </w:r>
          </w:p>
          <w:p w14:paraId="21AC546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Losses for the financial year in accordance with point (a) of Article 36(1) CRR (negative amount)</w:t>
            </w:r>
          </w:p>
        </w:tc>
      </w:tr>
      <w:tr w:rsidR="00C85971" w:rsidRPr="007F4CC8" w14:paraId="6ED9742F" w14:textId="77777777" w:rsidTr="00D819DE">
        <w:tc>
          <w:tcPr>
            <w:tcW w:w="1172" w:type="dxa"/>
            <w:vAlign w:val="center"/>
          </w:tcPr>
          <w:p w14:paraId="5C206F4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EU-25b</w:t>
            </w:r>
          </w:p>
        </w:tc>
        <w:tc>
          <w:tcPr>
            <w:tcW w:w="7242" w:type="dxa"/>
            <w:vAlign w:val="center"/>
          </w:tcPr>
          <w:p w14:paraId="635948D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Foreseeable tax charges relating to CET1 items except where the institution suitably adjusts the amount of CET1 items insofar as such tax charges reduce the amount up to which those items may be used to cover risks or losses (negative amount)</w:t>
            </w:r>
          </w:p>
          <w:p w14:paraId="734D12D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foreseeable tax charges relating to CET1 items foreseeable at the moment of their calculation, except where the institution suitably adjusts the amount of CET1 items insofar as such tax charges reduce the amount up to which those items may be applied to cover risks or losses, in accordance with point (l) of Article 36(1) CRR (negative amount)</w:t>
            </w:r>
          </w:p>
        </w:tc>
      </w:tr>
      <w:tr w:rsidR="00C85971" w:rsidRPr="007F4CC8" w14:paraId="374CCA46" w14:textId="77777777" w:rsidTr="00D819DE">
        <w:tc>
          <w:tcPr>
            <w:tcW w:w="1172" w:type="dxa"/>
            <w:vAlign w:val="center"/>
          </w:tcPr>
          <w:p w14:paraId="274B2F6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26</w:t>
            </w:r>
          </w:p>
        </w:tc>
        <w:tc>
          <w:tcPr>
            <w:tcW w:w="7242" w:type="dxa"/>
            <w:vAlign w:val="center"/>
          </w:tcPr>
          <w:p w14:paraId="0A67484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7B071964" w14:textId="77777777" w:rsidTr="00D819DE">
        <w:tc>
          <w:tcPr>
            <w:tcW w:w="1172" w:type="dxa"/>
            <w:vAlign w:val="center"/>
          </w:tcPr>
          <w:p w14:paraId="17F8AA4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27</w:t>
            </w:r>
          </w:p>
        </w:tc>
        <w:tc>
          <w:tcPr>
            <w:tcW w:w="7242" w:type="dxa"/>
            <w:vAlign w:val="center"/>
          </w:tcPr>
          <w:p w14:paraId="39A9779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AT1 deductions that exceed the AT1 items of the institution (negative amount)</w:t>
            </w:r>
          </w:p>
          <w:p w14:paraId="355E3AE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AT1 deductions that exceed the AT1 items of the institution as described in point (j) of Article 36(1) CRR (negative amount)</w:t>
            </w:r>
          </w:p>
        </w:tc>
      </w:tr>
      <w:tr w:rsidR="00C85971" w:rsidRPr="007F4CC8" w14:paraId="0C0AFC57" w14:textId="77777777" w:rsidTr="00D819DE">
        <w:tc>
          <w:tcPr>
            <w:tcW w:w="1172" w:type="dxa"/>
            <w:vAlign w:val="center"/>
          </w:tcPr>
          <w:p w14:paraId="5A66113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EU-27a</w:t>
            </w:r>
          </w:p>
        </w:tc>
        <w:tc>
          <w:tcPr>
            <w:tcW w:w="7242" w:type="dxa"/>
            <w:vAlign w:val="center"/>
          </w:tcPr>
          <w:p w14:paraId="18AFE0A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Other regulatory adjustments</w:t>
            </w:r>
          </w:p>
          <w:p w14:paraId="2E4AF0F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Institutions shall disclose in this row any regulatory adjustment applicable, reported as part of supervisory reporting and not included in any other row of this template, including the amount of IFRS 9 transitional arrangements, when relevant and until the end of the transitional period</w:t>
            </w:r>
          </w:p>
        </w:tc>
      </w:tr>
      <w:tr w:rsidR="00C85971" w:rsidRPr="007F4CC8" w14:paraId="1E8EA207" w14:textId="77777777" w:rsidTr="00D819DE">
        <w:tc>
          <w:tcPr>
            <w:tcW w:w="1172" w:type="dxa"/>
            <w:vAlign w:val="center"/>
          </w:tcPr>
          <w:p w14:paraId="1C7F497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28</w:t>
            </w:r>
          </w:p>
        </w:tc>
        <w:tc>
          <w:tcPr>
            <w:tcW w:w="7242" w:type="dxa"/>
            <w:vAlign w:val="center"/>
          </w:tcPr>
          <w:p w14:paraId="5A31DBA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regulatory adjustments to Common Equity Tier 1 CET1</w:t>
            </w:r>
          </w:p>
          <w:p w14:paraId="45C480D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 be calculated as the sum of amounts in rows 7 to EU-20a, 21, 22 and EU-25a to EU-27a of this template</w:t>
            </w:r>
          </w:p>
        </w:tc>
      </w:tr>
      <w:tr w:rsidR="00C85971" w:rsidRPr="007F4CC8" w14:paraId="56BD07BE" w14:textId="77777777" w:rsidTr="00D819DE">
        <w:tc>
          <w:tcPr>
            <w:tcW w:w="1172" w:type="dxa"/>
            <w:vAlign w:val="center"/>
          </w:tcPr>
          <w:p w14:paraId="60EAA0B0"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29</w:t>
            </w:r>
          </w:p>
        </w:tc>
        <w:tc>
          <w:tcPr>
            <w:tcW w:w="7242" w:type="dxa"/>
            <w:vAlign w:val="center"/>
          </w:tcPr>
          <w:p w14:paraId="242357F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Common Equity Tier 1 (CET1) capital</w:t>
            </w:r>
          </w:p>
          <w:p w14:paraId="7AF2FC11" w14:textId="77777777" w:rsidR="00C85971" w:rsidRPr="007F4CC8" w:rsidRDefault="00C85971" w:rsidP="00D819DE">
            <w:pPr>
              <w:spacing w:after="200"/>
              <w:jc w:val="both"/>
              <w:rPr>
                <w:rFonts w:ascii="Times New Roman" w:hAnsi="Times New Roman"/>
                <w:sz w:val="24"/>
              </w:rPr>
            </w:pPr>
            <w:r w:rsidRPr="007F4CC8">
              <w:rPr>
                <w:rFonts w:ascii="Times New Roman" w:hAnsi="Times New Roman" w:cs="Times New Roman"/>
                <w:sz w:val="24"/>
                <w:lang w:eastAsia="ja-JP"/>
              </w:rPr>
              <w:t xml:space="preserve">To be calculated as row 6 minus row 28 </w:t>
            </w:r>
            <w:r w:rsidRPr="007F4CC8">
              <w:rPr>
                <w:rFonts w:ascii="Times New Roman" w:hAnsi="Times New Roman" w:cs="Times New Roman"/>
                <w:sz w:val="24"/>
              </w:rPr>
              <w:t>of this template</w:t>
            </w:r>
          </w:p>
        </w:tc>
      </w:tr>
      <w:tr w:rsidR="00C85971" w:rsidRPr="007F4CC8" w14:paraId="1DF5C941" w14:textId="77777777" w:rsidTr="00D819DE">
        <w:tc>
          <w:tcPr>
            <w:tcW w:w="1172" w:type="dxa"/>
            <w:vAlign w:val="center"/>
          </w:tcPr>
          <w:p w14:paraId="2CDEEFB2"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30</w:t>
            </w:r>
          </w:p>
        </w:tc>
        <w:tc>
          <w:tcPr>
            <w:tcW w:w="7242" w:type="dxa"/>
            <w:vAlign w:val="center"/>
          </w:tcPr>
          <w:p w14:paraId="7F9E5A2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w:t>
            </w:r>
          </w:p>
          <w:p w14:paraId="78F65A5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 as per Articles 51 and 52 CRR</w:t>
            </w:r>
          </w:p>
        </w:tc>
      </w:tr>
      <w:tr w:rsidR="00C85971" w:rsidRPr="007F4CC8" w14:paraId="74B53E8B" w14:textId="77777777" w:rsidTr="00D819DE">
        <w:tc>
          <w:tcPr>
            <w:tcW w:w="1172" w:type="dxa"/>
            <w:vAlign w:val="center"/>
          </w:tcPr>
          <w:p w14:paraId="793674E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31</w:t>
            </w:r>
          </w:p>
        </w:tc>
        <w:tc>
          <w:tcPr>
            <w:tcW w:w="7242" w:type="dxa"/>
            <w:vAlign w:val="center"/>
          </w:tcPr>
          <w:p w14:paraId="392F241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classified as equity under applicable accounting standards</w:t>
            </w:r>
          </w:p>
          <w:p w14:paraId="6088A1D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The amount in row 30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classified as equity under applicable accounting standards</w:t>
            </w:r>
          </w:p>
        </w:tc>
      </w:tr>
      <w:tr w:rsidR="00C85971" w:rsidRPr="007F4CC8" w14:paraId="2271173B" w14:textId="77777777" w:rsidTr="00D819DE">
        <w:tc>
          <w:tcPr>
            <w:tcW w:w="1172" w:type="dxa"/>
            <w:vAlign w:val="center"/>
          </w:tcPr>
          <w:p w14:paraId="682D565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32</w:t>
            </w:r>
          </w:p>
        </w:tc>
        <w:tc>
          <w:tcPr>
            <w:tcW w:w="7242" w:type="dxa"/>
            <w:vAlign w:val="center"/>
          </w:tcPr>
          <w:p w14:paraId="2E569E4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classified as liabilities under applicable accounting standards</w:t>
            </w:r>
          </w:p>
          <w:p w14:paraId="4C02CCA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The amount in row 30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classified as liabilities under applicable accounting standards</w:t>
            </w:r>
          </w:p>
        </w:tc>
      </w:tr>
      <w:tr w:rsidR="00C85971" w:rsidRPr="007F4CC8" w14:paraId="62AD6DB4" w14:textId="77777777" w:rsidTr="00D819DE">
        <w:tc>
          <w:tcPr>
            <w:tcW w:w="1172" w:type="dxa"/>
            <w:vAlign w:val="center"/>
          </w:tcPr>
          <w:p w14:paraId="6794E4A2"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33</w:t>
            </w:r>
          </w:p>
        </w:tc>
        <w:tc>
          <w:tcPr>
            <w:tcW w:w="7242" w:type="dxa"/>
            <w:vAlign w:val="center"/>
          </w:tcPr>
          <w:p w14:paraId="56140F8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484 (4) CRR and the related share premium accounts subject to phase out from AT1</w:t>
            </w:r>
          </w:p>
          <w:p w14:paraId="5AA40DA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484(4) CRR and the related share premium accounts subject to phase out from AT1 in accordance with Article 486(3) CRR</w:t>
            </w:r>
          </w:p>
        </w:tc>
      </w:tr>
      <w:tr w:rsidR="00C85971" w:rsidRPr="007F4CC8" w14:paraId="35D70960" w14:textId="77777777" w:rsidTr="00D819DE">
        <w:tc>
          <w:tcPr>
            <w:tcW w:w="1172" w:type="dxa"/>
            <w:vAlign w:val="center"/>
          </w:tcPr>
          <w:p w14:paraId="325673A6"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EU-33a</w:t>
            </w:r>
          </w:p>
        </w:tc>
        <w:tc>
          <w:tcPr>
            <w:tcW w:w="7242" w:type="dxa"/>
            <w:vAlign w:val="center"/>
          </w:tcPr>
          <w:p w14:paraId="399F784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494a(1) CRR subject to phase out from AT1</w:t>
            </w:r>
          </w:p>
        </w:tc>
      </w:tr>
      <w:tr w:rsidR="00C85971" w:rsidRPr="007F4CC8" w14:paraId="797F5B5C" w14:textId="77777777" w:rsidTr="00D819DE">
        <w:tc>
          <w:tcPr>
            <w:tcW w:w="1172" w:type="dxa"/>
            <w:vAlign w:val="center"/>
          </w:tcPr>
          <w:p w14:paraId="158F74D4"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EU-33b</w:t>
            </w:r>
          </w:p>
        </w:tc>
        <w:tc>
          <w:tcPr>
            <w:tcW w:w="7242" w:type="dxa"/>
            <w:vAlign w:val="center"/>
          </w:tcPr>
          <w:p w14:paraId="3B81B16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494b(1) CRR subject to phase out from AT1</w:t>
            </w:r>
          </w:p>
        </w:tc>
      </w:tr>
      <w:tr w:rsidR="00C85971" w:rsidRPr="007F4CC8" w14:paraId="665D488C" w14:textId="77777777" w:rsidTr="00D819DE">
        <w:tc>
          <w:tcPr>
            <w:tcW w:w="1172" w:type="dxa"/>
            <w:vAlign w:val="center"/>
          </w:tcPr>
          <w:p w14:paraId="25E0D94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34</w:t>
            </w:r>
          </w:p>
        </w:tc>
        <w:tc>
          <w:tcPr>
            <w:tcW w:w="7242" w:type="dxa"/>
            <w:vAlign w:val="center"/>
          </w:tcPr>
          <w:p w14:paraId="3DFD22A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Tier 1 capital included in consolidated AT1 capital (including minority interests not included in row 5) issued by subsidiaries and held by third parties</w:t>
            </w:r>
          </w:p>
          <w:p w14:paraId="33267B8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Qualifying T1 capital included in consolidated AT1 capital (including minority interests not included in row 5 </w:t>
            </w:r>
            <w:r w:rsidRPr="007F4CC8">
              <w:rPr>
                <w:rFonts w:ascii="Times New Roman" w:hAnsi="Times New Roman" w:cs="Times New Roman"/>
                <w:sz w:val="24"/>
              </w:rPr>
              <w:t>of this template</w:t>
            </w:r>
            <w:r w:rsidRPr="007F4CC8">
              <w:rPr>
                <w:rFonts w:ascii="Times New Roman" w:hAnsi="Times New Roman" w:cs="Times New Roman"/>
                <w:sz w:val="24"/>
                <w:lang w:eastAsia="ja-JP"/>
              </w:rPr>
              <w:t>) issued by subsidiaries and held by third parties as described in Articles 85 and 86 CRR</w:t>
            </w:r>
          </w:p>
        </w:tc>
      </w:tr>
      <w:tr w:rsidR="00C85971" w:rsidRPr="007F4CC8" w14:paraId="6BC866FC" w14:textId="77777777" w:rsidTr="00D819DE">
        <w:tc>
          <w:tcPr>
            <w:tcW w:w="1172" w:type="dxa"/>
            <w:vAlign w:val="center"/>
          </w:tcPr>
          <w:p w14:paraId="23B51BA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35</w:t>
            </w:r>
          </w:p>
        </w:tc>
        <w:tc>
          <w:tcPr>
            <w:tcW w:w="7242" w:type="dxa"/>
            <w:vAlign w:val="center"/>
          </w:tcPr>
          <w:p w14:paraId="75F25B4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instruments issued by subsidiaries subject to phase out</w:t>
            </w:r>
          </w:p>
          <w:p w14:paraId="6DA4F14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amount in row 34</w:t>
            </w:r>
            <w:r w:rsidRPr="007F4CC8">
              <w:rPr>
                <w:rFonts w:ascii="Times New Roman" w:hAnsi="Times New Roman" w:cs="Times New Roman"/>
                <w:sz w:val="24"/>
              </w:rPr>
              <w:t xml:space="preserve"> of this template</w:t>
            </w:r>
            <w:r w:rsidRPr="007F4CC8">
              <w:rPr>
                <w:rFonts w:ascii="Times New Roman" w:hAnsi="Times New Roman" w:cs="Times New Roman"/>
                <w:sz w:val="24"/>
                <w:lang w:eastAsia="ja-JP"/>
              </w:rPr>
              <w:t xml:space="preserve"> that relates to the instruments issued by subsidiaries subject to phase out as described in Article 486(3) CRR</w:t>
            </w:r>
          </w:p>
        </w:tc>
      </w:tr>
      <w:tr w:rsidR="00C85971" w:rsidRPr="007F4CC8" w14:paraId="3D629E2A" w14:textId="77777777" w:rsidTr="00D819DE">
        <w:tc>
          <w:tcPr>
            <w:tcW w:w="1172" w:type="dxa"/>
            <w:vAlign w:val="center"/>
          </w:tcPr>
          <w:p w14:paraId="0223D50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36</w:t>
            </w:r>
          </w:p>
        </w:tc>
        <w:tc>
          <w:tcPr>
            <w:tcW w:w="7242" w:type="dxa"/>
            <w:vAlign w:val="center"/>
          </w:tcPr>
          <w:p w14:paraId="33B0FEC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Additional Tier 1 (AT1) capital before regulatory adjustments</w:t>
            </w:r>
          </w:p>
          <w:p w14:paraId="282C0FB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sum of amounts in rows 30, 33, EU-33a, EU-33b and 34 of this template</w:t>
            </w:r>
          </w:p>
        </w:tc>
      </w:tr>
      <w:tr w:rsidR="00C85971" w:rsidRPr="007F4CC8" w14:paraId="09436136" w14:textId="77777777" w:rsidTr="00D819DE">
        <w:tc>
          <w:tcPr>
            <w:tcW w:w="1172" w:type="dxa"/>
            <w:vAlign w:val="center"/>
          </w:tcPr>
          <w:p w14:paraId="0B5A9930"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37</w:t>
            </w:r>
          </w:p>
        </w:tc>
        <w:tc>
          <w:tcPr>
            <w:tcW w:w="7242" w:type="dxa"/>
            <w:vAlign w:val="center"/>
          </w:tcPr>
          <w:p w14:paraId="2DB3777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AT1 instruments (negative amount)</w:t>
            </w:r>
          </w:p>
          <w:p w14:paraId="58F9FBF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AT1 instruments as described in point (b) of Article 52(1), in point (a) of Article 56 and in Article 57 CRR (negative amount)</w:t>
            </w:r>
          </w:p>
        </w:tc>
      </w:tr>
      <w:tr w:rsidR="00C85971" w:rsidRPr="007F4CC8" w14:paraId="66530AD0" w14:textId="77777777" w:rsidTr="00D819DE">
        <w:tc>
          <w:tcPr>
            <w:tcW w:w="1172" w:type="dxa"/>
            <w:vAlign w:val="center"/>
          </w:tcPr>
          <w:p w14:paraId="78F5167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38</w:t>
            </w:r>
          </w:p>
        </w:tc>
        <w:tc>
          <w:tcPr>
            <w:tcW w:w="7242" w:type="dxa"/>
            <w:vAlign w:val="center"/>
          </w:tcPr>
          <w:p w14:paraId="6D6C398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AT1 instruments of financial sector entities where those entities have reciprocal cross holdings with the institution designed to inflate artificially the own funds of the institution (negative amount)</w:t>
            </w:r>
          </w:p>
          <w:p w14:paraId="6BE90AD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AT1 instruments of financial sector entities where those entities have reciprocal cross holdings with the institution designed to inflate artificially the own funds of the institution as described in point (b) of Article 56 and in Article 58 CRR (negative amount)</w:t>
            </w:r>
          </w:p>
        </w:tc>
      </w:tr>
      <w:tr w:rsidR="00C85971" w:rsidRPr="007F4CC8" w14:paraId="2E049DFF" w14:textId="77777777" w:rsidTr="00D819DE">
        <w:tc>
          <w:tcPr>
            <w:tcW w:w="1172" w:type="dxa"/>
            <w:vAlign w:val="center"/>
          </w:tcPr>
          <w:p w14:paraId="1AD2CCD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39</w:t>
            </w:r>
          </w:p>
        </w:tc>
        <w:tc>
          <w:tcPr>
            <w:tcW w:w="7242" w:type="dxa"/>
            <w:vAlign w:val="center"/>
          </w:tcPr>
          <w:p w14:paraId="240A2B6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AT1 instruments of financial sector entities where the institution does not have a significant investment in those entities (amount above 10% threshold and net of eligible short positions) (negative amount)</w:t>
            </w:r>
          </w:p>
          <w:p w14:paraId="3530D91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AT1 instruments of financial sector entities where the institution does not have a significant investment in those entities (amount above 10% threshold and net of eligible short positions) as described in point (c) of Article 56 and in Articles 59, 60 and 79 CRR (negative amount)</w:t>
            </w:r>
          </w:p>
        </w:tc>
      </w:tr>
      <w:tr w:rsidR="00C85971" w:rsidRPr="007F4CC8" w14:paraId="5BFE8669" w14:textId="77777777" w:rsidTr="00D819DE">
        <w:tc>
          <w:tcPr>
            <w:tcW w:w="1172" w:type="dxa"/>
            <w:vAlign w:val="center"/>
          </w:tcPr>
          <w:p w14:paraId="022E0F4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40</w:t>
            </w:r>
          </w:p>
        </w:tc>
        <w:tc>
          <w:tcPr>
            <w:tcW w:w="7242" w:type="dxa"/>
            <w:vAlign w:val="center"/>
          </w:tcPr>
          <w:p w14:paraId="3C0D409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Direct, indirect and synthetic holdings by the institution of the AT1 instruments of financial sector entities where the institution has a </w:t>
            </w:r>
            <w:r w:rsidRPr="007F4CC8">
              <w:rPr>
                <w:rFonts w:ascii="Times New Roman" w:hAnsi="Times New Roman" w:cs="Times New Roman"/>
                <w:sz w:val="24"/>
                <w:lang w:eastAsia="ja-JP"/>
              </w:rPr>
              <w:lastRenderedPageBreak/>
              <w:t>significant investment in those entities (net of eligible short positions) (negative amount)</w:t>
            </w:r>
          </w:p>
          <w:p w14:paraId="63735E8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the institution of the AT1 instruments of financial sector entities where the institution has a significant investment in those entities (net of eligible short positions) as described in point (d) of Articles 56 and in Articles 59 and 79 CRR (negative amount)</w:t>
            </w:r>
          </w:p>
        </w:tc>
      </w:tr>
      <w:tr w:rsidR="00C85971" w:rsidRPr="007F4CC8" w14:paraId="5CE6BE67" w14:textId="77777777" w:rsidTr="00D819DE">
        <w:tc>
          <w:tcPr>
            <w:tcW w:w="1172" w:type="dxa"/>
            <w:vAlign w:val="center"/>
          </w:tcPr>
          <w:p w14:paraId="4E773F6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41</w:t>
            </w:r>
          </w:p>
        </w:tc>
        <w:tc>
          <w:tcPr>
            <w:tcW w:w="7242" w:type="dxa"/>
            <w:vAlign w:val="center"/>
          </w:tcPr>
          <w:p w14:paraId="4FC8941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0AAFA270" w14:textId="77777777" w:rsidTr="00D819DE">
        <w:tc>
          <w:tcPr>
            <w:tcW w:w="1172" w:type="dxa"/>
            <w:vAlign w:val="center"/>
          </w:tcPr>
          <w:p w14:paraId="1B235328"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42</w:t>
            </w:r>
          </w:p>
        </w:tc>
        <w:tc>
          <w:tcPr>
            <w:tcW w:w="7242" w:type="dxa"/>
            <w:vAlign w:val="center"/>
          </w:tcPr>
          <w:p w14:paraId="3539E1E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T2 deductions that exceed the T2 items of the institution (negative amount)</w:t>
            </w:r>
          </w:p>
          <w:p w14:paraId="089D040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T2 deductions that exceed the T2 items of the institution as described in point (e) of Article 56 CRR (negative amount)</w:t>
            </w:r>
          </w:p>
        </w:tc>
      </w:tr>
      <w:tr w:rsidR="00C85971" w:rsidRPr="007F4CC8" w14:paraId="6B7A2BD2" w14:textId="77777777" w:rsidTr="00D819DE">
        <w:tc>
          <w:tcPr>
            <w:tcW w:w="1172" w:type="dxa"/>
            <w:vAlign w:val="center"/>
          </w:tcPr>
          <w:p w14:paraId="0EF750C6"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Eu-42a</w:t>
            </w:r>
          </w:p>
        </w:tc>
        <w:tc>
          <w:tcPr>
            <w:tcW w:w="7242" w:type="dxa"/>
            <w:vAlign w:val="center"/>
          </w:tcPr>
          <w:p w14:paraId="40E2643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Other regulatory adjustments to AT1 capital</w:t>
            </w:r>
          </w:p>
          <w:p w14:paraId="482C6DB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Institutions shall disclose in this row any regulatory adjustment applicable, reported as part of supervisory reporting and not included in any other row of this template</w:t>
            </w:r>
          </w:p>
        </w:tc>
      </w:tr>
      <w:tr w:rsidR="00C85971" w:rsidRPr="007F4CC8" w14:paraId="08AEFC48" w14:textId="77777777" w:rsidTr="00D819DE">
        <w:tc>
          <w:tcPr>
            <w:tcW w:w="1172" w:type="dxa"/>
            <w:vAlign w:val="center"/>
          </w:tcPr>
          <w:p w14:paraId="48EFFA6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43</w:t>
            </w:r>
          </w:p>
        </w:tc>
        <w:tc>
          <w:tcPr>
            <w:tcW w:w="7242" w:type="dxa"/>
            <w:vAlign w:val="center"/>
          </w:tcPr>
          <w:p w14:paraId="3966C0B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regulatory adjustments to Additional Tier 1 (AT1) capital</w:t>
            </w:r>
          </w:p>
          <w:p w14:paraId="35FB671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sum of amounts in rows 37 to EU-42a of this template</w:t>
            </w:r>
          </w:p>
        </w:tc>
      </w:tr>
      <w:tr w:rsidR="00C85971" w:rsidRPr="007F4CC8" w14:paraId="1134A6E3" w14:textId="77777777" w:rsidTr="00D819DE">
        <w:tc>
          <w:tcPr>
            <w:tcW w:w="1172" w:type="dxa"/>
            <w:vAlign w:val="center"/>
          </w:tcPr>
          <w:p w14:paraId="3C11139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44</w:t>
            </w:r>
          </w:p>
        </w:tc>
        <w:tc>
          <w:tcPr>
            <w:tcW w:w="7242" w:type="dxa"/>
            <w:vAlign w:val="center"/>
          </w:tcPr>
          <w:p w14:paraId="7629AC5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Additional Tier 1 (AT1) capital</w:t>
            </w:r>
          </w:p>
          <w:p w14:paraId="37C4BA87" w14:textId="77777777" w:rsidR="00C85971" w:rsidRPr="007F4CC8" w:rsidRDefault="00C85971" w:rsidP="00D819DE">
            <w:pPr>
              <w:spacing w:after="200"/>
              <w:jc w:val="both"/>
              <w:rPr>
                <w:rFonts w:ascii="Times New Roman" w:hAnsi="Times New Roman"/>
                <w:sz w:val="24"/>
              </w:rPr>
            </w:pPr>
            <w:r w:rsidRPr="007F4CC8">
              <w:rPr>
                <w:rFonts w:ascii="Times New Roman" w:hAnsi="Times New Roman" w:cs="Times New Roman"/>
                <w:sz w:val="24"/>
                <w:lang w:eastAsia="ja-JP"/>
              </w:rPr>
              <w:t xml:space="preserve">Additional Tier 1 (AT1) capital, to be calculated as row 36 minus row 43 </w:t>
            </w:r>
            <w:r w:rsidRPr="007F4CC8">
              <w:rPr>
                <w:rFonts w:ascii="Times New Roman" w:hAnsi="Times New Roman" w:cs="Times New Roman"/>
                <w:sz w:val="24"/>
              </w:rPr>
              <w:t>of this template</w:t>
            </w:r>
          </w:p>
        </w:tc>
      </w:tr>
      <w:tr w:rsidR="00C85971" w:rsidRPr="007F4CC8" w14:paraId="58B57B34" w14:textId="77777777" w:rsidTr="00D819DE">
        <w:tc>
          <w:tcPr>
            <w:tcW w:w="1172" w:type="dxa"/>
            <w:vAlign w:val="center"/>
          </w:tcPr>
          <w:p w14:paraId="2BF2FDC6"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45</w:t>
            </w:r>
          </w:p>
        </w:tc>
        <w:tc>
          <w:tcPr>
            <w:tcW w:w="7242" w:type="dxa"/>
            <w:vAlign w:val="center"/>
          </w:tcPr>
          <w:p w14:paraId="23FE6E52" w14:textId="77777777" w:rsidR="00C85971" w:rsidRPr="00DD0C4D" w:rsidRDefault="00C85971" w:rsidP="00D819DE">
            <w:pPr>
              <w:spacing w:after="200"/>
              <w:jc w:val="both"/>
              <w:rPr>
                <w:rFonts w:ascii="Times New Roman" w:hAnsi="Times New Roman" w:cs="Times New Roman"/>
                <w:sz w:val="24"/>
                <w:lang w:val="fr-BE" w:eastAsia="ja-JP"/>
              </w:rPr>
            </w:pPr>
            <w:r w:rsidRPr="00DD0C4D">
              <w:rPr>
                <w:rFonts w:ascii="Times New Roman" w:hAnsi="Times New Roman" w:cs="Times New Roman"/>
                <w:sz w:val="24"/>
                <w:lang w:val="fr-BE" w:eastAsia="ja-JP"/>
              </w:rPr>
              <w:t>Tier 1 capital (T1 = CET1 + AT1)</w:t>
            </w:r>
          </w:p>
          <w:p w14:paraId="72DB0E03" w14:textId="77777777" w:rsidR="00C85971" w:rsidRPr="007F4CC8" w:rsidRDefault="00C85971" w:rsidP="00D819DE">
            <w:pPr>
              <w:spacing w:after="200"/>
              <w:jc w:val="both"/>
              <w:rPr>
                <w:rFonts w:ascii="Times New Roman" w:hAnsi="Times New Roman"/>
                <w:sz w:val="24"/>
              </w:rPr>
            </w:pPr>
            <w:r w:rsidRPr="007F4CC8">
              <w:rPr>
                <w:rFonts w:ascii="Times New Roman" w:hAnsi="Times New Roman" w:cs="Times New Roman"/>
                <w:sz w:val="24"/>
                <w:lang w:eastAsia="ja-JP"/>
              </w:rPr>
              <w:t xml:space="preserve">Tier 1 capital, to be calculated as row 29 plus row 44 </w:t>
            </w:r>
            <w:r w:rsidRPr="007F4CC8">
              <w:rPr>
                <w:rFonts w:ascii="Times New Roman" w:hAnsi="Times New Roman" w:cs="Times New Roman"/>
                <w:sz w:val="24"/>
              </w:rPr>
              <w:t>of this template</w:t>
            </w:r>
          </w:p>
        </w:tc>
      </w:tr>
      <w:tr w:rsidR="00C85971" w:rsidRPr="007F4CC8" w14:paraId="12D4B8D6" w14:textId="77777777" w:rsidTr="00D819DE">
        <w:tc>
          <w:tcPr>
            <w:tcW w:w="1172" w:type="dxa"/>
            <w:vAlign w:val="center"/>
          </w:tcPr>
          <w:p w14:paraId="45446C4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46</w:t>
            </w:r>
          </w:p>
        </w:tc>
        <w:tc>
          <w:tcPr>
            <w:tcW w:w="7242" w:type="dxa"/>
            <w:vAlign w:val="center"/>
          </w:tcPr>
          <w:p w14:paraId="6CFBD42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w:t>
            </w:r>
          </w:p>
          <w:p w14:paraId="140805D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Capital instruments and the related share premium accounts as described in Articles 62 and 63 CRR</w:t>
            </w:r>
          </w:p>
        </w:tc>
      </w:tr>
      <w:tr w:rsidR="00C85971" w:rsidRPr="007F4CC8" w14:paraId="2D90A860" w14:textId="77777777" w:rsidTr="00D819DE">
        <w:tc>
          <w:tcPr>
            <w:tcW w:w="1172" w:type="dxa"/>
            <w:vAlign w:val="center"/>
          </w:tcPr>
          <w:p w14:paraId="05C3B84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47</w:t>
            </w:r>
          </w:p>
        </w:tc>
        <w:tc>
          <w:tcPr>
            <w:tcW w:w="7242" w:type="dxa"/>
            <w:vAlign w:val="center"/>
          </w:tcPr>
          <w:p w14:paraId="4080F05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484(5) CRR and the related share premium accounts subject to phase out from T2 as described in Article 486(4) CRR</w:t>
            </w:r>
          </w:p>
        </w:tc>
      </w:tr>
      <w:tr w:rsidR="00C85971" w:rsidRPr="007F4CC8" w14:paraId="072DFB14" w14:textId="77777777" w:rsidTr="00D819DE">
        <w:tc>
          <w:tcPr>
            <w:tcW w:w="1172" w:type="dxa"/>
            <w:vAlign w:val="center"/>
          </w:tcPr>
          <w:p w14:paraId="219826E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EU-47a</w:t>
            </w:r>
          </w:p>
        </w:tc>
        <w:tc>
          <w:tcPr>
            <w:tcW w:w="7242" w:type="dxa"/>
            <w:vAlign w:val="center"/>
          </w:tcPr>
          <w:p w14:paraId="6518E59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494a(2) CRR subject to phase out from T2</w:t>
            </w:r>
          </w:p>
        </w:tc>
      </w:tr>
      <w:tr w:rsidR="00C85971" w:rsidRPr="007F4CC8" w14:paraId="662FF1A8" w14:textId="77777777" w:rsidTr="00D819DE">
        <w:tc>
          <w:tcPr>
            <w:tcW w:w="1172" w:type="dxa"/>
            <w:vAlign w:val="center"/>
          </w:tcPr>
          <w:p w14:paraId="0A05DA7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EU-47b</w:t>
            </w:r>
          </w:p>
        </w:tc>
        <w:tc>
          <w:tcPr>
            <w:tcW w:w="7242" w:type="dxa"/>
            <w:vAlign w:val="center"/>
          </w:tcPr>
          <w:p w14:paraId="1D9B343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of qualifying items referred to in Article 494b(2) CRR subject to phase out from T2</w:t>
            </w:r>
          </w:p>
        </w:tc>
      </w:tr>
      <w:tr w:rsidR="00C85971" w:rsidRPr="007F4CC8" w14:paraId="7AA9A4D1" w14:textId="77777777" w:rsidTr="00D819DE">
        <w:tc>
          <w:tcPr>
            <w:tcW w:w="1172" w:type="dxa"/>
            <w:vAlign w:val="center"/>
          </w:tcPr>
          <w:p w14:paraId="5856B0A4"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48</w:t>
            </w:r>
          </w:p>
        </w:tc>
        <w:tc>
          <w:tcPr>
            <w:tcW w:w="7242" w:type="dxa"/>
            <w:vAlign w:val="center"/>
          </w:tcPr>
          <w:p w14:paraId="10C3720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own funds instruments included in consolidated T2 capital (including minority interests and AT1 instruments not included in rows 5 or 34) issued by subsidiaries and held by third parties</w:t>
            </w:r>
          </w:p>
          <w:p w14:paraId="34FA1FF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Qualifying own funds instruments included in consolidated T2 capital (including minority interests and AT1 instruments not included in rows 5 or 34</w:t>
            </w:r>
            <w:r w:rsidRPr="007F4CC8">
              <w:rPr>
                <w:rFonts w:ascii="Times New Roman" w:hAnsi="Times New Roman" w:cs="Times New Roman"/>
                <w:sz w:val="24"/>
              </w:rPr>
              <w:t xml:space="preserve"> of this template</w:t>
            </w:r>
            <w:r w:rsidRPr="007F4CC8">
              <w:rPr>
                <w:rFonts w:ascii="Times New Roman" w:hAnsi="Times New Roman" w:cs="Times New Roman"/>
                <w:sz w:val="24"/>
                <w:lang w:eastAsia="ja-JP"/>
              </w:rPr>
              <w:t>) issued by subsidiaries and held by third parties as described in Articles 87 and 88 CRR</w:t>
            </w:r>
          </w:p>
        </w:tc>
      </w:tr>
      <w:tr w:rsidR="00C85971" w:rsidRPr="007F4CC8" w14:paraId="7CF5EC35" w14:textId="77777777" w:rsidTr="00D819DE">
        <w:tc>
          <w:tcPr>
            <w:tcW w:w="1172" w:type="dxa"/>
            <w:vAlign w:val="center"/>
          </w:tcPr>
          <w:p w14:paraId="5924CE7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49</w:t>
            </w:r>
          </w:p>
        </w:tc>
        <w:tc>
          <w:tcPr>
            <w:tcW w:w="7242" w:type="dxa"/>
            <w:vAlign w:val="center"/>
          </w:tcPr>
          <w:p w14:paraId="7410FA9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instruments issued by subsidiaries subject to phase out</w:t>
            </w:r>
          </w:p>
          <w:p w14:paraId="4A6AC43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the amount in row 48, the amount relating to instruments issued by subsidiaries subject to phase out, as described in Article 486(4) CRR</w:t>
            </w:r>
          </w:p>
        </w:tc>
      </w:tr>
      <w:tr w:rsidR="00C85971" w:rsidRPr="007F4CC8" w14:paraId="2405178D" w14:textId="77777777" w:rsidTr="00D819DE">
        <w:tc>
          <w:tcPr>
            <w:tcW w:w="1172" w:type="dxa"/>
            <w:vAlign w:val="center"/>
          </w:tcPr>
          <w:p w14:paraId="0173ADF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50</w:t>
            </w:r>
          </w:p>
        </w:tc>
        <w:tc>
          <w:tcPr>
            <w:tcW w:w="7242" w:type="dxa"/>
            <w:vAlign w:val="center"/>
          </w:tcPr>
          <w:p w14:paraId="4DE6526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w:t>
            </w:r>
          </w:p>
          <w:p w14:paraId="17F4C3B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 in accordance with points (c) and (d) of Article 62 CRR</w:t>
            </w:r>
          </w:p>
        </w:tc>
      </w:tr>
      <w:tr w:rsidR="00C85971" w:rsidRPr="007F4CC8" w14:paraId="1C2C753C" w14:textId="77777777" w:rsidTr="00D819DE">
        <w:tc>
          <w:tcPr>
            <w:tcW w:w="1172" w:type="dxa"/>
            <w:vAlign w:val="center"/>
          </w:tcPr>
          <w:p w14:paraId="72654E6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51</w:t>
            </w:r>
          </w:p>
        </w:tc>
        <w:tc>
          <w:tcPr>
            <w:tcW w:w="7242" w:type="dxa"/>
            <w:vAlign w:val="center"/>
          </w:tcPr>
          <w:p w14:paraId="337E42A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Tier 2 (T2) capital before regulatory adjustments</w:t>
            </w:r>
          </w:p>
          <w:p w14:paraId="0DD0BE98" w14:textId="77777777" w:rsidR="00C85971" w:rsidRPr="007F4CC8" w:rsidRDefault="00C85971" w:rsidP="00D819DE">
            <w:pPr>
              <w:spacing w:after="200"/>
              <w:jc w:val="both"/>
              <w:rPr>
                <w:rFonts w:ascii="Times New Roman" w:hAnsi="Times New Roman"/>
                <w:sz w:val="24"/>
              </w:rPr>
            </w:pPr>
            <w:r w:rsidRPr="007F4CC8">
              <w:rPr>
                <w:rFonts w:ascii="Times New Roman" w:hAnsi="Times New Roman" w:cs="Times New Roman"/>
                <w:sz w:val="24"/>
                <w:lang w:eastAsia="ja-JP"/>
              </w:rPr>
              <w:t xml:space="preserve">The sum of amounts in rows 46 to 48 and row 50 </w:t>
            </w:r>
            <w:r w:rsidRPr="007F4CC8">
              <w:rPr>
                <w:rFonts w:ascii="Times New Roman" w:hAnsi="Times New Roman" w:cs="Times New Roman"/>
                <w:sz w:val="24"/>
              </w:rPr>
              <w:t>of this template</w:t>
            </w:r>
          </w:p>
        </w:tc>
      </w:tr>
      <w:tr w:rsidR="00C85971" w:rsidRPr="007F4CC8" w14:paraId="31904690" w14:textId="77777777" w:rsidTr="00D819DE">
        <w:tc>
          <w:tcPr>
            <w:tcW w:w="1172" w:type="dxa"/>
            <w:vAlign w:val="center"/>
          </w:tcPr>
          <w:p w14:paraId="709A321F"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52</w:t>
            </w:r>
          </w:p>
        </w:tc>
        <w:tc>
          <w:tcPr>
            <w:tcW w:w="7242" w:type="dxa"/>
            <w:vAlign w:val="center"/>
          </w:tcPr>
          <w:p w14:paraId="6681B95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T2 instruments and subordinated loans (negative amount)</w:t>
            </w:r>
          </w:p>
          <w:p w14:paraId="19B0E00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an institution of own T2 instruments and subordinated loans as described in sub-point (i) of point (b) of Article 63 in point (a) of Article 66 and in Article 67 CRR (negative amount)</w:t>
            </w:r>
          </w:p>
        </w:tc>
      </w:tr>
      <w:tr w:rsidR="00C85971" w:rsidRPr="007F4CC8" w14:paraId="6EFA8D4D" w14:textId="77777777" w:rsidTr="00D819DE">
        <w:tc>
          <w:tcPr>
            <w:tcW w:w="1172" w:type="dxa"/>
            <w:vAlign w:val="center"/>
          </w:tcPr>
          <w:p w14:paraId="06EFD51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53</w:t>
            </w:r>
          </w:p>
        </w:tc>
        <w:tc>
          <w:tcPr>
            <w:tcW w:w="7242" w:type="dxa"/>
            <w:vAlign w:val="center"/>
          </w:tcPr>
          <w:p w14:paraId="39CF61F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T2 instruments and subordinated loans of financial sector entities where those entities have reciprocal cross holdings with the institution designed to inflate artificially the own funds of the institution (negative amount)</w:t>
            </w:r>
          </w:p>
          <w:p w14:paraId="63EF50C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T2 instruments and subordinated loans of financial sector entities where those entities have reciprocal cross holdings with the institution designed to inflate artificially the own funds of the institution as described in point (b) of Article 66 and in Article 68 CRR (negative amount)</w:t>
            </w:r>
          </w:p>
        </w:tc>
      </w:tr>
      <w:tr w:rsidR="00C85971" w:rsidRPr="007F4CC8" w14:paraId="219230BA" w14:textId="77777777" w:rsidTr="00D819DE">
        <w:tc>
          <w:tcPr>
            <w:tcW w:w="1172" w:type="dxa"/>
            <w:vAlign w:val="center"/>
          </w:tcPr>
          <w:p w14:paraId="1D0BA6D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54</w:t>
            </w:r>
          </w:p>
        </w:tc>
        <w:tc>
          <w:tcPr>
            <w:tcW w:w="7242" w:type="dxa"/>
            <w:vAlign w:val="center"/>
          </w:tcPr>
          <w:p w14:paraId="630CD7F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of the T2 instruments and subordinated loans of financial sector entities where the institution does not have a significant investment in those entities (amount above 10% threshold and net of eligible short positions) (negative amount)</w:t>
            </w:r>
          </w:p>
          <w:p w14:paraId="7EC6896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Direct, indirect and synthetic holdings of the T2 instruments and subordinated loans of financial sector entities where the institution does not have a significant investment in those entities (amount above 10% </w:t>
            </w:r>
            <w:r w:rsidRPr="007F4CC8">
              <w:rPr>
                <w:rFonts w:ascii="Times New Roman" w:hAnsi="Times New Roman" w:cs="Times New Roman"/>
                <w:sz w:val="24"/>
                <w:lang w:eastAsia="ja-JP"/>
              </w:rPr>
              <w:lastRenderedPageBreak/>
              <w:t>threshold and net of eligible short positions) as described in point (c) of Articles 66 and in Articles 69, 70 and 79 CRR (negative amount)</w:t>
            </w:r>
          </w:p>
        </w:tc>
      </w:tr>
      <w:tr w:rsidR="00C85971" w:rsidRPr="007F4CC8" w14:paraId="4CF79A0E" w14:textId="77777777" w:rsidTr="00D819DE">
        <w:tc>
          <w:tcPr>
            <w:tcW w:w="1172" w:type="dxa"/>
            <w:vAlign w:val="center"/>
          </w:tcPr>
          <w:p w14:paraId="0064103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54a</w:t>
            </w:r>
          </w:p>
        </w:tc>
        <w:tc>
          <w:tcPr>
            <w:tcW w:w="7242" w:type="dxa"/>
            <w:vAlign w:val="center"/>
          </w:tcPr>
          <w:p w14:paraId="19CF9E4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2F8BDCF5" w14:textId="77777777" w:rsidTr="00D819DE">
        <w:tc>
          <w:tcPr>
            <w:tcW w:w="1172" w:type="dxa"/>
            <w:vAlign w:val="center"/>
          </w:tcPr>
          <w:p w14:paraId="51DDDCE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55</w:t>
            </w:r>
          </w:p>
        </w:tc>
        <w:tc>
          <w:tcPr>
            <w:tcW w:w="7242" w:type="dxa"/>
            <w:vAlign w:val="center"/>
          </w:tcPr>
          <w:p w14:paraId="476FDFA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the institution of the T2 instruments and subordinated loans of financial sector entities where the institution has a significant investment in those entities (net of eligible short positions) (negative amount)</w:t>
            </w:r>
          </w:p>
          <w:p w14:paraId="29E41F2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indirect and synthetic holdings by the institution of the T2 instruments and subordinated loans of financial sector entities where the institution has a significant investment in those entities (net of eligible short positions) in accordance with point (d) of Article 66 and Articles 69 and 79 CRR (negative amount)</w:t>
            </w:r>
          </w:p>
        </w:tc>
      </w:tr>
      <w:tr w:rsidR="00C85971" w:rsidRPr="007F4CC8" w14:paraId="0148038E" w14:textId="77777777" w:rsidTr="00D819DE">
        <w:tc>
          <w:tcPr>
            <w:tcW w:w="1172" w:type="dxa"/>
            <w:vAlign w:val="center"/>
          </w:tcPr>
          <w:p w14:paraId="23A868E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56</w:t>
            </w:r>
          </w:p>
        </w:tc>
        <w:tc>
          <w:tcPr>
            <w:tcW w:w="7242" w:type="dxa"/>
            <w:vAlign w:val="center"/>
          </w:tcPr>
          <w:p w14:paraId="0ECD9E8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2716DC8B" w14:textId="77777777" w:rsidTr="00D819DE">
        <w:tc>
          <w:tcPr>
            <w:tcW w:w="1172" w:type="dxa"/>
            <w:vAlign w:val="center"/>
          </w:tcPr>
          <w:p w14:paraId="42BD15E2" w14:textId="77777777" w:rsidR="00C85971" w:rsidRPr="007F4CC8" w:rsidRDefault="00C85971" w:rsidP="00D819DE">
            <w:pPr>
              <w:spacing w:after="200"/>
              <w:rPr>
                <w:rFonts w:ascii="Times New Roman" w:hAnsi="Times New Roman" w:cs="Times New Roman"/>
                <w:color w:val="000000" w:themeColor="text1"/>
                <w:sz w:val="24"/>
                <w:lang w:eastAsia="ja-JP"/>
              </w:rPr>
            </w:pPr>
            <w:r w:rsidRPr="007F4CC8">
              <w:rPr>
                <w:rFonts w:ascii="Times New Roman" w:hAnsi="Times New Roman" w:cs="Times New Roman"/>
                <w:color w:val="000000" w:themeColor="text1"/>
                <w:sz w:val="24"/>
                <w:lang w:eastAsia="ja-JP"/>
              </w:rPr>
              <w:t>EU-56a</w:t>
            </w:r>
          </w:p>
        </w:tc>
        <w:tc>
          <w:tcPr>
            <w:tcW w:w="7242" w:type="dxa"/>
            <w:vAlign w:val="center"/>
          </w:tcPr>
          <w:p w14:paraId="6AFD5AE3" w14:textId="77777777" w:rsidR="00C85971" w:rsidRPr="007F4CC8" w:rsidRDefault="00C85971" w:rsidP="00D819DE">
            <w:pPr>
              <w:spacing w:after="200"/>
              <w:jc w:val="both"/>
              <w:rPr>
                <w:rFonts w:ascii="Times New Roman" w:hAnsi="Times New Roman" w:cs="Times New Roman"/>
                <w:color w:val="000000" w:themeColor="text1"/>
                <w:sz w:val="24"/>
                <w:lang w:eastAsia="ja-JP"/>
              </w:rPr>
            </w:pPr>
            <w:r w:rsidRPr="007F4CC8">
              <w:rPr>
                <w:rFonts w:ascii="Times New Roman" w:hAnsi="Times New Roman" w:cs="Times New Roman"/>
                <w:color w:val="000000" w:themeColor="text1"/>
                <w:sz w:val="24"/>
                <w:lang w:eastAsia="ja-JP"/>
              </w:rPr>
              <w:t>Qualifying eligible liabilities deductions that exceed the eligible liabilities items of the institution (negative amount)</w:t>
            </w:r>
          </w:p>
          <w:p w14:paraId="1494AF54" w14:textId="77777777" w:rsidR="00C85971" w:rsidRPr="007F4CC8" w:rsidRDefault="00C85971" w:rsidP="00D819DE">
            <w:pPr>
              <w:spacing w:after="200"/>
              <w:jc w:val="both"/>
              <w:rPr>
                <w:rFonts w:ascii="Times New Roman" w:hAnsi="Times New Roman" w:cs="Times New Roman"/>
                <w:color w:val="000000" w:themeColor="text1"/>
                <w:sz w:val="24"/>
                <w:lang w:eastAsia="ja-JP"/>
              </w:rPr>
            </w:pPr>
            <w:r w:rsidRPr="007F4CC8">
              <w:rPr>
                <w:rFonts w:ascii="Times New Roman" w:hAnsi="Times New Roman" w:cs="Times New Roman"/>
                <w:color w:val="000000" w:themeColor="text1"/>
                <w:sz w:val="24"/>
                <w:lang w:eastAsia="ja-JP"/>
              </w:rPr>
              <w:t>Qualifying eligible liabilities deductions that exceed the eligible liabilities items of the institution in accordance with</w:t>
            </w:r>
            <w:r w:rsidRPr="007F4CC8">
              <w:rPr>
                <w:rFonts w:ascii="Times New Roman" w:hAnsi="Times New Roman"/>
                <w:color w:val="000000" w:themeColor="text1"/>
                <w:sz w:val="24"/>
              </w:rPr>
              <w:t xml:space="preserve"> </w:t>
            </w:r>
            <w:r w:rsidRPr="007F4CC8">
              <w:rPr>
                <w:rFonts w:ascii="Times New Roman" w:hAnsi="Times New Roman" w:cs="Times New Roman"/>
                <w:sz w:val="24"/>
                <w:lang w:eastAsia="ja-JP"/>
              </w:rPr>
              <w:t xml:space="preserve">in point (e) of Article 66 CRR </w:t>
            </w:r>
            <w:r w:rsidRPr="007F4CC8">
              <w:rPr>
                <w:rFonts w:ascii="Times New Roman" w:hAnsi="Times New Roman" w:cs="Times New Roman"/>
                <w:color w:val="000000" w:themeColor="text1"/>
                <w:sz w:val="24"/>
                <w:lang w:eastAsia="ja-JP"/>
              </w:rPr>
              <w:t xml:space="preserve">(negative amount) </w:t>
            </w:r>
          </w:p>
        </w:tc>
      </w:tr>
      <w:tr w:rsidR="00C85971" w:rsidRPr="007F4CC8" w14:paraId="03E3DFDB" w14:textId="77777777" w:rsidTr="00D819DE">
        <w:tc>
          <w:tcPr>
            <w:tcW w:w="1172" w:type="dxa"/>
            <w:vAlign w:val="center"/>
          </w:tcPr>
          <w:p w14:paraId="33178EB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Eu-56b</w:t>
            </w:r>
          </w:p>
        </w:tc>
        <w:tc>
          <w:tcPr>
            <w:tcW w:w="7242" w:type="dxa"/>
            <w:vAlign w:val="center"/>
          </w:tcPr>
          <w:p w14:paraId="29CB1AF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Other regulatory adjustments to T2 capital</w:t>
            </w:r>
          </w:p>
          <w:p w14:paraId="6FD61B5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Institutions shall disclose in this row any regulatory adjustment applicable, reported as part of supervisory reporting and not included in any other row of this template.</w:t>
            </w:r>
          </w:p>
        </w:tc>
      </w:tr>
      <w:tr w:rsidR="00C85971" w:rsidRPr="007F4CC8" w14:paraId="554EFD95" w14:textId="77777777" w:rsidTr="00D819DE">
        <w:tc>
          <w:tcPr>
            <w:tcW w:w="1172" w:type="dxa"/>
            <w:vAlign w:val="center"/>
          </w:tcPr>
          <w:p w14:paraId="580F82C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57</w:t>
            </w:r>
          </w:p>
        </w:tc>
        <w:tc>
          <w:tcPr>
            <w:tcW w:w="7242" w:type="dxa"/>
            <w:vAlign w:val="center"/>
          </w:tcPr>
          <w:p w14:paraId="66195BF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regulatory adjustments to Tier 2 (T2) capital</w:t>
            </w:r>
          </w:p>
          <w:p w14:paraId="75EB0C9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sum of amounts in rows 52 to EU-56b of this template</w:t>
            </w:r>
          </w:p>
        </w:tc>
      </w:tr>
      <w:tr w:rsidR="00C85971" w:rsidRPr="007F4CC8" w14:paraId="540074EE" w14:textId="77777777" w:rsidTr="00D819DE">
        <w:tc>
          <w:tcPr>
            <w:tcW w:w="1172" w:type="dxa"/>
            <w:vAlign w:val="center"/>
          </w:tcPr>
          <w:p w14:paraId="5263195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58</w:t>
            </w:r>
          </w:p>
        </w:tc>
        <w:tc>
          <w:tcPr>
            <w:tcW w:w="7242" w:type="dxa"/>
            <w:vAlign w:val="center"/>
          </w:tcPr>
          <w:p w14:paraId="3ED0F5A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Tier 2 (T2) capital</w:t>
            </w:r>
          </w:p>
          <w:p w14:paraId="716BEA17" w14:textId="77777777" w:rsidR="00C85971" w:rsidRPr="007F4CC8" w:rsidRDefault="00C85971" w:rsidP="00D819DE">
            <w:pPr>
              <w:spacing w:after="200"/>
              <w:jc w:val="both"/>
              <w:rPr>
                <w:rFonts w:ascii="Times New Roman" w:hAnsi="Times New Roman"/>
                <w:sz w:val="24"/>
              </w:rPr>
            </w:pPr>
            <w:r w:rsidRPr="007F4CC8">
              <w:rPr>
                <w:rFonts w:ascii="Times New Roman" w:hAnsi="Times New Roman" w:cs="Times New Roman"/>
                <w:sz w:val="24"/>
                <w:lang w:eastAsia="ja-JP"/>
              </w:rPr>
              <w:t xml:space="preserve">Tier 2 (T2) capital to be calculated as row 51 minus row 57 </w:t>
            </w:r>
            <w:r w:rsidRPr="007F4CC8">
              <w:rPr>
                <w:rFonts w:ascii="Times New Roman" w:hAnsi="Times New Roman" w:cs="Times New Roman"/>
                <w:sz w:val="24"/>
              </w:rPr>
              <w:t>of this template</w:t>
            </w:r>
          </w:p>
        </w:tc>
      </w:tr>
      <w:tr w:rsidR="00C85971" w:rsidRPr="007F4CC8" w14:paraId="461D354A" w14:textId="77777777" w:rsidTr="00D819DE">
        <w:tc>
          <w:tcPr>
            <w:tcW w:w="1172" w:type="dxa"/>
            <w:vAlign w:val="center"/>
          </w:tcPr>
          <w:p w14:paraId="3092C2FA"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59</w:t>
            </w:r>
          </w:p>
        </w:tc>
        <w:tc>
          <w:tcPr>
            <w:tcW w:w="7242" w:type="dxa"/>
            <w:vAlign w:val="center"/>
          </w:tcPr>
          <w:p w14:paraId="094EB59C" w14:textId="77777777" w:rsidR="00C85971" w:rsidRPr="00DD0C4D" w:rsidRDefault="00C85971" w:rsidP="00D819DE">
            <w:pPr>
              <w:spacing w:after="200"/>
              <w:jc w:val="both"/>
              <w:rPr>
                <w:rFonts w:ascii="Times New Roman" w:hAnsi="Times New Roman" w:cs="Times New Roman"/>
                <w:sz w:val="24"/>
                <w:lang w:val="fr-BE" w:eastAsia="ja-JP"/>
              </w:rPr>
            </w:pPr>
            <w:r w:rsidRPr="00DD0C4D">
              <w:rPr>
                <w:rFonts w:ascii="Times New Roman" w:hAnsi="Times New Roman" w:cs="Times New Roman"/>
                <w:sz w:val="24"/>
                <w:lang w:val="fr-BE" w:eastAsia="ja-JP"/>
              </w:rPr>
              <w:t>Total capital (TC = T1 + T2)</w:t>
            </w:r>
          </w:p>
          <w:p w14:paraId="2B99CB6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Total capital to be calculated as row 45 plus row 58 </w:t>
            </w:r>
            <w:r w:rsidRPr="007F4CC8">
              <w:rPr>
                <w:rFonts w:ascii="Times New Roman" w:hAnsi="Times New Roman" w:cs="Times New Roman"/>
                <w:sz w:val="24"/>
              </w:rPr>
              <w:t>of this template</w:t>
            </w:r>
          </w:p>
        </w:tc>
      </w:tr>
      <w:tr w:rsidR="00C85971" w:rsidRPr="007F4CC8" w14:paraId="75343758" w14:textId="77777777" w:rsidTr="00D819DE">
        <w:tc>
          <w:tcPr>
            <w:tcW w:w="1172" w:type="dxa"/>
            <w:vAlign w:val="center"/>
          </w:tcPr>
          <w:p w14:paraId="69922FE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60</w:t>
            </w:r>
          </w:p>
        </w:tc>
        <w:tc>
          <w:tcPr>
            <w:tcW w:w="7242" w:type="dxa"/>
            <w:vAlign w:val="center"/>
          </w:tcPr>
          <w:p w14:paraId="28455AF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Risk exposure amount</w:t>
            </w:r>
          </w:p>
          <w:p w14:paraId="07C03EC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Risk exposure amount</w:t>
            </w:r>
            <w:r w:rsidRPr="007F4CC8" w:rsidDel="00A92FBB">
              <w:rPr>
                <w:rFonts w:ascii="Times New Roman" w:hAnsi="Times New Roman" w:cs="Times New Roman"/>
                <w:sz w:val="24"/>
                <w:lang w:eastAsia="ja-JP"/>
              </w:rPr>
              <w:t xml:space="preserve"> </w:t>
            </w:r>
            <w:r w:rsidRPr="007F4CC8">
              <w:rPr>
                <w:rFonts w:ascii="Times New Roman" w:hAnsi="Times New Roman" w:cs="Times New Roman"/>
                <w:sz w:val="24"/>
                <w:lang w:eastAsia="ja-JP"/>
              </w:rPr>
              <w:t>of the group</w:t>
            </w:r>
          </w:p>
        </w:tc>
      </w:tr>
      <w:tr w:rsidR="00C85971" w:rsidRPr="007F4CC8" w14:paraId="02976C44" w14:textId="77777777" w:rsidTr="00D819DE">
        <w:tc>
          <w:tcPr>
            <w:tcW w:w="1172" w:type="dxa"/>
            <w:vAlign w:val="center"/>
          </w:tcPr>
          <w:p w14:paraId="6F3C24E0"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61</w:t>
            </w:r>
          </w:p>
        </w:tc>
        <w:tc>
          <w:tcPr>
            <w:tcW w:w="7242" w:type="dxa"/>
            <w:vAlign w:val="center"/>
          </w:tcPr>
          <w:p w14:paraId="715F939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Common Equity Tier 1 capital</w:t>
            </w:r>
          </w:p>
          <w:p w14:paraId="7AAE0F8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lastRenderedPageBreak/>
              <w:t xml:space="preserve">Common Equity Tier 1 (as a percentage of total risk exposure amount) to be calculated as row 29 divided by row 60 (expressed as a percentage)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in accordance with point (a) of Article 92(2) CRR</w:t>
            </w:r>
          </w:p>
        </w:tc>
      </w:tr>
      <w:tr w:rsidR="00C85971" w:rsidRPr="007F4CC8" w14:paraId="5CE7D564" w14:textId="77777777" w:rsidTr="00D819DE">
        <w:tc>
          <w:tcPr>
            <w:tcW w:w="1172" w:type="dxa"/>
            <w:vAlign w:val="center"/>
          </w:tcPr>
          <w:p w14:paraId="062130A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62</w:t>
            </w:r>
          </w:p>
        </w:tc>
        <w:tc>
          <w:tcPr>
            <w:tcW w:w="7242" w:type="dxa"/>
            <w:vAlign w:val="center"/>
          </w:tcPr>
          <w:p w14:paraId="4254B9E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Tier 1 capital</w:t>
            </w:r>
          </w:p>
          <w:p w14:paraId="476DDDE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Tier 1 (as a percentage of total risk exposure amount) to be calculated as row 45 divided by row 60 (expressed as a percentage)</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in accordance with point (b) of Article 92(2) CRR</w:t>
            </w:r>
          </w:p>
        </w:tc>
      </w:tr>
      <w:tr w:rsidR="00C85971" w:rsidRPr="007F4CC8" w14:paraId="1127C16A" w14:textId="77777777" w:rsidTr="00D819DE">
        <w:tc>
          <w:tcPr>
            <w:tcW w:w="1172" w:type="dxa"/>
            <w:vAlign w:val="center"/>
          </w:tcPr>
          <w:p w14:paraId="44F246A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63</w:t>
            </w:r>
          </w:p>
        </w:tc>
        <w:tc>
          <w:tcPr>
            <w:tcW w:w="7242" w:type="dxa"/>
            <w:vAlign w:val="center"/>
          </w:tcPr>
          <w:p w14:paraId="1D8E438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capital</w:t>
            </w:r>
          </w:p>
          <w:p w14:paraId="75C13C0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Total capital (as a percentage of total risk exposure amount) to be calculated as row 59 divided by row 60 (expressed as a percentage)</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in accordance with point (c) of Article 92(2) CRR</w:t>
            </w:r>
          </w:p>
        </w:tc>
      </w:tr>
      <w:tr w:rsidR="00C85971" w:rsidRPr="007F4CC8" w14:paraId="425E6610" w14:textId="77777777" w:rsidTr="00D819DE">
        <w:tc>
          <w:tcPr>
            <w:tcW w:w="1172" w:type="dxa"/>
            <w:vAlign w:val="center"/>
          </w:tcPr>
          <w:p w14:paraId="3D33CB4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64</w:t>
            </w:r>
          </w:p>
        </w:tc>
        <w:tc>
          <w:tcPr>
            <w:tcW w:w="7242" w:type="dxa"/>
            <w:vAlign w:val="center"/>
          </w:tcPr>
          <w:p w14:paraId="0709955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Institution CET1 overall capital requirements </w:t>
            </w:r>
          </w:p>
          <w:p w14:paraId="15B2255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Institution CET1 overall capital requirements shall be calculated as CET1 requirement in accordance with point (a) of Article 92(1) CRR, plus additional CET1 requirement which the institutions are required to hold in accordance with point (a) of Article 104(1) of Directive (EU) 2013/36</w:t>
            </w:r>
            <w:r w:rsidRPr="007F4CC8">
              <w:rPr>
                <w:rStyle w:val="FootnoteReference"/>
                <w:rFonts w:cs="Times New Roman"/>
                <w:lang w:eastAsia="ja-JP"/>
              </w:rPr>
              <w:footnoteReference w:id="2"/>
            </w:r>
            <w:r w:rsidRPr="007F4CC8">
              <w:rPr>
                <w:rFonts w:ascii="Times New Roman" w:hAnsi="Times New Roman" w:cs="Times New Roman"/>
                <w:sz w:val="24"/>
                <w:lang w:eastAsia="ja-JP"/>
              </w:rPr>
              <w:t>(“CRD), plus combined buffer requirement in accordance with Article 128(6) CRD) expressed as a percentage of risk exposure amount.</w:t>
            </w:r>
          </w:p>
          <w:p w14:paraId="6E4E1C3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 be calculated as 4.5% plus the additional Pillar 2 requirements which the institutions are required to hold in accordance with point (a) of Article 104(1) CRD</w:t>
            </w:r>
            <w:r w:rsidRPr="007F4CC8" w:rsidDel="004C350B">
              <w:rPr>
                <w:rFonts w:ascii="Times New Roman" w:hAnsi="Times New Roman" w:cs="Times New Roman"/>
                <w:color w:val="FF0000"/>
                <w:sz w:val="24"/>
                <w:lang w:eastAsia="ja-JP"/>
              </w:rPr>
              <w:t xml:space="preserve"> </w:t>
            </w:r>
            <w:r w:rsidRPr="007F4CC8">
              <w:rPr>
                <w:rFonts w:ascii="Times New Roman" w:hAnsi="Times New Roman" w:cs="Times New Roman"/>
                <w:sz w:val="24"/>
                <w:lang w:eastAsia="ja-JP"/>
              </w:rPr>
              <w:t xml:space="preserve">plus the combined buffer requirement calculated in accordance with Articles 128, 129, 130, 131 and 133 CRD. </w:t>
            </w:r>
          </w:p>
          <w:p w14:paraId="459D65F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This row will show the CET1 ratio relevant for the assessment of constraints on distributions. </w:t>
            </w:r>
          </w:p>
        </w:tc>
      </w:tr>
      <w:tr w:rsidR="00C85971" w:rsidRPr="007F4CC8" w14:paraId="3545FB20" w14:textId="77777777" w:rsidTr="00D819DE">
        <w:tc>
          <w:tcPr>
            <w:tcW w:w="1172" w:type="dxa"/>
            <w:vAlign w:val="center"/>
          </w:tcPr>
          <w:p w14:paraId="3A7E54C5"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65</w:t>
            </w:r>
          </w:p>
        </w:tc>
        <w:tc>
          <w:tcPr>
            <w:tcW w:w="7242" w:type="dxa"/>
            <w:vAlign w:val="center"/>
          </w:tcPr>
          <w:p w14:paraId="1B86E50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capital conservation buffer requirement</w:t>
            </w:r>
          </w:p>
          <w:p w14:paraId="210E1B9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The amount in row 64 (expressed as a percentage of total risk exposure amount)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that relates to the capital conservation buffer requirement in accordance with Article 129 CRD</w:t>
            </w:r>
          </w:p>
        </w:tc>
      </w:tr>
      <w:tr w:rsidR="00C85971" w:rsidRPr="007F4CC8" w14:paraId="0D9440CE" w14:textId="77777777" w:rsidTr="00D819DE">
        <w:tc>
          <w:tcPr>
            <w:tcW w:w="1172" w:type="dxa"/>
            <w:vAlign w:val="center"/>
          </w:tcPr>
          <w:p w14:paraId="58BFD117"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66</w:t>
            </w:r>
          </w:p>
        </w:tc>
        <w:tc>
          <w:tcPr>
            <w:tcW w:w="7242" w:type="dxa"/>
            <w:vAlign w:val="center"/>
          </w:tcPr>
          <w:p w14:paraId="51C550B9"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countercyclical capital buffer requirement</w:t>
            </w:r>
          </w:p>
          <w:p w14:paraId="19B69C3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amount in row 64 (expressed as a percentage of total risk exposure amount)</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that relates to the countercyclical buffer requirement in accordance with Article 130 CRD </w:t>
            </w:r>
          </w:p>
        </w:tc>
      </w:tr>
      <w:tr w:rsidR="00C85971" w:rsidRPr="007F4CC8" w14:paraId="6CFBEEA0" w14:textId="77777777" w:rsidTr="00D819DE">
        <w:tc>
          <w:tcPr>
            <w:tcW w:w="1172" w:type="dxa"/>
            <w:vAlign w:val="center"/>
          </w:tcPr>
          <w:p w14:paraId="0B86C940"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67</w:t>
            </w:r>
          </w:p>
        </w:tc>
        <w:tc>
          <w:tcPr>
            <w:tcW w:w="7242" w:type="dxa"/>
            <w:vAlign w:val="center"/>
          </w:tcPr>
          <w:p w14:paraId="4CE3486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systemic risk buffer requirement</w:t>
            </w:r>
          </w:p>
          <w:p w14:paraId="465CB0E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lastRenderedPageBreak/>
              <w:t>The amount in row 64 (expressed as a percentage of total risk exposure amount)</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that relates to the systemic risk buffer requirement in accordance with Article 133 CRD</w:t>
            </w:r>
          </w:p>
        </w:tc>
      </w:tr>
      <w:tr w:rsidR="00C85971" w:rsidRPr="007F4CC8" w14:paraId="410A360E" w14:textId="77777777" w:rsidTr="00D819DE">
        <w:tc>
          <w:tcPr>
            <w:tcW w:w="1172" w:type="dxa"/>
            <w:vAlign w:val="center"/>
          </w:tcPr>
          <w:p w14:paraId="17FE665D"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EU-67a</w:t>
            </w:r>
          </w:p>
        </w:tc>
        <w:tc>
          <w:tcPr>
            <w:tcW w:w="7242" w:type="dxa"/>
            <w:vAlign w:val="center"/>
          </w:tcPr>
          <w:p w14:paraId="15A9C98A"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of which: Global Systemically Important Institution (G-SII) or Other Systemically Important Institution (O-SII) buffer requirement</w:t>
            </w:r>
          </w:p>
          <w:p w14:paraId="2DA57F1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amount in row 64 (expressed as a percentage of total risk exposure amount)</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that relates to the G-SII or O-SII buffer requirement in accordance with Article 131 CRD</w:t>
            </w:r>
          </w:p>
        </w:tc>
      </w:tr>
      <w:tr w:rsidR="00C85971" w:rsidRPr="007F4CC8" w14:paraId="6B7DF9D5" w14:textId="77777777" w:rsidTr="00D819DE">
        <w:tc>
          <w:tcPr>
            <w:tcW w:w="1172" w:type="dxa"/>
            <w:vAlign w:val="center"/>
          </w:tcPr>
          <w:p w14:paraId="3FC88B9B"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EU-67b</w:t>
            </w:r>
          </w:p>
        </w:tc>
        <w:tc>
          <w:tcPr>
            <w:tcW w:w="7242" w:type="dxa"/>
            <w:vAlign w:val="center"/>
          </w:tcPr>
          <w:p w14:paraId="0BA08EF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of which: additional own funds requirements to address the risks other than the risk of excessive leverage </w:t>
            </w:r>
          </w:p>
          <w:p w14:paraId="2998F1B8"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The amount in row 64 (expressed as a percentage of total risk exposure amount)</w:t>
            </w:r>
            <w:r w:rsidRPr="007F4CC8">
              <w:rPr>
                <w:rFonts w:ascii="Times New Roman" w:hAnsi="Times New Roman"/>
                <w:sz w:val="24"/>
              </w:rPr>
              <w:t xml:space="preserve"> </w:t>
            </w:r>
            <w:r w:rsidRPr="007F4CC8">
              <w:rPr>
                <w:rFonts w:ascii="Times New Roman" w:hAnsi="Times New Roman" w:cs="Times New Roman"/>
                <w:sz w:val="24"/>
              </w:rPr>
              <w:t>of this template</w:t>
            </w:r>
            <w:r w:rsidRPr="007F4CC8">
              <w:rPr>
                <w:rFonts w:ascii="Times New Roman" w:hAnsi="Times New Roman" w:cs="Times New Roman"/>
                <w:sz w:val="24"/>
                <w:lang w:eastAsia="ja-JP"/>
              </w:rPr>
              <w:t xml:space="preserve"> that relates to additional own funds requirements resulting from the supervisory review process, which have to be met by CET1 capital, as referred to in point (a) of Article 104(1) of Directive 2013/36/EU</w:t>
            </w:r>
          </w:p>
        </w:tc>
      </w:tr>
      <w:tr w:rsidR="00C85971" w:rsidRPr="007F4CC8" w14:paraId="14443E4F" w14:textId="77777777" w:rsidTr="00D819DE">
        <w:tc>
          <w:tcPr>
            <w:tcW w:w="1172" w:type="dxa"/>
            <w:vAlign w:val="center"/>
          </w:tcPr>
          <w:p w14:paraId="5AE63FF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68</w:t>
            </w:r>
          </w:p>
        </w:tc>
        <w:tc>
          <w:tcPr>
            <w:tcW w:w="7242" w:type="dxa"/>
            <w:vAlign w:val="center"/>
          </w:tcPr>
          <w:p w14:paraId="4E319E0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Common Equity Tier 1 (as a percentage of risk exposure amount) available after meeting the minimum capital requirements</w:t>
            </w:r>
          </w:p>
          <w:p w14:paraId="6089746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To be calculated as row 61 minus 4.5 (percentage points), minus EU-67b, minus Common Equity Tier 1 capital used by the institution to meet its Additional Tier 1 and Tier 2 capital requirements.</w:t>
            </w:r>
          </w:p>
        </w:tc>
      </w:tr>
      <w:tr w:rsidR="00C85971" w:rsidRPr="007F4CC8" w14:paraId="7FF2039B" w14:textId="77777777" w:rsidTr="00D819DE">
        <w:tc>
          <w:tcPr>
            <w:tcW w:w="1172" w:type="dxa"/>
            <w:vAlign w:val="center"/>
          </w:tcPr>
          <w:p w14:paraId="191725D5" w14:textId="77777777" w:rsidR="00C85971" w:rsidRPr="007F4CC8" w:rsidDel="007266C2"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69</w:t>
            </w:r>
          </w:p>
        </w:tc>
        <w:tc>
          <w:tcPr>
            <w:tcW w:w="7242" w:type="dxa"/>
            <w:vAlign w:val="center"/>
          </w:tcPr>
          <w:p w14:paraId="28131AA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2EA16280" w14:textId="77777777" w:rsidTr="00D819DE">
        <w:tc>
          <w:tcPr>
            <w:tcW w:w="1172" w:type="dxa"/>
            <w:vAlign w:val="center"/>
          </w:tcPr>
          <w:p w14:paraId="02813F15" w14:textId="77777777" w:rsidR="00C85971" w:rsidRPr="007F4CC8" w:rsidDel="007266C2"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70</w:t>
            </w:r>
          </w:p>
        </w:tc>
        <w:tc>
          <w:tcPr>
            <w:tcW w:w="7242" w:type="dxa"/>
            <w:vAlign w:val="center"/>
          </w:tcPr>
          <w:p w14:paraId="335DC027"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03C8281B" w14:textId="77777777" w:rsidTr="00D819DE">
        <w:tc>
          <w:tcPr>
            <w:tcW w:w="1172" w:type="dxa"/>
            <w:vAlign w:val="center"/>
          </w:tcPr>
          <w:p w14:paraId="004C9A2D" w14:textId="77777777" w:rsidR="00C85971" w:rsidRPr="007F4CC8" w:rsidDel="007266C2"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71</w:t>
            </w:r>
          </w:p>
        </w:tc>
        <w:tc>
          <w:tcPr>
            <w:tcW w:w="7242" w:type="dxa"/>
            <w:vAlign w:val="center"/>
          </w:tcPr>
          <w:p w14:paraId="15C3636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12FC8CC2" w14:textId="77777777" w:rsidTr="00D819DE">
        <w:tc>
          <w:tcPr>
            <w:tcW w:w="1172" w:type="dxa"/>
            <w:vAlign w:val="center"/>
          </w:tcPr>
          <w:p w14:paraId="30B74791"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72</w:t>
            </w:r>
          </w:p>
        </w:tc>
        <w:tc>
          <w:tcPr>
            <w:tcW w:w="7242" w:type="dxa"/>
            <w:vAlign w:val="center"/>
          </w:tcPr>
          <w:p w14:paraId="024154B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and indirect holdings of own funds and eligible liabilities of financial sector entities where the institution does not have a significant investment in those entities (amount below 10% threshold and net of eligible short positions)</w:t>
            </w:r>
          </w:p>
          <w:p w14:paraId="1F5B774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 xml:space="preserve">Direct and indirect holdings of the own funds and eligible liabilities of financial sector entities where the institution does not have a significant investment in those entities (amount below 10% threshold and net of eligible short positions) in accordance with point (h) of Article 36(1) and with Articles, 45, 46, point (c) of Article 56, 59, 60, point (c) of Article 66, 69, 70 and 72i CRR </w:t>
            </w:r>
          </w:p>
        </w:tc>
      </w:tr>
      <w:tr w:rsidR="00C85971" w:rsidRPr="007F4CC8" w14:paraId="3D93F4C7" w14:textId="77777777" w:rsidTr="00D819DE">
        <w:tc>
          <w:tcPr>
            <w:tcW w:w="1172" w:type="dxa"/>
            <w:vAlign w:val="center"/>
          </w:tcPr>
          <w:p w14:paraId="7DB0B967"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73</w:t>
            </w:r>
          </w:p>
        </w:tc>
        <w:tc>
          <w:tcPr>
            <w:tcW w:w="7242" w:type="dxa"/>
            <w:vAlign w:val="center"/>
          </w:tcPr>
          <w:p w14:paraId="7FC596D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Direct and indirect holdings by the institution of the CET1 instruments of financial sector entities where the institution has a significant investment in those entities (amount below 17.65% thresholds and net of eligible short positions)</w:t>
            </w:r>
          </w:p>
          <w:p w14:paraId="5A38514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lastRenderedPageBreak/>
              <w:t>Direct and indirect holdings by the institution of the CET1 instruments of financial sector entities where the institution has a significant investment in those entities (amount below 17.65% threshold and net of eligible short positions) in accordance with point (i) of Article 36(1), with Articles 43, 45, 47, with point (b) of Article 48(1) and with Article 49(1) to (3) CRR (the total amount of such investments that are not disclosed in row 19 and row 23</w:t>
            </w:r>
            <w:r w:rsidRPr="007F4CC8">
              <w:rPr>
                <w:rFonts w:ascii="Times New Roman" w:hAnsi="Times New Roman" w:cs="Times New Roman"/>
                <w:sz w:val="24"/>
              </w:rPr>
              <w:t xml:space="preserve"> of this template</w:t>
            </w:r>
            <w:r w:rsidRPr="007F4CC8">
              <w:rPr>
                <w:rFonts w:ascii="Times New Roman" w:hAnsi="Times New Roman" w:cs="Times New Roman"/>
                <w:sz w:val="24"/>
                <w:lang w:eastAsia="ja-JP"/>
              </w:rPr>
              <w:t>)</w:t>
            </w:r>
          </w:p>
        </w:tc>
      </w:tr>
      <w:tr w:rsidR="00C85971" w:rsidRPr="007F4CC8" w14:paraId="0FB93112" w14:textId="77777777" w:rsidTr="00D819DE">
        <w:tc>
          <w:tcPr>
            <w:tcW w:w="1172" w:type="dxa"/>
            <w:vAlign w:val="center"/>
          </w:tcPr>
          <w:p w14:paraId="70224F28"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74</w:t>
            </w:r>
          </w:p>
        </w:tc>
        <w:tc>
          <w:tcPr>
            <w:tcW w:w="7242" w:type="dxa"/>
            <w:vAlign w:val="center"/>
          </w:tcPr>
          <w:p w14:paraId="6F439BB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Not applicable</w:t>
            </w:r>
          </w:p>
        </w:tc>
      </w:tr>
      <w:tr w:rsidR="00C85971" w:rsidRPr="007F4CC8" w14:paraId="03D1E122" w14:textId="77777777" w:rsidTr="00D819DE">
        <w:tc>
          <w:tcPr>
            <w:tcW w:w="1172" w:type="dxa"/>
            <w:vAlign w:val="center"/>
          </w:tcPr>
          <w:p w14:paraId="4E9C299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75</w:t>
            </w:r>
          </w:p>
        </w:tc>
        <w:tc>
          <w:tcPr>
            <w:tcW w:w="7242" w:type="dxa"/>
            <w:vAlign w:val="center"/>
          </w:tcPr>
          <w:p w14:paraId="57F3C26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arising from temporary differences (amount below 17,65% threshold, net of related tax liability where the conditions in Article 38 (3) CRR are met)</w:t>
            </w:r>
          </w:p>
          <w:p w14:paraId="3D7670C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Deferred tax assets arising from temporary differences (amount below 17.65% threshold in accordance with point (b) of Article 48(2) CRR, net of related tax liability where the conditions in Article 38(3) CRR are met) in accordance with point (c) of Article 36(1), and with Articles 38 and 48 CRR (the total amount of such deferred tax assets that are not disclosed in row 21 and row 25</w:t>
            </w:r>
            <w:r w:rsidRPr="007F4CC8">
              <w:rPr>
                <w:rFonts w:ascii="Times New Roman" w:hAnsi="Times New Roman" w:cs="Times New Roman"/>
                <w:sz w:val="24"/>
              </w:rPr>
              <w:t xml:space="preserve"> of this template</w:t>
            </w:r>
            <w:r w:rsidRPr="007F4CC8">
              <w:rPr>
                <w:rFonts w:ascii="Times New Roman" w:hAnsi="Times New Roman" w:cs="Times New Roman"/>
                <w:sz w:val="24"/>
                <w:lang w:eastAsia="ja-JP"/>
              </w:rPr>
              <w:t>)</w:t>
            </w:r>
          </w:p>
        </w:tc>
      </w:tr>
      <w:tr w:rsidR="00C85971" w:rsidRPr="007F4CC8" w14:paraId="34C77C6D" w14:textId="77777777" w:rsidTr="00D819DE">
        <w:tc>
          <w:tcPr>
            <w:tcW w:w="1172" w:type="dxa"/>
            <w:vAlign w:val="center"/>
          </w:tcPr>
          <w:p w14:paraId="25B6907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76</w:t>
            </w:r>
          </w:p>
        </w:tc>
        <w:tc>
          <w:tcPr>
            <w:tcW w:w="7242" w:type="dxa"/>
            <w:vAlign w:val="center"/>
          </w:tcPr>
          <w:p w14:paraId="67D1317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 included in T2 in respect of exposures subject to standardised approach (prior to the application of the cap)</w:t>
            </w:r>
          </w:p>
          <w:p w14:paraId="5F64B02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 included in T2 in respect of exposures subject to standardised approach in accordance with point (c) of Article 62 CRR</w:t>
            </w:r>
          </w:p>
        </w:tc>
      </w:tr>
      <w:tr w:rsidR="00C85971" w:rsidRPr="007F4CC8" w14:paraId="0C61B8F5" w14:textId="77777777" w:rsidTr="00D819DE">
        <w:tc>
          <w:tcPr>
            <w:tcW w:w="1172" w:type="dxa"/>
            <w:vAlign w:val="center"/>
          </w:tcPr>
          <w:p w14:paraId="63FD1F6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77</w:t>
            </w:r>
          </w:p>
        </w:tc>
        <w:tc>
          <w:tcPr>
            <w:tcW w:w="7242" w:type="dxa"/>
            <w:vAlign w:val="center"/>
          </w:tcPr>
          <w:p w14:paraId="00AAF9B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 on inclusion of credit risk adjustments in T2 under standardised approach</w:t>
            </w:r>
          </w:p>
          <w:p w14:paraId="3A3B34B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 on inclusion of credit risk adjustments in T2 under standardised approach in accordance with point (c) of Article 62 CRR</w:t>
            </w:r>
          </w:p>
        </w:tc>
      </w:tr>
      <w:tr w:rsidR="00C85971" w:rsidRPr="007F4CC8" w14:paraId="2AC2EB61" w14:textId="77777777" w:rsidTr="00D819DE">
        <w:tc>
          <w:tcPr>
            <w:tcW w:w="1172" w:type="dxa"/>
            <w:vAlign w:val="center"/>
          </w:tcPr>
          <w:p w14:paraId="1C014C9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78</w:t>
            </w:r>
          </w:p>
        </w:tc>
        <w:tc>
          <w:tcPr>
            <w:tcW w:w="7242" w:type="dxa"/>
            <w:vAlign w:val="center"/>
          </w:tcPr>
          <w:p w14:paraId="78E448E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 included in T2 in respect of exposures subject to internal ratings-based approach (prior to the application of the cap)</w:t>
            </w:r>
          </w:p>
          <w:p w14:paraId="68CD65A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Credit risk adjustments included in T2 in respect of exposures subject to internal ratings-based approach in accordance with point (d) of Article 62 CRR</w:t>
            </w:r>
          </w:p>
        </w:tc>
      </w:tr>
      <w:tr w:rsidR="00C85971" w:rsidRPr="007F4CC8" w14:paraId="0F52C71E" w14:textId="77777777" w:rsidTr="00D819DE">
        <w:tc>
          <w:tcPr>
            <w:tcW w:w="1172" w:type="dxa"/>
            <w:vAlign w:val="center"/>
          </w:tcPr>
          <w:p w14:paraId="12CCA4EF"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79</w:t>
            </w:r>
          </w:p>
        </w:tc>
        <w:tc>
          <w:tcPr>
            <w:tcW w:w="7242" w:type="dxa"/>
            <w:vAlign w:val="center"/>
          </w:tcPr>
          <w:p w14:paraId="4FE01D3F"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 for inclusion of credit risk adjustments in T2 under internal ratings-based approach</w:t>
            </w:r>
          </w:p>
          <w:p w14:paraId="63CECB1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Cap for inclusion of credit risk adjustments in T2 under internal ratings-based approach in accordance with point (d) of Article 62 CRR</w:t>
            </w:r>
          </w:p>
        </w:tc>
      </w:tr>
      <w:tr w:rsidR="00C85971" w:rsidRPr="007F4CC8" w14:paraId="43D161D4" w14:textId="77777777" w:rsidTr="00D819DE">
        <w:tc>
          <w:tcPr>
            <w:tcW w:w="1172" w:type="dxa"/>
            <w:vAlign w:val="center"/>
          </w:tcPr>
          <w:p w14:paraId="75AD8A7C"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80</w:t>
            </w:r>
          </w:p>
        </w:tc>
        <w:tc>
          <w:tcPr>
            <w:tcW w:w="7242" w:type="dxa"/>
            <w:vAlign w:val="center"/>
          </w:tcPr>
          <w:p w14:paraId="1DA6A6EB"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CET1 instruments subject to phase out arrangements</w:t>
            </w:r>
          </w:p>
          <w:p w14:paraId="1D5E4031"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CET1 instruments subject to phase out arrangements in accordance with Article 484(3) and with Article 486(2) and (5) CRR</w:t>
            </w:r>
          </w:p>
        </w:tc>
      </w:tr>
      <w:tr w:rsidR="00C85971" w:rsidRPr="007F4CC8" w14:paraId="32F98EBB" w14:textId="77777777" w:rsidTr="00D819DE">
        <w:tc>
          <w:tcPr>
            <w:tcW w:w="1172" w:type="dxa"/>
            <w:vAlign w:val="center"/>
          </w:tcPr>
          <w:p w14:paraId="52A2ED89"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lastRenderedPageBreak/>
              <w:t>81</w:t>
            </w:r>
          </w:p>
        </w:tc>
        <w:tc>
          <w:tcPr>
            <w:tcW w:w="7242" w:type="dxa"/>
            <w:vAlign w:val="center"/>
          </w:tcPr>
          <w:p w14:paraId="4F7F93B5"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CET1 due to cap (excess over cap after redemptions and maturities)</w:t>
            </w:r>
          </w:p>
          <w:p w14:paraId="6C52790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CET1 due to cap (excess over cap after redemptions and maturities) in accordance with Article 484(3) and Article 486(2) and (5) CRR</w:t>
            </w:r>
          </w:p>
        </w:tc>
      </w:tr>
      <w:tr w:rsidR="00C85971" w:rsidRPr="007F4CC8" w14:paraId="1618353A" w14:textId="77777777" w:rsidTr="00D819DE">
        <w:tc>
          <w:tcPr>
            <w:tcW w:w="1172" w:type="dxa"/>
            <w:vAlign w:val="center"/>
          </w:tcPr>
          <w:p w14:paraId="2AE57493"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82</w:t>
            </w:r>
          </w:p>
        </w:tc>
        <w:tc>
          <w:tcPr>
            <w:tcW w:w="7242" w:type="dxa"/>
            <w:vAlign w:val="center"/>
          </w:tcPr>
          <w:p w14:paraId="3FB600AC"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AT1 instruments subject to phase out arrangements</w:t>
            </w:r>
          </w:p>
          <w:p w14:paraId="44449516"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AT1 instruments subject to phase out arrangements in accordance with Articles 484(4), 486(3) and (5) CRR</w:t>
            </w:r>
          </w:p>
        </w:tc>
      </w:tr>
      <w:tr w:rsidR="00C85971" w:rsidRPr="007F4CC8" w14:paraId="162021E2" w14:textId="77777777" w:rsidTr="00D819DE">
        <w:tc>
          <w:tcPr>
            <w:tcW w:w="1172" w:type="dxa"/>
            <w:vAlign w:val="center"/>
          </w:tcPr>
          <w:p w14:paraId="39BEA971"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83</w:t>
            </w:r>
          </w:p>
        </w:tc>
        <w:tc>
          <w:tcPr>
            <w:tcW w:w="7242" w:type="dxa"/>
            <w:vAlign w:val="center"/>
          </w:tcPr>
          <w:p w14:paraId="627736CE"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AT1 due to cap (excess over cap after redemptions and maturities)</w:t>
            </w:r>
          </w:p>
          <w:p w14:paraId="127E661D"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AT1 due to cap (excess over cap after redemptions and maturities) in accordance with Articles 484(4), 486(3) and (5) CRR</w:t>
            </w:r>
          </w:p>
        </w:tc>
      </w:tr>
      <w:tr w:rsidR="00C85971" w:rsidRPr="007F4CC8" w14:paraId="5CD915E4" w14:textId="77777777" w:rsidTr="00D819DE">
        <w:tc>
          <w:tcPr>
            <w:tcW w:w="1172" w:type="dxa"/>
            <w:vAlign w:val="center"/>
          </w:tcPr>
          <w:p w14:paraId="69C0892E"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84</w:t>
            </w:r>
          </w:p>
        </w:tc>
        <w:tc>
          <w:tcPr>
            <w:tcW w:w="7242" w:type="dxa"/>
            <w:vAlign w:val="center"/>
          </w:tcPr>
          <w:p w14:paraId="1A5B9EC0"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T2 instruments subject to phase out arrangements</w:t>
            </w:r>
          </w:p>
          <w:p w14:paraId="47E5FAF3"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Current cap on T2 instruments subject to phase out arrangements in accordance with Articles 484(5), 486(4) and (5) CRR</w:t>
            </w:r>
          </w:p>
        </w:tc>
      </w:tr>
      <w:tr w:rsidR="00C85971" w:rsidRPr="007F4CC8" w14:paraId="5452E915" w14:textId="77777777" w:rsidTr="00D819DE">
        <w:tc>
          <w:tcPr>
            <w:tcW w:w="1172" w:type="dxa"/>
            <w:vAlign w:val="center"/>
          </w:tcPr>
          <w:p w14:paraId="0F29AEF6" w14:textId="77777777" w:rsidR="00C85971" w:rsidRPr="007F4CC8" w:rsidRDefault="00C85971" w:rsidP="00D819DE">
            <w:pPr>
              <w:spacing w:after="200"/>
              <w:rPr>
                <w:rFonts w:ascii="Times New Roman" w:hAnsi="Times New Roman" w:cs="Times New Roman"/>
                <w:sz w:val="24"/>
                <w:lang w:eastAsia="ja-JP"/>
              </w:rPr>
            </w:pPr>
            <w:r w:rsidRPr="007F4CC8">
              <w:rPr>
                <w:rFonts w:ascii="Times New Roman" w:hAnsi="Times New Roman" w:cs="Times New Roman"/>
                <w:sz w:val="24"/>
                <w:lang w:eastAsia="ja-JP"/>
              </w:rPr>
              <w:t>85</w:t>
            </w:r>
          </w:p>
        </w:tc>
        <w:tc>
          <w:tcPr>
            <w:tcW w:w="7242" w:type="dxa"/>
            <w:vAlign w:val="center"/>
          </w:tcPr>
          <w:p w14:paraId="4D29D2C2"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T2 due to cap (excess over cap after redemptions and maturities)</w:t>
            </w:r>
          </w:p>
          <w:p w14:paraId="58872994" w14:textId="77777777" w:rsidR="00C85971" w:rsidRPr="007F4CC8" w:rsidRDefault="00C85971" w:rsidP="00D819DE">
            <w:pPr>
              <w:spacing w:after="200"/>
              <w:jc w:val="both"/>
              <w:rPr>
                <w:rFonts w:ascii="Times New Roman" w:hAnsi="Times New Roman" w:cs="Times New Roman"/>
                <w:sz w:val="24"/>
                <w:lang w:eastAsia="ja-JP"/>
              </w:rPr>
            </w:pPr>
            <w:r w:rsidRPr="007F4CC8">
              <w:rPr>
                <w:rFonts w:ascii="Times New Roman" w:hAnsi="Times New Roman" w:cs="Times New Roman"/>
                <w:sz w:val="24"/>
                <w:lang w:eastAsia="ja-JP"/>
              </w:rPr>
              <w:t>Amount excluded from T2 due to cap (excess over cap after redemptions and maturities) in accordance with Articles 484(5), 486(4) and (5) CRR</w:t>
            </w:r>
          </w:p>
        </w:tc>
      </w:tr>
    </w:tbl>
    <w:p w14:paraId="0BC4AE10" w14:textId="77777777" w:rsidR="00C85971" w:rsidRPr="007F4CC8" w:rsidRDefault="00C85971" w:rsidP="00C85971">
      <w:pPr>
        <w:jc w:val="both"/>
        <w:rPr>
          <w:rFonts w:ascii="Times New Roman" w:hAnsi="Times New Roman" w:cs="Times New Roman"/>
          <w:bCs/>
          <w:sz w:val="24"/>
        </w:rPr>
      </w:pPr>
    </w:p>
    <w:p w14:paraId="135650B7" w14:textId="77777777" w:rsidR="00C85971" w:rsidRPr="007F4CC8" w:rsidRDefault="00C85971" w:rsidP="00C85971">
      <w:pPr>
        <w:rPr>
          <w:rFonts w:ascii="Times New Roman" w:hAnsi="Times New Roman" w:cs="Times New Roman"/>
          <w:sz w:val="24"/>
        </w:rPr>
      </w:pPr>
    </w:p>
    <w:p w14:paraId="71633918" w14:textId="77777777" w:rsidR="00C85971" w:rsidRPr="007F4CC8" w:rsidRDefault="00C85971" w:rsidP="00C85971">
      <w:pPr>
        <w:rPr>
          <w:rFonts w:ascii="Times New Roman" w:hAnsi="Times New Roman" w:cs="Times New Roman"/>
          <w:sz w:val="24"/>
        </w:rPr>
      </w:pPr>
      <w:r w:rsidRPr="007F4CC8">
        <w:rPr>
          <w:rFonts w:ascii="Times New Roman" w:hAnsi="Times New Roman" w:cs="Times New Roman"/>
          <w:sz w:val="24"/>
        </w:rPr>
        <w:br w:type="page"/>
      </w:r>
    </w:p>
    <w:p w14:paraId="06924BE7" w14:textId="77777777" w:rsidR="00C85971" w:rsidRPr="007F4CC8" w:rsidRDefault="00C85971" w:rsidP="00C85971">
      <w:pPr>
        <w:rPr>
          <w:rFonts w:ascii="Times New Roman" w:hAnsi="Times New Roman" w:cs="Times New Roman"/>
          <w:b/>
          <w:bCs/>
          <w:sz w:val="24"/>
        </w:rPr>
      </w:pPr>
      <w:r>
        <w:rPr>
          <w:rFonts w:ascii="Times New Roman" w:hAnsi="Times New Roman" w:cs="Times New Roman"/>
          <w:b/>
          <w:bCs/>
          <w:sz w:val="24"/>
        </w:rPr>
        <w:lastRenderedPageBreak/>
        <w:t xml:space="preserve">Template EU </w:t>
      </w:r>
      <w:r w:rsidRPr="007F4CC8">
        <w:rPr>
          <w:rFonts w:ascii="Times New Roman" w:hAnsi="Times New Roman" w:cs="Times New Roman"/>
          <w:b/>
          <w:bCs/>
          <w:sz w:val="24"/>
        </w:rPr>
        <w:t>CC2 – Reconciliation of regulatory own funds to balance sheet in the audited financial statements</w:t>
      </w:r>
    </w:p>
    <w:p w14:paraId="35768BE6" w14:textId="77777777" w:rsidR="00C85971" w:rsidRPr="007F4CC8" w:rsidRDefault="00C85971" w:rsidP="00C85971">
      <w:pPr>
        <w:rPr>
          <w:rFonts w:ascii="Times New Roman" w:hAnsi="Times New Roman" w:cs="Times New Roman"/>
          <w:b/>
          <w:sz w:val="24"/>
        </w:rPr>
      </w:pPr>
    </w:p>
    <w:p w14:paraId="1FE1CC20"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Institutions shall </w:t>
      </w:r>
      <w:r w:rsidRPr="007F4CC8">
        <w:rPr>
          <w:rFonts w:ascii="Times New Roman" w:hAnsi="Times New Roman"/>
          <w:sz w:val="24"/>
        </w:rPr>
        <w:t xml:space="preserve">disclose the information referred to in </w:t>
      </w:r>
      <w:r w:rsidRPr="007F4CC8">
        <w:rPr>
          <w:rFonts w:ascii="Times New Roman" w:hAnsi="Times New Roman" w:cs="Times New Roman"/>
          <w:bCs/>
          <w:sz w:val="24"/>
        </w:rPr>
        <w:t xml:space="preserve">point (a) of Article 437 </w:t>
      </w:r>
      <w:r w:rsidRPr="007F4CC8">
        <w:rPr>
          <w:rFonts w:ascii="Times New Roman" w:hAnsi="Times New Roman" w:cs="Times New Roman"/>
          <w:color w:val="000000"/>
          <w:sz w:val="24"/>
        </w:rPr>
        <w:t>CRR</w:t>
      </w:r>
      <w:r w:rsidRPr="007F4CC8">
        <w:rPr>
          <w:rFonts w:ascii="Times New Roman" w:hAnsi="Times New Roman" w:cs="Times New Roman"/>
          <w:bCs/>
          <w:sz w:val="24"/>
        </w:rPr>
        <w:t xml:space="preserve"> by following the instructions provided in this Annex to complete </w:t>
      </w:r>
      <w:r>
        <w:rPr>
          <w:rFonts w:ascii="Times New Roman" w:hAnsi="Times New Roman" w:cs="Times New Roman"/>
          <w:bCs/>
          <w:sz w:val="24"/>
        </w:rPr>
        <w:t xml:space="preserve">template EU </w:t>
      </w:r>
      <w:r w:rsidRPr="007F4CC8">
        <w:rPr>
          <w:rFonts w:ascii="Times New Roman" w:hAnsi="Times New Roman" w:cs="Times New Roman"/>
          <w:bCs/>
          <w:sz w:val="24"/>
        </w:rPr>
        <w:t>CC2 which is presented in Annex VII to this Implementing Regulation.</w:t>
      </w:r>
    </w:p>
    <w:p w14:paraId="3460ABBC"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Institutions shall disclose the balance sheet included in their published financial statements. Financial statements shall be the audited financial statements for the year-end disclosures.</w:t>
      </w:r>
    </w:p>
    <w:p w14:paraId="7BA92967"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The rows of the template are flexible and shall be disclosed by institutions in line with their financial statements. Own funds items in the audited financial statements shall include all items that are components of or are deducted from regulatory own funds, including equity, liabilities such as debt, or other balance sheet lines that affect regulatory own funds such as intangible assets, goodwill, deferred tax assets. Institutions shall expand the own funds items of the balance sheet as necessary to ensure that all of the components included in the composition of own funds disclosure template (</w:t>
      </w:r>
      <w:r>
        <w:rPr>
          <w:rFonts w:ascii="Times New Roman" w:hAnsi="Times New Roman" w:cs="Times New Roman"/>
          <w:bCs/>
          <w:sz w:val="24"/>
        </w:rPr>
        <w:t xml:space="preserve">template EU </w:t>
      </w:r>
      <w:r w:rsidRPr="007F4CC8">
        <w:rPr>
          <w:rFonts w:ascii="Times New Roman" w:hAnsi="Times New Roman" w:cs="Times New Roman"/>
          <w:bCs/>
          <w:sz w:val="24"/>
        </w:rPr>
        <w:t xml:space="preserve">CC1) appear separately. Institutions shall only expand elements of the balance sheet up to the level of granularity that is necessary for deriving the components required by </w:t>
      </w:r>
      <w:r>
        <w:rPr>
          <w:rFonts w:ascii="Times New Roman" w:hAnsi="Times New Roman" w:cs="Times New Roman"/>
          <w:bCs/>
          <w:sz w:val="24"/>
        </w:rPr>
        <w:t xml:space="preserve">template EU </w:t>
      </w:r>
      <w:r w:rsidRPr="007F4CC8">
        <w:rPr>
          <w:rFonts w:ascii="Times New Roman" w:hAnsi="Times New Roman" w:cs="Times New Roman"/>
          <w:bCs/>
          <w:sz w:val="24"/>
        </w:rPr>
        <w:t>CC1. Disclosure shall be proportionate to the complexity of the institution's balance sheet.</w:t>
      </w:r>
    </w:p>
    <w:p w14:paraId="23A65A04"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The columns are fixed and shall be disclosed as follows:</w:t>
      </w:r>
    </w:p>
    <w:p w14:paraId="3FD82033" w14:textId="77777777" w:rsidR="00C85971" w:rsidRPr="007F4CC8" w:rsidRDefault="00C85971" w:rsidP="00C85971">
      <w:pPr>
        <w:pStyle w:val="numberedparagraph"/>
        <w:numPr>
          <w:ilvl w:val="1"/>
          <w:numId w:val="3"/>
        </w:numPr>
        <w:tabs>
          <w:tab w:val="clear" w:pos="-180"/>
        </w:tabs>
        <w:spacing w:line="240" w:lineRule="auto"/>
        <w:ind w:left="709"/>
        <w:rPr>
          <w:rFonts w:ascii="Times New Roman" w:hAnsi="Times New Roman" w:cs="Times New Roman"/>
          <w:sz w:val="24"/>
          <w:lang w:val="en-GB"/>
        </w:rPr>
      </w:pPr>
      <w:r w:rsidRPr="007F4CC8">
        <w:rPr>
          <w:rFonts w:ascii="Times New Roman" w:hAnsi="Times New Roman" w:cs="Times New Roman"/>
          <w:sz w:val="24"/>
          <w:lang w:val="en-GB"/>
        </w:rPr>
        <w:t>Column a: Institutions shall include the figures reported in the balance sheet included in their published financial statements in accordance with the accounting scope of consolidation.</w:t>
      </w:r>
    </w:p>
    <w:p w14:paraId="615808B6" w14:textId="77777777" w:rsidR="00C85971" w:rsidRPr="007F4CC8" w:rsidRDefault="00C85971" w:rsidP="00C85971">
      <w:pPr>
        <w:pStyle w:val="numberedparagraph"/>
        <w:numPr>
          <w:ilvl w:val="1"/>
          <w:numId w:val="3"/>
        </w:numPr>
        <w:tabs>
          <w:tab w:val="clear" w:pos="-180"/>
        </w:tabs>
        <w:spacing w:line="240" w:lineRule="auto"/>
        <w:ind w:left="709"/>
        <w:rPr>
          <w:rFonts w:ascii="Times New Roman" w:hAnsi="Times New Roman" w:cs="Times New Roman"/>
          <w:sz w:val="24"/>
          <w:lang w:val="en-GB"/>
        </w:rPr>
      </w:pPr>
      <w:r w:rsidRPr="007F4CC8">
        <w:rPr>
          <w:rFonts w:ascii="Times New Roman" w:hAnsi="Times New Roman" w:cs="Times New Roman"/>
          <w:sz w:val="24"/>
          <w:lang w:val="en-GB"/>
        </w:rPr>
        <w:t xml:space="preserve">Column b: Institutions shall disclose the figures corresponding to the </w:t>
      </w:r>
      <w:r>
        <w:rPr>
          <w:rFonts w:ascii="Times New Roman" w:hAnsi="Times New Roman" w:cs="Times New Roman"/>
          <w:sz w:val="24"/>
          <w:lang w:val="en-GB"/>
        </w:rPr>
        <w:t>scope of prudential consolidation</w:t>
      </w:r>
      <w:r w:rsidRPr="007F4CC8">
        <w:rPr>
          <w:rFonts w:ascii="Times New Roman" w:hAnsi="Times New Roman" w:cs="Times New Roman"/>
          <w:sz w:val="24"/>
          <w:lang w:val="en-GB"/>
        </w:rPr>
        <w:t>.</w:t>
      </w:r>
    </w:p>
    <w:p w14:paraId="09531333" w14:textId="77777777" w:rsidR="00C85971" w:rsidRPr="007F4CC8" w:rsidRDefault="00C85971" w:rsidP="00C85971">
      <w:pPr>
        <w:pStyle w:val="numberedparagraph"/>
        <w:numPr>
          <w:ilvl w:val="1"/>
          <w:numId w:val="3"/>
        </w:numPr>
        <w:tabs>
          <w:tab w:val="clear" w:pos="-180"/>
        </w:tabs>
        <w:spacing w:line="240" w:lineRule="auto"/>
        <w:ind w:left="709"/>
        <w:rPr>
          <w:rFonts w:ascii="Times New Roman" w:hAnsi="Times New Roman" w:cs="Times New Roman"/>
          <w:sz w:val="24"/>
          <w:lang w:val="en-GB"/>
        </w:rPr>
      </w:pPr>
      <w:r w:rsidRPr="007F4CC8">
        <w:rPr>
          <w:rFonts w:ascii="Times New Roman" w:hAnsi="Times New Roman" w:cs="Times New Roman"/>
          <w:sz w:val="24"/>
          <w:lang w:val="en-GB"/>
        </w:rPr>
        <w:t xml:space="preserve">Column c: Institutions shall include the cross-reference between the own find item in </w:t>
      </w:r>
      <w:r>
        <w:rPr>
          <w:rFonts w:ascii="Times New Roman" w:hAnsi="Times New Roman" w:cs="Times New Roman"/>
          <w:sz w:val="24"/>
          <w:lang w:val="en-GB"/>
        </w:rPr>
        <w:t xml:space="preserve">template EU </w:t>
      </w:r>
      <w:r w:rsidRPr="007F4CC8">
        <w:rPr>
          <w:rFonts w:ascii="Times New Roman" w:hAnsi="Times New Roman" w:cs="Times New Roman"/>
          <w:sz w:val="24"/>
          <w:lang w:val="en-GB"/>
        </w:rPr>
        <w:t xml:space="preserve">CC2 and the relevant items in the own funds disclosure </w:t>
      </w:r>
      <w:r>
        <w:rPr>
          <w:rFonts w:ascii="Times New Roman" w:hAnsi="Times New Roman" w:cs="Times New Roman"/>
          <w:sz w:val="24"/>
          <w:lang w:val="en-GB"/>
        </w:rPr>
        <w:t xml:space="preserve">template EU </w:t>
      </w:r>
      <w:r w:rsidRPr="007F4CC8">
        <w:rPr>
          <w:rFonts w:ascii="Times New Roman" w:hAnsi="Times New Roman" w:cs="Times New Roman"/>
          <w:sz w:val="24"/>
          <w:lang w:val="en-GB"/>
        </w:rPr>
        <w:t xml:space="preserve">CC1. The reference in column c of </w:t>
      </w:r>
      <w:r>
        <w:rPr>
          <w:rFonts w:ascii="Times New Roman" w:hAnsi="Times New Roman" w:cs="Times New Roman"/>
          <w:sz w:val="24"/>
          <w:lang w:val="en-GB"/>
        </w:rPr>
        <w:t xml:space="preserve">template EU </w:t>
      </w:r>
      <w:r w:rsidRPr="007F4CC8">
        <w:rPr>
          <w:rFonts w:ascii="Times New Roman" w:hAnsi="Times New Roman" w:cs="Times New Roman"/>
          <w:sz w:val="24"/>
          <w:lang w:val="en-GB"/>
        </w:rPr>
        <w:t xml:space="preserve">CC2 will be linked to the reference included in column b of </w:t>
      </w:r>
      <w:r>
        <w:rPr>
          <w:rFonts w:ascii="Times New Roman" w:hAnsi="Times New Roman" w:cs="Times New Roman"/>
          <w:sz w:val="24"/>
          <w:lang w:val="en-GB"/>
        </w:rPr>
        <w:t xml:space="preserve">template EU </w:t>
      </w:r>
      <w:r w:rsidRPr="007F4CC8">
        <w:rPr>
          <w:rFonts w:ascii="Times New Roman" w:hAnsi="Times New Roman" w:cs="Times New Roman"/>
          <w:sz w:val="24"/>
          <w:lang w:val="en-GB"/>
        </w:rPr>
        <w:t>CC1.</w:t>
      </w:r>
    </w:p>
    <w:p w14:paraId="53144047"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 In the following cases where institutions’ scope of accounting consolidation and its </w:t>
      </w:r>
      <w:r>
        <w:rPr>
          <w:rFonts w:ascii="Times New Roman" w:hAnsi="Times New Roman" w:cs="Times New Roman"/>
          <w:bCs/>
          <w:sz w:val="24"/>
        </w:rPr>
        <w:t>scope of prudential consolidation</w:t>
      </w:r>
      <w:r w:rsidRPr="007F4CC8">
        <w:rPr>
          <w:rFonts w:ascii="Times New Roman" w:hAnsi="Times New Roman" w:cs="Times New Roman"/>
          <w:bCs/>
          <w:sz w:val="24"/>
        </w:rPr>
        <w:t xml:space="preserve"> are exactly the same, column (a) and (b) </w:t>
      </w:r>
      <w:r w:rsidRPr="007F4CC8">
        <w:rPr>
          <w:rFonts w:ascii="Times New Roman" w:hAnsi="Times New Roman" w:cs="Times New Roman"/>
          <w:sz w:val="24"/>
        </w:rPr>
        <w:t>of this template</w:t>
      </w:r>
      <w:r w:rsidRPr="007F4CC8">
        <w:rPr>
          <w:rFonts w:ascii="Times New Roman" w:hAnsi="Times New Roman" w:cs="Times New Roman"/>
          <w:bCs/>
          <w:sz w:val="24"/>
        </w:rPr>
        <w:t xml:space="preserve"> shall be merged and this fact shall be clearly disclosed:</w:t>
      </w:r>
    </w:p>
    <w:p w14:paraId="4AF2B8D6" w14:textId="77777777" w:rsidR="00C85971" w:rsidRPr="007F4CC8" w:rsidRDefault="00C85971" w:rsidP="00C85971">
      <w:pPr>
        <w:pStyle w:val="numberedparagraph"/>
        <w:numPr>
          <w:ilvl w:val="1"/>
          <w:numId w:val="3"/>
        </w:numPr>
        <w:spacing w:line="240" w:lineRule="auto"/>
        <w:ind w:left="709"/>
        <w:rPr>
          <w:rFonts w:ascii="Times New Roman" w:hAnsi="Times New Roman" w:cs="Times New Roman"/>
          <w:bCs/>
          <w:sz w:val="24"/>
          <w:lang w:val="en-GB"/>
        </w:rPr>
      </w:pPr>
      <w:r w:rsidRPr="007F4CC8">
        <w:rPr>
          <w:rFonts w:ascii="Times New Roman" w:hAnsi="Times New Roman" w:cs="Times New Roman"/>
          <w:sz w:val="24"/>
          <w:lang w:val="en-GB"/>
        </w:rPr>
        <w:t>Where institutions comply with the obligations laid down in Part Eight CRR on a consolidated or sub-consolidated basis but the scope of consolidation and the method for consolidation used for the balance sheet in the financial statements are identical to the scope of consolidation and the method for consolidation defined pursuant to Chapter 2 of Title II of Part One CRR, and institutions clearly state the absence of differences between the respective scopes and methods for consolidation.</w:t>
      </w:r>
    </w:p>
    <w:p w14:paraId="5CA9C9CD" w14:textId="77777777" w:rsidR="00C85971" w:rsidRPr="007F4CC8" w:rsidRDefault="00C85971" w:rsidP="00C85971">
      <w:pPr>
        <w:ind w:left="426"/>
        <w:jc w:val="both"/>
        <w:rPr>
          <w:rFonts w:ascii="Times New Roman" w:hAnsi="Times New Roman" w:cs="Times New Roman"/>
          <w:bCs/>
          <w:sz w:val="24"/>
        </w:rPr>
      </w:pPr>
    </w:p>
    <w:p w14:paraId="78AF9210" w14:textId="77777777" w:rsidR="00C85971" w:rsidRPr="007F4CC8" w:rsidRDefault="00C85971" w:rsidP="00C85971">
      <w:pPr>
        <w:pStyle w:val="numberedparagraph"/>
        <w:numPr>
          <w:ilvl w:val="1"/>
          <w:numId w:val="3"/>
        </w:numPr>
        <w:spacing w:line="240" w:lineRule="auto"/>
        <w:ind w:left="709"/>
        <w:rPr>
          <w:rFonts w:ascii="Times New Roman" w:hAnsi="Times New Roman" w:cs="Times New Roman"/>
          <w:bCs/>
          <w:sz w:val="24"/>
          <w:lang w:val="en-GB"/>
        </w:rPr>
      </w:pPr>
      <w:r w:rsidRPr="007F4CC8">
        <w:rPr>
          <w:rFonts w:ascii="Times New Roman" w:hAnsi="Times New Roman" w:cs="Times New Roman"/>
          <w:sz w:val="24"/>
          <w:lang w:val="en-GB"/>
        </w:rPr>
        <w:lastRenderedPageBreak/>
        <w:t>Where institutions meet the obligations laid down in Part Eight CRR on an individual basis.</w:t>
      </w:r>
    </w:p>
    <w:p w14:paraId="028372CB" w14:textId="77777777" w:rsidR="00C85971" w:rsidRPr="007F4CC8" w:rsidRDefault="00C85971" w:rsidP="00C85971">
      <w:pPr>
        <w:pStyle w:val="ListParagraph"/>
        <w:rPr>
          <w:rFonts w:ascii="Times New Roman" w:hAnsi="Times New Roman"/>
          <w:bCs/>
          <w:sz w:val="24"/>
          <w:szCs w:val="24"/>
        </w:rPr>
      </w:pPr>
    </w:p>
    <w:p w14:paraId="07D77658" w14:textId="77777777" w:rsidR="00C85971" w:rsidRPr="007F4CC8" w:rsidRDefault="00C85971" w:rsidP="00C85971">
      <w:pPr>
        <w:rPr>
          <w:rFonts w:ascii="Times New Roman" w:hAnsi="Times New Roman" w:cs="Times New Roman"/>
          <w:b/>
          <w:bCs/>
          <w:sz w:val="24"/>
        </w:rPr>
      </w:pPr>
      <w:r>
        <w:rPr>
          <w:rFonts w:ascii="Times New Roman" w:hAnsi="Times New Roman" w:cs="Times New Roman"/>
          <w:b/>
          <w:bCs/>
          <w:sz w:val="24"/>
        </w:rPr>
        <w:t xml:space="preserve">Table EU </w:t>
      </w:r>
      <w:r w:rsidRPr="007F4CC8">
        <w:rPr>
          <w:rFonts w:ascii="Times New Roman" w:hAnsi="Times New Roman" w:cs="Times New Roman"/>
          <w:b/>
          <w:bCs/>
          <w:sz w:val="24"/>
        </w:rPr>
        <w:t>CCA – Main features of regulatory own funds instruments and eligible liabilities instruments.</w:t>
      </w:r>
    </w:p>
    <w:p w14:paraId="6FE3C1F8" w14:textId="77777777" w:rsidR="00C85971" w:rsidRPr="007F4CC8" w:rsidRDefault="00C85971" w:rsidP="00C85971">
      <w:pPr>
        <w:rPr>
          <w:rFonts w:ascii="Times New Roman" w:hAnsi="Times New Roman" w:cs="Times New Roman"/>
          <w:b/>
          <w:bCs/>
          <w:sz w:val="24"/>
        </w:rPr>
      </w:pPr>
    </w:p>
    <w:p w14:paraId="0F953A2D"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Institutions shall </w:t>
      </w:r>
      <w:r w:rsidRPr="007F4CC8">
        <w:rPr>
          <w:rFonts w:ascii="Times New Roman" w:hAnsi="Times New Roman"/>
          <w:sz w:val="24"/>
        </w:rPr>
        <w:t xml:space="preserve">disclose the information referred to in </w:t>
      </w:r>
      <w:r w:rsidRPr="007F4CC8">
        <w:rPr>
          <w:rFonts w:ascii="Times New Roman" w:hAnsi="Times New Roman" w:cs="Times New Roman"/>
          <w:bCs/>
          <w:sz w:val="24"/>
        </w:rPr>
        <w:t xml:space="preserve">points (b) and (c) of Article 437 </w:t>
      </w:r>
      <w:r w:rsidRPr="007F4CC8">
        <w:rPr>
          <w:rFonts w:ascii="Times New Roman" w:hAnsi="Times New Roman" w:cs="Times New Roman"/>
          <w:color w:val="000000"/>
          <w:sz w:val="24"/>
        </w:rPr>
        <w:t>CRR</w:t>
      </w:r>
      <w:r w:rsidRPr="007F4CC8">
        <w:rPr>
          <w:rFonts w:ascii="Times New Roman" w:hAnsi="Times New Roman" w:cs="Times New Roman"/>
          <w:bCs/>
          <w:sz w:val="24"/>
        </w:rPr>
        <w:t xml:space="preserve"> by following the instructions provided in this Annex to complete </w:t>
      </w:r>
      <w:r>
        <w:rPr>
          <w:rFonts w:ascii="Times New Roman" w:hAnsi="Times New Roman" w:cs="Times New Roman"/>
          <w:bCs/>
          <w:sz w:val="24"/>
        </w:rPr>
        <w:t xml:space="preserve">table EU </w:t>
      </w:r>
      <w:r w:rsidRPr="007F4CC8">
        <w:rPr>
          <w:rFonts w:ascii="Times New Roman" w:hAnsi="Times New Roman" w:cs="Times New Roman"/>
          <w:bCs/>
          <w:sz w:val="24"/>
        </w:rPr>
        <w:t>CCA which is presented in Annex VII to this Implementing Regulation.</w:t>
      </w:r>
    </w:p>
    <w:p w14:paraId="6AE59B0D"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 xml:space="preserve">Institutions shall complete </w:t>
      </w:r>
      <w:r>
        <w:rPr>
          <w:rFonts w:ascii="Times New Roman" w:hAnsi="Times New Roman" w:cs="Times New Roman"/>
          <w:bCs/>
          <w:sz w:val="24"/>
        </w:rPr>
        <w:t xml:space="preserve">table EU </w:t>
      </w:r>
      <w:r w:rsidRPr="007F4CC8">
        <w:rPr>
          <w:rFonts w:ascii="Times New Roman" w:hAnsi="Times New Roman" w:cs="Times New Roman"/>
          <w:bCs/>
          <w:sz w:val="24"/>
        </w:rPr>
        <w:t>CCA for the following categories: Common Equity Tier 1 instruments, Additional Tier 1 instruments, Tier 2 instruments and</w:t>
      </w:r>
      <w:r w:rsidRPr="007F4CC8">
        <w:rPr>
          <w:rFonts w:ascii="Times New Roman" w:hAnsi="Times New Roman"/>
          <w:bCs/>
          <w:sz w:val="24"/>
        </w:rPr>
        <w:t xml:space="preserve">, within the meaning of Article 72b CRR, </w:t>
      </w:r>
      <w:r w:rsidRPr="007F4CC8">
        <w:rPr>
          <w:rFonts w:ascii="Times New Roman" w:hAnsi="Times New Roman" w:cs="Times New Roman"/>
          <w:bCs/>
          <w:sz w:val="24"/>
        </w:rPr>
        <w:t>eligible liabilities instruments.</w:t>
      </w:r>
    </w:p>
    <w:p w14:paraId="057A1F3D"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The tables shall comprise separate columns with the features of each regulatory own fund instruments and eligible liabilities instruments. In cases where different instruments of a same category have identical features, institutions may complete only one column disclosing these identical features and identify the issuances to which the identical features refer. When disclosing the columns for these instruments, institutions shall group them under three sections (horizontally along the table) to indicate whether they are for meeting (i) only own funds (but not eligible liabilities) requirements; (ii) both own funds and eligible liabilities requirements; or (iii) only eligible liabilities (but not own funds) requirements.</w:t>
      </w:r>
      <w:r w:rsidRPr="007F4CC8">
        <w:rPr>
          <w:rFonts w:ascii="Times New Roman" w:hAnsi="Times New Roman" w:cs="Times New Roman"/>
          <w:bCs/>
          <w:sz w:val="24"/>
        </w:rPr>
        <w:tab/>
      </w:r>
    </w:p>
    <w:p w14:paraId="390D0EA6" w14:textId="77777777" w:rsidR="00C85971" w:rsidRPr="007F4CC8" w:rsidRDefault="00C85971" w:rsidP="00C85971">
      <w:pPr>
        <w:numPr>
          <w:ilvl w:val="0"/>
          <w:numId w:val="2"/>
        </w:numPr>
        <w:spacing w:before="120" w:after="120"/>
        <w:ind w:left="357" w:hanging="357"/>
        <w:jc w:val="both"/>
        <w:rPr>
          <w:rFonts w:ascii="Times New Roman" w:hAnsi="Times New Roman" w:cs="Times New Roman"/>
          <w:bCs/>
          <w:sz w:val="24"/>
        </w:rPr>
      </w:pPr>
      <w:r w:rsidRPr="007F4CC8">
        <w:rPr>
          <w:rFonts w:ascii="Times New Roman" w:hAnsi="Times New Roman" w:cs="Times New Roman"/>
          <w:bCs/>
          <w:sz w:val="24"/>
        </w:rPr>
        <w:t>In relation to eligible liabilities instruments that are not subordinated to excluded liabilities, institutions shall disclose only securities which are fungible, negotiable financial instruments, at the exclusion of loans and deposits.</w:t>
      </w:r>
    </w:p>
    <w:p w14:paraId="44F7C594" w14:textId="77777777" w:rsidR="00C85971" w:rsidRPr="007F4CC8" w:rsidRDefault="00C85971" w:rsidP="00C85971">
      <w:pPr>
        <w:rPr>
          <w:rFonts w:ascii="Times New Roman" w:hAnsi="Times New Roman" w:cs="Times New Roman"/>
          <w:sz w:val="24"/>
        </w:rPr>
      </w:pP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7661"/>
      </w:tblGrid>
      <w:tr w:rsidR="00C85971" w:rsidRPr="007F4CC8" w14:paraId="38E4F858" w14:textId="77777777" w:rsidTr="00D819DE">
        <w:trPr>
          <w:trHeight w:val="259"/>
        </w:trPr>
        <w:tc>
          <w:tcPr>
            <w:tcW w:w="8691" w:type="dxa"/>
            <w:gridSpan w:val="2"/>
            <w:shd w:val="clear" w:color="auto" w:fill="D9D9D9" w:themeFill="background1" w:themeFillShade="D9"/>
          </w:tcPr>
          <w:p w14:paraId="70639F58" w14:textId="77777777" w:rsidR="00C85971" w:rsidRPr="007F4CC8" w:rsidRDefault="00C85971" w:rsidP="00D819DE">
            <w:pPr>
              <w:rPr>
                <w:rFonts w:ascii="Times New Roman" w:eastAsia="Times New Roman" w:hAnsi="Times New Roman" w:cs="Times New Roman"/>
                <w:b/>
                <w:bCs/>
                <w:color w:val="000000"/>
                <w:sz w:val="24"/>
                <w:lang w:eastAsia="ja-JP"/>
              </w:rPr>
            </w:pPr>
            <w:r w:rsidRPr="007F4CC8">
              <w:rPr>
                <w:rFonts w:ascii="Times New Roman" w:eastAsia="Times New Roman" w:hAnsi="Times New Roman" w:cs="Times New Roman"/>
                <w:b/>
                <w:bCs/>
                <w:color w:val="000000"/>
                <w:sz w:val="24"/>
                <w:lang w:eastAsia="ja-JP"/>
              </w:rPr>
              <w:t>Instructions for completing the regulatory own funds and eligible liabilities instruments main features table</w:t>
            </w:r>
          </w:p>
        </w:tc>
      </w:tr>
      <w:tr w:rsidR="00C85971" w:rsidRPr="007F4CC8" w14:paraId="3175F974" w14:textId="77777777" w:rsidTr="00D819DE">
        <w:trPr>
          <w:trHeight w:val="259"/>
        </w:trPr>
        <w:tc>
          <w:tcPr>
            <w:tcW w:w="1030" w:type="dxa"/>
            <w:shd w:val="clear" w:color="auto" w:fill="D9D9D9" w:themeFill="background1" w:themeFillShade="D9"/>
            <w:vAlign w:val="center"/>
          </w:tcPr>
          <w:p w14:paraId="431807BC" w14:textId="77777777" w:rsidR="00C85971" w:rsidRPr="007F4CC8" w:rsidRDefault="00C85971" w:rsidP="00D819DE">
            <w:pPr>
              <w:rPr>
                <w:rFonts w:ascii="Times New Roman" w:eastAsia="Times New Roman" w:hAnsi="Times New Roman" w:cs="Times New Roman"/>
                <w:b/>
                <w:bCs/>
                <w:color w:val="000000"/>
                <w:sz w:val="24"/>
                <w:lang w:eastAsia="ja-JP"/>
              </w:rPr>
            </w:pPr>
            <w:r w:rsidRPr="007F4CC8">
              <w:rPr>
                <w:rFonts w:ascii="Times New Roman" w:eastAsia="Times New Roman" w:hAnsi="Times New Roman" w:cs="Times New Roman"/>
                <w:b/>
                <w:bCs/>
                <w:color w:val="000000"/>
                <w:sz w:val="24"/>
                <w:lang w:eastAsia="ja-JP"/>
              </w:rPr>
              <w:t>Row number</w:t>
            </w:r>
          </w:p>
        </w:tc>
        <w:tc>
          <w:tcPr>
            <w:tcW w:w="7661" w:type="dxa"/>
            <w:shd w:val="clear" w:color="auto" w:fill="D9D9D9" w:themeFill="background1" w:themeFillShade="D9"/>
            <w:noWrap/>
            <w:vAlign w:val="bottom"/>
          </w:tcPr>
          <w:p w14:paraId="0BED80E1" w14:textId="77777777" w:rsidR="00C85971" w:rsidRPr="007F4CC8" w:rsidRDefault="00C85971" w:rsidP="00D819DE">
            <w:pPr>
              <w:rPr>
                <w:rFonts w:ascii="Times New Roman" w:eastAsia="Times New Roman" w:hAnsi="Times New Roman" w:cs="Times New Roman"/>
                <w:b/>
                <w:bCs/>
                <w:color w:val="000000"/>
                <w:sz w:val="24"/>
                <w:lang w:eastAsia="ja-JP"/>
              </w:rPr>
            </w:pPr>
            <w:r w:rsidRPr="007F4CC8">
              <w:rPr>
                <w:rFonts w:ascii="Times New Roman" w:eastAsia="Times New Roman" w:hAnsi="Times New Roman" w:cs="Times New Roman"/>
                <w:b/>
                <w:bCs/>
                <w:color w:val="000000"/>
                <w:sz w:val="24"/>
                <w:lang w:eastAsia="ja-JP"/>
              </w:rPr>
              <w:t>Explanation</w:t>
            </w:r>
          </w:p>
        </w:tc>
      </w:tr>
      <w:tr w:rsidR="00C85971" w:rsidRPr="007F4CC8" w14:paraId="528AC325" w14:textId="77777777" w:rsidTr="00D819DE">
        <w:trPr>
          <w:trHeight w:val="259"/>
        </w:trPr>
        <w:tc>
          <w:tcPr>
            <w:tcW w:w="1030" w:type="dxa"/>
            <w:vAlign w:val="center"/>
          </w:tcPr>
          <w:p w14:paraId="15EF9615"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w:t>
            </w:r>
          </w:p>
        </w:tc>
        <w:tc>
          <w:tcPr>
            <w:tcW w:w="7661" w:type="dxa"/>
            <w:shd w:val="clear" w:color="auto" w:fill="auto"/>
            <w:noWrap/>
            <w:vAlign w:val="bottom"/>
          </w:tcPr>
          <w:p w14:paraId="235D6D49"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Issuer</w:t>
            </w:r>
          </w:p>
          <w:p w14:paraId="5236523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identif</w:t>
            </w:r>
            <w:r>
              <w:rPr>
                <w:rFonts w:ascii="Times New Roman" w:eastAsia="Times New Roman" w:hAnsi="Times New Roman" w:cs="Times New Roman"/>
                <w:sz w:val="24"/>
                <w:lang w:eastAsia="ja-JP"/>
              </w:rPr>
              <w:t>y</w:t>
            </w:r>
            <w:r w:rsidRPr="007F4CC8">
              <w:rPr>
                <w:rFonts w:ascii="Times New Roman" w:eastAsia="Times New Roman" w:hAnsi="Times New Roman" w:cs="Times New Roman"/>
                <w:sz w:val="24"/>
                <w:lang w:eastAsia="ja-JP"/>
              </w:rPr>
              <w:t xml:space="preserve"> </w:t>
            </w:r>
            <w:r>
              <w:rPr>
                <w:rFonts w:ascii="Times New Roman" w:eastAsia="Times New Roman" w:hAnsi="Times New Roman" w:cs="Times New Roman"/>
                <w:sz w:val="24"/>
                <w:lang w:eastAsia="ja-JP"/>
              </w:rPr>
              <w:t xml:space="preserve">the legal name of the </w:t>
            </w:r>
            <w:r w:rsidRPr="007F4CC8">
              <w:rPr>
                <w:rFonts w:ascii="Times New Roman" w:eastAsia="Times New Roman" w:hAnsi="Times New Roman" w:cs="Times New Roman"/>
                <w:sz w:val="24"/>
                <w:lang w:eastAsia="ja-JP"/>
              </w:rPr>
              <w:t>issuer.</w:t>
            </w:r>
          </w:p>
          <w:p w14:paraId="08FC4FB7"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391998EF" w14:textId="77777777" w:rsidTr="00D819DE">
        <w:trPr>
          <w:trHeight w:val="259"/>
        </w:trPr>
        <w:tc>
          <w:tcPr>
            <w:tcW w:w="1030" w:type="dxa"/>
            <w:vAlign w:val="center"/>
          </w:tcPr>
          <w:p w14:paraId="306D4DF7"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w:t>
            </w:r>
          </w:p>
        </w:tc>
        <w:tc>
          <w:tcPr>
            <w:tcW w:w="7661" w:type="dxa"/>
            <w:shd w:val="clear" w:color="auto" w:fill="auto"/>
            <w:noWrap/>
            <w:vAlign w:val="bottom"/>
          </w:tcPr>
          <w:p w14:paraId="6C54C94E"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Unique identifier (e.g. CUSIP, ISIN or Bloomberg identifier for private placement)</w:t>
            </w:r>
          </w:p>
          <w:p w14:paraId="0BBBA79B"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w:t>
            </w:r>
          </w:p>
        </w:tc>
      </w:tr>
      <w:tr w:rsidR="00C85971" w:rsidRPr="007F4CC8" w14:paraId="78AC88E5" w14:textId="77777777" w:rsidTr="00D819DE">
        <w:trPr>
          <w:trHeight w:val="259"/>
        </w:trPr>
        <w:tc>
          <w:tcPr>
            <w:tcW w:w="1030" w:type="dxa"/>
            <w:vAlign w:val="center"/>
          </w:tcPr>
          <w:p w14:paraId="260CE86F"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EU-2a</w:t>
            </w:r>
          </w:p>
        </w:tc>
        <w:tc>
          <w:tcPr>
            <w:tcW w:w="7661" w:type="dxa"/>
            <w:shd w:val="clear" w:color="auto" w:fill="auto"/>
            <w:noWrap/>
            <w:vAlign w:val="bottom"/>
          </w:tcPr>
          <w:p w14:paraId="583DBB78"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P</w:t>
            </w:r>
            <w:r>
              <w:rPr>
                <w:rFonts w:ascii="Times New Roman" w:eastAsia="Times New Roman" w:hAnsi="Times New Roman" w:cs="Times New Roman"/>
                <w:sz w:val="24"/>
                <w:lang w:eastAsia="ja-JP"/>
              </w:rPr>
              <w:t xml:space="preserve">ublic </w:t>
            </w:r>
            <w:r w:rsidRPr="007F4CC8">
              <w:rPr>
                <w:rFonts w:ascii="Times New Roman" w:eastAsia="Times New Roman" w:hAnsi="Times New Roman" w:cs="Times New Roman"/>
                <w:sz w:val="24"/>
                <w:lang w:eastAsia="ja-JP"/>
              </w:rPr>
              <w:t>or private placement</w:t>
            </w:r>
          </w:p>
          <w:p w14:paraId="534DDFEE"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if the instrument has been publicly or privately placed.</w:t>
            </w:r>
          </w:p>
          <w:p w14:paraId="6D949888"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Select from menu: [Public] [Private]</w:t>
            </w:r>
          </w:p>
        </w:tc>
      </w:tr>
      <w:tr w:rsidR="00C85971" w:rsidRPr="007F4CC8" w14:paraId="4C34C27E" w14:textId="77777777" w:rsidTr="00D819DE">
        <w:trPr>
          <w:trHeight w:val="259"/>
        </w:trPr>
        <w:tc>
          <w:tcPr>
            <w:tcW w:w="1030" w:type="dxa"/>
            <w:vAlign w:val="center"/>
          </w:tcPr>
          <w:p w14:paraId="0E0CC430"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3</w:t>
            </w:r>
          </w:p>
        </w:tc>
        <w:tc>
          <w:tcPr>
            <w:tcW w:w="7661" w:type="dxa"/>
            <w:shd w:val="clear" w:color="auto" w:fill="auto"/>
            <w:noWrap/>
            <w:vAlign w:val="bottom"/>
          </w:tcPr>
          <w:p w14:paraId="1ACF16D1"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Governing law(s) of the instrument</w:t>
            </w:r>
          </w:p>
          <w:p w14:paraId="15AB1E4E"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the governing law(s) of the instrument. </w:t>
            </w:r>
          </w:p>
          <w:p w14:paraId="60B649A9"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Free text </w:t>
            </w:r>
          </w:p>
        </w:tc>
      </w:tr>
      <w:tr w:rsidR="00C85971" w:rsidRPr="007F4CC8" w14:paraId="4D60C6D1" w14:textId="77777777" w:rsidTr="00D819DE">
        <w:trPr>
          <w:trHeight w:val="259"/>
        </w:trPr>
        <w:tc>
          <w:tcPr>
            <w:tcW w:w="1030" w:type="dxa"/>
            <w:vAlign w:val="center"/>
          </w:tcPr>
          <w:p w14:paraId="1F163D68"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3a</w:t>
            </w:r>
          </w:p>
        </w:tc>
        <w:tc>
          <w:tcPr>
            <w:tcW w:w="7661" w:type="dxa"/>
            <w:shd w:val="clear" w:color="auto" w:fill="auto"/>
            <w:noWrap/>
            <w:vAlign w:val="bottom"/>
          </w:tcPr>
          <w:p w14:paraId="333E8C42"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Contractual recognition of write down and conversion powers of resolution authorities</w:t>
            </w:r>
          </w:p>
          <w:p w14:paraId="019792C7"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xml:space="preserve">Institutions shall specify whether the instrument contains a clause whereby, upon decision by a resolution authority or a relevant third country authority, the principal amount of the instrument is to be written down on a permanent basis or the instrument </w:t>
            </w:r>
            <w:r>
              <w:rPr>
                <w:rFonts w:ascii="Times New Roman" w:eastAsia="Times New Roman" w:hAnsi="Times New Roman" w:cs="Times New Roman"/>
                <w:sz w:val="24"/>
                <w:lang w:eastAsia="en-GB"/>
              </w:rPr>
              <w:t>is</w:t>
            </w:r>
            <w:r w:rsidRPr="007F4CC8">
              <w:rPr>
                <w:rFonts w:ascii="Times New Roman" w:eastAsia="Times New Roman" w:hAnsi="Times New Roman" w:cs="Times New Roman"/>
                <w:sz w:val="24"/>
                <w:lang w:eastAsia="en-GB"/>
              </w:rPr>
              <w:t xml:space="preserve"> to be converted into Common Equity Tier 1 instrument, in the meaning, where applicable, of the following provisions:</w:t>
            </w:r>
          </w:p>
          <w:p w14:paraId="2EE684C1"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In relation to Additional Tier 1 instruments, point (p) of Article 52(1) CRR;</w:t>
            </w:r>
          </w:p>
          <w:p w14:paraId="5C7FBD40"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In relation to Tier 2 instruments, points (n) or (o) of Article 63 CRR;</w:t>
            </w:r>
          </w:p>
          <w:p w14:paraId="2B8C1D20"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In relation to eligible liabilities, point (n) of Article 72b(2) CRR;</w:t>
            </w:r>
          </w:p>
          <w:p w14:paraId="394620C1"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en-GB"/>
              </w:rPr>
            </w:pPr>
            <w:r w:rsidRPr="007F4CC8">
              <w:rPr>
                <w:rFonts w:ascii="Times New Roman" w:eastAsia="Times New Roman" w:hAnsi="Times New Roman" w:cs="Times New Roman"/>
                <w:sz w:val="24"/>
                <w:lang w:eastAsia="en-GB"/>
              </w:rPr>
              <w:t>- In relation to any of the above and governed by third country law, Article 55 o</w:t>
            </w:r>
            <w:r w:rsidRPr="007F4CC8">
              <w:rPr>
                <w:rFonts w:ascii="Times New Roman" w:hAnsi="Times New Roman" w:cs="Times New Roman"/>
                <w:sz w:val="24"/>
              </w:rPr>
              <w:t>f Directive (EU) 2019/879</w:t>
            </w:r>
            <w:r w:rsidRPr="007F4CC8">
              <w:rPr>
                <w:rFonts w:ascii="Times New Roman" w:eastAsia="Times New Roman" w:hAnsi="Times New Roman" w:cs="Times New Roman"/>
                <w:sz w:val="24"/>
                <w:lang w:eastAsia="en-GB"/>
              </w:rPr>
              <w:t xml:space="preserve"> </w:t>
            </w:r>
            <w:r w:rsidRPr="007F4CC8">
              <w:rPr>
                <w:rStyle w:val="FootnoteReference"/>
                <w:rFonts w:ascii="Times New Roman" w:eastAsia="Times New Roman" w:hAnsi="Times New Roman" w:cs="Times New Roman"/>
                <w:sz w:val="24"/>
                <w:lang w:eastAsia="en-GB"/>
              </w:rPr>
              <w:footnoteReference w:id="3"/>
            </w:r>
            <w:r w:rsidRPr="007F4CC8">
              <w:rPr>
                <w:rFonts w:ascii="Times New Roman" w:eastAsia="Times New Roman" w:hAnsi="Times New Roman" w:cs="Times New Roman"/>
                <w:sz w:val="24"/>
                <w:lang w:eastAsia="en-GB"/>
              </w:rPr>
              <w:t>(“BRRD”).</w:t>
            </w:r>
          </w:p>
          <w:p w14:paraId="52635491"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A write down and conversion may be both compliant with Article 55 BRRD and any of the first three indents.</w:t>
            </w:r>
          </w:p>
          <w:p w14:paraId="47B03151"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[YES] [NO]</w:t>
            </w:r>
          </w:p>
        </w:tc>
      </w:tr>
      <w:tr w:rsidR="00C85971" w:rsidRPr="007F4CC8" w14:paraId="62C45590" w14:textId="77777777" w:rsidTr="00D819DE">
        <w:trPr>
          <w:trHeight w:val="259"/>
        </w:trPr>
        <w:tc>
          <w:tcPr>
            <w:tcW w:w="1030" w:type="dxa"/>
            <w:vAlign w:val="center"/>
          </w:tcPr>
          <w:p w14:paraId="14B82A54"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4</w:t>
            </w:r>
          </w:p>
        </w:tc>
        <w:tc>
          <w:tcPr>
            <w:tcW w:w="7661" w:type="dxa"/>
            <w:shd w:val="clear" w:color="auto" w:fill="auto"/>
            <w:noWrap/>
            <w:vAlign w:val="bottom"/>
          </w:tcPr>
          <w:p w14:paraId="783C894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Current treatment taking into account, where applicable, transitional CRR rules</w:t>
            </w:r>
          </w:p>
          <w:p w14:paraId="456BE59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transitional regulatory own funds treatment contained in CRR. The original classification of the instrument is the point of reference independently of possible reclassification in lower tiers of own funds.</w:t>
            </w:r>
          </w:p>
          <w:p w14:paraId="57541963"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[Common Equity Tier 1] [Additional Tier 1] [Tier 2] [Ineligible] [N/A]</w:t>
            </w:r>
          </w:p>
          <w:p w14:paraId="505EE00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 – specify if a fraction of the issuance has been reclassified in lower tiers of capital.</w:t>
            </w:r>
          </w:p>
        </w:tc>
      </w:tr>
      <w:tr w:rsidR="00C85971" w:rsidRPr="007F4CC8" w14:paraId="7273D82B" w14:textId="77777777" w:rsidTr="00D819DE">
        <w:trPr>
          <w:trHeight w:val="259"/>
        </w:trPr>
        <w:tc>
          <w:tcPr>
            <w:tcW w:w="1030" w:type="dxa"/>
            <w:vAlign w:val="center"/>
          </w:tcPr>
          <w:p w14:paraId="21134EEE"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5</w:t>
            </w:r>
          </w:p>
        </w:tc>
        <w:tc>
          <w:tcPr>
            <w:tcW w:w="7661" w:type="dxa"/>
            <w:shd w:val="clear" w:color="auto" w:fill="auto"/>
            <w:noWrap/>
            <w:vAlign w:val="bottom"/>
          </w:tcPr>
          <w:p w14:paraId="7CC7BD39"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Post-transitional CRR rules</w:t>
            </w:r>
          </w:p>
          <w:p w14:paraId="15B33FD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regulatory own funds treatment under CRR without taking into account the transitional treatment. </w:t>
            </w:r>
          </w:p>
          <w:p w14:paraId="18A44EE8"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lastRenderedPageBreak/>
              <w:t>Select from menu: [Common Equity Tier 1] [Additional Tier 1] [Tier 2]</w:t>
            </w:r>
            <w:r w:rsidRPr="007F4CC8">
              <w:t xml:space="preserve"> </w:t>
            </w:r>
            <w:r w:rsidRPr="007F4CC8">
              <w:rPr>
                <w:rFonts w:ascii="Times New Roman" w:eastAsia="Times New Roman" w:hAnsi="Times New Roman" w:cs="Times New Roman"/>
                <w:i/>
                <w:sz w:val="24"/>
                <w:lang w:eastAsia="ja-JP"/>
              </w:rPr>
              <w:t>] [eligible liabilities] [Ineligible]</w:t>
            </w:r>
          </w:p>
        </w:tc>
      </w:tr>
      <w:tr w:rsidR="00C85971" w:rsidRPr="007F4CC8" w14:paraId="4C5A8DCE" w14:textId="77777777" w:rsidTr="00D819DE">
        <w:trPr>
          <w:trHeight w:val="259"/>
        </w:trPr>
        <w:tc>
          <w:tcPr>
            <w:tcW w:w="1030" w:type="dxa"/>
            <w:vAlign w:val="center"/>
          </w:tcPr>
          <w:p w14:paraId="6138EB2C"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6</w:t>
            </w:r>
          </w:p>
        </w:tc>
        <w:tc>
          <w:tcPr>
            <w:tcW w:w="7661" w:type="dxa"/>
            <w:shd w:val="clear" w:color="auto" w:fill="auto"/>
            <w:noWrap/>
            <w:vAlign w:val="bottom"/>
          </w:tcPr>
          <w:p w14:paraId="5FA2D31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Eligible at solo/(sub-)consolidated/ solo&amp;(sub-)consolidated</w:t>
            </w:r>
          </w:p>
          <w:p w14:paraId="04883C7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level(s) within the group at which the instrument is included in the own funds/eligible liabilities.</w:t>
            </w:r>
          </w:p>
          <w:p w14:paraId="7983B24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Select from menu: [Solo] [(Sub-)Consolidated] [Solo and (Sub-)Consolidated]</w:t>
            </w:r>
          </w:p>
        </w:tc>
      </w:tr>
      <w:tr w:rsidR="00C85971" w:rsidRPr="007F4CC8" w14:paraId="51C179AB" w14:textId="77777777" w:rsidTr="00D819DE">
        <w:trPr>
          <w:trHeight w:val="259"/>
        </w:trPr>
        <w:tc>
          <w:tcPr>
            <w:tcW w:w="1030" w:type="dxa"/>
            <w:vAlign w:val="center"/>
          </w:tcPr>
          <w:p w14:paraId="48FEED2E"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7</w:t>
            </w:r>
          </w:p>
        </w:tc>
        <w:tc>
          <w:tcPr>
            <w:tcW w:w="7661" w:type="dxa"/>
            <w:shd w:val="clear" w:color="auto" w:fill="auto"/>
            <w:noWrap/>
            <w:vAlign w:val="bottom"/>
          </w:tcPr>
          <w:p w14:paraId="76DDD347"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Instrument type (types to be specified by each jurisdiction)</w:t>
            </w:r>
          </w:p>
          <w:p w14:paraId="36FF354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instrument type, varying by jurisdiction. </w:t>
            </w:r>
          </w:p>
          <w:p w14:paraId="77AB4FE3"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For CET1 instruments, select name of the instrument in the CET1 list published by the EBA pursuant to Article 26(3) CRR.</w:t>
            </w:r>
          </w:p>
          <w:p w14:paraId="02249DAC"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For other instruments, select from: menu options to be provided to institutions by each jurisdiction – legal references of CRR articles for each type of instrument to be inserted</w:t>
            </w:r>
          </w:p>
        </w:tc>
      </w:tr>
      <w:tr w:rsidR="00C85971" w:rsidRPr="007F4CC8" w14:paraId="05E18079" w14:textId="77777777" w:rsidTr="00D819DE">
        <w:trPr>
          <w:trHeight w:val="259"/>
        </w:trPr>
        <w:tc>
          <w:tcPr>
            <w:tcW w:w="1030" w:type="dxa"/>
            <w:vAlign w:val="center"/>
          </w:tcPr>
          <w:p w14:paraId="06657915"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8</w:t>
            </w:r>
          </w:p>
        </w:tc>
        <w:tc>
          <w:tcPr>
            <w:tcW w:w="7661" w:type="dxa"/>
            <w:shd w:val="clear" w:color="auto" w:fill="auto"/>
            <w:noWrap/>
            <w:vAlign w:val="bottom"/>
          </w:tcPr>
          <w:p w14:paraId="7DE2CA9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Amount recognised in regulatory capital or eligible liabilities (Currency in million, as of most recent reporting date)</w:t>
            </w:r>
          </w:p>
          <w:p w14:paraId="0082999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amount recognised in regulatory own funds or eligible liabilities.</w:t>
            </w:r>
          </w:p>
          <w:p w14:paraId="2D49DE4A"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 – specify in particular if some parts of the instruments are in different tiers of the regulatory own funds and if the recognised amount in regulatory own funds is different from the amount issued.</w:t>
            </w:r>
          </w:p>
        </w:tc>
      </w:tr>
      <w:tr w:rsidR="00C85971" w:rsidRPr="007F4CC8" w14:paraId="284CA942" w14:textId="77777777" w:rsidTr="00D819DE">
        <w:trPr>
          <w:trHeight w:val="259"/>
        </w:trPr>
        <w:tc>
          <w:tcPr>
            <w:tcW w:w="1030" w:type="dxa"/>
            <w:vAlign w:val="center"/>
          </w:tcPr>
          <w:p w14:paraId="370A5AC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9</w:t>
            </w:r>
          </w:p>
        </w:tc>
        <w:tc>
          <w:tcPr>
            <w:tcW w:w="7661" w:type="dxa"/>
            <w:shd w:val="clear" w:color="auto" w:fill="auto"/>
            <w:noWrap/>
            <w:vAlign w:val="bottom"/>
          </w:tcPr>
          <w:p w14:paraId="2349DBC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Nominal amount of instrument </w:t>
            </w:r>
          </w:p>
          <w:p w14:paraId="6380272B"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Nominal amount of instrument in currency of issuance and currency used for the reporting obligations</w:t>
            </w:r>
          </w:p>
          <w:p w14:paraId="466B9555"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0544B969" w14:textId="77777777" w:rsidTr="00D819DE">
        <w:trPr>
          <w:trHeight w:val="259"/>
        </w:trPr>
        <w:tc>
          <w:tcPr>
            <w:tcW w:w="1030" w:type="dxa"/>
            <w:vAlign w:val="center"/>
          </w:tcPr>
          <w:p w14:paraId="2006187A"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EU-9a</w:t>
            </w:r>
          </w:p>
        </w:tc>
        <w:tc>
          <w:tcPr>
            <w:tcW w:w="7661" w:type="dxa"/>
            <w:shd w:val="clear" w:color="auto" w:fill="auto"/>
            <w:noWrap/>
            <w:vAlign w:val="bottom"/>
          </w:tcPr>
          <w:p w14:paraId="24E5CF7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Issue price</w:t>
            </w:r>
          </w:p>
          <w:p w14:paraId="1F541B1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Issue price of instrument</w:t>
            </w:r>
          </w:p>
          <w:p w14:paraId="789EF5B3"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4CA90A7D" w14:textId="77777777" w:rsidTr="00D819DE">
        <w:trPr>
          <w:trHeight w:val="259"/>
        </w:trPr>
        <w:tc>
          <w:tcPr>
            <w:tcW w:w="1030" w:type="dxa"/>
            <w:vAlign w:val="center"/>
          </w:tcPr>
          <w:p w14:paraId="38899B7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EU-9b</w:t>
            </w:r>
          </w:p>
        </w:tc>
        <w:tc>
          <w:tcPr>
            <w:tcW w:w="7661" w:type="dxa"/>
            <w:shd w:val="clear" w:color="auto" w:fill="auto"/>
            <w:noWrap/>
            <w:vAlign w:val="bottom"/>
          </w:tcPr>
          <w:p w14:paraId="121E8937"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Redemption price</w:t>
            </w:r>
          </w:p>
          <w:p w14:paraId="3882BA0E"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Redemption price of instrument</w:t>
            </w:r>
          </w:p>
          <w:p w14:paraId="0A2871F9"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5D67AC63" w14:textId="77777777" w:rsidTr="00D819DE">
        <w:trPr>
          <w:trHeight w:val="259"/>
        </w:trPr>
        <w:tc>
          <w:tcPr>
            <w:tcW w:w="1030" w:type="dxa"/>
            <w:vAlign w:val="center"/>
          </w:tcPr>
          <w:p w14:paraId="0C043D9F"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10</w:t>
            </w:r>
          </w:p>
        </w:tc>
        <w:tc>
          <w:tcPr>
            <w:tcW w:w="7661" w:type="dxa"/>
            <w:shd w:val="clear" w:color="auto" w:fill="auto"/>
            <w:noWrap/>
            <w:vAlign w:val="bottom"/>
          </w:tcPr>
          <w:p w14:paraId="19BCB8EF"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Accounting classification</w:t>
            </w:r>
          </w:p>
          <w:p w14:paraId="780F56D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Institutions shall specify accounting classification.</w:t>
            </w:r>
          </w:p>
          <w:p w14:paraId="7F82F115"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[Shareholders’ equity] [Liability – amortised cost] [Liability – fair value option] [Non-controlling interest in consolidated subsidiary]</w:t>
            </w:r>
          </w:p>
        </w:tc>
      </w:tr>
      <w:tr w:rsidR="00C85971" w:rsidRPr="007F4CC8" w14:paraId="53BD4D9C" w14:textId="77777777" w:rsidTr="00D819DE">
        <w:trPr>
          <w:trHeight w:val="259"/>
        </w:trPr>
        <w:tc>
          <w:tcPr>
            <w:tcW w:w="1030" w:type="dxa"/>
            <w:vAlign w:val="center"/>
          </w:tcPr>
          <w:p w14:paraId="6D4D323F"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11</w:t>
            </w:r>
          </w:p>
        </w:tc>
        <w:tc>
          <w:tcPr>
            <w:tcW w:w="7661" w:type="dxa"/>
            <w:shd w:val="clear" w:color="auto" w:fill="auto"/>
            <w:noWrap/>
            <w:vAlign w:val="bottom"/>
          </w:tcPr>
          <w:p w14:paraId="458D846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Original date of issuance</w:t>
            </w:r>
          </w:p>
          <w:p w14:paraId="611C9A3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date of issuance.</w:t>
            </w:r>
          </w:p>
          <w:p w14:paraId="2154F81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w:t>
            </w:r>
          </w:p>
        </w:tc>
      </w:tr>
      <w:tr w:rsidR="00C85971" w:rsidRPr="007F4CC8" w14:paraId="04FFB927" w14:textId="77777777" w:rsidTr="00D819DE">
        <w:trPr>
          <w:trHeight w:val="259"/>
        </w:trPr>
        <w:tc>
          <w:tcPr>
            <w:tcW w:w="1030" w:type="dxa"/>
            <w:vAlign w:val="center"/>
          </w:tcPr>
          <w:p w14:paraId="205744AC"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12</w:t>
            </w:r>
          </w:p>
        </w:tc>
        <w:tc>
          <w:tcPr>
            <w:tcW w:w="7661" w:type="dxa"/>
            <w:shd w:val="clear" w:color="auto" w:fill="auto"/>
            <w:noWrap/>
            <w:vAlign w:val="bottom"/>
          </w:tcPr>
          <w:p w14:paraId="4EF23CA5"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Perpetual or dated </w:t>
            </w:r>
          </w:p>
          <w:p w14:paraId="3E0D6EB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an instrument is dated or perpetual.</w:t>
            </w:r>
          </w:p>
          <w:p w14:paraId="245C5398"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[Perpetual] [Dated]</w:t>
            </w:r>
          </w:p>
        </w:tc>
      </w:tr>
      <w:tr w:rsidR="00C85971" w:rsidRPr="007F4CC8" w14:paraId="56CA0C61" w14:textId="77777777" w:rsidTr="00D819DE">
        <w:trPr>
          <w:trHeight w:val="259"/>
        </w:trPr>
        <w:tc>
          <w:tcPr>
            <w:tcW w:w="1030" w:type="dxa"/>
            <w:vAlign w:val="center"/>
          </w:tcPr>
          <w:p w14:paraId="616EB2D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13</w:t>
            </w:r>
          </w:p>
        </w:tc>
        <w:tc>
          <w:tcPr>
            <w:tcW w:w="7661" w:type="dxa"/>
            <w:shd w:val="clear" w:color="auto" w:fill="auto"/>
            <w:noWrap/>
            <w:vAlign w:val="bottom"/>
          </w:tcPr>
          <w:p w14:paraId="6ED06368"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Original maturity date</w:t>
            </w:r>
          </w:p>
          <w:p w14:paraId="4B82838B"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For dated instrument, institutions shall specify original maturity date (day, month and year). For perpetual instrument ‘no maturity’ shall be put. </w:t>
            </w:r>
          </w:p>
          <w:p w14:paraId="68FD419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w:t>
            </w:r>
          </w:p>
        </w:tc>
      </w:tr>
      <w:tr w:rsidR="00C85971" w:rsidRPr="007F4CC8" w14:paraId="388525EC" w14:textId="77777777" w:rsidTr="00D819DE">
        <w:trPr>
          <w:trHeight w:val="259"/>
        </w:trPr>
        <w:tc>
          <w:tcPr>
            <w:tcW w:w="1030" w:type="dxa"/>
            <w:vAlign w:val="center"/>
          </w:tcPr>
          <w:p w14:paraId="2049CCDE"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14</w:t>
            </w:r>
          </w:p>
        </w:tc>
        <w:tc>
          <w:tcPr>
            <w:tcW w:w="7661" w:type="dxa"/>
            <w:shd w:val="clear" w:color="auto" w:fill="auto"/>
            <w:noWrap/>
            <w:vAlign w:val="bottom"/>
          </w:tcPr>
          <w:p w14:paraId="4A451C2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Issuer call subject to prior supervisory approval </w:t>
            </w:r>
          </w:p>
          <w:p w14:paraId="58557375"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there is an issuer call option (all types of call options).</w:t>
            </w:r>
          </w:p>
          <w:p w14:paraId="613B3C4C"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[Yes] [No]</w:t>
            </w:r>
          </w:p>
        </w:tc>
      </w:tr>
      <w:tr w:rsidR="00C85971" w:rsidRPr="007F4CC8" w14:paraId="7A6B78FD" w14:textId="77777777" w:rsidTr="00D819DE">
        <w:trPr>
          <w:trHeight w:val="259"/>
        </w:trPr>
        <w:tc>
          <w:tcPr>
            <w:tcW w:w="1030" w:type="dxa"/>
            <w:vAlign w:val="center"/>
          </w:tcPr>
          <w:p w14:paraId="670CA14E"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15</w:t>
            </w:r>
          </w:p>
        </w:tc>
        <w:tc>
          <w:tcPr>
            <w:tcW w:w="7661" w:type="dxa"/>
            <w:shd w:val="clear" w:color="auto" w:fill="auto"/>
            <w:noWrap/>
            <w:vAlign w:val="bottom"/>
          </w:tcPr>
          <w:p w14:paraId="6A950D9E"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Optional call date, contingent call dates and redemption amount</w:t>
            </w:r>
          </w:p>
          <w:p w14:paraId="73384FE5"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For instrument with issuer call option, institutions shall specify the first date of call if the instrument has a call option on a specific date (day, month and year) and, in addition, shall specify whether the instrument has a tax and/or regulatory event call. Institutions shall also specify the redemption price, which helps to assess permanence.</w:t>
            </w:r>
          </w:p>
          <w:p w14:paraId="525DFACD"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23AB55A7" w14:textId="77777777" w:rsidTr="00D819DE">
        <w:trPr>
          <w:trHeight w:val="259"/>
        </w:trPr>
        <w:tc>
          <w:tcPr>
            <w:tcW w:w="1030" w:type="dxa"/>
            <w:vAlign w:val="center"/>
          </w:tcPr>
          <w:p w14:paraId="080D7F0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16</w:t>
            </w:r>
          </w:p>
        </w:tc>
        <w:tc>
          <w:tcPr>
            <w:tcW w:w="7661" w:type="dxa"/>
            <w:shd w:val="clear" w:color="auto" w:fill="auto"/>
            <w:noWrap/>
            <w:vAlign w:val="bottom"/>
          </w:tcPr>
          <w:p w14:paraId="08CF89A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Subsequent call dates, if applicable</w:t>
            </w:r>
          </w:p>
          <w:p w14:paraId="1CE0E8DF"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existence and frequency of subsequent call dates, if applicable, which helps to assess permanence.</w:t>
            </w:r>
          </w:p>
          <w:p w14:paraId="7B5269A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w:t>
            </w:r>
          </w:p>
        </w:tc>
      </w:tr>
      <w:tr w:rsidR="00C85971" w:rsidRPr="007F4CC8" w14:paraId="130CD498" w14:textId="77777777" w:rsidTr="00D819DE">
        <w:trPr>
          <w:trHeight w:val="259"/>
        </w:trPr>
        <w:tc>
          <w:tcPr>
            <w:tcW w:w="1030" w:type="dxa"/>
            <w:vAlign w:val="center"/>
          </w:tcPr>
          <w:p w14:paraId="7F01AD6C"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17</w:t>
            </w:r>
          </w:p>
        </w:tc>
        <w:tc>
          <w:tcPr>
            <w:tcW w:w="7661" w:type="dxa"/>
            <w:shd w:val="clear" w:color="auto" w:fill="auto"/>
            <w:noWrap/>
            <w:vAlign w:val="bottom"/>
          </w:tcPr>
          <w:p w14:paraId="7E670C8E"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Fixed or floating dividend/coupon</w:t>
            </w:r>
          </w:p>
          <w:p w14:paraId="52599B65"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whether the coupon/dividend is either fixed over the life of the instrument or floating over the life of the instrument or currently </w:t>
            </w:r>
            <w:r w:rsidRPr="007F4CC8">
              <w:rPr>
                <w:rFonts w:ascii="Times New Roman" w:eastAsia="Times New Roman" w:hAnsi="Times New Roman" w:cs="Times New Roman"/>
                <w:sz w:val="24"/>
                <w:lang w:eastAsia="ja-JP"/>
              </w:rPr>
              <w:lastRenderedPageBreak/>
              <w:t xml:space="preserve">fixed but will move to a floating rate in the future, or currently floating but will move to a fixed rate in the future. </w:t>
            </w:r>
          </w:p>
          <w:p w14:paraId="52AB5C9D"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Select from menu: [Fixed], [Floating] [Fixed to floating], [Floating to fixed] </w:t>
            </w:r>
          </w:p>
        </w:tc>
      </w:tr>
      <w:tr w:rsidR="00C85971" w:rsidRPr="007F4CC8" w14:paraId="280F0BBF" w14:textId="77777777" w:rsidTr="00D819DE">
        <w:trPr>
          <w:trHeight w:val="259"/>
        </w:trPr>
        <w:tc>
          <w:tcPr>
            <w:tcW w:w="1030" w:type="dxa"/>
            <w:vAlign w:val="center"/>
          </w:tcPr>
          <w:p w14:paraId="6E4491B9"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18</w:t>
            </w:r>
          </w:p>
        </w:tc>
        <w:tc>
          <w:tcPr>
            <w:tcW w:w="7661" w:type="dxa"/>
            <w:shd w:val="clear" w:color="auto" w:fill="auto"/>
            <w:noWrap/>
            <w:vAlign w:val="bottom"/>
          </w:tcPr>
          <w:p w14:paraId="5797637C"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Coupon rate and any related index </w:t>
            </w:r>
          </w:p>
          <w:p w14:paraId="65D080DC"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the coupon rate of the instrument and any related index that the coupon/dividend rate references. </w:t>
            </w:r>
          </w:p>
          <w:p w14:paraId="0AEC5895"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Free text </w:t>
            </w:r>
          </w:p>
        </w:tc>
      </w:tr>
      <w:tr w:rsidR="00C85971" w:rsidRPr="007F4CC8" w14:paraId="5E04C258" w14:textId="77777777" w:rsidTr="00D819DE">
        <w:trPr>
          <w:trHeight w:val="259"/>
        </w:trPr>
        <w:tc>
          <w:tcPr>
            <w:tcW w:w="1030" w:type="dxa"/>
            <w:vAlign w:val="center"/>
          </w:tcPr>
          <w:p w14:paraId="64425A07"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19</w:t>
            </w:r>
          </w:p>
        </w:tc>
        <w:tc>
          <w:tcPr>
            <w:tcW w:w="7661" w:type="dxa"/>
            <w:shd w:val="clear" w:color="auto" w:fill="auto"/>
            <w:noWrap/>
            <w:vAlign w:val="bottom"/>
          </w:tcPr>
          <w:p w14:paraId="6084AEDC"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Existence of a dividend stopper </w:t>
            </w:r>
          </w:p>
          <w:p w14:paraId="5D351279"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whether the non-payment of a coupon or dividend on the instrument prohibits the payment of dividends on common shares (i.e. whether there is a dividend stopper). </w:t>
            </w:r>
          </w:p>
          <w:p w14:paraId="5812A304"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Select from menu: [yes], [no] </w:t>
            </w:r>
          </w:p>
        </w:tc>
      </w:tr>
      <w:tr w:rsidR="00C85971" w:rsidRPr="007F4CC8" w14:paraId="3D392B8E" w14:textId="77777777" w:rsidTr="00D819DE">
        <w:trPr>
          <w:trHeight w:val="259"/>
        </w:trPr>
        <w:tc>
          <w:tcPr>
            <w:tcW w:w="1030" w:type="dxa"/>
            <w:vAlign w:val="center"/>
          </w:tcPr>
          <w:p w14:paraId="77A08767"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EU-20a</w:t>
            </w:r>
          </w:p>
        </w:tc>
        <w:tc>
          <w:tcPr>
            <w:tcW w:w="7661" w:type="dxa"/>
            <w:shd w:val="clear" w:color="auto" w:fill="auto"/>
            <w:noWrap/>
            <w:vAlign w:val="bottom"/>
          </w:tcPr>
          <w:p w14:paraId="647767A9"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Fully discretionary, partially discretionary or mandatory (in terms of timing) </w:t>
            </w:r>
          </w:p>
          <w:p w14:paraId="53D0B84D"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 issuer has full discretion, partial discretion or no discretion over whether a coupon/dividend is paid. If the institution has full discretion to cancel coupon/dividend payments under all circumstances it must select ‘fully discretionary’ (including when there is a dividend stopper that does not have the effect of preventing the institution from cancelling payments on the instrument). If there are conditions that must be met before payment can be cancelled (e.g. own funds below a certain threshold), the institution must select ‘partially discretionary’. If the institution is unable to cancel the payment outside of insolvency the institution must select ‘mandatory’.</w:t>
            </w:r>
          </w:p>
          <w:p w14:paraId="093B501F"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[Fully discretionary] [Partially discretionary] [Mandatory]</w:t>
            </w:r>
          </w:p>
          <w:p w14:paraId="437D693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Free text (specify the reasons for discretion, existence of dividend pushers, dividend stoppers, ACSM)</w:t>
            </w:r>
          </w:p>
        </w:tc>
      </w:tr>
      <w:tr w:rsidR="00C85971" w:rsidRPr="007F4CC8" w14:paraId="10D953A2" w14:textId="77777777" w:rsidTr="00D819DE">
        <w:trPr>
          <w:trHeight w:val="259"/>
        </w:trPr>
        <w:tc>
          <w:tcPr>
            <w:tcW w:w="1030" w:type="dxa"/>
            <w:vAlign w:val="center"/>
          </w:tcPr>
          <w:p w14:paraId="5548CD9D"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EU-20b</w:t>
            </w:r>
          </w:p>
        </w:tc>
        <w:tc>
          <w:tcPr>
            <w:tcW w:w="7661" w:type="dxa"/>
            <w:shd w:val="clear" w:color="auto" w:fill="auto"/>
            <w:noWrap/>
            <w:vAlign w:val="bottom"/>
          </w:tcPr>
          <w:p w14:paraId="6504D08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Fully discretionary, partially discretionary or mandatory (in terms of amount) </w:t>
            </w:r>
          </w:p>
          <w:p w14:paraId="04BFE837"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 issuer has full discretion, partial discretion or no discretion over the amount of the coupon/dividend.</w:t>
            </w:r>
          </w:p>
          <w:p w14:paraId="513C496A"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[Fully discretionary] [Partially discretionary] [Mandatory]</w:t>
            </w:r>
          </w:p>
        </w:tc>
      </w:tr>
      <w:tr w:rsidR="00C85971" w:rsidRPr="007F4CC8" w14:paraId="75B6FF75" w14:textId="77777777" w:rsidTr="00D819DE">
        <w:trPr>
          <w:trHeight w:val="259"/>
        </w:trPr>
        <w:tc>
          <w:tcPr>
            <w:tcW w:w="1030" w:type="dxa"/>
            <w:vAlign w:val="center"/>
          </w:tcPr>
          <w:p w14:paraId="7C6A2572"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21</w:t>
            </w:r>
          </w:p>
        </w:tc>
        <w:tc>
          <w:tcPr>
            <w:tcW w:w="7661" w:type="dxa"/>
            <w:shd w:val="clear" w:color="auto" w:fill="auto"/>
            <w:noWrap/>
            <w:vAlign w:val="bottom"/>
          </w:tcPr>
          <w:p w14:paraId="0F2B7E1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Existence of step up or other incentive to redeem</w:t>
            </w:r>
          </w:p>
          <w:p w14:paraId="12907BE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there is a step-up or other incentive to redeem.</w:t>
            </w:r>
          </w:p>
          <w:p w14:paraId="4BED9D43"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lastRenderedPageBreak/>
              <w:t>Select from menu: [Yes] [No]</w:t>
            </w:r>
          </w:p>
        </w:tc>
      </w:tr>
      <w:tr w:rsidR="00C85971" w:rsidRPr="007F4CC8" w14:paraId="1937B62C" w14:textId="77777777" w:rsidTr="00D819DE">
        <w:trPr>
          <w:trHeight w:val="259"/>
        </w:trPr>
        <w:tc>
          <w:tcPr>
            <w:tcW w:w="1030" w:type="dxa"/>
            <w:vAlign w:val="center"/>
          </w:tcPr>
          <w:p w14:paraId="08732FD5"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22</w:t>
            </w:r>
          </w:p>
        </w:tc>
        <w:tc>
          <w:tcPr>
            <w:tcW w:w="7661" w:type="dxa"/>
            <w:shd w:val="clear" w:color="auto" w:fill="auto"/>
            <w:noWrap/>
            <w:vAlign w:val="bottom"/>
          </w:tcPr>
          <w:p w14:paraId="45FEA97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Noncumulative or cumulative</w:t>
            </w:r>
          </w:p>
          <w:p w14:paraId="55B7FEB7"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dividends / coupons are cumulative or noncumulative.</w:t>
            </w:r>
          </w:p>
          <w:p w14:paraId="0EB38D12"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[Noncumulative] [Cumulative] [ACSM]</w:t>
            </w:r>
          </w:p>
        </w:tc>
      </w:tr>
      <w:tr w:rsidR="00C85971" w:rsidRPr="007F4CC8" w14:paraId="0AC7DDCD" w14:textId="77777777" w:rsidTr="00D819DE">
        <w:trPr>
          <w:trHeight w:val="259"/>
        </w:trPr>
        <w:tc>
          <w:tcPr>
            <w:tcW w:w="1030" w:type="dxa"/>
            <w:vAlign w:val="center"/>
          </w:tcPr>
          <w:p w14:paraId="0954662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23</w:t>
            </w:r>
          </w:p>
        </w:tc>
        <w:tc>
          <w:tcPr>
            <w:tcW w:w="7661" w:type="dxa"/>
            <w:shd w:val="clear" w:color="auto" w:fill="auto"/>
            <w:noWrap/>
            <w:vAlign w:val="bottom"/>
          </w:tcPr>
          <w:p w14:paraId="05E02B3C"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Convertible or non-convertible</w:t>
            </w:r>
          </w:p>
          <w:p w14:paraId="03E7455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instrument is convertible or not.</w:t>
            </w:r>
          </w:p>
          <w:p w14:paraId="5A5BB1FB"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[Convertible] [Nonconvertible]</w:t>
            </w:r>
          </w:p>
        </w:tc>
      </w:tr>
      <w:tr w:rsidR="00C85971" w:rsidRPr="007F4CC8" w14:paraId="17BEBE61" w14:textId="77777777" w:rsidTr="00D819DE">
        <w:trPr>
          <w:trHeight w:val="259"/>
        </w:trPr>
        <w:tc>
          <w:tcPr>
            <w:tcW w:w="1030" w:type="dxa"/>
            <w:vAlign w:val="center"/>
          </w:tcPr>
          <w:p w14:paraId="3094BF5D"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24</w:t>
            </w:r>
          </w:p>
        </w:tc>
        <w:tc>
          <w:tcPr>
            <w:tcW w:w="7661" w:type="dxa"/>
            <w:shd w:val="clear" w:color="auto" w:fill="auto"/>
            <w:noWrap/>
            <w:vAlign w:val="bottom"/>
          </w:tcPr>
          <w:p w14:paraId="557E2DF9"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conversion trigger(s)</w:t>
            </w:r>
          </w:p>
          <w:p w14:paraId="64B68578"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conditions under which the instrument will convert, including point of non-viability. Where one or more authorities have the ability to trigger conversion, the authorities shall be listed. For each of the authorities it shall be stated whether it is the terms of the contract of the instrument that provide the legal basis for the authority to trigger conversion (a contractual approach) or whether the legal basis is provided by statutory means (a statutory approach).</w:t>
            </w:r>
          </w:p>
          <w:p w14:paraId="492B2888"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4233FD69" w14:textId="77777777" w:rsidTr="00D819DE">
        <w:trPr>
          <w:trHeight w:val="259"/>
        </w:trPr>
        <w:tc>
          <w:tcPr>
            <w:tcW w:w="1030" w:type="dxa"/>
            <w:vAlign w:val="center"/>
          </w:tcPr>
          <w:p w14:paraId="0B9A41F8"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25</w:t>
            </w:r>
          </w:p>
        </w:tc>
        <w:tc>
          <w:tcPr>
            <w:tcW w:w="7661" w:type="dxa"/>
            <w:shd w:val="clear" w:color="auto" w:fill="auto"/>
            <w:noWrap/>
            <w:vAlign w:val="bottom"/>
          </w:tcPr>
          <w:p w14:paraId="37E1797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fully or partially</w:t>
            </w:r>
          </w:p>
          <w:p w14:paraId="5FFCE6A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 instrument will always convert fully, may convert fully or partially, or will always convert partially.</w:t>
            </w:r>
          </w:p>
          <w:p w14:paraId="04295F27"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[Always Fully] [Fully or Partially] [Always partially]</w:t>
            </w:r>
          </w:p>
        </w:tc>
      </w:tr>
      <w:tr w:rsidR="00C85971" w:rsidRPr="007F4CC8" w14:paraId="2F949347" w14:textId="77777777" w:rsidTr="00D819DE">
        <w:trPr>
          <w:trHeight w:val="259"/>
        </w:trPr>
        <w:tc>
          <w:tcPr>
            <w:tcW w:w="1030" w:type="dxa"/>
            <w:vAlign w:val="center"/>
          </w:tcPr>
          <w:p w14:paraId="5F8D7F5B"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26</w:t>
            </w:r>
          </w:p>
        </w:tc>
        <w:tc>
          <w:tcPr>
            <w:tcW w:w="7661" w:type="dxa"/>
            <w:shd w:val="clear" w:color="auto" w:fill="auto"/>
            <w:noWrap/>
            <w:vAlign w:val="bottom"/>
          </w:tcPr>
          <w:p w14:paraId="525BBA9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conversion rate</w:t>
            </w:r>
          </w:p>
          <w:p w14:paraId="24115E30"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the rate of conversion into the more loss absorbent instrument. </w:t>
            </w:r>
          </w:p>
          <w:p w14:paraId="49572789"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3746C7E2" w14:textId="77777777" w:rsidTr="00D819DE">
        <w:trPr>
          <w:trHeight w:val="259"/>
        </w:trPr>
        <w:tc>
          <w:tcPr>
            <w:tcW w:w="1030" w:type="dxa"/>
            <w:vAlign w:val="center"/>
          </w:tcPr>
          <w:p w14:paraId="71E2E2D5"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27</w:t>
            </w:r>
          </w:p>
        </w:tc>
        <w:tc>
          <w:tcPr>
            <w:tcW w:w="7661" w:type="dxa"/>
            <w:shd w:val="clear" w:color="auto" w:fill="auto"/>
            <w:noWrap/>
            <w:vAlign w:val="bottom"/>
          </w:tcPr>
          <w:p w14:paraId="2824EFA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mandatory or optional conversion</w:t>
            </w:r>
          </w:p>
          <w:p w14:paraId="2C09BCD8"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For convertible instruments, institutions shall specify whether conversion is mandatory or optional. </w:t>
            </w:r>
          </w:p>
          <w:p w14:paraId="0C9E7DA5"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[Mandatory] [Optional] [NA] and [at the option of the holders] [at the option of the issuer] [at the option of both the holders and the issuer]</w:t>
            </w:r>
          </w:p>
        </w:tc>
      </w:tr>
      <w:tr w:rsidR="00C85971" w:rsidRPr="007F4CC8" w14:paraId="19A25638" w14:textId="77777777" w:rsidTr="00D819DE">
        <w:trPr>
          <w:trHeight w:val="259"/>
        </w:trPr>
        <w:tc>
          <w:tcPr>
            <w:tcW w:w="1030" w:type="dxa"/>
            <w:vAlign w:val="center"/>
          </w:tcPr>
          <w:p w14:paraId="316EF1A2"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28</w:t>
            </w:r>
          </w:p>
        </w:tc>
        <w:tc>
          <w:tcPr>
            <w:tcW w:w="7661" w:type="dxa"/>
            <w:shd w:val="clear" w:color="auto" w:fill="auto"/>
            <w:noWrap/>
            <w:vAlign w:val="bottom"/>
          </w:tcPr>
          <w:p w14:paraId="0838A71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specify instrument type convertible into</w:t>
            </w:r>
          </w:p>
          <w:p w14:paraId="006F3C5C"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For convertible instruments, institutions shall specify instrument type convertible into. Helps to assess loss absorbency.</w:t>
            </w:r>
          </w:p>
          <w:p w14:paraId="466B3378"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[Common Equity Tier 1] [Additional Tier 1] [Tier 2] [Other]</w:t>
            </w:r>
          </w:p>
        </w:tc>
      </w:tr>
      <w:tr w:rsidR="00C85971" w:rsidRPr="007F4CC8" w14:paraId="60E889B7" w14:textId="77777777" w:rsidTr="00D819DE">
        <w:trPr>
          <w:trHeight w:val="259"/>
        </w:trPr>
        <w:tc>
          <w:tcPr>
            <w:tcW w:w="1030" w:type="dxa"/>
            <w:vAlign w:val="center"/>
          </w:tcPr>
          <w:p w14:paraId="03D25633"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29</w:t>
            </w:r>
          </w:p>
        </w:tc>
        <w:tc>
          <w:tcPr>
            <w:tcW w:w="7661" w:type="dxa"/>
            <w:shd w:val="clear" w:color="auto" w:fill="auto"/>
            <w:noWrap/>
            <w:vAlign w:val="bottom"/>
          </w:tcPr>
          <w:p w14:paraId="37418A5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convertible, specify issuer of instrument it converts into</w:t>
            </w:r>
          </w:p>
          <w:p w14:paraId="68640A35"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0B942A3B" w14:textId="77777777" w:rsidTr="00D819DE">
        <w:trPr>
          <w:trHeight w:val="259"/>
        </w:trPr>
        <w:tc>
          <w:tcPr>
            <w:tcW w:w="1030" w:type="dxa"/>
            <w:vAlign w:val="center"/>
          </w:tcPr>
          <w:p w14:paraId="53F811FD"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30</w:t>
            </w:r>
          </w:p>
        </w:tc>
        <w:tc>
          <w:tcPr>
            <w:tcW w:w="7661" w:type="dxa"/>
            <w:shd w:val="clear" w:color="auto" w:fill="auto"/>
            <w:noWrap/>
            <w:vAlign w:val="bottom"/>
          </w:tcPr>
          <w:p w14:paraId="6ED6EEF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Write-down features</w:t>
            </w:r>
          </w:p>
          <w:p w14:paraId="4699CA87"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whether there is a write down feature. </w:t>
            </w:r>
          </w:p>
          <w:p w14:paraId="14FB6667"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[Yes] [No]</w:t>
            </w:r>
          </w:p>
        </w:tc>
      </w:tr>
      <w:tr w:rsidR="00C85971" w:rsidRPr="007F4CC8" w14:paraId="1E910235" w14:textId="77777777" w:rsidTr="00D819DE">
        <w:trPr>
          <w:trHeight w:val="259"/>
        </w:trPr>
        <w:tc>
          <w:tcPr>
            <w:tcW w:w="1030" w:type="dxa"/>
            <w:vAlign w:val="center"/>
          </w:tcPr>
          <w:p w14:paraId="4E24BE5F"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31</w:t>
            </w:r>
          </w:p>
        </w:tc>
        <w:tc>
          <w:tcPr>
            <w:tcW w:w="7661" w:type="dxa"/>
            <w:shd w:val="clear" w:color="auto" w:fill="auto"/>
            <w:noWrap/>
            <w:vAlign w:val="bottom"/>
          </w:tcPr>
          <w:p w14:paraId="72A83167"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write-down, write-down trigger(s)</w:t>
            </w:r>
          </w:p>
          <w:p w14:paraId="397C3607" w14:textId="77777777" w:rsidR="00C85971" w:rsidRPr="007F4CC8" w:rsidRDefault="00C85971" w:rsidP="00D819DE">
            <w:pPr>
              <w:autoSpaceDE w:val="0"/>
              <w:autoSpaceDN w:val="0"/>
              <w:adjustRightInd w:val="0"/>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the triggers at which write-down occurs, including point of non-viability. Where one or more authorities have the ability to trigger write-down, the authorities shall be listed. For each of the authorities it shall be stated whether it is the terms of the contract of the instrument that provide the legal basis for the authority to trigger write-down (a contractual approach) or whether the legal basis is provided by statutory means (a statutory approach </w:t>
            </w:r>
          </w:p>
          <w:p w14:paraId="6D317CE3"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6949351B" w14:textId="77777777" w:rsidTr="00D819DE">
        <w:trPr>
          <w:trHeight w:val="259"/>
        </w:trPr>
        <w:tc>
          <w:tcPr>
            <w:tcW w:w="1030" w:type="dxa"/>
            <w:vAlign w:val="center"/>
          </w:tcPr>
          <w:p w14:paraId="3C0E7AE7"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32</w:t>
            </w:r>
          </w:p>
        </w:tc>
        <w:tc>
          <w:tcPr>
            <w:tcW w:w="7661" w:type="dxa"/>
            <w:shd w:val="clear" w:color="auto" w:fill="auto"/>
            <w:noWrap/>
            <w:vAlign w:val="bottom"/>
          </w:tcPr>
          <w:p w14:paraId="128DCCFB"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write-down, full or partial</w:t>
            </w:r>
          </w:p>
          <w:p w14:paraId="64FD839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 instrument will always be written down fully, may be written down partially, or will always be written down partially. Helps assess the level of loss absorbency at write-down.</w:t>
            </w:r>
          </w:p>
          <w:p w14:paraId="6CADF97E"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[Always Fully] [Fully or Partially] [Always partially] ]</w:t>
            </w:r>
          </w:p>
        </w:tc>
      </w:tr>
      <w:tr w:rsidR="00C85971" w:rsidRPr="007F4CC8" w14:paraId="7C1FC81B" w14:textId="77777777" w:rsidTr="00D819DE">
        <w:trPr>
          <w:trHeight w:val="259"/>
        </w:trPr>
        <w:tc>
          <w:tcPr>
            <w:tcW w:w="1030" w:type="dxa"/>
            <w:vAlign w:val="center"/>
          </w:tcPr>
          <w:p w14:paraId="38874106"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33</w:t>
            </w:r>
          </w:p>
        </w:tc>
        <w:tc>
          <w:tcPr>
            <w:tcW w:w="7661" w:type="dxa"/>
            <w:shd w:val="clear" w:color="auto" w:fill="auto"/>
            <w:noWrap/>
            <w:vAlign w:val="bottom"/>
          </w:tcPr>
          <w:p w14:paraId="37D6527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write-down, permanent or temporary</w:t>
            </w:r>
          </w:p>
          <w:p w14:paraId="34260CB9"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For write down instrument, institutions shall specify whether write down is permanent or temporary. </w:t>
            </w:r>
          </w:p>
          <w:p w14:paraId="32C2F438"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[Permanent] [Temporary] [NA]</w:t>
            </w:r>
          </w:p>
        </w:tc>
      </w:tr>
      <w:tr w:rsidR="00C85971" w:rsidRPr="007F4CC8" w14:paraId="77828B7A" w14:textId="77777777" w:rsidTr="00D819DE">
        <w:trPr>
          <w:trHeight w:val="259"/>
        </w:trPr>
        <w:tc>
          <w:tcPr>
            <w:tcW w:w="1030" w:type="dxa"/>
            <w:vAlign w:val="center"/>
          </w:tcPr>
          <w:p w14:paraId="6A4CA3C0"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34</w:t>
            </w:r>
          </w:p>
        </w:tc>
        <w:tc>
          <w:tcPr>
            <w:tcW w:w="7661" w:type="dxa"/>
            <w:shd w:val="clear" w:color="auto" w:fill="auto"/>
            <w:noWrap/>
            <w:vAlign w:val="bottom"/>
          </w:tcPr>
          <w:p w14:paraId="1932E4F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If temporary write-down, description of write-up mechanism </w:t>
            </w:r>
          </w:p>
          <w:p w14:paraId="508717B2"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describe the write-up mechanism.</w:t>
            </w:r>
          </w:p>
          <w:p w14:paraId="69A4EF70"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154793E4" w14:textId="77777777" w:rsidTr="00D819DE">
        <w:trPr>
          <w:trHeight w:val="259"/>
        </w:trPr>
        <w:tc>
          <w:tcPr>
            <w:tcW w:w="1030" w:type="dxa"/>
            <w:vAlign w:val="center"/>
          </w:tcPr>
          <w:p w14:paraId="662DC7D2"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34a</w:t>
            </w:r>
          </w:p>
        </w:tc>
        <w:tc>
          <w:tcPr>
            <w:tcW w:w="7661" w:type="dxa"/>
            <w:shd w:val="clear" w:color="auto" w:fill="auto"/>
            <w:noWrap/>
            <w:vAlign w:val="bottom"/>
          </w:tcPr>
          <w:p w14:paraId="0557B0E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Type of subordination (only for eligible liabilities)</w:t>
            </w:r>
          </w:p>
          <w:p w14:paraId="102AAA85"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Institutions shall specify whether the instrument meets any of the types of subordination described in point (d)(i), (ii) and (iii) of Article 72b(2) CRR. </w:t>
            </w:r>
          </w:p>
          <w:p w14:paraId="4FDC7BEB"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lastRenderedPageBreak/>
              <w:t>Select from menu:</w:t>
            </w:r>
          </w:p>
          <w:p w14:paraId="588ACAC6"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 [Contractual] if the instrument meets the requirements set out in point (d)(i) of Article 72b(2) CRR;</w:t>
            </w:r>
          </w:p>
          <w:p w14:paraId="5F91F70D"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 [Statutory] if the instrument meets the requirements set out in point (d)(ii) of Article 72b(2) CRR;</w:t>
            </w:r>
          </w:p>
          <w:p w14:paraId="7DBFA7DA"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 xml:space="preserve">[Structural] if the instrument meets the requirements set out in in point (d)(iii) of Article 72b(2) CRR; </w:t>
            </w:r>
          </w:p>
          <w:p w14:paraId="3C97593F"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[Exemption from subordination] where the instrument does not meet any of the abovementioned forms of subordination and provided the institution has been permitted, pursuant to Article 72b(4) CRR, to include unsubordinated liabilities as eligible liabilities items.</w:t>
            </w:r>
          </w:p>
        </w:tc>
      </w:tr>
      <w:tr w:rsidR="00C85971" w:rsidRPr="007F4CC8" w14:paraId="338C8AE0" w14:textId="77777777" w:rsidTr="00D819DE">
        <w:trPr>
          <w:trHeight w:val="259"/>
        </w:trPr>
        <w:tc>
          <w:tcPr>
            <w:tcW w:w="1030" w:type="dxa"/>
            <w:vAlign w:val="center"/>
          </w:tcPr>
          <w:p w14:paraId="760148AC"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lastRenderedPageBreak/>
              <w:t>EU-34b</w:t>
            </w:r>
          </w:p>
        </w:tc>
        <w:tc>
          <w:tcPr>
            <w:tcW w:w="7661" w:type="dxa"/>
            <w:shd w:val="clear" w:color="auto" w:fill="auto"/>
            <w:noWrap/>
            <w:vAlign w:val="bottom"/>
          </w:tcPr>
          <w:p w14:paraId="2A4DED3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Ranking of the instrument in normal insolvency proceedings</w:t>
            </w:r>
          </w:p>
          <w:p w14:paraId="0A912A46"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ranking of the instrument in normal insolvency proceedings.</w:t>
            </w:r>
          </w:p>
          <w:p w14:paraId="7E0F7F1E"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i/>
                <w:sz w:val="24"/>
                <w:lang w:eastAsia="ja-JP"/>
              </w:rPr>
              <w:t>As defined in [ITS on MREL reporting].</w:t>
            </w:r>
          </w:p>
        </w:tc>
      </w:tr>
      <w:tr w:rsidR="00C85971" w:rsidRPr="007F4CC8" w14:paraId="0010F19A" w14:textId="77777777" w:rsidTr="00D819DE">
        <w:trPr>
          <w:trHeight w:val="259"/>
        </w:trPr>
        <w:tc>
          <w:tcPr>
            <w:tcW w:w="1030" w:type="dxa"/>
            <w:vAlign w:val="center"/>
          </w:tcPr>
          <w:p w14:paraId="31B87949"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35</w:t>
            </w:r>
          </w:p>
        </w:tc>
        <w:tc>
          <w:tcPr>
            <w:tcW w:w="7661" w:type="dxa"/>
            <w:shd w:val="clear" w:color="auto" w:fill="auto"/>
            <w:noWrap/>
            <w:vAlign w:val="bottom"/>
          </w:tcPr>
          <w:p w14:paraId="0D11AB0E"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Position in subordination hierarchy in liquidation (specify instrument type immediately senior to instrument)</w:t>
            </w:r>
          </w:p>
          <w:p w14:paraId="79DC012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the instrument to which it is most immediately subordinate. Where applicable, banks shall specify the column numbers of the instruments in the completed main features table to which the instrument is most immediately subordinate.</w:t>
            </w:r>
          </w:p>
          <w:p w14:paraId="08249FBE"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772A47FC" w14:textId="77777777" w:rsidTr="00D819DE">
        <w:trPr>
          <w:trHeight w:val="259"/>
        </w:trPr>
        <w:tc>
          <w:tcPr>
            <w:tcW w:w="1030" w:type="dxa"/>
            <w:vAlign w:val="center"/>
          </w:tcPr>
          <w:p w14:paraId="25114F8D"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36</w:t>
            </w:r>
          </w:p>
        </w:tc>
        <w:tc>
          <w:tcPr>
            <w:tcW w:w="7661" w:type="dxa"/>
            <w:shd w:val="clear" w:color="auto" w:fill="auto"/>
            <w:noWrap/>
            <w:vAlign w:val="bottom"/>
          </w:tcPr>
          <w:p w14:paraId="2425AD51"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Non-compliant transitioned features</w:t>
            </w:r>
          </w:p>
          <w:p w14:paraId="5476BC6A"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specify whether there are non-compliant features.</w:t>
            </w:r>
          </w:p>
          <w:p w14:paraId="6A270CFD"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Select from menu: [Yes] [No]</w:t>
            </w:r>
          </w:p>
        </w:tc>
      </w:tr>
      <w:tr w:rsidR="00C85971" w:rsidRPr="007F4CC8" w14:paraId="54FB02B7" w14:textId="77777777" w:rsidTr="00D819DE">
        <w:trPr>
          <w:trHeight w:val="259"/>
        </w:trPr>
        <w:tc>
          <w:tcPr>
            <w:tcW w:w="1030" w:type="dxa"/>
            <w:vAlign w:val="center"/>
          </w:tcPr>
          <w:p w14:paraId="2C1874FA"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37</w:t>
            </w:r>
          </w:p>
        </w:tc>
        <w:tc>
          <w:tcPr>
            <w:tcW w:w="7661" w:type="dxa"/>
            <w:shd w:val="clear" w:color="auto" w:fill="auto"/>
            <w:noWrap/>
            <w:vAlign w:val="bottom"/>
          </w:tcPr>
          <w:p w14:paraId="414C59FC"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If yes, specify non-compliant features</w:t>
            </w:r>
          </w:p>
          <w:p w14:paraId="2924F71C"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 xml:space="preserve">If there are non-compliant features, institution shall specify which ones. </w:t>
            </w:r>
          </w:p>
          <w:p w14:paraId="0A28A97E" w14:textId="77777777" w:rsidR="00C85971" w:rsidRPr="007F4CC8" w:rsidRDefault="00C85971" w:rsidP="00D819DE">
            <w:pPr>
              <w:spacing w:after="200"/>
              <w:jc w:val="both"/>
              <w:rPr>
                <w:rFonts w:ascii="Times New Roman" w:eastAsia="Times New Roman" w:hAnsi="Times New Roman" w:cs="Times New Roman"/>
                <w:i/>
                <w:sz w:val="24"/>
                <w:lang w:eastAsia="ja-JP"/>
              </w:rPr>
            </w:pPr>
            <w:r w:rsidRPr="007F4CC8">
              <w:rPr>
                <w:rFonts w:ascii="Times New Roman" w:eastAsia="Times New Roman" w:hAnsi="Times New Roman" w:cs="Times New Roman"/>
                <w:i/>
                <w:sz w:val="24"/>
                <w:lang w:eastAsia="ja-JP"/>
              </w:rPr>
              <w:t>Free text</w:t>
            </w:r>
          </w:p>
        </w:tc>
      </w:tr>
      <w:tr w:rsidR="00C85971" w:rsidRPr="007F4CC8" w14:paraId="50E96DB8" w14:textId="77777777" w:rsidTr="00D819DE">
        <w:trPr>
          <w:trHeight w:val="259"/>
        </w:trPr>
        <w:tc>
          <w:tcPr>
            <w:tcW w:w="1030" w:type="dxa"/>
            <w:vAlign w:val="center"/>
          </w:tcPr>
          <w:p w14:paraId="3CA40C4F" w14:textId="77777777" w:rsidR="00C85971" w:rsidRPr="007F4CC8" w:rsidRDefault="00C85971" w:rsidP="00D819DE">
            <w:pPr>
              <w:spacing w:after="200" w:line="276" w:lineRule="auto"/>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EU-37a</w:t>
            </w:r>
          </w:p>
        </w:tc>
        <w:tc>
          <w:tcPr>
            <w:tcW w:w="7661" w:type="dxa"/>
            <w:shd w:val="clear" w:color="auto" w:fill="auto"/>
            <w:noWrap/>
            <w:vAlign w:val="bottom"/>
          </w:tcPr>
          <w:p w14:paraId="7C7906C4"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Link to the full term and conditions of the instrument (signposting)</w:t>
            </w:r>
          </w:p>
          <w:p w14:paraId="4A0585C3" w14:textId="77777777" w:rsidR="00C85971" w:rsidRPr="007F4CC8" w:rsidRDefault="00C85971" w:rsidP="00D819DE">
            <w:pPr>
              <w:spacing w:after="200"/>
              <w:jc w:val="both"/>
              <w:rPr>
                <w:rFonts w:ascii="Times New Roman" w:eastAsia="Times New Roman" w:hAnsi="Times New Roman" w:cs="Times New Roman"/>
                <w:sz w:val="24"/>
                <w:lang w:eastAsia="ja-JP"/>
              </w:rPr>
            </w:pPr>
            <w:r w:rsidRPr="007F4CC8">
              <w:rPr>
                <w:rFonts w:ascii="Times New Roman" w:eastAsia="Times New Roman" w:hAnsi="Times New Roman" w:cs="Times New Roman"/>
                <w:sz w:val="24"/>
                <w:lang w:eastAsia="ja-JP"/>
              </w:rPr>
              <w:t>Institutions shall include the hyperlink that gives access to the prospectus of the issuance, including all the terms and conditions of the instrument.</w:t>
            </w:r>
          </w:p>
        </w:tc>
      </w:tr>
    </w:tbl>
    <w:p w14:paraId="26230A8E" w14:textId="77777777" w:rsidR="00C85971" w:rsidRPr="007F4CC8" w:rsidRDefault="00C85971" w:rsidP="00C85971">
      <w:pPr>
        <w:rPr>
          <w:rFonts w:ascii="Times New Roman" w:hAnsi="Times New Roman" w:cs="Times New Roman"/>
          <w:bCs/>
          <w:sz w:val="24"/>
        </w:rPr>
        <w:sectPr w:rsidR="00C85971" w:rsidRPr="007F4CC8" w:rsidSect="00155C96">
          <w:headerReference w:type="even" r:id="rId7"/>
          <w:headerReference w:type="default" r:id="rId8"/>
          <w:footerReference w:type="even" r:id="rId9"/>
          <w:footerReference w:type="default" r:id="rId10"/>
          <w:headerReference w:type="first" r:id="rId11"/>
          <w:footerReference w:type="first" r:id="rId12"/>
          <w:pgSz w:w="11900" w:h="16840"/>
          <w:pgMar w:top="2268" w:right="1418" w:bottom="1134" w:left="1701" w:header="709" w:footer="709" w:gutter="0"/>
          <w:pgNumType w:start="1" w:chapStyle="1"/>
          <w:cols w:space="708"/>
          <w:docGrid w:linePitch="299"/>
        </w:sectPr>
      </w:pPr>
    </w:p>
    <w:p w14:paraId="2958B3D7" w14:textId="77777777" w:rsidR="004E3F4D" w:rsidRDefault="004E3F4D"/>
    <w:sectPr w:rsidR="004E3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6DA2" w14:textId="77777777" w:rsidR="00F31365" w:rsidRDefault="00F31365" w:rsidP="00C85971">
      <w:r>
        <w:separator/>
      </w:r>
    </w:p>
  </w:endnote>
  <w:endnote w:type="continuationSeparator" w:id="0">
    <w:p w14:paraId="2F78553C" w14:textId="77777777" w:rsidR="00F31365" w:rsidRDefault="00F31365" w:rsidP="00C8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A7893" w14:textId="77777777" w:rsidR="00C85971" w:rsidRDefault="00C8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977093"/>
      <w:docPartObj>
        <w:docPartGallery w:val="Page Numbers (Bottom of Page)"/>
        <w:docPartUnique/>
      </w:docPartObj>
    </w:sdtPr>
    <w:sdtEndPr>
      <w:rPr>
        <w:noProof/>
      </w:rPr>
    </w:sdtEndPr>
    <w:sdtContent>
      <w:p w14:paraId="7DADBA3A" w14:textId="77777777" w:rsidR="00C85971" w:rsidRDefault="00C85971">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0CCE5017" w14:textId="77777777" w:rsidR="00C85971" w:rsidRDefault="00C85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2E15A" w14:textId="77777777" w:rsidR="00C85971" w:rsidRDefault="00C8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A6D33" w14:textId="77777777" w:rsidR="00F31365" w:rsidRDefault="00F31365" w:rsidP="00C85971">
      <w:r>
        <w:separator/>
      </w:r>
    </w:p>
  </w:footnote>
  <w:footnote w:type="continuationSeparator" w:id="0">
    <w:p w14:paraId="11DDB8F0" w14:textId="77777777" w:rsidR="00F31365" w:rsidRDefault="00F31365" w:rsidP="00C85971">
      <w:r>
        <w:continuationSeparator/>
      </w:r>
    </w:p>
  </w:footnote>
  <w:footnote w:id="1">
    <w:p w14:paraId="34C0D36E" w14:textId="4C0F4880" w:rsidR="00E05386" w:rsidRPr="00E05386" w:rsidRDefault="00C85971" w:rsidP="00E05386">
      <w:pPr>
        <w:jc w:val="both"/>
        <w:rPr>
          <w:rFonts w:ascii="Times New Roman" w:eastAsiaTheme="minorHAnsi" w:hAnsi="Times New Roman" w:cs="Times New Roman"/>
          <w:sz w:val="18"/>
          <w:szCs w:val="18"/>
          <w:lang w:eastAsia="en-GB"/>
        </w:rPr>
      </w:pPr>
      <w:r w:rsidRPr="00E05386">
        <w:rPr>
          <w:rStyle w:val="FootnoteReference"/>
          <w:rFonts w:cstheme="minorHAnsi"/>
          <w:sz w:val="18"/>
        </w:rPr>
        <w:footnoteRef/>
      </w:r>
      <w:r w:rsidRPr="00E05386">
        <w:rPr>
          <w:rFonts w:cstheme="minorHAnsi"/>
          <w:sz w:val="18"/>
          <w:szCs w:val="18"/>
        </w:rPr>
        <w:t xml:space="preserve"> </w:t>
      </w:r>
      <w:r w:rsidRPr="00E05386">
        <w:rPr>
          <w:rFonts w:cstheme="minorHAnsi"/>
          <w:sz w:val="18"/>
          <w:szCs w:val="18"/>
        </w:rPr>
        <w:tab/>
      </w:r>
      <w:r w:rsidR="00E05386" w:rsidRPr="00E05386">
        <w:rPr>
          <w:sz w:val="18"/>
          <w:szCs w:val="18"/>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E05386" w:rsidRPr="00E05386">
        <w:rPr>
          <w:color w:val="444444"/>
          <w:sz w:val="18"/>
          <w:szCs w:val="18"/>
          <w:lang w:eastAsia="en-GB"/>
        </w:rPr>
        <w:t>(</w:t>
      </w:r>
      <w:hyperlink r:id="rId1" w:history="1">
        <w:r w:rsidR="00E05386" w:rsidRPr="00E05386">
          <w:rPr>
            <w:color w:val="800080"/>
            <w:sz w:val="18"/>
            <w:szCs w:val="18"/>
            <w:u w:val="single"/>
            <w:lang w:eastAsia="en-GB"/>
          </w:rPr>
          <w:t>OJ L 176, 27.6.2013, p. 1</w:t>
        </w:r>
      </w:hyperlink>
      <w:r w:rsidR="00E05386" w:rsidRPr="00E05386">
        <w:rPr>
          <w:color w:val="800080"/>
          <w:sz w:val="18"/>
          <w:szCs w:val="18"/>
          <w:u w:val="single"/>
          <w:lang w:eastAsia="en-GB"/>
        </w:rPr>
        <w:t xml:space="preserve">; </w:t>
      </w:r>
      <w:hyperlink r:id="rId2" w:history="1">
        <w:r w:rsidR="00E05386" w:rsidRPr="00E05386">
          <w:rPr>
            <w:rStyle w:val="Hyperlink"/>
            <w:sz w:val="18"/>
            <w:szCs w:val="18"/>
          </w:rPr>
          <w:t>Regulation - EU - 2024/1623 - EN - EUR-Lex (europa.eu)</w:t>
        </w:r>
      </w:hyperlink>
      <w:r w:rsidR="00E05386" w:rsidRPr="00E05386">
        <w:rPr>
          <w:color w:val="444444"/>
          <w:sz w:val="18"/>
          <w:szCs w:val="18"/>
          <w:lang w:eastAsia="en-GB"/>
        </w:rPr>
        <w:t>)</w:t>
      </w:r>
      <w:r w:rsidR="00E05386" w:rsidRPr="00E05386">
        <w:rPr>
          <w:sz w:val="18"/>
          <w:szCs w:val="18"/>
          <w:lang w:eastAsia="en-GB"/>
        </w:rPr>
        <w:t>.</w:t>
      </w:r>
    </w:p>
    <w:p w14:paraId="00404E50" w14:textId="647BF648" w:rsidR="00C85971" w:rsidRPr="00222AAB" w:rsidRDefault="00C85971" w:rsidP="00C85971">
      <w:pPr>
        <w:pStyle w:val="FootnoteText"/>
        <w:rPr>
          <w:rFonts w:cstheme="minorHAnsi"/>
        </w:rPr>
      </w:pPr>
    </w:p>
    <w:p w14:paraId="3E08FCB9" w14:textId="77777777" w:rsidR="00C85971" w:rsidRPr="00222AAB" w:rsidRDefault="00C85971" w:rsidP="00C85971">
      <w:pPr>
        <w:pStyle w:val="FootnoteText"/>
        <w:rPr>
          <w:rFonts w:cstheme="minorHAnsi"/>
        </w:rPr>
      </w:pPr>
    </w:p>
  </w:footnote>
  <w:footnote w:id="2">
    <w:p w14:paraId="79D41EBF" w14:textId="77777777" w:rsidR="00C85971" w:rsidRPr="00222AAB" w:rsidRDefault="00C85971" w:rsidP="00C85971">
      <w:pPr>
        <w:pStyle w:val="FootnoteText"/>
        <w:rPr>
          <w:rFonts w:cstheme="minorHAnsi"/>
        </w:rPr>
      </w:pPr>
    </w:p>
    <w:p w14:paraId="59AC6FEF" w14:textId="77777777" w:rsidR="00C85971" w:rsidRPr="00222AAB" w:rsidRDefault="00C85971" w:rsidP="00C85971">
      <w:pPr>
        <w:pStyle w:val="FootnoteText"/>
        <w:rPr>
          <w:rFonts w:cstheme="minorHAnsi"/>
        </w:rPr>
      </w:pPr>
    </w:p>
  </w:footnote>
  <w:footnote w:id="3">
    <w:p w14:paraId="474F090D" w14:textId="77777777" w:rsidR="00C85971" w:rsidRPr="00222AAB" w:rsidRDefault="00C85971" w:rsidP="00C85971">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Pr="00BB5993">
        <w:rPr>
          <w:rFonts w:cstheme="minorHAnsi"/>
        </w:rPr>
        <w:t>DIRECTIVE (EU) 2019/879 OF THE EUROPEAN PARLIAMENT AND OF THE COUNCIL of 20 May 2019 amending Directive 2014/59/EU as regards the loss-absorbing and recapitalisation capacity of credit institutions a</w:t>
      </w:r>
      <w:r w:rsidRPr="00222AAB">
        <w:rPr>
          <w:rFonts w:cstheme="minorHAnsi"/>
        </w:rPr>
        <w:t>nd investment firms and Directive 98/26/EC (OJ L 150, 7.6.2019, p. 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D79B" w14:textId="2F5C3B73" w:rsidR="00C85971" w:rsidRDefault="00E05386">
    <w:pPr>
      <w:pStyle w:val="Header"/>
    </w:pPr>
    <w:r>
      <w:rPr>
        <w:noProof/>
      </w:rPr>
      <mc:AlternateContent>
        <mc:Choice Requires="wps">
          <w:drawing>
            <wp:anchor distT="0" distB="0" distL="0" distR="0" simplePos="0" relativeHeight="251659264" behindDoc="0" locked="0" layoutInCell="1" allowOverlap="1" wp14:anchorId="00618692" wp14:editId="0C4D650A">
              <wp:simplePos x="635" y="635"/>
              <wp:positionH relativeFrom="page">
                <wp:align>left</wp:align>
              </wp:positionH>
              <wp:positionV relativeFrom="page">
                <wp:align>top</wp:align>
              </wp:positionV>
              <wp:extent cx="1273175" cy="376555"/>
              <wp:effectExtent l="0" t="0" r="3175" b="4445"/>
              <wp:wrapNone/>
              <wp:docPr id="1778809381"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13AA7659" w14:textId="0D8AEC75"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618692" id="_x0000_t202" coordsize="21600,21600" o:spt="202" path="m,l,21600r21600,l21600,xe">
              <v:stroke joinstyle="miter"/>
              <v:path gradientshapeok="t" o:connecttype="rect"/>
            </v:shapetype>
            <v:shape id="Text Box 2" o:spid="_x0000_s1026" type="#_x0000_t202" alt="EBA Regular Use" style="position:absolute;margin-left:0;margin-top:0;width:100.2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" filled="f" stroked="f">
              <v:fill o:detectmouseclick="t"/>
              <v:textbox style="mso-fit-shape-to-text:t" inset="20pt,15pt,0,0">
                <w:txbxContent>
                  <w:p w14:paraId="13AA7659" w14:textId="0D8AEC75"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EB7C" w14:textId="3473DD13" w:rsidR="00C85971" w:rsidRDefault="00E05386">
    <w:pPr>
      <w:pStyle w:val="Header"/>
    </w:pPr>
    <w:r>
      <w:rPr>
        <w:noProof/>
      </w:rPr>
      <mc:AlternateContent>
        <mc:Choice Requires="wps">
          <w:drawing>
            <wp:anchor distT="0" distB="0" distL="0" distR="0" simplePos="0" relativeHeight="251660288" behindDoc="0" locked="0" layoutInCell="1" allowOverlap="1" wp14:anchorId="5BF4F239" wp14:editId="776ABDFC">
              <wp:simplePos x="1076325" y="447675"/>
              <wp:positionH relativeFrom="page">
                <wp:align>left</wp:align>
              </wp:positionH>
              <wp:positionV relativeFrom="page">
                <wp:align>top</wp:align>
              </wp:positionV>
              <wp:extent cx="1273175" cy="376555"/>
              <wp:effectExtent l="0" t="0" r="3175" b="4445"/>
              <wp:wrapNone/>
              <wp:docPr id="5229062"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4960CC8F" w14:textId="21946EF4"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F4F239" id="_x0000_t202" coordsize="21600,21600" o:spt="202" path="m,l,21600r21600,l21600,xe">
              <v:stroke joinstyle="miter"/>
              <v:path gradientshapeok="t" o:connecttype="rect"/>
            </v:shapetype>
            <v:shape id="Text Box 3" o:spid="_x0000_s1027" type="#_x0000_t202" alt="EBA Regular Use" style="position:absolute;margin-left:0;margin-top:0;width:100.2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YdFAIAACIEAAAOAAAAZHJzL2Uyb0RvYy54bWysU01v2zAMvQ/YfxB0X+ykc7M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" filled="f" stroked="f">
              <v:fill o:detectmouseclick="t"/>
              <v:textbox style="mso-fit-shape-to-text:t" inset="20pt,15pt,0,0">
                <w:txbxContent>
                  <w:p w14:paraId="4960CC8F" w14:textId="21946EF4"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87E1" w14:textId="641F5E3F" w:rsidR="00C85971" w:rsidRDefault="00E05386">
    <w:pPr>
      <w:pStyle w:val="Header"/>
    </w:pPr>
    <w:r>
      <w:rPr>
        <w:noProof/>
      </w:rPr>
      <mc:AlternateContent>
        <mc:Choice Requires="wps">
          <w:drawing>
            <wp:anchor distT="0" distB="0" distL="0" distR="0" simplePos="0" relativeHeight="251658240" behindDoc="0" locked="0" layoutInCell="1" allowOverlap="1" wp14:anchorId="226F87F5" wp14:editId="24620C14">
              <wp:simplePos x="635" y="635"/>
              <wp:positionH relativeFrom="page">
                <wp:align>left</wp:align>
              </wp:positionH>
              <wp:positionV relativeFrom="page">
                <wp:align>top</wp:align>
              </wp:positionV>
              <wp:extent cx="1273175" cy="376555"/>
              <wp:effectExtent l="0" t="0" r="3175" b="4445"/>
              <wp:wrapNone/>
              <wp:docPr id="1899883283"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3222DE17" w14:textId="7EAEF916"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6F87F5" id="_x0000_t202" coordsize="21600,21600" o:spt="202" path="m,l,21600r21600,l21600,xe">
              <v:stroke joinstyle="miter"/>
              <v:path gradientshapeok="t" o:connecttype="rect"/>
            </v:shapetype>
            <v:shape id="Text Box 1" o:spid="_x0000_s1028" type="#_x0000_t202" alt="EBA Regular Use" style="position:absolute;margin-left:0;margin-top:0;width:100.2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zQDgIAABsEAAAOAAAAZHJzL2Uyb0RvYy54bWysU1tv2yAUfp+0/4B4X+ykc7N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" filled="f" stroked="f">
              <v:fill o:detectmouseclick="t"/>
              <v:textbox style="mso-fit-shape-to-text:t" inset="20pt,15pt,0,0">
                <w:txbxContent>
                  <w:p w14:paraId="3222DE17" w14:textId="7EAEF916" w:rsidR="00E05386" w:rsidRPr="00E05386" w:rsidRDefault="00E05386" w:rsidP="00E05386">
                    <w:pPr>
                      <w:rPr>
                        <w:rFonts w:ascii="Calibri" w:eastAsia="Calibri" w:hAnsi="Calibri" w:cs="Calibri"/>
                        <w:noProof/>
                        <w:color w:val="000000"/>
                        <w:sz w:val="24"/>
                      </w:rPr>
                    </w:pPr>
                    <w:r w:rsidRPr="00E05386">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D1785"/>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start w:val="1"/>
      <w:numFmt w:val="lowerRoman"/>
      <w:lvlText w:val="%3."/>
      <w:lvlJc w:val="right"/>
      <w:pPr>
        <w:tabs>
          <w:tab w:val="num" w:pos="540"/>
        </w:tabs>
        <w:ind w:left="540" w:hanging="180"/>
      </w:pPr>
    </w:lvl>
    <w:lvl w:ilvl="3" w:tplc="0809000F">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16cid:durableId="212932861">
    <w:abstractNumId w:val="1"/>
  </w:num>
  <w:num w:numId="2" w16cid:durableId="30541397">
    <w:abstractNumId w:val="2"/>
  </w:num>
  <w:num w:numId="3" w16cid:durableId="52482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92165"/>
    <w:rsid w:val="0023015D"/>
    <w:rsid w:val="004E3F4D"/>
    <w:rsid w:val="00992165"/>
    <w:rsid w:val="00C85971"/>
    <w:rsid w:val="00E05386"/>
    <w:rsid w:val="00F31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9EBD"/>
  <w15:chartTrackingRefBased/>
  <w15:docId w15:val="{45AD9854-D011-46A8-A2C2-0C983E6A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71"/>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C85971"/>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C85971"/>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C85971"/>
    <w:rPr>
      <w:rFonts w:asciiTheme="minorHAnsi" w:hAnsiTheme="minorHAnsi"/>
      <w:sz w:val="22"/>
      <w:szCs w:val="18"/>
      <w:vertAlign w:val="superscript"/>
    </w:rPr>
  </w:style>
  <w:style w:type="character" w:styleId="Hyperlink">
    <w:name w:val="Hyperlink"/>
    <w:basedOn w:val="DefaultParagraphFont"/>
    <w:uiPriority w:val="99"/>
    <w:rsid w:val="00C85971"/>
    <w:rPr>
      <w:color w:val="0563C1" w:themeColor="hyperlink"/>
      <w:u w:val="single"/>
    </w:rPr>
  </w:style>
  <w:style w:type="paragraph" w:customStyle="1" w:styleId="numberedparagraph">
    <w:name w:val="numbered paragraph"/>
    <w:basedOn w:val="Normal"/>
    <w:qFormat/>
    <w:rsid w:val="00C85971"/>
    <w:pPr>
      <w:numPr>
        <w:numId w:val="1"/>
      </w:numPr>
      <w:spacing w:before="240" w:after="120" w:line="276" w:lineRule="auto"/>
      <w:jc w:val="both"/>
    </w:pPr>
    <w:rPr>
      <w:lang w:val="en-US"/>
    </w:rPr>
  </w:style>
  <w:style w:type="paragraph" w:customStyle="1" w:styleId="Annexetitre">
    <w:name w:val="Annexe titre"/>
    <w:basedOn w:val="Normal"/>
    <w:next w:val="Normal"/>
    <w:rsid w:val="00C85971"/>
    <w:pPr>
      <w:spacing w:before="120" w:after="120"/>
      <w:jc w:val="center"/>
    </w:pPr>
    <w:rPr>
      <w:rFonts w:ascii="Times New Roman" w:eastAsia="Times New Roman" w:hAnsi="Times New Roman" w:cs="Times New Roman"/>
      <w:b/>
      <w:sz w:val="24"/>
      <w:u w:val="single"/>
    </w:rPr>
  </w:style>
  <w:style w:type="paragraph" w:styleId="ListParagraph">
    <w:name w:val="List Paragraph"/>
    <w:basedOn w:val="Normal"/>
    <w:uiPriority w:val="34"/>
    <w:qFormat/>
    <w:rsid w:val="00C85971"/>
    <w:pPr>
      <w:ind w:left="720"/>
    </w:pPr>
    <w:rPr>
      <w:rFonts w:ascii="Calibri" w:eastAsia="Calibri" w:hAnsi="Calibri" w:cs="Times New Roman"/>
      <w:szCs w:val="22"/>
    </w:rPr>
  </w:style>
  <w:style w:type="paragraph" w:customStyle="1" w:styleId="TableTitle">
    <w:name w:val="TableTitle"/>
    <w:basedOn w:val="Normal"/>
    <w:next w:val="Normal"/>
    <w:link w:val="TableTitleChar"/>
    <w:rsid w:val="00C85971"/>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C85971"/>
    <w:rPr>
      <w:rFonts w:ascii="Arial" w:eastAsia="MS Mincho" w:hAnsi="Arial" w:cs="Times New Roman"/>
      <w:b/>
      <w:noProof/>
      <w:szCs w:val="20"/>
    </w:rPr>
  </w:style>
  <w:style w:type="paragraph" w:styleId="Header">
    <w:name w:val="header"/>
    <w:basedOn w:val="Normal"/>
    <w:link w:val="HeaderChar"/>
    <w:uiPriority w:val="99"/>
    <w:unhideWhenUsed/>
    <w:rsid w:val="00C85971"/>
    <w:pPr>
      <w:tabs>
        <w:tab w:val="center" w:pos="4513"/>
        <w:tab w:val="right" w:pos="9026"/>
      </w:tabs>
    </w:pPr>
  </w:style>
  <w:style w:type="character" w:customStyle="1" w:styleId="HeaderChar">
    <w:name w:val="Header Char"/>
    <w:basedOn w:val="DefaultParagraphFont"/>
    <w:link w:val="Header"/>
    <w:uiPriority w:val="99"/>
    <w:rsid w:val="00C85971"/>
    <w:rPr>
      <w:rFonts w:eastAsiaTheme="minorEastAsia"/>
      <w:szCs w:val="24"/>
    </w:rPr>
  </w:style>
  <w:style w:type="paragraph" w:styleId="Footer">
    <w:name w:val="footer"/>
    <w:basedOn w:val="Normal"/>
    <w:link w:val="FooterChar"/>
    <w:uiPriority w:val="99"/>
    <w:unhideWhenUsed/>
    <w:rsid w:val="00C85971"/>
    <w:pPr>
      <w:tabs>
        <w:tab w:val="center" w:pos="4513"/>
        <w:tab w:val="right" w:pos="9026"/>
      </w:tabs>
    </w:pPr>
  </w:style>
  <w:style w:type="character" w:customStyle="1" w:styleId="FooterChar">
    <w:name w:val="Footer Char"/>
    <w:basedOn w:val="DefaultParagraphFont"/>
    <w:link w:val="Footer"/>
    <w:uiPriority w:val="99"/>
    <w:rsid w:val="00C85971"/>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1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24</Pages>
  <Words>6689</Words>
  <Characters>38128</Characters>
  <Application>Microsoft Office Word</Application>
  <DocSecurity>0</DocSecurity>
  <Lines>317</Lines>
  <Paragraphs>89</Paragraphs>
  <ScaleCrop>false</ScaleCrop>
  <Company>European Banking Authority</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 Chilan</dc:creator>
  <cp:keywords/>
  <dc:description/>
  <cp:lastModifiedBy>Lidja Schiavo</cp:lastModifiedBy>
  <cp:revision>3</cp:revision>
  <dcterms:created xsi:type="dcterms:W3CDTF">2021-03-11T11:52:00Z</dcterms:created>
  <dcterms:modified xsi:type="dcterms:W3CDTF">2024-06-19T10:22:00Z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713deb13,6a067a25,4fca06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ies>
</file>