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D1BF8" w14:textId="75B9CF23" w:rsidR="004E763F" w:rsidRPr="00BB1D4B" w:rsidRDefault="00C630BE" w:rsidP="00BB1D4B">
      <w:pPr>
        <w:pStyle w:val="Pagedecouverture"/>
      </w:pPr>
      <w:r>
        <w:pict w14:anchorId="6D0CD0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18DAEB4-EA78-4D21-B0CC-2201AC60B12D" style="width:455.1pt;height:331.5pt">
            <v:imagedata r:id="rId11" o:title=""/>
          </v:shape>
        </w:pict>
      </w:r>
    </w:p>
    <w:p w14:paraId="1986B6EA" w14:textId="77777777" w:rsidR="00CE1382" w:rsidRPr="00BB1D4B" w:rsidRDefault="00CE1382" w:rsidP="003838B9">
      <w:pPr>
        <w:sectPr w:rsidR="00CE1382" w:rsidRPr="00BB1D4B" w:rsidSect="00BB1D4B">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5ADCEA6B" w14:textId="50561E3B" w:rsidR="00C16484" w:rsidRPr="00BB1D4B" w:rsidRDefault="00BB1D4B" w:rsidP="00BB1D4B">
      <w:pPr>
        <w:pStyle w:val="Typedudocument"/>
      </w:pPr>
      <w:r w:rsidRPr="00BB1D4B">
        <w:lastRenderedPageBreak/>
        <w:t>IZVEDBENA UREDBA KOMISIJE (EU) …/…</w:t>
      </w:r>
    </w:p>
    <w:p w14:paraId="6819E66E" w14:textId="47D8DDE0" w:rsidR="00C16484" w:rsidRPr="00BB1D4B" w:rsidRDefault="00BB1D4B" w:rsidP="00BB1D4B">
      <w:pPr>
        <w:pStyle w:val="Datedadoption"/>
      </w:pPr>
      <w:r w:rsidRPr="00BB1D4B">
        <w:t xml:space="preserve">z dne </w:t>
      </w:r>
      <w:r w:rsidRPr="00BB1D4B">
        <w:rPr>
          <w:rStyle w:val="Marker2"/>
        </w:rPr>
        <w:t>XXX</w:t>
      </w:r>
    </w:p>
    <w:p w14:paraId="44AA08D1" w14:textId="44CFA456" w:rsidR="00C16484" w:rsidRPr="00BB1D4B" w:rsidRDefault="00BB1D4B" w:rsidP="00BB1D4B">
      <w:pPr>
        <w:pStyle w:val="Titreobjet"/>
      </w:pPr>
      <w:r w:rsidRPr="00BB1D4B">
        <w:t>o spremembi izvedbenih tehničnih standardov iz Izvedbene uredbe (EU) 2021/622 v zvezi s pogostostjo poročanja in informacijami, ki jih je treba sporočiti</w:t>
      </w:r>
    </w:p>
    <w:p w14:paraId="4A210142" w14:textId="73B04E84" w:rsidR="00C16484" w:rsidRPr="00BB1D4B" w:rsidRDefault="00BB1D4B" w:rsidP="00BB1D4B">
      <w:pPr>
        <w:pStyle w:val="IntrtEEE"/>
      </w:pPr>
      <w:r w:rsidRPr="00BB1D4B">
        <w:t>(Besedilo velja za EGP)</w:t>
      </w:r>
    </w:p>
    <w:p w14:paraId="6F3A17D1" w14:textId="77777777" w:rsidR="00C16484" w:rsidRPr="00BB1D4B" w:rsidRDefault="00C16484">
      <w:pPr>
        <w:pStyle w:val="Institutionquiagit"/>
      </w:pPr>
      <w:r w:rsidRPr="00BB1D4B">
        <w:t>EVROPSKA KOMISIJA JE –</w:t>
      </w:r>
    </w:p>
    <w:p w14:paraId="22B09AC6" w14:textId="77777777" w:rsidR="00C16484" w:rsidRPr="00BB1D4B" w:rsidRDefault="00C16484">
      <w:r w:rsidRPr="00BB1D4B">
        <w:rPr>
          <w:color w:val="000000"/>
        </w:rPr>
        <w:t>ob upoštevanju Pogodbe o delovanju Evropske unije</w:t>
      </w:r>
      <w:r w:rsidRPr="00BB1D4B">
        <w:t>,</w:t>
      </w:r>
    </w:p>
    <w:p w14:paraId="6C2E5C7E" w14:textId="77777777" w:rsidR="00C16484" w:rsidRPr="00BB1D4B" w:rsidRDefault="00C16484">
      <w:r w:rsidRPr="00BB1D4B">
        <w:t>ob upoštevanju Direktive 2014/59/EU Evropskega parlamenta in Sveta z dne 15. maja 2014 o vzpostavitvi okvira za sanacijo ter reševanje kreditnih institucij in investicijskih podjetij ter o spremembi Šeste direktive Sveta 82/891/EGS ter direktiv 2001/24/ES, 2002/47/ES, 2004/25/ES, 2005/56/ES, 2007/36/ES, 2011/35/EU, 2012/30/EU in 2013/36/EU in uredb (EU) št. 1093/2010 ter (EU) št. 648/2012 Evropskega parlamenta in Sveta</w:t>
      </w:r>
      <w:r w:rsidRPr="00BB1D4B">
        <w:rPr>
          <w:rStyle w:val="FootnoteReference"/>
        </w:rPr>
        <w:footnoteReference w:id="2"/>
      </w:r>
      <w:r w:rsidRPr="00BB1D4B">
        <w:t xml:space="preserve"> ter zlasti člena 45j(2), tretji pododstavek, Direktive,</w:t>
      </w:r>
    </w:p>
    <w:p w14:paraId="499F4150" w14:textId="77777777" w:rsidR="00C16484" w:rsidRPr="00BB1D4B" w:rsidRDefault="00C16484">
      <w:r w:rsidRPr="00BB1D4B">
        <w:t>ob upoštevanju naslednjega:</w:t>
      </w:r>
    </w:p>
    <w:p w14:paraId="7D99777F" w14:textId="77777777" w:rsidR="003428AE" w:rsidRPr="00BB1D4B" w:rsidRDefault="003428AE" w:rsidP="004B4C38">
      <w:pPr>
        <w:pStyle w:val="Considrant"/>
        <w:numPr>
          <w:ilvl w:val="0"/>
          <w:numId w:val="2"/>
        </w:numPr>
        <w:rPr>
          <w:iCs/>
          <w:noProof/>
        </w:rPr>
      </w:pPr>
      <w:r w:rsidRPr="00BB1D4B">
        <w:t>Z Direktivo (EU) 2024/1174 Evropskega parlamenta in Sveta</w:t>
      </w:r>
      <w:r w:rsidRPr="00BB1D4B">
        <w:rPr>
          <w:rStyle w:val="FootnoteReference"/>
          <w:iCs/>
          <w:noProof/>
        </w:rPr>
        <w:footnoteReference w:id="3"/>
      </w:r>
      <w:r w:rsidRPr="00BB1D4B">
        <w:t xml:space="preserve"> so bili spremenjeni nekateri vidiki minimalne zahteve glede kapitala in kvalificiranih obveznosti (MREL) iz Direktive 2014/59/EU. V skladu s temi spremembami organi za reševanje ne bi smeli določati MREL za subjekte za likvidacijo, razen kadar je določitev MREL, ki presega znesek, zadosten za pokrivanje izgub, potrebna za zaščito finančne stabilnosti ali obravnavanje tveganja širjenja negativnih posledic po finančnem sistemu, tudi v zvezi z zmožnostjo financiranja sistemov jamstva za vloge. Poleg tega se je z Direktivo (EU) 2024/1174 povečalo število primerov, v katerih lahko organi za reševanje določijo MREL na konsolidirani podlagi. Izvedbeno uredbo Komisije (EU) 2021/622</w:t>
      </w:r>
      <w:r w:rsidRPr="00BB1D4B">
        <w:rPr>
          <w:rStyle w:val="FootnoteReference"/>
          <w:iCs/>
          <w:noProof/>
        </w:rPr>
        <w:footnoteReference w:id="4"/>
      </w:r>
      <w:r w:rsidRPr="00BB1D4B">
        <w:t xml:space="preserve"> bi bilo treba spremeniti, da se te spremembe okvira za MREL upoštevajo v informacijah, ki jih je treba posredovati Evropskemu bančnemu organu (EBA).</w:t>
      </w:r>
    </w:p>
    <w:p w14:paraId="038A3063" w14:textId="77777777" w:rsidR="00C16484" w:rsidRPr="00BB1D4B" w:rsidRDefault="00A05FAB" w:rsidP="008B6AF9">
      <w:pPr>
        <w:pStyle w:val="Considrant"/>
        <w:numPr>
          <w:ilvl w:val="0"/>
          <w:numId w:val="2"/>
        </w:numPr>
        <w:rPr>
          <w:iCs/>
          <w:noProof/>
        </w:rPr>
      </w:pPr>
      <w:r w:rsidRPr="00BB1D4B">
        <w:t>V skladu z Izvedbeno uredbo (EU) 2021/622 morajo trenutno organi za reševanje EBA vsako leto posredovati informacije v zvezi z določitvijo MREL. EBA nato te informacije združi z informacijami o sestavi kapitala in kvalificiranih obveznosti, pridobljenimi na podlagi Izvedbene uredbe Komisije (EU) 2021/763</w:t>
      </w:r>
      <w:r w:rsidRPr="00BB1D4B">
        <w:rPr>
          <w:rStyle w:val="FootnoteReference"/>
          <w:noProof/>
        </w:rPr>
        <w:footnoteReference w:id="5"/>
      </w:r>
      <w:r w:rsidRPr="00BB1D4B">
        <w:t>, da pripravi poročilo o MREL v skladu s členom 45 l Direktive 2014/59/EU, ki se trenutno pripravlja dvakrat letno. Trenutno letno poročanje informacij o določitvi MREL pomeni, da EBA odločitev o MREL, ki jih organi za reševanje sprejmejo po ustreznem referenčnem datumu, ne prejme ali oceni do naslednjega leta in jih ne upošteva v svojih poročilih, zaradi česar niso skladna z bolj aktualnimi informacijami o sestavi kapitala in kvalificiranih obveznosti.</w:t>
      </w:r>
    </w:p>
    <w:p w14:paraId="676EF325" w14:textId="77777777" w:rsidR="00C16484" w:rsidRPr="00BB1D4B" w:rsidRDefault="00C16484" w:rsidP="004B4C38">
      <w:pPr>
        <w:pStyle w:val="Considrant"/>
        <w:numPr>
          <w:ilvl w:val="0"/>
          <w:numId w:val="2"/>
        </w:numPr>
        <w:rPr>
          <w:iCs/>
          <w:noProof/>
        </w:rPr>
      </w:pPr>
      <w:r w:rsidRPr="00BB1D4B">
        <w:t xml:space="preserve">Da bi se izboljšala sposobnost EBA za spremljanje in ocenjevanje MREL, ki jo določijo organi za reševanje, in skladnosti institucij z zahtevami glede MREL, bi bilo treba od organov za reševanje zahtevati, da EBA pogosteje poročajo o odločitvah v zvezi z MREL. Za zagotovitev usklajenosti s poročili o MREL, ki jih pripravi EBA, bi morali organi za reševanje te informacije poročati dvakrat letno. </w:t>
      </w:r>
    </w:p>
    <w:p w14:paraId="2672C096" w14:textId="77777777" w:rsidR="00C16484" w:rsidRPr="00BB1D4B" w:rsidRDefault="00C16484" w:rsidP="004B4C38">
      <w:pPr>
        <w:pStyle w:val="Considrant"/>
        <w:numPr>
          <w:ilvl w:val="0"/>
          <w:numId w:val="2"/>
        </w:numPr>
        <w:rPr>
          <w:noProof/>
        </w:rPr>
      </w:pPr>
      <w:r w:rsidRPr="00BB1D4B">
        <w:t>Da bi EBA lažje ocenil, kako so organi za reševanje uporabljali lastno presojo pri določanju MREL, zlasti v zvezi z možnostjo, ki je na voljo na podlagi člena 45b(4), prvi pododstavek, Direktive 2014/59/EU, bi bilo treba predlogo M 20.00 – Poročanje o odločitvah v zvezi z MREL (Priloga I k Uredbi (EU) 2021/622) in ustrezna navodila prilagoditi tako, da se zahteva vključitev informacij o uporabi te možnosti.</w:t>
      </w:r>
    </w:p>
    <w:p w14:paraId="1B5314C9" w14:textId="77777777" w:rsidR="00C16484" w:rsidRPr="00BB1D4B" w:rsidRDefault="00C16484" w:rsidP="004B4C38">
      <w:pPr>
        <w:pStyle w:val="Considrant"/>
        <w:numPr>
          <w:ilvl w:val="0"/>
          <w:numId w:val="2"/>
        </w:numPr>
        <w:rPr>
          <w:noProof/>
        </w:rPr>
      </w:pPr>
      <w:r w:rsidRPr="00BB1D4B">
        <w:t>EBA je zaprosil za nasvet interesno skupino za bančništvo, ustanovljeno v skladu s členom 37 Uredbe (EU) št. 1093/2010 Evropskega parlamenta in Sveta</w:t>
      </w:r>
      <w:r w:rsidRPr="00BB1D4B">
        <w:rPr>
          <w:rStyle w:val="FootnoteReference"/>
          <w:noProof/>
        </w:rPr>
        <w:footnoteReference w:id="6"/>
      </w:r>
      <w:r w:rsidRPr="00BB1D4B">
        <w:t xml:space="preserve">. </w:t>
      </w:r>
    </w:p>
    <w:p w14:paraId="5D5111C6" w14:textId="77777777" w:rsidR="00C16484" w:rsidRPr="00BB1D4B" w:rsidRDefault="00373FC4" w:rsidP="004B4C38">
      <w:pPr>
        <w:pStyle w:val="Considrant"/>
        <w:numPr>
          <w:ilvl w:val="0"/>
          <w:numId w:val="2"/>
        </w:numPr>
        <w:rPr>
          <w:noProof/>
        </w:rPr>
      </w:pPr>
      <w:r w:rsidRPr="00BB1D4B">
        <w:t xml:space="preserve">Spremembe Uredbe (EU) 2021/622 so naslovljene na organe za reševanje in ne vključujejo bistvenih vsebinskih sprememb. EBA zato v skladu s členom 15(1), drugi pododstavek, Uredbe (EU) št. 1093/2010 ni opravil odprtih javnih posvetovanj niti analiziral morebitnih povezanih stroškov in koristi, saj bi bilo to nesorazmerno glede na področje uporabe in učinek zadevnega osnutka izvedbenih tehničnih standardov. </w:t>
      </w:r>
    </w:p>
    <w:p w14:paraId="0A23BFF6" w14:textId="77777777" w:rsidR="00C16484" w:rsidRPr="00BB1D4B" w:rsidRDefault="00C16484" w:rsidP="004B4C38">
      <w:pPr>
        <w:pStyle w:val="Considrant"/>
        <w:numPr>
          <w:ilvl w:val="0"/>
          <w:numId w:val="2"/>
        </w:numPr>
        <w:rPr>
          <w:noProof/>
        </w:rPr>
      </w:pPr>
      <w:r w:rsidRPr="00BB1D4B">
        <w:t>Izvedbeno uredbo (EU) 2021/622 bi bilo zato treba ustrezno spremeniti.</w:t>
      </w:r>
    </w:p>
    <w:p w14:paraId="1887EA7B" w14:textId="77777777" w:rsidR="00C16484" w:rsidRPr="00BB1D4B" w:rsidRDefault="00C16484" w:rsidP="004B4C38">
      <w:pPr>
        <w:pStyle w:val="Considrant"/>
        <w:numPr>
          <w:ilvl w:val="0"/>
          <w:numId w:val="2"/>
        </w:numPr>
        <w:rPr>
          <w:noProof/>
        </w:rPr>
      </w:pPr>
      <w:r w:rsidRPr="00BB1D4B">
        <w:t>Ta uredba temelji na osnutku izvedbenih tehničnih standardov, ki ga je EBA predložil Komisiji –</w:t>
      </w:r>
    </w:p>
    <w:p w14:paraId="313B274F" w14:textId="77777777" w:rsidR="00C16484" w:rsidRPr="00BB1D4B" w:rsidRDefault="00C16484">
      <w:pPr>
        <w:pStyle w:val="Formuledadoption"/>
      </w:pPr>
      <w:r w:rsidRPr="00BB1D4B">
        <w:t>SPREJELA NASLEDNJO UREDBO:</w:t>
      </w:r>
    </w:p>
    <w:p w14:paraId="455FC522" w14:textId="77777777" w:rsidR="00C16484" w:rsidRPr="00BB1D4B" w:rsidRDefault="00C16484">
      <w:pPr>
        <w:pStyle w:val="Titrearticle"/>
      </w:pPr>
      <w:r w:rsidRPr="00BB1D4B">
        <w:t>Člen 1</w:t>
      </w:r>
    </w:p>
    <w:p w14:paraId="061A957A" w14:textId="77777777" w:rsidR="00C16484" w:rsidRPr="00BB1D4B" w:rsidRDefault="00C16484" w:rsidP="00C16484">
      <w:pPr>
        <w:rPr>
          <w:noProof/>
        </w:rPr>
      </w:pPr>
      <w:r w:rsidRPr="00BB1D4B">
        <w:t>Izvedbena uredba (EU) 2021/622 se spremeni:</w:t>
      </w:r>
    </w:p>
    <w:p w14:paraId="44E520EB" w14:textId="77777777" w:rsidR="00C16484" w:rsidRPr="00BB1D4B" w:rsidRDefault="00C16484" w:rsidP="00783A3B">
      <w:pPr>
        <w:pStyle w:val="Point0number"/>
        <w:numPr>
          <w:ilvl w:val="0"/>
          <w:numId w:val="6"/>
        </w:numPr>
        <w:rPr>
          <w:noProof/>
        </w:rPr>
      </w:pPr>
      <w:r w:rsidRPr="00BB1D4B">
        <w:t>člen 2 se spremeni:</w:t>
      </w:r>
    </w:p>
    <w:p w14:paraId="252CA8AC" w14:textId="77777777" w:rsidR="00C16484" w:rsidRPr="00BB1D4B" w:rsidRDefault="00C16484" w:rsidP="00783A3B">
      <w:pPr>
        <w:pStyle w:val="Point1letter"/>
        <w:rPr>
          <w:noProof/>
        </w:rPr>
      </w:pPr>
      <w:r w:rsidRPr="00BB1D4B">
        <w:t>naslov se nadomesti z naslednjim:</w:t>
      </w:r>
    </w:p>
    <w:p w14:paraId="3D4F8508" w14:textId="77777777" w:rsidR="00C16484" w:rsidRPr="00BB1D4B" w:rsidRDefault="00C16484" w:rsidP="00783A3B">
      <w:pPr>
        <w:jc w:val="center"/>
        <w:rPr>
          <w:noProof/>
        </w:rPr>
      </w:pPr>
      <w:r w:rsidRPr="00BB1D4B">
        <w:t>„</w:t>
      </w:r>
      <w:r w:rsidRPr="00BB1D4B">
        <w:rPr>
          <w:b/>
        </w:rPr>
        <w:t>Poenostavljene zahteve glede poročanja za institucije, za katere veljajo opustitve</w:t>
      </w:r>
      <w:r w:rsidRPr="00BB1D4B">
        <w:t>“;</w:t>
      </w:r>
    </w:p>
    <w:p w14:paraId="2EAF66BD" w14:textId="77777777" w:rsidR="00C16484" w:rsidRPr="00BB1D4B" w:rsidRDefault="00C16484" w:rsidP="00783A3B">
      <w:pPr>
        <w:pStyle w:val="Point1letter"/>
        <w:rPr>
          <w:noProof/>
        </w:rPr>
      </w:pPr>
      <w:r w:rsidRPr="00BB1D4B">
        <w:t>odstavek 2 se črta;</w:t>
      </w:r>
    </w:p>
    <w:p w14:paraId="1A052A8B" w14:textId="77777777" w:rsidR="00C16484" w:rsidRPr="00BB1D4B" w:rsidRDefault="00C16484" w:rsidP="00783A3B">
      <w:pPr>
        <w:pStyle w:val="Point0number"/>
        <w:rPr>
          <w:noProof/>
        </w:rPr>
      </w:pPr>
      <w:r w:rsidRPr="00BB1D4B">
        <w:t>v členu 3 se uvodno besedilo nadomesti z naslednjim:</w:t>
      </w:r>
    </w:p>
    <w:p w14:paraId="533DCDB8" w14:textId="77777777" w:rsidR="00C16484" w:rsidRPr="00BB1D4B" w:rsidRDefault="00C16484" w:rsidP="00783A3B">
      <w:pPr>
        <w:rPr>
          <w:noProof/>
        </w:rPr>
      </w:pPr>
      <w:r w:rsidRPr="00BB1D4B">
        <w:t>„Za skupine, za katere velja minimalna zahteva glede kapitala in kvalificiranih obveznosti na konsolidirani podlagi na podlagi člena 45e, člena 45f(1), tretji in četrti pododstavek, in člena 45f(4), točka (b), Direktive 2014/59/EU, informacije iz členov 1 in 2 predložijo naslednji organi na naslednji način:“;</w:t>
      </w:r>
    </w:p>
    <w:p w14:paraId="0509E0AB" w14:textId="77777777" w:rsidR="00C16484" w:rsidRPr="00BB1D4B" w:rsidRDefault="00C16484" w:rsidP="00783A3B">
      <w:pPr>
        <w:pStyle w:val="Point0number"/>
        <w:rPr>
          <w:noProof/>
        </w:rPr>
      </w:pPr>
      <w:r w:rsidRPr="00BB1D4B">
        <w:t>člen 4 se nadomesti z naslednjim:</w:t>
      </w:r>
    </w:p>
    <w:p w14:paraId="66FCA4E9" w14:textId="77777777" w:rsidR="00C16484" w:rsidRPr="00BB1D4B" w:rsidRDefault="00D47F83" w:rsidP="00783A3B">
      <w:pPr>
        <w:pStyle w:val="Titrearticle"/>
        <w:rPr>
          <w:i w:val="0"/>
          <w:iCs/>
          <w:noProof/>
        </w:rPr>
      </w:pPr>
      <w:r w:rsidRPr="00BB1D4B">
        <w:rPr>
          <w:i w:val="0"/>
        </w:rPr>
        <w:t>„</w:t>
      </w:r>
      <w:r w:rsidRPr="00BB1D4B">
        <w:t xml:space="preserve">Člen 4 </w:t>
      </w:r>
      <w:r w:rsidRPr="00BB1D4B">
        <w:br/>
      </w:r>
      <w:r w:rsidRPr="00BB1D4B">
        <w:rPr>
          <w:b/>
          <w:i w:val="0"/>
        </w:rPr>
        <w:t>Obdobja poročanja in datumi predložitve</w:t>
      </w:r>
    </w:p>
    <w:p w14:paraId="054F5F9B" w14:textId="77777777" w:rsidR="00C16484" w:rsidRPr="00BB1D4B" w:rsidRDefault="00C16484" w:rsidP="00783A3B">
      <w:pPr>
        <w:rPr>
          <w:noProof/>
        </w:rPr>
      </w:pPr>
      <w:r w:rsidRPr="00BB1D4B">
        <w:t>Organi za reševanje informacije iz členov 1 in 2 posredujejo, kot sledi:</w:t>
      </w:r>
    </w:p>
    <w:p w14:paraId="5113726F" w14:textId="77777777" w:rsidR="00C16484" w:rsidRPr="00BB1D4B" w:rsidRDefault="00C16484" w:rsidP="00783A3B">
      <w:pPr>
        <w:pStyle w:val="Point1letter"/>
        <w:rPr>
          <w:noProof/>
        </w:rPr>
      </w:pPr>
      <w:r w:rsidRPr="00BB1D4B">
        <w:t>za zahtevo glede kapitala in kvalificiranih obveznosti, ki se uporablja od 30. junija, do 16. septembra zadevnega leta;</w:t>
      </w:r>
    </w:p>
    <w:p w14:paraId="7219DDD8" w14:textId="77777777" w:rsidR="00C16484" w:rsidRPr="00BB1D4B" w:rsidRDefault="00C16484" w:rsidP="00783A3B">
      <w:pPr>
        <w:pStyle w:val="Point1letter"/>
        <w:rPr>
          <w:noProof/>
        </w:rPr>
      </w:pPr>
      <w:r w:rsidRPr="00BB1D4B">
        <w:t>za zahtevo glede kapitala in kvalificiranih obveznosti, ki se uporablja od 31. decembra, do 18. marca naslednjega leta.“;</w:t>
      </w:r>
    </w:p>
    <w:p w14:paraId="65609948" w14:textId="77777777" w:rsidR="00C16484" w:rsidRPr="00BB1D4B" w:rsidRDefault="00C16484" w:rsidP="00783A3B">
      <w:pPr>
        <w:pStyle w:val="Point0number"/>
        <w:rPr>
          <w:noProof/>
        </w:rPr>
      </w:pPr>
      <w:r w:rsidRPr="00BB1D4B">
        <w:t>Priloga I se nadomesti z besedilom iz Priloge I k tej uredbi;</w:t>
      </w:r>
    </w:p>
    <w:p w14:paraId="45E55C10" w14:textId="77777777" w:rsidR="00C16484" w:rsidRPr="00BB1D4B" w:rsidRDefault="00C16484" w:rsidP="00783A3B">
      <w:pPr>
        <w:pStyle w:val="Point0number"/>
        <w:rPr>
          <w:noProof/>
        </w:rPr>
      </w:pPr>
      <w:r w:rsidRPr="00BB1D4B">
        <w:t>Priloga II se nadomesti z besedilom iz Priloge II k tej uredbi.</w:t>
      </w:r>
    </w:p>
    <w:p w14:paraId="0B09A3CA" w14:textId="77777777" w:rsidR="00C16484" w:rsidRPr="00BB1D4B" w:rsidRDefault="00C16484">
      <w:pPr>
        <w:pStyle w:val="Titrearticle"/>
      </w:pPr>
      <w:r w:rsidRPr="00BB1D4B">
        <w:t>Člen 2</w:t>
      </w:r>
    </w:p>
    <w:p w14:paraId="0BDD24EC" w14:textId="77777777" w:rsidR="00C16484" w:rsidRPr="00BB1D4B" w:rsidRDefault="00C16484" w:rsidP="00830365">
      <w:r w:rsidRPr="00BB1D4B">
        <w:t>Ta uredba začne veljati dvajseti dan po objavi v </w:t>
      </w:r>
      <w:r w:rsidRPr="00BB1D4B">
        <w:rPr>
          <w:i/>
        </w:rPr>
        <w:t>Uradnem listu Evropske unije</w:t>
      </w:r>
      <w:r w:rsidRPr="00BB1D4B">
        <w:t>.</w:t>
      </w:r>
    </w:p>
    <w:p w14:paraId="3DDE2F7A" w14:textId="77777777" w:rsidR="00C16484" w:rsidRPr="00BB1D4B" w:rsidRDefault="00C16484">
      <w:pPr>
        <w:pStyle w:val="Applicationdirecte"/>
      </w:pPr>
      <w:r w:rsidRPr="00BB1D4B">
        <w:t>Ta uredba je v celoti zavezujoča in se neposredno uporablja v vseh državah članicah.</w:t>
      </w:r>
    </w:p>
    <w:p w14:paraId="0FD02893" w14:textId="4139C2B7" w:rsidR="00C16484" w:rsidRPr="00BB1D4B" w:rsidRDefault="00BB1D4B" w:rsidP="00BB1D4B">
      <w:pPr>
        <w:pStyle w:val="Fait"/>
      </w:pPr>
      <w:r w:rsidRPr="00BB1D4B">
        <w:t>V Bruslju,</w:t>
      </w:r>
    </w:p>
    <w:p w14:paraId="3FB14D4B" w14:textId="77777777" w:rsidR="00C16484" w:rsidRPr="00BB1D4B" w:rsidRDefault="00C16484" w:rsidP="00C16484">
      <w:pPr>
        <w:pStyle w:val="Institutionquisigne"/>
      </w:pPr>
      <w:r w:rsidRPr="00BB1D4B">
        <w:tab/>
        <w:t>Za Komisijo</w:t>
      </w:r>
    </w:p>
    <w:p w14:paraId="0FEF1170" w14:textId="0CD182DE" w:rsidR="00C16484" w:rsidRPr="00BB1D4B" w:rsidRDefault="00C16484" w:rsidP="00C16484">
      <w:pPr>
        <w:pStyle w:val="Personnequisigne"/>
      </w:pPr>
      <w:r w:rsidRPr="00BB1D4B">
        <w:tab/>
        <w:t xml:space="preserve">predsednica </w:t>
      </w:r>
      <w:r w:rsidRPr="00BB1D4B">
        <w:br/>
      </w:r>
      <w:r w:rsidRPr="00BB1D4B">
        <w:tab/>
        <w:t xml:space="preserve">Ursula von der Leyen </w:t>
      </w:r>
      <w:r w:rsidRPr="00BB1D4B">
        <w:br/>
      </w:r>
      <w:r w:rsidRPr="00BB1D4B">
        <w:tab/>
      </w:r>
    </w:p>
    <w:sectPr w:rsidR="00C16484" w:rsidRPr="00BB1D4B" w:rsidSect="00BB1D4B">
      <w:headerReference w:type="even" r:id="rId18"/>
      <w:footerReference w:type="even" r:id="rId19"/>
      <w:footerReference w:type="default" r:id="rId20"/>
      <w:headerReference w:type="first" r:id="rId21"/>
      <w:footerReference w:type="first" r:id="rId22"/>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D8F0" w14:textId="77777777" w:rsidR="00F07F26" w:rsidRDefault="00F07F26" w:rsidP="00C16484">
      <w:pPr>
        <w:spacing w:before="0" w:after="0"/>
      </w:pPr>
      <w:r>
        <w:separator/>
      </w:r>
    </w:p>
  </w:endnote>
  <w:endnote w:type="continuationSeparator" w:id="0">
    <w:p w14:paraId="61DF8EAB" w14:textId="77777777" w:rsidR="00F07F26" w:rsidRDefault="00F07F26" w:rsidP="00C16484">
      <w:pPr>
        <w:spacing w:before="0" w:after="0"/>
      </w:pPr>
      <w:r>
        <w:continuationSeparator/>
      </w:r>
    </w:p>
  </w:endnote>
  <w:endnote w:type="continuationNotice" w:id="1">
    <w:p w14:paraId="04F6DC9C" w14:textId="77777777" w:rsidR="00F07F26" w:rsidRDefault="00F07F2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7C7BF" w14:textId="2D73D3C8" w:rsidR="00BB1D4B" w:rsidRPr="00BB1D4B" w:rsidRDefault="00BB1D4B" w:rsidP="00BB1D4B">
    <w:pPr>
      <w:pStyle w:val="Footer"/>
      <w:rPr>
        <w:rFonts w:ascii="Arial" w:hAnsi="Arial" w:cs="Arial"/>
        <w:b/>
        <w:sz w:val="48"/>
      </w:rPr>
    </w:pPr>
    <w:r w:rsidRPr="00BB1D4B">
      <w:rPr>
        <w:rFonts w:ascii="Arial" w:hAnsi="Arial" w:cs="Arial"/>
        <w:b/>
        <w:sz w:val="48"/>
      </w:rPr>
      <w:t>SL</w:t>
    </w:r>
    <w:r w:rsidRPr="00BB1D4B">
      <w:rPr>
        <w:rFonts w:ascii="Arial" w:hAnsi="Arial" w:cs="Arial"/>
        <w:b/>
        <w:sz w:val="48"/>
      </w:rPr>
      <w:tab/>
    </w:r>
    <w:r w:rsidRPr="00BB1D4B">
      <w:rPr>
        <w:rFonts w:ascii="Arial" w:hAnsi="Arial" w:cs="Arial"/>
        <w:b/>
        <w:sz w:val="48"/>
      </w:rPr>
      <w:tab/>
    </w:r>
    <w:r w:rsidRPr="00BB1D4B">
      <w:tab/>
    </w:r>
    <w:r w:rsidRPr="00BB1D4B">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5535" w14:textId="25C3B5CD" w:rsidR="00BB1D4B" w:rsidRPr="00BB1D4B" w:rsidRDefault="00BB1D4B" w:rsidP="00BB1D4B">
    <w:pPr>
      <w:pStyle w:val="Footer"/>
      <w:rPr>
        <w:rFonts w:ascii="Arial" w:hAnsi="Arial" w:cs="Arial"/>
        <w:b/>
        <w:sz w:val="48"/>
      </w:rPr>
    </w:pPr>
    <w:r w:rsidRPr="00BB1D4B">
      <w:rPr>
        <w:rFonts w:ascii="Arial" w:hAnsi="Arial" w:cs="Arial"/>
        <w:b/>
        <w:sz w:val="48"/>
      </w:rPr>
      <w:t>SL</w:t>
    </w:r>
    <w:r w:rsidRPr="00BB1D4B">
      <w:rPr>
        <w:rFonts w:ascii="Arial" w:hAnsi="Arial" w:cs="Arial"/>
        <w:b/>
        <w:sz w:val="48"/>
      </w:rPr>
      <w:tab/>
    </w:r>
    <w:r w:rsidRPr="00BB1D4B">
      <w:rPr>
        <w:rFonts w:ascii="Arial" w:hAnsi="Arial" w:cs="Arial"/>
        <w:b/>
        <w:sz w:val="48"/>
      </w:rPr>
      <w:tab/>
    </w:r>
    <w:r w:rsidRPr="00BB1D4B">
      <w:tab/>
    </w:r>
    <w:r w:rsidRPr="00BB1D4B">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FAE3" w14:textId="77777777" w:rsidR="00BB1D4B" w:rsidRPr="00BB1D4B" w:rsidRDefault="00BB1D4B" w:rsidP="00BB1D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02728" w14:textId="77777777" w:rsidR="000C320E" w:rsidRPr="00DC5E29" w:rsidRDefault="000C320E" w:rsidP="00DC5E29">
    <w:pPr>
      <w:pStyle w:val="Footer"/>
      <w:rPr>
        <w:rFonts w:ascii="Arial" w:hAnsi="Arial" w:cs="Arial"/>
        <w:b/>
        <w:sz w:val="4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03CD0" w14:textId="6CA65F53" w:rsidR="00BB1D4B" w:rsidRPr="00BB1D4B" w:rsidRDefault="00BB1D4B" w:rsidP="00BB1D4B">
    <w:pPr>
      <w:pStyle w:val="Footer"/>
      <w:rPr>
        <w:rFonts w:ascii="Arial" w:hAnsi="Arial" w:cs="Arial"/>
        <w:b/>
        <w:sz w:val="48"/>
      </w:rPr>
    </w:pPr>
    <w:r w:rsidRPr="00BB1D4B">
      <w:rPr>
        <w:rFonts w:ascii="Arial" w:hAnsi="Arial" w:cs="Arial"/>
        <w:b/>
        <w:sz w:val="48"/>
      </w:rPr>
      <w:t>SL</w:t>
    </w:r>
    <w:r w:rsidRPr="00BB1D4B">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BB1D4B">
      <w:tab/>
    </w:r>
    <w:r w:rsidRPr="00BB1D4B">
      <w:rPr>
        <w:rFonts w:ascii="Arial" w:hAnsi="Arial" w:cs="Arial"/>
        <w:b/>
        <w:sz w:val="48"/>
      </w:rPr>
      <w:t>SL</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02C19" w14:textId="77777777" w:rsidR="000C320E" w:rsidRDefault="000C320E" w:rsidP="00BB1D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04942" w14:textId="77777777" w:rsidR="00F07F26" w:rsidRDefault="00F07F26" w:rsidP="00C16484">
      <w:pPr>
        <w:spacing w:before="0" w:after="0"/>
      </w:pPr>
      <w:r>
        <w:separator/>
      </w:r>
    </w:p>
  </w:footnote>
  <w:footnote w:type="continuationSeparator" w:id="0">
    <w:p w14:paraId="298144EA" w14:textId="77777777" w:rsidR="00F07F26" w:rsidRDefault="00F07F26" w:rsidP="00C16484">
      <w:pPr>
        <w:spacing w:before="0" w:after="0"/>
      </w:pPr>
      <w:r>
        <w:continuationSeparator/>
      </w:r>
    </w:p>
  </w:footnote>
  <w:footnote w:type="continuationNotice" w:id="1">
    <w:p w14:paraId="57F8940A" w14:textId="77777777" w:rsidR="00F07F26" w:rsidRDefault="00F07F26">
      <w:pPr>
        <w:spacing w:before="0" w:after="0"/>
      </w:pPr>
    </w:p>
  </w:footnote>
  <w:footnote w:id="2">
    <w:p w14:paraId="33763137" w14:textId="77777777" w:rsidR="00C16484" w:rsidRPr="002A43D8" w:rsidRDefault="00C16484" w:rsidP="00C16484">
      <w:pPr>
        <w:pStyle w:val="FootnoteText"/>
      </w:pPr>
      <w:r>
        <w:rPr>
          <w:rStyle w:val="FootnoteReference"/>
        </w:rPr>
        <w:footnoteRef/>
      </w:r>
      <w:r>
        <w:tab/>
        <w:t>UL L 173, 12.6.2014, str. 190, ELI: </w:t>
      </w:r>
      <w:hyperlink r:id="rId1" w:tooltip="Povezava ELI na ta dokument" w:history="1">
        <w:r>
          <w:rPr>
            <w:rStyle w:val="Hyperlink"/>
            <w:rFonts w:ascii="Times New Roman" w:hAnsi="Times New Roman"/>
          </w:rPr>
          <w:t>http://data.europa.eu/eli/dir/2014/59/oj</w:t>
        </w:r>
      </w:hyperlink>
      <w:r>
        <w:t xml:space="preserve">. </w:t>
      </w:r>
    </w:p>
  </w:footnote>
  <w:footnote w:id="3">
    <w:p w14:paraId="584AEAAA" w14:textId="78F88551" w:rsidR="003428AE" w:rsidRPr="009B0295" w:rsidRDefault="003428AE">
      <w:pPr>
        <w:pStyle w:val="FootnoteText"/>
      </w:pPr>
      <w:r>
        <w:rPr>
          <w:rStyle w:val="FootnoteReference"/>
        </w:rPr>
        <w:footnoteRef/>
      </w:r>
      <w:r>
        <w:tab/>
        <w:t xml:space="preserve">Direktiva (EU) 2024/1174 Evropskega parlamenta in Sveta z dne 11. aprila 2024 o spremembi Direktive 2014/59/EU in Uredbe (EU) št. 806/2014 glede določenih vidikov minimalne zahteve glede kapitala in kvalificiranih obveznosti (UL L, 2024/1174, 22.4.2024, ELI: </w:t>
      </w:r>
      <w:hyperlink r:id="rId2" w:history="1">
        <w:r>
          <w:rPr>
            <w:rStyle w:val="Hyperlink"/>
            <w:rFonts w:ascii="Times New Roman" w:hAnsi="Times New Roman"/>
          </w:rPr>
          <w:t>http://data.europa.eu/eli/dir/2024/1174/oj</w:t>
        </w:r>
      </w:hyperlink>
      <w:r>
        <w:t xml:space="preserve">). </w:t>
      </w:r>
    </w:p>
  </w:footnote>
  <w:footnote w:id="4">
    <w:p w14:paraId="4D1953DF" w14:textId="607C22C8" w:rsidR="001F4496" w:rsidRPr="009B0295" w:rsidRDefault="001F4496">
      <w:pPr>
        <w:pStyle w:val="FootnoteText"/>
      </w:pPr>
      <w:r>
        <w:rPr>
          <w:rStyle w:val="FootnoteReference"/>
        </w:rPr>
        <w:footnoteRef/>
      </w:r>
      <w:r>
        <w:tab/>
        <w:t xml:space="preserve">Izvedbena uredba Komisije (EU) 2021/622 z dne 15. aprila 2021 o določitvi izvedbenih tehničnih standardov za uporabo Direktive 2014/59/EU Evropskega parlamenta in Sveta v zvezi z enotnimi predlogami za poročanje, navodili in metodologijo za poročanje o minimalni zahtevi glede kapitala in kvalificiranih obveznosti (UL L 131, 16.4.2021, str. 123, ELI: </w:t>
      </w:r>
      <w:hyperlink r:id="rId3" w:history="1">
        <w:r>
          <w:rPr>
            <w:rStyle w:val="Hyperlink"/>
            <w:rFonts w:ascii="Times New Roman" w:hAnsi="Times New Roman"/>
          </w:rPr>
          <w:t>http://data.europa.eu/eli/reg_impl/2021/622/oj</w:t>
        </w:r>
      </w:hyperlink>
      <w:r>
        <w:t>).</w:t>
      </w:r>
    </w:p>
  </w:footnote>
  <w:footnote w:id="5">
    <w:p w14:paraId="5FB3833A" w14:textId="77777777" w:rsidR="000B5B60" w:rsidRPr="000B5B60" w:rsidRDefault="000B5B60">
      <w:pPr>
        <w:pStyle w:val="FootnoteText"/>
      </w:pPr>
      <w:r>
        <w:rPr>
          <w:rStyle w:val="FootnoteReference"/>
        </w:rPr>
        <w:footnoteRef/>
      </w:r>
      <w:r>
        <w:tab/>
        <w:t xml:space="preserve">Izvedbena uredba Komisije (EU) 2021/763 z dne 23. aprila 2021 o določitvi izvedbenih tehničnih standardov za uporabo Uredbe (EU) št. 575/2013 Evropskega parlamenta in Sveta ter Direktive 2014/59/EU Evropskega parlamenta in Sveta v zvezi z nadzorniškim poročanjem ter javnim razkritjem minimalne zahteve glede kapitala in kvalificiranih obveznosti (UL L 168, 12.5.2021, str. 1, ELI: </w:t>
      </w:r>
      <w:hyperlink r:id="rId4" w:history="1">
        <w:r>
          <w:rPr>
            <w:rStyle w:val="Hyperlink"/>
            <w:rFonts w:ascii="Times New Roman" w:hAnsi="Times New Roman"/>
          </w:rPr>
          <w:t>http://data.europa.eu/eli/reg_impl/2021/763/oj</w:t>
        </w:r>
      </w:hyperlink>
      <w:r>
        <w:t>).</w:t>
      </w:r>
    </w:p>
  </w:footnote>
  <w:footnote w:id="6">
    <w:p w14:paraId="04BE3385" w14:textId="77777777" w:rsidR="00401F3A" w:rsidRPr="00FE7BD1" w:rsidRDefault="00401F3A" w:rsidP="00F35BD7">
      <w:pPr>
        <w:pStyle w:val="FootnoteText"/>
      </w:pPr>
      <w:r>
        <w:rPr>
          <w:rStyle w:val="FootnoteReference"/>
        </w:rPr>
        <w:footnoteRef/>
      </w:r>
      <w:r>
        <w:tab/>
        <w:t>Uredba (EU) št. 1093/2010 Evropskega parlamenta in Sveta z dne 24. novembra 2010 o ustanovitvi Evropskega nadzornega organa (Evropski bančni organ) in o spremembi Sklepa št. 716/2009/ES ter razveljavitvi Sklepa Komisije 2009/78/ES (UL L 331, 15.12.2010, str. 12, ELI: </w:t>
      </w:r>
      <w:hyperlink r:id="rId5" w:tooltip="Povezava ELI na ta dokument" w:history="1">
        <w:r>
          <w:rPr>
            <w:rStyle w:val="Hyperlink"/>
            <w:rFonts w:ascii="Times New Roman" w:hAnsi="Times New Roman"/>
          </w:rPr>
          <w:t>http://data.europa.eu/eli/reg/2010/1093/oj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4090B" w14:textId="77777777" w:rsidR="00BB1D4B" w:rsidRPr="00BB1D4B" w:rsidRDefault="00BB1D4B" w:rsidP="00BB1D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527EA" w14:textId="77777777" w:rsidR="00BB1D4B" w:rsidRPr="00BB1D4B" w:rsidRDefault="00BB1D4B" w:rsidP="00BB1D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F0ECB" w14:textId="77777777" w:rsidR="00BB1D4B" w:rsidRPr="00BB1D4B" w:rsidRDefault="00BB1D4B" w:rsidP="00BB1D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C1D2" w14:textId="77777777" w:rsidR="000C320E" w:rsidRDefault="000C320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310A3" w14:textId="77777777" w:rsidR="000C320E" w:rsidRDefault="000C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91B8BE2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BE568320"/>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CAC2908"/>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125511920">
    <w:abstractNumId w:val="3"/>
  </w:num>
  <w:num w:numId="2" w16cid:durableId="784347441">
    <w:abstractNumId w:val="18"/>
    <w:lvlOverride w:ilvl="0">
      <w:startOverride w:val="1"/>
    </w:lvlOverride>
  </w:num>
  <w:num w:numId="3" w16cid:durableId="2119445392">
    <w:abstractNumId w:val="2"/>
  </w:num>
  <w:num w:numId="4" w16cid:durableId="1881360427">
    <w:abstractNumId w:val="1"/>
  </w:num>
  <w:num w:numId="5" w16cid:durableId="309334442">
    <w:abstractNumId w:val="0"/>
  </w:num>
  <w:num w:numId="6" w16cid:durableId="8610950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89693441">
    <w:abstractNumId w:val="15"/>
  </w:num>
  <w:num w:numId="8" w16cid:durableId="1693998065">
    <w:abstractNumId w:val="8"/>
  </w:num>
  <w:num w:numId="9" w16cid:durableId="788817884">
    <w:abstractNumId w:val="17"/>
  </w:num>
  <w:num w:numId="10" w16cid:durableId="1535464848">
    <w:abstractNumId w:val="7"/>
  </w:num>
  <w:num w:numId="11" w16cid:durableId="639657071">
    <w:abstractNumId w:val="9"/>
  </w:num>
  <w:num w:numId="12" w16cid:durableId="361050661">
    <w:abstractNumId w:val="10"/>
  </w:num>
  <w:num w:numId="13" w16cid:durableId="472790552">
    <w:abstractNumId w:val="5"/>
  </w:num>
  <w:num w:numId="14" w16cid:durableId="384646725">
    <w:abstractNumId w:val="16"/>
  </w:num>
  <w:num w:numId="15" w16cid:durableId="2031682509">
    <w:abstractNumId w:val="4"/>
  </w:num>
  <w:num w:numId="16" w16cid:durableId="150604668">
    <w:abstractNumId w:val="11"/>
  </w:num>
  <w:num w:numId="17" w16cid:durableId="472332852">
    <w:abstractNumId w:val="13"/>
  </w:num>
  <w:num w:numId="18" w16cid:durableId="1298296966">
    <w:abstractNumId w:val="14"/>
  </w:num>
  <w:num w:numId="19" w16cid:durableId="1306230484">
    <w:abstractNumId w:val="6"/>
  </w:num>
  <w:num w:numId="20" w16cid:durableId="24066917">
    <w:abstractNumId w:val="12"/>
  </w:num>
  <w:num w:numId="21" w16cid:durableId="485436588">
    <w:abstractNumId w:val="18"/>
  </w:num>
  <w:num w:numId="22" w16cid:durableId="2089693441">
    <w:abstractNumId w:val="15"/>
  </w:num>
  <w:num w:numId="23" w16cid:durableId="1693998065">
    <w:abstractNumId w:val="8"/>
  </w:num>
  <w:num w:numId="24" w16cid:durableId="788817884">
    <w:abstractNumId w:val="17"/>
  </w:num>
  <w:num w:numId="25" w16cid:durableId="1535464848">
    <w:abstractNumId w:val="7"/>
  </w:num>
  <w:num w:numId="26" w16cid:durableId="639657071">
    <w:abstractNumId w:val="9"/>
  </w:num>
  <w:num w:numId="27" w16cid:durableId="361050661">
    <w:abstractNumId w:val="10"/>
  </w:num>
  <w:num w:numId="28" w16cid:durableId="472790552">
    <w:abstractNumId w:val="5"/>
  </w:num>
  <w:num w:numId="29" w16cid:durableId="384646725">
    <w:abstractNumId w:val="16"/>
  </w:num>
  <w:num w:numId="30" w16cid:durableId="2031682509">
    <w:abstractNumId w:val="4"/>
  </w:num>
  <w:num w:numId="31" w16cid:durableId="150604668">
    <w:abstractNumId w:val="11"/>
  </w:num>
  <w:num w:numId="32" w16cid:durableId="472332852">
    <w:abstractNumId w:val="13"/>
  </w:num>
  <w:num w:numId="33" w16cid:durableId="1298296966">
    <w:abstractNumId w:val="14"/>
  </w:num>
  <w:num w:numId="34" w16cid:durableId="1306230484">
    <w:abstractNumId w:val="6"/>
  </w:num>
  <w:num w:numId="35" w16cid:durableId="24066917">
    <w:abstractNumId w:val="12"/>
  </w:num>
  <w:num w:numId="36" w16cid:durableId="48543658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QCDateTime" w:val="2026-01-30 11:59:32"/>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18DAEB4-EA78-4D21-B0CC-2201AC60B12D"/>
    <w:docVar w:name="LW_COVERPAGE_TYPE" w:val="1"/>
    <w:docVar w:name="LW_CreatedUtc" w:val="2025-09-04T16:00:38.0896335Z"/>
    <w:docVar w:name="LW_CROSSREFERENCE" w:val="&lt;UNUSED&gt;"/>
    <w:docVar w:name="LW_DATE.ADOPT.CP" w:val="z dne XXX"/>
    <w:docVar w:name="LW_DATE.ADOPT.CP_DATEFORMAT" w:val="z dne %DATE%"/>
    <w:docVar w:name="LW_DATE.ADOPT.CP_ISODATE" w:val="&lt;EMPTY&gt;"/>
    <w:docVar w:name="LW_DocType" w:val="COM"/>
    <w:docVar w:name="LW_EMISSION" w:val="&lt;EMPTY&gt;"/>
    <w:docVar w:name="LW_EMISSION_ISODATE" w:val="&lt;EMPTY&gt;"/>
    <w:docVar w:name="LW_EMISSION_LOCATION" w:val="BRX"/>
    <w:docVar w:name="LW_EMISSION_PREFIX" w:val="Bruselj, "/>
    <w:docVar w:name="LW_EMISSION_SUFFIX" w:val=" "/>
    <w:docVar w:name="LW_ID_DOCMODEL" w:val="SJ-004"/>
    <w:docVar w:name="LW_ID_DOCSIGNATURE" w:val="SJ-004"/>
    <w:docVar w:name="LW_ID_DOCSTRUCTURE" w:val="COM/AA"/>
    <w:docVar w:name="LW_ID_DOCTYPE" w:val="SJ-004"/>
    <w:docVar w:name="LW_INTERETEEE.CP" w:val="(Besedilo velja za EGP)"/>
    <w:docVar w:name="LW_LANGUE" w:val="SL"/>
    <w:docVar w:name="LW_LANGUESFAISANTFOI.CP" w:val="&lt;UNUSED&gt;"/>
    <w:docVar w:name="LW_LEVEL_OF_SENSITIVITY" w:val="Standard treatment"/>
    <w:docVar w:name="LW_NOM.INST" w:val="EVROPSKA KOMISIJA"/>
    <w:docVar w:name="LW_NOM.INST_JOINTDOC" w:val="&lt;EMPTY&gt;"/>
    <w:docVar w:name="LW_PART_NBR" w:val="1"/>
    <w:docVar w:name="LW_PART_NBR_TOTAL" w:val="1"/>
    <w:docVar w:name="LW_REF.INST.NEW" w:val="&lt;EMPTY&gt;"/>
    <w:docVar w:name="LW_REF.INST.NEW_ADOPTED" w:val="draft"/>
    <w:docVar w:name="LW_REF.INST.NEW_TEXT" w:val="(2026) XXX"/>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spremembi izvedbenih tehni\u269?nih standardov iz Izvedbene uredbe (EU) 2021/622 v zvezi s pogostostjo poro\u269?anja in informacijami, ki jih je treba sporo\u269?iti"/>
    <w:docVar w:name="LW_TYPE.DOC.CP" w:val="IZVEDBENA UREDBA KOMISIJE (EU) \u8230?/\u8230?"/>
  </w:docVars>
  <w:rsids>
    <w:rsidRoot w:val="00C16484"/>
    <w:rsid w:val="00000BE0"/>
    <w:rsid w:val="00004831"/>
    <w:rsid w:val="00016399"/>
    <w:rsid w:val="000417C4"/>
    <w:rsid w:val="00045B9F"/>
    <w:rsid w:val="000625FB"/>
    <w:rsid w:val="00075947"/>
    <w:rsid w:val="000A663E"/>
    <w:rsid w:val="000B5B60"/>
    <w:rsid w:val="000B7A7D"/>
    <w:rsid w:val="000C320E"/>
    <w:rsid w:val="000D3BC2"/>
    <w:rsid w:val="000E5499"/>
    <w:rsid w:val="00115188"/>
    <w:rsid w:val="001151E7"/>
    <w:rsid w:val="00125199"/>
    <w:rsid w:val="0013305B"/>
    <w:rsid w:val="00143ED4"/>
    <w:rsid w:val="00152894"/>
    <w:rsid w:val="0017762B"/>
    <w:rsid w:val="0018141D"/>
    <w:rsid w:val="001A25E7"/>
    <w:rsid w:val="001A6BDC"/>
    <w:rsid w:val="001E3098"/>
    <w:rsid w:val="001E39BF"/>
    <w:rsid w:val="001F2AC0"/>
    <w:rsid w:val="001F4496"/>
    <w:rsid w:val="00214607"/>
    <w:rsid w:val="002259CF"/>
    <w:rsid w:val="002266B1"/>
    <w:rsid w:val="00235A60"/>
    <w:rsid w:val="00244085"/>
    <w:rsid w:val="00244C17"/>
    <w:rsid w:val="00244DFD"/>
    <w:rsid w:val="00246E59"/>
    <w:rsid w:val="00264589"/>
    <w:rsid w:val="0029415E"/>
    <w:rsid w:val="002A43D8"/>
    <w:rsid w:val="002A753D"/>
    <w:rsid w:val="002B37B6"/>
    <w:rsid w:val="002D6B17"/>
    <w:rsid w:val="002F1710"/>
    <w:rsid w:val="0030490D"/>
    <w:rsid w:val="00313AC1"/>
    <w:rsid w:val="00325B37"/>
    <w:rsid w:val="00331377"/>
    <w:rsid w:val="003428AE"/>
    <w:rsid w:val="00353536"/>
    <w:rsid w:val="00364262"/>
    <w:rsid w:val="00373FC4"/>
    <w:rsid w:val="0038290C"/>
    <w:rsid w:val="003838B9"/>
    <w:rsid w:val="00396ACD"/>
    <w:rsid w:val="003B10ED"/>
    <w:rsid w:val="003E05B8"/>
    <w:rsid w:val="003E3FC7"/>
    <w:rsid w:val="003E7D8F"/>
    <w:rsid w:val="003F2A70"/>
    <w:rsid w:val="00401F3A"/>
    <w:rsid w:val="00406CBA"/>
    <w:rsid w:val="004138D9"/>
    <w:rsid w:val="004211F5"/>
    <w:rsid w:val="0042702A"/>
    <w:rsid w:val="0043068A"/>
    <w:rsid w:val="00437AA5"/>
    <w:rsid w:val="004518ED"/>
    <w:rsid w:val="00485F6A"/>
    <w:rsid w:val="004918DE"/>
    <w:rsid w:val="00492396"/>
    <w:rsid w:val="004B4C38"/>
    <w:rsid w:val="004D7D54"/>
    <w:rsid w:val="004E19F9"/>
    <w:rsid w:val="004E763F"/>
    <w:rsid w:val="004F04FA"/>
    <w:rsid w:val="004F588A"/>
    <w:rsid w:val="004F6513"/>
    <w:rsid w:val="00506B49"/>
    <w:rsid w:val="00507FF2"/>
    <w:rsid w:val="00517205"/>
    <w:rsid w:val="0052508D"/>
    <w:rsid w:val="00534D3A"/>
    <w:rsid w:val="0054013D"/>
    <w:rsid w:val="00542487"/>
    <w:rsid w:val="00557EAF"/>
    <w:rsid w:val="00582810"/>
    <w:rsid w:val="0058683E"/>
    <w:rsid w:val="005929F6"/>
    <w:rsid w:val="00593EEC"/>
    <w:rsid w:val="00595540"/>
    <w:rsid w:val="005A5382"/>
    <w:rsid w:val="005A55F3"/>
    <w:rsid w:val="005B5FA6"/>
    <w:rsid w:val="005C1F43"/>
    <w:rsid w:val="005D1478"/>
    <w:rsid w:val="005D2C73"/>
    <w:rsid w:val="005D6AA6"/>
    <w:rsid w:val="005E2634"/>
    <w:rsid w:val="005F2B9A"/>
    <w:rsid w:val="00603E01"/>
    <w:rsid w:val="006046DC"/>
    <w:rsid w:val="0061453F"/>
    <w:rsid w:val="00642760"/>
    <w:rsid w:val="00643DEF"/>
    <w:rsid w:val="006654AB"/>
    <w:rsid w:val="00667F1D"/>
    <w:rsid w:val="006700C7"/>
    <w:rsid w:val="00685D33"/>
    <w:rsid w:val="006D3FD5"/>
    <w:rsid w:val="006D6949"/>
    <w:rsid w:val="006F20E7"/>
    <w:rsid w:val="006F7EFE"/>
    <w:rsid w:val="007142D9"/>
    <w:rsid w:val="00752552"/>
    <w:rsid w:val="007638EF"/>
    <w:rsid w:val="00763F6E"/>
    <w:rsid w:val="00781585"/>
    <w:rsid w:val="00783A3B"/>
    <w:rsid w:val="007878CB"/>
    <w:rsid w:val="00787E7C"/>
    <w:rsid w:val="0079599D"/>
    <w:rsid w:val="007A7287"/>
    <w:rsid w:val="007D0861"/>
    <w:rsid w:val="007D3D95"/>
    <w:rsid w:val="007E010B"/>
    <w:rsid w:val="007F5C7C"/>
    <w:rsid w:val="00801EB4"/>
    <w:rsid w:val="00802FC2"/>
    <w:rsid w:val="0080627A"/>
    <w:rsid w:val="00817121"/>
    <w:rsid w:val="00830365"/>
    <w:rsid w:val="00833B73"/>
    <w:rsid w:val="00843817"/>
    <w:rsid w:val="008460B7"/>
    <w:rsid w:val="00847915"/>
    <w:rsid w:val="008601F7"/>
    <w:rsid w:val="00861270"/>
    <w:rsid w:val="00874305"/>
    <w:rsid w:val="00880A77"/>
    <w:rsid w:val="00897749"/>
    <w:rsid w:val="008A3F6C"/>
    <w:rsid w:val="008B07C8"/>
    <w:rsid w:val="008B2236"/>
    <w:rsid w:val="008B3C68"/>
    <w:rsid w:val="008B6AF9"/>
    <w:rsid w:val="008D3EC5"/>
    <w:rsid w:val="008D4062"/>
    <w:rsid w:val="008E2694"/>
    <w:rsid w:val="008E2E76"/>
    <w:rsid w:val="008F234A"/>
    <w:rsid w:val="00902ADE"/>
    <w:rsid w:val="00910118"/>
    <w:rsid w:val="00917A1D"/>
    <w:rsid w:val="00940731"/>
    <w:rsid w:val="009430FB"/>
    <w:rsid w:val="00943538"/>
    <w:rsid w:val="009526D5"/>
    <w:rsid w:val="0095347B"/>
    <w:rsid w:val="00962953"/>
    <w:rsid w:val="00964D55"/>
    <w:rsid w:val="00980CC9"/>
    <w:rsid w:val="009957C5"/>
    <w:rsid w:val="009A4095"/>
    <w:rsid w:val="009B0295"/>
    <w:rsid w:val="009C1E02"/>
    <w:rsid w:val="009D2368"/>
    <w:rsid w:val="009D5F8B"/>
    <w:rsid w:val="009F3A7A"/>
    <w:rsid w:val="00A03DA8"/>
    <w:rsid w:val="00A05FAB"/>
    <w:rsid w:val="00A24E3D"/>
    <w:rsid w:val="00A37D2E"/>
    <w:rsid w:val="00A4162C"/>
    <w:rsid w:val="00A41677"/>
    <w:rsid w:val="00A54A8C"/>
    <w:rsid w:val="00A564DC"/>
    <w:rsid w:val="00A565C7"/>
    <w:rsid w:val="00A719DF"/>
    <w:rsid w:val="00A7647B"/>
    <w:rsid w:val="00AA038B"/>
    <w:rsid w:val="00AB034D"/>
    <w:rsid w:val="00AC6B16"/>
    <w:rsid w:val="00AD5257"/>
    <w:rsid w:val="00AE4482"/>
    <w:rsid w:val="00B01072"/>
    <w:rsid w:val="00B136EC"/>
    <w:rsid w:val="00B14B01"/>
    <w:rsid w:val="00B43EBD"/>
    <w:rsid w:val="00B65FB3"/>
    <w:rsid w:val="00B66E09"/>
    <w:rsid w:val="00B95D78"/>
    <w:rsid w:val="00B97308"/>
    <w:rsid w:val="00BB1D4B"/>
    <w:rsid w:val="00BB3BEC"/>
    <w:rsid w:val="00BD02BB"/>
    <w:rsid w:val="00BD3885"/>
    <w:rsid w:val="00BD66E4"/>
    <w:rsid w:val="00C059B6"/>
    <w:rsid w:val="00C10CA6"/>
    <w:rsid w:val="00C11798"/>
    <w:rsid w:val="00C16484"/>
    <w:rsid w:val="00C21AB2"/>
    <w:rsid w:val="00C27976"/>
    <w:rsid w:val="00C3731F"/>
    <w:rsid w:val="00C62388"/>
    <w:rsid w:val="00C630BE"/>
    <w:rsid w:val="00C63550"/>
    <w:rsid w:val="00C637B0"/>
    <w:rsid w:val="00C64CCC"/>
    <w:rsid w:val="00C87FB3"/>
    <w:rsid w:val="00C9384A"/>
    <w:rsid w:val="00C9629C"/>
    <w:rsid w:val="00C96395"/>
    <w:rsid w:val="00C96A56"/>
    <w:rsid w:val="00CA156D"/>
    <w:rsid w:val="00CA57DA"/>
    <w:rsid w:val="00CA7FE1"/>
    <w:rsid w:val="00CC58EB"/>
    <w:rsid w:val="00CE1382"/>
    <w:rsid w:val="00D02FAD"/>
    <w:rsid w:val="00D0530E"/>
    <w:rsid w:val="00D05DED"/>
    <w:rsid w:val="00D206AC"/>
    <w:rsid w:val="00D47F83"/>
    <w:rsid w:val="00D5454C"/>
    <w:rsid w:val="00D55CE9"/>
    <w:rsid w:val="00D564F7"/>
    <w:rsid w:val="00D72038"/>
    <w:rsid w:val="00D763BC"/>
    <w:rsid w:val="00D872A1"/>
    <w:rsid w:val="00D93F2F"/>
    <w:rsid w:val="00D966E8"/>
    <w:rsid w:val="00D9788F"/>
    <w:rsid w:val="00DB4B20"/>
    <w:rsid w:val="00DC3AD5"/>
    <w:rsid w:val="00DC5E29"/>
    <w:rsid w:val="00DD4285"/>
    <w:rsid w:val="00DF1FB9"/>
    <w:rsid w:val="00DF36A6"/>
    <w:rsid w:val="00E07235"/>
    <w:rsid w:val="00E23B80"/>
    <w:rsid w:val="00E25A5F"/>
    <w:rsid w:val="00E32BAC"/>
    <w:rsid w:val="00E33C9F"/>
    <w:rsid w:val="00E36D1F"/>
    <w:rsid w:val="00E42E7E"/>
    <w:rsid w:val="00E43152"/>
    <w:rsid w:val="00E50E5B"/>
    <w:rsid w:val="00E667BA"/>
    <w:rsid w:val="00E7044F"/>
    <w:rsid w:val="00E82B0B"/>
    <w:rsid w:val="00E873DD"/>
    <w:rsid w:val="00E932C3"/>
    <w:rsid w:val="00E979AB"/>
    <w:rsid w:val="00EB3279"/>
    <w:rsid w:val="00EC332E"/>
    <w:rsid w:val="00EC39BC"/>
    <w:rsid w:val="00EE0749"/>
    <w:rsid w:val="00EE140B"/>
    <w:rsid w:val="00EE441C"/>
    <w:rsid w:val="00EE54B9"/>
    <w:rsid w:val="00F07F26"/>
    <w:rsid w:val="00F35BD7"/>
    <w:rsid w:val="00F36982"/>
    <w:rsid w:val="00F41DDB"/>
    <w:rsid w:val="00F629AC"/>
    <w:rsid w:val="00F9249D"/>
    <w:rsid w:val="00F95ED9"/>
    <w:rsid w:val="00FA0BAF"/>
    <w:rsid w:val="00FA382E"/>
    <w:rsid w:val="00FA715C"/>
    <w:rsid w:val="00FB22DB"/>
    <w:rsid w:val="00FC2396"/>
    <w:rsid w:val="00FC5252"/>
    <w:rsid w:val="00FD060F"/>
    <w:rsid w:val="00FD1723"/>
    <w:rsid w:val="00FD5032"/>
    <w:rsid w:val="00FE7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8EC4F20"/>
  <w15:docId w15:val="{EDD646E4-8E0C-487A-842A-DA74770F7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sl-SI"/>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C16484"/>
    <w:pPr>
      <w:numPr>
        <w:numId w:val="1"/>
      </w:numPr>
      <w:tabs>
        <w:tab w:val="clear" w:pos="360"/>
      </w:tabs>
      <w:ind w:left="0" w:firstLine="0"/>
    </w:pPr>
    <w:rPr>
      <w:rFonts w:eastAsia="Times New Roman"/>
      <w:lang w:eastAsia="en-GB"/>
    </w:rPr>
  </w:style>
  <w:style w:type="character" w:styleId="Hyperlink">
    <w:name w:val="Hyperlink"/>
    <w:basedOn w:val="DefaultParagraphFont"/>
    <w:uiPriority w:val="99"/>
    <w:rsid w:val="00C16484"/>
    <w:rPr>
      <w:rFonts w:asciiTheme="majorHAnsi" w:hAnsiTheme="majorHAnsi"/>
      <w:color w:val="F79646" w:themeColor="accent6"/>
      <w:u w:val="single"/>
    </w:rPr>
  </w:style>
  <w:style w:type="numbering" w:customStyle="1" w:styleId="LFO29">
    <w:name w:val="LFO29"/>
    <w:basedOn w:val="NoList"/>
    <w:rsid w:val="00C16484"/>
  </w:style>
  <w:style w:type="paragraph" w:styleId="ListBullet2">
    <w:name w:val="List Bullet 2"/>
    <w:basedOn w:val="Normal"/>
    <w:uiPriority w:val="99"/>
    <w:semiHidden/>
    <w:unhideWhenUsed/>
    <w:rsid w:val="00F9249D"/>
    <w:pPr>
      <w:numPr>
        <w:numId w:val="3"/>
      </w:numPr>
      <w:contextualSpacing/>
    </w:pPr>
  </w:style>
  <w:style w:type="paragraph" w:styleId="ListBullet3">
    <w:name w:val="List Bullet 3"/>
    <w:basedOn w:val="Normal"/>
    <w:uiPriority w:val="99"/>
    <w:semiHidden/>
    <w:unhideWhenUsed/>
    <w:rsid w:val="00F9249D"/>
    <w:pPr>
      <w:numPr>
        <w:numId w:val="4"/>
      </w:numPr>
      <w:contextualSpacing/>
    </w:pPr>
  </w:style>
  <w:style w:type="paragraph" w:styleId="ListBullet4">
    <w:name w:val="List Bullet 4"/>
    <w:basedOn w:val="Normal"/>
    <w:uiPriority w:val="99"/>
    <w:semiHidden/>
    <w:unhideWhenUsed/>
    <w:rsid w:val="00F9249D"/>
    <w:pPr>
      <w:numPr>
        <w:numId w:val="5"/>
      </w:numPr>
      <w:contextualSpacing/>
    </w:pPr>
  </w:style>
  <w:style w:type="character" w:styleId="CommentReference">
    <w:name w:val="annotation reference"/>
    <w:basedOn w:val="DefaultParagraphFont"/>
    <w:uiPriority w:val="99"/>
    <w:semiHidden/>
    <w:unhideWhenUsed/>
    <w:rsid w:val="008A3F6C"/>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sl-SI"/>
    </w:rPr>
  </w:style>
  <w:style w:type="paragraph" w:styleId="Revision">
    <w:name w:val="Revision"/>
    <w:hidden/>
    <w:uiPriority w:val="99"/>
    <w:semiHidden/>
    <w:rsid w:val="005929F6"/>
    <w:pPr>
      <w:spacing w:after="0" w:line="240" w:lineRule="auto"/>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sid w:val="00CA7FE1"/>
    <w:rPr>
      <w:b/>
      <w:bCs/>
    </w:rPr>
  </w:style>
  <w:style w:type="character" w:customStyle="1" w:styleId="CommentSubjectChar">
    <w:name w:val="Comment Subject Char"/>
    <w:basedOn w:val="CommentTextChar"/>
    <w:link w:val="CommentSubject"/>
    <w:uiPriority w:val="99"/>
    <w:semiHidden/>
    <w:rsid w:val="00CA7FE1"/>
    <w:rPr>
      <w:rFonts w:ascii="Times New Roman" w:hAnsi="Times New Roman" w:cs="Times New Roman"/>
      <w:b/>
      <w:bCs/>
      <w:sz w:val="20"/>
      <w:szCs w:val="20"/>
      <w:lang w:val="sl-SI"/>
    </w:rPr>
  </w:style>
  <w:style w:type="paragraph" w:styleId="NormalWeb">
    <w:name w:val="Normal (Web)"/>
    <w:basedOn w:val="Normal"/>
    <w:uiPriority w:val="99"/>
    <w:semiHidden/>
    <w:unhideWhenUsed/>
    <w:rsid w:val="00373FC4"/>
    <w:rPr>
      <w:szCs w:val="24"/>
    </w:rPr>
  </w:style>
  <w:style w:type="character" w:styleId="UnresolvedMention">
    <w:name w:val="Unresolved Mention"/>
    <w:basedOn w:val="DefaultParagraphFont"/>
    <w:uiPriority w:val="99"/>
    <w:semiHidden/>
    <w:unhideWhenUsed/>
    <w:rsid w:val="00373FC4"/>
    <w:rPr>
      <w:color w:val="605E5C"/>
      <w:shd w:val="clear" w:color="auto" w:fill="E1DFDD"/>
    </w:rPr>
  </w:style>
  <w:style w:type="paragraph" w:styleId="Header">
    <w:name w:val="header"/>
    <w:basedOn w:val="Normal"/>
    <w:link w:val="HeaderChar"/>
    <w:uiPriority w:val="99"/>
    <w:semiHidden/>
    <w:unhideWhenUsed/>
    <w:pPr>
      <w:tabs>
        <w:tab w:val="center" w:pos="4535"/>
        <w:tab w:val="right" w:pos="9071"/>
      </w:tabs>
      <w:spacing w:before="0"/>
    </w:pPr>
  </w:style>
  <w:style w:type="character" w:customStyle="1" w:styleId="HeaderChar">
    <w:name w:val="Header Char"/>
    <w:basedOn w:val="DefaultParagraphFont"/>
    <w:link w:val="Header"/>
    <w:uiPriority w:val="99"/>
    <w:semiHidden/>
    <w:rPr>
      <w:rFonts w:ascii="Times New Roman" w:hAnsi="Times New Roman" w:cs="Times New Roman"/>
      <w:sz w:val="24"/>
      <w:shd w:val="clear" w:color="auto" w:fill="auto"/>
      <w:lang w:val="en-GB"/>
    </w:rPr>
  </w:style>
  <w:style w:type="paragraph" w:styleId="Footer">
    <w:name w:val="footer"/>
    <w:basedOn w:val="Normal"/>
    <w:link w:val="FooterChar"/>
    <w:uiPriority w:val="99"/>
    <w:semiHidden/>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semiHidden/>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02176">
      <w:bodyDiv w:val="1"/>
      <w:marLeft w:val="0"/>
      <w:marRight w:val="0"/>
      <w:marTop w:val="0"/>
      <w:marBottom w:val="0"/>
      <w:divBdr>
        <w:top w:val="none" w:sz="0" w:space="0" w:color="auto"/>
        <w:left w:val="none" w:sz="0" w:space="0" w:color="auto"/>
        <w:bottom w:val="none" w:sz="0" w:space="0" w:color="auto"/>
        <w:right w:val="none" w:sz="0" w:space="0" w:color="auto"/>
      </w:divBdr>
      <w:divsChild>
        <w:div w:id="1504860669">
          <w:marLeft w:val="0"/>
          <w:marRight w:val="0"/>
          <w:marTop w:val="0"/>
          <w:marBottom w:val="0"/>
          <w:divBdr>
            <w:top w:val="none" w:sz="0" w:space="0" w:color="auto"/>
            <w:left w:val="none" w:sz="0" w:space="0" w:color="auto"/>
            <w:bottom w:val="none" w:sz="0" w:space="0" w:color="auto"/>
            <w:right w:val="none" w:sz="0" w:space="0" w:color="auto"/>
          </w:divBdr>
          <w:divsChild>
            <w:div w:id="205091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602523">
      <w:bodyDiv w:val="1"/>
      <w:marLeft w:val="0"/>
      <w:marRight w:val="0"/>
      <w:marTop w:val="0"/>
      <w:marBottom w:val="0"/>
      <w:divBdr>
        <w:top w:val="none" w:sz="0" w:space="0" w:color="auto"/>
        <w:left w:val="none" w:sz="0" w:space="0" w:color="auto"/>
        <w:bottom w:val="none" w:sz="0" w:space="0" w:color="auto"/>
        <w:right w:val="none" w:sz="0" w:space="0" w:color="auto"/>
      </w:divBdr>
    </w:div>
    <w:div w:id="2009358183">
      <w:bodyDiv w:val="1"/>
      <w:marLeft w:val="0"/>
      <w:marRight w:val="0"/>
      <w:marTop w:val="0"/>
      <w:marBottom w:val="0"/>
      <w:divBdr>
        <w:top w:val="none" w:sz="0" w:space="0" w:color="auto"/>
        <w:left w:val="none" w:sz="0" w:space="0" w:color="auto"/>
        <w:bottom w:val="none" w:sz="0" w:space="0" w:color="auto"/>
        <w:right w:val="none" w:sz="0" w:space="0" w:color="auto"/>
      </w:divBdr>
    </w:div>
    <w:div w:id="2089576247">
      <w:bodyDiv w:val="1"/>
      <w:marLeft w:val="0"/>
      <w:marRight w:val="0"/>
      <w:marTop w:val="0"/>
      <w:marBottom w:val="0"/>
      <w:divBdr>
        <w:top w:val="none" w:sz="0" w:space="0" w:color="auto"/>
        <w:left w:val="none" w:sz="0" w:space="0" w:color="auto"/>
        <w:bottom w:val="none" w:sz="0" w:space="0" w:color="auto"/>
        <w:right w:val="none" w:sz="0" w:space="0" w:color="auto"/>
      </w:divBdr>
      <w:divsChild>
        <w:div w:id="1220244498">
          <w:marLeft w:val="0"/>
          <w:marRight w:val="0"/>
          <w:marTop w:val="0"/>
          <w:marBottom w:val="0"/>
          <w:divBdr>
            <w:top w:val="none" w:sz="0" w:space="0" w:color="auto"/>
            <w:left w:val="none" w:sz="0" w:space="0" w:color="auto"/>
            <w:bottom w:val="none" w:sz="0" w:space="0" w:color="auto"/>
            <w:right w:val="none" w:sz="0" w:space="0" w:color="auto"/>
          </w:divBdr>
          <w:divsChild>
            <w:div w:id="86143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data.europa.eu/eli/reg_impl/2021/622/oj" TargetMode="External"/><Relationship Id="rId2" Type="http://schemas.openxmlformats.org/officeDocument/2006/relationships/hyperlink" Target="http://data.europa.eu/eli/dir/2024/1174/oj" TargetMode="External"/><Relationship Id="rId1" Type="http://schemas.openxmlformats.org/officeDocument/2006/relationships/hyperlink" Target="http://data.europa.eu/eli/dir/2014/59/oj" TargetMode="External"/><Relationship Id="rId5" Type="http://schemas.openxmlformats.org/officeDocument/2006/relationships/hyperlink" Target="http://data.europa.eu/eli/reg/2010/1093/oj" TargetMode="External"/><Relationship Id="rId4" Type="http://schemas.openxmlformats.org/officeDocument/2006/relationships/hyperlink" Target="http://data.europa.eu/eli/reg_impl/2021/763/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b8f93157aac40d6a7319473491243df0">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c8488e7b63ff9a6a107f3024ce322df4"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BD7AB-07EA-4D67-A4B9-4D33FF7955F7}">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2.xml><?xml version="1.0" encoding="utf-8"?>
<ds:datastoreItem xmlns:ds="http://schemas.openxmlformats.org/officeDocument/2006/customXml" ds:itemID="{3789B0AD-1837-436D-8ABC-63303F7E4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74AB9-05CF-4E22-8B2B-667D523C417F}">
  <ds:schemaRefs>
    <ds:schemaRef ds:uri="http://schemas.microsoft.com/sharepoint/v3/contenttype/forms"/>
  </ds:schemaRefs>
</ds:datastoreItem>
</file>

<file path=customXml/itemProps4.xml><?xml version="1.0" encoding="utf-8"?>
<ds:datastoreItem xmlns:ds="http://schemas.openxmlformats.org/officeDocument/2006/customXml" ds:itemID="{F14AF581-33E3-408E-95CD-709B93E99837}">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COM</Template>
  <TotalTime>0</TotalTime>
  <Pages>2</Pages>
  <Words>812</Words>
  <Characters>4603</Characters>
  <Application>Microsoft Office Word</Application>
  <DocSecurity>0</DocSecurity>
  <Lines>87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Links>
    <vt:vector size="12" baseType="variant">
      <vt:variant>
        <vt:i4>6291564</vt:i4>
      </vt:variant>
      <vt:variant>
        <vt:i4>3</vt:i4>
      </vt:variant>
      <vt:variant>
        <vt:i4>0</vt:i4>
      </vt:variant>
      <vt:variant>
        <vt:i4>5</vt:i4>
      </vt:variant>
      <vt:variant>
        <vt:lpwstr>http://data.europa.eu/eli/reg/2010/1093/oj</vt:lpwstr>
      </vt:variant>
      <vt:variant>
        <vt:lpwstr/>
      </vt:variant>
      <vt:variant>
        <vt:i4>5570645</vt:i4>
      </vt:variant>
      <vt:variant>
        <vt:i4>0</vt:i4>
      </vt:variant>
      <vt:variant>
        <vt:i4>0</vt:i4>
      </vt:variant>
      <vt:variant>
        <vt:i4>5</vt:i4>
      </vt:variant>
      <vt:variant>
        <vt:lpwstr>http://data.europa.eu/eli/dir/2014/59/oj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DQC</dc:creator>
  <cp:keywords/>
  <dc:description/>
  <cp:lastModifiedBy>VOLAVSEK Andrej (DGT)</cp:lastModifiedBy>
  <cp:revision>29</cp:revision>
  <dcterms:created xsi:type="dcterms:W3CDTF">2025-12-05T16:19:00Z</dcterms:created>
  <dcterms:modified xsi:type="dcterms:W3CDTF">2026-01-30T10:59:00Z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8.0.19.5</vt:lpwstr>
  </property>
  <property fmtid="{D5CDD505-2E9C-101B-9397-08002B2CF9AE}" pid="4" name="Last edited using">
    <vt:lpwstr>LW 9.2, Build 20250828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GrammarlyDocumentId">
    <vt:lpwstr>45e7adda-2841-4732-9409-07daf4dd17e0</vt:lpwstr>
  </property>
  <property fmtid="{D5CDD505-2E9C-101B-9397-08002B2CF9AE}" pid="11" name="ClassificationContentMarkingHeaderShapeIds">
    <vt:lpwstr>5bd6ffca,36e22233,44991716</vt:lpwstr>
  </property>
  <property fmtid="{D5CDD505-2E9C-101B-9397-08002B2CF9AE}" pid="12" name="ClassificationContentMarkingHeaderFontProps">
    <vt:lpwstr>#000000,12,Aptos</vt:lpwstr>
  </property>
  <property fmtid="{D5CDD505-2E9C-101B-9397-08002B2CF9AE}" pid="13" name="ClassificationContentMarkingHeaderText">
    <vt:lpwstr>EBA Regular Use</vt:lpwstr>
  </property>
  <property fmtid="{D5CDD505-2E9C-101B-9397-08002B2CF9AE}" pid="14" name="MSIP_Label_6bd9ddd1-4d20-43f6-abfa-fc3c07406f94_Enabled">
    <vt:lpwstr>true</vt:lpwstr>
  </property>
  <property fmtid="{D5CDD505-2E9C-101B-9397-08002B2CF9AE}" pid="15" name="MSIP_Label_6bd9ddd1-4d20-43f6-abfa-fc3c07406f94_SetDate">
    <vt:lpwstr>2025-09-22T07:42:43Z</vt:lpwstr>
  </property>
  <property fmtid="{D5CDD505-2E9C-101B-9397-08002B2CF9AE}" pid="16" name="MSIP_Label_6bd9ddd1-4d20-43f6-abfa-fc3c07406f94_Method">
    <vt:lpwstr>Standard</vt:lpwstr>
  </property>
  <property fmtid="{D5CDD505-2E9C-101B-9397-08002B2CF9AE}" pid="17" name="MSIP_Label_6bd9ddd1-4d20-43f6-abfa-fc3c07406f94_Name">
    <vt:lpwstr>Commission Use</vt:lpwstr>
  </property>
  <property fmtid="{D5CDD505-2E9C-101B-9397-08002B2CF9AE}" pid="18" name="MSIP_Label_6bd9ddd1-4d20-43f6-abfa-fc3c07406f94_SiteId">
    <vt:lpwstr>b24c8b06-522c-46fe-9080-70926f8dddb1</vt:lpwstr>
  </property>
  <property fmtid="{D5CDD505-2E9C-101B-9397-08002B2CF9AE}" pid="19" name="MSIP_Label_6bd9ddd1-4d20-43f6-abfa-fc3c07406f94_ActionId">
    <vt:lpwstr>0c5e0d5a-b50c-4aad-8ac2-d3eb4c37e92e</vt:lpwstr>
  </property>
  <property fmtid="{D5CDD505-2E9C-101B-9397-08002B2CF9AE}" pid="20" name="MSIP_Label_6bd9ddd1-4d20-43f6-abfa-fc3c07406f94_ContentBits">
    <vt:lpwstr>0</vt:lpwstr>
  </property>
  <property fmtid="{D5CDD505-2E9C-101B-9397-08002B2CF9AE}" pid="21" name="MSIP_Label_6bd9ddd1-4d20-43f6-abfa-fc3c07406f94_Tag">
    <vt:lpwstr>10, 3, 0, 1</vt:lpwstr>
  </property>
  <property fmtid="{D5CDD505-2E9C-101B-9397-08002B2CF9AE}" pid="22" name="ContentTypeId">
    <vt:lpwstr>0x010100BAD999D84E12C74482EA5120F5227F6F00217DECAAC21D6B43958DFE68658C192E</vt:lpwstr>
  </property>
  <property fmtid="{D5CDD505-2E9C-101B-9397-08002B2CF9AE}" pid="23" name="MediaServiceImageTags">
    <vt:lpwstr/>
  </property>
  <property fmtid="{D5CDD505-2E9C-101B-9397-08002B2CF9AE}" pid="24" name="DQCStatus">
    <vt:lpwstr>Green (DQC version 03)</vt:lpwstr>
  </property>
</Properties>
</file>