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1BF8" w14:textId="5ED290B0" w:rsidR="004E763F" w:rsidRPr="00375711" w:rsidRDefault="00086602" w:rsidP="00375711">
      <w:pPr>
        <w:pStyle w:val="Pagedecouverture"/>
      </w:pPr>
      <w:r>
        <w:pict w14:anchorId="550332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02CAF29-57C8-4167-84EB-EDDD3658EACF" style="width:455.4pt;height:345.6pt">
            <v:imagedata r:id="rId11" o:title=""/>
          </v:shape>
        </w:pict>
      </w:r>
    </w:p>
    <w:p w14:paraId="1986B6EA" w14:textId="77777777" w:rsidR="00CE1382" w:rsidRPr="00375711" w:rsidRDefault="00CE1382" w:rsidP="003838B9">
      <w:pPr>
        <w:sectPr w:rsidR="00CE1382" w:rsidRPr="00375711" w:rsidSect="00FB59F9">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ADCEA6B" w14:textId="01E6C0E0" w:rsidR="00C16484" w:rsidRPr="00375711" w:rsidRDefault="00375711" w:rsidP="00375711">
      <w:pPr>
        <w:pStyle w:val="Typedudocument"/>
      </w:pPr>
      <w:r w:rsidRPr="00375711">
        <w:lastRenderedPageBreak/>
        <w:t>REGULAMENTUL DE PUNERE ÎN APLICARE (UE) …/… AL COMISIEI</w:t>
      </w:r>
    </w:p>
    <w:p w14:paraId="6819E66E" w14:textId="295A570A" w:rsidR="00C16484" w:rsidRPr="00375711" w:rsidRDefault="00375711" w:rsidP="00375711">
      <w:pPr>
        <w:pStyle w:val="Datedadoption"/>
      </w:pPr>
      <w:r w:rsidRPr="00375711">
        <w:t xml:space="preserve">din </w:t>
      </w:r>
      <w:r w:rsidRPr="00375711">
        <w:rPr>
          <w:rStyle w:val="Marker2"/>
        </w:rPr>
        <w:t>XXX</w:t>
      </w:r>
    </w:p>
    <w:p w14:paraId="44AA08D1" w14:textId="1FC684E5" w:rsidR="00C16484" w:rsidRPr="00375711" w:rsidRDefault="00375711" w:rsidP="00375711">
      <w:pPr>
        <w:pStyle w:val="Titreobjet"/>
      </w:pPr>
      <w:r w:rsidRPr="00375711">
        <w:t>de modificare a standardelor tehnice de punere în aplicare prevăzute în Regulamentul de punere în aplicare (UE) 2021/622 în ceea ce privește frecvența raportării și informațiile care trebuie raportate</w:t>
      </w:r>
    </w:p>
    <w:p w14:paraId="4A210142" w14:textId="7782E2FE" w:rsidR="00C16484" w:rsidRPr="00375711" w:rsidRDefault="00375711" w:rsidP="00375711">
      <w:pPr>
        <w:pStyle w:val="IntrtEEE"/>
      </w:pPr>
      <w:r w:rsidRPr="00375711">
        <w:t>(Text cu relevanță pentru SEE)</w:t>
      </w:r>
    </w:p>
    <w:p w14:paraId="6F3A17D1" w14:textId="77777777" w:rsidR="00C16484" w:rsidRPr="00375711" w:rsidRDefault="00C16484">
      <w:pPr>
        <w:pStyle w:val="Institutionquiagit"/>
      </w:pPr>
      <w:r w:rsidRPr="00375711">
        <w:t>COMISIA EUROPEANĂ,</w:t>
      </w:r>
    </w:p>
    <w:p w14:paraId="22B09AC6" w14:textId="77777777" w:rsidR="00C16484" w:rsidRPr="00375711" w:rsidRDefault="00C16484">
      <w:r w:rsidRPr="00375711">
        <w:t>având în vedere Tratatul privind funcționarea Uniunii Europene,</w:t>
      </w:r>
    </w:p>
    <w:p w14:paraId="6C2E5C7E" w14:textId="77777777" w:rsidR="00C16484" w:rsidRPr="00375711" w:rsidRDefault="00C16484">
      <w:r w:rsidRPr="00375711">
        <w:t>având în vedere Directiva 2014/59/UE a Parlamentului European și a Consiliului din 15 mai 2014 de instituire a unui cadru pentru redresarea și rezoluția instituțiilor de credit și a firmelor de investiții și de modificare a Directivei 82/891/CEE a Consiliului și a Directivelor 2001/24/CE, 2002/47/CE, 2004/25/CE, 2005/56/CE, 2007/36/CE, 2011/35/UE, 2012/30/UE și 2013/36/UE ale Parlamentului European și ale Consiliului, precum și a Regulamentelor (UE) nr. 1093/2010 și (UE) nr. 648/2012 ale Parlamentului European și ale Consiliului</w:t>
      </w:r>
      <w:r w:rsidRPr="00375711">
        <w:rPr>
          <w:rStyle w:val="FootnoteReference"/>
        </w:rPr>
        <w:footnoteReference w:id="2"/>
      </w:r>
      <w:r w:rsidRPr="00375711">
        <w:t>, în special articolul 45j alineatul (2) al treilea paragraf,</w:t>
      </w:r>
    </w:p>
    <w:p w14:paraId="499F4150" w14:textId="77777777" w:rsidR="00C16484" w:rsidRPr="00375711" w:rsidRDefault="00C16484">
      <w:r w:rsidRPr="00375711">
        <w:t>întrucât:</w:t>
      </w:r>
    </w:p>
    <w:p w14:paraId="7D99777F" w14:textId="4C4E803F" w:rsidR="003428AE" w:rsidRPr="00375711" w:rsidRDefault="003428AE" w:rsidP="004B4C38">
      <w:pPr>
        <w:pStyle w:val="Considrant"/>
        <w:numPr>
          <w:ilvl w:val="0"/>
          <w:numId w:val="2"/>
        </w:numPr>
        <w:rPr>
          <w:iCs/>
          <w:noProof/>
        </w:rPr>
      </w:pPr>
      <w:r w:rsidRPr="00375711">
        <w:t>Directiva (UE) 2024/1174 a Parlamentului European și a Consiliului</w:t>
      </w:r>
      <w:r w:rsidRPr="00375711">
        <w:rPr>
          <w:rStyle w:val="FootnoteReference"/>
          <w:iCs/>
          <w:noProof/>
        </w:rPr>
        <w:footnoteReference w:id="3"/>
      </w:r>
      <w:r w:rsidRPr="00375711">
        <w:t xml:space="preserve"> a modificat anumite aspecte ale cerinței minime de fonduri proprii și datorii eligibile („MREL”) prevăzute în Directiva 2014/59/UE. În temeiul acestor modificări, autoritățile de rezoluție nu ar trebui să stabilească MREL pentru entitățile destinate lichidării, cu excepția cazului în care stabilirea unei MREL care depășește un cuantum suficient pentru a absorbi pierderile este necesară pentru a proteja stabilitatea financiară sau pentru a aborda riscul de contagiune a sistemului financiar, inclusiv în ceea ce privește capacitatea de finanțare a schemelor de garantare a depozitelor. În plus, Directiva (UE)</w:t>
      </w:r>
      <w:r w:rsidR="00DE0FCF">
        <w:t> </w:t>
      </w:r>
      <w:r w:rsidRPr="00375711">
        <w:t>2024/1174 a mărit numărul situațiilor în care autoritățile de rezoluție pot stabili MREL pe bază consolidată. Regulamentul de punere în aplicare (UE) 2021/622 al Comisiei</w:t>
      </w:r>
      <w:r w:rsidRPr="00375711">
        <w:rPr>
          <w:rStyle w:val="FootnoteReference"/>
          <w:iCs/>
          <w:noProof/>
        </w:rPr>
        <w:footnoteReference w:id="4"/>
      </w:r>
      <w:r w:rsidRPr="00375711">
        <w:t xml:space="preserve"> ar trebui modificat pentru a reflecta aceste modificări ale cadrului MREL în informațiile care trebuie transmise Autorității Bancare Europene (ABE).</w:t>
      </w:r>
    </w:p>
    <w:p w14:paraId="038A3063" w14:textId="77777777" w:rsidR="00C16484" w:rsidRPr="00375711" w:rsidRDefault="00A05FAB" w:rsidP="008B6AF9">
      <w:pPr>
        <w:pStyle w:val="Considrant"/>
        <w:numPr>
          <w:ilvl w:val="0"/>
          <w:numId w:val="2"/>
        </w:numPr>
        <w:rPr>
          <w:iCs/>
          <w:noProof/>
        </w:rPr>
      </w:pPr>
      <w:r w:rsidRPr="00375711">
        <w:t>În prezent, Regulamentul de punere în aplicare (UE) 2021/622 impune autorităților de rezoluție să transmită anual ABE informații referitoare la stabilirea MREL. Ulterior, ABE combină informațiile respective cu informațiile privind componența fondurilor proprii și a datoriilor eligibile obținute în temeiul Regulamentului de punere în aplicare (UE) 2021/763 al Comisiei</w:t>
      </w:r>
      <w:r w:rsidRPr="00375711">
        <w:rPr>
          <w:rStyle w:val="FootnoteReference"/>
          <w:noProof/>
        </w:rPr>
        <w:footnoteReference w:id="5"/>
      </w:r>
      <w:r w:rsidRPr="00375711">
        <w:t xml:space="preserve"> pentru a-și elabora raportul privind MREL în conformitate cu articolul 45l din Directiva 2014/59/UE, care se transmite în prezent cu o frecvență bianuală. Raportarea anuală actuală a informațiilor privind stabilirea MREL înseamnă că deciziile privind MREL adoptate de autoritățile de rezoluție după data de referință relevantă nu sunt transmise sau evaluate de ABE și nu sunt reflectate în rapoartele sale până în anul următor, creându-se astfel neconcordanțe cu informațiile mai actualizate privind componența fondurilor proprii și a datoriilor eligibile.</w:t>
      </w:r>
    </w:p>
    <w:p w14:paraId="676EF325" w14:textId="77777777" w:rsidR="00C16484" w:rsidRPr="00375711" w:rsidRDefault="00C16484" w:rsidP="004B4C38">
      <w:pPr>
        <w:pStyle w:val="Considrant"/>
        <w:numPr>
          <w:ilvl w:val="0"/>
          <w:numId w:val="2"/>
        </w:numPr>
        <w:rPr>
          <w:iCs/>
          <w:noProof/>
        </w:rPr>
      </w:pPr>
      <w:r w:rsidRPr="00375711">
        <w:t xml:space="preserve">Pentru a îmbunătăți capacitatea ABE de a monitoriza și de a evalua MREL stabilită de autoritățile de rezoluție și respectarea de către instituții a cerințelor referitoare la MREL, autoritățile de rezoluție ar trebui să aibă obligația de a raporta ABE mai frecvent deciziile privind MREL. Pentru a asigura alinierea la rapoartele privind MREL elaborate de ABE, autoritățile de rezoluție ar trebui să raporteze informațiile respective de două ori pe an. </w:t>
      </w:r>
    </w:p>
    <w:p w14:paraId="2672C096" w14:textId="77777777" w:rsidR="00C16484" w:rsidRPr="00375711" w:rsidRDefault="00C16484" w:rsidP="004B4C38">
      <w:pPr>
        <w:pStyle w:val="Considrant"/>
        <w:numPr>
          <w:ilvl w:val="0"/>
          <w:numId w:val="2"/>
        </w:numPr>
        <w:rPr>
          <w:noProof/>
        </w:rPr>
      </w:pPr>
      <w:r w:rsidRPr="00375711">
        <w:t>Pentru a facilita evaluarea de către ABE a modului în care autoritățile de rezoluție și-au exercitat competența discreționară la stabilirea MREL, în special în ceea ce privește opțiunea disponibilă în temeiul articolului 45b alineatul (4) primul paragraf din Directiva 2014/59/UE, modelul M 20.00 – Raportarea deciziilor privind MREL [anexa I la Regulamentul (UE) 2021/622] și instrucțiunile corespunzătoare ar trebui ajustate pentru a impune includerea de informații privind exercitarea opțiunii respective.</w:t>
      </w:r>
    </w:p>
    <w:p w14:paraId="1B5314C9" w14:textId="77777777" w:rsidR="00C16484" w:rsidRPr="00375711" w:rsidRDefault="00C16484" w:rsidP="004B4C38">
      <w:pPr>
        <w:pStyle w:val="Considrant"/>
        <w:numPr>
          <w:ilvl w:val="0"/>
          <w:numId w:val="2"/>
        </w:numPr>
        <w:rPr>
          <w:noProof/>
        </w:rPr>
      </w:pPr>
      <w:r w:rsidRPr="00375711">
        <w:t>ABE a solicitat avizul Grupului părților interesate din domeniul bancar, instituit în conformitate cu articolul 37 din Regulamentul (UE) nr. 1093/2010 al Parlamentului European și al Consiliului</w:t>
      </w:r>
      <w:r w:rsidRPr="00375711">
        <w:rPr>
          <w:rStyle w:val="FootnoteReference"/>
          <w:noProof/>
        </w:rPr>
        <w:footnoteReference w:id="6"/>
      </w:r>
      <w:r w:rsidRPr="00375711">
        <w:t xml:space="preserve">. </w:t>
      </w:r>
    </w:p>
    <w:p w14:paraId="5D5111C6" w14:textId="77777777" w:rsidR="00C16484" w:rsidRPr="00375711" w:rsidRDefault="00373FC4" w:rsidP="004B4C38">
      <w:pPr>
        <w:pStyle w:val="Considrant"/>
        <w:numPr>
          <w:ilvl w:val="0"/>
          <w:numId w:val="2"/>
        </w:numPr>
        <w:rPr>
          <w:noProof/>
        </w:rPr>
      </w:pPr>
      <w:r w:rsidRPr="00375711">
        <w:t xml:space="preserve">Modificările aduse Regulamentului (UE) 2021/622 se adresează autorităților de rezoluție și nu implică modificări semnificative de fond. Prin urmare, în conformitate cu articolul 15 alineatul (1) al doilea paragraf din Regulamentul (UE) nr. 1093/2010, ABE nu a efectuat consultări publice deschise și nici nu a analizat eventualele costuri și beneficii aferente, considerând că acest lucru ar fi disproporționat în raport cu domeniul de aplicare și cu impactul proiectului de standarde tehnice de punere în aplicare în cauză. </w:t>
      </w:r>
    </w:p>
    <w:p w14:paraId="0A23BFF6" w14:textId="77777777" w:rsidR="00C16484" w:rsidRPr="00375711" w:rsidRDefault="00C16484" w:rsidP="004B4C38">
      <w:pPr>
        <w:pStyle w:val="Considrant"/>
        <w:numPr>
          <w:ilvl w:val="0"/>
          <w:numId w:val="2"/>
        </w:numPr>
        <w:rPr>
          <w:noProof/>
        </w:rPr>
      </w:pPr>
      <w:r w:rsidRPr="00375711">
        <w:t>Prin urmare, Regulamentul de punere în aplicare (UE) 2021/622 ar trebui modificat în consecință.</w:t>
      </w:r>
    </w:p>
    <w:p w14:paraId="1887EA7B" w14:textId="77777777" w:rsidR="00C16484" w:rsidRPr="00375711" w:rsidRDefault="00C16484" w:rsidP="004B4C38">
      <w:pPr>
        <w:pStyle w:val="Considrant"/>
        <w:numPr>
          <w:ilvl w:val="0"/>
          <w:numId w:val="2"/>
        </w:numPr>
        <w:rPr>
          <w:noProof/>
        </w:rPr>
      </w:pPr>
      <w:r w:rsidRPr="00375711">
        <w:t>Prezentul regulament se bazează pe proiectul de standarde tehnice de punere în aplicare transmis Comisiei de către ABE,</w:t>
      </w:r>
    </w:p>
    <w:p w14:paraId="313B274F" w14:textId="77777777" w:rsidR="00C16484" w:rsidRPr="00375711" w:rsidRDefault="00C16484">
      <w:pPr>
        <w:pStyle w:val="Formuledadoption"/>
      </w:pPr>
      <w:r w:rsidRPr="00375711">
        <w:t>ADOPTĂ PREZENTUL REGULAMENT:</w:t>
      </w:r>
    </w:p>
    <w:p w14:paraId="455FC522" w14:textId="77777777" w:rsidR="00C16484" w:rsidRPr="00375711" w:rsidRDefault="00C16484">
      <w:pPr>
        <w:pStyle w:val="Titrearticle"/>
      </w:pPr>
      <w:r w:rsidRPr="00375711">
        <w:t>Articolul 1</w:t>
      </w:r>
    </w:p>
    <w:p w14:paraId="061A957A" w14:textId="77777777" w:rsidR="00C16484" w:rsidRPr="00375711" w:rsidRDefault="00C16484" w:rsidP="00C16484">
      <w:pPr>
        <w:rPr>
          <w:noProof/>
        </w:rPr>
      </w:pPr>
      <w:r w:rsidRPr="00375711">
        <w:t>Regulamentul de punere în aplicare (UE) 2021/622 se modifică după cum urmează:</w:t>
      </w:r>
    </w:p>
    <w:p w14:paraId="44E520EB" w14:textId="77777777" w:rsidR="00C16484" w:rsidRPr="00375711" w:rsidRDefault="00C16484" w:rsidP="00783A3B">
      <w:pPr>
        <w:pStyle w:val="Point0number"/>
        <w:numPr>
          <w:ilvl w:val="0"/>
          <w:numId w:val="6"/>
        </w:numPr>
        <w:rPr>
          <w:noProof/>
        </w:rPr>
      </w:pPr>
      <w:r w:rsidRPr="00375711">
        <w:t>Articolul 2 se modifică după cum urmează:</w:t>
      </w:r>
    </w:p>
    <w:p w14:paraId="252CA8AC" w14:textId="77777777" w:rsidR="00C16484" w:rsidRPr="00375711" w:rsidRDefault="00C16484" w:rsidP="00783A3B">
      <w:pPr>
        <w:pStyle w:val="Point1letter"/>
        <w:rPr>
          <w:noProof/>
        </w:rPr>
      </w:pPr>
      <w:r w:rsidRPr="00375711">
        <w:t>titlul se înlocuiește cu următorul text:</w:t>
      </w:r>
    </w:p>
    <w:p w14:paraId="3D4F8508" w14:textId="77777777" w:rsidR="00C16484" w:rsidRPr="00375711" w:rsidRDefault="00C16484" w:rsidP="00783A3B">
      <w:pPr>
        <w:jc w:val="center"/>
        <w:rPr>
          <w:noProof/>
        </w:rPr>
      </w:pPr>
      <w:r w:rsidRPr="00375711">
        <w:t>„</w:t>
      </w:r>
      <w:r w:rsidRPr="00375711">
        <w:rPr>
          <w:b/>
        </w:rPr>
        <w:t>Cerința de raportare simplificată pentru instituțiile care fac obiectul unor derogări</w:t>
      </w:r>
      <w:r w:rsidRPr="00375711">
        <w:t>”;</w:t>
      </w:r>
    </w:p>
    <w:p w14:paraId="2EAF66BD" w14:textId="77777777" w:rsidR="00C16484" w:rsidRPr="00375711" w:rsidRDefault="00C16484" w:rsidP="00783A3B">
      <w:pPr>
        <w:pStyle w:val="Point1letter"/>
        <w:rPr>
          <w:noProof/>
        </w:rPr>
      </w:pPr>
      <w:r w:rsidRPr="00375711">
        <w:t>alineatul (2) se elimină.</w:t>
      </w:r>
    </w:p>
    <w:p w14:paraId="1A052A8B" w14:textId="77777777" w:rsidR="00C16484" w:rsidRPr="00375711" w:rsidRDefault="00C16484" w:rsidP="00783A3B">
      <w:pPr>
        <w:pStyle w:val="Point0number"/>
        <w:rPr>
          <w:noProof/>
        </w:rPr>
      </w:pPr>
      <w:r w:rsidRPr="00375711">
        <w:t>La articolul 3, teza introductivă se înlocuiește cu următorul text:</w:t>
      </w:r>
    </w:p>
    <w:p w14:paraId="533DCDB8" w14:textId="77777777" w:rsidR="00C16484" w:rsidRPr="00375711" w:rsidRDefault="00C16484" w:rsidP="00783A3B">
      <w:pPr>
        <w:rPr>
          <w:noProof/>
        </w:rPr>
      </w:pPr>
      <w:r w:rsidRPr="00375711">
        <w:t>„În cazul grupurilor care fac obiectul MREL pe bază consolidată în temeiul articolului 45e, al articolului 45f alineatul (1) al treilea și al patrulea paragraf și al articolului 45f alineatul (4) litera (b) din Directiva 2014/59/UE, informațiile menționate la articolele 1 și 2 se transmit de către următoarele autorități, după cum urmează:”.</w:t>
      </w:r>
    </w:p>
    <w:p w14:paraId="0509E0AB" w14:textId="77777777" w:rsidR="00C16484" w:rsidRPr="00375711" w:rsidRDefault="00C16484" w:rsidP="00783A3B">
      <w:pPr>
        <w:pStyle w:val="Point0number"/>
        <w:rPr>
          <w:noProof/>
        </w:rPr>
      </w:pPr>
      <w:r w:rsidRPr="00375711">
        <w:t>Articolul 4 se înlocuiește cu următorul text:</w:t>
      </w:r>
    </w:p>
    <w:p w14:paraId="66FCA4E9" w14:textId="77777777" w:rsidR="00C16484" w:rsidRPr="00375711" w:rsidRDefault="00D47F83" w:rsidP="00783A3B">
      <w:pPr>
        <w:pStyle w:val="Titrearticle"/>
        <w:rPr>
          <w:i w:val="0"/>
          <w:iCs/>
          <w:noProof/>
        </w:rPr>
      </w:pPr>
      <w:r w:rsidRPr="00375711">
        <w:rPr>
          <w:i w:val="0"/>
        </w:rPr>
        <w:t>„</w:t>
      </w:r>
      <w:r w:rsidRPr="00375711">
        <w:t xml:space="preserve">Articolul 4 </w:t>
      </w:r>
      <w:r w:rsidRPr="00375711">
        <w:br/>
      </w:r>
      <w:r w:rsidRPr="00375711">
        <w:rPr>
          <w:b/>
          <w:i w:val="0"/>
        </w:rPr>
        <w:t>Perioadele de raportare și termenele pentru transmiterea informațiilor</w:t>
      </w:r>
    </w:p>
    <w:p w14:paraId="054F5F9B" w14:textId="77777777" w:rsidR="00C16484" w:rsidRPr="00375711" w:rsidRDefault="00C16484" w:rsidP="00783A3B">
      <w:pPr>
        <w:rPr>
          <w:noProof/>
        </w:rPr>
      </w:pPr>
      <w:r w:rsidRPr="00375711">
        <w:t>Autoritățile de rezoluție transmit informațiile menționate la articolele 1 și 2 după cum urmează:</w:t>
      </w:r>
    </w:p>
    <w:p w14:paraId="5113726F" w14:textId="77777777" w:rsidR="00C16484" w:rsidRPr="00375711" w:rsidRDefault="00C16484" w:rsidP="00783A3B">
      <w:pPr>
        <w:pStyle w:val="Point1letter"/>
        <w:rPr>
          <w:noProof/>
        </w:rPr>
      </w:pPr>
      <w:r w:rsidRPr="00375711">
        <w:t>pentru MREL aplicabilă de la 30 iunie, până la data de 16 septembrie a anului respectiv;</w:t>
      </w:r>
    </w:p>
    <w:p w14:paraId="7219DDD8" w14:textId="77777777" w:rsidR="00C16484" w:rsidRPr="00375711" w:rsidRDefault="00C16484" w:rsidP="00783A3B">
      <w:pPr>
        <w:pStyle w:val="Point1letter"/>
        <w:rPr>
          <w:noProof/>
        </w:rPr>
      </w:pPr>
      <w:r w:rsidRPr="00375711">
        <w:t>pentru MREL aplicabilă de la 31 decembrie, până la data de 18 martie a anului următor.”</w:t>
      </w:r>
    </w:p>
    <w:p w14:paraId="65609948" w14:textId="77777777" w:rsidR="00C16484" w:rsidRPr="00375711" w:rsidRDefault="00C16484" w:rsidP="00783A3B">
      <w:pPr>
        <w:pStyle w:val="Point0number"/>
        <w:rPr>
          <w:noProof/>
        </w:rPr>
      </w:pPr>
      <w:r w:rsidRPr="00375711">
        <w:t>Anexa I se înlocuiește cu textul anexei I la prezentul regulament.</w:t>
      </w:r>
    </w:p>
    <w:p w14:paraId="45E55C10" w14:textId="77777777" w:rsidR="00C16484" w:rsidRPr="00375711" w:rsidRDefault="00C16484" w:rsidP="00783A3B">
      <w:pPr>
        <w:pStyle w:val="Point0number"/>
        <w:rPr>
          <w:noProof/>
        </w:rPr>
      </w:pPr>
      <w:r w:rsidRPr="00375711">
        <w:t>Anexa II se înlocuiește cu textul anexei II la prezentul regulament.</w:t>
      </w:r>
    </w:p>
    <w:p w14:paraId="0B09A3CA" w14:textId="77777777" w:rsidR="00C16484" w:rsidRPr="00375711" w:rsidRDefault="00C16484">
      <w:pPr>
        <w:pStyle w:val="Titrearticle"/>
      </w:pPr>
      <w:r w:rsidRPr="00375711">
        <w:t>Articolul 2</w:t>
      </w:r>
    </w:p>
    <w:p w14:paraId="0BDD24EC" w14:textId="77777777" w:rsidR="00C16484" w:rsidRPr="00375711" w:rsidRDefault="00C16484" w:rsidP="00830365">
      <w:r w:rsidRPr="00375711">
        <w:t xml:space="preserve">Prezentul regulament intră în vigoare în a douăzecea zi de la data publicării în </w:t>
      </w:r>
      <w:r w:rsidRPr="00375711">
        <w:rPr>
          <w:i/>
        </w:rPr>
        <w:t>Jurnalul Oficial al Uniunii Europene</w:t>
      </w:r>
      <w:r w:rsidRPr="00375711">
        <w:t>.</w:t>
      </w:r>
    </w:p>
    <w:p w14:paraId="3DDE2F7A" w14:textId="77777777" w:rsidR="00C16484" w:rsidRPr="00375711" w:rsidRDefault="00C16484">
      <w:pPr>
        <w:pStyle w:val="Applicationdirecte"/>
      </w:pPr>
      <w:r w:rsidRPr="00375711">
        <w:t>Prezentul regulament este obligatoriu în toate elementele sale și se aplică direct în toate statele membre.</w:t>
      </w:r>
    </w:p>
    <w:p w14:paraId="0FD02893" w14:textId="737E5145" w:rsidR="00C16484" w:rsidRPr="00375711" w:rsidRDefault="00375711" w:rsidP="00375711">
      <w:pPr>
        <w:pStyle w:val="Fait"/>
      </w:pPr>
      <w:r w:rsidRPr="00375711">
        <w:t>Adoptat la Bruxelles,</w:t>
      </w:r>
    </w:p>
    <w:p w14:paraId="3FB14D4B" w14:textId="77777777" w:rsidR="00C16484" w:rsidRPr="00375711" w:rsidRDefault="00C16484" w:rsidP="00C16484">
      <w:pPr>
        <w:pStyle w:val="Institutionquisigne"/>
      </w:pPr>
      <w:r w:rsidRPr="00375711">
        <w:tab/>
        <w:t>Pentru Comisie</w:t>
      </w:r>
    </w:p>
    <w:p w14:paraId="0FEF1170" w14:textId="0CD182DE" w:rsidR="00C16484" w:rsidRPr="00375711" w:rsidRDefault="00C16484" w:rsidP="00C16484">
      <w:pPr>
        <w:pStyle w:val="Personnequisigne"/>
      </w:pPr>
      <w:r w:rsidRPr="00375711">
        <w:tab/>
        <w:t xml:space="preserve">Președinta </w:t>
      </w:r>
      <w:r w:rsidRPr="00375711">
        <w:br/>
      </w:r>
      <w:r w:rsidRPr="00375711">
        <w:tab/>
        <w:t xml:space="preserve">Ursula von der Leyen </w:t>
      </w:r>
      <w:r w:rsidRPr="00375711">
        <w:br/>
      </w:r>
      <w:r w:rsidRPr="00375711">
        <w:tab/>
      </w:r>
    </w:p>
    <w:sectPr w:rsidR="00C16484" w:rsidRPr="00375711" w:rsidSect="00FB59F9">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E8557" w14:textId="77777777" w:rsidR="00881A41" w:rsidRDefault="00881A41" w:rsidP="00C16484">
      <w:pPr>
        <w:spacing w:before="0" w:after="0"/>
      </w:pPr>
      <w:r>
        <w:separator/>
      </w:r>
    </w:p>
  </w:endnote>
  <w:endnote w:type="continuationSeparator" w:id="0">
    <w:p w14:paraId="1BAFB35E" w14:textId="77777777" w:rsidR="00881A41" w:rsidRDefault="00881A41" w:rsidP="00C16484">
      <w:pPr>
        <w:spacing w:before="0" w:after="0"/>
      </w:pPr>
      <w:r>
        <w:continuationSeparator/>
      </w:r>
    </w:p>
  </w:endnote>
  <w:endnote w:type="continuationNotice" w:id="1">
    <w:p w14:paraId="71236106" w14:textId="77777777" w:rsidR="00881A41" w:rsidRDefault="00881A4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CDF19" w14:textId="35564AC4" w:rsidR="00AE4482" w:rsidRPr="00FB59F9" w:rsidRDefault="00FB59F9" w:rsidP="00FB59F9">
    <w:pPr>
      <w:pStyle w:val="Footer"/>
      <w:rPr>
        <w:rFonts w:ascii="Arial" w:hAnsi="Arial" w:cs="Arial"/>
        <w:b/>
        <w:sz w:val="48"/>
      </w:rPr>
    </w:pPr>
    <w:r w:rsidRPr="00FB59F9">
      <w:rPr>
        <w:rFonts w:ascii="Arial" w:hAnsi="Arial" w:cs="Arial"/>
        <w:b/>
        <w:sz w:val="48"/>
      </w:rPr>
      <w:t>RO</w:t>
    </w:r>
    <w:r w:rsidRPr="00FB59F9">
      <w:rPr>
        <w:rFonts w:ascii="Arial" w:hAnsi="Arial" w:cs="Arial"/>
        <w:b/>
        <w:sz w:val="48"/>
      </w:rPr>
      <w:tab/>
    </w:r>
    <w:r w:rsidRPr="00FB59F9">
      <w:rPr>
        <w:rFonts w:ascii="Arial" w:hAnsi="Arial" w:cs="Arial"/>
        <w:b/>
        <w:sz w:val="48"/>
      </w:rPr>
      <w:tab/>
    </w:r>
    <w:r w:rsidRPr="00FB59F9">
      <w:tab/>
    </w:r>
    <w:r w:rsidRPr="00FB59F9">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2038" w14:textId="5B03AF9C" w:rsidR="00AE4482" w:rsidRPr="00FB59F9" w:rsidRDefault="00FB59F9" w:rsidP="00FB59F9">
    <w:pPr>
      <w:pStyle w:val="Footer"/>
      <w:rPr>
        <w:rFonts w:ascii="Arial" w:hAnsi="Arial" w:cs="Arial"/>
        <w:b/>
        <w:sz w:val="48"/>
      </w:rPr>
    </w:pPr>
    <w:r w:rsidRPr="00FB59F9">
      <w:rPr>
        <w:rFonts w:ascii="Arial" w:hAnsi="Arial" w:cs="Arial"/>
        <w:b/>
        <w:sz w:val="48"/>
      </w:rPr>
      <w:t>RO</w:t>
    </w:r>
    <w:r w:rsidRPr="00FB59F9">
      <w:rPr>
        <w:rFonts w:ascii="Arial" w:hAnsi="Arial" w:cs="Arial"/>
        <w:b/>
        <w:sz w:val="48"/>
      </w:rPr>
      <w:tab/>
    </w:r>
    <w:r w:rsidRPr="00FB59F9">
      <w:rPr>
        <w:rFonts w:ascii="Arial" w:hAnsi="Arial" w:cs="Arial"/>
        <w:b/>
        <w:sz w:val="48"/>
      </w:rPr>
      <w:tab/>
    </w:r>
    <w:r w:rsidRPr="00FB59F9">
      <w:tab/>
    </w:r>
    <w:r w:rsidRPr="00FB59F9">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C974" w14:textId="77777777" w:rsidR="00433C89" w:rsidRPr="00FB59F9" w:rsidRDefault="00433C89" w:rsidP="00FB59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2728" w14:textId="77777777" w:rsidR="000C320E" w:rsidRPr="00DC5E29" w:rsidRDefault="000C320E" w:rsidP="00DC5E29">
    <w:pPr>
      <w:pStyle w:val="Footer"/>
      <w:rPr>
        <w:rFonts w:ascii="Arial" w:hAnsi="Arial" w:cs="Arial"/>
        <w:b/>
        <w:sz w:val="4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60A0" w14:textId="4323F99D" w:rsidR="00FB59F9" w:rsidRPr="00FB59F9" w:rsidRDefault="00FB59F9" w:rsidP="00FB59F9">
    <w:pPr>
      <w:pStyle w:val="Footer"/>
      <w:rPr>
        <w:rFonts w:ascii="Arial" w:hAnsi="Arial" w:cs="Arial"/>
        <w:b/>
        <w:sz w:val="48"/>
      </w:rPr>
    </w:pPr>
    <w:r w:rsidRPr="00FB59F9">
      <w:rPr>
        <w:rFonts w:ascii="Arial" w:hAnsi="Arial" w:cs="Arial"/>
        <w:b/>
        <w:sz w:val="48"/>
      </w:rPr>
      <w:t>RO</w:t>
    </w:r>
    <w:r w:rsidRPr="00FB59F9">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FB59F9">
      <w:tab/>
    </w:r>
    <w:r w:rsidRPr="00FB59F9">
      <w:rPr>
        <w:rFonts w:ascii="Arial" w:hAnsi="Arial" w:cs="Arial"/>
        <w:b/>
        <w:sz w:val="48"/>
      </w:rPr>
      <w:t>RO</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2C19" w14:textId="77777777" w:rsidR="000C320E" w:rsidRDefault="000C320E" w:rsidP="00FB5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5D9B4" w14:textId="77777777" w:rsidR="00881A41" w:rsidRDefault="00881A41" w:rsidP="00C16484">
      <w:pPr>
        <w:spacing w:before="0" w:after="0"/>
      </w:pPr>
      <w:r>
        <w:separator/>
      </w:r>
    </w:p>
  </w:footnote>
  <w:footnote w:type="continuationSeparator" w:id="0">
    <w:p w14:paraId="1A643A17" w14:textId="77777777" w:rsidR="00881A41" w:rsidRDefault="00881A41" w:rsidP="00C16484">
      <w:pPr>
        <w:spacing w:before="0" w:after="0"/>
      </w:pPr>
      <w:r>
        <w:continuationSeparator/>
      </w:r>
    </w:p>
  </w:footnote>
  <w:footnote w:type="continuationNotice" w:id="1">
    <w:p w14:paraId="55675CE4" w14:textId="77777777" w:rsidR="00881A41" w:rsidRDefault="00881A41">
      <w:pPr>
        <w:spacing w:before="0" w:after="0"/>
      </w:pPr>
    </w:p>
  </w:footnote>
  <w:footnote w:id="2">
    <w:p w14:paraId="33763137" w14:textId="77777777" w:rsidR="00C16484" w:rsidRPr="00DE0FCF" w:rsidRDefault="00C16484" w:rsidP="00C16484">
      <w:pPr>
        <w:pStyle w:val="FootnoteText"/>
      </w:pPr>
      <w:r>
        <w:rPr>
          <w:rStyle w:val="FootnoteReference"/>
        </w:rPr>
        <w:footnoteRef/>
      </w:r>
      <w:r>
        <w:tab/>
      </w:r>
      <w:r w:rsidRPr="00DE0FCF">
        <w:t>JO L 173, 12.6.2014, p. 190, ELI: </w:t>
      </w:r>
      <w:hyperlink r:id="rId1" w:tooltip="Oferă acces la acest document prin identificatorul său uniform de resurse ELI." w:history="1">
        <w:r w:rsidRPr="00DE0FCF">
          <w:rPr>
            <w:rStyle w:val="Hyperlink"/>
            <w:rFonts w:ascii="Times New Roman" w:hAnsi="Times New Roman"/>
          </w:rPr>
          <w:t>http://data.europa.eu/eli/dir/2014/59/oj</w:t>
        </w:r>
      </w:hyperlink>
      <w:r w:rsidRPr="00DE0FCF">
        <w:t xml:space="preserve">. </w:t>
      </w:r>
    </w:p>
  </w:footnote>
  <w:footnote w:id="3">
    <w:p w14:paraId="584AEAAA" w14:textId="78F88551" w:rsidR="003428AE" w:rsidRPr="00DE0FCF" w:rsidRDefault="003428AE">
      <w:pPr>
        <w:pStyle w:val="FootnoteText"/>
      </w:pPr>
      <w:r w:rsidRPr="00DE0FCF">
        <w:rPr>
          <w:rStyle w:val="FootnoteReference"/>
        </w:rPr>
        <w:footnoteRef/>
      </w:r>
      <w:r w:rsidRPr="00DE0FCF">
        <w:tab/>
        <w:t xml:space="preserve">Directiva (UE) 2024/1174 a Parlamentului European și a Consiliului din 11 aprilie 2024 de modificare a Directivei 2014/59/UE și a Regulamentului (UE) nr. 806/2014 în ceea ce privește anumite aspecte ale cerinței minime de fonduri proprii și datorii eligibile (JO L, 2024/1174, 22.4.2024, ELI: </w:t>
      </w:r>
      <w:hyperlink r:id="rId2" w:history="1">
        <w:r w:rsidRPr="00DE0FCF">
          <w:rPr>
            <w:rStyle w:val="Hyperlink"/>
            <w:rFonts w:ascii="Times New Roman" w:hAnsi="Times New Roman"/>
          </w:rPr>
          <w:t>http://data.europa.eu/eli/dir/2024/1174/oj</w:t>
        </w:r>
      </w:hyperlink>
      <w:r w:rsidRPr="00DE0FCF">
        <w:t xml:space="preserve">). </w:t>
      </w:r>
    </w:p>
  </w:footnote>
  <w:footnote w:id="4">
    <w:p w14:paraId="4D1953DF" w14:textId="607C22C8" w:rsidR="001F4496" w:rsidRPr="00DE0FCF" w:rsidRDefault="001F4496">
      <w:pPr>
        <w:pStyle w:val="FootnoteText"/>
      </w:pPr>
      <w:r w:rsidRPr="00DE0FCF">
        <w:rPr>
          <w:rStyle w:val="FootnoteReference"/>
        </w:rPr>
        <w:footnoteRef/>
      </w:r>
      <w:r w:rsidRPr="00DE0FCF">
        <w:tab/>
        <w:t xml:space="preserve">Regulamentul de punere în aplicare (UE) 2021/622 al Comisiei din 15 aprilie 2021 de stabilire a standardelor tehnice de punere în aplicare pentru aplicarea Directivei 2014/59/UE a Parlamentului European și a Consiliului în ceea ce privește modelele uniforme de raportare, instrucțiunile și metodologia pentru raportarea cu privire la cerința minimă de fonduri proprii și datorii eligibile (JO L 131, 16.4.2021, p. 123, ELI: </w:t>
      </w:r>
      <w:hyperlink r:id="rId3" w:history="1">
        <w:r w:rsidRPr="00DE0FCF">
          <w:rPr>
            <w:rStyle w:val="Hyperlink"/>
            <w:rFonts w:ascii="Times New Roman" w:hAnsi="Times New Roman"/>
          </w:rPr>
          <w:t>http://data.europa.eu/eli/reg_impl/2021/622/oj</w:t>
        </w:r>
      </w:hyperlink>
      <w:r w:rsidRPr="00DE0FCF">
        <w:t>).</w:t>
      </w:r>
    </w:p>
  </w:footnote>
  <w:footnote w:id="5">
    <w:p w14:paraId="5FB3833A" w14:textId="77777777" w:rsidR="000B5B60" w:rsidRPr="00DE0FCF" w:rsidRDefault="000B5B60">
      <w:pPr>
        <w:pStyle w:val="FootnoteText"/>
      </w:pPr>
      <w:r w:rsidRPr="00DE0FCF">
        <w:rPr>
          <w:rStyle w:val="FootnoteReference"/>
        </w:rPr>
        <w:footnoteRef/>
      </w:r>
      <w:r w:rsidRPr="00DE0FCF">
        <w:tab/>
        <w:t xml:space="preserve">Regulamentul de punere în aplicare (UE) 2021/763 al Comisiei din 23 aprilie 2021 de stabilire a standardelor tehnice de punere în aplicare pentru aplicarea Regulamentului (UE) nr. 575/2013 al Parlamentului European și al Consiliului și a Directivei 2014/59/UE a Parlamentului European și a Consiliului în ceea ce privește raportarea în scopuri de supraveghere și publicarea cerinței minime de fonduri proprii și datorii eligibile (JO L 168, 12.5.2021, ELI: </w:t>
      </w:r>
      <w:hyperlink r:id="rId4" w:history="1">
        <w:r w:rsidRPr="00DE0FCF">
          <w:rPr>
            <w:rStyle w:val="Hyperlink"/>
            <w:rFonts w:ascii="Times New Roman" w:hAnsi="Times New Roman"/>
          </w:rPr>
          <w:t>http://data.europa.eu/eli/reg_impl/2021/763/oj</w:t>
        </w:r>
      </w:hyperlink>
      <w:r w:rsidRPr="00DE0FCF">
        <w:t>).</w:t>
      </w:r>
    </w:p>
  </w:footnote>
  <w:footnote w:id="6">
    <w:p w14:paraId="04BE3385" w14:textId="77777777" w:rsidR="00401F3A" w:rsidRPr="00DE0FCF" w:rsidRDefault="00401F3A" w:rsidP="00F35BD7">
      <w:pPr>
        <w:pStyle w:val="FootnoteText"/>
      </w:pPr>
      <w:r w:rsidRPr="00DE0FCF">
        <w:rPr>
          <w:rStyle w:val="FootnoteReference"/>
        </w:rPr>
        <w:footnoteRef/>
      </w:r>
      <w:r w:rsidRPr="00DE0FCF">
        <w:tab/>
        <w:t>Regulamentul (UE) nr. 1093/2010 al Parlamentului European și al Consiliului din 24 noiembrie 2010 de instituire a Autorității europene de supraveghere (Autoritatea bancară europeană), de modificare a Deciziei nr. 716/2009/CE și de abrogare a Deciziei 2009/78/CE a Comisiei (JO L 331, 15.12.2010, p. 12, ELI: </w:t>
      </w:r>
      <w:hyperlink r:id="rId5" w:tooltip="Oferă acces la acest document prin identificatorul său uniform de resurse ELI." w:history="1">
        <w:r w:rsidRPr="00DE0FCF">
          <w:rPr>
            <w:rStyle w:val="Hyperlink"/>
            <w:rFonts w:ascii="Times New Roman" w:hAnsi="Times New Roman"/>
          </w:rPr>
          <w:t>http://data.europa.eu/eli/reg/2010/1093/oj</w:t>
        </w:r>
      </w:hyperlink>
      <w:r w:rsidRPr="00DE0FC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C1FF" w14:textId="77777777" w:rsidR="00433C89" w:rsidRPr="00FB59F9" w:rsidRDefault="00433C89" w:rsidP="00FB59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9341" w14:textId="77777777" w:rsidR="00433C89" w:rsidRPr="00FB59F9" w:rsidRDefault="00433C89" w:rsidP="00FB59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1EAC0" w14:textId="77777777" w:rsidR="00433C89" w:rsidRPr="00FB59F9" w:rsidRDefault="00433C89" w:rsidP="00FB59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C1D2" w14:textId="77777777" w:rsidR="000C320E" w:rsidRDefault="000C32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10A3" w14:textId="77777777" w:rsidR="000C320E" w:rsidRDefault="000C3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1B8BE2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E56832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CAC290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25511920">
    <w:abstractNumId w:val="3"/>
  </w:num>
  <w:num w:numId="2" w16cid:durableId="784347441">
    <w:abstractNumId w:val="18"/>
    <w:lvlOverride w:ilvl="0">
      <w:startOverride w:val="1"/>
    </w:lvlOverride>
  </w:num>
  <w:num w:numId="3" w16cid:durableId="2119445392">
    <w:abstractNumId w:val="2"/>
  </w:num>
  <w:num w:numId="4" w16cid:durableId="1881360427">
    <w:abstractNumId w:val="1"/>
  </w:num>
  <w:num w:numId="5" w16cid:durableId="309334442">
    <w:abstractNumId w:val="0"/>
  </w:num>
  <w:num w:numId="6" w16cid:durableId="861095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9693441">
    <w:abstractNumId w:val="15"/>
  </w:num>
  <w:num w:numId="8" w16cid:durableId="1693998065">
    <w:abstractNumId w:val="8"/>
  </w:num>
  <w:num w:numId="9" w16cid:durableId="788817884">
    <w:abstractNumId w:val="17"/>
  </w:num>
  <w:num w:numId="10" w16cid:durableId="1535464848">
    <w:abstractNumId w:val="7"/>
  </w:num>
  <w:num w:numId="11" w16cid:durableId="639657071">
    <w:abstractNumId w:val="9"/>
  </w:num>
  <w:num w:numId="12" w16cid:durableId="361050661">
    <w:abstractNumId w:val="10"/>
  </w:num>
  <w:num w:numId="13" w16cid:durableId="472790552">
    <w:abstractNumId w:val="5"/>
  </w:num>
  <w:num w:numId="14" w16cid:durableId="384646725">
    <w:abstractNumId w:val="16"/>
  </w:num>
  <w:num w:numId="15" w16cid:durableId="2031682509">
    <w:abstractNumId w:val="4"/>
  </w:num>
  <w:num w:numId="16" w16cid:durableId="150604668">
    <w:abstractNumId w:val="11"/>
  </w:num>
  <w:num w:numId="17" w16cid:durableId="472332852">
    <w:abstractNumId w:val="13"/>
  </w:num>
  <w:num w:numId="18" w16cid:durableId="1298296966">
    <w:abstractNumId w:val="14"/>
  </w:num>
  <w:num w:numId="19" w16cid:durableId="1306230484">
    <w:abstractNumId w:val="6"/>
  </w:num>
  <w:num w:numId="20" w16cid:durableId="24066917">
    <w:abstractNumId w:val="12"/>
  </w:num>
  <w:num w:numId="21" w16cid:durableId="48543658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QCDateTime" w:val="2026-02-02 11:40:4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002CAF29-57C8-4167-84EB-EDDD3658EACF"/>
    <w:docVar w:name="LW_COVERPAGE_TYPE" w:val="1"/>
    <w:docVar w:name="LW_CreatedUtc" w:val="2025-09-04T16:00:38.0896335Z"/>
    <w:docVar w:name="LW_CROSSREFERENCE" w:val="&lt;UNUSED&gt;"/>
    <w:docVar w:name="LW_DATE.ADOPT.CP" w:val="din XXX"/>
    <w:docVar w:name="LW_DATE.ADOPT.CP_DATEFORMAT" w:val="din %DATE%"/>
    <w:docVar w:name="LW_DATE.ADOPT.CP_ISODATE" w:val="&lt;EMPTY&gt;"/>
    <w:docVar w:name="LW_DocType" w:val="COM"/>
    <w:docVar w:name="LW_EMISSION" w:val="&lt;EMPTY&gt;"/>
    <w:docVar w:name="LW_EMISSION_ISODATE" w:val="&lt;EMPTY&gt;"/>
    <w:docVar w:name="LW_EMISSION_LOCATION" w:val="BRX"/>
    <w:docVar w:name="LW_EMISSION_PREFIX" w:val="Bruxelles, "/>
    <w:docVar w:name="LW_EMISSION_SUFFIX" w:val=" "/>
    <w:docVar w:name="LW_ID_DOCMODEL" w:val="SJ-004"/>
    <w:docVar w:name="LW_ID_DOCSIGNATURE" w:val="SJ-004"/>
    <w:docVar w:name="LW_ID_DOCSTRUCTURE" w:val="COM/AA"/>
    <w:docVar w:name="LW_ID_DOCTYPE" w:val="SJ-004"/>
    <w:docVar w:name="LW_INTERETEEE.CP" w:val="(Text cu relevan\u539?\u259? pentru SEE)"/>
    <w:docVar w:name="LW_LANGUE" w:val="RO"/>
    <w:docVar w:name="LW_LANGUESFAISANTFOI.CP" w:val="&lt;UNUSED&gt;"/>
    <w:docVar w:name="LW_LEVEL_OF_SENSITIVITY" w:val="Standard treatment"/>
    <w:docVar w:name="LW_NOM.INST" w:val="COMISIA EUROPEAN\u258?"/>
    <w:docVar w:name="LW_NOM.INST_JOINTDOC" w:val="&lt;EMPTY&gt;"/>
    <w:docVar w:name="LW_PART_NBR" w:val="1"/>
    <w:docVar w:name="LW_PART_NBR_TOTAL" w:val="1"/>
    <w:docVar w:name="LW_REF.INST.NEW" w:val="&lt;EMPTY&gt;"/>
    <w:docVar w:name="LW_REF.INST.NEW_ADOPTED" w:val="draft"/>
    <w:docVar w:name="LW_REF.INST.NEW_TEXT" w:val="(2026)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de modificare a standardelor tehnice de punere în aplicare prev\u259?zute în Regulamentul de punere în aplicare (UE) 2021/622 în ceea ce prive\u537?te frecven\u539?a raport\u259?rii \u537?i informa\u539?iile care trebuie raportate"/>
    <w:docVar w:name="LW_TYPE.DOC.CP" w:val="REGULAMENTUL DE PUNERE ÎN APLICARE (UE) \u8230?/\u8230? AL COMISIEI"/>
  </w:docVars>
  <w:rsids>
    <w:rsidRoot w:val="00C16484"/>
    <w:rsid w:val="00000BE0"/>
    <w:rsid w:val="00016399"/>
    <w:rsid w:val="000417C4"/>
    <w:rsid w:val="00045B9F"/>
    <w:rsid w:val="000625FB"/>
    <w:rsid w:val="00075947"/>
    <w:rsid w:val="00086602"/>
    <w:rsid w:val="000A663E"/>
    <w:rsid w:val="000B5B60"/>
    <w:rsid w:val="000B7A7D"/>
    <w:rsid w:val="000C320E"/>
    <w:rsid w:val="000D3BC2"/>
    <w:rsid w:val="000E0DF2"/>
    <w:rsid w:val="000E5499"/>
    <w:rsid w:val="00110C9E"/>
    <w:rsid w:val="00115188"/>
    <w:rsid w:val="001151E7"/>
    <w:rsid w:val="00125199"/>
    <w:rsid w:val="0013305B"/>
    <w:rsid w:val="00143ED4"/>
    <w:rsid w:val="00152894"/>
    <w:rsid w:val="0017762B"/>
    <w:rsid w:val="0018141D"/>
    <w:rsid w:val="001A25E7"/>
    <w:rsid w:val="001A6BDC"/>
    <w:rsid w:val="001C4894"/>
    <w:rsid w:val="001E3098"/>
    <w:rsid w:val="001E39BF"/>
    <w:rsid w:val="001F2AC0"/>
    <w:rsid w:val="001F4496"/>
    <w:rsid w:val="00214607"/>
    <w:rsid w:val="002259CF"/>
    <w:rsid w:val="002266B1"/>
    <w:rsid w:val="00235A60"/>
    <w:rsid w:val="00244085"/>
    <w:rsid w:val="00244C17"/>
    <w:rsid w:val="00244DFD"/>
    <w:rsid w:val="00246E59"/>
    <w:rsid w:val="00264589"/>
    <w:rsid w:val="0029415E"/>
    <w:rsid w:val="002A43D8"/>
    <w:rsid w:val="002A753D"/>
    <w:rsid w:val="002B37B6"/>
    <w:rsid w:val="002D6B17"/>
    <w:rsid w:val="002F1710"/>
    <w:rsid w:val="0030490D"/>
    <w:rsid w:val="00313AC1"/>
    <w:rsid w:val="00325B37"/>
    <w:rsid w:val="00331377"/>
    <w:rsid w:val="003428AE"/>
    <w:rsid w:val="00347EC7"/>
    <w:rsid w:val="00353536"/>
    <w:rsid w:val="00364262"/>
    <w:rsid w:val="00373FC4"/>
    <w:rsid w:val="00375711"/>
    <w:rsid w:val="0038290C"/>
    <w:rsid w:val="003838B9"/>
    <w:rsid w:val="00396ACD"/>
    <w:rsid w:val="003B10ED"/>
    <w:rsid w:val="003E05B8"/>
    <w:rsid w:val="003E3FC7"/>
    <w:rsid w:val="003E7D8F"/>
    <w:rsid w:val="003F2A70"/>
    <w:rsid w:val="00401F3A"/>
    <w:rsid w:val="00406CBA"/>
    <w:rsid w:val="004138D9"/>
    <w:rsid w:val="004211F5"/>
    <w:rsid w:val="0042702A"/>
    <w:rsid w:val="00433C89"/>
    <w:rsid w:val="00437AA5"/>
    <w:rsid w:val="004518ED"/>
    <w:rsid w:val="004631C4"/>
    <w:rsid w:val="00485F6A"/>
    <w:rsid w:val="004918DE"/>
    <w:rsid w:val="00492396"/>
    <w:rsid w:val="004B4C38"/>
    <w:rsid w:val="004D7D54"/>
    <w:rsid w:val="004E19F9"/>
    <w:rsid w:val="004E763F"/>
    <w:rsid w:val="004F04FA"/>
    <w:rsid w:val="004F588A"/>
    <w:rsid w:val="004F6513"/>
    <w:rsid w:val="00506B49"/>
    <w:rsid w:val="00507FF2"/>
    <w:rsid w:val="00517205"/>
    <w:rsid w:val="0052508D"/>
    <w:rsid w:val="00534D3A"/>
    <w:rsid w:val="0054013D"/>
    <w:rsid w:val="00542487"/>
    <w:rsid w:val="00547B8E"/>
    <w:rsid w:val="00557EAF"/>
    <w:rsid w:val="00582810"/>
    <w:rsid w:val="0058683E"/>
    <w:rsid w:val="005929F6"/>
    <w:rsid w:val="00593EEC"/>
    <w:rsid w:val="00595540"/>
    <w:rsid w:val="005A5382"/>
    <w:rsid w:val="005A55F3"/>
    <w:rsid w:val="005B5FA6"/>
    <w:rsid w:val="005C1F43"/>
    <w:rsid w:val="005D1478"/>
    <w:rsid w:val="005D2C73"/>
    <w:rsid w:val="005D6AA6"/>
    <w:rsid w:val="005E2634"/>
    <w:rsid w:val="005F2B9A"/>
    <w:rsid w:val="00603E01"/>
    <w:rsid w:val="0061453F"/>
    <w:rsid w:val="00642760"/>
    <w:rsid w:val="00643DEF"/>
    <w:rsid w:val="006654AB"/>
    <w:rsid w:val="00667F1D"/>
    <w:rsid w:val="006700C7"/>
    <w:rsid w:val="00685D33"/>
    <w:rsid w:val="006C1458"/>
    <w:rsid w:val="006D3FD5"/>
    <w:rsid w:val="006D477A"/>
    <w:rsid w:val="006D6949"/>
    <w:rsid w:val="006F20E7"/>
    <w:rsid w:val="006F7EFE"/>
    <w:rsid w:val="007142D9"/>
    <w:rsid w:val="00752552"/>
    <w:rsid w:val="007638EF"/>
    <w:rsid w:val="00763F6E"/>
    <w:rsid w:val="00781585"/>
    <w:rsid w:val="00783A3B"/>
    <w:rsid w:val="007878CB"/>
    <w:rsid w:val="00787E7C"/>
    <w:rsid w:val="0079599D"/>
    <w:rsid w:val="007A7287"/>
    <w:rsid w:val="007D0861"/>
    <w:rsid w:val="007D3D95"/>
    <w:rsid w:val="007E010B"/>
    <w:rsid w:val="007F5C7C"/>
    <w:rsid w:val="00801EB4"/>
    <w:rsid w:val="00802FC2"/>
    <w:rsid w:val="00817121"/>
    <w:rsid w:val="00830365"/>
    <w:rsid w:val="00833B73"/>
    <w:rsid w:val="00843817"/>
    <w:rsid w:val="008460B7"/>
    <w:rsid w:val="00847915"/>
    <w:rsid w:val="008601F7"/>
    <w:rsid w:val="00861270"/>
    <w:rsid w:val="00874305"/>
    <w:rsid w:val="00880A77"/>
    <w:rsid w:val="00881A41"/>
    <w:rsid w:val="00897749"/>
    <w:rsid w:val="008A3F6C"/>
    <w:rsid w:val="008B07C8"/>
    <w:rsid w:val="008B3C68"/>
    <w:rsid w:val="008B6AF9"/>
    <w:rsid w:val="008D3EC5"/>
    <w:rsid w:val="008D4062"/>
    <w:rsid w:val="008E2694"/>
    <w:rsid w:val="008E2E76"/>
    <w:rsid w:val="008F234A"/>
    <w:rsid w:val="00902ADE"/>
    <w:rsid w:val="00910118"/>
    <w:rsid w:val="00917A1D"/>
    <w:rsid w:val="00940731"/>
    <w:rsid w:val="009430FB"/>
    <w:rsid w:val="00943538"/>
    <w:rsid w:val="009526D5"/>
    <w:rsid w:val="0095347B"/>
    <w:rsid w:val="00962953"/>
    <w:rsid w:val="00964D55"/>
    <w:rsid w:val="00980CC9"/>
    <w:rsid w:val="009957C5"/>
    <w:rsid w:val="009A4095"/>
    <w:rsid w:val="009B0295"/>
    <w:rsid w:val="009C1E02"/>
    <w:rsid w:val="009D2368"/>
    <w:rsid w:val="009D5F8B"/>
    <w:rsid w:val="009F3A7A"/>
    <w:rsid w:val="00A03DA8"/>
    <w:rsid w:val="00A05FAB"/>
    <w:rsid w:val="00A24E3D"/>
    <w:rsid w:val="00A37D2E"/>
    <w:rsid w:val="00A4162C"/>
    <w:rsid w:val="00A41677"/>
    <w:rsid w:val="00A54A8C"/>
    <w:rsid w:val="00A564DC"/>
    <w:rsid w:val="00A565C7"/>
    <w:rsid w:val="00A719DF"/>
    <w:rsid w:val="00A7647B"/>
    <w:rsid w:val="00AA038B"/>
    <w:rsid w:val="00AB034D"/>
    <w:rsid w:val="00AC6B16"/>
    <w:rsid w:val="00AD5257"/>
    <w:rsid w:val="00AE4482"/>
    <w:rsid w:val="00B01072"/>
    <w:rsid w:val="00B0488F"/>
    <w:rsid w:val="00B136EC"/>
    <w:rsid w:val="00B14B01"/>
    <w:rsid w:val="00B43EBD"/>
    <w:rsid w:val="00B65FB3"/>
    <w:rsid w:val="00B66E09"/>
    <w:rsid w:val="00B95D78"/>
    <w:rsid w:val="00B97308"/>
    <w:rsid w:val="00BB3BEC"/>
    <w:rsid w:val="00BD02BB"/>
    <w:rsid w:val="00BD3885"/>
    <w:rsid w:val="00BD66E4"/>
    <w:rsid w:val="00C059B6"/>
    <w:rsid w:val="00C10CA6"/>
    <w:rsid w:val="00C11798"/>
    <w:rsid w:val="00C16484"/>
    <w:rsid w:val="00C21AB2"/>
    <w:rsid w:val="00C27976"/>
    <w:rsid w:val="00C3731F"/>
    <w:rsid w:val="00C62388"/>
    <w:rsid w:val="00C63550"/>
    <w:rsid w:val="00C637B0"/>
    <w:rsid w:val="00C64CCC"/>
    <w:rsid w:val="00C87FB3"/>
    <w:rsid w:val="00C9384A"/>
    <w:rsid w:val="00C9629C"/>
    <w:rsid w:val="00C96395"/>
    <w:rsid w:val="00C96A56"/>
    <w:rsid w:val="00CA156D"/>
    <w:rsid w:val="00CA57DA"/>
    <w:rsid w:val="00CA7FE1"/>
    <w:rsid w:val="00CC58EB"/>
    <w:rsid w:val="00CC697A"/>
    <w:rsid w:val="00CE1382"/>
    <w:rsid w:val="00D02FAD"/>
    <w:rsid w:val="00D0530E"/>
    <w:rsid w:val="00D05DED"/>
    <w:rsid w:val="00D206AC"/>
    <w:rsid w:val="00D47F83"/>
    <w:rsid w:val="00D5454C"/>
    <w:rsid w:val="00D55CE9"/>
    <w:rsid w:val="00D564F7"/>
    <w:rsid w:val="00D72038"/>
    <w:rsid w:val="00D763BC"/>
    <w:rsid w:val="00D872A1"/>
    <w:rsid w:val="00D93F2F"/>
    <w:rsid w:val="00D966E8"/>
    <w:rsid w:val="00DB4B20"/>
    <w:rsid w:val="00DC3AD5"/>
    <w:rsid w:val="00DC5E29"/>
    <w:rsid w:val="00DD4285"/>
    <w:rsid w:val="00DE0FCF"/>
    <w:rsid w:val="00DF1FB9"/>
    <w:rsid w:val="00DF36A6"/>
    <w:rsid w:val="00E07235"/>
    <w:rsid w:val="00E23B80"/>
    <w:rsid w:val="00E25A5F"/>
    <w:rsid w:val="00E32BAC"/>
    <w:rsid w:val="00E33C9F"/>
    <w:rsid w:val="00E36D1F"/>
    <w:rsid w:val="00E42E7E"/>
    <w:rsid w:val="00E43152"/>
    <w:rsid w:val="00E50E5B"/>
    <w:rsid w:val="00E64822"/>
    <w:rsid w:val="00E667BA"/>
    <w:rsid w:val="00E7044F"/>
    <w:rsid w:val="00E82B0B"/>
    <w:rsid w:val="00E873DD"/>
    <w:rsid w:val="00E932C3"/>
    <w:rsid w:val="00E93FA6"/>
    <w:rsid w:val="00E979AB"/>
    <w:rsid w:val="00EB3279"/>
    <w:rsid w:val="00EC332E"/>
    <w:rsid w:val="00EC39BC"/>
    <w:rsid w:val="00EE0749"/>
    <w:rsid w:val="00EE140B"/>
    <w:rsid w:val="00EE441C"/>
    <w:rsid w:val="00EE54B9"/>
    <w:rsid w:val="00EF097E"/>
    <w:rsid w:val="00F07F26"/>
    <w:rsid w:val="00F35BD7"/>
    <w:rsid w:val="00F36982"/>
    <w:rsid w:val="00F41DDB"/>
    <w:rsid w:val="00F629AC"/>
    <w:rsid w:val="00F9249D"/>
    <w:rsid w:val="00F95ED9"/>
    <w:rsid w:val="00FA0BAF"/>
    <w:rsid w:val="00FA382E"/>
    <w:rsid w:val="00FA715C"/>
    <w:rsid w:val="00FB22DB"/>
    <w:rsid w:val="00FB59F9"/>
    <w:rsid w:val="00FC2396"/>
    <w:rsid w:val="00FC5252"/>
    <w:rsid w:val="00FD060F"/>
    <w:rsid w:val="00FD1723"/>
    <w:rsid w:val="00FD5032"/>
    <w:rsid w:val="00FE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8EC4F20"/>
  <w15:docId w15:val="{EDD646E4-8E0C-487A-842A-DA74770F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16484"/>
    <w:pPr>
      <w:numPr>
        <w:numId w:val="1"/>
      </w:numPr>
      <w:tabs>
        <w:tab w:val="clear" w:pos="360"/>
      </w:tabs>
      <w:ind w:left="0" w:firstLine="0"/>
    </w:pPr>
    <w:rPr>
      <w:rFonts w:eastAsia="Times New Roman"/>
      <w:lang w:eastAsia="en-GB"/>
    </w:rPr>
  </w:style>
  <w:style w:type="character" w:styleId="Hyperlink">
    <w:name w:val="Hyperlink"/>
    <w:basedOn w:val="DefaultParagraphFont"/>
    <w:uiPriority w:val="99"/>
    <w:rsid w:val="00C16484"/>
    <w:rPr>
      <w:rFonts w:asciiTheme="majorHAnsi" w:hAnsiTheme="majorHAnsi"/>
      <w:color w:val="F79646" w:themeColor="accent6"/>
      <w:u w:val="single"/>
    </w:rPr>
  </w:style>
  <w:style w:type="numbering" w:customStyle="1" w:styleId="LFO29">
    <w:name w:val="LFO29"/>
    <w:basedOn w:val="NoList"/>
    <w:rsid w:val="00C16484"/>
  </w:style>
  <w:style w:type="paragraph" w:styleId="ListBullet2">
    <w:name w:val="List Bullet 2"/>
    <w:basedOn w:val="Normal"/>
    <w:uiPriority w:val="99"/>
    <w:semiHidden/>
    <w:unhideWhenUsed/>
    <w:rsid w:val="00F9249D"/>
    <w:pPr>
      <w:numPr>
        <w:numId w:val="3"/>
      </w:numPr>
      <w:contextualSpacing/>
    </w:pPr>
  </w:style>
  <w:style w:type="paragraph" w:styleId="ListBullet3">
    <w:name w:val="List Bullet 3"/>
    <w:basedOn w:val="Normal"/>
    <w:uiPriority w:val="99"/>
    <w:semiHidden/>
    <w:unhideWhenUsed/>
    <w:rsid w:val="00F9249D"/>
    <w:pPr>
      <w:numPr>
        <w:numId w:val="4"/>
      </w:numPr>
      <w:contextualSpacing/>
    </w:pPr>
  </w:style>
  <w:style w:type="paragraph" w:styleId="ListBullet4">
    <w:name w:val="List Bullet 4"/>
    <w:basedOn w:val="Normal"/>
    <w:uiPriority w:val="99"/>
    <w:semiHidden/>
    <w:unhideWhenUsed/>
    <w:rsid w:val="00F9249D"/>
    <w:pPr>
      <w:numPr>
        <w:numId w:val="5"/>
      </w:numPr>
      <w:contextualSpacing/>
    </w:pPr>
  </w:style>
  <w:style w:type="character" w:styleId="CommentReference">
    <w:name w:val="annotation reference"/>
    <w:basedOn w:val="DefaultParagraphFont"/>
    <w:uiPriority w:val="99"/>
    <w:semiHidden/>
    <w:unhideWhenUsed/>
    <w:rsid w:val="008A3F6C"/>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ro-RO"/>
    </w:rPr>
  </w:style>
  <w:style w:type="paragraph" w:styleId="Revision">
    <w:name w:val="Revision"/>
    <w:hidden/>
    <w:uiPriority w:val="99"/>
    <w:semiHidden/>
    <w:rsid w:val="005929F6"/>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CA7FE1"/>
    <w:rPr>
      <w:b/>
      <w:bCs/>
    </w:rPr>
  </w:style>
  <w:style w:type="character" w:customStyle="1" w:styleId="CommentSubjectChar">
    <w:name w:val="Comment Subject Char"/>
    <w:basedOn w:val="CommentTextChar"/>
    <w:link w:val="CommentSubject"/>
    <w:uiPriority w:val="99"/>
    <w:semiHidden/>
    <w:rsid w:val="00CA7FE1"/>
    <w:rPr>
      <w:rFonts w:ascii="Times New Roman" w:hAnsi="Times New Roman" w:cs="Times New Roman"/>
      <w:b/>
      <w:bCs/>
      <w:sz w:val="20"/>
      <w:szCs w:val="20"/>
      <w:lang w:val="ro-RO"/>
    </w:rPr>
  </w:style>
  <w:style w:type="paragraph" w:styleId="NormalWeb">
    <w:name w:val="Normal (Web)"/>
    <w:basedOn w:val="Normal"/>
    <w:uiPriority w:val="99"/>
    <w:semiHidden/>
    <w:unhideWhenUsed/>
    <w:rsid w:val="00373FC4"/>
    <w:rPr>
      <w:szCs w:val="24"/>
    </w:rPr>
  </w:style>
  <w:style w:type="character" w:styleId="UnresolvedMention">
    <w:name w:val="Unresolved Mention"/>
    <w:basedOn w:val="DefaultParagraphFont"/>
    <w:uiPriority w:val="99"/>
    <w:semiHidden/>
    <w:unhideWhenUsed/>
    <w:rsid w:val="00373FC4"/>
    <w:rPr>
      <w:color w:val="605E5C"/>
      <w:shd w:val="clear" w:color="auto" w:fill="E1DFDD"/>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ro-RO"/>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ro-RO"/>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2176">
      <w:bodyDiv w:val="1"/>
      <w:marLeft w:val="0"/>
      <w:marRight w:val="0"/>
      <w:marTop w:val="0"/>
      <w:marBottom w:val="0"/>
      <w:divBdr>
        <w:top w:val="none" w:sz="0" w:space="0" w:color="auto"/>
        <w:left w:val="none" w:sz="0" w:space="0" w:color="auto"/>
        <w:bottom w:val="none" w:sz="0" w:space="0" w:color="auto"/>
        <w:right w:val="none" w:sz="0" w:space="0" w:color="auto"/>
      </w:divBdr>
      <w:divsChild>
        <w:div w:id="1504860669">
          <w:marLeft w:val="0"/>
          <w:marRight w:val="0"/>
          <w:marTop w:val="0"/>
          <w:marBottom w:val="0"/>
          <w:divBdr>
            <w:top w:val="none" w:sz="0" w:space="0" w:color="auto"/>
            <w:left w:val="none" w:sz="0" w:space="0" w:color="auto"/>
            <w:bottom w:val="none" w:sz="0" w:space="0" w:color="auto"/>
            <w:right w:val="none" w:sz="0" w:space="0" w:color="auto"/>
          </w:divBdr>
          <w:divsChild>
            <w:div w:id="205091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02523">
      <w:bodyDiv w:val="1"/>
      <w:marLeft w:val="0"/>
      <w:marRight w:val="0"/>
      <w:marTop w:val="0"/>
      <w:marBottom w:val="0"/>
      <w:divBdr>
        <w:top w:val="none" w:sz="0" w:space="0" w:color="auto"/>
        <w:left w:val="none" w:sz="0" w:space="0" w:color="auto"/>
        <w:bottom w:val="none" w:sz="0" w:space="0" w:color="auto"/>
        <w:right w:val="none" w:sz="0" w:space="0" w:color="auto"/>
      </w:divBdr>
    </w:div>
    <w:div w:id="2009358183">
      <w:bodyDiv w:val="1"/>
      <w:marLeft w:val="0"/>
      <w:marRight w:val="0"/>
      <w:marTop w:val="0"/>
      <w:marBottom w:val="0"/>
      <w:divBdr>
        <w:top w:val="none" w:sz="0" w:space="0" w:color="auto"/>
        <w:left w:val="none" w:sz="0" w:space="0" w:color="auto"/>
        <w:bottom w:val="none" w:sz="0" w:space="0" w:color="auto"/>
        <w:right w:val="none" w:sz="0" w:space="0" w:color="auto"/>
      </w:divBdr>
    </w:div>
    <w:div w:id="2089576247">
      <w:bodyDiv w:val="1"/>
      <w:marLeft w:val="0"/>
      <w:marRight w:val="0"/>
      <w:marTop w:val="0"/>
      <w:marBottom w:val="0"/>
      <w:divBdr>
        <w:top w:val="none" w:sz="0" w:space="0" w:color="auto"/>
        <w:left w:val="none" w:sz="0" w:space="0" w:color="auto"/>
        <w:bottom w:val="none" w:sz="0" w:space="0" w:color="auto"/>
        <w:right w:val="none" w:sz="0" w:space="0" w:color="auto"/>
      </w:divBdr>
      <w:divsChild>
        <w:div w:id="1220244498">
          <w:marLeft w:val="0"/>
          <w:marRight w:val="0"/>
          <w:marTop w:val="0"/>
          <w:marBottom w:val="0"/>
          <w:divBdr>
            <w:top w:val="none" w:sz="0" w:space="0" w:color="auto"/>
            <w:left w:val="none" w:sz="0" w:space="0" w:color="auto"/>
            <w:bottom w:val="none" w:sz="0" w:space="0" w:color="auto"/>
            <w:right w:val="none" w:sz="0" w:space="0" w:color="auto"/>
          </w:divBdr>
          <w:divsChild>
            <w:div w:id="861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_impl/2021/622/oj" TargetMode="External"/><Relationship Id="rId2" Type="http://schemas.openxmlformats.org/officeDocument/2006/relationships/hyperlink" Target="http://data.europa.eu/eli/dir/2024/1174/oj" TargetMode="External"/><Relationship Id="rId1" Type="http://schemas.openxmlformats.org/officeDocument/2006/relationships/hyperlink" Target="http://data.europa.eu/eli/dir/2014/59/oj" TargetMode="External"/><Relationship Id="rId5" Type="http://schemas.openxmlformats.org/officeDocument/2006/relationships/hyperlink" Target="http://data.europa.eu/eli/reg/2010/1093/oj" TargetMode="External"/><Relationship Id="rId4" Type="http://schemas.openxmlformats.org/officeDocument/2006/relationships/hyperlink" Target="http://data.europa.eu/eli/reg_impl/2021/763/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b8f93157aac40d6a7319473491243df0">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c8488e7b63ff9a6a107f3024ce322df4"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89B0AD-1837-436D-8ABC-63303F7E4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BD7AB-07EA-4D67-A4B9-4D33FF7955F7}">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3.xml><?xml version="1.0" encoding="utf-8"?>
<ds:datastoreItem xmlns:ds="http://schemas.openxmlformats.org/officeDocument/2006/customXml" ds:itemID="{F14AF581-33E3-408E-95CD-709B93E99837}">
  <ds:schemaRefs>
    <ds:schemaRef ds:uri="http://schemas.openxmlformats.org/officeDocument/2006/bibliography"/>
  </ds:schemaRefs>
</ds:datastoreItem>
</file>

<file path=customXml/itemProps4.xml><?xml version="1.0" encoding="utf-8"?>
<ds:datastoreItem xmlns:ds="http://schemas.openxmlformats.org/officeDocument/2006/customXml" ds:itemID="{9FB74AB9-05CF-4E22-8B2B-667D523C417F}">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COM.dotm</Template>
  <TotalTime>42</TotalTime>
  <Pages>2</Pages>
  <Words>942</Words>
  <Characters>5521</Characters>
  <Application>Microsoft Office Word</Application>
  <DocSecurity>0</DocSecurity>
  <Lines>101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Links>
    <vt:vector size="12" baseType="variant">
      <vt:variant>
        <vt:i4>6291564</vt:i4>
      </vt:variant>
      <vt:variant>
        <vt:i4>3</vt:i4>
      </vt:variant>
      <vt:variant>
        <vt:i4>0</vt:i4>
      </vt:variant>
      <vt:variant>
        <vt:i4>5</vt:i4>
      </vt:variant>
      <vt:variant>
        <vt:lpwstr>http://data.europa.eu/eli/reg/2010/1093/oj</vt:lpwstr>
      </vt:variant>
      <vt:variant>
        <vt:lpwstr/>
      </vt:variant>
      <vt:variant>
        <vt:i4>5570645</vt:i4>
      </vt:variant>
      <vt:variant>
        <vt:i4>0</vt:i4>
      </vt:variant>
      <vt:variant>
        <vt:i4>0</vt:i4>
      </vt:variant>
      <vt:variant>
        <vt:i4>5</vt:i4>
      </vt:variant>
      <vt:variant>
        <vt:lpwstr>http://data.europa.eu/eli/dir/2014/59/oj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DQC</dc:creator>
  <cp:keywords/>
  <dc:description/>
  <cp:lastModifiedBy>NEAGU Simona Gabriela (DGT)</cp:lastModifiedBy>
  <cp:revision>34</cp:revision>
  <dcterms:created xsi:type="dcterms:W3CDTF">2025-12-05T16:19:00Z</dcterms:created>
  <dcterms:modified xsi:type="dcterms:W3CDTF">2026-02-02T10:40:00Z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8.0.19.5</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GrammarlyDocumentId">
    <vt:lpwstr>45e7adda-2841-4732-9409-07daf4dd17e0</vt:lpwstr>
  </property>
  <property fmtid="{D5CDD505-2E9C-101B-9397-08002B2CF9AE}" pid="11" name="ClassificationContentMarkingHeaderShapeIds">
    <vt:lpwstr>5bd6ffca,36e22233,44991716</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MSIP_Label_6bd9ddd1-4d20-43f6-abfa-fc3c07406f94_Enabled">
    <vt:lpwstr>true</vt:lpwstr>
  </property>
  <property fmtid="{D5CDD505-2E9C-101B-9397-08002B2CF9AE}" pid="15" name="MSIP_Label_6bd9ddd1-4d20-43f6-abfa-fc3c07406f94_SetDate">
    <vt:lpwstr>2025-09-22T07:42:43Z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0c5e0d5a-b50c-4aad-8ac2-d3eb4c37e92e</vt:lpwstr>
  </property>
  <property fmtid="{D5CDD505-2E9C-101B-9397-08002B2CF9AE}" pid="20" name="MSIP_Label_6bd9ddd1-4d20-43f6-abfa-fc3c07406f94_ContentBits">
    <vt:lpwstr>0</vt:lpwstr>
  </property>
  <property fmtid="{D5CDD505-2E9C-101B-9397-08002B2CF9AE}" pid="21" name="MSIP_Label_6bd9ddd1-4d20-43f6-abfa-fc3c07406f94_Tag">
    <vt:lpwstr>10, 3, 0, 1</vt:lpwstr>
  </property>
  <property fmtid="{D5CDD505-2E9C-101B-9397-08002B2CF9AE}" pid="22" name="ContentTypeId">
    <vt:lpwstr>0x010100BAD999D84E12C74482EA5120F5227F6F00217DECAAC21D6B43958DFE68658C192E</vt:lpwstr>
  </property>
  <property fmtid="{D5CDD505-2E9C-101B-9397-08002B2CF9AE}" pid="23" name="MediaServiceImageTags">
    <vt:lpwstr/>
  </property>
  <property fmtid="{D5CDD505-2E9C-101B-9397-08002B2CF9AE}" pid="24" name="DQCStatus">
    <vt:lpwstr>Green (DQC version 03)</vt:lpwstr>
  </property>
</Properties>
</file>