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1BF8" w14:textId="6E913345" w:rsidR="004E763F" w:rsidRPr="005C0504" w:rsidRDefault="00921AA4" w:rsidP="005C0504">
      <w:pPr>
        <w:pStyle w:val="Pagedecouverture"/>
      </w:pPr>
      <w:r>
        <w:pict w14:anchorId="57E8A5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79A6B07F-D3CB-4DE0-8B1C-54747EB0B128" style="width:455.4pt;height:345.6pt">
            <v:imagedata r:id="rId11" o:title=""/>
          </v:shape>
        </w:pict>
      </w:r>
    </w:p>
    <w:p w14:paraId="1986B6EA" w14:textId="77777777" w:rsidR="00CE1382" w:rsidRPr="005C0504" w:rsidRDefault="00CE1382" w:rsidP="003838B9">
      <w:pPr>
        <w:sectPr w:rsidR="00CE1382" w:rsidRPr="005C0504" w:rsidSect="005C050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5ADCEA6B" w14:textId="5C860A54" w:rsidR="00C16484" w:rsidRPr="005C0504" w:rsidRDefault="005C0504" w:rsidP="005C0504">
      <w:pPr>
        <w:pStyle w:val="Typedudocument"/>
      </w:pPr>
      <w:r w:rsidRPr="005C0504">
        <w:lastRenderedPageBreak/>
        <w:t>ROZPORZĄDZENIE WYKONAWCZE KOMISJI (UE) …/…</w:t>
      </w:r>
    </w:p>
    <w:p w14:paraId="6819E66E" w14:textId="47CCA5B8" w:rsidR="00C16484" w:rsidRPr="005C0504" w:rsidRDefault="005C0504" w:rsidP="005C0504">
      <w:pPr>
        <w:pStyle w:val="Datedadoption"/>
      </w:pPr>
      <w:r w:rsidRPr="005C0504">
        <w:t xml:space="preserve">z dnia </w:t>
      </w:r>
      <w:r w:rsidRPr="005C0504">
        <w:rPr>
          <w:rStyle w:val="Marker2"/>
        </w:rPr>
        <w:t>XXX</w:t>
      </w:r>
      <w:r w:rsidRPr="005C0504">
        <w:t xml:space="preserve"> r.</w:t>
      </w:r>
    </w:p>
    <w:p w14:paraId="44AA08D1" w14:textId="098AD22E" w:rsidR="00C16484" w:rsidRPr="005C0504" w:rsidRDefault="005C0504" w:rsidP="005C0504">
      <w:pPr>
        <w:pStyle w:val="Titreobjet"/>
      </w:pPr>
      <w:r w:rsidRPr="005C0504">
        <w:t>zmieniające wykonawcze standardy techniczne ustanowione w rozporządzeniu wykonawczym (UE) 2021/622 w odniesieniu do częstotliwości sprawozdawczości oraz przekazywanych informacji</w:t>
      </w:r>
    </w:p>
    <w:p w14:paraId="4A210142" w14:textId="0457CB44" w:rsidR="00C16484" w:rsidRPr="005C0504" w:rsidRDefault="005C0504" w:rsidP="005C0504">
      <w:pPr>
        <w:pStyle w:val="IntrtEEE"/>
      </w:pPr>
      <w:r w:rsidRPr="005C0504">
        <w:t>(Tekst mający znaczenie dla EOG)</w:t>
      </w:r>
    </w:p>
    <w:p w14:paraId="6F3A17D1" w14:textId="77777777" w:rsidR="00C16484" w:rsidRPr="005C0504" w:rsidRDefault="00C16484">
      <w:pPr>
        <w:pStyle w:val="Institutionquiagit"/>
      </w:pPr>
      <w:r w:rsidRPr="005C0504">
        <w:t>KOMISJA EUROPEJSKA,</w:t>
      </w:r>
    </w:p>
    <w:p w14:paraId="22B09AC6" w14:textId="38EF35D4" w:rsidR="00C16484" w:rsidRPr="005C0504" w:rsidRDefault="00C16484">
      <w:r w:rsidRPr="005C0504">
        <w:t>uwzględniając Traktat</w:t>
      </w:r>
      <w:r w:rsidR="005C0504" w:rsidRPr="005C0504">
        <w:t xml:space="preserve"> o</w:t>
      </w:r>
      <w:r w:rsidR="005C0504">
        <w:t> </w:t>
      </w:r>
      <w:r w:rsidR="005C0504" w:rsidRPr="005C0504">
        <w:t>fun</w:t>
      </w:r>
      <w:r w:rsidRPr="005C0504">
        <w:t>kcjonowaniu Unii Europejskiej,</w:t>
      </w:r>
    </w:p>
    <w:p w14:paraId="6C2E5C7E" w14:textId="72EB8E86" w:rsidR="00C16484" w:rsidRPr="005C0504" w:rsidRDefault="00C16484">
      <w:r w:rsidRPr="005C0504">
        <w:t>uwzględniając dyrektywę Parlamentu Europejskiego</w:t>
      </w:r>
      <w:r w:rsidR="005C0504" w:rsidRPr="005C0504">
        <w:t xml:space="preserve"> i</w:t>
      </w:r>
      <w:r w:rsidR="005C0504">
        <w:t> </w:t>
      </w:r>
      <w:r w:rsidR="005C0504" w:rsidRPr="005C0504">
        <w:t>Rad</w:t>
      </w:r>
      <w:r w:rsidRPr="005C0504">
        <w:t>y 2014/59/UE</w:t>
      </w:r>
      <w:r w:rsidR="005C0504" w:rsidRPr="005C0504">
        <w:t xml:space="preserve"> z</w:t>
      </w:r>
      <w:r w:rsidR="005C0504">
        <w:t> </w:t>
      </w:r>
      <w:r w:rsidR="005C0504" w:rsidRPr="005C0504">
        <w:t>dni</w:t>
      </w:r>
      <w:r w:rsidRPr="005C0504">
        <w:t>a 15 maja 2014 r. ustanawiającą ramy na potrzeby prowadzenia działań naprawczych oraz restrukturyzacji</w:t>
      </w:r>
      <w:r w:rsidR="005C0504" w:rsidRPr="005C0504">
        <w:t xml:space="preserve"> i</w:t>
      </w:r>
      <w:r w:rsidR="005C0504">
        <w:t> </w:t>
      </w:r>
      <w:r w:rsidR="005C0504" w:rsidRPr="005C0504">
        <w:t>upo</w:t>
      </w:r>
      <w:r w:rsidRPr="005C0504">
        <w:t>rządkowanej likwidacji</w:t>
      </w:r>
      <w:r w:rsidR="005C0504" w:rsidRPr="005C0504">
        <w:t xml:space="preserve"> w</w:t>
      </w:r>
      <w:r w:rsidR="005C0504">
        <w:t> </w:t>
      </w:r>
      <w:r w:rsidR="005C0504" w:rsidRPr="005C0504">
        <w:t>odn</w:t>
      </w:r>
      <w:r w:rsidRPr="005C0504">
        <w:t>iesieniu do instytucji kredytowych</w:t>
      </w:r>
      <w:r w:rsidR="005C0504" w:rsidRPr="005C0504">
        <w:t xml:space="preserve"> i</w:t>
      </w:r>
      <w:r w:rsidR="005C0504">
        <w:t> </w:t>
      </w:r>
      <w:r w:rsidR="005C0504" w:rsidRPr="005C0504">
        <w:t>fir</w:t>
      </w:r>
      <w:r w:rsidRPr="005C0504">
        <w:t>m inwestycyjnych oraz zmieniającą dyrektywę Rady 82/891/EWG</w:t>
      </w:r>
      <w:r w:rsidR="005C0504" w:rsidRPr="005C0504">
        <w:t xml:space="preserve"> i</w:t>
      </w:r>
      <w:r w:rsidR="005C0504">
        <w:t> </w:t>
      </w:r>
      <w:r w:rsidR="005C0504" w:rsidRPr="005C0504">
        <w:t>dyr</w:t>
      </w:r>
      <w:r w:rsidRPr="005C0504">
        <w:t>ektywy Parlamentu Europejskiego</w:t>
      </w:r>
      <w:r w:rsidR="005C0504" w:rsidRPr="005C0504">
        <w:t xml:space="preserve"> i</w:t>
      </w:r>
      <w:r w:rsidR="005C0504">
        <w:t> </w:t>
      </w:r>
      <w:r w:rsidR="005C0504" w:rsidRPr="005C0504">
        <w:t>Rad</w:t>
      </w:r>
      <w:r w:rsidRPr="005C0504">
        <w:t>y 2001/24/WE, 2002/47/WE, 2004/25/WE, 2005/56/WE, 2007/36/WE, 2011/35/UE, 2012/30/UE</w:t>
      </w:r>
      <w:r w:rsidR="005C0504" w:rsidRPr="005C0504">
        <w:t xml:space="preserve"> i</w:t>
      </w:r>
      <w:r w:rsidR="005C0504">
        <w:t> </w:t>
      </w:r>
      <w:r w:rsidR="005C0504" w:rsidRPr="005C0504">
        <w:t>2</w:t>
      </w:r>
      <w:r w:rsidRPr="005C0504">
        <w:t>013/36/UE oraz rozporządzenia Parlamentu Europejskiego</w:t>
      </w:r>
      <w:r w:rsidR="005C0504" w:rsidRPr="005C0504">
        <w:t xml:space="preserve"> i</w:t>
      </w:r>
      <w:r w:rsidR="005C0504">
        <w:t> </w:t>
      </w:r>
      <w:r w:rsidR="005C0504" w:rsidRPr="005C0504">
        <w:t>Rad</w:t>
      </w:r>
      <w:r w:rsidRPr="005C0504">
        <w:t>y (UE) nr 1093/2010 i (UE) nr 648/2012</w:t>
      </w:r>
      <w:r w:rsidRPr="005C0504">
        <w:rPr>
          <w:rStyle w:val="FootnoteReference"/>
        </w:rPr>
        <w:footnoteReference w:id="2"/>
      </w:r>
      <w:r w:rsidRPr="005C0504">
        <w:t>,</w:t>
      </w:r>
      <w:r w:rsidR="005C0504" w:rsidRPr="005C0504">
        <w:t xml:space="preserve"> w</w:t>
      </w:r>
      <w:r w:rsidR="005C0504">
        <w:t> </w:t>
      </w:r>
      <w:r w:rsidR="005C0504" w:rsidRPr="005C0504">
        <w:t>szc</w:t>
      </w:r>
      <w:r w:rsidRPr="005C0504">
        <w:t>zególności jej art. 45j ust. 2 akapit trzeci,</w:t>
      </w:r>
    </w:p>
    <w:p w14:paraId="499F4150" w14:textId="77777777" w:rsidR="00C16484" w:rsidRPr="005C0504" w:rsidRDefault="00C16484">
      <w:r w:rsidRPr="005C0504">
        <w:t>a także mając na uwadze, co następuje:</w:t>
      </w:r>
    </w:p>
    <w:p w14:paraId="7D99777F" w14:textId="5C856855" w:rsidR="003428AE" w:rsidRPr="005C0504" w:rsidRDefault="003428AE" w:rsidP="004B4C38">
      <w:pPr>
        <w:pStyle w:val="Considrant"/>
        <w:numPr>
          <w:ilvl w:val="0"/>
          <w:numId w:val="2"/>
        </w:numPr>
        <w:rPr>
          <w:iCs/>
        </w:rPr>
      </w:pPr>
      <w:r w:rsidRPr="005C0504">
        <w:t>Dyrektywą Parlamentu Europejskiego</w:t>
      </w:r>
      <w:r w:rsidR="005C0504" w:rsidRPr="005C0504">
        <w:t xml:space="preserve"> i</w:t>
      </w:r>
      <w:r w:rsidR="005C0504">
        <w:t> </w:t>
      </w:r>
      <w:r w:rsidR="005C0504" w:rsidRPr="005C0504">
        <w:t>Rad</w:t>
      </w:r>
      <w:r w:rsidRPr="005C0504">
        <w:t>y (UE) 2024/1174</w:t>
      </w:r>
      <w:r w:rsidRPr="005C0504">
        <w:rPr>
          <w:rStyle w:val="FootnoteReference"/>
          <w:iCs/>
        </w:rPr>
        <w:footnoteReference w:id="3"/>
      </w:r>
      <w:r w:rsidRPr="005C0504">
        <w:t xml:space="preserve"> zmieniono niektóre aspekty minimalnego wymogu</w:t>
      </w:r>
      <w:r w:rsidR="005C0504" w:rsidRPr="005C0504">
        <w:t xml:space="preserve"> w</w:t>
      </w:r>
      <w:r w:rsidR="005C0504">
        <w:t> </w:t>
      </w:r>
      <w:r w:rsidR="005C0504" w:rsidRPr="005C0504">
        <w:t>zak</w:t>
      </w:r>
      <w:r w:rsidRPr="005C0504">
        <w:t>resie funduszy własnych</w:t>
      </w:r>
      <w:r w:rsidR="005C0504" w:rsidRPr="005C0504">
        <w:t xml:space="preserve"> i</w:t>
      </w:r>
      <w:r w:rsidR="005C0504">
        <w:t> </w:t>
      </w:r>
      <w:r w:rsidR="005C0504" w:rsidRPr="005C0504">
        <w:t>zob</w:t>
      </w:r>
      <w:r w:rsidRPr="005C0504">
        <w:t>owiązań kwalifikowalnych („MREL”) określonego</w:t>
      </w:r>
      <w:r w:rsidR="005C0504" w:rsidRPr="005C0504">
        <w:t xml:space="preserve"> w</w:t>
      </w:r>
      <w:r w:rsidR="005C0504">
        <w:t> </w:t>
      </w:r>
      <w:r w:rsidR="005C0504" w:rsidRPr="005C0504">
        <w:t>dyr</w:t>
      </w:r>
      <w:r w:rsidRPr="005C0504">
        <w:t>ektywie 2014/59/UE. Zgodnie</w:t>
      </w:r>
      <w:r w:rsidR="005C0504" w:rsidRPr="005C0504">
        <w:t xml:space="preserve"> z</w:t>
      </w:r>
      <w:r w:rsidR="005C0504">
        <w:t> </w:t>
      </w:r>
      <w:r w:rsidR="005C0504" w:rsidRPr="005C0504">
        <w:t>tym</w:t>
      </w:r>
      <w:r w:rsidRPr="005C0504">
        <w:t>i zmianami organy ds. restrukturyzacji</w:t>
      </w:r>
      <w:r w:rsidR="005C0504" w:rsidRPr="005C0504">
        <w:t xml:space="preserve"> i</w:t>
      </w:r>
      <w:r w:rsidR="005C0504">
        <w:t> </w:t>
      </w:r>
      <w:r w:rsidR="005C0504" w:rsidRPr="005C0504">
        <w:t>upo</w:t>
      </w:r>
      <w:r w:rsidRPr="005C0504">
        <w:t>rządkowanej likwidacji nie powinny ustalać MREL dla podmiotów poddawanych likwidacji,</w:t>
      </w:r>
      <w:r w:rsidR="005C0504" w:rsidRPr="005C0504">
        <w:t xml:space="preserve"> z</w:t>
      </w:r>
      <w:r w:rsidR="005C0504">
        <w:t> </w:t>
      </w:r>
      <w:r w:rsidR="005C0504" w:rsidRPr="005C0504">
        <w:t>wyj</w:t>
      </w:r>
      <w:r w:rsidRPr="005C0504">
        <w:t>ątkiem sytuacji, gdy ustalenie MREL na poziomie wyższym niż kwota wystarczająca do pokrycia strat jest niezbędne do ochrony stabilności finansowej lub przeciwdziałania ryzyku wywołania efektu domina</w:t>
      </w:r>
      <w:r w:rsidR="005C0504" w:rsidRPr="005C0504">
        <w:t xml:space="preserve"> w</w:t>
      </w:r>
      <w:r w:rsidR="005C0504">
        <w:t> </w:t>
      </w:r>
      <w:r w:rsidR="005C0504" w:rsidRPr="005C0504">
        <w:t>sys</w:t>
      </w:r>
      <w:r w:rsidRPr="005C0504">
        <w:t>temie finansowym,</w:t>
      </w:r>
      <w:r w:rsidR="005C0504" w:rsidRPr="005C0504">
        <w:t xml:space="preserve"> w</w:t>
      </w:r>
      <w:r w:rsidR="005C0504">
        <w:t> </w:t>
      </w:r>
      <w:r w:rsidR="005C0504" w:rsidRPr="005C0504">
        <w:t>tym w</w:t>
      </w:r>
      <w:r w:rsidR="005C0504">
        <w:t> </w:t>
      </w:r>
      <w:r w:rsidR="005C0504" w:rsidRPr="005C0504">
        <w:t>odn</w:t>
      </w:r>
      <w:r w:rsidRPr="005C0504">
        <w:t>iesieniu do zdolności finansowania systemów gwarancji depozytów. Ponadto dyrektywą (UE) 2024/1174 zwiększono liczbę sytuacji umożliwiających organom ds. restrukturyzacji</w:t>
      </w:r>
      <w:r w:rsidR="005C0504" w:rsidRPr="005C0504">
        <w:t xml:space="preserve"> i</w:t>
      </w:r>
      <w:r w:rsidR="005C0504">
        <w:t> </w:t>
      </w:r>
      <w:r w:rsidR="005C0504" w:rsidRPr="005C0504">
        <w:t>upo</w:t>
      </w:r>
      <w:r w:rsidRPr="005C0504">
        <w:t>rządkowanej likwidacji ustalanie wewnętrznego MREL na zasadzie skonsolidowanej. Należy zmienić rozporządzenie wykonawcze Komisji (UE) 2021/622</w:t>
      </w:r>
      <w:r w:rsidRPr="005C0504">
        <w:rPr>
          <w:rStyle w:val="FootnoteReference"/>
          <w:iCs/>
        </w:rPr>
        <w:footnoteReference w:id="4"/>
      </w:r>
      <w:r w:rsidRPr="005C0504">
        <w:t>, tak aby te zmiany dokonane</w:t>
      </w:r>
      <w:r w:rsidR="005C0504" w:rsidRPr="005C0504">
        <w:t xml:space="preserve"> w</w:t>
      </w:r>
      <w:r w:rsidR="005C0504">
        <w:t> </w:t>
      </w:r>
      <w:r w:rsidR="005C0504" w:rsidRPr="005C0504">
        <w:t>prz</w:t>
      </w:r>
      <w:r w:rsidRPr="005C0504">
        <w:t>episach regulujących MREL odzwierciedlić</w:t>
      </w:r>
      <w:r w:rsidR="005C0504" w:rsidRPr="005C0504">
        <w:t xml:space="preserve"> w</w:t>
      </w:r>
      <w:r w:rsidR="005C0504">
        <w:t> </w:t>
      </w:r>
      <w:r w:rsidR="005C0504" w:rsidRPr="005C0504">
        <w:t>inf</w:t>
      </w:r>
      <w:r w:rsidRPr="005C0504">
        <w:t>ormacjach, które mają być przekazywane Europejskiemu Urzędowi Nadzoru Bankowego (EUNB).</w:t>
      </w:r>
    </w:p>
    <w:p w14:paraId="038A3063" w14:textId="545FDA48" w:rsidR="00C16484" w:rsidRPr="005C0504" w:rsidRDefault="00A05FAB" w:rsidP="008B6AF9">
      <w:pPr>
        <w:pStyle w:val="Considrant"/>
        <w:numPr>
          <w:ilvl w:val="0"/>
          <w:numId w:val="2"/>
        </w:numPr>
        <w:rPr>
          <w:iCs/>
        </w:rPr>
      </w:pPr>
      <w:r w:rsidRPr="005C0504">
        <w:t>Rozporządzenie wykonawcze (UE) 2021/622 zawiera obecnie wymóg, zgodnie</w:t>
      </w:r>
      <w:r w:rsidR="005C0504" w:rsidRPr="005C0504">
        <w:t xml:space="preserve"> z</w:t>
      </w:r>
      <w:r w:rsidR="005C0504">
        <w:t> </w:t>
      </w:r>
      <w:r w:rsidR="005C0504" w:rsidRPr="005C0504">
        <w:t>któ</w:t>
      </w:r>
      <w:r w:rsidRPr="005C0504">
        <w:t>rym organy ds. restrukturyzacji</w:t>
      </w:r>
      <w:r w:rsidR="005C0504" w:rsidRPr="005C0504">
        <w:t xml:space="preserve"> i</w:t>
      </w:r>
      <w:r w:rsidR="005C0504">
        <w:t> </w:t>
      </w:r>
      <w:r w:rsidR="005C0504" w:rsidRPr="005C0504">
        <w:t>upo</w:t>
      </w:r>
      <w:r w:rsidRPr="005C0504">
        <w:t>rządkowanej likwidacji są zobowiązane przekazywać corocznie EUNB informacje dotyczące ustalania MREL. EUNB łączy następnie te informacje</w:t>
      </w:r>
      <w:r w:rsidR="005C0504" w:rsidRPr="005C0504">
        <w:t xml:space="preserve"> z</w:t>
      </w:r>
      <w:r w:rsidR="005C0504">
        <w:t> </w:t>
      </w:r>
      <w:r w:rsidR="005C0504" w:rsidRPr="005C0504">
        <w:t>inf</w:t>
      </w:r>
      <w:r w:rsidRPr="005C0504">
        <w:t>ormacjami na temat struktury funduszy własnych</w:t>
      </w:r>
      <w:r w:rsidR="005C0504" w:rsidRPr="005C0504">
        <w:t xml:space="preserve"> i</w:t>
      </w:r>
      <w:r w:rsidR="005C0504">
        <w:t> </w:t>
      </w:r>
      <w:r w:rsidR="005C0504" w:rsidRPr="005C0504">
        <w:t>zob</w:t>
      </w:r>
      <w:r w:rsidRPr="005C0504">
        <w:t>owiązań kwalifikowalnych uzyskanymi na podstawie rozporządzenia wykonawczego Komisji (UE) 2021/763</w:t>
      </w:r>
      <w:r w:rsidRPr="005C0504">
        <w:rPr>
          <w:rStyle w:val="FootnoteReference"/>
        </w:rPr>
        <w:footnoteReference w:id="5"/>
      </w:r>
      <w:r w:rsidR="005C0504" w:rsidRPr="005C0504">
        <w:t xml:space="preserve"> w</w:t>
      </w:r>
      <w:r w:rsidR="005C0504">
        <w:t> </w:t>
      </w:r>
      <w:r w:rsidR="005C0504" w:rsidRPr="005C0504">
        <w:t>cel</w:t>
      </w:r>
      <w:r w:rsidRPr="005C0504">
        <w:t>u sporządzenia sprawozdania dotyczącego MREL zgodnie</w:t>
      </w:r>
      <w:r w:rsidR="005C0504" w:rsidRPr="005C0504">
        <w:t xml:space="preserve"> z</w:t>
      </w:r>
      <w:r w:rsidR="005C0504">
        <w:t> </w:t>
      </w:r>
      <w:r w:rsidR="005C0504" w:rsidRPr="005C0504">
        <w:t>art</w:t>
      </w:r>
      <w:r w:rsidRPr="005C0504">
        <w:t>.</w:t>
      </w:r>
      <w:r w:rsidR="005C0504" w:rsidRPr="005C0504">
        <w:t> </w:t>
      </w:r>
      <w:r w:rsidRPr="005C0504">
        <w:t>45l dyrektywy 2014/59/UE, które obecnie przygotowywane jest dwa razy</w:t>
      </w:r>
      <w:r w:rsidR="005C0504" w:rsidRPr="005C0504">
        <w:t xml:space="preserve"> w</w:t>
      </w:r>
      <w:r w:rsidR="005C0504">
        <w:t> </w:t>
      </w:r>
      <w:r w:rsidR="005C0504" w:rsidRPr="005C0504">
        <w:t>rok</w:t>
      </w:r>
      <w:r w:rsidRPr="005C0504">
        <w:t>u. Obowiązujący obecnie wymóg corocznego przekazywania informacji na temat ustalania MREL oznacza, że decyzje</w:t>
      </w:r>
      <w:r w:rsidR="005C0504" w:rsidRPr="005C0504">
        <w:t xml:space="preserve"> w</w:t>
      </w:r>
      <w:r w:rsidR="005C0504">
        <w:t> </w:t>
      </w:r>
      <w:r w:rsidR="005C0504" w:rsidRPr="005C0504">
        <w:t>spr</w:t>
      </w:r>
      <w:r w:rsidRPr="005C0504">
        <w:t>awie MREL, które zostały przyjęte przez organy ds. restrukturyzacji</w:t>
      </w:r>
      <w:r w:rsidR="005C0504" w:rsidRPr="005C0504">
        <w:t xml:space="preserve"> i</w:t>
      </w:r>
      <w:r w:rsidR="005C0504">
        <w:t> </w:t>
      </w:r>
      <w:r w:rsidR="005C0504" w:rsidRPr="005C0504">
        <w:t>upo</w:t>
      </w:r>
      <w:r w:rsidRPr="005C0504">
        <w:t>rządkowanej likwidacji po odpowiednim dniu odniesienia, nie są przekazywane ani oceniane przez EUNB i są uwzględniane</w:t>
      </w:r>
      <w:r w:rsidR="005C0504" w:rsidRPr="005C0504">
        <w:t xml:space="preserve"> w</w:t>
      </w:r>
      <w:r w:rsidR="005C0504">
        <w:t> </w:t>
      </w:r>
      <w:r w:rsidR="005C0504" w:rsidRPr="005C0504">
        <w:t>jeg</w:t>
      </w:r>
      <w:r w:rsidRPr="005C0504">
        <w:t>o sprawozdaniach dopiero</w:t>
      </w:r>
      <w:r w:rsidR="005C0504" w:rsidRPr="005C0504">
        <w:t xml:space="preserve"> w</w:t>
      </w:r>
      <w:r w:rsidR="005C0504">
        <w:t> </w:t>
      </w:r>
      <w:r w:rsidR="005C0504" w:rsidRPr="005C0504">
        <w:t>nas</w:t>
      </w:r>
      <w:r w:rsidRPr="005C0504">
        <w:t>tępnym roku, co prowadzi do rozbieżności</w:t>
      </w:r>
      <w:r w:rsidR="005C0504" w:rsidRPr="005C0504">
        <w:t xml:space="preserve"> z</w:t>
      </w:r>
      <w:r w:rsidR="005C0504">
        <w:t> </w:t>
      </w:r>
      <w:r w:rsidR="005C0504" w:rsidRPr="005C0504">
        <w:t>bar</w:t>
      </w:r>
      <w:r w:rsidRPr="005C0504">
        <w:t>dziej aktualnymi informacjami na temat struktury funduszy własnych</w:t>
      </w:r>
      <w:r w:rsidR="005C0504" w:rsidRPr="005C0504">
        <w:t xml:space="preserve"> i</w:t>
      </w:r>
      <w:r w:rsidR="005C0504">
        <w:t> </w:t>
      </w:r>
      <w:r w:rsidR="005C0504" w:rsidRPr="005C0504">
        <w:t>zob</w:t>
      </w:r>
      <w:r w:rsidRPr="005C0504">
        <w:t xml:space="preserve">owiązań kwalifikowalnych. </w:t>
      </w:r>
    </w:p>
    <w:p w14:paraId="676EF325" w14:textId="2F1283D3" w:rsidR="00C16484" w:rsidRPr="005C0504" w:rsidRDefault="00C16484" w:rsidP="004B4C38">
      <w:pPr>
        <w:pStyle w:val="Considrant"/>
        <w:numPr>
          <w:ilvl w:val="0"/>
          <w:numId w:val="2"/>
        </w:numPr>
        <w:rPr>
          <w:iCs/>
        </w:rPr>
      </w:pPr>
      <w:r w:rsidRPr="005C0504">
        <w:t>Aby zwiększyć zdolność EUNB do monitorowania</w:t>
      </w:r>
      <w:r w:rsidR="005C0504" w:rsidRPr="005C0504">
        <w:t xml:space="preserve"> i</w:t>
      </w:r>
      <w:r w:rsidR="005C0504">
        <w:t> </w:t>
      </w:r>
      <w:r w:rsidR="005C0504" w:rsidRPr="005C0504">
        <w:t>oce</w:t>
      </w:r>
      <w:r w:rsidRPr="005C0504">
        <w:t>ny MREL ustalonego przez organy ds. restrukturyzacji</w:t>
      </w:r>
      <w:r w:rsidR="005C0504" w:rsidRPr="005C0504">
        <w:t xml:space="preserve"> i</w:t>
      </w:r>
      <w:r w:rsidR="005C0504">
        <w:t> </w:t>
      </w:r>
      <w:r w:rsidR="005C0504" w:rsidRPr="005C0504">
        <w:t>upo</w:t>
      </w:r>
      <w:r w:rsidRPr="005C0504">
        <w:t>rządkowanej likwidacji oraz spełniania wymogów dotyczących MREL przez instytucje, organy ds. restrukturyzacji</w:t>
      </w:r>
      <w:r w:rsidR="005C0504" w:rsidRPr="005C0504">
        <w:t xml:space="preserve"> i</w:t>
      </w:r>
      <w:r w:rsidR="005C0504">
        <w:t> </w:t>
      </w:r>
      <w:r w:rsidR="005C0504" w:rsidRPr="005C0504">
        <w:t>upo</w:t>
      </w:r>
      <w:r w:rsidRPr="005C0504">
        <w:t>rządkowanej likwidacji należy zobowiązać do częstszego przekazywania EUNB informacji dotyczących decyzji</w:t>
      </w:r>
      <w:r w:rsidR="005C0504" w:rsidRPr="005C0504">
        <w:t xml:space="preserve"> w</w:t>
      </w:r>
      <w:r w:rsidR="005C0504">
        <w:t> </w:t>
      </w:r>
      <w:r w:rsidR="005C0504" w:rsidRPr="005C0504">
        <w:t>spr</w:t>
      </w:r>
      <w:r w:rsidRPr="005C0504">
        <w:t>awie MREL. Aby zapewnić spójność ze sprawozdaniami dotyczącymi MREL sporządzanymi przez EUNB, organy ds. restrukturyzacji</w:t>
      </w:r>
      <w:r w:rsidR="005C0504" w:rsidRPr="005C0504">
        <w:t xml:space="preserve"> i</w:t>
      </w:r>
      <w:r w:rsidR="005C0504">
        <w:t> </w:t>
      </w:r>
      <w:r w:rsidR="005C0504" w:rsidRPr="005C0504">
        <w:t>upo</w:t>
      </w:r>
      <w:r w:rsidRPr="005C0504">
        <w:t>rządkowanej likwidacji powinny przekazywać te informacje dwa razy</w:t>
      </w:r>
      <w:r w:rsidR="005C0504" w:rsidRPr="005C0504">
        <w:t xml:space="preserve"> w</w:t>
      </w:r>
      <w:r w:rsidR="005C0504">
        <w:t> </w:t>
      </w:r>
      <w:r w:rsidR="005C0504" w:rsidRPr="005C0504">
        <w:t>rok</w:t>
      </w:r>
      <w:r w:rsidRPr="005C0504">
        <w:t xml:space="preserve">u. </w:t>
      </w:r>
    </w:p>
    <w:p w14:paraId="2672C096" w14:textId="56C7C91B" w:rsidR="00C16484" w:rsidRPr="005C0504" w:rsidRDefault="00C16484" w:rsidP="004B4C38">
      <w:pPr>
        <w:pStyle w:val="Considrant"/>
        <w:numPr>
          <w:ilvl w:val="0"/>
          <w:numId w:val="2"/>
        </w:numPr>
      </w:pPr>
      <w:r w:rsidRPr="005C0504">
        <w:t>Aby ułatwić EUNB ocenę sposobu korzystania przez organy ds. restrukturyzacji</w:t>
      </w:r>
      <w:r w:rsidR="005C0504" w:rsidRPr="005C0504">
        <w:t xml:space="preserve"> i</w:t>
      </w:r>
      <w:r w:rsidR="005C0504">
        <w:t> </w:t>
      </w:r>
      <w:r w:rsidR="005C0504" w:rsidRPr="005C0504">
        <w:t>upo</w:t>
      </w:r>
      <w:r w:rsidRPr="005C0504">
        <w:t>rządkowanej likwidacji ze swobody uznania przy ustalaniu MREL,</w:t>
      </w:r>
      <w:r w:rsidR="005C0504" w:rsidRPr="005C0504">
        <w:t xml:space="preserve"> w</w:t>
      </w:r>
      <w:r w:rsidR="005C0504">
        <w:t> </w:t>
      </w:r>
      <w:r w:rsidR="005C0504" w:rsidRPr="005C0504">
        <w:t>szc</w:t>
      </w:r>
      <w:r w:rsidRPr="005C0504">
        <w:t>zególności</w:t>
      </w:r>
      <w:r w:rsidR="005C0504" w:rsidRPr="005C0504">
        <w:t xml:space="preserve"> w</w:t>
      </w:r>
      <w:r w:rsidR="005C0504">
        <w:t> </w:t>
      </w:r>
      <w:r w:rsidR="005C0504" w:rsidRPr="005C0504">
        <w:t>odn</w:t>
      </w:r>
      <w:r w:rsidRPr="005C0504">
        <w:t>iesieniu do opcji dostępnej na podstawie art.</w:t>
      </w:r>
      <w:r w:rsidR="005C0504" w:rsidRPr="005C0504">
        <w:t> </w:t>
      </w:r>
      <w:r w:rsidRPr="005C0504">
        <w:t>45b ust.</w:t>
      </w:r>
      <w:r w:rsidR="005C0504" w:rsidRPr="005C0504">
        <w:t> </w:t>
      </w:r>
      <w:r w:rsidRPr="005C0504">
        <w:t>4 akapit pierwszy dyrektywy 2014/59/UE, należy dostosować wzór M 20.00 – Zgłoszenia dotyczące decyzji</w:t>
      </w:r>
      <w:r w:rsidR="005C0504" w:rsidRPr="005C0504">
        <w:t xml:space="preserve"> w</w:t>
      </w:r>
      <w:r w:rsidR="005C0504">
        <w:t> </w:t>
      </w:r>
      <w:r w:rsidR="005C0504" w:rsidRPr="005C0504">
        <w:t>spr</w:t>
      </w:r>
      <w:r w:rsidRPr="005C0504">
        <w:t>awie MREL (załącznik I do rozporządzenia (UE) 2021/622)</w:t>
      </w:r>
      <w:r w:rsidR="005C0504" w:rsidRPr="005C0504">
        <w:t xml:space="preserve"> i</w:t>
      </w:r>
      <w:r w:rsidR="005C0504">
        <w:t> </w:t>
      </w:r>
      <w:r w:rsidR="005C0504" w:rsidRPr="005C0504">
        <w:t>odp</w:t>
      </w:r>
      <w:r w:rsidRPr="005C0504">
        <w:t>owiednie instrukcje, aby wprowadzić wymóg uwzględnienia informacji dotyczących korzystania</w:t>
      </w:r>
      <w:r w:rsidR="005C0504" w:rsidRPr="005C0504">
        <w:t xml:space="preserve"> z</w:t>
      </w:r>
      <w:r w:rsidR="005C0504">
        <w:t> </w:t>
      </w:r>
      <w:r w:rsidR="005C0504" w:rsidRPr="005C0504">
        <w:t>tej</w:t>
      </w:r>
      <w:r w:rsidRPr="005C0504">
        <w:t xml:space="preserve"> opcji.</w:t>
      </w:r>
    </w:p>
    <w:p w14:paraId="1B5314C9" w14:textId="5CE184F5" w:rsidR="00C16484" w:rsidRPr="005C0504" w:rsidRDefault="00C16484" w:rsidP="004B4C38">
      <w:pPr>
        <w:pStyle w:val="Considrant"/>
        <w:numPr>
          <w:ilvl w:val="0"/>
          <w:numId w:val="2"/>
        </w:numPr>
      </w:pPr>
      <w:r w:rsidRPr="005C0504">
        <w:t>EUNB zwrócił się</w:t>
      </w:r>
      <w:r w:rsidR="005C0504" w:rsidRPr="005C0504">
        <w:t xml:space="preserve"> o</w:t>
      </w:r>
      <w:r w:rsidR="005C0504">
        <w:t> </w:t>
      </w:r>
      <w:r w:rsidR="005C0504" w:rsidRPr="005C0504">
        <w:t>opi</w:t>
      </w:r>
      <w:r w:rsidRPr="005C0504">
        <w:t>nię do Bankowej Grupy Interesariuszy powołanej na podstawie art. 37 rozporządzenia Parlamentu Europejskiego</w:t>
      </w:r>
      <w:r w:rsidR="005C0504" w:rsidRPr="005C0504">
        <w:t xml:space="preserve"> i</w:t>
      </w:r>
      <w:r w:rsidR="005C0504">
        <w:t> </w:t>
      </w:r>
      <w:r w:rsidR="005C0504" w:rsidRPr="005C0504">
        <w:t>Rad</w:t>
      </w:r>
      <w:r w:rsidRPr="005C0504">
        <w:t>y (UE) nr 1093/2010</w:t>
      </w:r>
      <w:r w:rsidRPr="005C0504">
        <w:rPr>
          <w:rStyle w:val="FootnoteReference"/>
        </w:rPr>
        <w:footnoteReference w:id="6"/>
      </w:r>
      <w:r w:rsidRPr="005C0504">
        <w:t xml:space="preserve">. </w:t>
      </w:r>
    </w:p>
    <w:p w14:paraId="5D5111C6" w14:textId="19DB0AB3" w:rsidR="00C16484" w:rsidRPr="005C0504" w:rsidRDefault="00373FC4" w:rsidP="004B4C38">
      <w:pPr>
        <w:pStyle w:val="Considrant"/>
        <w:numPr>
          <w:ilvl w:val="0"/>
          <w:numId w:val="2"/>
        </w:numPr>
      </w:pPr>
      <w:r w:rsidRPr="005C0504">
        <w:t>Adresatem zmian</w:t>
      </w:r>
      <w:r w:rsidR="005C0504" w:rsidRPr="005C0504">
        <w:t xml:space="preserve"> w</w:t>
      </w:r>
      <w:r w:rsidR="005C0504">
        <w:t> </w:t>
      </w:r>
      <w:r w:rsidR="005C0504" w:rsidRPr="005C0504">
        <w:t>roz</w:t>
      </w:r>
      <w:r w:rsidRPr="005C0504">
        <w:t>porządzeniu (UE) 2021/622 są organy ds. restrukturyzacji</w:t>
      </w:r>
      <w:r w:rsidR="005C0504" w:rsidRPr="005C0504">
        <w:t xml:space="preserve"> i</w:t>
      </w:r>
      <w:r w:rsidR="005C0504">
        <w:t> </w:t>
      </w:r>
      <w:r w:rsidR="005C0504" w:rsidRPr="005C0504">
        <w:t>upo</w:t>
      </w:r>
      <w:r w:rsidRPr="005C0504">
        <w:t>rządkowanej likwidacji, przy czym zmiany te nie wiążą się</w:t>
      </w:r>
      <w:r w:rsidR="005C0504" w:rsidRPr="005C0504">
        <w:t xml:space="preserve"> z</w:t>
      </w:r>
      <w:r w:rsidR="005C0504">
        <w:t> </w:t>
      </w:r>
      <w:r w:rsidR="005C0504" w:rsidRPr="005C0504">
        <w:t>ist</w:t>
      </w:r>
      <w:r w:rsidRPr="005C0504">
        <w:t>otnymi modyfikacjami pod względem merytorycznym</w:t>
      </w:r>
      <w:r w:rsidR="005C0504" w:rsidRPr="005C0504">
        <w:t>. W</w:t>
      </w:r>
      <w:r w:rsidR="005C0504">
        <w:t> </w:t>
      </w:r>
      <w:r w:rsidR="005C0504" w:rsidRPr="005C0504">
        <w:t>zwi</w:t>
      </w:r>
      <w:r w:rsidRPr="005C0504">
        <w:t>ązku</w:t>
      </w:r>
      <w:r w:rsidR="005C0504" w:rsidRPr="005C0504">
        <w:t xml:space="preserve"> z</w:t>
      </w:r>
      <w:r w:rsidR="005C0504">
        <w:t> </w:t>
      </w:r>
      <w:r w:rsidR="005C0504" w:rsidRPr="005C0504">
        <w:t>tym</w:t>
      </w:r>
      <w:r w:rsidRPr="005C0504">
        <w:t>, zgodnie</w:t>
      </w:r>
      <w:r w:rsidR="005C0504" w:rsidRPr="005C0504">
        <w:t xml:space="preserve"> z</w:t>
      </w:r>
      <w:r w:rsidR="005C0504">
        <w:t> </w:t>
      </w:r>
      <w:r w:rsidR="005C0504" w:rsidRPr="005C0504">
        <w:t>art</w:t>
      </w:r>
      <w:r w:rsidRPr="005C0504">
        <w:t>.</w:t>
      </w:r>
      <w:r w:rsidR="005C0504" w:rsidRPr="005C0504">
        <w:t> </w:t>
      </w:r>
      <w:r w:rsidRPr="005C0504">
        <w:t>15 ust.</w:t>
      </w:r>
      <w:r w:rsidR="005C0504" w:rsidRPr="005C0504">
        <w:t> </w:t>
      </w:r>
      <w:r w:rsidRPr="005C0504">
        <w:t>1 akapit drugi rozporządzenia (UE) nr</w:t>
      </w:r>
      <w:r w:rsidR="005C0504" w:rsidRPr="005C0504">
        <w:t> </w:t>
      </w:r>
      <w:r w:rsidRPr="005C0504">
        <w:t>1093/2010, EUNB nie przeprowadził otwartych konsultacji publicznych ani nie dokonał analizy ewentualnych powiązanych kosztów</w:t>
      </w:r>
      <w:r w:rsidR="005C0504" w:rsidRPr="005C0504">
        <w:t xml:space="preserve"> i</w:t>
      </w:r>
      <w:r w:rsidR="005C0504">
        <w:t> </w:t>
      </w:r>
      <w:r w:rsidR="005C0504" w:rsidRPr="005C0504">
        <w:t>kor</w:t>
      </w:r>
      <w:r w:rsidRPr="005C0504">
        <w:t>zyści, uznając, że byłoby to nieproporcjonalne</w:t>
      </w:r>
      <w:r w:rsidR="005C0504" w:rsidRPr="005C0504">
        <w:t xml:space="preserve"> w</w:t>
      </w:r>
      <w:r w:rsidR="005C0504">
        <w:t> </w:t>
      </w:r>
      <w:r w:rsidR="005C0504" w:rsidRPr="005C0504">
        <w:t>sto</w:t>
      </w:r>
      <w:r w:rsidRPr="005C0504">
        <w:t>sunku do zakresu</w:t>
      </w:r>
      <w:r w:rsidR="005C0504" w:rsidRPr="005C0504">
        <w:t xml:space="preserve"> i</w:t>
      </w:r>
      <w:r w:rsidR="005C0504">
        <w:t> </w:t>
      </w:r>
      <w:r w:rsidR="005C0504" w:rsidRPr="005C0504">
        <w:t>wpł</w:t>
      </w:r>
      <w:r w:rsidRPr="005C0504">
        <w:t xml:space="preserve">ywu odnośnego projektu wykonawczych standardów technicznych. </w:t>
      </w:r>
    </w:p>
    <w:p w14:paraId="0A23BFF6" w14:textId="77777777" w:rsidR="00C16484" w:rsidRPr="005C0504" w:rsidRDefault="00C16484" w:rsidP="004B4C38">
      <w:pPr>
        <w:pStyle w:val="Considrant"/>
        <w:numPr>
          <w:ilvl w:val="0"/>
          <w:numId w:val="2"/>
        </w:numPr>
      </w:pPr>
      <w:r w:rsidRPr="005C0504">
        <w:t>Należy zatem odpowiednio zmienić rozporządzenie wykonawcze (UE) 2021/622.</w:t>
      </w:r>
    </w:p>
    <w:p w14:paraId="1887EA7B" w14:textId="77777777" w:rsidR="00C16484" w:rsidRPr="005C0504" w:rsidRDefault="00C16484" w:rsidP="004B4C38">
      <w:pPr>
        <w:pStyle w:val="Considrant"/>
        <w:numPr>
          <w:ilvl w:val="0"/>
          <w:numId w:val="2"/>
        </w:numPr>
      </w:pPr>
      <w:r w:rsidRPr="005C0504">
        <w:t>Podstawę niniejszego rozporządzenia stanowi projekt wykonawczych standardów technicznych przedłożony Komisji przez EUNB,</w:t>
      </w:r>
    </w:p>
    <w:p w14:paraId="313B274F" w14:textId="77777777" w:rsidR="00C16484" w:rsidRPr="005C0504" w:rsidRDefault="00C16484">
      <w:pPr>
        <w:pStyle w:val="Formuledadoption"/>
      </w:pPr>
      <w:r w:rsidRPr="005C0504">
        <w:t>PRZYJMUJE NINIEJSZE ROZPORZĄDZENIE:</w:t>
      </w:r>
    </w:p>
    <w:p w14:paraId="455FC522" w14:textId="77777777" w:rsidR="00C16484" w:rsidRPr="005C0504" w:rsidRDefault="00C16484">
      <w:pPr>
        <w:pStyle w:val="Titrearticle"/>
      </w:pPr>
      <w:r w:rsidRPr="005C0504">
        <w:t>Artykuł 1</w:t>
      </w:r>
    </w:p>
    <w:p w14:paraId="061A957A" w14:textId="77777777" w:rsidR="00C16484" w:rsidRPr="005C0504" w:rsidRDefault="00C16484" w:rsidP="00C16484">
      <w:r w:rsidRPr="005C0504">
        <w:t>W rozporządzeniu wykonawczym (UE) 2021/622 wprowadza się następujące zmiany:</w:t>
      </w:r>
    </w:p>
    <w:p w14:paraId="44E520EB" w14:textId="2E81A5DA" w:rsidR="00C16484" w:rsidRPr="005C0504" w:rsidRDefault="005C0504" w:rsidP="005C0504">
      <w:pPr>
        <w:pStyle w:val="Point0"/>
      </w:pPr>
      <w:r>
        <w:t>1)</w:t>
      </w:r>
      <w:r>
        <w:tab/>
      </w:r>
      <w:r w:rsidR="00C16484" w:rsidRPr="005C0504">
        <w:t>w art.</w:t>
      </w:r>
      <w:r w:rsidRPr="005C0504">
        <w:t> </w:t>
      </w:r>
      <w:r w:rsidR="00C16484" w:rsidRPr="005C0504">
        <w:t>2 wprowadza się następujące zmiany:</w:t>
      </w:r>
    </w:p>
    <w:p w14:paraId="252CA8AC" w14:textId="61C9B2C1" w:rsidR="00C16484" w:rsidRPr="005C0504" w:rsidRDefault="005C0504" w:rsidP="005C0504">
      <w:pPr>
        <w:pStyle w:val="Point1"/>
      </w:pPr>
      <w:r>
        <w:t>a)</w:t>
      </w:r>
      <w:r>
        <w:tab/>
      </w:r>
      <w:r w:rsidR="00C16484" w:rsidRPr="005C0504">
        <w:t>tytuł otrzymuje brzmienie:</w:t>
      </w:r>
    </w:p>
    <w:p w14:paraId="3D4F8508" w14:textId="77777777" w:rsidR="00C16484" w:rsidRPr="005C0504" w:rsidRDefault="00C16484" w:rsidP="00783A3B">
      <w:pPr>
        <w:jc w:val="center"/>
      </w:pPr>
      <w:r w:rsidRPr="005C0504">
        <w:t>„</w:t>
      </w:r>
      <w:r w:rsidRPr="005C0504">
        <w:rPr>
          <w:b/>
        </w:rPr>
        <w:t>Uproszczony wymóg sprawozdawczy dla instytucji objętych zwolnieniami</w:t>
      </w:r>
      <w:r w:rsidRPr="005C0504">
        <w:t>”;</w:t>
      </w:r>
    </w:p>
    <w:p w14:paraId="2EAF66BD" w14:textId="20A2C671" w:rsidR="00C16484" w:rsidRPr="005C0504" w:rsidRDefault="005C0504" w:rsidP="005C0504">
      <w:pPr>
        <w:pStyle w:val="Point1"/>
      </w:pPr>
      <w:r>
        <w:t>b)</w:t>
      </w:r>
      <w:r>
        <w:tab/>
      </w:r>
      <w:r w:rsidR="00C16484" w:rsidRPr="005C0504">
        <w:t>uchyla się ust.</w:t>
      </w:r>
      <w:r w:rsidRPr="005C0504">
        <w:t> </w:t>
      </w:r>
      <w:r w:rsidR="00C16484" w:rsidRPr="005C0504">
        <w:t>2;</w:t>
      </w:r>
    </w:p>
    <w:p w14:paraId="1A052A8B" w14:textId="5B622836" w:rsidR="00C16484" w:rsidRPr="005C0504" w:rsidRDefault="005C0504" w:rsidP="005C0504">
      <w:pPr>
        <w:pStyle w:val="Point0"/>
      </w:pPr>
      <w:r>
        <w:t>2)</w:t>
      </w:r>
      <w:r>
        <w:tab/>
      </w:r>
      <w:r w:rsidR="00C16484" w:rsidRPr="005C0504">
        <w:t>w art.</w:t>
      </w:r>
      <w:r w:rsidRPr="005C0504">
        <w:t> </w:t>
      </w:r>
      <w:r w:rsidR="00C16484" w:rsidRPr="005C0504">
        <w:t>3 wyrażenie wprowadzające otrzymuje brzmienie:</w:t>
      </w:r>
    </w:p>
    <w:p w14:paraId="533DCDB8" w14:textId="544262AA" w:rsidR="00C16484" w:rsidRPr="005C0504" w:rsidRDefault="00C16484" w:rsidP="00783A3B">
      <w:r w:rsidRPr="005C0504">
        <w:t>„W odniesieniu do grup podlegających MREL na zasadzie skonsolidowanej zgodnie</w:t>
      </w:r>
      <w:r w:rsidR="005C0504" w:rsidRPr="005C0504">
        <w:t xml:space="preserve"> z</w:t>
      </w:r>
      <w:r w:rsidR="005C0504">
        <w:t> </w:t>
      </w:r>
      <w:r w:rsidR="005C0504" w:rsidRPr="005C0504">
        <w:t>art</w:t>
      </w:r>
      <w:r w:rsidRPr="005C0504">
        <w:t>.</w:t>
      </w:r>
      <w:r w:rsidR="005C0504" w:rsidRPr="005C0504">
        <w:t> </w:t>
      </w:r>
      <w:r w:rsidRPr="005C0504">
        <w:t>45e, art.</w:t>
      </w:r>
      <w:r w:rsidR="005C0504" w:rsidRPr="005C0504">
        <w:t> </w:t>
      </w:r>
      <w:r w:rsidRPr="005C0504">
        <w:t>45f ust.</w:t>
      </w:r>
      <w:r w:rsidR="005C0504" w:rsidRPr="005C0504">
        <w:t> </w:t>
      </w:r>
      <w:r w:rsidRPr="005C0504">
        <w:t>1 akapity trzeci</w:t>
      </w:r>
      <w:r w:rsidR="005C0504" w:rsidRPr="005C0504">
        <w:t xml:space="preserve"> i</w:t>
      </w:r>
      <w:r w:rsidR="005C0504">
        <w:t> </w:t>
      </w:r>
      <w:r w:rsidR="005C0504" w:rsidRPr="005C0504">
        <w:t>czw</w:t>
      </w:r>
      <w:r w:rsidRPr="005C0504">
        <w:t>arty oraz art.</w:t>
      </w:r>
      <w:r w:rsidR="005C0504" w:rsidRPr="005C0504">
        <w:t> </w:t>
      </w:r>
      <w:r w:rsidRPr="005C0504">
        <w:t>45f ust.</w:t>
      </w:r>
      <w:r w:rsidR="005C0504" w:rsidRPr="005C0504">
        <w:t> </w:t>
      </w:r>
      <w:r w:rsidRPr="005C0504">
        <w:t>4 lit.</w:t>
      </w:r>
      <w:r w:rsidR="005C0504" w:rsidRPr="005C0504">
        <w:t> </w:t>
      </w:r>
      <w:r w:rsidRPr="005C0504">
        <w:t>b) dyrektywy 2014/59/UE informacje,</w:t>
      </w:r>
      <w:r w:rsidR="005C0504" w:rsidRPr="005C0504">
        <w:t xml:space="preserve"> o</w:t>
      </w:r>
      <w:r w:rsidR="005C0504">
        <w:t> </w:t>
      </w:r>
      <w:r w:rsidR="005C0504" w:rsidRPr="005C0504">
        <w:t>któ</w:t>
      </w:r>
      <w:r w:rsidRPr="005C0504">
        <w:t>rych mowa</w:t>
      </w:r>
      <w:r w:rsidR="005C0504" w:rsidRPr="005C0504">
        <w:t xml:space="preserve"> w</w:t>
      </w:r>
      <w:r w:rsidR="005C0504">
        <w:t> </w:t>
      </w:r>
      <w:r w:rsidR="005C0504" w:rsidRPr="005C0504">
        <w:t>art</w:t>
      </w:r>
      <w:r w:rsidRPr="005C0504">
        <w:t>.</w:t>
      </w:r>
      <w:r w:rsidR="005C0504" w:rsidRPr="005C0504">
        <w:t> </w:t>
      </w:r>
      <w:r w:rsidRPr="005C0504">
        <w:t>1</w:t>
      </w:r>
      <w:r w:rsidR="005C0504" w:rsidRPr="005C0504">
        <w:t xml:space="preserve"> i</w:t>
      </w:r>
      <w:r w:rsidR="005C0504">
        <w:t> </w:t>
      </w:r>
      <w:r w:rsidR="005C0504" w:rsidRPr="005C0504">
        <w:t>2</w:t>
      </w:r>
      <w:r w:rsidRPr="005C0504">
        <w:t>, są przekazywane przez następujące organy</w:t>
      </w:r>
      <w:r w:rsidR="005C0504" w:rsidRPr="005C0504">
        <w:t xml:space="preserve"> i</w:t>
      </w:r>
      <w:r w:rsidR="005C0504">
        <w:t> </w:t>
      </w:r>
      <w:r w:rsidR="005C0504" w:rsidRPr="005C0504">
        <w:t>w</w:t>
      </w:r>
      <w:r w:rsidR="005C0504">
        <w:t> </w:t>
      </w:r>
      <w:r w:rsidR="005C0504" w:rsidRPr="005C0504">
        <w:t>nas</w:t>
      </w:r>
      <w:r w:rsidRPr="005C0504">
        <w:t>tępujący sposób:”;</w:t>
      </w:r>
    </w:p>
    <w:p w14:paraId="0509E0AB" w14:textId="12A36ABA" w:rsidR="00C16484" w:rsidRPr="005C0504" w:rsidRDefault="005C0504" w:rsidP="005C0504">
      <w:pPr>
        <w:pStyle w:val="Point0"/>
      </w:pPr>
      <w:r>
        <w:t>3)</w:t>
      </w:r>
      <w:r>
        <w:tab/>
      </w:r>
      <w:r w:rsidR="00C16484" w:rsidRPr="005C0504">
        <w:t>art.</w:t>
      </w:r>
      <w:r w:rsidRPr="005C0504">
        <w:t> </w:t>
      </w:r>
      <w:r w:rsidR="00C16484" w:rsidRPr="005C0504">
        <w:t>4 otrzymuje brzmienie:</w:t>
      </w:r>
    </w:p>
    <w:p w14:paraId="66FCA4E9" w14:textId="01BFB954" w:rsidR="00C16484" w:rsidRPr="005C0504" w:rsidRDefault="00D47F83" w:rsidP="00783A3B">
      <w:pPr>
        <w:pStyle w:val="Titrearticle"/>
        <w:rPr>
          <w:i w:val="0"/>
          <w:iCs/>
        </w:rPr>
      </w:pPr>
      <w:r w:rsidRPr="005C0504">
        <w:rPr>
          <w:i w:val="0"/>
        </w:rPr>
        <w:t>„</w:t>
      </w:r>
      <w:r w:rsidRPr="005C0504">
        <w:t xml:space="preserve">Artykuł 4 </w:t>
      </w:r>
      <w:r w:rsidRPr="005C0504">
        <w:br/>
      </w:r>
      <w:r w:rsidRPr="005C0504">
        <w:rPr>
          <w:b/>
          <w:i w:val="0"/>
        </w:rPr>
        <w:t>Okresy sprawozdawcze</w:t>
      </w:r>
      <w:r w:rsidR="005C0504" w:rsidRPr="005C0504">
        <w:rPr>
          <w:b/>
          <w:i w:val="0"/>
        </w:rPr>
        <w:t xml:space="preserve"> i</w:t>
      </w:r>
      <w:r w:rsidR="005C0504">
        <w:rPr>
          <w:b/>
          <w:i w:val="0"/>
        </w:rPr>
        <w:t> </w:t>
      </w:r>
      <w:r w:rsidR="005C0504" w:rsidRPr="005C0504">
        <w:rPr>
          <w:b/>
          <w:i w:val="0"/>
        </w:rPr>
        <w:t>dat</w:t>
      </w:r>
      <w:r w:rsidRPr="005C0504">
        <w:rPr>
          <w:b/>
          <w:i w:val="0"/>
        </w:rPr>
        <w:t>y przekazania informacji</w:t>
      </w:r>
    </w:p>
    <w:p w14:paraId="054F5F9B" w14:textId="3096354C" w:rsidR="00C16484" w:rsidRPr="005C0504" w:rsidRDefault="00C16484" w:rsidP="00783A3B">
      <w:r w:rsidRPr="005C0504">
        <w:t>Organy ds. restrukturyzacji</w:t>
      </w:r>
      <w:r w:rsidR="005C0504" w:rsidRPr="005C0504">
        <w:t xml:space="preserve"> i</w:t>
      </w:r>
      <w:r w:rsidR="005C0504">
        <w:t> </w:t>
      </w:r>
      <w:r w:rsidR="005C0504" w:rsidRPr="005C0504">
        <w:t>upo</w:t>
      </w:r>
      <w:r w:rsidRPr="005C0504">
        <w:t>rządkowanej likwidacji przekazują informacje,</w:t>
      </w:r>
      <w:r w:rsidR="005C0504" w:rsidRPr="005C0504">
        <w:t xml:space="preserve"> o</w:t>
      </w:r>
      <w:r w:rsidR="005C0504">
        <w:t> </w:t>
      </w:r>
      <w:r w:rsidR="005C0504" w:rsidRPr="005C0504">
        <w:t>któ</w:t>
      </w:r>
      <w:r w:rsidRPr="005C0504">
        <w:t>rych mowa</w:t>
      </w:r>
      <w:r w:rsidR="005C0504" w:rsidRPr="005C0504">
        <w:t xml:space="preserve"> w</w:t>
      </w:r>
      <w:r w:rsidR="005C0504">
        <w:t> </w:t>
      </w:r>
      <w:r w:rsidR="005C0504" w:rsidRPr="005C0504">
        <w:t>art</w:t>
      </w:r>
      <w:r w:rsidRPr="005C0504">
        <w:t>.</w:t>
      </w:r>
      <w:r w:rsidR="005C0504" w:rsidRPr="005C0504">
        <w:t> </w:t>
      </w:r>
      <w:r w:rsidRPr="005C0504">
        <w:t>1</w:t>
      </w:r>
      <w:r w:rsidR="005C0504" w:rsidRPr="005C0504">
        <w:t xml:space="preserve"> i</w:t>
      </w:r>
      <w:r w:rsidR="005C0504">
        <w:t> </w:t>
      </w:r>
      <w:r w:rsidR="005C0504" w:rsidRPr="005C0504">
        <w:t>2</w:t>
      </w:r>
      <w:r w:rsidRPr="005C0504">
        <w:t>,</w:t>
      </w:r>
      <w:r w:rsidR="005C0504" w:rsidRPr="005C0504">
        <w:t xml:space="preserve"> w</w:t>
      </w:r>
      <w:r w:rsidR="005C0504">
        <w:t> </w:t>
      </w:r>
      <w:r w:rsidR="005C0504" w:rsidRPr="005C0504">
        <w:t>nas</w:t>
      </w:r>
      <w:r w:rsidRPr="005C0504">
        <w:t>tępujący sposób:</w:t>
      </w:r>
    </w:p>
    <w:p w14:paraId="5113726F" w14:textId="29FF525D" w:rsidR="00C16484" w:rsidRPr="005C0504" w:rsidRDefault="005C0504" w:rsidP="005C0504">
      <w:pPr>
        <w:pStyle w:val="Point1"/>
      </w:pPr>
      <w:r>
        <w:t>a)</w:t>
      </w:r>
      <w:r>
        <w:tab/>
      </w:r>
      <w:r w:rsidR="00C16484" w:rsidRPr="005C0504">
        <w:t>informacje dotyczące MREL mającego zastosowanie od dnia 30 czerwca danego roku – do dnia 16 września tegoż roku;</w:t>
      </w:r>
    </w:p>
    <w:p w14:paraId="7219DDD8" w14:textId="71240F4A" w:rsidR="00C16484" w:rsidRPr="005C0504" w:rsidRDefault="005C0504" w:rsidP="005C0504">
      <w:pPr>
        <w:pStyle w:val="Point1"/>
      </w:pPr>
      <w:r>
        <w:t>b)</w:t>
      </w:r>
      <w:r>
        <w:tab/>
      </w:r>
      <w:r w:rsidR="00C16484" w:rsidRPr="005C0504">
        <w:t>informacje dotyczące MREL mającego zastosowanie od dnia 31 grudnia danego roku – do dnia 18 marca kolejnego roku.”;</w:t>
      </w:r>
    </w:p>
    <w:p w14:paraId="65609948" w14:textId="2CF45CA8" w:rsidR="00C16484" w:rsidRPr="005C0504" w:rsidRDefault="005C0504" w:rsidP="005C0504">
      <w:pPr>
        <w:pStyle w:val="Point0"/>
      </w:pPr>
      <w:r>
        <w:t>4)</w:t>
      </w:r>
      <w:r>
        <w:tab/>
      </w:r>
      <w:r w:rsidR="00C16484" w:rsidRPr="005C0504">
        <w:t>załącznik I zastępuje się tekstem znajdującym się</w:t>
      </w:r>
      <w:r w:rsidRPr="005C0504">
        <w:t xml:space="preserve"> w</w:t>
      </w:r>
      <w:r>
        <w:t> </w:t>
      </w:r>
      <w:r w:rsidRPr="005C0504">
        <w:t>zał</w:t>
      </w:r>
      <w:r w:rsidR="00C16484" w:rsidRPr="005C0504">
        <w:t>ączniku I do niniejszego rozporządzenia;</w:t>
      </w:r>
    </w:p>
    <w:p w14:paraId="45E55C10" w14:textId="55AD2BA2" w:rsidR="00C16484" w:rsidRPr="005C0504" w:rsidRDefault="005C0504" w:rsidP="005C0504">
      <w:pPr>
        <w:pStyle w:val="Point0"/>
      </w:pPr>
      <w:r>
        <w:t>5)</w:t>
      </w:r>
      <w:r>
        <w:tab/>
      </w:r>
      <w:r w:rsidR="00C16484" w:rsidRPr="005C0504">
        <w:t>załącznik II zastępuje się tekstem znajdującym się</w:t>
      </w:r>
      <w:r w:rsidRPr="005C0504">
        <w:t xml:space="preserve"> w</w:t>
      </w:r>
      <w:r>
        <w:t> </w:t>
      </w:r>
      <w:r w:rsidRPr="005C0504">
        <w:t>zał</w:t>
      </w:r>
      <w:r w:rsidR="00C16484" w:rsidRPr="005C0504">
        <w:t>ączniku II do niniejszego rozporządzenia.</w:t>
      </w:r>
    </w:p>
    <w:p w14:paraId="0B09A3CA" w14:textId="77777777" w:rsidR="00C16484" w:rsidRPr="005C0504" w:rsidRDefault="00C16484">
      <w:pPr>
        <w:pStyle w:val="Titrearticle"/>
      </w:pPr>
      <w:r w:rsidRPr="005C0504">
        <w:t>Artykuł 2</w:t>
      </w:r>
    </w:p>
    <w:p w14:paraId="0BDD24EC" w14:textId="1A538B48" w:rsidR="00C16484" w:rsidRPr="005C0504" w:rsidRDefault="00C16484" w:rsidP="00830365">
      <w:r w:rsidRPr="005C0504">
        <w:t>Niniejsze rozporządzenie wchodzi</w:t>
      </w:r>
      <w:r w:rsidR="005C0504" w:rsidRPr="005C0504">
        <w:t xml:space="preserve"> w</w:t>
      </w:r>
      <w:r w:rsidR="005C0504">
        <w:t> </w:t>
      </w:r>
      <w:r w:rsidR="005C0504" w:rsidRPr="005C0504">
        <w:t>życ</w:t>
      </w:r>
      <w:r w:rsidRPr="005C0504">
        <w:t>ie dwudziestego dnia po jego opublikowaniu</w:t>
      </w:r>
      <w:r w:rsidR="005C0504" w:rsidRPr="005C0504">
        <w:t xml:space="preserve"> w</w:t>
      </w:r>
      <w:r w:rsidR="005C0504">
        <w:t> </w:t>
      </w:r>
      <w:r w:rsidR="005C0504" w:rsidRPr="005C0504">
        <w:rPr>
          <w:i/>
        </w:rPr>
        <w:t>Dzi</w:t>
      </w:r>
      <w:r w:rsidRPr="005C0504">
        <w:rPr>
          <w:i/>
        </w:rPr>
        <w:t>enniku Urzędowym Unii Europejskiej</w:t>
      </w:r>
      <w:r w:rsidRPr="005C0504">
        <w:t>.</w:t>
      </w:r>
    </w:p>
    <w:p w14:paraId="3DDE2F7A" w14:textId="0752F490" w:rsidR="00C16484" w:rsidRPr="005C0504" w:rsidRDefault="00C16484">
      <w:pPr>
        <w:pStyle w:val="Applicationdirecte"/>
      </w:pPr>
      <w:r w:rsidRPr="005C0504">
        <w:t>Niniejsze rozporządzenie wiąże</w:t>
      </w:r>
      <w:r w:rsidR="005C0504" w:rsidRPr="005C0504">
        <w:t xml:space="preserve"> w</w:t>
      </w:r>
      <w:r w:rsidR="005C0504">
        <w:t> </w:t>
      </w:r>
      <w:r w:rsidR="005C0504" w:rsidRPr="005C0504">
        <w:t>cał</w:t>
      </w:r>
      <w:r w:rsidRPr="005C0504">
        <w:t>ości</w:t>
      </w:r>
      <w:r w:rsidR="005C0504" w:rsidRPr="005C0504">
        <w:t xml:space="preserve"> i</w:t>
      </w:r>
      <w:r w:rsidR="005C0504">
        <w:t> </w:t>
      </w:r>
      <w:r w:rsidR="005C0504" w:rsidRPr="005C0504">
        <w:t>jes</w:t>
      </w:r>
      <w:r w:rsidRPr="005C0504">
        <w:t>t bezpośrednio stosowane we wszystkich państwach członkowskich.</w:t>
      </w:r>
    </w:p>
    <w:p w14:paraId="0FD02893" w14:textId="5EFDD85C" w:rsidR="00C16484" w:rsidRPr="005C0504" w:rsidRDefault="005C0504" w:rsidP="005C0504">
      <w:pPr>
        <w:pStyle w:val="Fait"/>
      </w:pPr>
      <w:r w:rsidRPr="005C0504">
        <w:t xml:space="preserve">Sporządzono w Brukseli dnia </w:t>
      </w:r>
      <w:r w:rsidRPr="005C0504">
        <w:rPr>
          <w:rStyle w:val="Marker"/>
        </w:rPr>
        <w:t>[…]</w:t>
      </w:r>
      <w:r w:rsidRPr="005C0504">
        <w:t xml:space="preserve"> r.</w:t>
      </w:r>
    </w:p>
    <w:p w14:paraId="3FB14D4B" w14:textId="77777777" w:rsidR="00C16484" w:rsidRPr="005C0504" w:rsidRDefault="00C16484" w:rsidP="00C16484">
      <w:pPr>
        <w:pStyle w:val="Institutionquisigne"/>
      </w:pPr>
      <w:r w:rsidRPr="005C0504">
        <w:tab/>
        <w:t>W imieniu Komisji</w:t>
      </w:r>
    </w:p>
    <w:p w14:paraId="0FEF1170" w14:textId="0CD182DE" w:rsidR="00C16484" w:rsidRPr="005C0504" w:rsidRDefault="00C16484" w:rsidP="00C16484">
      <w:pPr>
        <w:pStyle w:val="Personnequisigne"/>
      </w:pPr>
      <w:r w:rsidRPr="005C0504">
        <w:tab/>
        <w:t xml:space="preserve">Przewodnicząca </w:t>
      </w:r>
      <w:r w:rsidRPr="005C0504">
        <w:br/>
      </w:r>
      <w:r w:rsidRPr="005C0504">
        <w:tab/>
        <w:t xml:space="preserve">Ursula von der Leyen </w:t>
      </w:r>
      <w:r w:rsidRPr="005C0504">
        <w:br/>
      </w:r>
      <w:r w:rsidRPr="005C0504">
        <w:tab/>
      </w:r>
    </w:p>
    <w:sectPr w:rsidR="00C16484" w:rsidRPr="005C0504" w:rsidSect="005C0504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D8F0" w14:textId="77777777" w:rsidR="00F07F26" w:rsidRPr="005C0504" w:rsidRDefault="00F07F26" w:rsidP="00C16484">
      <w:pPr>
        <w:spacing w:before="0" w:after="0"/>
      </w:pPr>
      <w:r w:rsidRPr="005C0504">
        <w:separator/>
      </w:r>
    </w:p>
  </w:endnote>
  <w:endnote w:type="continuationSeparator" w:id="0">
    <w:p w14:paraId="61DF8EAB" w14:textId="77777777" w:rsidR="00F07F26" w:rsidRPr="005C0504" w:rsidRDefault="00F07F26" w:rsidP="00C16484">
      <w:pPr>
        <w:spacing w:before="0" w:after="0"/>
      </w:pPr>
      <w:r w:rsidRPr="005C0504">
        <w:continuationSeparator/>
      </w:r>
    </w:p>
  </w:endnote>
  <w:endnote w:type="continuationNotice" w:id="1">
    <w:p w14:paraId="04F6DC9C" w14:textId="77777777" w:rsidR="00F07F26" w:rsidRPr="005C0504" w:rsidRDefault="00F07F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7C1D" w14:textId="5CF84744" w:rsidR="005C0504" w:rsidRPr="005C0504" w:rsidRDefault="005C0504" w:rsidP="005C0504">
    <w:pPr>
      <w:pStyle w:val="Footer"/>
      <w:rPr>
        <w:rFonts w:ascii="Arial" w:hAnsi="Arial" w:cs="Arial"/>
        <w:b/>
        <w:sz w:val="48"/>
      </w:rPr>
    </w:pPr>
    <w:r w:rsidRPr="005C0504">
      <w:rPr>
        <w:rFonts w:ascii="Arial" w:hAnsi="Arial" w:cs="Arial"/>
        <w:b/>
        <w:sz w:val="48"/>
      </w:rPr>
      <w:t>PL</w:t>
    </w:r>
    <w:r w:rsidRPr="005C0504">
      <w:rPr>
        <w:rFonts w:ascii="Arial" w:hAnsi="Arial" w:cs="Arial"/>
        <w:b/>
        <w:sz w:val="48"/>
      </w:rPr>
      <w:tab/>
    </w:r>
    <w:r w:rsidRPr="005C0504">
      <w:rPr>
        <w:rFonts w:ascii="Arial" w:hAnsi="Arial" w:cs="Arial"/>
        <w:b/>
        <w:sz w:val="48"/>
      </w:rPr>
      <w:tab/>
    </w:r>
    <w:r w:rsidRPr="005C0504">
      <w:tab/>
    </w:r>
    <w:r w:rsidRPr="005C0504"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B488" w14:textId="72CE5DF7" w:rsidR="005C0504" w:rsidRPr="005C0504" w:rsidRDefault="005C0504" w:rsidP="005C0504">
    <w:pPr>
      <w:pStyle w:val="Footer"/>
      <w:rPr>
        <w:rFonts w:ascii="Arial" w:hAnsi="Arial" w:cs="Arial"/>
        <w:b/>
        <w:sz w:val="48"/>
      </w:rPr>
    </w:pPr>
    <w:r w:rsidRPr="005C0504">
      <w:rPr>
        <w:rFonts w:ascii="Arial" w:hAnsi="Arial" w:cs="Arial"/>
        <w:b/>
        <w:sz w:val="48"/>
      </w:rPr>
      <w:t>PL</w:t>
    </w:r>
    <w:r w:rsidRPr="005C0504">
      <w:rPr>
        <w:rFonts w:ascii="Arial" w:hAnsi="Arial" w:cs="Arial"/>
        <w:b/>
        <w:sz w:val="48"/>
      </w:rPr>
      <w:tab/>
    </w:r>
    <w:r w:rsidRPr="005C0504">
      <w:rPr>
        <w:rFonts w:ascii="Arial" w:hAnsi="Arial" w:cs="Arial"/>
        <w:b/>
        <w:sz w:val="48"/>
      </w:rPr>
      <w:tab/>
    </w:r>
    <w:r w:rsidRPr="005C0504">
      <w:tab/>
    </w:r>
    <w:r w:rsidRPr="005C0504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B2B1" w14:textId="77777777" w:rsidR="005C0504" w:rsidRPr="005C0504" w:rsidRDefault="005C0504" w:rsidP="005C050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2728" w14:textId="77777777" w:rsidR="000C320E" w:rsidRPr="00DC5E29" w:rsidRDefault="000C320E" w:rsidP="00DC5E29">
    <w:pPr>
      <w:pStyle w:val="Footer"/>
      <w:rPr>
        <w:rFonts w:ascii="Arial" w:hAnsi="Arial" w:cs="Arial"/>
        <w:b/>
        <w:sz w:val="4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DE27" w14:textId="7E76A31B" w:rsidR="005C0504" w:rsidRPr="005C0504" w:rsidRDefault="005C0504" w:rsidP="005C0504">
    <w:pPr>
      <w:pStyle w:val="Footer"/>
      <w:rPr>
        <w:rFonts w:ascii="Arial" w:hAnsi="Arial" w:cs="Arial"/>
        <w:b/>
        <w:sz w:val="48"/>
      </w:rPr>
    </w:pPr>
    <w:r w:rsidRPr="005C0504">
      <w:rPr>
        <w:rFonts w:ascii="Arial" w:hAnsi="Arial" w:cs="Arial"/>
        <w:b/>
        <w:sz w:val="48"/>
      </w:rPr>
      <w:t>PL</w:t>
    </w:r>
    <w:r w:rsidRPr="005C0504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5C0504">
      <w:tab/>
    </w:r>
    <w:r w:rsidRPr="005C0504">
      <w:rPr>
        <w:rFonts w:ascii="Arial" w:hAnsi="Arial" w:cs="Arial"/>
        <w:b/>
        <w:sz w:val="48"/>
      </w:rPr>
      <w:t>PL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2C19" w14:textId="77777777" w:rsidR="000C320E" w:rsidRDefault="000C320E" w:rsidP="005C0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4942" w14:textId="77777777" w:rsidR="00F07F26" w:rsidRPr="005C0504" w:rsidRDefault="00F07F26" w:rsidP="00C16484">
      <w:pPr>
        <w:spacing w:before="0" w:after="0"/>
      </w:pPr>
      <w:r w:rsidRPr="005C0504">
        <w:separator/>
      </w:r>
    </w:p>
  </w:footnote>
  <w:footnote w:type="continuationSeparator" w:id="0">
    <w:p w14:paraId="298144EA" w14:textId="77777777" w:rsidR="00F07F26" w:rsidRPr="005C0504" w:rsidRDefault="00F07F26" w:rsidP="00C16484">
      <w:pPr>
        <w:spacing w:before="0" w:after="0"/>
      </w:pPr>
      <w:r w:rsidRPr="005C0504">
        <w:continuationSeparator/>
      </w:r>
    </w:p>
  </w:footnote>
  <w:footnote w:type="continuationNotice" w:id="1">
    <w:p w14:paraId="57F8940A" w14:textId="77777777" w:rsidR="00F07F26" w:rsidRPr="005C0504" w:rsidRDefault="00F07F26">
      <w:pPr>
        <w:spacing w:before="0" w:after="0"/>
      </w:pPr>
    </w:p>
  </w:footnote>
  <w:footnote w:id="2">
    <w:p w14:paraId="33763137" w14:textId="47253514" w:rsidR="00C16484" w:rsidRPr="005C0504" w:rsidRDefault="00C16484" w:rsidP="00C16484">
      <w:pPr>
        <w:pStyle w:val="FootnoteText"/>
      </w:pPr>
      <w:r w:rsidRPr="005C0504">
        <w:rPr>
          <w:rStyle w:val="FootnoteReference"/>
        </w:rPr>
        <w:footnoteRef/>
      </w:r>
      <w:r w:rsidRPr="005C0504">
        <w:tab/>
        <w:t>Dz.U. L 173</w:t>
      </w:r>
      <w:r w:rsidR="005C0504" w:rsidRPr="005C0504">
        <w:t xml:space="preserve"> z</w:t>
      </w:r>
      <w:r w:rsidR="005C0504">
        <w:t> </w:t>
      </w:r>
      <w:r w:rsidR="005C0504" w:rsidRPr="005C0504">
        <w:t>1</w:t>
      </w:r>
      <w:r w:rsidRPr="005C0504">
        <w:t>2.6.2014, s. 190, ELI: </w:t>
      </w:r>
      <w:hyperlink r:id="rId1" w:tooltip="Dostęp do dokumentu poprzez identyfikator URI w systemie ELI." w:history="1">
        <w:r w:rsidRPr="005C0504">
          <w:rPr>
            <w:rStyle w:val="Hyperlink"/>
            <w:rFonts w:ascii="Times New Roman" w:hAnsi="Times New Roman"/>
          </w:rPr>
          <w:t>http://data.europa.eu/eli/dir/2014/59/oj</w:t>
        </w:r>
      </w:hyperlink>
      <w:r w:rsidRPr="005C0504">
        <w:t xml:space="preserve">. </w:t>
      </w:r>
    </w:p>
  </w:footnote>
  <w:footnote w:id="3">
    <w:p w14:paraId="584AEAAA" w14:textId="78908448" w:rsidR="003428AE" w:rsidRPr="005C0504" w:rsidRDefault="003428AE">
      <w:pPr>
        <w:pStyle w:val="FootnoteText"/>
      </w:pPr>
      <w:r w:rsidRPr="005C0504">
        <w:rPr>
          <w:rStyle w:val="FootnoteReference"/>
        </w:rPr>
        <w:footnoteRef/>
      </w:r>
      <w:r w:rsidRPr="005C0504">
        <w:tab/>
        <w:t>Dyrektywa Parlamentu Europejskiego</w:t>
      </w:r>
      <w:r w:rsidR="005C0504" w:rsidRPr="005C0504">
        <w:t xml:space="preserve"> i</w:t>
      </w:r>
      <w:r w:rsidR="005C0504">
        <w:t> </w:t>
      </w:r>
      <w:r w:rsidR="005C0504" w:rsidRPr="005C0504">
        <w:t>Rad</w:t>
      </w:r>
      <w:r w:rsidRPr="005C0504">
        <w:t>y (UE) 2024/1174</w:t>
      </w:r>
      <w:r w:rsidR="005C0504" w:rsidRPr="005C0504">
        <w:t xml:space="preserve"> z</w:t>
      </w:r>
      <w:r w:rsidR="005C0504">
        <w:t> </w:t>
      </w:r>
      <w:r w:rsidR="005C0504" w:rsidRPr="005C0504">
        <w:t>dni</w:t>
      </w:r>
      <w:r w:rsidRPr="005C0504">
        <w:t>a 11 kwietnia 2024 r. zmieniająca dyrektywę 2014/59/UE</w:t>
      </w:r>
      <w:r w:rsidR="005C0504" w:rsidRPr="005C0504">
        <w:t xml:space="preserve"> i</w:t>
      </w:r>
      <w:r w:rsidR="005C0504">
        <w:t> </w:t>
      </w:r>
      <w:r w:rsidR="005C0504" w:rsidRPr="005C0504">
        <w:t>roz</w:t>
      </w:r>
      <w:r w:rsidRPr="005C0504">
        <w:t>porządzenie (UE) nr 806/2014</w:t>
      </w:r>
      <w:r w:rsidR="005C0504" w:rsidRPr="005C0504">
        <w:t xml:space="preserve"> w</w:t>
      </w:r>
      <w:r w:rsidR="005C0504">
        <w:t> </w:t>
      </w:r>
      <w:r w:rsidR="005C0504" w:rsidRPr="005C0504">
        <w:t>odn</w:t>
      </w:r>
      <w:r w:rsidRPr="005C0504">
        <w:t>iesieniu do niektórych aspektów minimalnego wymogu</w:t>
      </w:r>
      <w:r w:rsidR="005C0504" w:rsidRPr="005C0504">
        <w:t xml:space="preserve"> w</w:t>
      </w:r>
      <w:r w:rsidR="005C0504">
        <w:t> </w:t>
      </w:r>
      <w:r w:rsidR="005C0504" w:rsidRPr="005C0504">
        <w:t>zak</w:t>
      </w:r>
      <w:r w:rsidRPr="005C0504">
        <w:t>resie funduszy własnych</w:t>
      </w:r>
      <w:r w:rsidR="005C0504" w:rsidRPr="005C0504">
        <w:t xml:space="preserve"> i</w:t>
      </w:r>
      <w:r w:rsidR="005C0504">
        <w:t> </w:t>
      </w:r>
      <w:r w:rsidR="005C0504" w:rsidRPr="005C0504">
        <w:t>zob</w:t>
      </w:r>
      <w:r w:rsidRPr="005C0504">
        <w:t xml:space="preserve">owiązań kwalifikowalnych (Dz.U. L, 2024/1174, 22.4.2024, ELI: </w:t>
      </w:r>
      <w:hyperlink r:id="rId2" w:history="1">
        <w:r w:rsidRPr="005C0504">
          <w:rPr>
            <w:rStyle w:val="Hyperlink"/>
            <w:rFonts w:ascii="Times New Roman" w:hAnsi="Times New Roman"/>
          </w:rPr>
          <w:t>http://data.europa.eu/eli/dir/2024/1174/oj</w:t>
        </w:r>
      </w:hyperlink>
      <w:r w:rsidRPr="005C0504">
        <w:t xml:space="preserve">). </w:t>
      </w:r>
    </w:p>
  </w:footnote>
  <w:footnote w:id="4">
    <w:p w14:paraId="4D1953DF" w14:textId="39482847" w:rsidR="001F4496" w:rsidRPr="005C0504" w:rsidRDefault="001F4496">
      <w:pPr>
        <w:pStyle w:val="FootnoteText"/>
      </w:pPr>
      <w:r w:rsidRPr="005C0504">
        <w:rPr>
          <w:rStyle w:val="FootnoteReference"/>
        </w:rPr>
        <w:footnoteRef/>
      </w:r>
      <w:r w:rsidRPr="005C0504">
        <w:tab/>
        <w:t>Rozporządzenie wykonawcze Komisji (UE) 2021/622</w:t>
      </w:r>
      <w:r w:rsidR="005C0504" w:rsidRPr="005C0504">
        <w:t xml:space="preserve"> z</w:t>
      </w:r>
      <w:r w:rsidR="005C0504">
        <w:t> </w:t>
      </w:r>
      <w:r w:rsidR="005C0504" w:rsidRPr="005C0504">
        <w:t>dni</w:t>
      </w:r>
      <w:r w:rsidRPr="005C0504">
        <w:t>a 15 kwietnia 2021 r. ustanawiające do celów stosowania dyrektywy Parlamentu Europejskiego</w:t>
      </w:r>
      <w:r w:rsidR="005C0504" w:rsidRPr="005C0504">
        <w:t xml:space="preserve"> i</w:t>
      </w:r>
      <w:r w:rsidR="005C0504">
        <w:t> </w:t>
      </w:r>
      <w:r w:rsidR="005C0504" w:rsidRPr="005C0504">
        <w:t>Rad</w:t>
      </w:r>
      <w:r w:rsidRPr="005C0504">
        <w:t>y 2014/59/UE wykonawcze standardy techniczne</w:t>
      </w:r>
      <w:r w:rsidR="005C0504" w:rsidRPr="005C0504">
        <w:t xml:space="preserve"> w</w:t>
      </w:r>
      <w:r w:rsidR="005C0504">
        <w:t> </w:t>
      </w:r>
      <w:r w:rsidR="005C0504" w:rsidRPr="005C0504">
        <w:t>odn</w:t>
      </w:r>
      <w:r w:rsidRPr="005C0504">
        <w:t>iesieniu do jednolitych wzorów sprawozdań, instrukcji</w:t>
      </w:r>
      <w:r w:rsidR="005C0504" w:rsidRPr="005C0504">
        <w:t xml:space="preserve"> i</w:t>
      </w:r>
      <w:r w:rsidR="005C0504">
        <w:t> </w:t>
      </w:r>
      <w:r w:rsidR="005C0504" w:rsidRPr="005C0504">
        <w:t>met</w:t>
      </w:r>
      <w:r w:rsidRPr="005C0504">
        <w:t>ody na potrzeby przekazywania informacji</w:t>
      </w:r>
      <w:r w:rsidR="005C0504" w:rsidRPr="005C0504">
        <w:t xml:space="preserve"> o</w:t>
      </w:r>
      <w:r w:rsidR="005C0504">
        <w:t> </w:t>
      </w:r>
      <w:r w:rsidR="005C0504" w:rsidRPr="005C0504">
        <w:t>min</w:t>
      </w:r>
      <w:r w:rsidRPr="005C0504">
        <w:t>imalnym wymogu</w:t>
      </w:r>
      <w:r w:rsidR="005C0504" w:rsidRPr="005C0504">
        <w:t xml:space="preserve"> w</w:t>
      </w:r>
      <w:r w:rsidR="005C0504">
        <w:t> </w:t>
      </w:r>
      <w:r w:rsidR="005C0504" w:rsidRPr="005C0504">
        <w:t>zak</w:t>
      </w:r>
      <w:r w:rsidRPr="005C0504">
        <w:t>resie funduszy własnych</w:t>
      </w:r>
      <w:r w:rsidR="005C0504" w:rsidRPr="005C0504">
        <w:t xml:space="preserve"> i</w:t>
      </w:r>
      <w:r w:rsidR="005C0504">
        <w:t> </w:t>
      </w:r>
      <w:r w:rsidR="005C0504" w:rsidRPr="005C0504">
        <w:t>zob</w:t>
      </w:r>
      <w:r w:rsidRPr="005C0504">
        <w:t>owiązań kwalifikowalnych (Dz.U. L 131</w:t>
      </w:r>
      <w:r w:rsidR="005C0504" w:rsidRPr="005C0504">
        <w:t xml:space="preserve"> z</w:t>
      </w:r>
      <w:r w:rsidR="005C0504">
        <w:t> </w:t>
      </w:r>
      <w:r w:rsidR="005C0504" w:rsidRPr="005C0504">
        <w:t>1</w:t>
      </w:r>
      <w:r w:rsidRPr="005C0504">
        <w:t xml:space="preserve">6.4.2021, s. 123, ELI: </w:t>
      </w:r>
      <w:hyperlink r:id="rId3" w:history="1">
        <w:r w:rsidRPr="005C0504">
          <w:rPr>
            <w:rStyle w:val="Hyperlink"/>
            <w:rFonts w:ascii="Times New Roman" w:hAnsi="Times New Roman"/>
          </w:rPr>
          <w:t>http://data.europa.eu/eli/reg_impl/2021/622/oj</w:t>
        </w:r>
      </w:hyperlink>
      <w:r w:rsidRPr="005C0504">
        <w:t>).</w:t>
      </w:r>
    </w:p>
  </w:footnote>
  <w:footnote w:id="5">
    <w:p w14:paraId="5FB3833A" w14:textId="483D5460" w:rsidR="000B5B60" w:rsidRPr="005C0504" w:rsidRDefault="000B5B60">
      <w:pPr>
        <w:pStyle w:val="FootnoteText"/>
      </w:pPr>
      <w:r w:rsidRPr="005C0504">
        <w:rPr>
          <w:rStyle w:val="FootnoteReference"/>
        </w:rPr>
        <w:footnoteRef/>
      </w:r>
      <w:r w:rsidRPr="005C0504">
        <w:tab/>
        <w:t>Rozporządzenie wykonawcze Komisji (UE) 2021/763</w:t>
      </w:r>
      <w:r w:rsidR="005C0504" w:rsidRPr="005C0504">
        <w:t xml:space="preserve"> z</w:t>
      </w:r>
      <w:r w:rsidR="005C0504">
        <w:t> </w:t>
      </w:r>
      <w:r w:rsidR="005C0504" w:rsidRPr="005C0504">
        <w:t>dni</w:t>
      </w:r>
      <w:r w:rsidRPr="005C0504">
        <w:t>a 23 kwietnia 2021 r. ustanawiające wykonawcze standardy techniczne do celów stosowania rozporządzenia Parlamentu Europejskiego</w:t>
      </w:r>
      <w:r w:rsidR="005C0504" w:rsidRPr="005C0504">
        <w:t xml:space="preserve"> i</w:t>
      </w:r>
      <w:r w:rsidR="005C0504">
        <w:t> </w:t>
      </w:r>
      <w:r w:rsidR="005C0504" w:rsidRPr="005C0504">
        <w:t>Rad</w:t>
      </w:r>
      <w:r w:rsidRPr="005C0504">
        <w:t>y (UE) nr 575/2013</w:t>
      </w:r>
      <w:r w:rsidR="005C0504" w:rsidRPr="005C0504">
        <w:t xml:space="preserve"> i</w:t>
      </w:r>
      <w:r w:rsidR="005C0504">
        <w:t> </w:t>
      </w:r>
      <w:r w:rsidR="005C0504" w:rsidRPr="005C0504">
        <w:t>dyr</w:t>
      </w:r>
      <w:r w:rsidRPr="005C0504">
        <w:t>ektywy Parlamentu Europejskiego</w:t>
      </w:r>
      <w:r w:rsidR="005C0504" w:rsidRPr="005C0504">
        <w:t xml:space="preserve"> i</w:t>
      </w:r>
      <w:r w:rsidR="005C0504">
        <w:t> </w:t>
      </w:r>
      <w:r w:rsidR="005C0504" w:rsidRPr="005C0504">
        <w:t>Rad</w:t>
      </w:r>
      <w:r w:rsidRPr="005C0504">
        <w:t>y 2014/59/UE</w:t>
      </w:r>
      <w:r w:rsidR="005C0504" w:rsidRPr="005C0504">
        <w:t xml:space="preserve"> w</w:t>
      </w:r>
      <w:r w:rsidR="005C0504">
        <w:t> </w:t>
      </w:r>
      <w:r w:rsidR="005C0504" w:rsidRPr="005C0504">
        <w:t>odn</w:t>
      </w:r>
      <w:r w:rsidRPr="005C0504">
        <w:t>iesieniu do sprawozdawczości nadzorczej</w:t>
      </w:r>
      <w:r w:rsidR="005C0504" w:rsidRPr="005C0504">
        <w:t xml:space="preserve"> w</w:t>
      </w:r>
      <w:r w:rsidR="005C0504">
        <w:t> </w:t>
      </w:r>
      <w:r w:rsidR="005C0504" w:rsidRPr="005C0504">
        <w:t>obs</w:t>
      </w:r>
      <w:r w:rsidRPr="005C0504">
        <w:t>zarze minimalnego wymogu</w:t>
      </w:r>
      <w:r w:rsidR="005C0504" w:rsidRPr="005C0504">
        <w:t xml:space="preserve"> w</w:t>
      </w:r>
      <w:r w:rsidR="005C0504">
        <w:t> </w:t>
      </w:r>
      <w:r w:rsidR="005C0504" w:rsidRPr="005C0504">
        <w:t>zak</w:t>
      </w:r>
      <w:r w:rsidRPr="005C0504">
        <w:t>resie funduszy własnych</w:t>
      </w:r>
      <w:r w:rsidR="005C0504" w:rsidRPr="005C0504">
        <w:t xml:space="preserve"> i</w:t>
      </w:r>
      <w:r w:rsidR="005C0504">
        <w:t> </w:t>
      </w:r>
      <w:r w:rsidR="005C0504" w:rsidRPr="005C0504">
        <w:t>zob</w:t>
      </w:r>
      <w:r w:rsidRPr="005C0504">
        <w:t>owiązań kwalifikowalnych oraz podawania tego wymogu do wiadomości publicznej (Dz.U. L 168</w:t>
      </w:r>
      <w:r w:rsidR="005C0504" w:rsidRPr="005C0504">
        <w:t xml:space="preserve"> z</w:t>
      </w:r>
      <w:r w:rsidR="005C0504">
        <w:t> </w:t>
      </w:r>
      <w:r w:rsidR="005C0504" w:rsidRPr="005C0504">
        <w:t>1</w:t>
      </w:r>
      <w:r w:rsidRPr="005C0504">
        <w:t xml:space="preserve">2.5.2021, s. 1, ELI: </w:t>
      </w:r>
      <w:hyperlink r:id="rId4" w:history="1">
        <w:r w:rsidRPr="005C0504">
          <w:rPr>
            <w:rStyle w:val="Hyperlink"/>
            <w:rFonts w:ascii="Times New Roman" w:hAnsi="Times New Roman"/>
          </w:rPr>
          <w:t>http://data.europa.eu/eli/reg_impl/2021/763/oj</w:t>
        </w:r>
      </w:hyperlink>
      <w:r w:rsidRPr="005C0504">
        <w:t>).</w:t>
      </w:r>
    </w:p>
  </w:footnote>
  <w:footnote w:id="6">
    <w:p w14:paraId="04BE3385" w14:textId="0BCD1F3B" w:rsidR="00401F3A" w:rsidRPr="005C0504" w:rsidRDefault="00401F3A" w:rsidP="00F35BD7">
      <w:pPr>
        <w:pStyle w:val="FootnoteText"/>
      </w:pPr>
      <w:r w:rsidRPr="005C0504">
        <w:rPr>
          <w:rStyle w:val="FootnoteReference"/>
        </w:rPr>
        <w:footnoteRef/>
      </w:r>
      <w:r w:rsidRPr="005C0504">
        <w:tab/>
        <w:t>Rozporządzenie Parlamentu Europejskiego</w:t>
      </w:r>
      <w:r w:rsidR="005C0504" w:rsidRPr="005C0504">
        <w:t xml:space="preserve"> i</w:t>
      </w:r>
      <w:r w:rsidR="005C0504">
        <w:t> </w:t>
      </w:r>
      <w:r w:rsidR="005C0504" w:rsidRPr="005C0504">
        <w:t>Rad</w:t>
      </w:r>
      <w:r w:rsidRPr="005C0504">
        <w:t>y (UE) nr</w:t>
      </w:r>
      <w:r w:rsidR="005C0504" w:rsidRPr="005C0504">
        <w:t> </w:t>
      </w:r>
      <w:r w:rsidRPr="005C0504">
        <w:t>1093/2010</w:t>
      </w:r>
      <w:r w:rsidR="005C0504" w:rsidRPr="005C0504">
        <w:t xml:space="preserve"> z</w:t>
      </w:r>
      <w:r w:rsidR="005C0504">
        <w:t> </w:t>
      </w:r>
      <w:r w:rsidR="005C0504" w:rsidRPr="005C0504">
        <w:t>dni</w:t>
      </w:r>
      <w:r w:rsidRPr="005C0504">
        <w:t>a 24 listopada 2010</w:t>
      </w:r>
      <w:r w:rsidR="005C0504" w:rsidRPr="005C0504">
        <w:t> </w:t>
      </w:r>
      <w:r w:rsidRPr="005C0504">
        <w:t>r.</w:t>
      </w:r>
      <w:r w:rsidR="005C0504" w:rsidRPr="005C0504">
        <w:t xml:space="preserve"> w</w:t>
      </w:r>
      <w:r w:rsidR="005C0504">
        <w:t> </w:t>
      </w:r>
      <w:r w:rsidR="005C0504" w:rsidRPr="005C0504">
        <w:t>spr</w:t>
      </w:r>
      <w:r w:rsidRPr="005C0504">
        <w:t>awie ustanowienia Europejskiego Urzędu Nadzoru (Europejskiego Urzędu Nadzoru Bankowego), zmiany decyzji nr</w:t>
      </w:r>
      <w:r w:rsidR="005C0504" w:rsidRPr="005C0504">
        <w:t> </w:t>
      </w:r>
      <w:r w:rsidRPr="005C0504">
        <w:t>716/2009/WE oraz uchylenia decyzji Komisji 2009/78/WE (Dz.U. L 331</w:t>
      </w:r>
      <w:r w:rsidR="005C0504" w:rsidRPr="005C0504">
        <w:t xml:space="preserve"> z</w:t>
      </w:r>
      <w:r w:rsidR="005C0504">
        <w:t> </w:t>
      </w:r>
      <w:r w:rsidR="005C0504" w:rsidRPr="005C0504">
        <w:t>1</w:t>
      </w:r>
      <w:r w:rsidRPr="005C0504">
        <w:t>5.12.2010, s. 12, ELI: </w:t>
      </w:r>
      <w:hyperlink r:id="rId5" w:tooltip="Dostęp do dokumentu poprzez identyfikator URI w systemie ELI." w:history="1">
        <w:r w:rsidRPr="005C0504">
          <w:rPr>
            <w:rStyle w:val="Hyperlink"/>
            <w:rFonts w:ascii="Times New Roman" w:hAnsi="Times New Roman"/>
          </w:rPr>
          <w:t>http://data.europa.eu/eli/reg/2010/1093/oj</w:t>
        </w:r>
      </w:hyperlink>
      <w:r w:rsidRPr="005C0504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7114" w14:textId="77777777" w:rsidR="005C0504" w:rsidRPr="005C0504" w:rsidRDefault="005C0504" w:rsidP="005C0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76BF" w14:textId="77777777" w:rsidR="005C0504" w:rsidRPr="005C0504" w:rsidRDefault="005C0504" w:rsidP="005C05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AB43" w14:textId="77777777" w:rsidR="005C0504" w:rsidRPr="005C0504" w:rsidRDefault="005C0504" w:rsidP="005C05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C1D2" w14:textId="77777777" w:rsidR="000C320E" w:rsidRDefault="000C32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10A3" w14:textId="77777777" w:rsidR="000C320E" w:rsidRDefault="000C3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1B8BE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E568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CAC29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25511920">
    <w:abstractNumId w:val="3"/>
  </w:num>
  <w:num w:numId="2" w16cid:durableId="784347441">
    <w:abstractNumId w:val="18"/>
    <w:lvlOverride w:ilvl="0">
      <w:startOverride w:val="1"/>
    </w:lvlOverride>
  </w:num>
  <w:num w:numId="3" w16cid:durableId="2119445392">
    <w:abstractNumId w:val="2"/>
  </w:num>
  <w:num w:numId="4" w16cid:durableId="1881360427">
    <w:abstractNumId w:val="1"/>
  </w:num>
  <w:num w:numId="5" w16cid:durableId="309334442">
    <w:abstractNumId w:val="0"/>
  </w:num>
  <w:num w:numId="6" w16cid:durableId="2089693441">
    <w:abstractNumId w:val="15"/>
  </w:num>
  <w:num w:numId="7" w16cid:durableId="1693998065">
    <w:abstractNumId w:val="8"/>
  </w:num>
  <w:num w:numId="8" w16cid:durableId="788817884">
    <w:abstractNumId w:val="17"/>
  </w:num>
  <w:num w:numId="9" w16cid:durableId="1535464848">
    <w:abstractNumId w:val="7"/>
  </w:num>
  <w:num w:numId="10" w16cid:durableId="639657071">
    <w:abstractNumId w:val="9"/>
  </w:num>
  <w:num w:numId="11" w16cid:durableId="361050661">
    <w:abstractNumId w:val="10"/>
  </w:num>
  <w:num w:numId="12" w16cid:durableId="472790552">
    <w:abstractNumId w:val="5"/>
  </w:num>
  <w:num w:numId="13" w16cid:durableId="384646725">
    <w:abstractNumId w:val="16"/>
  </w:num>
  <w:num w:numId="14" w16cid:durableId="2031682509">
    <w:abstractNumId w:val="4"/>
  </w:num>
  <w:num w:numId="15" w16cid:durableId="150604668">
    <w:abstractNumId w:val="11"/>
  </w:num>
  <w:num w:numId="16" w16cid:durableId="472332852">
    <w:abstractNumId w:val="13"/>
  </w:num>
  <w:num w:numId="17" w16cid:durableId="1298296966">
    <w:abstractNumId w:val="14"/>
  </w:num>
  <w:num w:numId="18" w16cid:durableId="1306230484">
    <w:abstractNumId w:val="6"/>
  </w:num>
  <w:num w:numId="19" w16cid:durableId="24066917">
    <w:abstractNumId w:val="12"/>
  </w:num>
  <w:num w:numId="20" w16cid:durableId="48543658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QCDateTime" w:val="2026-02-02 11:39:51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79A6B07F-D3CB-4DE0-8B1C-54747EB0B128"/>
    <w:docVar w:name="LW_COVERPAGE_TYPE" w:val="1"/>
    <w:docVar w:name="LW_CreatedUtc" w:val="2025-09-04T16:00:38.0896335Z"/>
    <w:docVar w:name="LW_CROSSREFERENCE" w:val="&lt;UNUSED&gt;"/>
    <w:docVar w:name="LW_DATE.ADOPT.CP" w:val="z dnia XXX r."/>
    <w:docVar w:name="LW_DATE.ADOPT.CP_DATEFORMAT" w:val="z dnia %DATE% r.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ksela, dnia "/>
    <w:docVar w:name="LW_EMISSION_SUFFIX" w:val=" r.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kst maj\u261?cy znaczenie dla EOG)"/>
    <w:docVar w:name="LW_LANGUE" w:val="PL"/>
    <w:docVar w:name="LW_LANGUESFAISANTFOI.CP" w:val="&lt;UNUSED&gt;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6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zmieniaj\u261?ce wykonawcze standardy techniczne ustanowione w rozporz\u261?dzeniu wykonawczym (UE) 2021/622 w odniesieniu do cz\u281?stotliwo\u347?ci sprawozdawczo\u347?ci oraz przekazywanych informacji"/>
    <w:docVar w:name="LW_TYPE.DOC.CP" w:val="ROZPORZ\u260?DZENIE WYKONAWCZE KOMISJI (UE) \u8230?/\u8230?"/>
  </w:docVars>
  <w:rsids>
    <w:rsidRoot w:val="00C16484"/>
    <w:rsid w:val="00000BE0"/>
    <w:rsid w:val="00016399"/>
    <w:rsid w:val="000417C4"/>
    <w:rsid w:val="00045B9F"/>
    <w:rsid w:val="000625FB"/>
    <w:rsid w:val="00075947"/>
    <w:rsid w:val="000A663E"/>
    <w:rsid w:val="000B5B60"/>
    <w:rsid w:val="000B7A7D"/>
    <w:rsid w:val="000C320E"/>
    <w:rsid w:val="000D3BC2"/>
    <w:rsid w:val="000E5499"/>
    <w:rsid w:val="00115188"/>
    <w:rsid w:val="001151E7"/>
    <w:rsid w:val="00125199"/>
    <w:rsid w:val="0013305B"/>
    <w:rsid w:val="00134BF7"/>
    <w:rsid w:val="00143ED4"/>
    <w:rsid w:val="00152894"/>
    <w:rsid w:val="0017762B"/>
    <w:rsid w:val="0018141D"/>
    <w:rsid w:val="001A25E7"/>
    <w:rsid w:val="001A6BDC"/>
    <w:rsid w:val="001E3098"/>
    <w:rsid w:val="001E39BF"/>
    <w:rsid w:val="001F2AC0"/>
    <w:rsid w:val="001F4496"/>
    <w:rsid w:val="00214607"/>
    <w:rsid w:val="002259CF"/>
    <w:rsid w:val="002266B1"/>
    <w:rsid w:val="00235A60"/>
    <w:rsid w:val="00244085"/>
    <w:rsid w:val="00244C17"/>
    <w:rsid w:val="00244DFD"/>
    <w:rsid w:val="00246E59"/>
    <w:rsid w:val="00264589"/>
    <w:rsid w:val="0029415E"/>
    <w:rsid w:val="002A1A39"/>
    <w:rsid w:val="002A43D8"/>
    <w:rsid w:val="002A753D"/>
    <w:rsid w:val="002B37B6"/>
    <w:rsid w:val="002D6B17"/>
    <w:rsid w:val="002F1710"/>
    <w:rsid w:val="0030490D"/>
    <w:rsid w:val="00313AC1"/>
    <w:rsid w:val="00325B37"/>
    <w:rsid w:val="00331377"/>
    <w:rsid w:val="003428AE"/>
    <w:rsid w:val="00353536"/>
    <w:rsid w:val="00364262"/>
    <w:rsid w:val="00373FC4"/>
    <w:rsid w:val="0038290C"/>
    <w:rsid w:val="003838B9"/>
    <w:rsid w:val="00396ACD"/>
    <w:rsid w:val="003B10ED"/>
    <w:rsid w:val="003B292A"/>
    <w:rsid w:val="003E05B8"/>
    <w:rsid w:val="003E3FC7"/>
    <w:rsid w:val="003E7D8F"/>
    <w:rsid w:val="003F2A70"/>
    <w:rsid w:val="00401F3A"/>
    <w:rsid w:val="00406CBA"/>
    <w:rsid w:val="004138D9"/>
    <w:rsid w:val="004211F5"/>
    <w:rsid w:val="0042702A"/>
    <w:rsid w:val="00437AA5"/>
    <w:rsid w:val="004518ED"/>
    <w:rsid w:val="00485F6A"/>
    <w:rsid w:val="004918DE"/>
    <w:rsid w:val="00492396"/>
    <w:rsid w:val="004B4C38"/>
    <w:rsid w:val="004D7D54"/>
    <w:rsid w:val="004E19F9"/>
    <w:rsid w:val="004E763F"/>
    <w:rsid w:val="004F04FA"/>
    <w:rsid w:val="004F588A"/>
    <w:rsid w:val="004F6513"/>
    <w:rsid w:val="00506B49"/>
    <w:rsid w:val="00507FF2"/>
    <w:rsid w:val="00517205"/>
    <w:rsid w:val="0052508D"/>
    <w:rsid w:val="00534D3A"/>
    <w:rsid w:val="0054013D"/>
    <w:rsid w:val="00542487"/>
    <w:rsid w:val="00557EAF"/>
    <w:rsid w:val="00582810"/>
    <w:rsid w:val="0058683E"/>
    <w:rsid w:val="005929F6"/>
    <w:rsid w:val="00593EEC"/>
    <w:rsid w:val="00595540"/>
    <w:rsid w:val="005A5382"/>
    <w:rsid w:val="005A55F3"/>
    <w:rsid w:val="005B5FA6"/>
    <w:rsid w:val="005C0504"/>
    <w:rsid w:val="005C1F43"/>
    <w:rsid w:val="005D1478"/>
    <w:rsid w:val="005D2C73"/>
    <w:rsid w:val="005D6AA6"/>
    <w:rsid w:val="005E2634"/>
    <w:rsid w:val="005F2B9A"/>
    <w:rsid w:val="00603E01"/>
    <w:rsid w:val="0061453F"/>
    <w:rsid w:val="00642760"/>
    <w:rsid w:val="00643DEF"/>
    <w:rsid w:val="006442F5"/>
    <w:rsid w:val="006654AB"/>
    <w:rsid w:val="00667F1D"/>
    <w:rsid w:val="006700C7"/>
    <w:rsid w:val="00685D33"/>
    <w:rsid w:val="006D3FD5"/>
    <w:rsid w:val="006D6949"/>
    <w:rsid w:val="006F20E7"/>
    <w:rsid w:val="006F7EFE"/>
    <w:rsid w:val="007142D9"/>
    <w:rsid w:val="00752552"/>
    <w:rsid w:val="007638EF"/>
    <w:rsid w:val="00763F6E"/>
    <w:rsid w:val="00781585"/>
    <w:rsid w:val="00783A3B"/>
    <w:rsid w:val="007878CB"/>
    <w:rsid w:val="00787E7C"/>
    <w:rsid w:val="0079599D"/>
    <w:rsid w:val="007A7287"/>
    <w:rsid w:val="007D0861"/>
    <w:rsid w:val="007D2EFF"/>
    <w:rsid w:val="007D3D95"/>
    <w:rsid w:val="007E010B"/>
    <w:rsid w:val="007E4474"/>
    <w:rsid w:val="007F5C7C"/>
    <w:rsid w:val="00801EB4"/>
    <w:rsid w:val="00802FC2"/>
    <w:rsid w:val="00817121"/>
    <w:rsid w:val="00830365"/>
    <w:rsid w:val="00833B73"/>
    <w:rsid w:val="00843817"/>
    <w:rsid w:val="008460B7"/>
    <w:rsid w:val="00847915"/>
    <w:rsid w:val="008601F7"/>
    <w:rsid w:val="00861270"/>
    <w:rsid w:val="00874305"/>
    <w:rsid w:val="00880A77"/>
    <w:rsid w:val="00897749"/>
    <w:rsid w:val="008A3F6C"/>
    <w:rsid w:val="008B07C8"/>
    <w:rsid w:val="008B3C68"/>
    <w:rsid w:val="008B6AF9"/>
    <w:rsid w:val="008D3EC5"/>
    <w:rsid w:val="008D4062"/>
    <w:rsid w:val="008E2694"/>
    <w:rsid w:val="008E2E76"/>
    <w:rsid w:val="008F234A"/>
    <w:rsid w:val="00902ADE"/>
    <w:rsid w:val="00910118"/>
    <w:rsid w:val="00917A1D"/>
    <w:rsid w:val="00921AA4"/>
    <w:rsid w:val="00940731"/>
    <w:rsid w:val="009430FB"/>
    <w:rsid w:val="00943538"/>
    <w:rsid w:val="009526D5"/>
    <w:rsid w:val="0095347B"/>
    <w:rsid w:val="00962953"/>
    <w:rsid w:val="00964D55"/>
    <w:rsid w:val="00980CC9"/>
    <w:rsid w:val="009957C5"/>
    <w:rsid w:val="009A4095"/>
    <w:rsid w:val="009B0295"/>
    <w:rsid w:val="009C1E02"/>
    <w:rsid w:val="009D2368"/>
    <w:rsid w:val="009D5F8B"/>
    <w:rsid w:val="009F3A7A"/>
    <w:rsid w:val="00A03DA8"/>
    <w:rsid w:val="00A05FAB"/>
    <w:rsid w:val="00A14736"/>
    <w:rsid w:val="00A215FB"/>
    <w:rsid w:val="00A24E3D"/>
    <w:rsid w:val="00A37D2E"/>
    <w:rsid w:val="00A4162C"/>
    <w:rsid w:val="00A41677"/>
    <w:rsid w:val="00A54A8C"/>
    <w:rsid w:val="00A564DC"/>
    <w:rsid w:val="00A565C7"/>
    <w:rsid w:val="00A719DF"/>
    <w:rsid w:val="00A7647B"/>
    <w:rsid w:val="00AA038B"/>
    <w:rsid w:val="00AB034D"/>
    <w:rsid w:val="00AC6B16"/>
    <w:rsid w:val="00AD5257"/>
    <w:rsid w:val="00AE2029"/>
    <w:rsid w:val="00AE4482"/>
    <w:rsid w:val="00B01072"/>
    <w:rsid w:val="00B02269"/>
    <w:rsid w:val="00B136EC"/>
    <w:rsid w:val="00B14B01"/>
    <w:rsid w:val="00B43EBD"/>
    <w:rsid w:val="00B65FB3"/>
    <w:rsid w:val="00B66E09"/>
    <w:rsid w:val="00B95D78"/>
    <w:rsid w:val="00B97308"/>
    <w:rsid w:val="00BB3BE5"/>
    <w:rsid w:val="00BB3BEC"/>
    <w:rsid w:val="00BD02BB"/>
    <w:rsid w:val="00BD3885"/>
    <w:rsid w:val="00BD66E4"/>
    <w:rsid w:val="00BE64F5"/>
    <w:rsid w:val="00C059B6"/>
    <w:rsid w:val="00C10CA6"/>
    <w:rsid w:val="00C11798"/>
    <w:rsid w:val="00C16484"/>
    <w:rsid w:val="00C21AB2"/>
    <w:rsid w:val="00C27976"/>
    <w:rsid w:val="00C3731F"/>
    <w:rsid w:val="00C62388"/>
    <w:rsid w:val="00C63550"/>
    <w:rsid w:val="00C637B0"/>
    <w:rsid w:val="00C64CCC"/>
    <w:rsid w:val="00C87FB3"/>
    <w:rsid w:val="00C9384A"/>
    <w:rsid w:val="00C9629C"/>
    <w:rsid w:val="00C96395"/>
    <w:rsid w:val="00C96A56"/>
    <w:rsid w:val="00CA156D"/>
    <w:rsid w:val="00CA57DA"/>
    <w:rsid w:val="00CA7FE1"/>
    <w:rsid w:val="00CC58EB"/>
    <w:rsid w:val="00CE1382"/>
    <w:rsid w:val="00CF639B"/>
    <w:rsid w:val="00D02FAD"/>
    <w:rsid w:val="00D0530E"/>
    <w:rsid w:val="00D05DED"/>
    <w:rsid w:val="00D206AC"/>
    <w:rsid w:val="00D47F83"/>
    <w:rsid w:val="00D5454C"/>
    <w:rsid w:val="00D55CE9"/>
    <w:rsid w:val="00D564F7"/>
    <w:rsid w:val="00D72038"/>
    <w:rsid w:val="00D763BC"/>
    <w:rsid w:val="00D872A1"/>
    <w:rsid w:val="00D93F2F"/>
    <w:rsid w:val="00D966E8"/>
    <w:rsid w:val="00DB4B20"/>
    <w:rsid w:val="00DC3AD5"/>
    <w:rsid w:val="00DC5E29"/>
    <w:rsid w:val="00DD4285"/>
    <w:rsid w:val="00DF1FB9"/>
    <w:rsid w:val="00DF36A6"/>
    <w:rsid w:val="00E07235"/>
    <w:rsid w:val="00E23B80"/>
    <w:rsid w:val="00E25A5F"/>
    <w:rsid w:val="00E32BAC"/>
    <w:rsid w:val="00E33C9F"/>
    <w:rsid w:val="00E36D1F"/>
    <w:rsid w:val="00E42E7E"/>
    <w:rsid w:val="00E43152"/>
    <w:rsid w:val="00E47F98"/>
    <w:rsid w:val="00E50E5B"/>
    <w:rsid w:val="00E667BA"/>
    <w:rsid w:val="00E7044F"/>
    <w:rsid w:val="00E82B0B"/>
    <w:rsid w:val="00E873DD"/>
    <w:rsid w:val="00E932C3"/>
    <w:rsid w:val="00E979AB"/>
    <w:rsid w:val="00EA76A7"/>
    <w:rsid w:val="00EB3279"/>
    <w:rsid w:val="00EC332E"/>
    <w:rsid w:val="00EC39BC"/>
    <w:rsid w:val="00EE0749"/>
    <w:rsid w:val="00EE140B"/>
    <w:rsid w:val="00EE441C"/>
    <w:rsid w:val="00EE54B9"/>
    <w:rsid w:val="00F07F26"/>
    <w:rsid w:val="00F35BD7"/>
    <w:rsid w:val="00F36982"/>
    <w:rsid w:val="00F41DDB"/>
    <w:rsid w:val="00F629AC"/>
    <w:rsid w:val="00F9249D"/>
    <w:rsid w:val="00F95ED9"/>
    <w:rsid w:val="00FA0BAF"/>
    <w:rsid w:val="00FA382E"/>
    <w:rsid w:val="00FA715C"/>
    <w:rsid w:val="00FB22DB"/>
    <w:rsid w:val="00FC2396"/>
    <w:rsid w:val="00FC5252"/>
    <w:rsid w:val="00FD060F"/>
    <w:rsid w:val="00FD1723"/>
    <w:rsid w:val="00FD5032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8EC4F20"/>
  <w15:docId w15:val="{EDD646E4-8E0C-487A-842A-DA74770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3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3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3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3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C16484"/>
    <w:pPr>
      <w:numPr>
        <w:numId w:val="1"/>
      </w:numPr>
      <w:tabs>
        <w:tab w:val="clear" w:pos="360"/>
      </w:tabs>
      <w:ind w:left="0" w:firstLine="0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rsid w:val="00C16484"/>
    <w:rPr>
      <w:rFonts w:asciiTheme="majorHAnsi" w:hAnsiTheme="majorHAnsi"/>
      <w:color w:val="F79646" w:themeColor="accent6"/>
      <w:u w:val="single"/>
    </w:rPr>
  </w:style>
  <w:style w:type="numbering" w:customStyle="1" w:styleId="LFO29">
    <w:name w:val="LFO29"/>
    <w:basedOn w:val="NoList"/>
    <w:rsid w:val="00C16484"/>
  </w:style>
  <w:style w:type="paragraph" w:styleId="ListBullet2">
    <w:name w:val="List Bullet 2"/>
    <w:basedOn w:val="Normal"/>
    <w:uiPriority w:val="99"/>
    <w:semiHidden/>
    <w:unhideWhenUsed/>
    <w:rsid w:val="00F9249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249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249D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3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pl-PL"/>
    </w:rPr>
  </w:style>
  <w:style w:type="paragraph" w:styleId="Revision">
    <w:name w:val="Revision"/>
    <w:hidden/>
    <w:uiPriority w:val="99"/>
    <w:semiHidden/>
    <w:rsid w:val="005929F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FE1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NormalWeb">
    <w:name w:val="Normal (Web)"/>
    <w:basedOn w:val="Normal"/>
    <w:uiPriority w:val="99"/>
    <w:semiHidden/>
    <w:unhideWhenUsed/>
    <w:rsid w:val="00373FC4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3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pl-PL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6"/>
      </w:numPr>
    </w:pPr>
  </w:style>
  <w:style w:type="paragraph" w:customStyle="1" w:styleId="Tiret1">
    <w:name w:val="Tiret 1"/>
    <w:basedOn w:val="Point1"/>
    <w:pPr>
      <w:numPr>
        <w:numId w:val="7"/>
      </w:numPr>
    </w:pPr>
  </w:style>
  <w:style w:type="paragraph" w:customStyle="1" w:styleId="Tiret2">
    <w:name w:val="Tiret 2"/>
    <w:basedOn w:val="Point2"/>
    <w:pPr>
      <w:numPr>
        <w:numId w:val="8"/>
      </w:numPr>
    </w:pPr>
  </w:style>
  <w:style w:type="paragraph" w:customStyle="1" w:styleId="Tiret3">
    <w:name w:val="Tiret 3"/>
    <w:basedOn w:val="Point3"/>
    <w:pPr>
      <w:numPr>
        <w:numId w:val="9"/>
      </w:numPr>
    </w:pPr>
  </w:style>
  <w:style w:type="paragraph" w:customStyle="1" w:styleId="Tiret4">
    <w:name w:val="Tiret 4"/>
    <w:basedOn w:val="Point4"/>
    <w:pPr>
      <w:numPr>
        <w:numId w:val="10"/>
      </w:numPr>
    </w:pPr>
  </w:style>
  <w:style w:type="paragraph" w:customStyle="1" w:styleId="Tiret5">
    <w:name w:val="Tiret 5"/>
    <w:basedOn w:val="Point5"/>
    <w:pPr>
      <w:numPr>
        <w:numId w:val="1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2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2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2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4"/>
      </w:numPr>
    </w:pPr>
  </w:style>
  <w:style w:type="paragraph" w:customStyle="1" w:styleId="Point1number">
    <w:name w:val="Point 1 (number)"/>
    <w:basedOn w:val="Normal"/>
    <w:pPr>
      <w:numPr>
        <w:ilvl w:val="2"/>
        <w:numId w:val="14"/>
      </w:numPr>
    </w:pPr>
  </w:style>
  <w:style w:type="paragraph" w:customStyle="1" w:styleId="Point2number">
    <w:name w:val="Point 2 (number)"/>
    <w:basedOn w:val="Normal"/>
    <w:pPr>
      <w:numPr>
        <w:ilvl w:val="4"/>
        <w:numId w:val="14"/>
      </w:numPr>
    </w:pPr>
  </w:style>
  <w:style w:type="paragraph" w:customStyle="1" w:styleId="Point3number">
    <w:name w:val="Point 3 (number)"/>
    <w:basedOn w:val="Normal"/>
    <w:pPr>
      <w:numPr>
        <w:ilvl w:val="6"/>
        <w:numId w:val="14"/>
      </w:numPr>
    </w:pPr>
  </w:style>
  <w:style w:type="paragraph" w:customStyle="1" w:styleId="Point0letter">
    <w:name w:val="Point 0 (letter)"/>
    <w:basedOn w:val="Normal"/>
    <w:pPr>
      <w:numPr>
        <w:ilvl w:val="1"/>
        <w:numId w:val="14"/>
      </w:numPr>
    </w:pPr>
  </w:style>
  <w:style w:type="paragraph" w:customStyle="1" w:styleId="Point1letter">
    <w:name w:val="Point 1 (letter)"/>
    <w:basedOn w:val="Normal"/>
    <w:pPr>
      <w:numPr>
        <w:ilvl w:val="3"/>
        <w:numId w:val="14"/>
      </w:numPr>
    </w:pPr>
  </w:style>
  <w:style w:type="paragraph" w:customStyle="1" w:styleId="Point2letter">
    <w:name w:val="Point 2 (letter)"/>
    <w:basedOn w:val="Normal"/>
    <w:pPr>
      <w:numPr>
        <w:ilvl w:val="5"/>
        <w:numId w:val="14"/>
      </w:numPr>
    </w:pPr>
  </w:style>
  <w:style w:type="paragraph" w:customStyle="1" w:styleId="Point3letter">
    <w:name w:val="Point 3 (letter)"/>
    <w:basedOn w:val="Normal"/>
    <w:pPr>
      <w:numPr>
        <w:ilvl w:val="7"/>
        <w:numId w:val="14"/>
      </w:numPr>
    </w:pPr>
  </w:style>
  <w:style w:type="paragraph" w:customStyle="1" w:styleId="Point4letter">
    <w:name w:val="Point 4 (letter)"/>
    <w:basedOn w:val="Normal"/>
    <w:pPr>
      <w:numPr>
        <w:ilvl w:val="8"/>
        <w:numId w:val="14"/>
      </w:numPr>
    </w:pPr>
  </w:style>
  <w:style w:type="paragraph" w:customStyle="1" w:styleId="Bullet0">
    <w:name w:val="Bullet 0"/>
    <w:basedOn w:val="Normal"/>
    <w:pPr>
      <w:numPr>
        <w:numId w:val="15"/>
      </w:numPr>
    </w:pPr>
  </w:style>
  <w:style w:type="paragraph" w:customStyle="1" w:styleId="Bullet1">
    <w:name w:val="Bullet 1"/>
    <w:basedOn w:val="Normal"/>
    <w:pPr>
      <w:numPr>
        <w:numId w:val="16"/>
      </w:numPr>
    </w:pPr>
  </w:style>
  <w:style w:type="paragraph" w:customStyle="1" w:styleId="Bullet2">
    <w:name w:val="Bullet 2"/>
    <w:basedOn w:val="Normal"/>
    <w:pPr>
      <w:numPr>
        <w:numId w:val="17"/>
      </w:numPr>
    </w:pPr>
  </w:style>
  <w:style w:type="paragraph" w:customStyle="1" w:styleId="Bullet3">
    <w:name w:val="Bullet 3"/>
    <w:basedOn w:val="Normal"/>
    <w:pPr>
      <w:numPr>
        <w:numId w:val="18"/>
      </w:numPr>
    </w:pPr>
  </w:style>
  <w:style w:type="paragraph" w:customStyle="1" w:styleId="Bullet4">
    <w:name w:val="Bullet 4"/>
    <w:basedOn w:val="Normal"/>
    <w:pPr>
      <w:numPr>
        <w:numId w:val="1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europa.eu/eli/reg_impl/2021/622/oj" TargetMode="External"/><Relationship Id="rId2" Type="http://schemas.openxmlformats.org/officeDocument/2006/relationships/hyperlink" Target="http://data.europa.eu/eli/dir/2024/1174/oj" TargetMode="External"/><Relationship Id="rId1" Type="http://schemas.openxmlformats.org/officeDocument/2006/relationships/hyperlink" Target="http://data.europa.eu/eli/dir/2014/59/oj" TargetMode="External"/><Relationship Id="rId5" Type="http://schemas.openxmlformats.org/officeDocument/2006/relationships/hyperlink" Target="http://data.europa.eu/eli/reg/2010/1093/oj" TargetMode="External"/><Relationship Id="rId4" Type="http://schemas.openxmlformats.org/officeDocument/2006/relationships/hyperlink" Target="http://data.europa.eu/eli/reg_impl/2021/763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144c03d0-0f03-451f-9d46-5279004462a4" xsi:nil="true"/>
    <EC_Collab_Status xmlns="144c03d0-0f03-451f-9d46-5279004462a4">Not Started</EC_Collab_Status>
    <_Status xmlns="http://schemas.microsoft.com/sharepoint/v3/fields">Not Started</_Status>
    <EC_Collab_DocumentLanguage xmlns="144c03d0-0f03-451f-9d46-5279004462a4">EN</EC_Collab_DocumentLanguage>
    <lcf76f155ced4ddcb4097134ff3c332f xmlns="f7bb8512-91eb-4bfd-be42-d6f021407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144c03d0-0f03-451f-9d46-5279004462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BAD999D84E12C74482EA5120F5227F6F00217DECAAC21D6B43958DFE68658C192E" ma:contentTypeVersion="27" ma:contentTypeDescription="Create a new document in this library." ma:contentTypeScope="" ma:versionID="b8f93157aac40d6a7319473491243df0">
  <xsd:schema xmlns:xsd="http://www.w3.org/2001/XMLSchema" xmlns:xs="http://www.w3.org/2001/XMLSchema" xmlns:p="http://schemas.microsoft.com/office/2006/metadata/properties" xmlns:ns2="http://schemas.microsoft.com/sharepoint/v3/fields" xmlns:ns3="144c03d0-0f03-451f-9d46-5279004462a4" xmlns:ns4="f7bb8512-91eb-4bfd-be42-d6f021407e9a" targetNamespace="http://schemas.microsoft.com/office/2006/metadata/properties" ma:root="true" ma:fieldsID="c8488e7b63ff9a6a107f3024ce322df4" ns2:_="" ns3:_="" ns4:_="">
    <xsd:import namespace="http://schemas.microsoft.com/sharepoint/v3/fields"/>
    <xsd:import namespace="144c03d0-0f03-451f-9d46-5279004462a4"/>
    <xsd:import namespace="f7bb8512-91eb-4bfd-be42-d6f021407e9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SharedWithUsers" minOccurs="0"/>
                <xsd:element ref="ns3:SharedWithDetails" minOccurs="0"/>
                <xsd:element ref="ns3:EC_Collab_Status" minOccurs="0"/>
                <xsd:element ref="ns4:MediaServiceSearchPropertie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03d0-0f03-451f-9d46-5279004462a4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 ma:readOnly="false">
      <xsd:simpleType>
        <xsd:restriction base="dms:Text"/>
      </xsd:simpleType>
    </xsd:element>
    <xsd:element name="EC_Collab_DocumentLanguage" ma:index="14" ma:displayName="Language" ma:default="EN" ma:format="Dropdow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EC_Collab_Status" ma:index="17" nillable="true" ma:displayName="EC Status" ma:default="Not Started" ma:format="Dropdown" ma:internalName="EC_Collab_Status" ma:readOnly="false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TaxCatchAll" ma:index="21" nillable="true" ma:displayName="Taxonomy Catch All Column" ma:hidden="true" ma:list="{51513471-611d-4aba-ae12-e8d0e877eea6}" ma:internalName="TaxCatchAll" ma:showField="CatchAllData" ma:web="144c03d0-0f03-451f-9d46-527900446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8512-91eb-4bfd-be42-d6f021407e9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BD7AB-07EA-4D67-A4B9-4D33FF7955F7}">
  <ds:schemaRefs>
    <ds:schemaRef ds:uri="http://schemas.microsoft.com/office/2006/metadata/properties"/>
    <ds:schemaRef ds:uri="http://schemas.microsoft.com/office/infopath/2007/PartnerControls"/>
    <ds:schemaRef ds:uri="144c03d0-0f03-451f-9d46-5279004462a4"/>
    <ds:schemaRef ds:uri="http://schemas.microsoft.com/sharepoint/v3/fields"/>
    <ds:schemaRef ds:uri="f7bb8512-91eb-4bfd-be42-d6f021407e9a"/>
  </ds:schemaRefs>
</ds:datastoreItem>
</file>

<file path=customXml/itemProps2.xml><?xml version="1.0" encoding="utf-8"?>
<ds:datastoreItem xmlns:ds="http://schemas.openxmlformats.org/officeDocument/2006/customXml" ds:itemID="{F14AF581-33E3-408E-95CD-709B93E998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74AB9-05CF-4E22-8B2B-667D523C41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9B0AD-1837-436D-8ABC-63303F7E4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44c03d0-0f03-451f-9d46-5279004462a4"/>
    <ds:schemaRef ds:uri="f7bb8512-91eb-4bfd-be42-d6f02140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48</TotalTime>
  <Pages>2</Pages>
  <Words>875</Words>
  <Characters>5785</Characters>
  <Application>Microsoft Office Word</Application>
  <DocSecurity>0</DocSecurity>
  <Lines>110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http://data.europa.eu/eli/reg/2010/1093/oj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http://data.europa.eu/eli/dir/2014/59/oj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DQC</dc:creator>
  <cp:keywords/>
  <dc:description/>
  <cp:lastModifiedBy>SIWIEC Justyna (DGT)</cp:lastModifiedBy>
  <cp:revision>34</cp:revision>
  <dcterms:created xsi:type="dcterms:W3CDTF">2025-12-05T16:19:00Z</dcterms:created>
  <dcterms:modified xsi:type="dcterms:W3CDTF">2026-02-02T10:39:00Z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8.0.19.5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GrammarlyDocumentId">
    <vt:lpwstr>45e7adda-2841-4732-9409-07daf4dd17e0</vt:lpwstr>
  </property>
  <property fmtid="{D5CDD505-2E9C-101B-9397-08002B2CF9AE}" pid="11" name="ClassificationContentMarkingHeaderShapeIds">
    <vt:lpwstr>5bd6ffca,36e22233,44991716</vt:lpwstr>
  </property>
  <property fmtid="{D5CDD505-2E9C-101B-9397-08002B2CF9AE}" pid="12" name="ClassificationContentMarkingHeaderFontProps">
    <vt:lpwstr>#000000,12,Aptos</vt:lpwstr>
  </property>
  <property fmtid="{D5CDD505-2E9C-101B-9397-08002B2CF9AE}" pid="13" name="ClassificationContentMarkingHeaderText">
    <vt:lpwstr>EBA Regular Use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2025-09-22T07:42:43Z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0c5e0d5a-b50c-4aad-8ac2-d3eb4c37e92e</vt:lpwstr>
  </property>
  <property fmtid="{D5CDD505-2E9C-101B-9397-08002B2CF9AE}" pid="20" name="MSIP_Label_6bd9ddd1-4d20-43f6-abfa-fc3c07406f94_ContentBits">
    <vt:lpwstr>0</vt:lpwstr>
  </property>
  <property fmtid="{D5CDD505-2E9C-101B-9397-08002B2CF9AE}" pid="21" name="MSIP_Label_6bd9ddd1-4d20-43f6-abfa-fc3c07406f94_Tag">
    <vt:lpwstr>10, 3, 0, 1</vt:lpwstr>
  </property>
  <property fmtid="{D5CDD505-2E9C-101B-9397-08002B2CF9AE}" pid="22" name="ContentTypeId">
    <vt:lpwstr>0x010100BAD999D84E12C74482EA5120F5227F6F00217DECAAC21D6B43958DFE68658C192E</vt:lpwstr>
  </property>
  <property fmtid="{D5CDD505-2E9C-101B-9397-08002B2CF9AE}" pid="23" name="MediaServiceImageTags">
    <vt:lpwstr/>
  </property>
  <property fmtid="{D5CDD505-2E9C-101B-9397-08002B2CF9AE}" pid="24" name="DQCStatus">
    <vt:lpwstr>Green (DQC version 03)</vt:lpwstr>
  </property>
</Properties>
</file>