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BE6C" w14:textId="58FA5714" w:rsidR="004E763F" w:rsidRPr="00D124A8" w:rsidRDefault="003276BB" w:rsidP="00D124A8">
      <w:pPr>
        <w:pStyle w:val="Pagedecouverture"/>
      </w:pPr>
      <w:r>
        <w:pict w14:anchorId="71127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9FE4EA4-182B-4167-8CE4-FCE8698AF8AB" style="width:454.5pt;height:345.75pt">
            <v:imagedata r:id="rId11" o:title=""/>
          </v:shape>
        </w:pict>
      </w:r>
    </w:p>
    <w:p w14:paraId="3F281E36" w14:textId="77777777" w:rsidR="00CE1382" w:rsidRPr="00D124A8" w:rsidRDefault="00CE1382" w:rsidP="003838B9">
      <w:pPr>
        <w:sectPr w:rsidR="00CE1382" w:rsidRPr="00D124A8" w:rsidSect="005636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125F7B5" w14:textId="210635F7" w:rsidR="00C16484" w:rsidRPr="00D124A8" w:rsidRDefault="00D124A8" w:rsidP="00D124A8">
      <w:pPr>
        <w:pStyle w:val="Typedudocument"/>
      </w:pPr>
      <w:r w:rsidRPr="00D124A8">
        <w:lastRenderedPageBreak/>
        <w:t>REGOLAMENT TA’ IMPLIMENTAZZJONI TAL-KUMMISSJONI (UE) .../...</w:t>
      </w:r>
    </w:p>
    <w:p w14:paraId="489CA7EE" w14:textId="077D6DA6" w:rsidR="00C16484" w:rsidRPr="00D124A8" w:rsidRDefault="00D124A8" w:rsidP="00D124A8">
      <w:pPr>
        <w:pStyle w:val="Datedadoption"/>
      </w:pPr>
      <w:r w:rsidRPr="00D124A8">
        <w:t>ta'</w:t>
      </w:r>
      <w:r w:rsidRPr="00D124A8">
        <w:rPr>
          <w:rStyle w:val="Marker2"/>
        </w:rPr>
        <w:t>XXX</w:t>
      </w:r>
    </w:p>
    <w:p w14:paraId="3CE33E40" w14:textId="57635FAD" w:rsidR="00C16484" w:rsidRPr="00D124A8" w:rsidRDefault="00D124A8" w:rsidP="00D124A8">
      <w:pPr>
        <w:pStyle w:val="Titreobjet"/>
      </w:pPr>
      <w:r w:rsidRPr="00D124A8">
        <w:t>li jemenda l-istandards tekniċi ta’ implimentazzjoni stabbiliti fir-Regolament ta’ Implimentazzjoni (UE) 2021/622 dwar il-frekwenza tar-rapportar u l-informazzjoni li għandha tiġi rrapportata</w:t>
      </w:r>
    </w:p>
    <w:p w14:paraId="74D7E4E1" w14:textId="150EB382" w:rsidR="00C16484" w:rsidRPr="00D124A8" w:rsidRDefault="00D124A8" w:rsidP="00D124A8">
      <w:pPr>
        <w:pStyle w:val="IntrtEEE"/>
      </w:pPr>
      <w:r w:rsidRPr="00D124A8">
        <w:t>(Test b’rilevanza għaż-ŻEE)</w:t>
      </w:r>
    </w:p>
    <w:p w14:paraId="19747E75" w14:textId="77777777" w:rsidR="00C16484" w:rsidRPr="00D124A8" w:rsidRDefault="00C16484">
      <w:pPr>
        <w:pStyle w:val="Institutionquiagit"/>
      </w:pPr>
      <w:r w:rsidRPr="00D124A8">
        <w:t>IL-KUMMISSJONI EWROPEA,</w:t>
      </w:r>
    </w:p>
    <w:p w14:paraId="25240594" w14:textId="77777777" w:rsidR="00C16484" w:rsidRPr="00D124A8" w:rsidRDefault="00C16484">
      <w:r w:rsidRPr="00D124A8">
        <w:rPr>
          <w:color w:val="000000"/>
        </w:rPr>
        <w:t>Wara li kkunsidrat it-Trattat dwar il-Funzjonament tal-Unjoni Ewropea</w:t>
      </w:r>
      <w:r w:rsidRPr="00D124A8">
        <w:t>,</w:t>
      </w:r>
    </w:p>
    <w:p w14:paraId="71F6C5A5" w14:textId="77777777" w:rsidR="00C16484" w:rsidRPr="00D124A8" w:rsidRDefault="00C16484">
      <w:r w:rsidRPr="00D124A8">
        <w:t>Wara li kkunsidrat id-Direttiva 2014/59/UE tal-Parlament Ewropew u tal-Kunsill tal-15 ta’ Mejju 2014 li tistabbilixxi qafas għall-irkupru u r-riżoluzzjoni ta’ istituzzjonijiet ta’ kreditu u ditti ta’ investiment u li temenda d-Direttiva tal-Kunsill 82/891/KE u d-Direttivi 2001/24/KE, 2002/47/KE, 2004/25/KE, 2005/56/KE, 2007/36/KE, 2011/35/KE, 2012/30/UE u 2013/36/UE, u r-Regolamenti (UE) Nru 1093/2010 u (UE) Nru 648/2012, tal-Parlament Ewropew u tal-Kunsill</w:t>
      </w:r>
      <w:r w:rsidRPr="00D124A8">
        <w:rPr>
          <w:rStyle w:val="FootnoteReference"/>
        </w:rPr>
        <w:footnoteReference w:id="2"/>
      </w:r>
      <w:r w:rsidRPr="00D124A8">
        <w:t>, u b’mod partikolari l-Artikolu 45j(2), it-tielet subparagrafu, tagħha,</w:t>
      </w:r>
    </w:p>
    <w:p w14:paraId="230944B4" w14:textId="77777777" w:rsidR="00C16484" w:rsidRPr="00D124A8" w:rsidRDefault="00C16484">
      <w:r w:rsidRPr="00D124A8">
        <w:t>Billi:</w:t>
      </w:r>
    </w:p>
    <w:p w14:paraId="359D6750" w14:textId="77777777" w:rsidR="003428AE" w:rsidRPr="00D124A8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D124A8">
        <w:t>Id-Direttiva (UE) 2024/1174 tal-Parlament Ewropew u tal-Kunsill</w:t>
      </w:r>
      <w:r w:rsidRPr="00D124A8">
        <w:rPr>
          <w:rStyle w:val="FootnoteReference"/>
          <w:iCs/>
          <w:noProof/>
        </w:rPr>
        <w:footnoteReference w:id="3"/>
      </w:r>
      <w:r w:rsidRPr="00D124A8">
        <w:t xml:space="preserve"> emendat ċerti aspetti tar-rekwiżit minimu għal fondi proprji u obbligazzjonijiet eliġibbli (“MREL”, minimum requirement for own funds and eligible liabilities) stabbilit fid-Direttiva 2014/59/UE. Skont dawk l-emendi, l-awtoritajiet ta’ riżoluzzjoni jenħtieġ li ma jiddeterminawx l-MREL għall-entitajiet ta’ likwidazzjoni, ħlief meta l-iffissar ta’ MREL li jaqbeż ammont suffiċjenti biex jassorbi t-telf ikun meħtieġ biex tiġi protetta l-istabbiltà finanzjarja jew biex jiġi indirizzat ir-riskju ta’ kontaġju għas-sistema finanzjarja, inkluż fir-rigward tal-kapaċità ta’ finanzjament tal-iskemi ta’ garanzija tad-depożiti. Barra minn hekk, id-Direttiva (UE) 2024/1174 żiedet l-għadd ta’ sitwazzjonijiet li fihom l-awtoritajiet ta’ riżoluzzjoni jistgħu jiddeterminaw l-MREL fuq bażi konsolidata. Jenħtieġ li r-Regolament ta’ Implimentazzjoni tal-Kummissjoni</w:t>
      </w:r>
      <w:r w:rsidRPr="00D124A8">
        <w:rPr>
          <w:rStyle w:val="FootnoteReference"/>
          <w:iCs/>
          <w:noProof/>
        </w:rPr>
        <w:footnoteReference w:id="4"/>
      </w:r>
      <w:r w:rsidRPr="00D124A8">
        <w:t xml:space="preserve"> (UE) 2021/622 jiġi emendat biex jirrifletti dawk il-bidliet fil-qafas tal-MREL fl-informazzjoni li għandha tiġi trażmessa lill-Awtorità Bankarja Ewropea (EBA, European Banking Authority).</w:t>
      </w:r>
    </w:p>
    <w:p w14:paraId="72912B32" w14:textId="77777777" w:rsidR="00C16484" w:rsidRPr="00D124A8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D124A8">
        <w:t>Ir-Regolament ta’ Implimentazzjoni (UE) 2021/622 bħalissa jirrikjedi li l-awtoritajiet ta’ riżoluzzjoni jittrażmettu lill-EBA, fuq bażi annwali, informazzjoni relatata mal-iffissar tal-MREL. Sussegwentement, l-EBA tgħaqqad dik l-informazzjoni ma’ informazzjoni dwar il-kompożizzjoni tal-fondi proprji u l-obbligazzjonijiet eliġibbli miksuba skont ir-Regolament ta’ Implimentazzjoni tal-Kummissjoni (UE) 2021/763</w:t>
      </w:r>
      <w:r w:rsidRPr="00D124A8">
        <w:rPr>
          <w:rStyle w:val="FootnoteReference"/>
          <w:noProof/>
        </w:rPr>
        <w:footnoteReference w:id="5"/>
      </w:r>
      <w:r w:rsidRPr="00D124A8">
        <w:t xml:space="preserve"> biex tipproduċi r-rapport tagħha dwar l-MREL f’konformità mal-Artikolu 45l tad-Direttiva 2014/59/UE, li bħalissa għandu frekwenza biannwali. Ir-rapportar annwali attwali ta’ informazzjoni dwar l-iffissar tal-MREL ifisser li d-deċiżjonijiet tal-MREL adottati mill-awtoritajiet ta’ riżoluzzjoni wara d-data ta’ referenza rilevanti ma jiġux trażmessi jew ivvalutati mill-EBA, u mhumiex riflessi fir-rapporti tagħha, sas-sena ta’ wara, u b’hekk jinħolqu allinjamenti ħżiena mal-informazzjoni aktar aġġornata dwar il-kompożizzjoni tal-fondi proprji u l-obbligazzjonijiet eliġibbli.</w:t>
      </w:r>
    </w:p>
    <w:p w14:paraId="463313C7" w14:textId="77777777" w:rsidR="00C16484" w:rsidRPr="00D124A8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D124A8">
        <w:t xml:space="preserve">Sabiex titjieb il-kapaċità tal-EBA li timmonitorja u tivvaluta l-MREL stabbilit mill-awtoritajiet ta’ riżoluzzjoni u l-konformità tal-istituzzjonijiet mar-rekwiżiti tal-MREL, jenħtieġ li l-awtoritajiet ta’ riżoluzzjoni jkollhom jirrapportaw lill-EBA aktar ta’ spiss dwar id-deċiżjonijiet tal-MREL. Sabiex l-allinjament mar-rapporti dwar l-MREL imħejjija mill-EBA jiġi ggarantit, jenħtieġ li l-awtoritajiet ta’ riżoluzzjoni jirrapportaw dik l-informazzjoni darbtejn fis-sena. </w:t>
      </w:r>
    </w:p>
    <w:p w14:paraId="308A8173" w14:textId="77777777" w:rsidR="00C16484" w:rsidRPr="00D124A8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D124A8">
        <w:t>Sabiex tiġi ffaċilitata l-valutazzjoni mill-EBA ta’ kif l-awtoritajiet ta’ riżoluzzjoni eżerċitaw diskrezzjoni fl-iffissar tal-MREL, b’mod partikolari fir-rigward tal-opzjoni disponibbli skont l-Artikolu 45b(4), l-ewwel subparagrafu, tad-Direttiva 2014/59/UE, il-mudell M 20.00 — Rapportar tad-deċiżjonijiet rigward l-MREL (l-Anness I tar-Regolament (UE) 2021/622) u l-istruzzjonijiet korrispondenti jenħtieġ li jiġu aġġustati biex jirrikjedu li tiġi inkluża informazzjoni dwar l-eżerċizzju ta’ dik l-opzjoni.</w:t>
      </w:r>
    </w:p>
    <w:p w14:paraId="4C94EF8B" w14:textId="77777777" w:rsidR="00C16484" w:rsidRPr="00D124A8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D124A8">
        <w:t>L-EBA talbet l-opinjoni tal-Grupp tal-Partijiet Bankarji Interessati stabbilit f’konformità mal-Artikolu 37 tar-Regolament (UE) Nru 1093/2010 tal-Parlament Ewropew u tal-Kunsill</w:t>
      </w:r>
      <w:r w:rsidRPr="00D124A8">
        <w:rPr>
          <w:rStyle w:val="FootnoteReference"/>
          <w:noProof/>
        </w:rPr>
        <w:footnoteReference w:id="6"/>
      </w:r>
      <w:r w:rsidRPr="00D124A8">
        <w:t xml:space="preserve">. </w:t>
      </w:r>
    </w:p>
    <w:p w14:paraId="08B68E60" w14:textId="77777777" w:rsidR="00C16484" w:rsidRPr="00D124A8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D124A8">
        <w:t xml:space="preserve">L-emendi għar-Regolament (UE) 2021/622 jikkonċernaw l-awtoritajiet ta’ riżoluzzjoni u ma jinvolvux bidliet sinifikanti f’termini sostantivi. F’konformità mal-Artikolu 15(1), it-tieni subparagrafu, tar-Regolament (UE) Nru 1093/2010, l-EBA b’hekk ma wettqitx konsultazzjonijiet pubbliċi miftuħa u lanqas ma analizzat il-kostijiet u l-benefiċċji potenzjali relatati, meta jitqies li dan ikun sproporzjonat fir-rigward tal-kamp ta’ applikazzjoni u l-impatt tal-abbozz tal-istandards tekniċi ta’ implimentazzjoni kkonċernati. </w:t>
      </w:r>
    </w:p>
    <w:p w14:paraId="5E80BB69" w14:textId="77777777" w:rsidR="00C16484" w:rsidRPr="00D124A8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D124A8">
        <w:t>Għalhekk, jenħtieġ li r-Regolament ta’ Implimentazzjoni (UE) 2021/622 jiġi emendat kif xieraq.</w:t>
      </w:r>
    </w:p>
    <w:p w14:paraId="0BA29060" w14:textId="77777777" w:rsidR="00C16484" w:rsidRPr="00D124A8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D124A8">
        <w:t>Dan ir-Regolament huwa bbażat fuq l-abbozz tal-istandards tekniċi ta’ implimentazzjoni ppreżentat lill-Kummissjoni mill-EBA,</w:t>
      </w:r>
    </w:p>
    <w:p w14:paraId="7689758F" w14:textId="77777777" w:rsidR="00C16484" w:rsidRPr="00D124A8" w:rsidRDefault="00C16484">
      <w:pPr>
        <w:pStyle w:val="Formuledadoption"/>
      </w:pPr>
      <w:r w:rsidRPr="00D124A8">
        <w:t>ADOTTAT DAN IR-REGOLAMENT:</w:t>
      </w:r>
    </w:p>
    <w:p w14:paraId="126FE21E" w14:textId="77777777" w:rsidR="00C16484" w:rsidRPr="00D124A8" w:rsidRDefault="00C16484">
      <w:pPr>
        <w:pStyle w:val="Titrearticle"/>
      </w:pPr>
      <w:r w:rsidRPr="00D124A8">
        <w:t>Artikolu 1</w:t>
      </w:r>
    </w:p>
    <w:p w14:paraId="6942536A" w14:textId="77777777" w:rsidR="00C16484" w:rsidRPr="00D124A8" w:rsidRDefault="00C16484" w:rsidP="00C16484">
      <w:pPr>
        <w:rPr>
          <w:noProof/>
        </w:rPr>
      </w:pPr>
      <w:r w:rsidRPr="00D124A8">
        <w:t>Ir-Regolament ta’ Implimentazzjoni (UE) 2021/622 huwa emendat kif ġej:</w:t>
      </w:r>
    </w:p>
    <w:p w14:paraId="30870464" w14:textId="77777777" w:rsidR="00C16484" w:rsidRPr="00D124A8" w:rsidRDefault="00C16484" w:rsidP="00801E97">
      <w:pPr>
        <w:pStyle w:val="Point0number"/>
        <w:numPr>
          <w:ilvl w:val="0"/>
          <w:numId w:val="6"/>
        </w:numPr>
        <w:rPr>
          <w:noProof/>
        </w:rPr>
      </w:pPr>
      <w:r w:rsidRPr="00D124A8">
        <w:t>L-Artikolu 2 huwa emendat kif ġej:</w:t>
      </w:r>
    </w:p>
    <w:p w14:paraId="46C045F9" w14:textId="77777777" w:rsidR="00C16484" w:rsidRPr="00D124A8" w:rsidRDefault="00C16484" w:rsidP="00801E97">
      <w:pPr>
        <w:pStyle w:val="Point1letter"/>
        <w:rPr>
          <w:noProof/>
        </w:rPr>
      </w:pPr>
      <w:r w:rsidRPr="00D124A8">
        <w:t>it-titolu huwa sostitwit b’dan li ġej:</w:t>
      </w:r>
    </w:p>
    <w:p w14:paraId="59492C89" w14:textId="77777777" w:rsidR="00C16484" w:rsidRPr="00D124A8" w:rsidRDefault="00C16484" w:rsidP="00801E97">
      <w:pPr>
        <w:jc w:val="center"/>
        <w:rPr>
          <w:noProof/>
        </w:rPr>
      </w:pPr>
      <w:r w:rsidRPr="00D124A8">
        <w:t>“</w:t>
      </w:r>
      <w:r w:rsidRPr="00D124A8">
        <w:rPr>
          <w:b/>
          <w:bCs/>
        </w:rPr>
        <w:t>Rekwiżit ta’ rapportar simplifikat għall-istituzzjonijiet soġġetti għal eżenzjonijiet</w:t>
      </w:r>
      <w:r w:rsidRPr="00D124A8">
        <w:t>”;</w:t>
      </w:r>
    </w:p>
    <w:p w14:paraId="673E5DC2" w14:textId="77777777" w:rsidR="00C16484" w:rsidRPr="00D124A8" w:rsidRDefault="00C16484" w:rsidP="00801E97">
      <w:pPr>
        <w:pStyle w:val="Point1letter"/>
        <w:rPr>
          <w:noProof/>
        </w:rPr>
      </w:pPr>
      <w:r w:rsidRPr="00D124A8">
        <w:t>il-paragrafu 2 jitħassar;</w:t>
      </w:r>
    </w:p>
    <w:p w14:paraId="5E9FBB15" w14:textId="77777777" w:rsidR="00C16484" w:rsidRPr="00D124A8" w:rsidRDefault="00C16484" w:rsidP="00801E97">
      <w:pPr>
        <w:pStyle w:val="Point0number"/>
        <w:rPr>
          <w:noProof/>
        </w:rPr>
      </w:pPr>
      <w:r w:rsidRPr="00D124A8">
        <w:t>fl-Artikolu 3, il-formulazzjoni introduttorja hija sostitwita b’dan li ġej:</w:t>
      </w:r>
    </w:p>
    <w:p w14:paraId="30D90C24" w14:textId="77777777" w:rsidR="00C16484" w:rsidRPr="00D124A8" w:rsidRDefault="00C16484" w:rsidP="00801E97">
      <w:pPr>
        <w:rPr>
          <w:noProof/>
        </w:rPr>
      </w:pPr>
      <w:r w:rsidRPr="00D124A8">
        <w:t>“Għal gruppi li huma soġġetti għal MREL fuq bażi konsolidata skont l-Artikolu 45e, l-Artikolu 45f(1), it-tielet u r-raba’ subparagrafi, u l-Artikolu 45f(4), il-punt (b), tad-Direttiva 2014/59/UE, l-informazzjoni msemmija fl-Artikoli 1 u 2 għandha tiġi ppreżentata mill-awtoritajiet segwenti u bil-mod li ġej:”;</w:t>
      </w:r>
    </w:p>
    <w:p w14:paraId="11B3900E" w14:textId="77777777" w:rsidR="00C16484" w:rsidRPr="00D124A8" w:rsidRDefault="00C16484" w:rsidP="00801E97">
      <w:pPr>
        <w:pStyle w:val="Point0number"/>
        <w:rPr>
          <w:noProof/>
        </w:rPr>
      </w:pPr>
      <w:r w:rsidRPr="00D124A8">
        <w:t>L-Artikolu 4 huwa sostitwit b’dan li ġej:</w:t>
      </w:r>
    </w:p>
    <w:p w14:paraId="30AA2DCC" w14:textId="77777777" w:rsidR="00C16484" w:rsidRPr="00D124A8" w:rsidRDefault="00D47F83" w:rsidP="00801E97">
      <w:pPr>
        <w:pStyle w:val="Titrearticle"/>
        <w:rPr>
          <w:i w:val="0"/>
          <w:iCs/>
          <w:noProof/>
        </w:rPr>
      </w:pPr>
      <w:r w:rsidRPr="00D124A8">
        <w:t xml:space="preserve">“Artikolu 4 </w:t>
      </w:r>
      <w:r w:rsidRPr="00D124A8">
        <w:br/>
      </w:r>
      <w:r w:rsidRPr="00D124A8">
        <w:rPr>
          <w:b/>
          <w:i w:val="0"/>
        </w:rPr>
        <w:t>Perjodi ta’ rapportar u dati ta’ preżentazzjoni</w:t>
      </w:r>
    </w:p>
    <w:p w14:paraId="0BABB43E" w14:textId="77777777" w:rsidR="00C16484" w:rsidRPr="00D124A8" w:rsidRDefault="00C16484" w:rsidP="00801E97">
      <w:pPr>
        <w:rPr>
          <w:noProof/>
        </w:rPr>
      </w:pPr>
      <w:r w:rsidRPr="00D124A8">
        <w:t>L-awtoritajiet ta’ riżoluzzjoni għandhom jittrażmettu l-informazzjoni msemmija fl-Artikoli 1 u 2 hekk:</w:t>
      </w:r>
    </w:p>
    <w:p w14:paraId="552E6CCA" w14:textId="77777777" w:rsidR="00C16484" w:rsidRPr="00D124A8" w:rsidRDefault="00C16484" w:rsidP="00801E97">
      <w:pPr>
        <w:pStyle w:val="Point1letter"/>
        <w:rPr>
          <w:noProof/>
        </w:rPr>
      </w:pPr>
      <w:r w:rsidRPr="00D124A8">
        <w:t>għall-MREL applikabbli mit-30 ta’ Ġunju, sa mhux aktar tard mis-16 ta’ Settembru ta’ dik is-sena;</w:t>
      </w:r>
    </w:p>
    <w:p w14:paraId="7110590C" w14:textId="53C22C0A" w:rsidR="00C16484" w:rsidRPr="00D124A8" w:rsidRDefault="00C16484" w:rsidP="00801E97">
      <w:pPr>
        <w:pStyle w:val="Point1letter"/>
        <w:rPr>
          <w:noProof/>
        </w:rPr>
      </w:pPr>
      <w:r w:rsidRPr="00D124A8">
        <w:t>għall-MREL applikabbli mill-31 ta’ Diċembru, sa mhux aktar tard mit-18 ta’ Marzu ta</w:t>
      </w:r>
      <w:r w:rsidR="008F2894">
        <w:t>s-</w:t>
      </w:r>
      <w:r w:rsidRPr="00D124A8">
        <w:t>sena</w:t>
      </w:r>
      <w:r w:rsidR="008F2894">
        <w:t xml:space="preserve"> sussegwenti</w:t>
      </w:r>
      <w:r w:rsidRPr="00D124A8">
        <w:t>.”;</w:t>
      </w:r>
    </w:p>
    <w:p w14:paraId="1B350F22" w14:textId="77777777" w:rsidR="00C16484" w:rsidRPr="00D124A8" w:rsidRDefault="00C16484" w:rsidP="00801E97">
      <w:pPr>
        <w:pStyle w:val="Point0number"/>
        <w:rPr>
          <w:noProof/>
        </w:rPr>
      </w:pPr>
      <w:r w:rsidRPr="00D124A8">
        <w:t>l-Anness I huwa sostitwit bit-test tal-Anness I ta’ dan ir-Regolament;</w:t>
      </w:r>
    </w:p>
    <w:p w14:paraId="5D9242DF" w14:textId="77777777" w:rsidR="00C16484" w:rsidRPr="00D124A8" w:rsidRDefault="00C16484" w:rsidP="00801E97">
      <w:pPr>
        <w:pStyle w:val="Point0number"/>
        <w:rPr>
          <w:noProof/>
        </w:rPr>
      </w:pPr>
      <w:r w:rsidRPr="00D124A8">
        <w:t>L-Anness II huwa sostitwit bit-test tal-Anness II ta’ dan ir-Regolament.</w:t>
      </w:r>
    </w:p>
    <w:p w14:paraId="4F1C55B4" w14:textId="77777777" w:rsidR="00C16484" w:rsidRPr="00D124A8" w:rsidRDefault="00C16484">
      <w:pPr>
        <w:pStyle w:val="Titrearticle"/>
      </w:pPr>
      <w:r w:rsidRPr="00D124A8">
        <w:t>Artikolu 2</w:t>
      </w:r>
    </w:p>
    <w:p w14:paraId="0D10BB6D" w14:textId="77777777" w:rsidR="00C16484" w:rsidRPr="00D124A8" w:rsidRDefault="00C16484" w:rsidP="00830365">
      <w:r w:rsidRPr="00D124A8">
        <w:t>Dan ir-Regolament għandu jidħol fis-seħħ fl-għoxrin jum wara dak tal-pubblikazzjoni tiegħu f’</w:t>
      </w:r>
      <w:r w:rsidRPr="00D124A8">
        <w:rPr>
          <w:i/>
        </w:rPr>
        <w:t>Il-Ġurnal Uffiċjali tal-Unjoni Ewropea</w:t>
      </w:r>
      <w:r w:rsidRPr="00D124A8">
        <w:t>.</w:t>
      </w:r>
    </w:p>
    <w:p w14:paraId="55F300B0" w14:textId="77777777" w:rsidR="00C16484" w:rsidRPr="00D124A8" w:rsidRDefault="00C16484">
      <w:pPr>
        <w:pStyle w:val="Applicationdirecte"/>
      </w:pPr>
      <w:r w:rsidRPr="00D124A8">
        <w:t>Dan ir-Regolament għandu jorbot fl-intier tiegħu u japplika direttament fl-Istati Membri kollha.</w:t>
      </w:r>
    </w:p>
    <w:p w14:paraId="666E53B3" w14:textId="642E3F83" w:rsidR="00C16484" w:rsidRPr="00D124A8" w:rsidRDefault="00D124A8" w:rsidP="00D124A8">
      <w:pPr>
        <w:pStyle w:val="Fait"/>
      </w:pPr>
      <w:r w:rsidRPr="00D124A8">
        <w:t>Magħmul fi Brussell,</w:t>
      </w:r>
    </w:p>
    <w:p w14:paraId="318DEC38" w14:textId="77777777" w:rsidR="00C16484" w:rsidRPr="00D124A8" w:rsidRDefault="00C16484" w:rsidP="00C16484">
      <w:pPr>
        <w:pStyle w:val="Institutionquisigne"/>
      </w:pPr>
      <w:r w:rsidRPr="00D124A8">
        <w:tab/>
        <w:t>Għall-Kummissjoni</w:t>
      </w:r>
    </w:p>
    <w:p w14:paraId="2CABF34A" w14:textId="5047939A" w:rsidR="008D1512" w:rsidRPr="00D124A8" w:rsidRDefault="00C16484" w:rsidP="00C16484">
      <w:pPr>
        <w:pStyle w:val="Personnequisigne"/>
      </w:pPr>
      <w:r w:rsidRPr="00D124A8">
        <w:tab/>
        <w:t xml:space="preserve">Il-President </w:t>
      </w:r>
      <w:r w:rsidRPr="00D124A8">
        <w:br/>
      </w:r>
      <w:r w:rsidRPr="00D124A8">
        <w:tab/>
        <w:t xml:space="preserve">Ursula </w:t>
      </w:r>
      <w:r w:rsidR="008F2894">
        <w:t>von der Leyen</w:t>
      </w:r>
    </w:p>
    <w:p w14:paraId="5353A0D6" w14:textId="34E4E712" w:rsidR="00C16484" w:rsidRPr="00D124A8" w:rsidRDefault="00C16484" w:rsidP="00C16484">
      <w:pPr>
        <w:pStyle w:val="Personnequisigne"/>
      </w:pPr>
    </w:p>
    <w:sectPr w:rsidR="00C16484" w:rsidRPr="00D124A8" w:rsidSect="005636B3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65C9" w14:textId="77777777" w:rsidR="003E6697" w:rsidRDefault="003E6697" w:rsidP="00C16484">
      <w:pPr>
        <w:spacing w:before="0" w:after="0"/>
      </w:pPr>
      <w:r>
        <w:separator/>
      </w:r>
    </w:p>
  </w:endnote>
  <w:endnote w:type="continuationSeparator" w:id="0">
    <w:p w14:paraId="1C3032BC" w14:textId="77777777" w:rsidR="003E6697" w:rsidRDefault="003E6697" w:rsidP="00C16484">
      <w:pPr>
        <w:spacing w:before="0" w:after="0"/>
      </w:pPr>
      <w:r>
        <w:continuationSeparator/>
      </w:r>
    </w:p>
  </w:endnote>
  <w:endnote w:type="continuationNotice" w:id="1">
    <w:p w14:paraId="11516669" w14:textId="77777777" w:rsidR="003E6697" w:rsidRDefault="003E669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5C8F" w14:textId="35460322" w:rsidR="000C320E" w:rsidRPr="005636B3" w:rsidRDefault="005636B3" w:rsidP="005636B3">
    <w:pPr>
      <w:pStyle w:val="Footer"/>
      <w:rPr>
        <w:rFonts w:ascii="Arial" w:hAnsi="Arial" w:cs="Arial"/>
        <w:b/>
        <w:sz w:val="48"/>
      </w:rPr>
    </w:pPr>
    <w:r w:rsidRPr="005636B3">
      <w:rPr>
        <w:rFonts w:ascii="Arial" w:hAnsi="Arial" w:cs="Arial"/>
        <w:b/>
        <w:sz w:val="48"/>
      </w:rPr>
      <w:t>MT</w:t>
    </w:r>
    <w:r w:rsidRPr="005636B3">
      <w:rPr>
        <w:rFonts w:ascii="Arial" w:hAnsi="Arial" w:cs="Arial"/>
        <w:b/>
        <w:sz w:val="48"/>
      </w:rPr>
      <w:tab/>
    </w:r>
    <w:r w:rsidRPr="005636B3">
      <w:rPr>
        <w:rFonts w:ascii="Arial" w:hAnsi="Arial" w:cs="Arial"/>
        <w:b/>
        <w:sz w:val="48"/>
      </w:rPr>
      <w:tab/>
    </w:r>
    <w:r w:rsidRPr="005636B3">
      <w:tab/>
    </w:r>
    <w:r w:rsidRPr="005636B3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35F7" w14:textId="0770C537" w:rsidR="000C320E" w:rsidRPr="005636B3" w:rsidRDefault="005636B3" w:rsidP="005636B3">
    <w:pPr>
      <w:pStyle w:val="Footer"/>
      <w:rPr>
        <w:rFonts w:ascii="Arial" w:hAnsi="Arial" w:cs="Arial"/>
        <w:b/>
        <w:sz w:val="48"/>
      </w:rPr>
    </w:pPr>
    <w:r w:rsidRPr="005636B3">
      <w:rPr>
        <w:rFonts w:ascii="Arial" w:hAnsi="Arial" w:cs="Arial"/>
        <w:b/>
        <w:sz w:val="48"/>
      </w:rPr>
      <w:t>MT</w:t>
    </w:r>
    <w:r w:rsidRPr="005636B3">
      <w:rPr>
        <w:rFonts w:ascii="Arial" w:hAnsi="Arial" w:cs="Arial"/>
        <w:b/>
        <w:sz w:val="48"/>
      </w:rPr>
      <w:tab/>
    </w:r>
    <w:r w:rsidRPr="005636B3">
      <w:rPr>
        <w:rFonts w:ascii="Arial" w:hAnsi="Arial" w:cs="Arial"/>
        <w:b/>
        <w:sz w:val="48"/>
      </w:rPr>
      <w:tab/>
    </w:r>
    <w:r w:rsidRPr="005636B3">
      <w:tab/>
    </w:r>
    <w:r w:rsidRPr="005636B3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E001" w14:textId="77777777" w:rsidR="005636B3" w:rsidRPr="005636B3" w:rsidRDefault="005636B3" w:rsidP="005636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C402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178B" w14:textId="1983B18A" w:rsidR="005636B3" w:rsidRPr="005636B3" w:rsidRDefault="005636B3" w:rsidP="005636B3">
    <w:pPr>
      <w:pStyle w:val="Footer"/>
      <w:rPr>
        <w:rFonts w:ascii="Arial" w:hAnsi="Arial" w:cs="Arial"/>
        <w:b/>
        <w:sz w:val="48"/>
      </w:rPr>
    </w:pPr>
    <w:r w:rsidRPr="005636B3">
      <w:rPr>
        <w:rFonts w:ascii="Arial" w:hAnsi="Arial" w:cs="Arial"/>
        <w:b/>
        <w:sz w:val="48"/>
      </w:rPr>
      <w:t>MT</w:t>
    </w:r>
    <w:r w:rsidRPr="005636B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636B3">
      <w:tab/>
    </w:r>
    <w:r w:rsidRPr="005636B3">
      <w:rPr>
        <w:rFonts w:ascii="Arial" w:hAnsi="Arial" w:cs="Arial"/>
        <w:b/>
        <w:sz w:val="48"/>
      </w:rPr>
      <w:t>MT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FD45" w14:textId="77777777" w:rsidR="000C320E" w:rsidRDefault="000C320E" w:rsidP="00563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7555" w14:textId="77777777" w:rsidR="003E6697" w:rsidRDefault="003E6697" w:rsidP="00C16484">
      <w:pPr>
        <w:spacing w:before="0" w:after="0"/>
      </w:pPr>
      <w:r>
        <w:separator/>
      </w:r>
    </w:p>
  </w:footnote>
  <w:footnote w:type="continuationSeparator" w:id="0">
    <w:p w14:paraId="35CC5183" w14:textId="77777777" w:rsidR="003E6697" w:rsidRDefault="003E6697" w:rsidP="00C16484">
      <w:pPr>
        <w:spacing w:before="0" w:after="0"/>
      </w:pPr>
      <w:r>
        <w:continuationSeparator/>
      </w:r>
    </w:p>
  </w:footnote>
  <w:footnote w:type="continuationNotice" w:id="1">
    <w:p w14:paraId="4AA149F0" w14:textId="77777777" w:rsidR="003E6697" w:rsidRDefault="003E6697">
      <w:pPr>
        <w:spacing w:before="0" w:after="0"/>
      </w:pPr>
    </w:p>
  </w:footnote>
  <w:footnote w:id="2">
    <w:p w14:paraId="32045F46" w14:textId="77777777" w:rsidR="00C16484" w:rsidRPr="002A43D8" w:rsidRDefault="00C16484" w:rsidP="00C16484">
      <w:pPr>
        <w:pStyle w:val="FootnoteText"/>
      </w:pPr>
      <w:r>
        <w:rPr>
          <w:rStyle w:val="FootnoteReference"/>
        </w:rPr>
        <w:footnoteRef/>
      </w:r>
      <w:r>
        <w:tab/>
        <w:t>ĠU L 173, 12.6.2014, p. 190, ELI: </w:t>
      </w:r>
      <w:hyperlink r:id="rId1" w:tooltip="Jagħti aċċess għal dan id-dokument permezz tal-URI tal-ELI." w:history="1">
        <w:r>
          <w:rPr>
            <w:rStyle w:val="Hyperlink"/>
            <w:rFonts w:ascii="Times New Roman" w:hAnsi="Times New Roman"/>
          </w:rPr>
          <w:t>http://data.europa.eu/eli/dir/2014/59/oj</w:t>
        </w:r>
      </w:hyperlink>
      <w:r>
        <w:t xml:space="preserve">. </w:t>
      </w:r>
    </w:p>
  </w:footnote>
  <w:footnote w:id="3">
    <w:p w14:paraId="6CC7D971" w14:textId="34D6766C" w:rsidR="003428AE" w:rsidRPr="009B0295" w:rsidRDefault="003428AE">
      <w:pPr>
        <w:pStyle w:val="FootnoteText"/>
      </w:pPr>
      <w:r>
        <w:rPr>
          <w:rStyle w:val="FootnoteReference"/>
        </w:rPr>
        <w:footnoteRef/>
      </w:r>
      <w:r>
        <w:tab/>
        <w:t xml:space="preserve">Id-Direttiva (UE) 2024/1174 tal-Parlament Ewropew u tal-Kunsill tal-11 ta’ April 2024 li temenda d-Direttiva 2014/59/UE u r-Regolament (UE) Nru 806/2014 fir-rigward ta’ ċerti aspetti tar-rekwiżit minimu għal fondi proprji u obbligazzjonijiet eliġibbli (ĠU L, 2024/1174, 22.4.2024, ELI: </w:t>
      </w:r>
      <w:hyperlink r:id="rId2" w:history="1">
        <w:r>
          <w:rPr>
            <w:rStyle w:val="Hyperlink"/>
            <w:rFonts w:ascii="Times New Roman" w:hAnsi="Times New Roman"/>
          </w:rPr>
          <w:t>http://data.europa.eu/eli/dir/2024/1174/oj</w:t>
        </w:r>
      </w:hyperlink>
      <w:r>
        <w:t xml:space="preserve">). </w:t>
      </w:r>
    </w:p>
  </w:footnote>
  <w:footnote w:id="4">
    <w:p w14:paraId="49EDBC29" w14:textId="1C92B6AF" w:rsidR="001F4496" w:rsidRPr="009B0295" w:rsidRDefault="001F4496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ta’ Implimentazzjoni tal-Kummissjoni (UE) 2021/622 tal-15 ta’ April 2021 li jistabbilixxi standards tekniċi ta’ implimentazzjoni għall-applikazzjoni tad-Direttiva 2014/59/UE tal-Parlament Ewropew u tal-Kunsill fir-rigward ta’ mudelli ta’ rapportar, struzzjonijiet u metodoloġija uniformi għar-rapportar dwar ir-rekwiżit minimu għal fondi proprji u obbligazzjonijiet eliġibbli (ĠU L 131, 16.4.2021, p. 123-136, ELI: </w:t>
      </w:r>
      <w:hyperlink r:id="rId3" w:history="1">
        <w:r>
          <w:rPr>
            <w:rStyle w:val="Hyperlink"/>
            <w:rFonts w:ascii="Times New Roman" w:hAnsi="Times New Roman"/>
          </w:rPr>
          <w:t>http://data.europa.eu/eli/reg_impl/2021/622/oj</w:t>
        </w:r>
      </w:hyperlink>
      <w:r>
        <w:t>).</w:t>
      </w:r>
    </w:p>
  </w:footnote>
  <w:footnote w:id="5">
    <w:p w14:paraId="40585154" w14:textId="6FDF28F8" w:rsidR="000B5B60" w:rsidRPr="008F2894" w:rsidRDefault="000B5B60">
      <w:pPr>
        <w:pStyle w:val="FootnoteText"/>
      </w:pPr>
      <w:r>
        <w:rPr>
          <w:rStyle w:val="FootnoteReference"/>
        </w:rPr>
        <w:footnoteRef/>
      </w:r>
      <w:r>
        <w:tab/>
        <w:t xml:space="preserve">Ir-Regolament ta’ Implimentazzjoni tal-Kummissjoni (UE) 2021/763 tat-23 ta’ April 2021 li jistabbilixxi standards tekniċi ta’ implimentazzjoni għall-applikazzjoni tar-Regolament (UE) Nru 575/2013 tal-Parlament Ewropew u tal-Kunsill u tad-Direttiva 2014/59/UE tal-Parlament Ewropew u tal-Kunsill fir-rigward tar-rapportar superviżorju u d-divulgazzjoni pubblika tar-rekwiżit minimu għall-fondi proprji u l-obbligazzjonijiet eliġibbli (ĠU L 168, 12.5.2021, ELI: </w:t>
      </w:r>
      <w:r w:rsidR="008F2894" w:rsidRPr="008F2894">
        <w:rPr>
          <w:rStyle w:val="Hyperlink"/>
          <w:rFonts w:ascii="Times New Roman" w:hAnsi="Times New Roman"/>
        </w:rPr>
        <w:t>http://data.europa.eu/eli/reg_impl/2021/763/oj</w:t>
      </w:r>
      <w:r w:rsidR="008F2894" w:rsidRPr="008F2894">
        <w:t>).</w:t>
      </w:r>
    </w:p>
  </w:footnote>
  <w:footnote w:id="6">
    <w:p w14:paraId="1734D497" w14:textId="77777777" w:rsidR="00401F3A" w:rsidRPr="00FE7BD1" w:rsidRDefault="00401F3A" w:rsidP="00F35BD7">
      <w:pPr>
        <w:pStyle w:val="FootnoteText"/>
      </w:pPr>
      <w:r>
        <w:rPr>
          <w:rStyle w:val="FootnoteReference"/>
        </w:rPr>
        <w:footnoteRef/>
      </w:r>
      <w:r>
        <w:tab/>
        <w:t>Ir-Regolament (UE) Nru 1093/2010 tal-Parlament Ewropew u tal-Kunsill tal-24 ta’ Novembru 2010 li jistabbilixxi Awtorità Superviżorja Ewropea (Awtorità Bankarja Ewropea) u li jemenda d-Deċiżjoni Nru 716/2009/KE u jħassar id-Deċiżjoni tal-Kummissjoni 2009/78/KE (ĠU L 331, 15.12.2010, p. 12, ELI: </w:t>
      </w:r>
      <w:hyperlink r:id="rId4" w:tooltip="Jagħti aċċess għal dan id-dokument permezz tal-ELI URI tiegħu." w:history="1">
        <w:r>
          <w:rPr>
            <w:rStyle w:val="Hyperlink"/>
            <w:rFonts w:ascii="Times New Roman" w:hAnsi="Times New Roman"/>
          </w:rPr>
          <w:t>http://data.europa.eu/eli/reg/2010/1093/oj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1976" w14:textId="77777777" w:rsidR="005636B3" w:rsidRPr="005636B3" w:rsidRDefault="005636B3" w:rsidP="00563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6F8F" w14:textId="77777777" w:rsidR="005636B3" w:rsidRPr="005636B3" w:rsidRDefault="005636B3" w:rsidP="00563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C8FD" w14:textId="77777777" w:rsidR="005636B3" w:rsidRPr="005636B3" w:rsidRDefault="005636B3" w:rsidP="005636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AD67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1394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 w:numId="22" w16cid:durableId="2089693441">
    <w:abstractNumId w:val="15"/>
  </w:num>
  <w:num w:numId="23" w16cid:durableId="1693998065">
    <w:abstractNumId w:val="8"/>
  </w:num>
  <w:num w:numId="24" w16cid:durableId="788817884">
    <w:abstractNumId w:val="17"/>
  </w:num>
  <w:num w:numId="25" w16cid:durableId="1535464848">
    <w:abstractNumId w:val="7"/>
  </w:num>
  <w:num w:numId="26" w16cid:durableId="639657071">
    <w:abstractNumId w:val="9"/>
  </w:num>
  <w:num w:numId="27" w16cid:durableId="361050661">
    <w:abstractNumId w:val="10"/>
  </w:num>
  <w:num w:numId="28" w16cid:durableId="472790552">
    <w:abstractNumId w:val="5"/>
  </w:num>
  <w:num w:numId="29" w16cid:durableId="384646725">
    <w:abstractNumId w:val="16"/>
  </w:num>
  <w:num w:numId="30" w16cid:durableId="2031682509">
    <w:abstractNumId w:val="4"/>
  </w:num>
  <w:num w:numId="31" w16cid:durableId="150604668">
    <w:abstractNumId w:val="11"/>
  </w:num>
  <w:num w:numId="32" w16cid:durableId="472332852">
    <w:abstractNumId w:val="13"/>
  </w:num>
  <w:num w:numId="33" w16cid:durableId="1298296966">
    <w:abstractNumId w:val="14"/>
  </w:num>
  <w:num w:numId="34" w16cid:durableId="1306230484">
    <w:abstractNumId w:val="6"/>
  </w:num>
  <w:num w:numId="35" w16cid:durableId="24066917">
    <w:abstractNumId w:val="12"/>
  </w:num>
  <w:num w:numId="36" w16cid:durableId="485436588">
    <w:abstractNumId w:val="18"/>
  </w:num>
  <w:num w:numId="37" w16cid:durableId="2089693441">
    <w:abstractNumId w:val="15"/>
  </w:num>
  <w:num w:numId="38" w16cid:durableId="1693998065">
    <w:abstractNumId w:val="8"/>
  </w:num>
  <w:num w:numId="39" w16cid:durableId="788817884">
    <w:abstractNumId w:val="17"/>
  </w:num>
  <w:num w:numId="40" w16cid:durableId="1535464848">
    <w:abstractNumId w:val="7"/>
  </w:num>
  <w:num w:numId="41" w16cid:durableId="639657071">
    <w:abstractNumId w:val="9"/>
  </w:num>
  <w:num w:numId="42" w16cid:durableId="361050661">
    <w:abstractNumId w:val="10"/>
  </w:num>
  <w:num w:numId="43" w16cid:durableId="472790552">
    <w:abstractNumId w:val="5"/>
  </w:num>
  <w:num w:numId="44" w16cid:durableId="384646725">
    <w:abstractNumId w:val="16"/>
  </w:num>
  <w:num w:numId="45" w16cid:durableId="2031682509">
    <w:abstractNumId w:val="4"/>
  </w:num>
  <w:num w:numId="46" w16cid:durableId="150604668">
    <w:abstractNumId w:val="11"/>
  </w:num>
  <w:num w:numId="47" w16cid:durableId="472332852">
    <w:abstractNumId w:val="13"/>
  </w:num>
  <w:num w:numId="48" w16cid:durableId="1298296966">
    <w:abstractNumId w:val="14"/>
  </w:num>
  <w:num w:numId="49" w16cid:durableId="1306230484">
    <w:abstractNumId w:val="6"/>
  </w:num>
  <w:num w:numId="50" w16cid:durableId="24066917">
    <w:abstractNumId w:val="12"/>
  </w:num>
  <w:num w:numId="51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1-26 10:02:4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B9FE4EA4-182B-4167-8CE4-FCE8698AF8AB"/>
    <w:docVar w:name="LW_COVERPAGE_TYPE" w:val="1"/>
    <w:docVar w:name="LW_CreatedUtc" w:val="2025-09-04T16:00:38.0896335Z"/>
    <w:docVar w:name="LW_CROSSREFERENCE" w:val="&lt;UNUSED&gt;"/>
    <w:docVar w:name="LW_DATE.ADOPT.CP" w:val="ta'XXX"/>
    <w:docVar w:name="LW_DATE.ADOPT.CP_DATEFORMAT" w:val="ta'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l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st b\u8217?ri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5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i jemenda l-istandards tekni\u267?i ta\u8217? implimentazzjoni stabbiliti fir-Regolament ta\u8217? Implimentazzjoni (UE) 2021/622 dwar il-frekwenza tar-rapportar u l-informazzjoni li g\u295?andha ti\u289?i rrapportata"/>
    <w:docVar w:name="LW_TYPE.DOC.CP" w:val="REGOLAMENT TA\u8217? IMPLIMENTAZZJONI TAL-KUMMISSJONI (UE) .../..."/>
  </w:docVars>
  <w:rsids>
    <w:rsidRoot w:val="00C16484"/>
    <w:rsid w:val="00000BE0"/>
    <w:rsid w:val="00016399"/>
    <w:rsid w:val="00042FB7"/>
    <w:rsid w:val="00045B9F"/>
    <w:rsid w:val="00052C74"/>
    <w:rsid w:val="000625FB"/>
    <w:rsid w:val="00075947"/>
    <w:rsid w:val="00076CFC"/>
    <w:rsid w:val="000954EB"/>
    <w:rsid w:val="000A663E"/>
    <w:rsid w:val="000B5B60"/>
    <w:rsid w:val="000B7A7D"/>
    <w:rsid w:val="000C320E"/>
    <w:rsid w:val="000D3BC2"/>
    <w:rsid w:val="000E5499"/>
    <w:rsid w:val="000F73E7"/>
    <w:rsid w:val="00115188"/>
    <w:rsid w:val="001151E7"/>
    <w:rsid w:val="00125199"/>
    <w:rsid w:val="0013305B"/>
    <w:rsid w:val="00143ED4"/>
    <w:rsid w:val="00152894"/>
    <w:rsid w:val="0017762B"/>
    <w:rsid w:val="00194DE8"/>
    <w:rsid w:val="001A25E7"/>
    <w:rsid w:val="001A6BDC"/>
    <w:rsid w:val="001E3098"/>
    <w:rsid w:val="001E39BF"/>
    <w:rsid w:val="001F4496"/>
    <w:rsid w:val="00214607"/>
    <w:rsid w:val="002259CF"/>
    <w:rsid w:val="00235A60"/>
    <w:rsid w:val="00237C71"/>
    <w:rsid w:val="00244085"/>
    <w:rsid w:val="00244C17"/>
    <w:rsid w:val="00244DFD"/>
    <w:rsid w:val="00246E59"/>
    <w:rsid w:val="00264589"/>
    <w:rsid w:val="002800FF"/>
    <w:rsid w:val="0029415E"/>
    <w:rsid w:val="002A43D8"/>
    <w:rsid w:val="002A753D"/>
    <w:rsid w:val="002B37B6"/>
    <w:rsid w:val="002D6B17"/>
    <w:rsid w:val="002F1710"/>
    <w:rsid w:val="0030490D"/>
    <w:rsid w:val="00306431"/>
    <w:rsid w:val="00311A2F"/>
    <w:rsid w:val="00313AC1"/>
    <w:rsid w:val="00325B37"/>
    <w:rsid w:val="003276BB"/>
    <w:rsid w:val="003428AE"/>
    <w:rsid w:val="00351B7B"/>
    <w:rsid w:val="00353536"/>
    <w:rsid w:val="00364262"/>
    <w:rsid w:val="00373FC4"/>
    <w:rsid w:val="003838B9"/>
    <w:rsid w:val="00396ACD"/>
    <w:rsid w:val="003B10ED"/>
    <w:rsid w:val="003E05B8"/>
    <w:rsid w:val="003E3FC7"/>
    <w:rsid w:val="003E6697"/>
    <w:rsid w:val="003E7D8F"/>
    <w:rsid w:val="003F2A70"/>
    <w:rsid w:val="00401F3A"/>
    <w:rsid w:val="00406CBA"/>
    <w:rsid w:val="004138D9"/>
    <w:rsid w:val="004211F5"/>
    <w:rsid w:val="00430487"/>
    <w:rsid w:val="00437AA5"/>
    <w:rsid w:val="004518ED"/>
    <w:rsid w:val="00485F6A"/>
    <w:rsid w:val="004918DE"/>
    <w:rsid w:val="00492396"/>
    <w:rsid w:val="004A3C35"/>
    <w:rsid w:val="004B4C38"/>
    <w:rsid w:val="004D7D54"/>
    <w:rsid w:val="004E19F9"/>
    <w:rsid w:val="004E763F"/>
    <w:rsid w:val="004F04FA"/>
    <w:rsid w:val="004F14EE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45344"/>
    <w:rsid w:val="00557EAF"/>
    <w:rsid w:val="005636B3"/>
    <w:rsid w:val="00572A18"/>
    <w:rsid w:val="00582810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E109F"/>
    <w:rsid w:val="005E2634"/>
    <w:rsid w:val="005F2B9A"/>
    <w:rsid w:val="00602027"/>
    <w:rsid w:val="00603E01"/>
    <w:rsid w:val="0061453F"/>
    <w:rsid w:val="00642760"/>
    <w:rsid w:val="006654AB"/>
    <w:rsid w:val="00667F1D"/>
    <w:rsid w:val="006700C7"/>
    <w:rsid w:val="00685D33"/>
    <w:rsid w:val="006D1027"/>
    <w:rsid w:val="006D3FD5"/>
    <w:rsid w:val="006D6949"/>
    <w:rsid w:val="006E5C24"/>
    <w:rsid w:val="006F20E7"/>
    <w:rsid w:val="006F7EFE"/>
    <w:rsid w:val="00752552"/>
    <w:rsid w:val="007638EF"/>
    <w:rsid w:val="00763F6E"/>
    <w:rsid w:val="00781585"/>
    <w:rsid w:val="007878CB"/>
    <w:rsid w:val="00787E7C"/>
    <w:rsid w:val="0079599D"/>
    <w:rsid w:val="007A7287"/>
    <w:rsid w:val="007D0861"/>
    <w:rsid w:val="007D3D95"/>
    <w:rsid w:val="007E010B"/>
    <w:rsid w:val="007F0A49"/>
    <w:rsid w:val="007F5C7C"/>
    <w:rsid w:val="00801E97"/>
    <w:rsid w:val="00801EB4"/>
    <w:rsid w:val="00802FC2"/>
    <w:rsid w:val="00817121"/>
    <w:rsid w:val="00830365"/>
    <w:rsid w:val="0083340B"/>
    <w:rsid w:val="00843817"/>
    <w:rsid w:val="008460B7"/>
    <w:rsid w:val="00847915"/>
    <w:rsid w:val="008601F7"/>
    <w:rsid w:val="00861270"/>
    <w:rsid w:val="00874305"/>
    <w:rsid w:val="00880A77"/>
    <w:rsid w:val="008A3F6C"/>
    <w:rsid w:val="008A7D12"/>
    <w:rsid w:val="008B07C8"/>
    <w:rsid w:val="008B3C68"/>
    <w:rsid w:val="008B6AF9"/>
    <w:rsid w:val="008D1512"/>
    <w:rsid w:val="008D3EC5"/>
    <w:rsid w:val="008D4062"/>
    <w:rsid w:val="008E2694"/>
    <w:rsid w:val="008E2E76"/>
    <w:rsid w:val="008F234A"/>
    <w:rsid w:val="008F2894"/>
    <w:rsid w:val="00902ADE"/>
    <w:rsid w:val="009100FA"/>
    <w:rsid w:val="00910118"/>
    <w:rsid w:val="009152F8"/>
    <w:rsid w:val="00917A1D"/>
    <w:rsid w:val="00931E51"/>
    <w:rsid w:val="00940731"/>
    <w:rsid w:val="009430FB"/>
    <w:rsid w:val="00943538"/>
    <w:rsid w:val="0095347B"/>
    <w:rsid w:val="00962953"/>
    <w:rsid w:val="00964D55"/>
    <w:rsid w:val="00980CC9"/>
    <w:rsid w:val="00984F8B"/>
    <w:rsid w:val="009957C5"/>
    <w:rsid w:val="009B0295"/>
    <w:rsid w:val="009C1E02"/>
    <w:rsid w:val="009D2368"/>
    <w:rsid w:val="009D5F8B"/>
    <w:rsid w:val="009F3A7A"/>
    <w:rsid w:val="00A03DA8"/>
    <w:rsid w:val="00A05FAB"/>
    <w:rsid w:val="00A24E3D"/>
    <w:rsid w:val="00A37D2E"/>
    <w:rsid w:val="00A4039F"/>
    <w:rsid w:val="00A4162C"/>
    <w:rsid w:val="00A41677"/>
    <w:rsid w:val="00A54A8C"/>
    <w:rsid w:val="00A564DC"/>
    <w:rsid w:val="00A565C7"/>
    <w:rsid w:val="00A719DF"/>
    <w:rsid w:val="00AA038B"/>
    <w:rsid w:val="00AB034D"/>
    <w:rsid w:val="00AD5257"/>
    <w:rsid w:val="00AD7220"/>
    <w:rsid w:val="00B01072"/>
    <w:rsid w:val="00B136EC"/>
    <w:rsid w:val="00B14B01"/>
    <w:rsid w:val="00B43EBD"/>
    <w:rsid w:val="00B468E5"/>
    <w:rsid w:val="00B66E09"/>
    <w:rsid w:val="00B749C5"/>
    <w:rsid w:val="00B95D78"/>
    <w:rsid w:val="00B97308"/>
    <w:rsid w:val="00BB3BEC"/>
    <w:rsid w:val="00BD02BB"/>
    <w:rsid w:val="00BD3885"/>
    <w:rsid w:val="00BD66E4"/>
    <w:rsid w:val="00C11798"/>
    <w:rsid w:val="00C16484"/>
    <w:rsid w:val="00C20169"/>
    <w:rsid w:val="00C21AB2"/>
    <w:rsid w:val="00C27976"/>
    <w:rsid w:val="00C3731F"/>
    <w:rsid w:val="00C62388"/>
    <w:rsid w:val="00C63550"/>
    <w:rsid w:val="00C637B0"/>
    <w:rsid w:val="00C87FB3"/>
    <w:rsid w:val="00C9629C"/>
    <w:rsid w:val="00C96395"/>
    <w:rsid w:val="00C96A56"/>
    <w:rsid w:val="00CA156D"/>
    <w:rsid w:val="00CA7FE1"/>
    <w:rsid w:val="00CC58EB"/>
    <w:rsid w:val="00CE1382"/>
    <w:rsid w:val="00D02FAD"/>
    <w:rsid w:val="00D0530E"/>
    <w:rsid w:val="00D05DED"/>
    <w:rsid w:val="00D124A8"/>
    <w:rsid w:val="00D206AC"/>
    <w:rsid w:val="00D4673F"/>
    <w:rsid w:val="00D47F83"/>
    <w:rsid w:val="00D55CE9"/>
    <w:rsid w:val="00D564F7"/>
    <w:rsid w:val="00D72038"/>
    <w:rsid w:val="00D763BC"/>
    <w:rsid w:val="00D872A1"/>
    <w:rsid w:val="00D93F2F"/>
    <w:rsid w:val="00D966E8"/>
    <w:rsid w:val="00DB4B20"/>
    <w:rsid w:val="00DC5E29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50E5B"/>
    <w:rsid w:val="00E667BA"/>
    <w:rsid w:val="00E66EB3"/>
    <w:rsid w:val="00E7044F"/>
    <w:rsid w:val="00E82B0B"/>
    <w:rsid w:val="00E873DD"/>
    <w:rsid w:val="00E932C3"/>
    <w:rsid w:val="00E979AB"/>
    <w:rsid w:val="00EA14DD"/>
    <w:rsid w:val="00EB3279"/>
    <w:rsid w:val="00EC332E"/>
    <w:rsid w:val="00EC39BC"/>
    <w:rsid w:val="00EE0749"/>
    <w:rsid w:val="00EE140B"/>
    <w:rsid w:val="00EE441C"/>
    <w:rsid w:val="00F33755"/>
    <w:rsid w:val="00F35BD7"/>
    <w:rsid w:val="00F36982"/>
    <w:rsid w:val="00F41DDB"/>
    <w:rsid w:val="00F629AC"/>
    <w:rsid w:val="00F9249D"/>
    <w:rsid w:val="00F95ED9"/>
    <w:rsid w:val="00F97357"/>
    <w:rsid w:val="00FB22DB"/>
    <w:rsid w:val="00FC0AD1"/>
    <w:rsid w:val="00FC2396"/>
    <w:rsid w:val="00FD060F"/>
    <w:rsid w:val="00FD1723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FC885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4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4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4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4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4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4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Tiret5">
    <w:name w:val="Tiret 5"/>
    <w:basedOn w:val="Point5"/>
    <w:pPr>
      <w:numPr>
        <w:numId w:val="42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3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3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3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3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43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43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43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5"/>
      </w:numPr>
    </w:pPr>
  </w:style>
  <w:style w:type="paragraph" w:customStyle="1" w:styleId="Point1number">
    <w:name w:val="Point 1 (number)"/>
    <w:basedOn w:val="Normal"/>
    <w:pPr>
      <w:numPr>
        <w:ilvl w:val="2"/>
        <w:numId w:val="45"/>
      </w:numPr>
    </w:pPr>
  </w:style>
  <w:style w:type="paragraph" w:customStyle="1" w:styleId="Point2number">
    <w:name w:val="Point 2 (number)"/>
    <w:basedOn w:val="Normal"/>
    <w:pPr>
      <w:numPr>
        <w:ilvl w:val="4"/>
        <w:numId w:val="45"/>
      </w:numPr>
    </w:pPr>
  </w:style>
  <w:style w:type="paragraph" w:customStyle="1" w:styleId="Point3number">
    <w:name w:val="Point 3 (number)"/>
    <w:basedOn w:val="Normal"/>
    <w:pPr>
      <w:numPr>
        <w:ilvl w:val="6"/>
        <w:numId w:val="45"/>
      </w:numPr>
    </w:pPr>
  </w:style>
  <w:style w:type="paragraph" w:customStyle="1" w:styleId="Point0letter">
    <w:name w:val="Point 0 (letter)"/>
    <w:basedOn w:val="Normal"/>
    <w:pPr>
      <w:numPr>
        <w:ilvl w:val="1"/>
        <w:numId w:val="45"/>
      </w:numPr>
    </w:pPr>
  </w:style>
  <w:style w:type="paragraph" w:customStyle="1" w:styleId="Point1letter">
    <w:name w:val="Point 1 (letter)"/>
    <w:basedOn w:val="Normal"/>
    <w:pPr>
      <w:numPr>
        <w:ilvl w:val="3"/>
        <w:numId w:val="45"/>
      </w:numPr>
    </w:pPr>
  </w:style>
  <w:style w:type="paragraph" w:customStyle="1" w:styleId="Point2letter">
    <w:name w:val="Point 2 (letter)"/>
    <w:basedOn w:val="Normal"/>
    <w:pPr>
      <w:numPr>
        <w:ilvl w:val="5"/>
        <w:numId w:val="45"/>
      </w:numPr>
    </w:pPr>
  </w:style>
  <w:style w:type="paragraph" w:customStyle="1" w:styleId="Point3letter">
    <w:name w:val="Point 3 (letter)"/>
    <w:basedOn w:val="Normal"/>
    <w:pPr>
      <w:numPr>
        <w:ilvl w:val="7"/>
        <w:numId w:val="45"/>
      </w:numPr>
    </w:pPr>
  </w:style>
  <w:style w:type="paragraph" w:customStyle="1" w:styleId="Point4letter">
    <w:name w:val="Point 4 (letter)"/>
    <w:basedOn w:val="Normal"/>
    <w:pPr>
      <w:numPr>
        <w:ilvl w:val="8"/>
        <w:numId w:val="45"/>
      </w:numPr>
    </w:pPr>
  </w:style>
  <w:style w:type="paragraph" w:customStyle="1" w:styleId="Bullet0">
    <w:name w:val="Bullet 0"/>
    <w:basedOn w:val="Normal"/>
    <w:pPr>
      <w:numPr>
        <w:numId w:val="46"/>
      </w:numPr>
    </w:pPr>
  </w:style>
  <w:style w:type="paragraph" w:customStyle="1" w:styleId="Bullet1">
    <w:name w:val="Bullet 1"/>
    <w:basedOn w:val="Normal"/>
    <w:pPr>
      <w:numPr>
        <w:numId w:val="47"/>
      </w:numPr>
    </w:pPr>
  </w:style>
  <w:style w:type="paragraph" w:customStyle="1" w:styleId="Bullet2">
    <w:name w:val="Bullet 2"/>
    <w:basedOn w:val="Normal"/>
    <w:pPr>
      <w:numPr>
        <w:numId w:val="48"/>
      </w:numPr>
    </w:pPr>
  </w:style>
  <w:style w:type="paragraph" w:customStyle="1" w:styleId="Bullet3">
    <w:name w:val="Bullet 3"/>
    <w:basedOn w:val="Normal"/>
    <w:pPr>
      <w:numPr>
        <w:numId w:val="49"/>
      </w:numPr>
    </w:pPr>
  </w:style>
  <w:style w:type="paragraph" w:customStyle="1" w:styleId="Bullet4">
    <w:name w:val="Bullet 4"/>
    <w:basedOn w:val="Normal"/>
    <w:pPr>
      <w:numPr>
        <w:numId w:val="50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4" Type="http://schemas.openxmlformats.org/officeDocument/2006/relationships/hyperlink" Target="http://data.europa.eu/eli/reg/2010/109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2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33</TotalTime>
  <Pages>2</Pages>
  <Words>768</Words>
  <Characters>5726</Characters>
  <Application>Microsoft Office Word</Application>
  <DocSecurity>0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FENECH Mark Anthony (DGT)</cp:lastModifiedBy>
  <cp:revision>33</cp:revision>
  <dcterms:created xsi:type="dcterms:W3CDTF">2025-12-05T16:19:00Z</dcterms:created>
  <dcterms:modified xsi:type="dcterms:W3CDTF">2026-01-26T09:02:00Z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