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1BF8" w14:textId="331D7C72" w:rsidR="004E763F" w:rsidRPr="00836B9F" w:rsidRDefault="006D248A" w:rsidP="00836B9F">
      <w:pPr>
        <w:pStyle w:val="Pagedecouverture"/>
      </w:pPr>
      <w:r>
        <w:pict w14:anchorId="6DCB3B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C7A44F4-85A8-4D9C-8407-16E418E25413" style="width:455.25pt;height:330.75pt">
            <v:imagedata r:id="rId11" o:title=""/>
          </v:shape>
        </w:pict>
      </w:r>
    </w:p>
    <w:p w14:paraId="1986B6EA" w14:textId="77777777" w:rsidR="00CE1382" w:rsidRPr="00836B9F" w:rsidRDefault="00CE1382" w:rsidP="003838B9">
      <w:pPr>
        <w:sectPr w:rsidR="00CE1382" w:rsidRPr="00836B9F" w:rsidSect="00836B9F">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ADCEA6B" w14:textId="6E287207" w:rsidR="00C16484" w:rsidRPr="00836B9F" w:rsidRDefault="00836B9F" w:rsidP="00836B9F">
      <w:pPr>
        <w:pStyle w:val="Typedudocument"/>
      </w:pPr>
      <w:r w:rsidRPr="00836B9F">
        <w:lastRenderedPageBreak/>
        <w:t>KOMISIJAS ĪSTENOŠANAS REGULA (ES) …/..</w:t>
      </w:r>
    </w:p>
    <w:p w14:paraId="6819E66E" w14:textId="7DE64445" w:rsidR="00C16484" w:rsidRPr="00836B9F" w:rsidRDefault="00836B9F" w:rsidP="00836B9F">
      <w:pPr>
        <w:pStyle w:val="Datedadoption"/>
      </w:pPr>
      <w:r w:rsidRPr="00836B9F">
        <w:t>(</w:t>
      </w:r>
      <w:r w:rsidRPr="00836B9F">
        <w:rPr>
          <w:rStyle w:val="Marker2"/>
        </w:rPr>
        <w:t>XXX</w:t>
      </w:r>
      <w:r w:rsidRPr="00836B9F">
        <w:t>),</w:t>
      </w:r>
    </w:p>
    <w:p w14:paraId="44AA08D1" w14:textId="7D2DE266" w:rsidR="00C16484" w:rsidRPr="00836B9F" w:rsidRDefault="00836B9F" w:rsidP="00836B9F">
      <w:pPr>
        <w:pStyle w:val="Titreobjet"/>
      </w:pPr>
      <w:r w:rsidRPr="00836B9F">
        <w:t>ar ko groza Īstenošanas regulā (ES) 2021/622 noteiktos īstenošanas tehniskos standartus attiecībā uz ziņošanas biežumu un iesniedzamo informāciju</w:t>
      </w:r>
    </w:p>
    <w:p w14:paraId="4A210142" w14:textId="6A78F64F" w:rsidR="00C16484" w:rsidRPr="00836B9F" w:rsidRDefault="00836B9F" w:rsidP="00836B9F">
      <w:pPr>
        <w:pStyle w:val="IntrtEEE"/>
      </w:pPr>
      <w:r w:rsidRPr="00836B9F">
        <w:t>(Dokuments attiecas uz EEZ)</w:t>
      </w:r>
    </w:p>
    <w:p w14:paraId="6F3A17D1" w14:textId="77777777" w:rsidR="00C16484" w:rsidRPr="00836B9F" w:rsidRDefault="00C16484">
      <w:pPr>
        <w:pStyle w:val="Institutionquiagit"/>
      </w:pPr>
      <w:r w:rsidRPr="00836B9F">
        <w:t>EIROPAS KOMISIJA,</w:t>
      </w:r>
    </w:p>
    <w:p w14:paraId="22B09AC6" w14:textId="77777777" w:rsidR="00C16484" w:rsidRPr="00836B9F" w:rsidRDefault="00C16484">
      <w:r w:rsidRPr="00836B9F">
        <w:rPr>
          <w:color w:val="000000"/>
        </w:rPr>
        <w:t>ņemot vērā Līgumu par Eiropas Savienības darbību</w:t>
      </w:r>
      <w:r w:rsidRPr="00836B9F">
        <w:t>,</w:t>
      </w:r>
    </w:p>
    <w:p w14:paraId="6C2E5C7E" w14:textId="77777777" w:rsidR="00C16484" w:rsidRPr="00836B9F" w:rsidRDefault="00C16484">
      <w:r w:rsidRPr="00836B9F">
        <w:t>ņemot vērā Eiropas Parlamenta un Padomes Direktīvu 2014/59/ES (2014. gada 15. maijs), ar ko izveido kredītiestāžu un ieguldījumu brokeru sabiedrību atveseļošanas un noregulējuma režīmu un groza Padomes Direktīvu 82/891/EEK un Eiropas Parlamenta un Padomes Direktīvas 2001/24/EK, 2002/47/EK, 2004/25/EK, 2005/56/EK, 2007/36/EK, 2011/35/ES, 2012/30/ES un 2013/36/ES, un Eiropas Parlamenta un Padomes Regulas (ES) Nr. 1093/2010 un (ES) Nr. 648/2012</w:t>
      </w:r>
      <w:r w:rsidRPr="00836B9F">
        <w:rPr>
          <w:rStyle w:val="FootnoteReference"/>
        </w:rPr>
        <w:footnoteReference w:id="2"/>
      </w:r>
      <w:r w:rsidRPr="00836B9F">
        <w:t>, un jo īpaši tās 45.j panta 2. punkta trešo daļu,</w:t>
      </w:r>
    </w:p>
    <w:p w14:paraId="499F4150" w14:textId="77777777" w:rsidR="00C16484" w:rsidRPr="00836B9F" w:rsidRDefault="00C16484">
      <w:r w:rsidRPr="00836B9F">
        <w:t>tā kā:</w:t>
      </w:r>
    </w:p>
    <w:p w14:paraId="7D99777F" w14:textId="77777777" w:rsidR="003428AE" w:rsidRPr="00836B9F" w:rsidRDefault="003428AE" w:rsidP="004B4C38">
      <w:pPr>
        <w:pStyle w:val="Considrant"/>
        <w:numPr>
          <w:ilvl w:val="0"/>
          <w:numId w:val="2"/>
        </w:numPr>
        <w:rPr>
          <w:iCs/>
          <w:noProof/>
        </w:rPr>
      </w:pPr>
      <w:r w:rsidRPr="00836B9F">
        <w:t>ar Eiropas Parlamenta un Padomes Direktīvu (ES) 2024/1174</w:t>
      </w:r>
      <w:r w:rsidRPr="00836B9F">
        <w:rPr>
          <w:rStyle w:val="FootnoteReference"/>
          <w:iCs/>
          <w:noProof/>
        </w:rPr>
        <w:footnoteReference w:id="3"/>
      </w:r>
      <w:r w:rsidRPr="00836B9F">
        <w:t xml:space="preserve"> tika grozīti daži aspekti Direktīvā 2014/59/ES noteiktajā minimuma prasībā pašu kapitālam un atbilstīgajām saistībām (</w:t>
      </w:r>
      <w:r w:rsidRPr="00836B9F">
        <w:rPr>
          <w:i/>
        </w:rPr>
        <w:t>MREL</w:t>
      </w:r>
      <w:r w:rsidRPr="00836B9F">
        <w:t xml:space="preserve">). Ievērojot minētos grozījumus, noregulējuma iestādēm nebūtu jānosaka </w:t>
      </w:r>
      <w:r w:rsidRPr="00836B9F">
        <w:rPr>
          <w:i/>
        </w:rPr>
        <w:t>MREL</w:t>
      </w:r>
      <w:r w:rsidRPr="00836B9F">
        <w:t xml:space="preserve"> likvidācijas vienībām, izņemot gadījumus, kad tādas </w:t>
      </w:r>
      <w:r w:rsidRPr="00836B9F">
        <w:rPr>
          <w:i/>
        </w:rPr>
        <w:t>MREL</w:t>
      </w:r>
      <w:r w:rsidRPr="00836B9F">
        <w:t xml:space="preserve"> noteikšana, kas pārsniedz zaudējumu absorbcijai pietiekamu summu, ir nepieciešama, lai aizsargātu finanšu stabilitāti vai novērstu kaitīgas ietekmes izplatīšanās risku finanšu sistēmā, tostarp attiecībā uz noguldījumu garantiju sistēmu finansēšanas spēju. Turklāt Direktīva (ES) 2024/1174 palielināja to situāciju skaitu, kas ļauj noregulējuma iestādēm konsolidēti noteikt </w:t>
      </w:r>
      <w:r w:rsidRPr="00836B9F">
        <w:rPr>
          <w:i/>
        </w:rPr>
        <w:t>MREL</w:t>
      </w:r>
      <w:r w:rsidRPr="00836B9F">
        <w:t>. Komisijas Īstenošanas regula (ES) 2021/622</w:t>
      </w:r>
      <w:r w:rsidRPr="00836B9F">
        <w:rPr>
          <w:rStyle w:val="FootnoteReference"/>
          <w:iCs/>
          <w:noProof/>
        </w:rPr>
        <w:footnoteReference w:id="4"/>
      </w:r>
      <w:r w:rsidRPr="00836B9F">
        <w:t xml:space="preserve"> būtu jāgroza, lai minētās izmaiņas </w:t>
      </w:r>
      <w:r w:rsidRPr="00836B9F">
        <w:rPr>
          <w:i/>
        </w:rPr>
        <w:t>MREL</w:t>
      </w:r>
      <w:r w:rsidRPr="00836B9F">
        <w:t xml:space="preserve"> regulējumā atspoguļotu informācijā, kas jānosūta Eiropas Banku iestādei (EBI).</w:t>
      </w:r>
    </w:p>
    <w:p w14:paraId="038A3063" w14:textId="77777777" w:rsidR="00C16484" w:rsidRPr="00836B9F" w:rsidRDefault="00A05FAB" w:rsidP="008B6AF9">
      <w:pPr>
        <w:pStyle w:val="Considrant"/>
        <w:numPr>
          <w:ilvl w:val="0"/>
          <w:numId w:val="2"/>
        </w:numPr>
        <w:rPr>
          <w:iCs/>
          <w:noProof/>
        </w:rPr>
      </w:pPr>
      <w:r w:rsidRPr="00836B9F">
        <w:t xml:space="preserve">Īstenošanas regulā (ES) 2021/622 pašlaik ir noteikts, ka noregulējuma iestādēm katru gadu ir jānosūta EBI informācija, kas saistīta ar </w:t>
      </w:r>
      <w:r w:rsidRPr="00836B9F">
        <w:rPr>
          <w:i/>
        </w:rPr>
        <w:t>MREL</w:t>
      </w:r>
      <w:r w:rsidRPr="00836B9F">
        <w:t xml:space="preserve"> noteikšanu. Līdz ar to, lai sagatavotu savu ziņojumu par </w:t>
      </w:r>
      <w:r w:rsidRPr="00836B9F">
        <w:rPr>
          <w:i/>
        </w:rPr>
        <w:t>MREL</w:t>
      </w:r>
      <w:r w:rsidRPr="00836B9F">
        <w:t xml:space="preserve"> saskaņā ar Direktīvas 2014/59/ES 45.l pantu, ko tā pašlaik veic divas reizes gadā, EBI apvieno minēto informāciju ar informāciju par pašu kapitāla un atbilstīgo saistību sastāvu, kas iegūta saskaņā ar Komisijas Īstenošanas regulu (ES) 2021/763</w:t>
      </w:r>
      <w:r w:rsidRPr="00836B9F">
        <w:rPr>
          <w:rStyle w:val="FootnoteReference"/>
          <w:noProof/>
        </w:rPr>
        <w:footnoteReference w:id="5"/>
      </w:r>
      <w:r w:rsidRPr="00836B9F">
        <w:t xml:space="preserve">. Tas, ka informācija par </w:t>
      </w:r>
      <w:r w:rsidRPr="00836B9F">
        <w:rPr>
          <w:i/>
        </w:rPr>
        <w:t>MREL</w:t>
      </w:r>
      <w:r w:rsidRPr="00836B9F">
        <w:t xml:space="preserve"> noteikšanu pašlaik tiek ziņota reizi gadā, nozīmē, ka </w:t>
      </w:r>
      <w:r w:rsidRPr="00836B9F">
        <w:rPr>
          <w:i/>
        </w:rPr>
        <w:t>MREL</w:t>
      </w:r>
      <w:r w:rsidRPr="00836B9F">
        <w:t xml:space="preserve"> lēmumi, ko noregulējuma iestādes pieņēmušas pēc attiecīgā atsauces datuma, netiek nosūtīti EBI un EBI tos nenovērtē, un tie tiek atspoguļoti tās ziņojumos tikai nākamajā gadā, tādējādi radot neatbilstību jaunākajai informācijai par pašu kapitāla un atbilstīgo saistību sastāvu.</w:t>
      </w:r>
    </w:p>
    <w:p w14:paraId="676EF325" w14:textId="77777777" w:rsidR="00C16484" w:rsidRPr="00836B9F" w:rsidRDefault="00C16484" w:rsidP="004B4C38">
      <w:pPr>
        <w:pStyle w:val="Considrant"/>
        <w:numPr>
          <w:ilvl w:val="0"/>
          <w:numId w:val="2"/>
        </w:numPr>
        <w:rPr>
          <w:iCs/>
          <w:noProof/>
        </w:rPr>
      </w:pPr>
      <w:r w:rsidRPr="00836B9F">
        <w:t xml:space="preserve">Lai uzlabotu EBI spēju uzraudzīt un novērtēt noregulējuma iestāžu noteikto </w:t>
      </w:r>
      <w:r w:rsidRPr="00836B9F">
        <w:rPr>
          <w:i/>
        </w:rPr>
        <w:t>MREL</w:t>
      </w:r>
      <w:r w:rsidRPr="00836B9F">
        <w:t xml:space="preserve"> un iestāžu atbilstību </w:t>
      </w:r>
      <w:r w:rsidRPr="00836B9F">
        <w:rPr>
          <w:i/>
        </w:rPr>
        <w:t>MREL</w:t>
      </w:r>
      <w:r w:rsidRPr="00836B9F">
        <w:t xml:space="preserve"> prasībām, noregulējuma iestādēm vajadzētu būt pienākumam biežāk ziņot EBI par </w:t>
      </w:r>
      <w:r w:rsidRPr="00836B9F">
        <w:rPr>
          <w:i/>
        </w:rPr>
        <w:t>MREL</w:t>
      </w:r>
      <w:r w:rsidRPr="00836B9F">
        <w:t xml:space="preserve"> lēmumiem. Lai nodrošinātu saskaņotību ar EBI sagatavotajiem ziņojumiem par </w:t>
      </w:r>
      <w:r w:rsidRPr="00836B9F">
        <w:rPr>
          <w:i/>
        </w:rPr>
        <w:t>MREL</w:t>
      </w:r>
      <w:r w:rsidRPr="00836B9F">
        <w:t xml:space="preserve">, noregulējuma iestādēm minētā informācija būtu jāziņo divas reizes gadā. </w:t>
      </w:r>
    </w:p>
    <w:p w14:paraId="2672C096" w14:textId="77777777" w:rsidR="00C16484" w:rsidRPr="00836B9F" w:rsidRDefault="00C16484" w:rsidP="004B4C38">
      <w:pPr>
        <w:pStyle w:val="Considrant"/>
        <w:numPr>
          <w:ilvl w:val="0"/>
          <w:numId w:val="2"/>
        </w:numPr>
        <w:rPr>
          <w:noProof/>
        </w:rPr>
      </w:pPr>
      <w:r w:rsidRPr="00836B9F">
        <w:t xml:space="preserve">Lai atvieglotu EBI novērtējumu par to, kā noregulējuma iestādes ir izmantojušas rīcības brīvību, nosakot </w:t>
      </w:r>
      <w:r w:rsidRPr="00836B9F">
        <w:rPr>
          <w:i/>
        </w:rPr>
        <w:t>MREL</w:t>
      </w:r>
      <w:r w:rsidRPr="00836B9F">
        <w:t xml:space="preserve">, jo īpaši attiecībā uz iespēju, kas pieejama saskaņā ar Direktīvas 2014/59/ES 45.b panta 4. punkta pirmo daļu, veidne M 20.00 — Ziņošana par </w:t>
      </w:r>
      <w:r w:rsidRPr="00836B9F">
        <w:rPr>
          <w:i/>
        </w:rPr>
        <w:t>MREL</w:t>
      </w:r>
      <w:r w:rsidRPr="00836B9F">
        <w:t xml:space="preserve"> lēmumiem (Regulas (ES) 2021/622 I pielikums) un attiecīgie norādījumi būtu jāpielāgo, lai pieprasītu, ka tiek iekļauta informācija par minētās iespējas izmantošanu.</w:t>
      </w:r>
    </w:p>
    <w:p w14:paraId="1B5314C9" w14:textId="77777777" w:rsidR="00C16484" w:rsidRPr="00836B9F" w:rsidRDefault="00C16484" w:rsidP="004B4C38">
      <w:pPr>
        <w:pStyle w:val="Considrant"/>
        <w:numPr>
          <w:ilvl w:val="0"/>
          <w:numId w:val="2"/>
        </w:numPr>
        <w:rPr>
          <w:noProof/>
        </w:rPr>
      </w:pPr>
      <w:r w:rsidRPr="00836B9F">
        <w:t>EVTI ir lūgusi saskaņā ar Eiropas Parlamenta un Padomes Regulas (ES) Nr. 1093/2010 37. pantu izveidotās Vērtspapīru un tirgu nozares ieinteresēto personu grupas atzinumu</w:t>
      </w:r>
      <w:r w:rsidRPr="00836B9F">
        <w:rPr>
          <w:rStyle w:val="FootnoteReference"/>
          <w:noProof/>
        </w:rPr>
        <w:footnoteReference w:id="6"/>
      </w:r>
      <w:r w:rsidRPr="00836B9F">
        <w:t xml:space="preserve">. </w:t>
      </w:r>
    </w:p>
    <w:p w14:paraId="5D5111C6" w14:textId="77777777" w:rsidR="00C16484" w:rsidRPr="00836B9F" w:rsidRDefault="00373FC4" w:rsidP="004B4C38">
      <w:pPr>
        <w:pStyle w:val="Considrant"/>
        <w:numPr>
          <w:ilvl w:val="0"/>
          <w:numId w:val="2"/>
        </w:numPr>
        <w:rPr>
          <w:noProof/>
        </w:rPr>
      </w:pPr>
      <w:r w:rsidRPr="00836B9F">
        <w:t xml:space="preserve">Grozījumi Regulā (ES) 2021/622 ir adresēti noregulējuma iestādēm un neietver būtiskas izmaiņas pēc būtības. Tāpēc EBI saskaņā ar Regulas (ES) Nr. 1093/2010 15. panta 1. punkta otro daļu nav veikusi atklātu sabiedrisko apspriešanu un nav analizējusi iespējamās saistītās izmaksas un ieguvumus, uzskatot, ka tas būtu nesamērīgi ar attiecīgo īstenošanas tehnisko standartu projekta darbības jomu un ietekmi. </w:t>
      </w:r>
    </w:p>
    <w:p w14:paraId="0A23BFF6" w14:textId="77777777" w:rsidR="00C16484" w:rsidRPr="00836B9F" w:rsidRDefault="00C16484" w:rsidP="004B4C38">
      <w:pPr>
        <w:pStyle w:val="Considrant"/>
        <w:numPr>
          <w:ilvl w:val="0"/>
          <w:numId w:val="2"/>
        </w:numPr>
        <w:rPr>
          <w:noProof/>
        </w:rPr>
      </w:pPr>
      <w:r w:rsidRPr="00836B9F">
        <w:t>Tāpēc Īstenošanas regula (ES) 2021/622 būtu attiecīgi jāgroza.</w:t>
      </w:r>
    </w:p>
    <w:p w14:paraId="1887EA7B" w14:textId="77777777" w:rsidR="00C16484" w:rsidRPr="00836B9F" w:rsidRDefault="00C16484" w:rsidP="004B4C38">
      <w:pPr>
        <w:pStyle w:val="Considrant"/>
        <w:numPr>
          <w:ilvl w:val="0"/>
          <w:numId w:val="2"/>
        </w:numPr>
        <w:rPr>
          <w:noProof/>
        </w:rPr>
      </w:pPr>
      <w:r w:rsidRPr="00836B9F">
        <w:t>Šī regula ir balstīta uz īstenošanas tehnisko standartu projektu, ko Komisijai iesniegusi EBI,</w:t>
      </w:r>
    </w:p>
    <w:p w14:paraId="313B274F" w14:textId="77777777" w:rsidR="00C16484" w:rsidRPr="00836B9F" w:rsidRDefault="00C16484">
      <w:pPr>
        <w:pStyle w:val="Formuledadoption"/>
      </w:pPr>
      <w:r w:rsidRPr="00836B9F">
        <w:t>IR PIEŅĒMUSI ŠO REGULU.</w:t>
      </w:r>
    </w:p>
    <w:p w14:paraId="455FC522" w14:textId="77777777" w:rsidR="00C16484" w:rsidRPr="00836B9F" w:rsidRDefault="00C16484">
      <w:pPr>
        <w:pStyle w:val="Titrearticle"/>
      </w:pPr>
      <w:r w:rsidRPr="00836B9F">
        <w:t>1. pants</w:t>
      </w:r>
    </w:p>
    <w:p w14:paraId="061A957A" w14:textId="77777777" w:rsidR="00C16484" w:rsidRPr="00836B9F" w:rsidRDefault="00C16484" w:rsidP="00C16484">
      <w:pPr>
        <w:rPr>
          <w:noProof/>
        </w:rPr>
      </w:pPr>
      <w:r w:rsidRPr="00836B9F">
        <w:t>Īstenošanas regulu (ES) 2021/622 groza šādi:</w:t>
      </w:r>
    </w:p>
    <w:p w14:paraId="44E520EB" w14:textId="77777777" w:rsidR="00C16484" w:rsidRPr="00836B9F" w:rsidRDefault="00C16484" w:rsidP="00783A3B">
      <w:pPr>
        <w:pStyle w:val="Point0number"/>
        <w:numPr>
          <w:ilvl w:val="0"/>
          <w:numId w:val="6"/>
        </w:numPr>
        <w:rPr>
          <w:noProof/>
        </w:rPr>
      </w:pPr>
      <w:r w:rsidRPr="00836B9F">
        <w:t>regulas 2. pantu groza šādi:</w:t>
      </w:r>
    </w:p>
    <w:p w14:paraId="252CA8AC" w14:textId="77777777" w:rsidR="00C16484" w:rsidRPr="00836B9F" w:rsidRDefault="00C16484" w:rsidP="00783A3B">
      <w:pPr>
        <w:pStyle w:val="Point1letter"/>
        <w:rPr>
          <w:noProof/>
        </w:rPr>
      </w:pPr>
      <w:r w:rsidRPr="00836B9F">
        <w:t>panta virsrakstu aizstāj ar šādu:</w:t>
      </w:r>
    </w:p>
    <w:p w14:paraId="3D4F8508" w14:textId="77777777" w:rsidR="00C16484" w:rsidRPr="00836B9F" w:rsidRDefault="00C16484" w:rsidP="00783A3B">
      <w:pPr>
        <w:jc w:val="center"/>
        <w:rPr>
          <w:noProof/>
        </w:rPr>
      </w:pPr>
      <w:r w:rsidRPr="00836B9F">
        <w:t>“</w:t>
      </w:r>
      <w:r w:rsidRPr="00836B9F">
        <w:rPr>
          <w:b/>
        </w:rPr>
        <w:t>Vienkāršotas ziņošanas prasība iestādēm, kurām piemēro atbrīvojumus</w:t>
      </w:r>
      <w:r w:rsidRPr="00836B9F">
        <w:t>”;</w:t>
      </w:r>
    </w:p>
    <w:p w14:paraId="2EAF66BD" w14:textId="77777777" w:rsidR="00C16484" w:rsidRPr="00836B9F" w:rsidRDefault="00C16484" w:rsidP="00783A3B">
      <w:pPr>
        <w:pStyle w:val="Point1letter"/>
        <w:rPr>
          <w:noProof/>
        </w:rPr>
      </w:pPr>
      <w:r w:rsidRPr="00836B9F">
        <w:t>panta 2. punktu svītro;</w:t>
      </w:r>
    </w:p>
    <w:p w14:paraId="1A052A8B" w14:textId="77777777" w:rsidR="00C16484" w:rsidRPr="00836B9F" w:rsidRDefault="00C16484" w:rsidP="00783A3B">
      <w:pPr>
        <w:pStyle w:val="Point0number"/>
        <w:rPr>
          <w:noProof/>
        </w:rPr>
      </w:pPr>
      <w:r w:rsidRPr="00836B9F">
        <w:t>regulas 3. panta ievadfrāzi aizstāj ar šādu:</w:t>
      </w:r>
    </w:p>
    <w:p w14:paraId="533DCDB8" w14:textId="77777777" w:rsidR="00C16484" w:rsidRPr="00836B9F" w:rsidRDefault="00C16484" w:rsidP="00783A3B">
      <w:pPr>
        <w:rPr>
          <w:noProof/>
        </w:rPr>
      </w:pPr>
      <w:r w:rsidRPr="00836B9F">
        <w:t xml:space="preserve">“Par grupām, kurām konsolidēti piemēro </w:t>
      </w:r>
      <w:r w:rsidRPr="00836B9F">
        <w:rPr>
          <w:i/>
        </w:rPr>
        <w:t>MREL</w:t>
      </w:r>
      <w:r w:rsidRPr="00836B9F">
        <w:t xml:space="preserve"> saskaņā ar Direktīvas 2014/59/ES 45.e pantu, 45.f panta 1. punkta trešo un ceturto daļu un 45.f panta 4. punkta b) apakšpunktu, 1. un 2. pantā minēto informāciju iesniedz šādas iestādes un šādā veidā:”;</w:t>
      </w:r>
    </w:p>
    <w:p w14:paraId="0509E0AB" w14:textId="77777777" w:rsidR="00C16484" w:rsidRPr="00836B9F" w:rsidRDefault="00C16484" w:rsidP="00783A3B">
      <w:pPr>
        <w:pStyle w:val="Point0number"/>
        <w:rPr>
          <w:noProof/>
        </w:rPr>
      </w:pPr>
      <w:r w:rsidRPr="00836B9F">
        <w:t>regulas 4. pantu aizstāj ar šādu:</w:t>
      </w:r>
    </w:p>
    <w:p w14:paraId="66FCA4E9" w14:textId="77777777" w:rsidR="00C16484" w:rsidRPr="00836B9F" w:rsidRDefault="00D47F83" w:rsidP="00783A3B">
      <w:pPr>
        <w:pStyle w:val="Titrearticle"/>
        <w:rPr>
          <w:i w:val="0"/>
          <w:iCs/>
          <w:noProof/>
        </w:rPr>
      </w:pPr>
      <w:r w:rsidRPr="00836B9F">
        <w:rPr>
          <w:i w:val="0"/>
        </w:rPr>
        <w:t>“</w:t>
      </w:r>
      <w:r w:rsidRPr="00836B9F">
        <w:t xml:space="preserve">4. pants </w:t>
      </w:r>
      <w:r w:rsidRPr="00836B9F">
        <w:br/>
      </w:r>
      <w:r w:rsidRPr="00836B9F">
        <w:rPr>
          <w:b/>
          <w:i w:val="0"/>
        </w:rPr>
        <w:t>Ziņošanas laikposmi un iesniegšanas termiņi</w:t>
      </w:r>
    </w:p>
    <w:p w14:paraId="054F5F9B" w14:textId="77777777" w:rsidR="00C16484" w:rsidRPr="00836B9F" w:rsidRDefault="00C16484" w:rsidP="00783A3B">
      <w:pPr>
        <w:rPr>
          <w:noProof/>
        </w:rPr>
      </w:pPr>
      <w:r w:rsidRPr="00836B9F">
        <w:t>Noregulējuma iestādes 1. un 2. pantā minēto informāciju nosūta šādi:</w:t>
      </w:r>
    </w:p>
    <w:p w14:paraId="5113726F" w14:textId="77777777" w:rsidR="00C16484" w:rsidRPr="00836B9F" w:rsidRDefault="00C16484" w:rsidP="00783A3B">
      <w:pPr>
        <w:pStyle w:val="Point1letter"/>
        <w:rPr>
          <w:noProof/>
        </w:rPr>
      </w:pPr>
      <w:r w:rsidRPr="00836B9F">
        <w:t xml:space="preserve">attiecībā uz </w:t>
      </w:r>
      <w:r w:rsidRPr="00836B9F">
        <w:rPr>
          <w:i/>
        </w:rPr>
        <w:t>MREL</w:t>
      </w:r>
      <w:r w:rsidRPr="00836B9F">
        <w:t>, kas piemērojama no 30. jūnija, — līdz attiecīgā gada 16. septembrim;</w:t>
      </w:r>
    </w:p>
    <w:p w14:paraId="7219DDD8" w14:textId="77777777" w:rsidR="00C16484" w:rsidRPr="00836B9F" w:rsidRDefault="00C16484" w:rsidP="00783A3B">
      <w:pPr>
        <w:pStyle w:val="Point1letter"/>
        <w:rPr>
          <w:noProof/>
        </w:rPr>
      </w:pPr>
      <w:r w:rsidRPr="00836B9F">
        <w:t xml:space="preserve">attiecībā uz </w:t>
      </w:r>
      <w:r w:rsidRPr="00836B9F">
        <w:rPr>
          <w:i/>
          <w:iCs/>
        </w:rPr>
        <w:t>MREL</w:t>
      </w:r>
      <w:r w:rsidRPr="00836B9F">
        <w:t>, kas piemērojama no 31. decembra, — līdz nākamā gada 18. martam.”;</w:t>
      </w:r>
    </w:p>
    <w:p w14:paraId="65609948" w14:textId="77777777" w:rsidR="00C16484" w:rsidRPr="00836B9F" w:rsidRDefault="00C16484" w:rsidP="00783A3B">
      <w:pPr>
        <w:pStyle w:val="Point0number"/>
        <w:rPr>
          <w:noProof/>
        </w:rPr>
      </w:pPr>
      <w:r w:rsidRPr="00836B9F">
        <w:t>regulas I pielikumu aizstāj ar šīs regulas I pielikuma tekstu;</w:t>
      </w:r>
    </w:p>
    <w:p w14:paraId="45E55C10" w14:textId="77777777" w:rsidR="00C16484" w:rsidRPr="00836B9F" w:rsidRDefault="00C16484" w:rsidP="00783A3B">
      <w:pPr>
        <w:pStyle w:val="Point0number"/>
        <w:rPr>
          <w:noProof/>
        </w:rPr>
      </w:pPr>
      <w:r w:rsidRPr="00836B9F">
        <w:t>regulas II pielikumu aizstāj ar šīs regulas II pielikuma tekstu.</w:t>
      </w:r>
    </w:p>
    <w:p w14:paraId="0B09A3CA" w14:textId="77777777" w:rsidR="00C16484" w:rsidRPr="00836B9F" w:rsidRDefault="00C16484">
      <w:pPr>
        <w:pStyle w:val="Titrearticle"/>
      </w:pPr>
      <w:r w:rsidRPr="00836B9F">
        <w:t>2. pants</w:t>
      </w:r>
    </w:p>
    <w:p w14:paraId="0BDD24EC" w14:textId="77777777" w:rsidR="00C16484" w:rsidRPr="00836B9F" w:rsidRDefault="00C16484" w:rsidP="00830365">
      <w:r w:rsidRPr="00836B9F">
        <w:t xml:space="preserve">Šī regula stājas spēkā </w:t>
      </w:r>
      <w:r w:rsidRPr="00836B9F">
        <w:rPr>
          <w:color w:val="000000"/>
        </w:rPr>
        <w:t>divdesmitajā dienā</w:t>
      </w:r>
      <w:r w:rsidRPr="00836B9F">
        <w:t xml:space="preserve"> pēc tās publicēšanas </w:t>
      </w:r>
      <w:r w:rsidRPr="00836B9F">
        <w:rPr>
          <w:i/>
        </w:rPr>
        <w:t>Eiropas Savienības Oficiālajā Vēstnesī</w:t>
      </w:r>
      <w:r w:rsidRPr="00836B9F">
        <w:t>.</w:t>
      </w:r>
    </w:p>
    <w:p w14:paraId="3DDE2F7A" w14:textId="77777777" w:rsidR="00C16484" w:rsidRPr="00836B9F" w:rsidRDefault="00C16484">
      <w:pPr>
        <w:pStyle w:val="Applicationdirecte"/>
      </w:pPr>
      <w:r w:rsidRPr="00836B9F">
        <w:t>Šī regula uzliek saistības kopumā un ir tieši piemērojama visās dalībvalstīs.</w:t>
      </w:r>
    </w:p>
    <w:p w14:paraId="0FD02893" w14:textId="0D025881" w:rsidR="00C16484" w:rsidRPr="00836B9F" w:rsidRDefault="00836B9F" w:rsidP="00836B9F">
      <w:pPr>
        <w:pStyle w:val="Fait"/>
      </w:pPr>
      <w:r w:rsidRPr="00836B9F">
        <w:t>Briselē,</w:t>
      </w:r>
    </w:p>
    <w:p w14:paraId="3FB14D4B" w14:textId="77777777" w:rsidR="00C16484" w:rsidRPr="00836B9F" w:rsidRDefault="00C16484" w:rsidP="00C16484">
      <w:pPr>
        <w:pStyle w:val="Institutionquisigne"/>
      </w:pPr>
      <w:r w:rsidRPr="00836B9F">
        <w:tab/>
        <w:t>Komisijas vārdā –</w:t>
      </w:r>
    </w:p>
    <w:p w14:paraId="0FEF1170" w14:textId="0CD182DE" w:rsidR="00C16484" w:rsidRPr="00836B9F" w:rsidRDefault="00C16484" w:rsidP="00C16484">
      <w:pPr>
        <w:pStyle w:val="Personnequisigne"/>
      </w:pPr>
      <w:r w:rsidRPr="00836B9F">
        <w:tab/>
        <w:t xml:space="preserve">priekšsēdētāja </w:t>
      </w:r>
      <w:r w:rsidRPr="00836B9F">
        <w:br/>
      </w:r>
      <w:r w:rsidRPr="00836B9F">
        <w:tab/>
      </w:r>
      <w:r w:rsidRPr="00836B9F">
        <w:rPr>
          <w:i w:val="0"/>
        </w:rPr>
        <w:t>Ursula von der Leyen</w:t>
      </w:r>
      <w:r w:rsidRPr="00836B9F">
        <w:t xml:space="preserve"> </w:t>
      </w:r>
      <w:r w:rsidRPr="00836B9F">
        <w:br/>
      </w:r>
      <w:r w:rsidRPr="00836B9F">
        <w:tab/>
      </w:r>
    </w:p>
    <w:sectPr w:rsidR="00C16484" w:rsidRPr="00836B9F" w:rsidSect="00836B9F">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D8F0" w14:textId="77777777" w:rsidR="00F07F26" w:rsidRDefault="00F07F26" w:rsidP="00C16484">
      <w:pPr>
        <w:spacing w:before="0" w:after="0"/>
      </w:pPr>
      <w:r>
        <w:separator/>
      </w:r>
    </w:p>
  </w:endnote>
  <w:endnote w:type="continuationSeparator" w:id="0">
    <w:p w14:paraId="61DF8EAB" w14:textId="77777777" w:rsidR="00F07F26" w:rsidRDefault="00F07F26" w:rsidP="00C16484">
      <w:pPr>
        <w:spacing w:before="0" w:after="0"/>
      </w:pPr>
      <w:r>
        <w:continuationSeparator/>
      </w:r>
    </w:p>
  </w:endnote>
  <w:endnote w:type="continuationNotice" w:id="1">
    <w:p w14:paraId="04F6DC9C" w14:textId="77777777" w:rsidR="00F07F26" w:rsidRDefault="00F07F2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BD5F" w14:textId="07AE10CE" w:rsidR="00836B9F" w:rsidRPr="00836B9F" w:rsidRDefault="00836B9F" w:rsidP="00836B9F">
    <w:pPr>
      <w:pStyle w:val="Footer"/>
      <w:rPr>
        <w:rFonts w:ascii="Arial" w:hAnsi="Arial" w:cs="Arial"/>
        <w:b/>
        <w:sz w:val="48"/>
      </w:rPr>
    </w:pPr>
    <w:r w:rsidRPr="00836B9F">
      <w:rPr>
        <w:rFonts w:ascii="Arial" w:hAnsi="Arial" w:cs="Arial"/>
        <w:b/>
        <w:sz w:val="48"/>
      </w:rPr>
      <w:t>LV</w:t>
    </w:r>
    <w:r w:rsidRPr="00836B9F">
      <w:rPr>
        <w:rFonts w:ascii="Arial" w:hAnsi="Arial" w:cs="Arial"/>
        <w:b/>
        <w:sz w:val="48"/>
      </w:rPr>
      <w:tab/>
    </w:r>
    <w:r w:rsidRPr="00836B9F">
      <w:rPr>
        <w:rFonts w:ascii="Arial" w:hAnsi="Arial" w:cs="Arial"/>
        <w:b/>
        <w:sz w:val="48"/>
      </w:rPr>
      <w:tab/>
    </w:r>
    <w:r w:rsidRPr="00836B9F">
      <w:tab/>
    </w:r>
    <w:r w:rsidRPr="00836B9F">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86C7" w14:textId="266DB8F8" w:rsidR="00836B9F" w:rsidRPr="00836B9F" w:rsidRDefault="00836B9F" w:rsidP="00836B9F">
    <w:pPr>
      <w:pStyle w:val="Footer"/>
      <w:rPr>
        <w:rFonts w:ascii="Arial" w:hAnsi="Arial" w:cs="Arial"/>
        <w:b/>
        <w:sz w:val="48"/>
      </w:rPr>
    </w:pPr>
    <w:r w:rsidRPr="00836B9F">
      <w:rPr>
        <w:rFonts w:ascii="Arial" w:hAnsi="Arial" w:cs="Arial"/>
        <w:b/>
        <w:sz w:val="48"/>
      </w:rPr>
      <w:t>LV</w:t>
    </w:r>
    <w:r w:rsidRPr="00836B9F">
      <w:rPr>
        <w:rFonts w:ascii="Arial" w:hAnsi="Arial" w:cs="Arial"/>
        <w:b/>
        <w:sz w:val="48"/>
      </w:rPr>
      <w:tab/>
    </w:r>
    <w:r w:rsidRPr="00836B9F">
      <w:rPr>
        <w:rFonts w:ascii="Arial" w:hAnsi="Arial" w:cs="Arial"/>
        <w:b/>
        <w:sz w:val="48"/>
      </w:rPr>
      <w:tab/>
    </w:r>
    <w:r w:rsidRPr="00836B9F">
      <w:tab/>
    </w:r>
    <w:r w:rsidRPr="00836B9F">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22EA" w14:textId="77777777" w:rsidR="00836B9F" w:rsidRPr="00836B9F" w:rsidRDefault="00836B9F" w:rsidP="00836B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2728" w14:textId="77777777" w:rsidR="000C320E" w:rsidRPr="00DC5E29" w:rsidRDefault="000C320E" w:rsidP="00DC5E29">
    <w:pPr>
      <w:pStyle w:val="Footer"/>
      <w:rPr>
        <w:rFonts w:ascii="Arial" w:hAnsi="Arial" w:cs="Arial"/>
        <w:b/>
        <w:sz w:val="4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138E" w14:textId="4E2C1942" w:rsidR="00836B9F" w:rsidRPr="00836B9F" w:rsidRDefault="00836B9F" w:rsidP="00836B9F">
    <w:pPr>
      <w:pStyle w:val="Footer"/>
      <w:rPr>
        <w:rFonts w:ascii="Arial" w:hAnsi="Arial" w:cs="Arial"/>
        <w:b/>
        <w:sz w:val="48"/>
      </w:rPr>
    </w:pPr>
    <w:r w:rsidRPr="00836B9F">
      <w:rPr>
        <w:rFonts w:ascii="Arial" w:hAnsi="Arial" w:cs="Arial"/>
        <w:b/>
        <w:sz w:val="48"/>
      </w:rPr>
      <w:t>LV</w:t>
    </w:r>
    <w:r w:rsidRPr="00836B9F">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36B9F">
      <w:tab/>
    </w:r>
    <w:r w:rsidRPr="00836B9F">
      <w:rPr>
        <w:rFonts w:ascii="Arial" w:hAnsi="Arial" w:cs="Arial"/>
        <w:b/>
        <w:sz w:val="48"/>
      </w:rPr>
      <w:t>LV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2C19" w14:textId="77777777" w:rsidR="000C320E" w:rsidRDefault="000C320E" w:rsidP="00836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4942" w14:textId="77777777" w:rsidR="00F07F26" w:rsidRDefault="00F07F26" w:rsidP="00C16484">
      <w:pPr>
        <w:spacing w:before="0" w:after="0"/>
      </w:pPr>
      <w:r>
        <w:separator/>
      </w:r>
    </w:p>
  </w:footnote>
  <w:footnote w:type="continuationSeparator" w:id="0">
    <w:p w14:paraId="298144EA" w14:textId="77777777" w:rsidR="00F07F26" w:rsidRDefault="00F07F26" w:rsidP="00C16484">
      <w:pPr>
        <w:spacing w:before="0" w:after="0"/>
      </w:pPr>
      <w:r>
        <w:continuationSeparator/>
      </w:r>
    </w:p>
  </w:footnote>
  <w:footnote w:type="continuationNotice" w:id="1">
    <w:p w14:paraId="57F8940A" w14:textId="77777777" w:rsidR="00F07F26" w:rsidRDefault="00F07F26">
      <w:pPr>
        <w:spacing w:before="0" w:after="0"/>
      </w:pPr>
    </w:p>
  </w:footnote>
  <w:footnote w:id="2">
    <w:p w14:paraId="33763137" w14:textId="77777777" w:rsidR="00C16484" w:rsidRPr="002A43D8" w:rsidRDefault="00C16484" w:rsidP="00C16484">
      <w:pPr>
        <w:pStyle w:val="FootnoteText"/>
      </w:pPr>
      <w:r>
        <w:rPr>
          <w:rStyle w:val="FootnoteReference"/>
        </w:rPr>
        <w:footnoteRef/>
      </w:r>
      <w:r>
        <w:tab/>
        <w:t>OV L 173, 12.6.2014., 190. lpp., ELI: </w:t>
      </w:r>
      <w:hyperlink r:id="rId1" w:tooltip="Nodrošina piekļuvi šim dokumentam, izmantojot tā ELI URI." w:history="1">
        <w:r>
          <w:rPr>
            <w:rStyle w:val="Hyperlink"/>
            <w:rFonts w:ascii="Times New Roman" w:hAnsi="Times New Roman"/>
          </w:rPr>
          <w:t>http://data.europa.eu/eli/dir/2014/59/oj</w:t>
        </w:r>
      </w:hyperlink>
      <w:r>
        <w:t xml:space="preserve">. </w:t>
      </w:r>
    </w:p>
  </w:footnote>
  <w:footnote w:id="3">
    <w:p w14:paraId="584AEAAA" w14:textId="78F88551" w:rsidR="003428AE" w:rsidRPr="009B0295" w:rsidRDefault="003428AE">
      <w:pPr>
        <w:pStyle w:val="FootnoteText"/>
      </w:pPr>
      <w:r>
        <w:rPr>
          <w:rStyle w:val="FootnoteReference"/>
        </w:rPr>
        <w:footnoteRef/>
      </w:r>
      <w:r>
        <w:tab/>
        <w:t xml:space="preserve">Eiropas Parlamenta un Padomes Direktīva (ES) 2024/1174 (2024. gada 11. aprīlis), ar ko attiecībā uz minimuma prasības pašu kapitālam un atbilstīgajām saistībām dažiem aspektiem groza Direktīvu 2014/59/ES un Regulu (ES) Nr. 806/2014 (OV L, 2024/1174, 22.4.2024., ELI: </w:t>
      </w:r>
      <w:hyperlink r:id="rId2" w:history="1">
        <w:r>
          <w:rPr>
            <w:rStyle w:val="Hyperlink"/>
            <w:rFonts w:ascii="Times New Roman" w:hAnsi="Times New Roman"/>
          </w:rPr>
          <w:t>http://data.europa.eu/eli/dir/2024/1174/oj</w:t>
        </w:r>
      </w:hyperlink>
      <w:r>
        <w:t xml:space="preserve">). </w:t>
      </w:r>
    </w:p>
  </w:footnote>
  <w:footnote w:id="4">
    <w:p w14:paraId="4D1953DF" w14:textId="607C22C8" w:rsidR="001F4496" w:rsidRPr="009B0295" w:rsidRDefault="001F4496">
      <w:pPr>
        <w:pStyle w:val="FootnoteText"/>
      </w:pPr>
      <w:r>
        <w:rPr>
          <w:rStyle w:val="FootnoteReference"/>
        </w:rPr>
        <w:footnoteRef/>
      </w:r>
      <w:r>
        <w:tab/>
        <w:t xml:space="preserve">Komisijas Īstenošanas regula (ES) 2021/622 (2021. gada 15. aprīlis), ar ko Eiropas Parlamenta un Padomes Direktīvas 2014/59/ES piemērošanas vajadzībām nosaka īstenošanas tehniskos standartus par vienotām ziņošanas veidnēm, norādījumiem un metodoloģiju ziņošanai par minimuma prasību pašu kapitālam un atbilstīgajām saistībām (OV L 131, 16.4.2021, 123.–136. lpp., ELI: </w:t>
      </w:r>
      <w:hyperlink r:id="rId3" w:history="1">
        <w:r>
          <w:rPr>
            <w:rStyle w:val="Hyperlink"/>
            <w:rFonts w:ascii="Times New Roman" w:hAnsi="Times New Roman"/>
          </w:rPr>
          <w:t>http://data.europa.eu/eli/reg_impl/2021/622/oj</w:t>
        </w:r>
      </w:hyperlink>
      <w:r>
        <w:t>).</w:t>
      </w:r>
    </w:p>
  </w:footnote>
  <w:footnote w:id="5">
    <w:p w14:paraId="5FB3833A" w14:textId="77777777" w:rsidR="000B5B60" w:rsidRPr="000B5B60" w:rsidRDefault="000B5B60">
      <w:pPr>
        <w:pStyle w:val="FootnoteText"/>
      </w:pPr>
      <w:r>
        <w:rPr>
          <w:rStyle w:val="FootnoteReference"/>
        </w:rPr>
        <w:footnoteRef/>
      </w:r>
      <w:r>
        <w:tab/>
        <w:t xml:space="preserve">Komisijas Īstenošanas regula (ES) 2021/763 (2021. gada 23. aprīlis), ar ko nosaka īstenošanas tehniskos standartus Eiropas Parlamenta un Padomes Regulas (ES) Nr. 575/2013 un Eiropas Parlamenta un Padomes Direktīvas 2014/59/ES piemērošanai attiecībā uz uzraudzības pārskatu sniegšanu un informācijas publiskošanu par minimuma prasību pašu kapitālam un atbilstīgajām saistībām (OV L 168, 12.5.2021., ELI: </w:t>
      </w:r>
      <w:hyperlink r:id="rId4" w:history="1">
        <w:r>
          <w:rPr>
            <w:rStyle w:val="Hyperlink"/>
            <w:rFonts w:ascii="Times New Roman" w:hAnsi="Times New Roman"/>
          </w:rPr>
          <w:t>http://data.europa.eu/eli/reg_impl/2021/763/oj</w:t>
        </w:r>
      </w:hyperlink>
      <w:r>
        <w:t>).</w:t>
      </w:r>
    </w:p>
  </w:footnote>
  <w:footnote w:id="6">
    <w:p w14:paraId="04BE3385" w14:textId="77777777" w:rsidR="00401F3A" w:rsidRPr="00FE7BD1" w:rsidRDefault="00401F3A" w:rsidP="00F35BD7">
      <w:pPr>
        <w:pStyle w:val="FootnoteText"/>
      </w:pPr>
      <w:r>
        <w:rPr>
          <w:rStyle w:val="FootnoteReference"/>
        </w:rPr>
        <w:footnoteRef/>
      </w:r>
      <w:r>
        <w:tab/>
        <w:t>Eiropas Parlamenta un Padomes Regula (ES) Nr. 1093/2010 (2010. gada 24. novembris), ar ko izveido Eiropas Uzraudzības iestādi (Eiropas Banku iestādi), groza Lēmumu Nr. 716/2009/EK un atceļ Komisijas Lēmumu 2009/78/EK (OV L 331, 15.12.2010. 12. lpp., ELI: </w:t>
      </w:r>
      <w:hyperlink r:id="rId5" w:tooltip="Nodrošina piekļuvi šim dokumentam, izmantojot tā ELI URI." w:history="1">
        <w:r>
          <w:rPr>
            <w:rStyle w:val="Hyperlink"/>
            <w:rFonts w:ascii="Times New Roman" w:hAnsi="Times New Roman"/>
          </w:rPr>
          <w:t>http://data.europa.eu/eli/reg/2010/1093/oj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20C4" w14:textId="77777777" w:rsidR="00836B9F" w:rsidRPr="00836B9F" w:rsidRDefault="00836B9F" w:rsidP="00836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6EDF" w14:textId="77777777" w:rsidR="00836B9F" w:rsidRPr="00836B9F" w:rsidRDefault="00836B9F" w:rsidP="00836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E49D" w14:textId="77777777" w:rsidR="00836B9F" w:rsidRPr="00836B9F" w:rsidRDefault="00836B9F" w:rsidP="00836B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C1D2" w14:textId="77777777" w:rsidR="000C320E" w:rsidRDefault="000C32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10A3" w14:textId="77777777" w:rsidR="000C320E" w:rsidRDefault="000C3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1B8BE2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E56832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CAC290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25511920">
    <w:abstractNumId w:val="3"/>
  </w:num>
  <w:num w:numId="2" w16cid:durableId="784347441">
    <w:abstractNumId w:val="18"/>
    <w:lvlOverride w:ilvl="0">
      <w:startOverride w:val="1"/>
    </w:lvlOverride>
  </w:num>
  <w:num w:numId="3" w16cid:durableId="2119445392">
    <w:abstractNumId w:val="2"/>
  </w:num>
  <w:num w:numId="4" w16cid:durableId="1881360427">
    <w:abstractNumId w:val="1"/>
  </w:num>
  <w:num w:numId="5" w16cid:durableId="309334442">
    <w:abstractNumId w:val="0"/>
  </w:num>
  <w:num w:numId="6" w16cid:durableId="861095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9693441">
    <w:abstractNumId w:val="15"/>
  </w:num>
  <w:num w:numId="8" w16cid:durableId="1693998065">
    <w:abstractNumId w:val="8"/>
  </w:num>
  <w:num w:numId="9" w16cid:durableId="788817884">
    <w:abstractNumId w:val="17"/>
  </w:num>
  <w:num w:numId="10" w16cid:durableId="1535464848">
    <w:abstractNumId w:val="7"/>
  </w:num>
  <w:num w:numId="11" w16cid:durableId="639657071">
    <w:abstractNumId w:val="9"/>
  </w:num>
  <w:num w:numId="12" w16cid:durableId="361050661">
    <w:abstractNumId w:val="10"/>
  </w:num>
  <w:num w:numId="13" w16cid:durableId="472790552">
    <w:abstractNumId w:val="5"/>
  </w:num>
  <w:num w:numId="14" w16cid:durableId="384646725">
    <w:abstractNumId w:val="16"/>
  </w:num>
  <w:num w:numId="15" w16cid:durableId="2031682509">
    <w:abstractNumId w:val="4"/>
  </w:num>
  <w:num w:numId="16" w16cid:durableId="150604668">
    <w:abstractNumId w:val="11"/>
  </w:num>
  <w:num w:numId="17" w16cid:durableId="472332852">
    <w:abstractNumId w:val="13"/>
  </w:num>
  <w:num w:numId="18" w16cid:durableId="1298296966">
    <w:abstractNumId w:val="14"/>
  </w:num>
  <w:num w:numId="19" w16cid:durableId="1306230484">
    <w:abstractNumId w:val="6"/>
  </w:num>
  <w:num w:numId="20" w16cid:durableId="24066917">
    <w:abstractNumId w:val="12"/>
  </w:num>
  <w:num w:numId="21" w16cid:durableId="485436588">
    <w:abstractNumId w:val="18"/>
  </w:num>
  <w:num w:numId="22" w16cid:durableId="2089693441">
    <w:abstractNumId w:val="15"/>
  </w:num>
  <w:num w:numId="23" w16cid:durableId="1693998065">
    <w:abstractNumId w:val="8"/>
  </w:num>
  <w:num w:numId="24" w16cid:durableId="788817884">
    <w:abstractNumId w:val="17"/>
  </w:num>
  <w:num w:numId="25" w16cid:durableId="1535464848">
    <w:abstractNumId w:val="7"/>
  </w:num>
  <w:num w:numId="26" w16cid:durableId="639657071">
    <w:abstractNumId w:val="9"/>
  </w:num>
  <w:num w:numId="27" w16cid:durableId="361050661">
    <w:abstractNumId w:val="10"/>
  </w:num>
  <w:num w:numId="28" w16cid:durableId="472790552">
    <w:abstractNumId w:val="5"/>
  </w:num>
  <w:num w:numId="29" w16cid:durableId="384646725">
    <w:abstractNumId w:val="16"/>
  </w:num>
  <w:num w:numId="30" w16cid:durableId="2031682509">
    <w:abstractNumId w:val="4"/>
  </w:num>
  <w:num w:numId="31" w16cid:durableId="150604668">
    <w:abstractNumId w:val="11"/>
  </w:num>
  <w:num w:numId="32" w16cid:durableId="472332852">
    <w:abstractNumId w:val="13"/>
  </w:num>
  <w:num w:numId="33" w16cid:durableId="1298296966">
    <w:abstractNumId w:val="14"/>
  </w:num>
  <w:num w:numId="34" w16cid:durableId="1306230484">
    <w:abstractNumId w:val="6"/>
  </w:num>
  <w:num w:numId="35" w16cid:durableId="24066917">
    <w:abstractNumId w:val="12"/>
  </w:num>
  <w:num w:numId="36" w16cid:durableId="48543658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QCDateTime" w:val="2026-01-29 11:30:2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EC7A44F4-85A8-4D9C-8407-16E418E25413"/>
    <w:docVar w:name="LW_COVERPAGE_TYPE" w:val="1"/>
    <w:docVar w:name="LW_CreatedUtc" w:val="2025-09-04T16:00:38.0896335Z"/>
    <w:docVar w:name="LW_CROSSREFERENCE" w:val="&lt;UNUSED&gt;"/>
    <w:docVar w:name="LW_DATE.ADOPT.CP" w:val="(XXX),"/>
    <w:docVar w:name="LW_DATE.ADOPT.CP_DATEFORMAT" w:val="(%DATE%),"/>
    <w:docVar w:name="LW_DATE.ADOPT.CP_ISODATE" w:val="&lt;EMPTY&gt;"/>
    <w:docVar w:name="LW_DocType" w:val="COM"/>
    <w:docVar w:name="LW_EMISSION" w:val="&lt;EMPTY&gt;"/>
    <w:docVar w:name="LW_EMISSION_ISODATE" w:val="&lt;EMPTY&gt;"/>
    <w:docVar w:name="LW_EMISSION_LOCATION" w:val="BRX"/>
    <w:docVar w:name="LW_EMISSION_PREFIX" w:val="Brisel\u275?, "/>
    <w:docVar w:name="LW_EMISSION_SUFFIX" w:val="."/>
    <w:docVar w:name="LW_ID_DOCMODEL" w:val="SJ-004"/>
    <w:docVar w:name="LW_ID_DOCSIGNATURE" w:val="SJ-004"/>
    <w:docVar w:name="LW_ID_DOCSTRUCTURE" w:val="COM/AA"/>
    <w:docVar w:name="LW_ID_DOCTYPE" w:val="SJ-004"/>
    <w:docVar w:name="LW_INTERETEEE.CP" w:val="(Dokuments attiecas uz EEZ)"/>
    <w:docVar w:name="LW_LANGUE" w:val="LV"/>
    <w:docVar w:name="LW_LANGUESFAISANTFOI.CP" w:val="&lt;UNUSED&gt;"/>
    <w:docVar w:name="LW_LEVEL_OF_SENSITIVITY" w:val="Standard treatment"/>
    <w:docVar w:name="LW_NOM.INST" w:val="EIROPAS KOMISIJA"/>
    <w:docVar w:name="LW_NOM.INST_JOINTDOC" w:val="&lt;EMPTY&gt;"/>
    <w:docVar w:name="LW_PART_NBR" w:val="1"/>
    <w:docVar w:name="LW_PART_NBR_TOTAL" w:val="1"/>
    <w:docVar w:name="LW_REF.INST.NEW" w:val="&lt;EMPTY&gt;"/>
    <w:docVar w:name="LW_REF.INST.NEW_ADOPTED" w:val="draft"/>
    <w:docVar w:name="LW_REF.INST.NEW_TEXT" w:val="(2026)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r ko groza \u298?steno\u353?anas regul\u257? (ES) 2021/622 noteiktos \u299?steno\u353?anas tehniskos standartus attiec\u299?b\u257? uz zi\u326?o\u353?anas bie\u382?umu un iesniedzamo inform\u257?ciju"/>
    <w:docVar w:name="LW_TYPE.DOC.CP" w:val="KOMISIJAS \u298?STENO\u352?ANAS REGULA (ES) \u8230?/.."/>
  </w:docVars>
  <w:rsids>
    <w:rsidRoot w:val="00C16484"/>
    <w:rsid w:val="00000BE0"/>
    <w:rsid w:val="00016399"/>
    <w:rsid w:val="000417C4"/>
    <w:rsid w:val="00045B9F"/>
    <w:rsid w:val="000625FB"/>
    <w:rsid w:val="00075947"/>
    <w:rsid w:val="000A663E"/>
    <w:rsid w:val="000B5B60"/>
    <w:rsid w:val="000B7A7D"/>
    <w:rsid w:val="000C320E"/>
    <w:rsid w:val="000D3BC2"/>
    <w:rsid w:val="000E5499"/>
    <w:rsid w:val="00115188"/>
    <w:rsid w:val="001151E7"/>
    <w:rsid w:val="00125199"/>
    <w:rsid w:val="0013305B"/>
    <w:rsid w:val="00143ED4"/>
    <w:rsid w:val="00152894"/>
    <w:rsid w:val="0017762B"/>
    <w:rsid w:val="0018141D"/>
    <w:rsid w:val="001A25E7"/>
    <w:rsid w:val="001A6BDC"/>
    <w:rsid w:val="001D5F8E"/>
    <w:rsid w:val="001E3098"/>
    <w:rsid w:val="001E39BF"/>
    <w:rsid w:val="001F2AC0"/>
    <w:rsid w:val="001F4496"/>
    <w:rsid w:val="00214607"/>
    <w:rsid w:val="002259CF"/>
    <w:rsid w:val="002266B1"/>
    <w:rsid w:val="00235A60"/>
    <w:rsid w:val="00244085"/>
    <w:rsid w:val="00244C17"/>
    <w:rsid w:val="00244DFD"/>
    <w:rsid w:val="00246E59"/>
    <w:rsid w:val="00264589"/>
    <w:rsid w:val="0029415E"/>
    <w:rsid w:val="002A43D8"/>
    <w:rsid w:val="002A753D"/>
    <w:rsid w:val="002B37B6"/>
    <w:rsid w:val="002D6B17"/>
    <w:rsid w:val="002F1710"/>
    <w:rsid w:val="0030490D"/>
    <w:rsid w:val="00313AC1"/>
    <w:rsid w:val="00325B37"/>
    <w:rsid w:val="00331377"/>
    <w:rsid w:val="003428AE"/>
    <w:rsid w:val="00353536"/>
    <w:rsid w:val="00364262"/>
    <w:rsid w:val="00373FC4"/>
    <w:rsid w:val="0038290C"/>
    <w:rsid w:val="003838B9"/>
    <w:rsid w:val="00396ACD"/>
    <w:rsid w:val="003B10ED"/>
    <w:rsid w:val="003E05B8"/>
    <w:rsid w:val="003E3FC7"/>
    <w:rsid w:val="003E7D8F"/>
    <w:rsid w:val="003F2A70"/>
    <w:rsid w:val="00401F3A"/>
    <w:rsid w:val="00406CBA"/>
    <w:rsid w:val="004138D9"/>
    <w:rsid w:val="004211F5"/>
    <w:rsid w:val="0042702A"/>
    <w:rsid w:val="00437AA5"/>
    <w:rsid w:val="004518ED"/>
    <w:rsid w:val="00485F6A"/>
    <w:rsid w:val="004918DE"/>
    <w:rsid w:val="00492396"/>
    <w:rsid w:val="004B4C38"/>
    <w:rsid w:val="004D7D54"/>
    <w:rsid w:val="004E19F9"/>
    <w:rsid w:val="004E763F"/>
    <w:rsid w:val="004F04FA"/>
    <w:rsid w:val="004F588A"/>
    <w:rsid w:val="004F6513"/>
    <w:rsid w:val="00506B49"/>
    <w:rsid w:val="00507FF2"/>
    <w:rsid w:val="00517205"/>
    <w:rsid w:val="0052508D"/>
    <w:rsid w:val="00534D3A"/>
    <w:rsid w:val="0054013D"/>
    <w:rsid w:val="00542487"/>
    <w:rsid w:val="00557EAF"/>
    <w:rsid w:val="00582810"/>
    <w:rsid w:val="0058683E"/>
    <w:rsid w:val="005929F6"/>
    <w:rsid w:val="00593EEC"/>
    <w:rsid w:val="00595540"/>
    <w:rsid w:val="005A5382"/>
    <w:rsid w:val="005A55F3"/>
    <w:rsid w:val="005B5FA6"/>
    <w:rsid w:val="005C1F43"/>
    <w:rsid w:val="005D1478"/>
    <w:rsid w:val="005D2C73"/>
    <w:rsid w:val="005D53DD"/>
    <w:rsid w:val="005D6AA6"/>
    <w:rsid w:val="005E2634"/>
    <w:rsid w:val="005F2B9A"/>
    <w:rsid w:val="00603E01"/>
    <w:rsid w:val="0061453F"/>
    <w:rsid w:val="00642760"/>
    <w:rsid w:val="00643DEF"/>
    <w:rsid w:val="006654AB"/>
    <w:rsid w:val="00667F1D"/>
    <w:rsid w:val="006700C7"/>
    <w:rsid w:val="00685D33"/>
    <w:rsid w:val="006D248A"/>
    <w:rsid w:val="006D3FD5"/>
    <w:rsid w:val="006D6949"/>
    <w:rsid w:val="006F20E7"/>
    <w:rsid w:val="006F7EFE"/>
    <w:rsid w:val="007142D9"/>
    <w:rsid w:val="00752552"/>
    <w:rsid w:val="007638EF"/>
    <w:rsid w:val="00763F6E"/>
    <w:rsid w:val="00781585"/>
    <w:rsid w:val="00783A3B"/>
    <w:rsid w:val="007878CB"/>
    <w:rsid w:val="00787E7C"/>
    <w:rsid w:val="0079599D"/>
    <w:rsid w:val="007A7287"/>
    <w:rsid w:val="007D0861"/>
    <w:rsid w:val="007D3D95"/>
    <w:rsid w:val="007E010B"/>
    <w:rsid w:val="007F5C7C"/>
    <w:rsid w:val="00801EB4"/>
    <w:rsid w:val="00802FC2"/>
    <w:rsid w:val="0081132C"/>
    <w:rsid w:val="00817121"/>
    <w:rsid w:val="00830365"/>
    <w:rsid w:val="00833B73"/>
    <w:rsid w:val="00836B9F"/>
    <w:rsid w:val="00843817"/>
    <w:rsid w:val="008460B7"/>
    <w:rsid w:val="00847915"/>
    <w:rsid w:val="008601F7"/>
    <w:rsid w:val="00861270"/>
    <w:rsid w:val="00874305"/>
    <w:rsid w:val="00880A77"/>
    <w:rsid w:val="00897749"/>
    <w:rsid w:val="008A3F6C"/>
    <w:rsid w:val="008B07C8"/>
    <w:rsid w:val="008B3C68"/>
    <w:rsid w:val="008B6AF9"/>
    <w:rsid w:val="008D3EC5"/>
    <w:rsid w:val="008D4062"/>
    <w:rsid w:val="008E2694"/>
    <w:rsid w:val="008E2E76"/>
    <w:rsid w:val="008F234A"/>
    <w:rsid w:val="00902ADE"/>
    <w:rsid w:val="00910118"/>
    <w:rsid w:val="00917A1D"/>
    <w:rsid w:val="00940731"/>
    <w:rsid w:val="009430FB"/>
    <w:rsid w:val="00943538"/>
    <w:rsid w:val="009526D5"/>
    <w:rsid w:val="0095347B"/>
    <w:rsid w:val="00962953"/>
    <w:rsid w:val="00964D55"/>
    <w:rsid w:val="00980CC9"/>
    <w:rsid w:val="009957C5"/>
    <w:rsid w:val="009A4095"/>
    <w:rsid w:val="009B0295"/>
    <w:rsid w:val="009C1E02"/>
    <w:rsid w:val="009D2368"/>
    <w:rsid w:val="009D5F8B"/>
    <w:rsid w:val="009F3A7A"/>
    <w:rsid w:val="00A03DA8"/>
    <w:rsid w:val="00A05FAB"/>
    <w:rsid w:val="00A24E3D"/>
    <w:rsid w:val="00A37D2E"/>
    <w:rsid w:val="00A4162C"/>
    <w:rsid w:val="00A41677"/>
    <w:rsid w:val="00A54A8C"/>
    <w:rsid w:val="00A564DC"/>
    <w:rsid w:val="00A565C7"/>
    <w:rsid w:val="00A719DF"/>
    <w:rsid w:val="00A7647B"/>
    <w:rsid w:val="00AA038B"/>
    <w:rsid w:val="00AB034D"/>
    <w:rsid w:val="00AC6B16"/>
    <w:rsid w:val="00AD5257"/>
    <w:rsid w:val="00AE4482"/>
    <w:rsid w:val="00B01072"/>
    <w:rsid w:val="00B136EC"/>
    <w:rsid w:val="00B14B01"/>
    <w:rsid w:val="00B372BE"/>
    <w:rsid w:val="00B43EBD"/>
    <w:rsid w:val="00B65FB3"/>
    <w:rsid w:val="00B66E09"/>
    <w:rsid w:val="00B95D78"/>
    <w:rsid w:val="00B97308"/>
    <w:rsid w:val="00BB3BEC"/>
    <w:rsid w:val="00BD02BB"/>
    <w:rsid w:val="00BD3885"/>
    <w:rsid w:val="00BD66E4"/>
    <w:rsid w:val="00C059B6"/>
    <w:rsid w:val="00C10CA6"/>
    <w:rsid w:val="00C10D62"/>
    <w:rsid w:val="00C11798"/>
    <w:rsid w:val="00C16484"/>
    <w:rsid w:val="00C21AB2"/>
    <w:rsid w:val="00C27976"/>
    <w:rsid w:val="00C3731F"/>
    <w:rsid w:val="00C62388"/>
    <w:rsid w:val="00C63550"/>
    <w:rsid w:val="00C637B0"/>
    <w:rsid w:val="00C64CCC"/>
    <w:rsid w:val="00C87FB3"/>
    <w:rsid w:val="00C9384A"/>
    <w:rsid w:val="00C9629C"/>
    <w:rsid w:val="00C96395"/>
    <w:rsid w:val="00C96A56"/>
    <w:rsid w:val="00CA156D"/>
    <w:rsid w:val="00CA57DA"/>
    <w:rsid w:val="00CA7FE1"/>
    <w:rsid w:val="00CC58EB"/>
    <w:rsid w:val="00CE1382"/>
    <w:rsid w:val="00D02FAD"/>
    <w:rsid w:val="00D0530E"/>
    <w:rsid w:val="00D05DED"/>
    <w:rsid w:val="00D206AC"/>
    <w:rsid w:val="00D47F83"/>
    <w:rsid w:val="00D5454C"/>
    <w:rsid w:val="00D55CE9"/>
    <w:rsid w:val="00D564F7"/>
    <w:rsid w:val="00D72038"/>
    <w:rsid w:val="00D763BC"/>
    <w:rsid w:val="00D872A1"/>
    <w:rsid w:val="00D93F2F"/>
    <w:rsid w:val="00D966E8"/>
    <w:rsid w:val="00DB4B20"/>
    <w:rsid w:val="00DC3AD5"/>
    <w:rsid w:val="00DC5E29"/>
    <w:rsid w:val="00DD4285"/>
    <w:rsid w:val="00DF1FB9"/>
    <w:rsid w:val="00DF36A6"/>
    <w:rsid w:val="00E07235"/>
    <w:rsid w:val="00E23B80"/>
    <w:rsid w:val="00E25A5F"/>
    <w:rsid w:val="00E32BAC"/>
    <w:rsid w:val="00E33C9F"/>
    <w:rsid w:val="00E36D1F"/>
    <w:rsid w:val="00E42E7E"/>
    <w:rsid w:val="00E43152"/>
    <w:rsid w:val="00E50E5B"/>
    <w:rsid w:val="00E667BA"/>
    <w:rsid w:val="00E7044F"/>
    <w:rsid w:val="00E82B0B"/>
    <w:rsid w:val="00E873DD"/>
    <w:rsid w:val="00E932C3"/>
    <w:rsid w:val="00E979AB"/>
    <w:rsid w:val="00EB3279"/>
    <w:rsid w:val="00EC332E"/>
    <w:rsid w:val="00EC39BC"/>
    <w:rsid w:val="00EE0749"/>
    <w:rsid w:val="00EE140B"/>
    <w:rsid w:val="00EE441C"/>
    <w:rsid w:val="00EE54B9"/>
    <w:rsid w:val="00F07F26"/>
    <w:rsid w:val="00F35BD7"/>
    <w:rsid w:val="00F36982"/>
    <w:rsid w:val="00F41DDB"/>
    <w:rsid w:val="00F629AC"/>
    <w:rsid w:val="00F735C8"/>
    <w:rsid w:val="00F9249D"/>
    <w:rsid w:val="00F95ED9"/>
    <w:rsid w:val="00FA0BAF"/>
    <w:rsid w:val="00FA382E"/>
    <w:rsid w:val="00FA715C"/>
    <w:rsid w:val="00FB22DB"/>
    <w:rsid w:val="00FC2396"/>
    <w:rsid w:val="00FC5252"/>
    <w:rsid w:val="00FD060F"/>
    <w:rsid w:val="00FD1723"/>
    <w:rsid w:val="00FD5032"/>
    <w:rsid w:val="00FE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8EC4F20"/>
  <w15:docId w15:val="{EDD646E4-8E0C-487A-842A-DA74770F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16484"/>
    <w:pPr>
      <w:numPr>
        <w:numId w:val="1"/>
      </w:numPr>
      <w:tabs>
        <w:tab w:val="clear" w:pos="360"/>
      </w:tabs>
      <w:ind w:left="0" w:firstLine="0"/>
    </w:pPr>
    <w:rPr>
      <w:rFonts w:eastAsia="Times New Roman"/>
      <w:lang w:eastAsia="en-GB"/>
    </w:rPr>
  </w:style>
  <w:style w:type="character" w:styleId="Hyperlink">
    <w:name w:val="Hyperlink"/>
    <w:basedOn w:val="DefaultParagraphFont"/>
    <w:uiPriority w:val="99"/>
    <w:rsid w:val="00C16484"/>
    <w:rPr>
      <w:rFonts w:asciiTheme="majorHAnsi" w:hAnsiTheme="majorHAnsi"/>
      <w:color w:val="F79646" w:themeColor="accent6"/>
      <w:u w:val="single"/>
    </w:rPr>
  </w:style>
  <w:style w:type="numbering" w:customStyle="1" w:styleId="LFO29">
    <w:name w:val="LFO29"/>
    <w:basedOn w:val="NoList"/>
    <w:rsid w:val="00C16484"/>
  </w:style>
  <w:style w:type="paragraph" w:styleId="ListBullet2">
    <w:name w:val="List Bullet 2"/>
    <w:basedOn w:val="Normal"/>
    <w:uiPriority w:val="99"/>
    <w:semiHidden/>
    <w:unhideWhenUsed/>
    <w:rsid w:val="00F9249D"/>
    <w:pPr>
      <w:numPr>
        <w:numId w:val="3"/>
      </w:numPr>
      <w:contextualSpacing/>
    </w:pPr>
  </w:style>
  <w:style w:type="paragraph" w:styleId="ListBullet3">
    <w:name w:val="List Bullet 3"/>
    <w:basedOn w:val="Normal"/>
    <w:uiPriority w:val="99"/>
    <w:semiHidden/>
    <w:unhideWhenUsed/>
    <w:rsid w:val="00F9249D"/>
    <w:pPr>
      <w:numPr>
        <w:numId w:val="4"/>
      </w:numPr>
      <w:contextualSpacing/>
    </w:pPr>
  </w:style>
  <w:style w:type="paragraph" w:styleId="ListBullet4">
    <w:name w:val="List Bullet 4"/>
    <w:basedOn w:val="Normal"/>
    <w:uiPriority w:val="99"/>
    <w:semiHidden/>
    <w:unhideWhenUsed/>
    <w:rsid w:val="00F9249D"/>
    <w:pPr>
      <w:numPr>
        <w:numId w:val="5"/>
      </w:numPr>
      <w:contextualSpacing/>
    </w:pPr>
  </w:style>
  <w:style w:type="character" w:styleId="CommentReference">
    <w:name w:val="annotation reference"/>
    <w:basedOn w:val="DefaultParagraphFont"/>
    <w:uiPriority w:val="99"/>
    <w:semiHidden/>
    <w:unhideWhenUsed/>
    <w:rsid w:val="008A3F6C"/>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lv-LV"/>
    </w:rPr>
  </w:style>
  <w:style w:type="paragraph" w:styleId="Revision">
    <w:name w:val="Revision"/>
    <w:hidden/>
    <w:uiPriority w:val="99"/>
    <w:semiHidden/>
    <w:rsid w:val="005929F6"/>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CA7FE1"/>
    <w:rPr>
      <w:b/>
      <w:bCs/>
    </w:rPr>
  </w:style>
  <w:style w:type="character" w:customStyle="1" w:styleId="CommentSubjectChar">
    <w:name w:val="Comment Subject Char"/>
    <w:basedOn w:val="CommentTextChar"/>
    <w:link w:val="CommentSubject"/>
    <w:uiPriority w:val="99"/>
    <w:semiHidden/>
    <w:rsid w:val="00CA7FE1"/>
    <w:rPr>
      <w:rFonts w:ascii="Times New Roman" w:hAnsi="Times New Roman" w:cs="Times New Roman"/>
      <w:b/>
      <w:bCs/>
      <w:sz w:val="20"/>
      <w:szCs w:val="20"/>
      <w:lang w:val="lv-LV"/>
    </w:rPr>
  </w:style>
  <w:style w:type="paragraph" w:styleId="NormalWeb">
    <w:name w:val="Normal (Web)"/>
    <w:basedOn w:val="Normal"/>
    <w:uiPriority w:val="99"/>
    <w:semiHidden/>
    <w:unhideWhenUsed/>
    <w:rsid w:val="00373FC4"/>
    <w:rPr>
      <w:szCs w:val="24"/>
    </w:rPr>
  </w:style>
  <w:style w:type="character" w:styleId="UnresolvedMention">
    <w:name w:val="Unresolved Mention"/>
    <w:basedOn w:val="DefaultParagraphFont"/>
    <w:uiPriority w:val="99"/>
    <w:semiHidden/>
    <w:unhideWhenUsed/>
    <w:rsid w:val="00373FC4"/>
    <w:rPr>
      <w:color w:val="605E5C"/>
      <w:shd w:val="clear" w:color="auto" w:fill="E1DFDD"/>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2176">
      <w:bodyDiv w:val="1"/>
      <w:marLeft w:val="0"/>
      <w:marRight w:val="0"/>
      <w:marTop w:val="0"/>
      <w:marBottom w:val="0"/>
      <w:divBdr>
        <w:top w:val="none" w:sz="0" w:space="0" w:color="auto"/>
        <w:left w:val="none" w:sz="0" w:space="0" w:color="auto"/>
        <w:bottom w:val="none" w:sz="0" w:space="0" w:color="auto"/>
        <w:right w:val="none" w:sz="0" w:space="0" w:color="auto"/>
      </w:divBdr>
      <w:divsChild>
        <w:div w:id="1504860669">
          <w:marLeft w:val="0"/>
          <w:marRight w:val="0"/>
          <w:marTop w:val="0"/>
          <w:marBottom w:val="0"/>
          <w:divBdr>
            <w:top w:val="none" w:sz="0" w:space="0" w:color="auto"/>
            <w:left w:val="none" w:sz="0" w:space="0" w:color="auto"/>
            <w:bottom w:val="none" w:sz="0" w:space="0" w:color="auto"/>
            <w:right w:val="none" w:sz="0" w:space="0" w:color="auto"/>
          </w:divBdr>
          <w:divsChild>
            <w:div w:id="20509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2523">
      <w:bodyDiv w:val="1"/>
      <w:marLeft w:val="0"/>
      <w:marRight w:val="0"/>
      <w:marTop w:val="0"/>
      <w:marBottom w:val="0"/>
      <w:divBdr>
        <w:top w:val="none" w:sz="0" w:space="0" w:color="auto"/>
        <w:left w:val="none" w:sz="0" w:space="0" w:color="auto"/>
        <w:bottom w:val="none" w:sz="0" w:space="0" w:color="auto"/>
        <w:right w:val="none" w:sz="0" w:space="0" w:color="auto"/>
      </w:divBdr>
    </w:div>
    <w:div w:id="2009358183">
      <w:bodyDiv w:val="1"/>
      <w:marLeft w:val="0"/>
      <w:marRight w:val="0"/>
      <w:marTop w:val="0"/>
      <w:marBottom w:val="0"/>
      <w:divBdr>
        <w:top w:val="none" w:sz="0" w:space="0" w:color="auto"/>
        <w:left w:val="none" w:sz="0" w:space="0" w:color="auto"/>
        <w:bottom w:val="none" w:sz="0" w:space="0" w:color="auto"/>
        <w:right w:val="none" w:sz="0" w:space="0" w:color="auto"/>
      </w:divBdr>
    </w:div>
    <w:div w:id="2089576247">
      <w:bodyDiv w:val="1"/>
      <w:marLeft w:val="0"/>
      <w:marRight w:val="0"/>
      <w:marTop w:val="0"/>
      <w:marBottom w:val="0"/>
      <w:divBdr>
        <w:top w:val="none" w:sz="0" w:space="0" w:color="auto"/>
        <w:left w:val="none" w:sz="0" w:space="0" w:color="auto"/>
        <w:bottom w:val="none" w:sz="0" w:space="0" w:color="auto"/>
        <w:right w:val="none" w:sz="0" w:space="0" w:color="auto"/>
      </w:divBdr>
      <w:divsChild>
        <w:div w:id="1220244498">
          <w:marLeft w:val="0"/>
          <w:marRight w:val="0"/>
          <w:marTop w:val="0"/>
          <w:marBottom w:val="0"/>
          <w:divBdr>
            <w:top w:val="none" w:sz="0" w:space="0" w:color="auto"/>
            <w:left w:val="none" w:sz="0" w:space="0" w:color="auto"/>
            <w:bottom w:val="none" w:sz="0" w:space="0" w:color="auto"/>
            <w:right w:val="none" w:sz="0" w:space="0" w:color="auto"/>
          </w:divBdr>
          <w:divsChild>
            <w:div w:id="861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_impl/2021/622/oj" TargetMode="External"/><Relationship Id="rId2" Type="http://schemas.openxmlformats.org/officeDocument/2006/relationships/hyperlink" Target="http://data.europa.eu/eli/dir/2024/1174/oj" TargetMode="External"/><Relationship Id="rId1" Type="http://schemas.openxmlformats.org/officeDocument/2006/relationships/hyperlink" Target="http://data.europa.eu/eli/dir/2014/59/oj" TargetMode="External"/><Relationship Id="rId5" Type="http://schemas.openxmlformats.org/officeDocument/2006/relationships/hyperlink" Target="http://data.europa.eu/eli/reg/2010/1093/oj" TargetMode="External"/><Relationship Id="rId4" Type="http://schemas.openxmlformats.org/officeDocument/2006/relationships/hyperlink" Target="http://data.europa.eu/eli/reg_impl/2021/763/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b8f93157aac40d6a7319473491243df0">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c8488e7b63ff9a6a107f3024ce322df4"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Props1.xml><?xml version="1.0" encoding="utf-8"?>
<ds:datastoreItem xmlns:ds="http://schemas.openxmlformats.org/officeDocument/2006/customXml" ds:itemID="{3789B0AD-1837-436D-8ABC-63303F7E4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B74AB9-05CF-4E22-8B2B-667D523C417F}">
  <ds:schemaRefs>
    <ds:schemaRef ds:uri="http://schemas.microsoft.com/sharepoint/v3/contenttype/forms"/>
  </ds:schemaRefs>
</ds:datastoreItem>
</file>

<file path=customXml/itemProps3.xml><?xml version="1.0" encoding="utf-8"?>
<ds:datastoreItem xmlns:ds="http://schemas.openxmlformats.org/officeDocument/2006/customXml" ds:itemID="{F14AF581-33E3-408E-95CD-709B93E99837}">
  <ds:schemaRefs>
    <ds:schemaRef ds:uri="http://schemas.openxmlformats.org/officeDocument/2006/bibliography"/>
  </ds:schemaRefs>
</ds:datastoreItem>
</file>

<file path=customXml/itemProps4.xml><?xml version="1.0" encoding="utf-8"?>
<ds:datastoreItem xmlns:ds="http://schemas.openxmlformats.org/officeDocument/2006/customXml" ds:itemID="{85FBD7AB-07EA-4D67-A4B9-4D33FF7955F7}">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COM.dotm</Template>
  <TotalTime>38</TotalTime>
  <Pages>2</Pages>
  <Words>731</Words>
  <Characters>4536</Characters>
  <Application>Microsoft Office Word</Application>
  <DocSecurity>0</DocSecurity>
  <Lines>90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Links>
    <vt:vector size="12" baseType="variant">
      <vt:variant>
        <vt:i4>6291564</vt:i4>
      </vt:variant>
      <vt:variant>
        <vt:i4>3</vt:i4>
      </vt:variant>
      <vt:variant>
        <vt:i4>0</vt:i4>
      </vt:variant>
      <vt:variant>
        <vt:i4>5</vt:i4>
      </vt:variant>
      <vt:variant>
        <vt:lpwstr>http://data.europa.eu/eli/reg/2010/1093/oj</vt:lpwstr>
      </vt:variant>
      <vt:variant>
        <vt:lpwstr/>
      </vt:variant>
      <vt:variant>
        <vt:i4>5570645</vt:i4>
      </vt:variant>
      <vt:variant>
        <vt:i4>0</vt:i4>
      </vt:variant>
      <vt:variant>
        <vt:i4>0</vt:i4>
      </vt:variant>
      <vt:variant>
        <vt:i4>5</vt:i4>
      </vt:variant>
      <vt:variant>
        <vt:lpwstr>http://data.europa.eu/eli/dir/2014/59/oj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DQC</dc:creator>
  <cp:keywords/>
  <dc:description/>
  <cp:lastModifiedBy>REPELE Ilze (DGT)</cp:lastModifiedBy>
  <cp:revision>29</cp:revision>
  <dcterms:created xsi:type="dcterms:W3CDTF">2025-12-05T16:19:00Z</dcterms:created>
  <dcterms:modified xsi:type="dcterms:W3CDTF">2026-01-29T10:30:00Z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8.0.19.5</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GrammarlyDocumentId">
    <vt:lpwstr>45e7adda-2841-4732-9409-07daf4dd17e0</vt:lpwstr>
  </property>
  <property fmtid="{D5CDD505-2E9C-101B-9397-08002B2CF9AE}" pid="11" name="ClassificationContentMarkingHeaderShapeIds">
    <vt:lpwstr>5bd6ffca,36e22233,44991716</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MSIP_Label_6bd9ddd1-4d20-43f6-abfa-fc3c07406f94_Enabled">
    <vt:lpwstr>true</vt:lpwstr>
  </property>
  <property fmtid="{D5CDD505-2E9C-101B-9397-08002B2CF9AE}" pid="15" name="MSIP_Label_6bd9ddd1-4d20-43f6-abfa-fc3c07406f94_SetDate">
    <vt:lpwstr>2025-09-22T07:42:43Z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0c5e0d5a-b50c-4aad-8ac2-d3eb4c37e92e</vt:lpwstr>
  </property>
  <property fmtid="{D5CDD505-2E9C-101B-9397-08002B2CF9AE}" pid="20" name="MSIP_Label_6bd9ddd1-4d20-43f6-abfa-fc3c07406f94_ContentBits">
    <vt:lpwstr>0</vt:lpwstr>
  </property>
  <property fmtid="{D5CDD505-2E9C-101B-9397-08002B2CF9AE}" pid="21" name="MSIP_Label_6bd9ddd1-4d20-43f6-abfa-fc3c07406f94_Tag">
    <vt:lpwstr>10, 3, 0, 1</vt:lpwstr>
  </property>
  <property fmtid="{D5CDD505-2E9C-101B-9397-08002B2CF9AE}" pid="22" name="ContentTypeId">
    <vt:lpwstr>0x010100BAD999D84E12C74482EA5120F5227F6F00217DECAAC21D6B43958DFE68658C192E</vt:lpwstr>
  </property>
  <property fmtid="{D5CDD505-2E9C-101B-9397-08002B2CF9AE}" pid="23" name="MediaServiceImageTags">
    <vt:lpwstr/>
  </property>
  <property fmtid="{D5CDD505-2E9C-101B-9397-08002B2CF9AE}" pid="24" name="DQCStatus">
    <vt:lpwstr>Green (DQC version 03)</vt:lpwstr>
  </property>
</Properties>
</file>