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4B714934" w:rsidR="004E763F" w:rsidRPr="00B42233" w:rsidRDefault="005E4DA1" w:rsidP="003632E3">
      <w:pPr>
        <w:pStyle w:val="Pagedecouverture"/>
      </w:pPr>
      <w:r>
        <w:pict w14:anchorId="030A5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8231EB8-BC3E-487A-B2EF-8CD5FFEBC5D0" style="width:455.25pt;height:345.75pt">
            <v:imagedata r:id="rId11" o:title=""/>
          </v:shape>
        </w:pict>
      </w:r>
    </w:p>
    <w:p w14:paraId="1986B6EA" w14:textId="77777777" w:rsidR="00CE1382" w:rsidRPr="00B42233" w:rsidRDefault="00CE1382" w:rsidP="003838B9">
      <w:pPr>
        <w:sectPr w:rsidR="00CE1382" w:rsidRPr="00B42233" w:rsidSect="002C7F9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65BBFB20" w:rsidR="00C16484" w:rsidRPr="00B42233" w:rsidRDefault="003632E3" w:rsidP="003632E3">
      <w:pPr>
        <w:pStyle w:val="Typedudocument"/>
      </w:pPr>
      <w:r w:rsidRPr="003632E3">
        <w:lastRenderedPageBreak/>
        <w:t>REGOLAMENTO DI ESECUZIONE (UE) …/... DELLA COMMISSIONE</w:t>
      </w:r>
    </w:p>
    <w:p w14:paraId="6819E66E" w14:textId="13CABF1B" w:rsidR="00C16484" w:rsidRPr="00B42233" w:rsidRDefault="003632E3" w:rsidP="003632E3">
      <w:pPr>
        <w:pStyle w:val="Datedadoption"/>
      </w:pPr>
      <w:r w:rsidRPr="003632E3">
        <w:t xml:space="preserve">del </w:t>
      </w:r>
      <w:r w:rsidRPr="003632E3">
        <w:rPr>
          <w:rStyle w:val="Marker2"/>
        </w:rPr>
        <w:t>XXX</w:t>
      </w:r>
    </w:p>
    <w:p w14:paraId="44AA08D1" w14:textId="25C5D2B0" w:rsidR="00C16484" w:rsidRPr="00B42233" w:rsidRDefault="003632E3" w:rsidP="003632E3">
      <w:pPr>
        <w:pStyle w:val="Titreobjet"/>
      </w:pPr>
      <w:r w:rsidRPr="003632E3">
        <w:t>che modifica le norme tecniche di attuazione di cui al regolamento di esecuzione (UE) 2021/622 per quanto riguarda la frequenza delle segnalazioni e le informazioni da segnalare</w:t>
      </w:r>
    </w:p>
    <w:p w14:paraId="4A210142" w14:textId="2A5F3BF2" w:rsidR="00C16484" w:rsidRPr="00B42233" w:rsidRDefault="003632E3" w:rsidP="003632E3">
      <w:pPr>
        <w:pStyle w:val="IntrtEEE"/>
      </w:pPr>
      <w:r w:rsidRPr="003632E3">
        <w:t>(Testo rilevante ai fini del SEE)</w:t>
      </w:r>
    </w:p>
    <w:p w14:paraId="6F3A17D1" w14:textId="77777777" w:rsidR="00C16484" w:rsidRPr="00B42233" w:rsidRDefault="00C16484">
      <w:pPr>
        <w:pStyle w:val="Institutionquiagit"/>
      </w:pPr>
      <w:r w:rsidRPr="00B42233">
        <w:t>LA COMMISSIONE EUROPEA,</w:t>
      </w:r>
    </w:p>
    <w:p w14:paraId="22B09AC6" w14:textId="0602C5C5" w:rsidR="00C16484" w:rsidRPr="00B42233" w:rsidRDefault="00C16484">
      <w:r w:rsidRPr="00B42233">
        <w:rPr>
          <w:color w:val="000000"/>
        </w:rPr>
        <w:t>visto il trattato sul funzionamento dell</w:t>
      </w:r>
      <w:r w:rsidR="00902FEF">
        <w:rPr>
          <w:color w:val="000000"/>
        </w:rPr>
        <w:t>'</w:t>
      </w:r>
      <w:r w:rsidRPr="00B42233">
        <w:rPr>
          <w:color w:val="000000"/>
        </w:rPr>
        <w:t>Unione europea</w:t>
      </w:r>
      <w:r w:rsidRPr="00B42233">
        <w:t>,</w:t>
      </w:r>
    </w:p>
    <w:p w14:paraId="6C2E5C7E" w14:textId="7B0EA9F6" w:rsidR="00C16484" w:rsidRPr="00B42233" w:rsidRDefault="00C16484">
      <w:r w:rsidRPr="00B42233">
        <w:t xml:space="preserve">vista la 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w:t>
      </w:r>
      <w:r w:rsidR="006F2EC5">
        <w:t>n. </w:t>
      </w:r>
      <w:r w:rsidRPr="00B42233">
        <w:t xml:space="preserve">1093/2010 e (UE) </w:t>
      </w:r>
      <w:r w:rsidR="006F2EC5">
        <w:t>n. </w:t>
      </w:r>
      <w:r w:rsidRPr="00B42233">
        <w:t>648/2012, del Parlamento europeo e del Consiglio</w:t>
      </w:r>
      <w:r w:rsidRPr="00B42233">
        <w:rPr>
          <w:rStyle w:val="FootnoteReference"/>
        </w:rPr>
        <w:footnoteReference w:id="2"/>
      </w:r>
      <w:r w:rsidRPr="00B42233">
        <w:t>, in particolare l</w:t>
      </w:r>
      <w:r w:rsidR="00902FEF">
        <w:t>'</w:t>
      </w:r>
      <w:r w:rsidRPr="00B42233">
        <w:t>articolo 45 undecies, paragrafo 2, terzo comma,</w:t>
      </w:r>
    </w:p>
    <w:p w14:paraId="499F4150" w14:textId="77777777" w:rsidR="00C16484" w:rsidRPr="00B42233" w:rsidRDefault="00C16484">
      <w:r w:rsidRPr="00B42233">
        <w:t>considerando quanto segue:</w:t>
      </w:r>
    </w:p>
    <w:p w14:paraId="7D99777F" w14:textId="68984C57" w:rsidR="003428AE" w:rsidRPr="00B42233" w:rsidRDefault="003428AE" w:rsidP="004B4C38">
      <w:pPr>
        <w:pStyle w:val="Considrant"/>
        <w:numPr>
          <w:ilvl w:val="0"/>
          <w:numId w:val="2"/>
        </w:numPr>
        <w:rPr>
          <w:iCs/>
          <w:noProof/>
        </w:rPr>
      </w:pPr>
      <w:r w:rsidRPr="00B42233">
        <w:t>La direttiva (UE) 2024/1174 del Parlamento europeo e del Consiglio</w:t>
      </w:r>
      <w:r w:rsidRPr="00B42233">
        <w:rPr>
          <w:rStyle w:val="FootnoteReference"/>
          <w:iCs/>
          <w:noProof/>
        </w:rPr>
        <w:footnoteReference w:id="3"/>
      </w:r>
      <w:r w:rsidRPr="00B42233">
        <w:t xml:space="preserve"> ha modificato taluni aspetti del requisito minimo di fondi propri e passività ammissibili (MREL) stabilito dalla direttiva 2014/59/UE. A norma di tali modifiche, le autorità di risoluzione non dovrebbero determinare il MREL per le entità soggette a liquidazione, tranne nei casi in cui la fissazione di un MREL superiore a un importo sufficiente per assorbire le perdite sia necessaria per tutelare la stabilità finanziaria o far fronte al rischio di contagio del sistema finanziario, anche per quanto riguarda la capacità di finanziamento dei sistemi di garanzia dei depositi. La direttiva (UE) 2024/1174 ha inoltre aumentato il numero di situazioni che consentono alle autorità di risoluzione di determinare il MREL su base consolidata. Il regolamento di esecuzione (UE)</w:t>
      </w:r>
      <w:r w:rsidR="00B209A9">
        <w:t> </w:t>
      </w:r>
      <w:r w:rsidRPr="00B42233">
        <w:t>2021/622 della Commissione</w:t>
      </w:r>
      <w:r w:rsidRPr="00B42233">
        <w:rPr>
          <w:rStyle w:val="FootnoteReference"/>
          <w:iCs/>
          <w:noProof/>
        </w:rPr>
        <w:footnoteReference w:id="4"/>
      </w:r>
      <w:r w:rsidRPr="00B42233">
        <w:t xml:space="preserve"> dovrebbe essere modificato per rispecchiare tali modifiche del quadro MREL nelle informazioni da trasmettere all</w:t>
      </w:r>
      <w:r w:rsidR="00902FEF">
        <w:t>'</w:t>
      </w:r>
      <w:r w:rsidRPr="00B42233">
        <w:t>Autorità bancaria europea (ABE).</w:t>
      </w:r>
    </w:p>
    <w:p w14:paraId="038A3063" w14:textId="2B11E511" w:rsidR="00C16484" w:rsidRPr="00B42233" w:rsidRDefault="00A05FAB" w:rsidP="008B6AF9">
      <w:pPr>
        <w:pStyle w:val="Considrant"/>
        <w:numPr>
          <w:ilvl w:val="0"/>
          <w:numId w:val="2"/>
        </w:numPr>
        <w:rPr>
          <w:iCs/>
          <w:noProof/>
        </w:rPr>
      </w:pPr>
      <w:r w:rsidRPr="00B42233">
        <w:t>Il regolamento di esecuzione (UE) 2021/622 attualmente impone alle autorità di risoluzione di trasmettere all</w:t>
      </w:r>
      <w:r w:rsidR="00902FEF">
        <w:t>'</w:t>
      </w:r>
      <w:r w:rsidRPr="00B42233">
        <w:t>ABE ogni anno le informazioni relative alla fissazione del MREL. Successivamente l</w:t>
      </w:r>
      <w:r w:rsidR="00902FEF">
        <w:t>'</w:t>
      </w:r>
      <w:r w:rsidRPr="00B42233">
        <w:t xml:space="preserve">ABE combina tali informazioni con le informazioni sulla composizione dei fondi propri e delle passività ammissibili ottenute a norma del </w:t>
      </w:r>
      <w:r w:rsidRPr="006F2EC5">
        <w:rPr>
          <w:spacing w:val="-2"/>
        </w:rPr>
        <w:t>regolamento di esecuzione (UE) 2021/763 della Commissione</w:t>
      </w:r>
      <w:r w:rsidRPr="006F2EC5">
        <w:rPr>
          <w:rStyle w:val="FootnoteReference"/>
          <w:noProof/>
          <w:spacing w:val="-2"/>
        </w:rPr>
        <w:footnoteReference w:id="5"/>
      </w:r>
      <w:r w:rsidRPr="006F2EC5">
        <w:rPr>
          <w:spacing w:val="-2"/>
        </w:rPr>
        <w:t xml:space="preserve"> per elaborare la sua relazione sul MREL in conformità dell</w:t>
      </w:r>
      <w:r w:rsidR="00902FEF">
        <w:rPr>
          <w:spacing w:val="-2"/>
        </w:rPr>
        <w:t>'</w:t>
      </w:r>
      <w:r w:rsidRPr="006F2EC5">
        <w:rPr>
          <w:spacing w:val="-2"/>
        </w:rPr>
        <w:t>articolo 45 terdecies della direttiva 2014/59/UE</w:t>
      </w:r>
      <w:r w:rsidRPr="00B42233">
        <w:t>, che attualmente ha frequenza semestrale. L</w:t>
      </w:r>
      <w:r w:rsidR="00902FEF">
        <w:t>'</w:t>
      </w:r>
      <w:r w:rsidRPr="00B42233">
        <w:t>attuale segnalazione annuale delle informazioni sulla fissazione del MREL implica che le decisioni relative al MREL adottate dalle autorità di risoluzione dopo la pertinente data di riferimento non sono trasmesse all</w:t>
      </w:r>
      <w:r w:rsidR="00902FEF">
        <w:t>'</w:t>
      </w:r>
      <w:r w:rsidRPr="00B42233">
        <w:t>ABE né valutate da quest</w:t>
      </w:r>
      <w:r w:rsidR="00902FEF">
        <w:t>'</w:t>
      </w:r>
      <w:r w:rsidRPr="00B42233">
        <w:t>ultima, e non trovano riscontro nelle sue relazioni fino all</w:t>
      </w:r>
      <w:r w:rsidR="00902FEF">
        <w:t>'</w:t>
      </w:r>
      <w:r w:rsidRPr="00B42233">
        <w:t>anno successivo, creando così un disallineamento rispetto alle informazioni più aggiornate sulla composizione dei fondi propri e delle passività ammissibili.</w:t>
      </w:r>
    </w:p>
    <w:p w14:paraId="676EF325" w14:textId="55B250C6" w:rsidR="00C16484" w:rsidRPr="00B42233" w:rsidRDefault="00C16484" w:rsidP="004B4C38">
      <w:pPr>
        <w:pStyle w:val="Considrant"/>
        <w:numPr>
          <w:ilvl w:val="0"/>
          <w:numId w:val="2"/>
        </w:numPr>
        <w:rPr>
          <w:iCs/>
          <w:noProof/>
        </w:rPr>
      </w:pPr>
      <w:r w:rsidRPr="00B42233">
        <w:t>Per migliorare la capacità dell</w:t>
      </w:r>
      <w:r w:rsidR="00902FEF">
        <w:t>'</w:t>
      </w:r>
      <w:r w:rsidRPr="00B42233">
        <w:t>ABE di monitorare e valutare il MREL fissato dalle autorità di risoluzione e la conformità degli enti ai requisiti MREL, le autorità di risoluzione dovrebbero essere tenute a riferire all</w:t>
      </w:r>
      <w:r w:rsidR="00902FEF">
        <w:t>'</w:t>
      </w:r>
      <w:r w:rsidRPr="00B42233">
        <w:t>ABE con maggiore frequenza in merito alle decisioni relative al MREL. Per garantire l</w:t>
      </w:r>
      <w:r w:rsidR="00902FEF">
        <w:t>'</w:t>
      </w:r>
      <w:r w:rsidRPr="00B42233">
        <w:t>allineamento con le relazioni sul MREL elaborate dall</w:t>
      </w:r>
      <w:r w:rsidR="00902FEF">
        <w:t>'</w:t>
      </w:r>
      <w:r w:rsidRPr="00B42233">
        <w:t>ABE, le autorità di risoluzione dovrebbero segnalare tali informazioni due volte l</w:t>
      </w:r>
      <w:r w:rsidR="00902FEF">
        <w:t>'</w:t>
      </w:r>
      <w:r w:rsidRPr="00B42233">
        <w:t xml:space="preserve">anno. </w:t>
      </w:r>
    </w:p>
    <w:p w14:paraId="2672C096" w14:textId="7F7026B8" w:rsidR="00C16484" w:rsidRPr="00B42233" w:rsidRDefault="00C16484" w:rsidP="004B4C38">
      <w:pPr>
        <w:pStyle w:val="Considrant"/>
        <w:numPr>
          <w:ilvl w:val="0"/>
          <w:numId w:val="2"/>
        </w:numPr>
        <w:rPr>
          <w:noProof/>
        </w:rPr>
      </w:pPr>
      <w:r w:rsidRPr="00B42233">
        <w:t>Per facilitare la valutazione da parte dell</w:t>
      </w:r>
      <w:r w:rsidR="00902FEF">
        <w:t>'</w:t>
      </w:r>
      <w:r w:rsidRPr="00B42233">
        <w:t>ABE del modo in cui le autorità di risoluzione hanno esercitato la discrezionalità nel fissare il MREL, in particolare per quanto riguarda l</w:t>
      </w:r>
      <w:r w:rsidR="00902FEF">
        <w:t>'</w:t>
      </w:r>
      <w:r w:rsidRPr="00B42233">
        <w:t>opzione disponibile a norma dell</w:t>
      </w:r>
      <w:r w:rsidR="00902FEF">
        <w:t>'</w:t>
      </w:r>
      <w:r w:rsidRPr="00B42233">
        <w:t>articolo 45 ter, paragrafo 4, primo comma, della direttiva 2014/59/UE, il modello M 20.00 — Segnalazione delle decisioni relative al MREL (allegato I del regolamento (UE) 2021/622) e le istruzioni corrispondenti dovrebbero essere adeguati per richiedere che siano incluse informazioni sull</w:t>
      </w:r>
      <w:r w:rsidR="00902FEF">
        <w:t>'</w:t>
      </w:r>
      <w:r w:rsidRPr="00B42233">
        <w:t>esercizio di tale opzione.</w:t>
      </w:r>
    </w:p>
    <w:p w14:paraId="1B5314C9" w14:textId="749B7291" w:rsidR="00C16484" w:rsidRPr="00B42233" w:rsidRDefault="00C16484" w:rsidP="004B4C38">
      <w:pPr>
        <w:pStyle w:val="Considrant"/>
        <w:numPr>
          <w:ilvl w:val="0"/>
          <w:numId w:val="2"/>
        </w:numPr>
        <w:rPr>
          <w:noProof/>
        </w:rPr>
      </w:pPr>
      <w:r w:rsidRPr="00B42233">
        <w:t>L</w:t>
      </w:r>
      <w:r w:rsidR="00902FEF">
        <w:t>'</w:t>
      </w:r>
      <w:r w:rsidRPr="00B42233">
        <w:t>ABE ha chiesto la consulenza del gruppo delle parti interessate nel settore bancario istituito dall</w:t>
      </w:r>
      <w:r w:rsidR="00902FEF">
        <w:t>'</w:t>
      </w:r>
      <w:r w:rsidRPr="00B42233">
        <w:t xml:space="preserve">articolo 37 del regolamento (UE) </w:t>
      </w:r>
      <w:r w:rsidR="006F2EC5">
        <w:t>n. </w:t>
      </w:r>
      <w:r w:rsidRPr="00B42233">
        <w:t>1093/2010 del Parlamento europeo e del Consiglio</w:t>
      </w:r>
      <w:r w:rsidRPr="00B42233">
        <w:rPr>
          <w:rStyle w:val="FootnoteReference"/>
          <w:noProof/>
        </w:rPr>
        <w:footnoteReference w:id="6"/>
      </w:r>
      <w:r w:rsidRPr="00B42233">
        <w:t xml:space="preserve">. </w:t>
      </w:r>
    </w:p>
    <w:p w14:paraId="5D5111C6" w14:textId="2DAF609A" w:rsidR="00C16484" w:rsidRPr="00B42233" w:rsidRDefault="00373FC4" w:rsidP="004B4C38">
      <w:pPr>
        <w:pStyle w:val="Considrant"/>
        <w:numPr>
          <w:ilvl w:val="0"/>
          <w:numId w:val="2"/>
        </w:numPr>
        <w:rPr>
          <w:noProof/>
        </w:rPr>
      </w:pPr>
      <w:r w:rsidRPr="00B42233">
        <w:t>Le modifiche del regolamento (UE) 2021/622 sono destinate alle autorità di risoluzione e non comportano cambiamenti significativi in termini sostanziali. Conformemente all</w:t>
      </w:r>
      <w:r w:rsidR="00902FEF">
        <w:t>'</w:t>
      </w:r>
      <w:r w:rsidRPr="00B42233">
        <w:t>articolo 15, paragrafo 1, secondo comma, del regolamento (UE)</w:t>
      </w:r>
      <w:r w:rsidR="006F2EC5">
        <w:t> n. </w:t>
      </w:r>
      <w:r w:rsidRPr="00B42233">
        <w:t>1093/2010 del Parlamento europeo e del Consiglio, l</w:t>
      </w:r>
      <w:r w:rsidR="00902FEF">
        <w:t>'</w:t>
      </w:r>
      <w:r w:rsidRPr="00B42233">
        <w:t>Autorità bancaria europea non ha effettuato consultazioni pubbliche né ha analizzato i potenziali costi e benefici collegati, ritenendo tali consultazioni o analisi sproporzionate in relazione alla portata e all</w:t>
      </w:r>
      <w:r w:rsidR="00902FEF">
        <w:t>'</w:t>
      </w:r>
      <w:r w:rsidRPr="00B42233">
        <w:t xml:space="preserve">impatto dei progetti di norme tecniche di attuazione in questione. </w:t>
      </w:r>
    </w:p>
    <w:p w14:paraId="0A23BFF6" w14:textId="7E47B8B4" w:rsidR="00C16484" w:rsidRPr="00B42233" w:rsidRDefault="00C16484" w:rsidP="004B4C38">
      <w:pPr>
        <w:pStyle w:val="Considrant"/>
        <w:numPr>
          <w:ilvl w:val="0"/>
          <w:numId w:val="2"/>
        </w:numPr>
        <w:rPr>
          <w:noProof/>
        </w:rPr>
      </w:pPr>
      <w:r w:rsidRPr="00B42233">
        <w:t>È pertanto opportuno modificare di conseguenza il regolamento di esecuzione (UE)</w:t>
      </w:r>
      <w:r w:rsidR="00BB32DD">
        <w:t> </w:t>
      </w:r>
      <w:r w:rsidRPr="00B42233">
        <w:t>2021/622.</w:t>
      </w:r>
    </w:p>
    <w:p w14:paraId="1887EA7B" w14:textId="4396D999" w:rsidR="00C16484" w:rsidRPr="00B42233" w:rsidRDefault="00C16484" w:rsidP="004B4C38">
      <w:pPr>
        <w:pStyle w:val="Considrant"/>
        <w:numPr>
          <w:ilvl w:val="0"/>
          <w:numId w:val="2"/>
        </w:numPr>
        <w:rPr>
          <w:noProof/>
        </w:rPr>
      </w:pPr>
      <w:r w:rsidRPr="00B42233">
        <w:t>Il presente regolamento si basa sul progetto di norme tecniche di attuazione che l</w:t>
      </w:r>
      <w:r w:rsidR="00902FEF">
        <w:t>'</w:t>
      </w:r>
      <w:r w:rsidRPr="00B42233">
        <w:t>ABE ha presentato alla Commissione,</w:t>
      </w:r>
    </w:p>
    <w:p w14:paraId="313B274F" w14:textId="77777777" w:rsidR="00C16484" w:rsidRPr="00B42233" w:rsidRDefault="00C16484">
      <w:pPr>
        <w:pStyle w:val="Formuledadoption"/>
      </w:pPr>
      <w:r w:rsidRPr="00B42233">
        <w:t>HA ADOTTATO IL PRESENTE REGOLAMENTO:</w:t>
      </w:r>
    </w:p>
    <w:p w14:paraId="455FC522" w14:textId="77777777" w:rsidR="00C16484" w:rsidRPr="00B42233" w:rsidRDefault="00C16484">
      <w:pPr>
        <w:pStyle w:val="Titrearticle"/>
      </w:pPr>
      <w:r w:rsidRPr="00B42233">
        <w:t>Articolo 1</w:t>
      </w:r>
    </w:p>
    <w:p w14:paraId="061A957A" w14:textId="77777777" w:rsidR="00C16484" w:rsidRPr="00B42233" w:rsidRDefault="00C16484" w:rsidP="00C16484">
      <w:pPr>
        <w:rPr>
          <w:noProof/>
        </w:rPr>
      </w:pPr>
      <w:r w:rsidRPr="00B42233">
        <w:t>Il regolamento di esecuzione (UE) 2021/622 è così modificato:</w:t>
      </w:r>
    </w:p>
    <w:p w14:paraId="44E520EB" w14:textId="1E73BF97" w:rsidR="00C16484" w:rsidRPr="00B42233" w:rsidRDefault="00C16484" w:rsidP="00783A3B">
      <w:pPr>
        <w:pStyle w:val="Point0number"/>
        <w:numPr>
          <w:ilvl w:val="0"/>
          <w:numId w:val="6"/>
        </w:numPr>
        <w:rPr>
          <w:noProof/>
        </w:rPr>
      </w:pPr>
      <w:r w:rsidRPr="00B42233">
        <w:t>l</w:t>
      </w:r>
      <w:r w:rsidR="00902FEF">
        <w:t>'</w:t>
      </w:r>
      <w:r w:rsidRPr="00B42233">
        <w:t>articolo 2 è così modificato:</w:t>
      </w:r>
    </w:p>
    <w:p w14:paraId="252CA8AC" w14:textId="77777777" w:rsidR="00C16484" w:rsidRPr="00B42233" w:rsidRDefault="00C16484" w:rsidP="00783A3B">
      <w:pPr>
        <w:pStyle w:val="Point1letter"/>
        <w:rPr>
          <w:noProof/>
        </w:rPr>
      </w:pPr>
      <w:r w:rsidRPr="00B42233">
        <w:t>il titolo è sostituito dal seguente:</w:t>
      </w:r>
    </w:p>
    <w:p w14:paraId="3D4F8508" w14:textId="757777E0" w:rsidR="00C16484" w:rsidRPr="00B42233" w:rsidRDefault="00902FEF" w:rsidP="00783A3B">
      <w:pPr>
        <w:jc w:val="center"/>
        <w:rPr>
          <w:noProof/>
        </w:rPr>
      </w:pPr>
      <w:r>
        <w:t>"</w:t>
      </w:r>
      <w:r w:rsidR="00C16484" w:rsidRPr="00B42233">
        <w:rPr>
          <w:b/>
        </w:rPr>
        <w:t>Obbligo di segnalazione semplificata per gli enti soggetti a deroga</w:t>
      </w:r>
      <w:r>
        <w:t>"</w:t>
      </w:r>
      <w:r w:rsidR="00C16484" w:rsidRPr="00B42233">
        <w:t>;</w:t>
      </w:r>
    </w:p>
    <w:p w14:paraId="2EAF66BD" w14:textId="77777777" w:rsidR="00C16484" w:rsidRPr="00B42233" w:rsidRDefault="00C16484" w:rsidP="00783A3B">
      <w:pPr>
        <w:pStyle w:val="Point1letter"/>
        <w:rPr>
          <w:noProof/>
        </w:rPr>
      </w:pPr>
      <w:r w:rsidRPr="00B42233">
        <w:t>il paragrafo 2 è soppresso;</w:t>
      </w:r>
    </w:p>
    <w:p w14:paraId="1A052A8B" w14:textId="12DAEE99" w:rsidR="00C16484" w:rsidRPr="00B42233" w:rsidRDefault="00C16484" w:rsidP="00783A3B">
      <w:pPr>
        <w:pStyle w:val="Point0number"/>
        <w:rPr>
          <w:noProof/>
        </w:rPr>
      </w:pPr>
      <w:r w:rsidRPr="00B42233">
        <w:t>all</w:t>
      </w:r>
      <w:r w:rsidR="00902FEF">
        <w:t>'</w:t>
      </w:r>
      <w:r w:rsidRPr="00B42233">
        <w:t>articolo 3, la frase introduttiva è sostituita dalla seguente:</w:t>
      </w:r>
    </w:p>
    <w:p w14:paraId="533DCDB8" w14:textId="0D386A95" w:rsidR="00C16484" w:rsidRPr="00B42233" w:rsidRDefault="00902FEF" w:rsidP="00783A3B">
      <w:pPr>
        <w:rPr>
          <w:noProof/>
        </w:rPr>
      </w:pPr>
      <w:r>
        <w:t>"</w:t>
      </w:r>
      <w:r w:rsidR="00C16484" w:rsidRPr="00B42233">
        <w:t>Per i gruppi soggetti al MREL su base consolidata a norma dell</w:t>
      </w:r>
      <w:r>
        <w:t>'</w:t>
      </w:r>
      <w:r w:rsidR="00C16484" w:rsidRPr="00B42233">
        <w:t>articolo 45 sexies, dell</w:t>
      </w:r>
      <w:r>
        <w:t>'</w:t>
      </w:r>
      <w:r w:rsidR="00C16484" w:rsidRPr="00B42233">
        <w:t>articolo 45 septies, paragrafo 1, terzo e quarto comma, e dell</w:t>
      </w:r>
      <w:r>
        <w:t>'</w:t>
      </w:r>
      <w:r w:rsidR="00C16484" w:rsidRPr="00B42233">
        <w:t>articolo 45 septies, paragrafo 4, lettera b), della direttiva 2014/59/UE, le informazioni di cui agli articoli 1 e 2 sono trasmesse dalle seguenti autorità e nel seguente modo:</w:t>
      </w:r>
      <w:r>
        <w:t>"</w:t>
      </w:r>
      <w:r w:rsidR="00C16484" w:rsidRPr="00B42233">
        <w:t>;</w:t>
      </w:r>
    </w:p>
    <w:p w14:paraId="0509E0AB" w14:textId="4A8E2D49" w:rsidR="00C16484" w:rsidRPr="00B42233" w:rsidRDefault="00C16484" w:rsidP="00783A3B">
      <w:pPr>
        <w:pStyle w:val="Point0number"/>
        <w:rPr>
          <w:noProof/>
        </w:rPr>
      </w:pPr>
      <w:r w:rsidRPr="00B42233">
        <w:t>l</w:t>
      </w:r>
      <w:r w:rsidR="00902FEF">
        <w:t>'</w:t>
      </w:r>
      <w:r w:rsidRPr="00B42233">
        <w:t>articolo 4 è sostituito dal seguente:</w:t>
      </w:r>
    </w:p>
    <w:p w14:paraId="66FCA4E9" w14:textId="15BEC93F" w:rsidR="00C16484" w:rsidRPr="00B42233" w:rsidRDefault="00902FEF" w:rsidP="00783A3B">
      <w:pPr>
        <w:pStyle w:val="Titrearticle"/>
        <w:rPr>
          <w:i w:val="0"/>
          <w:iCs/>
          <w:noProof/>
        </w:rPr>
      </w:pPr>
      <w:r>
        <w:t>"</w:t>
      </w:r>
      <w:r w:rsidR="00D47F83" w:rsidRPr="00B42233">
        <w:t xml:space="preserve">Articolo 4 </w:t>
      </w:r>
      <w:r w:rsidR="00D47F83" w:rsidRPr="00B42233">
        <w:br/>
      </w:r>
      <w:r w:rsidR="00D47F83" w:rsidRPr="00B42233">
        <w:rPr>
          <w:b/>
          <w:i w:val="0"/>
        </w:rPr>
        <w:t>Periodi di segnalazione e date di trasmissione</w:t>
      </w:r>
    </w:p>
    <w:p w14:paraId="054F5F9B" w14:textId="77777777" w:rsidR="00C16484" w:rsidRPr="00B42233" w:rsidRDefault="00C16484" w:rsidP="00783A3B">
      <w:pPr>
        <w:rPr>
          <w:noProof/>
        </w:rPr>
      </w:pPr>
      <w:r w:rsidRPr="00B42233">
        <w:t>Le autorità di risoluzione trasmettono le informazioni di cui agli articoli 1 e 2 come segue:</w:t>
      </w:r>
    </w:p>
    <w:p w14:paraId="5113726F" w14:textId="77777777" w:rsidR="00C16484" w:rsidRPr="00B42233" w:rsidRDefault="00C16484" w:rsidP="00783A3B">
      <w:pPr>
        <w:pStyle w:val="Point1letter"/>
        <w:rPr>
          <w:noProof/>
        </w:rPr>
      </w:pPr>
      <w:r w:rsidRPr="00B42233">
        <w:t>per il MREL applicabile a decorrere dal 30 giugno, entro il 16 settembre dello stesso anno;</w:t>
      </w:r>
    </w:p>
    <w:p w14:paraId="7219DDD8" w14:textId="10897B98" w:rsidR="00C16484" w:rsidRPr="00B42233" w:rsidRDefault="00C16484" w:rsidP="00783A3B">
      <w:pPr>
        <w:pStyle w:val="Point1letter"/>
        <w:rPr>
          <w:noProof/>
        </w:rPr>
      </w:pPr>
      <w:r w:rsidRPr="00B42233">
        <w:t>per il MREL applicabile a decorrere dal 31 dicembre, entro il 18 marzo dell</w:t>
      </w:r>
      <w:r w:rsidR="00902FEF">
        <w:t>'</w:t>
      </w:r>
      <w:r w:rsidRPr="00B42233">
        <w:t>anno successivo.</w:t>
      </w:r>
      <w:r w:rsidR="00902FEF">
        <w:t>"</w:t>
      </w:r>
      <w:r w:rsidRPr="00B42233">
        <w:t>;</w:t>
      </w:r>
    </w:p>
    <w:p w14:paraId="65609948" w14:textId="3479BAF9" w:rsidR="00C16484" w:rsidRPr="00B42233" w:rsidRDefault="00C16484" w:rsidP="00783A3B">
      <w:pPr>
        <w:pStyle w:val="Point0number"/>
        <w:rPr>
          <w:noProof/>
        </w:rPr>
      </w:pPr>
      <w:r w:rsidRPr="00B42233">
        <w:t>l</w:t>
      </w:r>
      <w:r w:rsidR="00902FEF">
        <w:t>'</w:t>
      </w:r>
      <w:r w:rsidRPr="00B42233">
        <w:t>allegato I è sostituito dal testo di cui all</w:t>
      </w:r>
      <w:r w:rsidR="00902FEF">
        <w:t>'</w:t>
      </w:r>
      <w:r w:rsidRPr="00B42233">
        <w:t>allegato I del presente regolamento;</w:t>
      </w:r>
    </w:p>
    <w:p w14:paraId="45E55C10" w14:textId="26305AE5" w:rsidR="00C16484" w:rsidRPr="00B42233" w:rsidRDefault="00C16484" w:rsidP="00783A3B">
      <w:pPr>
        <w:pStyle w:val="Point0number"/>
        <w:rPr>
          <w:noProof/>
        </w:rPr>
      </w:pPr>
      <w:r w:rsidRPr="00B42233">
        <w:t>l</w:t>
      </w:r>
      <w:r w:rsidR="00902FEF">
        <w:t>'</w:t>
      </w:r>
      <w:r w:rsidRPr="00B42233">
        <w:t>allegato II è sostituito dal testo di cui all</w:t>
      </w:r>
      <w:r w:rsidR="00902FEF">
        <w:t>'</w:t>
      </w:r>
      <w:r w:rsidRPr="00B42233">
        <w:t>allegato II del presente regolamento.</w:t>
      </w:r>
    </w:p>
    <w:p w14:paraId="0B09A3CA" w14:textId="77777777" w:rsidR="00C16484" w:rsidRPr="00B42233" w:rsidRDefault="00C16484">
      <w:pPr>
        <w:pStyle w:val="Titrearticle"/>
      </w:pPr>
      <w:r w:rsidRPr="00B42233">
        <w:t>Articolo 2</w:t>
      </w:r>
    </w:p>
    <w:p w14:paraId="0BDD24EC" w14:textId="28BA1A29" w:rsidR="00C16484" w:rsidRPr="00B42233" w:rsidRDefault="00C16484" w:rsidP="00830365">
      <w:r w:rsidRPr="00B42233">
        <w:t xml:space="preserve">Il presente regolamento entra in vigore il </w:t>
      </w:r>
      <w:r w:rsidRPr="00B42233">
        <w:rPr>
          <w:color w:val="000000"/>
        </w:rPr>
        <w:t>ventesimo giorno</w:t>
      </w:r>
      <w:r w:rsidRPr="00B42233">
        <w:t xml:space="preserve"> successivo alla pubblicazione nella </w:t>
      </w:r>
      <w:r w:rsidRPr="00B42233">
        <w:rPr>
          <w:i/>
        </w:rPr>
        <w:t>Gazzetta ufficiale dell</w:t>
      </w:r>
      <w:r w:rsidR="00902FEF">
        <w:rPr>
          <w:i/>
        </w:rPr>
        <w:t>'</w:t>
      </w:r>
      <w:r w:rsidRPr="00B42233">
        <w:rPr>
          <w:i/>
        </w:rPr>
        <w:t>Unione europea</w:t>
      </w:r>
      <w:r w:rsidRPr="00B42233">
        <w:t>.</w:t>
      </w:r>
    </w:p>
    <w:p w14:paraId="3DDE2F7A" w14:textId="77777777" w:rsidR="00C16484" w:rsidRPr="00B42233" w:rsidRDefault="00C16484">
      <w:pPr>
        <w:pStyle w:val="Applicationdirecte"/>
      </w:pPr>
      <w:r w:rsidRPr="00B42233">
        <w:t>Il presente regolamento è obbligatorio in tutti i suoi elementi e direttamente applicabile in ciascuno degli Stati membri.</w:t>
      </w:r>
    </w:p>
    <w:p w14:paraId="0FD02893" w14:textId="4E73F038" w:rsidR="00C16484" w:rsidRPr="00B42233" w:rsidRDefault="003632E3" w:rsidP="003632E3">
      <w:pPr>
        <w:pStyle w:val="Fait"/>
      </w:pPr>
      <w:r w:rsidRPr="003632E3">
        <w:t>Fatto a Bruxelles, il</w:t>
      </w:r>
    </w:p>
    <w:p w14:paraId="3FB14D4B" w14:textId="77777777" w:rsidR="00C16484" w:rsidRPr="00B42233" w:rsidRDefault="00C16484" w:rsidP="00C16484">
      <w:pPr>
        <w:pStyle w:val="Institutionquisigne"/>
      </w:pPr>
      <w:r w:rsidRPr="00B42233">
        <w:tab/>
        <w:t>Per la Commissione</w:t>
      </w:r>
    </w:p>
    <w:p w14:paraId="0FEF1170" w14:textId="0CD182DE" w:rsidR="00C16484" w:rsidRPr="00B42233" w:rsidRDefault="00C16484" w:rsidP="00C16484">
      <w:pPr>
        <w:pStyle w:val="Personnequisigne"/>
      </w:pPr>
      <w:r w:rsidRPr="00B42233">
        <w:tab/>
        <w:t xml:space="preserve">La presidente </w:t>
      </w:r>
      <w:r w:rsidRPr="00B42233">
        <w:br/>
      </w:r>
      <w:r w:rsidRPr="00B42233">
        <w:tab/>
        <w:t xml:space="preserve">Ursula von der Leyen </w:t>
      </w:r>
      <w:r w:rsidRPr="00B42233">
        <w:br/>
      </w:r>
      <w:r w:rsidRPr="00B42233">
        <w:tab/>
      </w:r>
    </w:p>
    <w:sectPr w:rsidR="00C16484" w:rsidRPr="00B42233" w:rsidSect="002C7F98">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9461" w14:textId="3F5BE58B" w:rsidR="003632E3" w:rsidRPr="002C7F98" w:rsidRDefault="002C7F98" w:rsidP="002C7F98">
    <w:pPr>
      <w:pStyle w:val="Footer"/>
      <w:rPr>
        <w:rFonts w:ascii="Arial" w:hAnsi="Arial" w:cs="Arial"/>
        <w:b/>
        <w:sz w:val="48"/>
      </w:rPr>
    </w:pPr>
    <w:r w:rsidRPr="002C7F98">
      <w:rPr>
        <w:rFonts w:ascii="Arial" w:hAnsi="Arial" w:cs="Arial"/>
        <w:b/>
        <w:sz w:val="48"/>
      </w:rPr>
      <w:t>IT</w:t>
    </w:r>
    <w:r w:rsidRPr="002C7F98">
      <w:rPr>
        <w:rFonts w:ascii="Arial" w:hAnsi="Arial" w:cs="Arial"/>
        <w:b/>
        <w:sz w:val="48"/>
      </w:rPr>
      <w:tab/>
    </w:r>
    <w:r w:rsidRPr="002C7F98">
      <w:rPr>
        <w:rFonts w:ascii="Arial" w:hAnsi="Arial" w:cs="Arial"/>
        <w:b/>
        <w:sz w:val="48"/>
      </w:rPr>
      <w:tab/>
    </w:r>
    <w:r w:rsidRPr="002C7F98">
      <w:tab/>
    </w:r>
    <w:r w:rsidRPr="002C7F98">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1A1C" w14:textId="3DE4FA04" w:rsidR="003632E3" w:rsidRPr="002C7F98" w:rsidRDefault="002C7F98" w:rsidP="002C7F98">
    <w:pPr>
      <w:pStyle w:val="Footer"/>
      <w:rPr>
        <w:rFonts w:ascii="Arial" w:hAnsi="Arial" w:cs="Arial"/>
        <w:b/>
        <w:sz w:val="48"/>
      </w:rPr>
    </w:pPr>
    <w:r w:rsidRPr="002C7F98">
      <w:rPr>
        <w:rFonts w:ascii="Arial" w:hAnsi="Arial" w:cs="Arial"/>
        <w:b/>
        <w:sz w:val="48"/>
      </w:rPr>
      <w:t>IT</w:t>
    </w:r>
    <w:r w:rsidRPr="002C7F98">
      <w:rPr>
        <w:rFonts w:ascii="Arial" w:hAnsi="Arial" w:cs="Arial"/>
        <w:b/>
        <w:sz w:val="48"/>
      </w:rPr>
      <w:tab/>
    </w:r>
    <w:r w:rsidRPr="002C7F98">
      <w:rPr>
        <w:rFonts w:ascii="Arial" w:hAnsi="Arial" w:cs="Arial"/>
        <w:b/>
        <w:sz w:val="48"/>
      </w:rPr>
      <w:tab/>
    </w:r>
    <w:r w:rsidRPr="002C7F98">
      <w:tab/>
    </w:r>
    <w:r w:rsidRPr="002C7F98">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B9C5" w14:textId="77777777" w:rsidR="003632E3" w:rsidRPr="002C7F98" w:rsidRDefault="003632E3" w:rsidP="002C7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3CA3" w14:textId="5F5761EA" w:rsidR="002C7F98" w:rsidRPr="002C7F98" w:rsidRDefault="002C7F98" w:rsidP="002C7F98">
    <w:pPr>
      <w:pStyle w:val="Footer"/>
      <w:rPr>
        <w:rFonts w:ascii="Arial" w:hAnsi="Arial" w:cs="Arial"/>
        <w:b/>
        <w:sz w:val="48"/>
      </w:rPr>
    </w:pPr>
    <w:r w:rsidRPr="002C7F98">
      <w:rPr>
        <w:rFonts w:ascii="Arial" w:hAnsi="Arial" w:cs="Arial"/>
        <w:b/>
        <w:sz w:val="48"/>
      </w:rPr>
      <w:t>IT</w:t>
    </w:r>
    <w:r w:rsidRPr="002C7F9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C7F98">
      <w:tab/>
    </w:r>
    <w:r w:rsidRPr="002C7F98">
      <w:rPr>
        <w:rFonts w:ascii="Arial" w:hAnsi="Arial" w:cs="Arial"/>
        <w:b/>
        <w:sz w:val="48"/>
      </w:rPr>
      <w:t>IT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2C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4891C0FA" w:rsidR="00C16484" w:rsidRPr="002A43D8" w:rsidRDefault="00C16484" w:rsidP="00C16484">
      <w:pPr>
        <w:pStyle w:val="FootnoteText"/>
      </w:pPr>
      <w:r>
        <w:rPr>
          <w:rStyle w:val="FootnoteReference"/>
        </w:rPr>
        <w:footnoteRef/>
      </w:r>
      <w:r>
        <w:tab/>
      </w:r>
      <w:r w:rsidR="00B209A9">
        <w:t>GU L</w:t>
      </w:r>
      <w:r>
        <w:t xml:space="preserve"> 173 del 12.6.2014, pag. 190, ELI: </w:t>
      </w:r>
      <w:hyperlink r:id="rId1" w:tooltip="Il link dà accesso al documento tramite il relativo URI ELI." w:history="1">
        <w:r>
          <w:rPr>
            <w:rStyle w:val="Hyperlink"/>
            <w:rFonts w:ascii="Times New Roman" w:hAnsi="Times New Roman"/>
          </w:rPr>
          <w:t>http://data.europa.eu/eli/dir/2014/59/oj</w:t>
        </w:r>
      </w:hyperlink>
      <w:r>
        <w:t xml:space="preserve">. </w:t>
      </w:r>
    </w:p>
  </w:footnote>
  <w:footnote w:id="3">
    <w:p w14:paraId="584AEAAA" w14:textId="4A91CBEA" w:rsidR="003428AE" w:rsidRPr="009B0295" w:rsidRDefault="003428AE">
      <w:pPr>
        <w:pStyle w:val="FootnoteText"/>
      </w:pPr>
      <w:r>
        <w:rPr>
          <w:rStyle w:val="FootnoteReference"/>
        </w:rPr>
        <w:footnoteRef/>
      </w:r>
      <w:r>
        <w:tab/>
      </w:r>
      <w:r w:rsidRPr="00B209A9">
        <w:rPr>
          <w:spacing w:val="2"/>
        </w:rPr>
        <w:t>Direttiva (UE) 2024/1174 del Parlamento europeo e del Consiglio, dell</w:t>
      </w:r>
      <w:r w:rsidR="00902FEF">
        <w:rPr>
          <w:spacing w:val="2"/>
        </w:rPr>
        <w:t>'</w:t>
      </w:r>
      <w:r w:rsidRPr="00B209A9">
        <w:rPr>
          <w:spacing w:val="2"/>
        </w:rPr>
        <w:t>11 aprile 2024, che modifica la direttiva 2014/59/UE e il regolamento (UE) </w:t>
      </w:r>
      <w:r w:rsidR="00B209A9" w:rsidRPr="00B209A9">
        <w:rPr>
          <w:spacing w:val="2"/>
        </w:rPr>
        <w:t>n. </w:t>
      </w:r>
      <w:r w:rsidRPr="00B209A9">
        <w:rPr>
          <w:spacing w:val="2"/>
        </w:rPr>
        <w:t>806/2014 per quanto riguarda taluni aspetti del requisito minimo di fondi propri e passività ammissibili (</w:t>
      </w:r>
      <w:r w:rsidR="00B209A9" w:rsidRPr="00B209A9">
        <w:rPr>
          <w:spacing w:val="2"/>
        </w:rPr>
        <w:t>GU L</w:t>
      </w:r>
      <w:r w:rsidRPr="00B209A9">
        <w:rPr>
          <w:spacing w:val="2"/>
        </w:rPr>
        <w:t xml:space="preserve">, 2024/1174, 22.4.2024, ELI: </w:t>
      </w:r>
      <w:hyperlink r:id="rId2" w:history="1">
        <w:r w:rsidRPr="00B209A9">
          <w:rPr>
            <w:rStyle w:val="Hyperlink"/>
            <w:rFonts w:ascii="Times New Roman" w:hAnsi="Times New Roman"/>
            <w:spacing w:val="2"/>
          </w:rPr>
          <w:t>http://data.europa.eu/eli/dir/2024/1174/oj</w:t>
        </w:r>
      </w:hyperlink>
      <w:r w:rsidRPr="00B209A9">
        <w:rPr>
          <w:spacing w:val="2"/>
        </w:rPr>
        <w:t>).</w:t>
      </w:r>
      <w:r>
        <w:t xml:space="preserve"> </w:t>
      </w:r>
    </w:p>
  </w:footnote>
  <w:footnote w:id="4">
    <w:p w14:paraId="4D1953DF" w14:textId="3B4FCB06" w:rsidR="001F4496" w:rsidRPr="009B0295" w:rsidRDefault="001F4496">
      <w:pPr>
        <w:pStyle w:val="FootnoteText"/>
      </w:pPr>
      <w:r>
        <w:rPr>
          <w:rStyle w:val="FootnoteReference"/>
        </w:rPr>
        <w:footnoteRef/>
      </w:r>
      <w:r>
        <w:tab/>
      </w:r>
      <w:r w:rsidRPr="00B209A9">
        <w:rPr>
          <w:spacing w:val="2"/>
        </w:rPr>
        <w:t>Regolamento di esecuzione (UE) 2021/622 della Commissione, del 15 aprile 2021, che stabilisce norme tecniche di attuazione per l</w:t>
      </w:r>
      <w:r w:rsidR="00902FEF">
        <w:rPr>
          <w:spacing w:val="2"/>
        </w:rPr>
        <w:t>'</w:t>
      </w:r>
      <w:r w:rsidRPr="00B209A9">
        <w:rPr>
          <w:spacing w:val="2"/>
        </w:rPr>
        <w:t>applicazione della direttiva 2014/59/UE del Parlamento europeo e del Consiglio per quanto riguarda modelli di segnalazione uniformi, istruzioni e metodologia per la segnalazione del requisito minimo di fondi propri e passività ammissibili (</w:t>
      </w:r>
      <w:r w:rsidR="00B209A9" w:rsidRPr="00B209A9">
        <w:rPr>
          <w:spacing w:val="2"/>
        </w:rPr>
        <w:t>GU L</w:t>
      </w:r>
      <w:r w:rsidRPr="00B209A9">
        <w:rPr>
          <w:spacing w:val="2"/>
        </w:rPr>
        <w:t xml:space="preserve"> 131 del 16.4.2021, pag. 123, ELI: </w:t>
      </w:r>
      <w:hyperlink r:id="rId3" w:history="1">
        <w:r w:rsidRPr="00B209A9">
          <w:rPr>
            <w:rStyle w:val="Hyperlink"/>
            <w:rFonts w:ascii="Times New Roman" w:hAnsi="Times New Roman"/>
            <w:spacing w:val="2"/>
          </w:rPr>
          <w:t>http://data.europa.eu/eli/reg_impl/2021/622/oj</w:t>
        </w:r>
      </w:hyperlink>
      <w:r w:rsidRPr="00B209A9">
        <w:rPr>
          <w:spacing w:val="2"/>
        </w:rPr>
        <w:t>).</w:t>
      </w:r>
    </w:p>
  </w:footnote>
  <w:footnote w:id="5">
    <w:p w14:paraId="5FB3833A" w14:textId="35EB3221" w:rsidR="000B5B60" w:rsidRPr="001E1495" w:rsidRDefault="000B5B60">
      <w:pPr>
        <w:pStyle w:val="FootnoteText"/>
        <w:rPr>
          <w:spacing w:val="2"/>
        </w:rPr>
      </w:pPr>
      <w:r>
        <w:rPr>
          <w:rStyle w:val="FootnoteReference"/>
        </w:rPr>
        <w:footnoteRef/>
      </w:r>
      <w:r>
        <w:tab/>
      </w:r>
      <w:r w:rsidRPr="001E1495">
        <w:rPr>
          <w:spacing w:val="2"/>
        </w:rPr>
        <w:t>Regolamento di esecuzione (UE) 2021/763 della Commissione, del 23 aprile 2021, che stabilisce norme tecniche di attuazione per l</w:t>
      </w:r>
      <w:r w:rsidR="00902FEF">
        <w:rPr>
          <w:spacing w:val="2"/>
        </w:rPr>
        <w:t>'</w:t>
      </w:r>
      <w:r w:rsidRPr="001E1495">
        <w:rPr>
          <w:spacing w:val="2"/>
        </w:rPr>
        <w:t xml:space="preserve">applicazione del regolamento (UE) </w:t>
      </w:r>
      <w:r w:rsidR="00B209A9" w:rsidRPr="001E1495">
        <w:rPr>
          <w:spacing w:val="2"/>
        </w:rPr>
        <w:t>n. </w:t>
      </w:r>
      <w:r w:rsidRPr="001E1495">
        <w:rPr>
          <w:spacing w:val="2"/>
        </w:rPr>
        <w:t>575/2013 del Parlamento europeo e del Consiglio e della direttiva 2014/59/UE del Parlamento europeo e del Consiglio per quanto riguarda la segnalazione a fini di vigilanza e l</w:t>
      </w:r>
      <w:r w:rsidR="00902FEF">
        <w:rPr>
          <w:spacing w:val="2"/>
        </w:rPr>
        <w:t>'</w:t>
      </w:r>
      <w:r w:rsidRPr="001E1495">
        <w:rPr>
          <w:spacing w:val="2"/>
        </w:rPr>
        <w:t>informativa al pubblico in materia di requisito minimo di fondi propri e passività ammissibili (</w:t>
      </w:r>
      <w:r w:rsidR="00B209A9" w:rsidRPr="001E1495">
        <w:rPr>
          <w:spacing w:val="2"/>
        </w:rPr>
        <w:t>GU L</w:t>
      </w:r>
      <w:r w:rsidRPr="001E1495">
        <w:rPr>
          <w:spacing w:val="2"/>
        </w:rPr>
        <w:t> 168 del 12.5.2021, pag. 1, ELI:</w:t>
      </w:r>
      <w:r w:rsidR="001E1495">
        <w:rPr>
          <w:spacing w:val="2"/>
        </w:rPr>
        <w:t> </w:t>
      </w:r>
      <w:hyperlink r:id="rId4" w:history="1">
        <w:r w:rsidR="00902FEF" w:rsidRPr="008242C9">
          <w:rPr>
            <w:rStyle w:val="Hyperlink"/>
            <w:rFonts w:ascii="Times New Roman" w:hAnsi="Times New Roman"/>
            <w:spacing w:val="2"/>
          </w:rPr>
          <w:t>http://data.europa.eu/eli/reg_impl/2021/763/oj</w:t>
        </w:r>
      </w:hyperlink>
      <w:r w:rsidRPr="001E1495">
        <w:rPr>
          <w:spacing w:val="2"/>
        </w:rPr>
        <w:t>).</w:t>
      </w:r>
    </w:p>
  </w:footnote>
  <w:footnote w:id="6">
    <w:p w14:paraId="04BE3385" w14:textId="5877046F" w:rsidR="00401F3A" w:rsidRPr="00FE7BD1" w:rsidRDefault="00401F3A" w:rsidP="00F35BD7">
      <w:pPr>
        <w:pStyle w:val="FootnoteText"/>
      </w:pPr>
      <w:r>
        <w:rPr>
          <w:rStyle w:val="FootnoteReference"/>
        </w:rPr>
        <w:footnoteRef/>
      </w:r>
      <w:r>
        <w:tab/>
      </w:r>
      <w:r w:rsidRPr="001E1495">
        <w:rPr>
          <w:spacing w:val="2"/>
        </w:rPr>
        <w:t xml:space="preserve">Regolamento (UE) </w:t>
      </w:r>
      <w:r w:rsidR="00B209A9" w:rsidRPr="001E1495">
        <w:rPr>
          <w:spacing w:val="2"/>
        </w:rPr>
        <w:t>n. </w:t>
      </w:r>
      <w:r w:rsidRPr="001E1495">
        <w:rPr>
          <w:spacing w:val="2"/>
        </w:rPr>
        <w:t>1093/2010 del Parlamento europeo e del Consiglio, del 24 novembre 2010, che istituisce l</w:t>
      </w:r>
      <w:r w:rsidR="00902FEF">
        <w:rPr>
          <w:spacing w:val="2"/>
        </w:rPr>
        <w:t>'</w:t>
      </w:r>
      <w:r w:rsidRPr="001E1495">
        <w:rPr>
          <w:spacing w:val="2"/>
        </w:rPr>
        <w:t xml:space="preserve">Autorità europea di vigilanza (Autorità bancaria europea), modifica la decisione </w:t>
      </w:r>
      <w:r w:rsidR="00B209A9" w:rsidRPr="001E1495">
        <w:rPr>
          <w:spacing w:val="2"/>
        </w:rPr>
        <w:t>n. </w:t>
      </w:r>
      <w:r w:rsidRPr="001E1495">
        <w:rPr>
          <w:spacing w:val="2"/>
        </w:rPr>
        <w:t>716/2009/CE e abroga la decisione 2009/78/CE della Commissione (</w:t>
      </w:r>
      <w:r w:rsidR="00B209A9" w:rsidRPr="001E1495">
        <w:rPr>
          <w:spacing w:val="2"/>
        </w:rPr>
        <w:t>GU L</w:t>
      </w:r>
      <w:r w:rsidRPr="001E1495">
        <w:rPr>
          <w:spacing w:val="2"/>
        </w:rPr>
        <w:t xml:space="preserve"> 331 del 15.12.2010, pag. 12, ELI: </w:t>
      </w:r>
      <w:hyperlink r:id="rId5" w:tooltip="Il link dà accesso al documento tramite il relativo URI ELI." w:history="1">
        <w:r w:rsidRPr="001E1495">
          <w:rPr>
            <w:rStyle w:val="Hyperlink"/>
            <w:rFonts w:ascii="Times New Roman" w:hAnsi="Times New Roman"/>
            <w:spacing w:val="2"/>
          </w:rPr>
          <w:t>http://data.europa.eu/eli/reg/2010/1093/oj</w:t>
        </w:r>
      </w:hyperlink>
      <w:r w:rsidRPr="001E1495">
        <w:rPr>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35B" w14:textId="77777777" w:rsidR="003632E3" w:rsidRPr="002C7F98" w:rsidRDefault="003632E3" w:rsidP="002C7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62A6" w14:textId="77777777" w:rsidR="003632E3" w:rsidRPr="002C7F98" w:rsidRDefault="003632E3" w:rsidP="002C7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633" w14:textId="77777777" w:rsidR="003632E3" w:rsidRPr="002C7F98" w:rsidRDefault="003632E3" w:rsidP="002C7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09:49: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8231EB8-BC3E-487A-B2EF-8CD5FFEBC5D0"/>
    <w:docVar w:name="LW_COVERPAGE_TYPE" w:val="1"/>
    <w:docVar w:name="LW_CreatedUtc" w:val="2025-09-04T16:00:38.0896335Z"/>
    <w:docVar w:name="LW_CROSSREFERENCE" w:val="&lt;UNUSED&gt;"/>
    <w:docVar w:name="LW_DATE.ADOPT.CP" w:val="del XXX"/>
    <w:docVar w:name="LW_DATE.ADOPT.CP_DATEFORMAT" w:val="del %DATE%"/>
    <w:docVar w:name="LW_DATE.ADOPT.CP_ISODATE" w:val="&lt;EMPTY&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Testo rilevante ai fini del SEE)"/>
    <w:docVar w:name="LW_LANGUE" w:val="IT"/>
    <w:docVar w:name="LW_LANGUESFAISANTFOI.CP" w:val="&lt;UNUSED&gt;"/>
    <w:docVar w:name="LW_LEVEL_OF_SENSITIVITY" w:val="Standard treatment"/>
    <w:docVar w:name="LW_NOM.INST" w:val="COMMISSIONE EUROPE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he modifica le norme tecniche di attuazione di cui al regolamento di esecuzione (UE) 2021/622 per quanto riguarda la frequenza delle segnalazioni e le informazioni da segnalare"/>
    <w:docVar w:name="LW_TYPE.DOC.CP" w:val="REGOLAMENTO DI ESECUZIONE (UE) \u8230?/... DELLA COMMISSIONE"/>
  </w:docVars>
  <w:rsids>
    <w:rsidRoot w:val="00C16484"/>
    <w:rsid w:val="00000BE0"/>
    <w:rsid w:val="00016399"/>
    <w:rsid w:val="000417C4"/>
    <w:rsid w:val="00045B9F"/>
    <w:rsid w:val="00050183"/>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D2512"/>
    <w:rsid w:val="001E1495"/>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C7F98"/>
    <w:rsid w:val="002D6B17"/>
    <w:rsid w:val="002F1710"/>
    <w:rsid w:val="0030490D"/>
    <w:rsid w:val="00313AC1"/>
    <w:rsid w:val="00315CFA"/>
    <w:rsid w:val="00325B37"/>
    <w:rsid w:val="00331377"/>
    <w:rsid w:val="003428AE"/>
    <w:rsid w:val="00353536"/>
    <w:rsid w:val="003632E3"/>
    <w:rsid w:val="00364262"/>
    <w:rsid w:val="00373FC4"/>
    <w:rsid w:val="0038290C"/>
    <w:rsid w:val="003838B9"/>
    <w:rsid w:val="00396ACD"/>
    <w:rsid w:val="003B10ED"/>
    <w:rsid w:val="003B3106"/>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B6853"/>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777B9"/>
    <w:rsid w:val="00582810"/>
    <w:rsid w:val="0058683E"/>
    <w:rsid w:val="005929F6"/>
    <w:rsid w:val="00593EEC"/>
    <w:rsid w:val="00595540"/>
    <w:rsid w:val="005A5382"/>
    <w:rsid w:val="005A55F3"/>
    <w:rsid w:val="005B5FA6"/>
    <w:rsid w:val="005C1F43"/>
    <w:rsid w:val="005D1478"/>
    <w:rsid w:val="005D2C73"/>
    <w:rsid w:val="005D6AA6"/>
    <w:rsid w:val="005E2634"/>
    <w:rsid w:val="005E4DA1"/>
    <w:rsid w:val="005F2B9A"/>
    <w:rsid w:val="00603E01"/>
    <w:rsid w:val="0061453F"/>
    <w:rsid w:val="00642760"/>
    <w:rsid w:val="00643DEF"/>
    <w:rsid w:val="00657CF3"/>
    <w:rsid w:val="006654AB"/>
    <w:rsid w:val="00667F1D"/>
    <w:rsid w:val="006700C7"/>
    <w:rsid w:val="00685D33"/>
    <w:rsid w:val="006D3FD5"/>
    <w:rsid w:val="006D6949"/>
    <w:rsid w:val="006F20E7"/>
    <w:rsid w:val="006F2EC5"/>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1A1D"/>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02FEF"/>
    <w:rsid w:val="00910118"/>
    <w:rsid w:val="00917A1D"/>
    <w:rsid w:val="00940731"/>
    <w:rsid w:val="009430FB"/>
    <w:rsid w:val="00943538"/>
    <w:rsid w:val="009526D5"/>
    <w:rsid w:val="0095347B"/>
    <w:rsid w:val="00955620"/>
    <w:rsid w:val="00962953"/>
    <w:rsid w:val="00964D55"/>
    <w:rsid w:val="00980CC9"/>
    <w:rsid w:val="009957C5"/>
    <w:rsid w:val="009A164E"/>
    <w:rsid w:val="009A4095"/>
    <w:rsid w:val="009B0295"/>
    <w:rsid w:val="009C1E02"/>
    <w:rsid w:val="009D03AD"/>
    <w:rsid w:val="009D2368"/>
    <w:rsid w:val="009D5F8B"/>
    <w:rsid w:val="009F3A7A"/>
    <w:rsid w:val="00A03DA8"/>
    <w:rsid w:val="00A05FAB"/>
    <w:rsid w:val="00A24E3D"/>
    <w:rsid w:val="00A37D2E"/>
    <w:rsid w:val="00A4162C"/>
    <w:rsid w:val="00A41677"/>
    <w:rsid w:val="00A434E4"/>
    <w:rsid w:val="00A54A8C"/>
    <w:rsid w:val="00A564DC"/>
    <w:rsid w:val="00A565C7"/>
    <w:rsid w:val="00A719DF"/>
    <w:rsid w:val="00A7647B"/>
    <w:rsid w:val="00AA038B"/>
    <w:rsid w:val="00AB034D"/>
    <w:rsid w:val="00AC6B16"/>
    <w:rsid w:val="00AD5257"/>
    <w:rsid w:val="00AE4482"/>
    <w:rsid w:val="00B01072"/>
    <w:rsid w:val="00B136EC"/>
    <w:rsid w:val="00B14B01"/>
    <w:rsid w:val="00B209A9"/>
    <w:rsid w:val="00B42233"/>
    <w:rsid w:val="00B43EBD"/>
    <w:rsid w:val="00B65FB3"/>
    <w:rsid w:val="00B66E09"/>
    <w:rsid w:val="00B95D78"/>
    <w:rsid w:val="00B97308"/>
    <w:rsid w:val="00BB32DD"/>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8542C"/>
    <w:rsid w:val="00F9249D"/>
    <w:rsid w:val="00F95ED9"/>
    <w:rsid w:val="00FA0BAF"/>
    <w:rsid w:val="00FA382E"/>
    <w:rsid w:val="00FA715C"/>
    <w:rsid w:val="00FB22DB"/>
    <w:rsid w:val="00FC2396"/>
    <w:rsid w:val="00FC5252"/>
    <w:rsid w:val="00FC76E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it-IT"/>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2.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3.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58</TotalTime>
  <Pages>2</Pages>
  <Words>946</Words>
  <Characters>5568</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MOROSI Micol (DGT)</cp:lastModifiedBy>
  <cp:revision>38</cp:revision>
  <dcterms:created xsi:type="dcterms:W3CDTF">2025-12-05T16:19:00Z</dcterms:created>
  <dcterms:modified xsi:type="dcterms:W3CDTF">2026-02-02T08:49:00Z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