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1BF8" w14:textId="161CD83A" w:rsidR="004E763F" w:rsidRPr="006028BB" w:rsidRDefault="00D542E0" w:rsidP="006028BB">
      <w:pPr>
        <w:pStyle w:val="Pagedecouverture"/>
      </w:pPr>
      <w:r>
        <w:pict w14:anchorId="0FE25E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37174D6-84CC-432F-AA9A-30D02F72C3B0" style="width:455.45pt;height:345.8pt">
            <v:imagedata r:id="rId11" o:title=""/>
          </v:shape>
        </w:pict>
      </w:r>
    </w:p>
    <w:p w14:paraId="1986B6EA" w14:textId="77777777" w:rsidR="00CE1382" w:rsidRPr="006028BB" w:rsidRDefault="00CE1382" w:rsidP="003838B9">
      <w:pPr>
        <w:sectPr w:rsidR="00CE1382" w:rsidRPr="006028BB" w:rsidSect="00CA467C">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5ADCEA6B" w14:textId="2D70D1AC" w:rsidR="00C16484" w:rsidRPr="006028BB" w:rsidRDefault="006028BB" w:rsidP="006028BB">
      <w:pPr>
        <w:pStyle w:val="Typedudocument"/>
      </w:pPr>
      <w:r w:rsidRPr="006028BB">
        <w:lastRenderedPageBreak/>
        <w:t>A BIZOTTSÁG (EU) .../... VÉGREHAJTÁSI RENDELETE</w:t>
      </w:r>
    </w:p>
    <w:p w14:paraId="6819E66E" w14:textId="742BC2C1" w:rsidR="00C16484" w:rsidRPr="006028BB" w:rsidRDefault="006028BB" w:rsidP="006028BB">
      <w:pPr>
        <w:pStyle w:val="Datedadoption"/>
      </w:pPr>
      <w:r w:rsidRPr="006028BB">
        <w:t>(</w:t>
      </w:r>
      <w:r w:rsidRPr="006028BB">
        <w:rPr>
          <w:rStyle w:val="Marker2"/>
        </w:rPr>
        <w:t>XXX</w:t>
      </w:r>
      <w:r w:rsidRPr="006028BB">
        <w:t>)</w:t>
      </w:r>
    </w:p>
    <w:p w14:paraId="44AA08D1" w14:textId="71C0A7E6" w:rsidR="00C16484" w:rsidRPr="006028BB" w:rsidRDefault="006028BB" w:rsidP="006028BB">
      <w:pPr>
        <w:pStyle w:val="Titreobjet"/>
      </w:pPr>
      <w:r w:rsidRPr="006028BB">
        <w:t>az (EU) 2021/622 végrehajtási rendeletben meghatározott végrehajtás-technikai standardoknak az adatszolgáltatás gyakorisága és a szolgáltatandó információk tekintetében történő módosításáról</w:t>
      </w:r>
    </w:p>
    <w:p w14:paraId="4A210142" w14:textId="29C5F3A4" w:rsidR="00C16484" w:rsidRPr="006028BB" w:rsidRDefault="006028BB" w:rsidP="006028BB">
      <w:pPr>
        <w:pStyle w:val="IntrtEEE"/>
      </w:pPr>
      <w:r w:rsidRPr="006028BB">
        <w:t>(EGT-vonatkozású szöveg)</w:t>
      </w:r>
    </w:p>
    <w:p w14:paraId="6F3A17D1" w14:textId="77777777" w:rsidR="00C16484" w:rsidRPr="006028BB" w:rsidRDefault="00C16484">
      <w:pPr>
        <w:pStyle w:val="Institutionquiagit"/>
      </w:pPr>
      <w:r w:rsidRPr="006028BB">
        <w:t>AZ EURÓPAI BIZOTTSÁG,</w:t>
      </w:r>
    </w:p>
    <w:p w14:paraId="22B09AC6" w14:textId="77777777" w:rsidR="00C16484" w:rsidRPr="006028BB" w:rsidRDefault="00C16484">
      <w:r w:rsidRPr="006028BB">
        <w:t>tekintettel az Európai Unió működéséről szóló szerződésre,</w:t>
      </w:r>
    </w:p>
    <w:p w14:paraId="6C2E5C7E" w14:textId="77777777" w:rsidR="00C16484" w:rsidRPr="006028BB" w:rsidRDefault="00C16484">
      <w:r w:rsidRPr="006028BB">
        <w:t>tekintettel a hitelintézetek és befektetési vállalkozások helyreállítását és szanálását célzó keretrendszer létrehozásáról és a 82/891/EGK tanácsi irányelv, a 2001/24/EK, 2002/47/EK, 2004/25/EK, 2005/56/EK, 2007/36/EK, 2011/35/EU, 2012/30/EU és 2013/36/EU irányelv, valamint az 1093/2010/EU és a 648/2012/EU európai parlamenti és tanácsi rendelet módosításáról szóló, 2014. május 15-i 2014/59/EU európai parlamenti és tanácsi irányelvre</w:t>
      </w:r>
      <w:r w:rsidRPr="006028BB">
        <w:rPr>
          <w:rStyle w:val="FootnoteReference"/>
        </w:rPr>
        <w:footnoteReference w:id="2"/>
      </w:r>
      <w:r w:rsidRPr="006028BB">
        <w:t>, és különösen annak 45j. cikke (2) bekezdésének harmadik albekezdésére,</w:t>
      </w:r>
    </w:p>
    <w:p w14:paraId="499F4150" w14:textId="77777777" w:rsidR="00C16484" w:rsidRPr="006028BB" w:rsidRDefault="00C16484">
      <w:r w:rsidRPr="006028BB">
        <w:t>mivel:</w:t>
      </w:r>
    </w:p>
    <w:p w14:paraId="7D99777F" w14:textId="77777777" w:rsidR="003428AE" w:rsidRPr="006028BB" w:rsidRDefault="003428AE" w:rsidP="004B4C38">
      <w:pPr>
        <w:pStyle w:val="Considrant"/>
        <w:numPr>
          <w:ilvl w:val="0"/>
          <w:numId w:val="2"/>
        </w:numPr>
        <w:rPr>
          <w:iCs/>
          <w:noProof/>
        </w:rPr>
      </w:pPr>
      <w:r w:rsidRPr="006028BB">
        <w:t>Az (EU) 2024/1174 európai parlamenti és tanácsi irányelv módosította a 2014/59/EU irányelvben</w:t>
      </w:r>
      <w:r w:rsidRPr="006028BB">
        <w:rPr>
          <w:rStyle w:val="FootnoteReference"/>
          <w:iCs/>
          <w:noProof/>
        </w:rPr>
        <w:footnoteReference w:id="3"/>
      </w:r>
      <w:r w:rsidRPr="006028BB">
        <w:t xml:space="preserve"> meghatározott, a szavatolótőkére és a leírható, illetve átalakítható kötelezettségekre vonatkozó minimumkövetelmény (MREL) bizonyos szempontjait. E módosítások értelmében a szanálási hatóságok nem határozhatják meg a felszámolandó szervezetekre vonatkozó MREL-t, kivéve, ha a pénzügyi stabilitás védelme vagy a pénzügyi rendszerre való átterjedés kockázatának kezelése érdekében, a betétbiztosítási rendszerek finanszírozási képességét is szem előtt tartva, olyan MREL megállapítása szüksége, amely meghaladja a veszteségek viseléséhez elegendő összeget. Az (EU) 2024/1174 irányelv bővítette továbbá azon esetek körét, amelyekben a szanálási hatóságok összevont alapon határozhatják meg az MREL-t. Az (EU) 2021/622 bizottsági végrehajtási rendeletet</w:t>
      </w:r>
      <w:r w:rsidRPr="006028BB">
        <w:rPr>
          <w:rStyle w:val="FootnoteReference"/>
          <w:iCs/>
          <w:noProof/>
        </w:rPr>
        <w:footnoteReference w:id="4"/>
      </w:r>
      <w:r w:rsidRPr="006028BB">
        <w:t xml:space="preserve"> módosítani kell annak érdekében, hogy az Európai Bankhatóságnak (EBH) továbbítandó információk tükrözzék az MREL-keret említett változásait.</w:t>
      </w:r>
    </w:p>
    <w:p w14:paraId="038A3063" w14:textId="77777777" w:rsidR="00C16484" w:rsidRPr="006028BB" w:rsidRDefault="00A05FAB" w:rsidP="008B6AF9">
      <w:pPr>
        <w:pStyle w:val="Considrant"/>
        <w:numPr>
          <w:ilvl w:val="0"/>
          <w:numId w:val="2"/>
        </w:numPr>
        <w:rPr>
          <w:iCs/>
          <w:noProof/>
        </w:rPr>
      </w:pPr>
      <w:r w:rsidRPr="006028BB">
        <w:t>Az (EU) 2021/622 végrehajtási rendelet értelmében a szanálási hatóságoknak jelenleg évente kell továbbítaniuk az EBH-nak az MREL meghatározásával kapcsolatos információkat. Az EBH ezeket az információkat a szavatolótőkének és a leírható, illetve átalakítható kötelezettségeknek az összetételére vonatkozó információkkal kombinálja, amelyekhez az (EU) 2021/763 bizottsági végrehajtási rendelet</w:t>
      </w:r>
      <w:r w:rsidRPr="006028BB">
        <w:rPr>
          <w:rStyle w:val="FootnoteReference"/>
          <w:noProof/>
        </w:rPr>
        <w:footnoteReference w:id="5"/>
      </w:r>
      <w:r w:rsidRPr="006028BB">
        <w:t xml:space="preserve"> alapján jut hozzá; ez a 2014/59/EU irányelv 45l. cikke szerinti MREL-jelentéséhez szükséges, amelyet jelenleg félévente készít el. Az MREL meghatározásával kapcsolatos információk jelenlegi, éves gyakoriságú szolgáltatása miatt az EBH a szanálási hatóságok referenciadátum utáni MREL-határozatait csak a következő évben kapja meg és értékeli, így azokat nem tudja figyelembe venni jelentéseiben, amelyek így eltérhetnek a szavatolótőke és a leírható, illetve átalakítható kötelezettségek összetételére vonatkozó aktualizált információktól.</w:t>
      </w:r>
    </w:p>
    <w:p w14:paraId="676EF325" w14:textId="77777777" w:rsidR="00C16484" w:rsidRPr="006028BB" w:rsidRDefault="00C16484" w:rsidP="004B4C38">
      <w:pPr>
        <w:pStyle w:val="Considrant"/>
        <w:numPr>
          <w:ilvl w:val="0"/>
          <w:numId w:val="2"/>
        </w:numPr>
        <w:rPr>
          <w:iCs/>
          <w:noProof/>
        </w:rPr>
      </w:pPr>
      <w:r w:rsidRPr="006028BB">
        <w:t xml:space="preserve">Annak érdekében, hogy az EBH jobban tudja nyomon követni és értékelni a szanálási hatóságok által meghatározott MREL-t és az intézmények MREL-követelményeknek való megfelelését, elő kell írni a szanálási hatóságok számára, hogy nagyobb gyakorisággal számoljanak be az EBH-nak az MREL-határozatokról. Az EBH MREL-jelentéseivel való összhang biztosítása érdekében indokolt, hogy a szanálási hatóságok félévente szolgáltassák az említett információkat. </w:t>
      </w:r>
    </w:p>
    <w:p w14:paraId="2672C096" w14:textId="77777777" w:rsidR="00C16484" w:rsidRPr="006028BB" w:rsidRDefault="00C16484" w:rsidP="004B4C38">
      <w:pPr>
        <w:pStyle w:val="Considrant"/>
        <w:numPr>
          <w:ilvl w:val="0"/>
          <w:numId w:val="2"/>
        </w:numPr>
        <w:rPr>
          <w:noProof/>
        </w:rPr>
      </w:pPr>
      <w:r w:rsidRPr="006028BB">
        <w:t>Annak érdekében, hogy az EBH könnyebben tudja értékelni, hogy a szanálási hatóságok az MREL meghatározásakor miként gyakorolták mérlegelési jogkörüket – konkrétan azt, hogy éltek-e a 2014/59/EU irányelv 45b. cikke (4) bekezdésének első albekezdése alapján rendelkezésre álló lehetőséggel –, ki kell igazítani az M 20.00 – Adatszolgáltatás az MREL-határozatokról táblát (az (EU) 2021/622 rendelet I. mellékletét) és a kapcsolódó útmutatót: elő kell írni az említett lehetőség gyakorlására vonatkozó információk feltüntetését.</w:t>
      </w:r>
    </w:p>
    <w:p w14:paraId="1B5314C9" w14:textId="77777777" w:rsidR="00C16484" w:rsidRPr="006028BB" w:rsidRDefault="00C16484" w:rsidP="004B4C38">
      <w:pPr>
        <w:pStyle w:val="Considrant"/>
        <w:numPr>
          <w:ilvl w:val="0"/>
          <w:numId w:val="2"/>
        </w:numPr>
        <w:rPr>
          <w:noProof/>
        </w:rPr>
      </w:pPr>
      <w:r w:rsidRPr="006028BB">
        <w:t>Az EBH kikérte az 1093/2010/EU európai parlamenti és tanácsi rendelet</w:t>
      </w:r>
      <w:r w:rsidRPr="006028BB">
        <w:rPr>
          <w:rStyle w:val="FootnoteReference"/>
          <w:noProof/>
        </w:rPr>
        <w:footnoteReference w:id="6"/>
      </w:r>
      <w:r w:rsidRPr="006028BB">
        <w:t xml:space="preserve"> 37. cikkével összhangban létrehozott Banki Érdekképviseleti Csoport tanácsát, </w:t>
      </w:r>
    </w:p>
    <w:p w14:paraId="5D5111C6" w14:textId="77777777" w:rsidR="00C16484" w:rsidRPr="006028BB" w:rsidRDefault="00373FC4" w:rsidP="004B4C38">
      <w:pPr>
        <w:pStyle w:val="Considrant"/>
        <w:numPr>
          <w:ilvl w:val="0"/>
          <w:numId w:val="2"/>
        </w:numPr>
        <w:rPr>
          <w:noProof/>
        </w:rPr>
      </w:pPr>
      <w:r w:rsidRPr="006028BB">
        <w:t xml:space="preserve">Az (EU) 2021/622 rendelet módosításai a szanálási hatóságokat érintik, jelentős tartalmi változásokat nem eredményeznek. Az EBH ezért az 1093/2010/EU rendelet 15. cikke (1) bekezdésének második albekezdésével összhangban nem folytatott nyilvános konzultációt, és nem folytatott nyilvános konzultációkat, és nem elemezte az esetleges kapcsolódó költségeket és hasznot, mivel úgy ítélte meg, hogy ez az érintett végrehajtás-technikai standardtervezetek hatályához és hatásához képest aránytalan lenne. </w:t>
      </w:r>
    </w:p>
    <w:p w14:paraId="0A23BFF6" w14:textId="77777777" w:rsidR="00C16484" w:rsidRPr="006028BB" w:rsidRDefault="00C16484" w:rsidP="004B4C38">
      <w:pPr>
        <w:pStyle w:val="Considrant"/>
        <w:numPr>
          <w:ilvl w:val="0"/>
          <w:numId w:val="2"/>
        </w:numPr>
        <w:rPr>
          <w:noProof/>
        </w:rPr>
      </w:pPr>
      <w:r w:rsidRPr="006028BB">
        <w:t>Az (EU) 2021/622 végrehajtási rendeletet ezért ennek megfelelően módosítani kell.</w:t>
      </w:r>
    </w:p>
    <w:p w14:paraId="1887EA7B" w14:textId="77777777" w:rsidR="00C16484" w:rsidRPr="006028BB" w:rsidRDefault="00C16484" w:rsidP="004B4C38">
      <w:pPr>
        <w:pStyle w:val="Considrant"/>
        <w:numPr>
          <w:ilvl w:val="0"/>
          <w:numId w:val="2"/>
        </w:numPr>
        <w:rPr>
          <w:noProof/>
        </w:rPr>
      </w:pPr>
      <w:r w:rsidRPr="006028BB">
        <w:t>Ez a rendelet az EBH által a Bizottságnak benyújtott végrehajtás-technikai standardtervezeten alapul,</w:t>
      </w:r>
    </w:p>
    <w:p w14:paraId="313B274F" w14:textId="77777777" w:rsidR="00C16484" w:rsidRPr="006028BB" w:rsidRDefault="00C16484">
      <w:pPr>
        <w:pStyle w:val="Formuledadoption"/>
      </w:pPr>
      <w:r w:rsidRPr="006028BB">
        <w:t>ELFOGADTA EZT A RENDELETET:</w:t>
      </w:r>
    </w:p>
    <w:p w14:paraId="455FC522" w14:textId="77777777" w:rsidR="00C16484" w:rsidRPr="006028BB" w:rsidRDefault="00C16484">
      <w:pPr>
        <w:pStyle w:val="Titrearticle"/>
      </w:pPr>
      <w:r w:rsidRPr="006028BB">
        <w:t>1. cikk</w:t>
      </w:r>
    </w:p>
    <w:p w14:paraId="061A957A" w14:textId="77777777" w:rsidR="00C16484" w:rsidRPr="006028BB" w:rsidRDefault="00C16484" w:rsidP="00C16484">
      <w:pPr>
        <w:rPr>
          <w:noProof/>
        </w:rPr>
      </w:pPr>
      <w:r w:rsidRPr="006028BB">
        <w:t>Az (EU) 2021/622 végrehajtási rendelet a következőképpen módosul:</w:t>
      </w:r>
    </w:p>
    <w:p w14:paraId="44E520EB" w14:textId="77777777" w:rsidR="00C16484" w:rsidRPr="006028BB" w:rsidRDefault="00C16484" w:rsidP="007074E5">
      <w:pPr>
        <w:pStyle w:val="NumPar1"/>
        <w:numPr>
          <w:ilvl w:val="0"/>
          <w:numId w:val="21"/>
        </w:numPr>
        <w:rPr>
          <w:noProof/>
        </w:rPr>
      </w:pPr>
      <w:r w:rsidRPr="006028BB">
        <w:t>A 2. cikk a következőképpen módosul:</w:t>
      </w:r>
    </w:p>
    <w:p w14:paraId="252CA8AC" w14:textId="01E9B9A5" w:rsidR="00C16484" w:rsidRPr="006028BB" w:rsidRDefault="00E41B5A" w:rsidP="00E41B5A">
      <w:pPr>
        <w:pStyle w:val="Point1"/>
        <w:rPr>
          <w:noProof/>
        </w:rPr>
      </w:pPr>
      <w:r>
        <w:t>a)</w:t>
      </w:r>
      <w:r w:rsidRPr="00E41B5A">
        <w:tab/>
      </w:r>
      <w:r w:rsidR="00C16484" w:rsidRPr="006028BB">
        <w:t>a cím helyébe a következő szöveg lép:</w:t>
      </w:r>
    </w:p>
    <w:p w14:paraId="3D4F8508" w14:textId="77777777" w:rsidR="00C16484" w:rsidRPr="006028BB" w:rsidRDefault="00C16484" w:rsidP="00783A3B">
      <w:pPr>
        <w:jc w:val="center"/>
        <w:rPr>
          <w:noProof/>
        </w:rPr>
      </w:pPr>
      <w:r w:rsidRPr="006028BB">
        <w:t>„</w:t>
      </w:r>
      <w:r w:rsidRPr="006028BB">
        <w:rPr>
          <w:b/>
          <w:bCs/>
        </w:rPr>
        <w:t>A mentességet élvező intézményekre vonatkozó egyszerűsített adatszolgáltatási követelmény</w:t>
      </w:r>
      <w:r w:rsidRPr="006028BB">
        <w:t>”;</w:t>
      </w:r>
    </w:p>
    <w:p w14:paraId="2EAF66BD" w14:textId="3AA9B2FE" w:rsidR="00C16484" w:rsidRPr="006028BB" w:rsidRDefault="00E41B5A" w:rsidP="00E41B5A">
      <w:pPr>
        <w:pStyle w:val="Point1"/>
        <w:rPr>
          <w:noProof/>
        </w:rPr>
      </w:pPr>
      <w:r>
        <w:t>b)</w:t>
      </w:r>
      <w:r w:rsidRPr="00E41B5A">
        <w:tab/>
      </w:r>
      <w:r w:rsidR="00C16484" w:rsidRPr="006028BB">
        <w:t>a (2) bekezdést el kell hagyni.</w:t>
      </w:r>
    </w:p>
    <w:p w14:paraId="1A052A8B" w14:textId="77777777" w:rsidR="00C16484" w:rsidRPr="006028BB" w:rsidRDefault="00C16484" w:rsidP="00E41B5A">
      <w:pPr>
        <w:pStyle w:val="NumPar1"/>
        <w:rPr>
          <w:noProof/>
        </w:rPr>
      </w:pPr>
      <w:r w:rsidRPr="006028BB">
        <w:t>A 3. cikk bevezető szövegrészének helyébe a következő szöveg lép:</w:t>
      </w:r>
    </w:p>
    <w:p w14:paraId="533DCDB8" w14:textId="77777777" w:rsidR="00C16484" w:rsidRPr="006028BB" w:rsidRDefault="00C16484" w:rsidP="00783A3B">
      <w:pPr>
        <w:rPr>
          <w:noProof/>
        </w:rPr>
      </w:pPr>
      <w:r w:rsidRPr="006028BB">
        <w:t>„Azon csoportok esetében, amelyek a 2014/59/EU irányelv 45e. cikke, 45f. cikke (1) bekezdésének harmadik és negyedik albekezdése és 45f. cikke (4) bekezdésének b) pontja értelmében összevont alapon tartoznak az MREL hatálya alá, az 1. és a 2. cikkben említett információkat a következő hatóságok nyújtják be az alábbi módon:”.</w:t>
      </w:r>
    </w:p>
    <w:p w14:paraId="0509E0AB" w14:textId="77777777" w:rsidR="00C16484" w:rsidRPr="006028BB" w:rsidRDefault="00C16484" w:rsidP="00E41B5A">
      <w:pPr>
        <w:pStyle w:val="NumPar1"/>
        <w:rPr>
          <w:noProof/>
        </w:rPr>
      </w:pPr>
      <w:r w:rsidRPr="006028BB">
        <w:t>A 4. cikk helyébe a következő szöveg lép:</w:t>
      </w:r>
    </w:p>
    <w:p w14:paraId="66FCA4E9" w14:textId="77777777" w:rsidR="00C16484" w:rsidRPr="006028BB" w:rsidRDefault="00D47F83" w:rsidP="00783A3B">
      <w:pPr>
        <w:pStyle w:val="Titrearticle"/>
        <w:rPr>
          <w:i w:val="0"/>
          <w:iCs/>
          <w:noProof/>
        </w:rPr>
      </w:pPr>
      <w:r w:rsidRPr="006028BB">
        <w:rPr>
          <w:i w:val="0"/>
        </w:rPr>
        <w:t>„</w:t>
      </w:r>
      <w:r w:rsidRPr="006028BB">
        <w:t xml:space="preserve">4. cikk </w:t>
      </w:r>
      <w:r w:rsidRPr="006028BB">
        <w:br/>
      </w:r>
      <w:r w:rsidRPr="006028BB">
        <w:rPr>
          <w:b/>
          <w:i w:val="0"/>
        </w:rPr>
        <w:t>Adatszolgáltatási időszakok és benyújtási dátumok</w:t>
      </w:r>
    </w:p>
    <w:p w14:paraId="054F5F9B" w14:textId="77777777" w:rsidR="00C16484" w:rsidRPr="006028BB" w:rsidRDefault="00C16484" w:rsidP="00783A3B">
      <w:pPr>
        <w:rPr>
          <w:noProof/>
        </w:rPr>
      </w:pPr>
      <w:r w:rsidRPr="006028BB">
        <w:t>A szanálási hatóságok az 1. és 2. cikkben említett információkat a következőképpen továbbítják:</w:t>
      </w:r>
    </w:p>
    <w:p w14:paraId="5113726F" w14:textId="20B55F39" w:rsidR="00C16484" w:rsidRPr="006028BB" w:rsidRDefault="00E41B5A" w:rsidP="00E41B5A">
      <w:pPr>
        <w:pStyle w:val="Point1"/>
        <w:rPr>
          <w:noProof/>
        </w:rPr>
      </w:pPr>
      <w:r>
        <w:t>a)</w:t>
      </w:r>
      <w:r w:rsidRPr="00E41B5A">
        <w:tab/>
      </w:r>
      <w:r w:rsidR="00C16484" w:rsidRPr="006028BB">
        <w:t>a június 30-tól alkalmazandó MREL esetében az adott év szeptember 16-áig;</w:t>
      </w:r>
    </w:p>
    <w:p w14:paraId="7219DDD8" w14:textId="1181031E" w:rsidR="00C16484" w:rsidRPr="006028BB" w:rsidRDefault="00E41B5A" w:rsidP="00E41B5A">
      <w:pPr>
        <w:pStyle w:val="Point1"/>
        <w:rPr>
          <w:noProof/>
        </w:rPr>
      </w:pPr>
      <w:r>
        <w:t>b)</w:t>
      </w:r>
      <w:r w:rsidRPr="00E41B5A">
        <w:tab/>
      </w:r>
      <w:r w:rsidR="00C16484" w:rsidRPr="006028BB">
        <w:t>a december 31-től alkalmazandó MREL esetében a következő év március 18-áig.”</w:t>
      </w:r>
    </w:p>
    <w:p w14:paraId="65609948" w14:textId="77777777" w:rsidR="00C16484" w:rsidRPr="006028BB" w:rsidRDefault="00C16484" w:rsidP="00E41B5A">
      <w:pPr>
        <w:pStyle w:val="NumPar1"/>
        <w:rPr>
          <w:noProof/>
        </w:rPr>
      </w:pPr>
      <w:r w:rsidRPr="006028BB">
        <w:t>Az I. melléklet helyébe e rendelet I. mellékletének szövege lép.</w:t>
      </w:r>
    </w:p>
    <w:p w14:paraId="45E55C10" w14:textId="77777777" w:rsidR="00C16484" w:rsidRPr="006028BB" w:rsidRDefault="00C16484" w:rsidP="00E41B5A">
      <w:pPr>
        <w:pStyle w:val="NumPar1"/>
        <w:rPr>
          <w:noProof/>
        </w:rPr>
      </w:pPr>
      <w:r w:rsidRPr="006028BB">
        <w:t>A II. melléklet helyébe e rendelet II. mellékletének szövege lép.</w:t>
      </w:r>
    </w:p>
    <w:p w14:paraId="0B09A3CA" w14:textId="77777777" w:rsidR="00C16484" w:rsidRPr="006028BB" w:rsidRDefault="00C16484">
      <w:pPr>
        <w:pStyle w:val="Titrearticle"/>
      </w:pPr>
      <w:r w:rsidRPr="006028BB">
        <w:t>2. cikk</w:t>
      </w:r>
    </w:p>
    <w:p w14:paraId="0BDD24EC" w14:textId="77777777" w:rsidR="00C16484" w:rsidRPr="006028BB" w:rsidRDefault="00C16484" w:rsidP="00830365">
      <w:r w:rsidRPr="006028BB">
        <w:t xml:space="preserve">Ez a rendelet az </w:t>
      </w:r>
      <w:r w:rsidRPr="006028BB">
        <w:rPr>
          <w:i/>
        </w:rPr>
        <w:t>Európai Unió Hivatalos Lapjában</w:t>
      </w:r>
      <w:r w:rsidRPr="006028BB">
        <w:t xml:space="preserve"> való kihirdetését követő huszadik napon lép hatályba.</w:t>
      </w:r>
    </w:p>
    <w:p w14:paraId="3DDE2F7A" w14:textId="77777777" w:rsidR="00C16484" w:rsidRPr="006028BB" w:rsidRDefault="00C16484">
      <w:pPr>
        <w:pStyle w:val="Applicationdirecte"/>
      </w:pPr>
      <w:r w:rsidRPr="006028BB">
        <w:t>Ez a rendelet teljes egészében kötelező és közvetlenül alkalmazandó valamennyi tagállamban.</w:t>
      </w:r>
    </w:p>
    <w:p w14:paraId="0FD02893" w14:textId="5B4D64D3" w:rsidR="00C16484" w:rsidRPr="006028BB" w:rsidRDefault="006028BB" w:rsidP="006028BB">
      <w:pPr>
        <w:pStyle w:val="Fait"/>
      </w:pPr>
      <w:r w:rsidRPr="006028BB">
        <w:t>Kelt Brüsszelben, -án/-én.</w:t>
      </w:r>
    </w:p>
    <w:p w14:paraId="3FB14D4B" w14:textId="77777777" w:rsidR="00C16484" w:rsidRPr="006028BB" w:rsidRDefault="00C16484" w:rsidP="00C16484">
      <w:pPr>
        <w:pStyle w:val="Institutionquisigne"/>
      </w:pPr>
      <w:r w:rsidRPr="006028BB">
        <w:tab/>
        <w:t>a Bizottság részéről</w:t>
      </w:r>
    </w:p>
    <w:p w14:paraId="0FEF1170" w14:textId="0CD182DE" w:rsidR="00C16484" w:rsidRPr="006028BB" w:rsidRDefault="00C16484" w:rsidP="00C16484">
      <w:pPr>
        <w:pStyle w:val="Personnequisigne"/>
      </w:pPr>
      <w:r w:rsidRPr="006028BB">
        <w:tab/>
        <w:t xml:space="preserve">az elnök </w:t>
      </w:r>
      <w:r w:rsidRPr="006028BB">
        <w:br/>
      </w:r>
      <w:r w:rsidRPr="006028BB">
        <w:tab/>
        <w:t xml:space="preserve">Ursula von der Leyen </w:t>
      </w:r>
      <w:r w:rsidRPr="006028BB">
        <w:br/>
      </w:r>
      <w:r w:rsidRPr="006028BB">
        <w:tab/>
      </w:r>
    </w:p>
    <w:sectPr w:rsidR="00C16484" w:rsidRPr="006028BB" w:rsidSect="00CA467C">
      <w:headerReference w:type="even" r:id="rId18"/>
      <w:footerReference w:type="even" r:id="rId19"/>
      <w:footerReference w:type="default" r:id="rId20"/>
      <w:headerReference w:type="first" r:id="rId21"/>
      <w:footerReference w:type="firs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4D8F0" w14:textId="77777777" w:rsidR="00F07F26" w:rsidRDefault="00F07F26" w:rsidP="00C16484">
      <w:pPr>
        <w:spacing w:before="0" w:after="0"/>
      </w:pPr>
      <w:r>
        <w:separator/>
      </w:r>
    </w:p>
  </w:endnote>
  <w:endnote w:type="continuationSeparator" w:id="0">
    <w:p w14:paraId="61DF8EAB" w14:textId="77777777" w:rsidR="00F07F26" w:rsidRDefault="00F07F26" w:rsidP="00C16484">
      <w:pPr>
        <w:spacing w:before="0" w:after="0"/>
      </w:pPr>
      <w:r>
        <w:continuationSeparator/>
      </w:r>
    </w:p>
  </w:endnote>
  <w:endnote w:type="continuationNotice" w:id="1">
    <w:p w14:paraId="04F6DC9C" w14:textId="77777777" w:rsidR="00F07F26" w:rsidRDefault="00F07F2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CDF19" w14:textId="6370B4D8" w:rsidR="00AE4482" w:rsidRPr="00CA467C" w:rsidRDefault="00CA467C" w:rsidP="00CA467C">
    <w:pPr>
      <w:pStyle w:val="Footer"/>
      <w:rPr>
        <w:rFonts w:ascii="Arial" w:hAnsi="Arial" w:cs="Arial"/>
        <w:b/>
        <w:sz w:val="48"/>
      </w:rPr>
    </w:pPr>
    <w:r w:rsidRPr="00CA467C">
      <w:rPr>
        <w:rFonts w:ascii="Arial" w:hAnsi="Arial" w:cs="Arial"/>
        <w:b/>
        <w:sz w:val="48"/>
      </w:rPr>
      <w:t>HU</w:t>
    </w:r>
    <w:r w:rsidRPr="00CA467C">
      <w:rPr>
        <w:rFonts w:ascii="Arial" w:hAnsi="Arial" w:cs="Arial"/>
        <w:b/>
        <w:sz w:val="48"/>
      </w:rPr>
      <w:tab/>
    </w:r>
    <w:r w:rsidRPr="00CA467C">
      <w:rPr>
        <w:rFonts w:ascii="Arial" w:hAnsi="Arial" w:cs="Arial"/>
        <w:b/>
        <w:sz w:val="48"/>
      </w:rPr>
      <w:tab/>
    </w:r>
    <w:r w:rsidRPr="00CA467C">
      <w:tab/>
    </w:r>
    <w:r w:rsidRPr="00CA467C">
      <w:rPr>
        <w:rFonts w:ascii="Arial" w:hAnsi="Arial" w:cs="Arial"/>
        <w:b/>
        <w:sz w:val="48"/>
      </w:rPr>
      <w:t>HU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2038" w14:textId="44F5C990" w:rsidR="00AE4482" w:rsidRPr="00CA467C" w:rsidRDefault="00CA467C" w:rsidP="00CA467C">
    <w:pPr>
      <w:pStyle w:val="Footer"/>
      <w:rPr>
        <w:rFonts w:ascii="Arial" w:hAnsi="Arial" w:cs="Arial"/>
        <w:b/>
        <w:sz w:val="48"/>
      </w:rPr>
    </w:pPr>
    <w:r w:rsidRPr="00CA467C">
      <w:rPr>
        <w:rFonts w:ascii="Arial" w:hAnsi="Arial" w:cs="Arial"/>
        <w:b/>
        <w:sz w:val="48"/>
      </w:rPr>
      <w:t>HU</w:t>
    </w:r>
    <w:r w:rsidRPr="00CA467C">
      <w:rPr>
        <w:rFonts w:ascii="Arial" w:hAnsi="Arial" w:cs="Arial"/>
        <w:b/>
        <w:sz w:val="48"/>
      </w:rPr>
      <w:tab/>
    </w:r>
    <w:r w:rsidRPr="00CA467C">
      <w:rPr>
        <w:rFonts w:ascii="Arial" w:hAnsi="Arial" w:cs="Arial"/>
        <w:b/>
        <w:sz w:val="48"/>
      </w:rPr>
      <w:tab/>
    </w:r>
    <w:r w:rsidRPr="00CA467C">
      <w:tab/>
    </w:r>
    <w:r w:rsidRPr="00CA467C">
      <w:rPr>
        <w:rFonts w:ascii="Arial" w:hAnsi="Arial" w:cs="Arial"/>
        <w:b/>
        <w:sz w:val="48"/>
      </w:rPr>
      <w:t>HU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5B676" w14:textId="77777777" w:rsidR="00CA467C" w:rsidRPr="00CA467C" w:rsidRDefault="00CA467C" w:rsidP="00CA46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2728" w14:textId="77777777" w:rsidR="000C320E" w:rsidRPr="00DC5E29" w:rsidRDefault="000C320E" w:rsidP="00DC5E29">
    <w:pPr>
      <w:pStyle w:val="Footer"/>
      <w:rPr>
        <w:rFonts w:ascii="Arial" w:hAnsi="Arial" w:cs="Arial"/>
        <w:b/>
        <w:sz w:val="4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2B89" w14:textId="3EBE858F" w:rsidR="00CA467C" w:rsidRPr="00CA467C" w:rsidRDefault="00CA467C" w:rsidP="00CA467C">
    <w:pPr>
      <w:pStyle w:val="Footer"/>
      <w:rPr>
        <w:rFonts w:ascii="Arial" w:hAnsi="Arial" w:cs="Arial"/>
        <w:b/>
        <w:sz w:val="48"/>
      </w:rPr>
    </w:pPr>
    <w:r w:rsidRPr="00CA467C">
      <w:rPr>
        <w:rFonts w:ascii="Arial" w:hAnsi="Arial" w:cs="Arial"/>
        <w:b/>
        <w:sz w:val="48"/>
      </w:rPr>
      <w:t>HU</w:t>
    </w:r>
    <w:r w:rsidRPr="00CA467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CA467C">
      <w:tab/>
    </w:r>
    <w:r w:rsidRPr="00CA467C">
      <w:rPr>
        <w:rFonts w:ascii="Arial" w:hAnsi="Arial" w:cs="Arial"/>
        <w:b/>
        <w:sz w:val="48"/>
      </w:rPr>
      <w:t>HU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2C19" w14:textId="77777777" w:rsidR="000C320E" w:rsidRDefault="000C320E" w:rsidP="00CA4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04942" w14:textId="77777777" w:rsidR="00F07F26" w:rsidRDefault="00F07F26" w:rsidP="00C16484">
      <w:pPr>
        <w:spacing w:before="0" w:after="0"/>
      </w:pPr>
      <w:r>
        <w:separator/>
      </w:r>
    </w:p>
  </w:footnote>
  <w:footnote w:type="continuationSeparator" w:id="0">
    <w:p w14:paraId="298144EA" w14:textId="77777777" w:rsidR="00F07F26" w:rsidRDefault="00F07F26" w:rsidP="00C16484">
      <w:pPr>
        <w:spacing w:before="0" w:after="0"/>
      </w:pPr>
      <w:r>
        <w:continuationSeparator/>
      </w:r>
    </w:p>
  </w:footnote>
  <w:footnote w:type="continuationNotice" w:id="1">
    <w:p w14:paraId="57F8940A" w14:textId="77777777" w:rsidR="00F07F26" w:rsidRDefault="00F07F26">
      <w:pPr>
        <w:spacing w:before="0" w:after="0"/>
      </w:pPr>
    </w:p>
  </w:footnote>
  <w:footnote w:id="2">
    <w:p w14:paraId="33763137" w14:textId="77777777" w:rsidR="00C16484" w:rsidRPr="002A43D8" w:rsidRDefault="00C16484" w:rsidP="00C16484">
      <w:pPr>
        <w:pStyle w:val="FootnoteText"/>
      </w:pPr>
      <w:r>
        <w:rPr>
          <w:rStyle w:val="FootnoteReference"/>
        </w:rPr>
        <w:footnoteRef/>
      </w:r>
      <w:r>
        <w:tab/>
        <w:t>HL L 173., 2014.6.12., 190. o., ELI: </w:t>
      </w:r>
      <w:hyperlink r:id="rId1" w:tooltip="Az ELI (európai jogszabály-azonosító) URI-hivatkozása révén biztosít hozzáférést a dokumentumhoz." w:history="1">
        <w:r>
          <w:rPr>
            <w:rStyle w:val="Hyperlink"/>
            <w:rFonts w:ascii="Times New Roman" w:hAnsi="Times New Roman"/>
          </w:rPr>
          <w:t>http://data.europa.eu/eli/dir/2014/59/oj</w:t>
        </w:r>
      </w:hyperlink>
      <w:r>
        <w:t xml:space="preserve">. </w:t>
      </w:r>
    </w:p>
  </w:footnote>
  <w:footnote w:id="3">
    <w:p w14:paraId="584AEAAA" w14:textId="78F88551" w:rsidR="003428AE" w:rsidRPr="009B0295" w:rsidRDefault="003428AE">
      <w:pPr>
        <w:pStyle w:val="FootnoteText"/>
      </w:pPr>
      <w:r>
        <w:rPr>
          <w:rStyle w:val="FootnoteReference"/>
        </w:rPr>
        <w:footnoteRef/>
      </w:r>
      <w:r>
        <w:tab/>
        <w:t xml:space="preserve">Az Európai Parlament és a Tanács (EU) 2024/1174 irányelve (2024. április 11.) a 2014/59/EU irányelvnek és a 806/2014/EU rendeletnek a szavatolótőkére és a leírható, illetve átalakítható kötelezettségekre vonatkozó minimumkövetelmény egyes vonatkozásai tekintetében történő módosításáról (HL L, 2024/1174, 2024.4.22., ELI: </w:t>
      </w:r>
      <w:hyperlink r:id="rId2" w:history="1">
        <w:r>
          <w:rPr>
            <w:rStyle w:val="Hyperlink"/>
            <w:rFonts w:ascii="Times New Roman" w:hAnsi="Times New Roman"/>
          </w:rPr>
          <w:t>http://data.europa.eu/eli/dir/2024/1174/oj</w:t>
        </w:r>
      </w:hyperlink>
      <w:r>
        <w:t xml:space="preserve">). </w:t>
      </w:r>
    </w:p>
  </w:footnote>
  <w:footnote w:id="4">
    <w:p w14:paraId="4D1953DF" w14:textId="607C22C8" w:rsidR="001F4496" w:rsidRPr="009B0295" w:rsidRDefault="001F4496">
      <w:pPr>
        <w:pStyle w:val="FootnoteText"/>
      </w:pPr>
      <w:r>
        <w:rPr>
          <w:rStyle w:val="FootnoteReference"/>
        </w:rPr>
        <w:footnoteRef/>
      </w:r>
      <w:r>
        <w:tab/>
        <w:t xml:space="preserve">A Bizottság (EU) 2021/622 végrehajtási rendelete (2021. április 15.) a 2014/59/EU európai parlamenti és tanácsi irányelvnek a szavatolótőkére és a leírható, illetve átalakítható kötelezettségekre vonatkozó minimumkövetelményekről történő adatszolgáltatáshoz szükséges egységes adatszolgáltatási táblák, utasítások és módszer tekintetében történő alkalmazására vonatkozó végrehajtás-technikai standardok meghatározásáról (HL L 131., 2021.4.16., 123. o., ELI: </w:t>
      </w:r>
      <w:hyperlink r:id="rId3" w:history="1">
        <w:r>
          <w:rPr>
            <w:rStyle w:val="Hyperlink"/>
            <w:rFonts w:ascii="Times New Roman" w:hAnsi="Times New Roman"/>
          </w:rPr>
          <w:t>http://data.europa.eu/eli/reg_impl/2021/622/oj</w:t>
        </w:r>
      </w:hyperlink>
      <w:r>
        <w:t>).</w:t>
      </w:r>
    </w:p>
  </w:footnote>
  <w:footnote w:id="5">
    <w:p w14:paraId="5FB3833A" w14:textId="77777777" w:rsidR="000B5B60" w:rsidRPr="000B5B60" w:rsidRDefault="000B5B60">
      <w:pPr>
        <w:pStyle w:val="FootnoteText"/>
      </w:pPr>
      <w:r>
        <w:rPr>
          <w:rStyle w:val="FootnoteReference"/>
        </w:rPr>
        <w:footnoteRef/>
      </w:r>
      <w:r>
        <w:tab/>
        <w:t xml:space="preserve">A Bizottság (EU) 2021/763 végrehajtási rendelete (2021. április 23.) az 575/2013/EU európai parlamenti és tanácsi rendeletnek és a 2014/59/EU európai parlamenti és tanácsi irányelvnek a szavatolótőkére és a leírható, illetve átalakítható kötelezettségekre vonatkozó minimumkövetelmény felügyeleti adatszolgáltatása és nyilvánosságra hozatala tekintetében történő alkalmazására vonatkozó végrehajtás-technikai standardok megállapításáról (HL L 168., 2021.5.12., ELI: </w:t>
      </w:r>
      <w:hyperlink r:id="rId4" w:history="1">
        <w:r>
          <w:rPr>
            <w:rStyle w:val="Hyperlink"/>
            <w:rFonts w:ascii="Times New Roman" w:hAnsi="Times New Roman"/>
          </w:rPr>
          <w:t>http://data.europa.eu/eli/reg_impl/2021/763/oj</w:t>
        </w:r>
      </w:hyperlink>
      <w:r>
        <w:t>).</w:t>
      </w:r>
    </w:p>
  </w:footnote>
  <w:footnote w:id="6">
    <w:p w14:paraId="04BE3385" w14:textId="77777777" w:rsidR="00401F3A" w:rsidRPr="00FE7BD1" w:rsidRDefault="00401F3A" w:rsidP="00F35BD7">
      <w:pPr>
        <w:pStyle w:val="FootnoteText"/>
      </w:pPr>
      <w:r>
        <w:rPr>
          <w:rStyle w:val="FootnoteReference"/>
        </w:rPr>
        <w:footnoteRef/>
      </w:r>
      <w:r>
        <w:tab/>
        <w:t>Az Európai Parlament és a Tanács 1093/2010/EU rendelete (2010. november 24.) az európai felügyeleti hatóság (Európai Bankhatóság) létrehozásáról, a 716/2009/EK határozat módosításáról és a 2009/78/EK bizottsági határozat hatályon kívül helyezéséről (HL L 331., 2010.12.15., 12. o., ELI: </w:t>
      </w:r>
      <w:hyperlink r:id="rId5" w:tooltip="Az ELI (európai jogszabály-azonosító) URI-hivatkozása révén biztosít hozzáférést a dokumentumhoz." w:history="1">
        <w:r>
          <w:rPr>
            <w:rStyle w:val="Hyperlink"/>
            <w:rFonts w:ascii="Times New Roman" w:hAnsi="Times New Roman"/>
          </w:rPr>
          <w:t>http://data.europa.eu/eli/reg/2010/1093/oj</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7B0B5" w14:textId="77777777" w:rsidR="00CA467C" w:rsidRPr="00CA467C" w:rsidRDefault="00CA467C" w:rsidP="00CA46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4D117" w14:textId="77777777" w:rsidR="00CA467C" w:rsidRPr="00CA467C" w:rsidRDefault="00CA467C" w:rsidP="00CA46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58FA5" w14:textId="77777777" w:rsidR="00CA467C" w:rsidRPr="00CA467C" w:rsidRDefault="00CA467C" w:rsidP="00CA46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C1D2" w14:textId="77777777" w:rsidR="000C320E" w:rsidRDefault="000C32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10A3" w14:textId="77777777" w:rsidR="000C320E" w:rsidRDefault="000C3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1B8BE2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E56832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CAC290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25511920">
    <w:abstractNumId w:val="3"/>
  </w:num>
  <w:num w:numId="2" w16cid:durableId="784347441">
    <w:abstractNumId w:val="18"/>
    <w:lvlOverride w:ilvl="0">
      <w:startOverride w:val="1"/>
    </w:lvlOverride>
  </w:num>
  <w:num w:numId="3" w16cid:durableId="2119445392">
    <w:abstractNumId w:val="2"/>
  </w:num>
  <w:num w:numId="4" w16cid:durableId="1881360427">
    <w:abstractNumId w:val="1"/>
  </w:num>
  <w:num w:numId="5" w16cid:durableId="309334442">
    <w:abstractNumId w:val="0"/>
  </w:num>
  <w:num w:numId="6" w16cid:durableId="2089693441">
    <w:abstractNumId w:val="15"/>
  </w:num>
  <w:num w:numId="7" w16cid:durableId="1693998065">
    <w:abstractNumId w:val="8"/>
  </w:num>
  <w:num w:numId="8" w16cid:durableId="788817884">
    <w:abstractNumId w:val="17"/>
  </w:num>
  <w:num w:numId="9" w16cid:durableId="1535464848">
    <w:abstractNumId w:val="7"/>
  </w:num>
  <w:num w:numId="10" w16cid:durableId="639657071">
    <w:abstractNumId w:val="9"/>
  </w:num>
  <w:num w:numId="11" w16cid:durableId="361050661">
    <w:abstractNumId w:val="10"/>
  </w:num>
  <w:num w:numId="12" w16cid:durableId="472790552">
    <w:abstractNumId w:val="5"/>
  </w:num>
  <w:num w:numId="13" w16cid:durableId="384646725">
    <w:abstractNumId w:val="16"/>
  </w:num>
  <w:num w:numId="14" w16cid:durableId="2031682509">
    <w:abstractNumId w:val="4"/>
  </w:num>
  <w:num w:numId="15" w16cid:durableId="150604668">
    <w:abstractNumId w:val="11"/>
  </w:num>
  <w:num w:numId="16" w16cid:durableId="472332852">
    <w:abstractNumId w:val="13"/>
  </w:num>
  <w:num w:numId="17" w16cid:durableId="1298296966">
    <w:abstractNumId w:val="14"/>
  </w:num>
  <w:num w:numId="18" w16cid:durableId="1306230484">
    <w:abstractNumId w:val="6"/>
  </w:num>
  <w:num w:numId="19" w16cid:durableId="24066917">
    <w:abstractNumId w:val="12"/>
  </w:num>
  <w:num w:numId="20" w16cid:durableId="485436588">
    <w:abstractNumId w:val="18"/>
  </w:num>
  <w:num w:numId="21" w16cid:durableId="1540314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QCDateTime" w:val="2026-02-02 08:54:2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Version" w:val="3"/>
    <w:docVar w:name="DQCWithWarnings" w:val="0"/>
    <w:docVar w:name="DQCStatus" w:val="Green"/>
    <w:docVar w:name="LW_CORRIGENDUM" w:val="&lt;UNUSED&gt;"/>
    <w:docVar w:name="LW_COVERPAGE_EXISTS" w:val="True"/>
    <w:docVar w:name="LW_COVERPAGE_GUID" w:val="E37174D6-84CC-432F-AA9A-30D02F72C3B0"/>
    <w:docVar w:name="LW_COVERPAGE_TYPE" w:val="1"/>
    <w:docVar w:name="LW_CreatedUtc" w:val="2025-09-04T16:00:38.0896335Z"/>
    <w:docVar w:name="LW_CROSSREFERENCE" w:val="&lt;UNUSED&gt;"/>
    <w:docVar w:name="LW_DATE.ADOPT.CP" w:val="(XXX)"/>
    <w:docVar w:name="LW_DATE.ADOPT.CP_DATEFORMAT" w:val="(%DATE%)"/>
    <w:docVar w:name="LW_DATE.ADOPT.CP_ISODATE" w:val="&lt;EMPTY&gt;"/>
    <w:docVar w:name="LW_DocType" w:val="COM"/>
    <w:docVar w:name="LW_EMISSION" w:val="&lt;EMPTY&gt;"/>
    <w:docVar w:name="LW_EMISSION_ISODATE" w:val="&lt;EMPTY&gt;"/>
    <w:docVar w:name="LW_EMISSION_LOCATION" w:val="BRX"/>
    <w:docVar w:name="LW_EMISSION_PREFIX" w:val="Brüsszel, "/>
    <w:docVar w:name="LW_EMISSION_SUFFIX" w:val=" "/>
    <w:docVar w:name="LW_ID_DOCMODEL" w:val="SJ-004"/>
    <w:docVar w:name="LW_ID_DOCTYPE" w:val="SJ-004"/>
    <w:docVar w:name="LW_ID_DOCSIGNATURE" w:val="SJ-004"/>
    <w:docVar w:name="LW_ID_DOCSTRUCTURE" w:val="COM/AA"/>
    <w:docVar w:name="LW_INTERETEEE.CP" w:val="(EGT-vonatkozású szöveg)"/>
    <w:docVar w:name="LW_LANGUE" w:val="HU"/>
    <w:docVar w:name="LW_LANGUESFAISANTFOI.CP" w:val="&lt;UNUSED&gt;"/>
    <w:docVar w:name="LW_LEVEL_OF_SENSITIVITY" w:val="Standard treatment"/>
    <w:docVar w:name="LW_NOM.INST" w:val="EURÓPAI BIZOTTSÁG"/>
    <w:docVar w:name="LW_NOM.INST_JOINTDOC" w:val="&lt;EMPTY&gt;"/>
    <w:docVar w:name="LW_PART_NBR" w:val="1"/>
    <w:docVar w:name="LW_PART_NBR_TOTAL" w:val="1"/>
    <w:docVar w:name="LW_REF.INST.NEW" w:val="&lt;EMPTY&gt;"/>
    <w:docVar w:name="LW_REF.INST.NEW_ADOPTED" w:val="draft"/>
    <w:docVar w:name="LW_REF.INST.NEW_TEXT" w:val="(2026) XXX"/>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z (EU) 2021/622 végrehajtási rendeletben meghatározott végrehajtás-technikai standardoknak az adatszolgáltatás gyakorisága és a szolgáltatandó információk tekintetében történ\u337? módosításáról"/>
    <w:docVar w:name="LW_TYPE.DOC.CP" w:val="A BIZOTTSÁG (EU) .../... VÉGREHAJTÁSI RENDELETE"/>
  </w:docVars>
  <w:rsids>
    <w:rsidRoot w:val="00C16484"/>
    <w:rsid w:val="00000BE0"/>
    <w:rsid w:val="00016276"/>
    <w:rsid w:val="00016399"/>
    <w:rsid w:val="000417C4"/>
    <w:rsid w:val="00045B9F"/>
    <w:rsid w:val="000625FB"/>
    <w:rsid w:val="00075947"/>
    <w:rsid w:val="000A663E"/>
    <w:rsid w:val="000B5B60"/>
    <w:rsid w:val="000B7A7D"/>
    <w:rsid w:val="000C320E"/>
    <w:rsid w:val="000D3BC2"/>
    <w:rsid w:val="000E5499"/>
    <w:rsid w:val="00115188"/>
    <w:rsid w:val="001151E7"/>
    <w:rsid w:val="00125199"/>
    <w:rsid w:val="0013305B"/>
    <w:rsid w:val="00134E27"/>
    <w:rsid w:val="00143ED4"/>
    <w:rsid w:val="00152894"/>
    <w:rsid w:val="0017762B"/>
    <w:rsid w:val="0018141D"/>
    <w:rsid w:val="001A25E7"/>
    <w:rsid w:val="001A6BDC"/>
    <w:rsid w:val="001E3098"/>
    <w:rsid w:val="001E39BF"/>
    <w:rsid w:val="001F2AC0"/>
    <w:rsid w:val="001F4496"/>
    <w:rsid w:val="00214607"/>
    <w:rsid w:val="002259CF"/>
    <w:rsid w:val="002266B1"/>
    <w:rsid w:val="00235A60"/>
    <w:rsid w:val="00244085"/>
    <w:rsid w:val="00244C17"/>
    <w:rsid w:val="00244DFD"/>
    <w:rsid w:val="00246E59"/>
    <w:rsid w:val="00264589"/>
    <w:rsid w:val="0029415E"/>
    <w:rsid w:val="002A43D8"/>
    <w:rsid w:val="002A753D"/>
    <w:rsid w:val="002B1EAD"/>
    <w:rsid w:val="002B37B6"/>
    <w:rsid w:val="002D6B17"/>
    <w:rsid w:val="002E350F"/>
    <w:rsid w:val="002F1710"/>
    <w:rsid w:val="0030490D"/>
    <w:rsid w:val="00313AC1"/>
    <w:rsid w:val="00325B37"/>
    <w:rsid w:val="00331377"/>
    <w:rsid w:val="003428AE"/>
    <w:rsid w:val="00353536"/>
    <w:rsid w:val="00364262"/>
    <w:rsid w:val="00373FC4"/>
    <w:rsid w:val="0038290C"/>
    <w:rsid w:val="003838B9"/>
    <w:rsid w:val="00396ACD"/>
    <w:rsid w:val="003B10ED"/>
    <w:rsid w:val="003E05B8"/>
    <w:rsid w:val="003E3FC7"/>
    <w:rsid w:val="003E7D8F"/>
    <w:rsid w:val="003F2A70"/>
    <w:rsid w:val="00401F3A"/>
    <w:rsid w:val="00406CBA"/>
    <w:rsid w:val="004138D9"/>
    <w:rsid w:val="004211F5"/>
    <w:rsid w:val="0042702A"/>
    <w:rsid w:val="00437AA5"/>
    <w:rsid w:val="004518ED"/>
    <w:rsid w:val="00485F6A"/>
    <w:rsid w:val="004918DE"/>
    <w:rsid w:val="00492396"/>
    <w:rsid w:val="004B4C38"/>
    <w:rsid w:val="004D7D54"/>
    <w:rsid w:val="004E19F9"/>
    <w:rsid w:val="004E763F"/>
    <w:rsid w:val="004F04FA"/>
    <w:rsid w:val="004F588A"/>
    <w:rsid w:val="004F6513"/>
    <w:rsid w:val="00506B49"/>
    <w:rsid w:val="00507FF2"/>
    <w:rsid w:val="00517205"/>
    <w:rsid w:val="0052508D"/>
    <w:rsid w:val="00534D3A"/>
    <w:rsid w:val="0054013D"/>
    <w:rsid w:val="00542487"/>
    <w:rsid w:val="00557EAF"/>
    <w:rsid w:val="00582810"/>
    <w:rsid w:val="0058683E"/>
    <w:rsid w:val="005929F6"/>
    <w:rsid w:val="00593EEC"/>
    <w:rsid w:val="00595540"/>
    <w:rsid w:val="005A5382"/>
    <w:rsid w:val="005A55F3"/>
    <w:rsid w:val="005B5FA6"/>
    <w:rsid w:val="005C1F43"/>
    <w:rsid w:val="005D1478"/>
    <w:rsid w:val="005D2C73"/>
    <w:rsid w:val="005D6AA6"/>
    <w:rsid w:val="005E2634"/>
    <w:rsid w:val="005F2B9A"/>
    <w:rsid w:val="006028BB"/>
    <w:rsid w:val="00603E01"/>
    <w:rsid w:val="0061453F"/>
    <w:rsid w:val="00642760"/>
    <w:rsid w:val="00643DEF"/>
    <w:rsid w:val="006654AB"/>
    <w:rsid w:val="00667F1D"/>
    <w:rsid w:val="006700C7"/>
    <w:rsid w:val="00685D33"/>
    <w:rsid w:val="00691091"/>
    <w:rsid w:val="006D3FD5"/>
    <w:rsid w:val="006D6949"/>
    <w:rsid w:val="006E7128"/>
    <w:rsid w:val="006F20E7"/>
    <w:rsid w:val="006F7EFE"/>
    <w:rsid w:val="007074E5"/>
    <w:rsid w:val="0071349C"/>
    <w:rsid w:val="007142D9"/>
    <w:rsid w:val="00725585"/>
    <w:rsid w:val="00752552"/>
    <w:rsid w:val="007638EF"/>
    <w:rsid w:val="00763F6E"/>
    <w:rsid w:val="00781585"/>
    <w:rsid w:val="00783A3B"/>
    <w:rsid w:val="007878CB"/>
    <w:rsid w:val="00787E7C"/>
    <w:rsid w:val="0079599D"/>
    <w:rsid w:val="007A7287"/>
    <w:rsid w:val="007C6728"/>
    <w:rsid w:val="007D0861"/>
    <w:rsid w:val="007D3D95"/>
    <w:rsid w:val="007E010B"/>
    <w:rsid w:val="007F5C7C"/>
    <w:rsid w:val="00801EB4"/>
    <w:rsid w:val="00802FC2"/>
    <w:rsid w:val="00817121"/>
    <w:rsid w:val="00830365"/>
    <w:rsid w:val="00833B73"/>
    <w:rsid w:val="00843817"/>
    <w:rsid w:val="008460B7"/>
    <w:rsid w:val="00847915"/>
    <w:rsid w:val="008601F7"/>
    <w:rsid w:val="00861270"/>
    <w:rsid w:val="00874305"/>
    <w:rsid w:val="00880A77"/>
    <w:rsid w:val="00897749"/>
    <w:rsid w:val="008A3F6C"/>
    <w:rsid w:val="008B07C8"/>
    <w:rsid w:val="008B3C68"/>
    <w:rsid w:val="008B6AF9"/>
    <w:rsid w:val="008D3EC5"/>
    <w:rsid w:val="008D4062"/>
    <w:rsid w:val="008E2694"/>
    <w:rsid w:val="008E2E76"/>
    <w:rsid w:val="008F234A"/>
    <w:rsid w:val="00902ADE"/>
    <w:rsid w:val="00910118"/>
    <w:rsid w:val="00917A1D"/>
    <w:rsid w:val="00940731"/>
    <w:rsid w:val="009430FB"/>
    <w:rsid w:val="00943538"/>
    <w:rsid w:val="009526D5"/>
    <w:rsid w:val="0095347B"/>
    <w:rsid w:val="00962953"/>
    <w:rsid w:val="00964D55"/>
    <w:rsid w:val="00980CC9"/>
    <w:rsid w:val="009957C5"/>
    <w:rsid w:val="009A4095"/>
    <w:rsid w:val="009B0295"/>
    <w:rsid w:val="009C1E02"/>
    <w:rsid w:val="009D2368"/>
    <w:rsid w:val="009D5F8B"/>
    <w:rsid w:val="009F3A7A"/>
    <w:rsid w:val="00A03DA8"/>
    <w:rsid w:val="00A05FAB"/>
    <w:rsid w:val="00A24E3D"/>
    <w:rsid w:val="00A37D2E"/>
    <w:rsid w:val="00A4162C"/>
    <w:rsid w:val="00A41677"/>
    <w:rsid w:val="00A54A8C"/>
    <w:rsid w:val="00A564DC"/>
    <w:rsid w:val="00A565C7"/>
    <w:rsid w:val="00A719DF"/>
    <w:rsid w:val="00A7647B"/>
    <w:rsid w:val="00AA038B"/>
    <w:rsid w:val="00AB034D"/>
    <w:rsid w:val="00AC6B16"/>
    <w:rsid w:val="00AD5257"/>
    <w:rsid w:val="00AE4482"/>
    <w:rsid w:val="00B01072"/>
    <w:rsid w:val="00B136EC"/>
    <w:rsid w:val="00B14B01"/>
    <w:rsid w:val="00B43EBD"/>
    <w:rsid w:val="00B65FB3"/>
    <w:rsid w:val="00B66E09"/>
    <w:rsid w:val="00B95D78"/>
    <w:rsid w:val="00B97308"/>
    <w:rsid w:val="00BB3BEC"/>
    <w:rsid w:val="00BD02BB"/>
    <w:rsid w:val="00BD3885"/>
    <w:rsid w:val="00BD66E4"/>
    <w:rsid w:val="00BE5EA4"/>
    <w:rsid w:val="00C059B6"/>
    <w:rsid w:val="00C10CA6"/>
    <w:rsid w:val="00C11798"/>
    <w:rsid w:val="00C16484"/>
    <w:rsid w:val="00C21AB2"/>
    <w:rsid w:val="00C27976"/>
    <w:rsid w:val="00C3731F"/>
    <w:rsid w:val="00C62388"/>
    <w:rsid w:val="00C63550"/>
    <w:rsid w:val="00C637B0"/>
    <w:rsid w:val="00C64CCC"/>
    <w:rsid w:val="00C87FB3"/>
    <w:rsid w:val="00C9384A"/>
    <w:rsid w:val="00C9629C"/>
    <w:rsid w:val="00C96395"/>
    <w:rsid w:val="00C96A56"/>
    <w:rsid w:val="00CA156D"/>
    <w:rsid w:val="00CA467C"/>
    <w:rsid w:val="00CA57DA"/>
    <w:rsid w:val="00CA7FE1"/>
    <w:rsid w:val="00CC58EB"/>
    <w:rsid w:val="00CE1382"/>
    <w:rsid w:val="00D02FAD"/>
    <w:rsid w:val="00D0530E"/>
    <w:rsid w:val="00D05DED"/>
    <w:rsid w:val="00D206AC"/>
    <w:rsid w:val="00D47F83"/>
    <w:rsid w:val="00D542E0"/>
    <w:rsid w:val="00D5454C"/>
    <w:rsid w:val="00D55CE9"/>
    <w:rsid w:val="00D564F7"/>
    <w:rsid w:val="00D72038"/>
    <w:rsid w:val="00D763BC"/>
    <w:rsid w:val="00D872A1"/>
    <w:rsid w:val="00D93F2F"/>
    <w:rsid w:val="00D966E8"/>
    <w:rsid w:val="00DB4B20"/>
    <w:rsid w:val="00DB4FF5"/>
    <w:rsid w:val="00DC3AD5"/>
    <w:rsid w:val="00DC5E29"/>
    <w:rsid w:val="00DD4285"/>
    <w:rsid w:val="00DF1FB9"/>
    <w:rsid w:val="00DF36A6"/>
    <w:rsid w:val="00E07235"/>
    <w:rsid w:val="00E23B80"/>
    <w:rsid w:val="00E25A5F"/>
    <w:rsid w:val="00E32BAC"/>
    <w:rsid w:val="00E33C9F"/>
    <w:rsid w:val="00E36D1F"/>
    <w:rsid w:val="00E41B5A"/>
    <w:rsid w:val="00E42E7E"/>
    <w:rsid w:val="00E43152"/>
    <w:rsid w:val="00E50E5B"/>
    <w:rsid w:val="00E667BA"/>
    <w:rsid w:val="00E7044F"/>
    <w:rsid w:val="00E82B0B"/>
    <w:rsid w:val="00E873DD"/>
    <w:rsid w:val="00E932C3"/>
    <w:rsid w:val="00E979AB"/>
    <w:rsid w:val="00EB3279"/>
    <w:rsid w:val="00EC332E"/>
    <w:rsid w:val="00EC39BC"/>
    <w:rsid w:val="00EE0749"/>
    <w:rsid w:val="00EE140B"/>
    <w:rsid w:val="00EE441C"/>
    <w:rsid w:val="00EE54B9"/>
    <w:rsid w:val="00F07F26"/>
    <w:rsid w:val="00F35BD7"/>
    <w:rsid w:val="00F36982"/>
    <w:rsid w:val="00F36A73"/>
    <w:rsid w:val="00F41DDB"/>
    <w:rsid w:val="00F629AC"/>
    <w:rsid w:val="00F9249D"/>
    <w:rsid w:val="00F95ED9"/>
    <w:rsid w:val="00FA0BAF"/>
    <w:rsid w:val="00FA382E"/>
    <w:rsid w:val="00FA715C"/>
    <w:rsid w:val="00FB22DB"/>
    <w:rsid w:val="00FC2396"/>
    <w:rsid w:val="00FC5252"/>
    <w:rsid w:val="00FD060F"/>
    <w:rsid w:val="00FD1723"/>
    <w:rsid w:val="00FD5032"/>
    <w:rsid w:val="00FE7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8EC4F20"/>
  <w15:docId w15:val="{EDD646E4-8E0C-487A-842A-DA74770F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hu-HU"/>
    </w:rPr>
  </w:style>
  <w:style w:type="paragraph" w:styleId="Heading1">
    <w:name w:val="heading 1"/>
    <w:basedOn w:val="Normal"/>
    <w:next w:val="Text1"/>
    <w:link w:val="Heading1Char"/>
    <w:uiPriority w:val="9"/>
    <w:qFormat/>
    <w:pPr>
      <w:keepNext/>
      <w:numPr>
        <w:numId w:val="1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3"/>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C16484"/>
    <w:pPr>
      <w:numPr>
        <w:numId w:val="1"/>
      </w:numPr>
      <w:tabs>
        <w:tab w:val="clear" w:pos="360"/>
      </w:tabs>
      <w:ind w:left="0" w:firstLine="0"/>
    </w:pPr>
    <w:rPr>
      <w:rFonts w:eastAsia="Times New Roman"/>
      <w:lang w:eastAsia="en-GB"/>
    </w:rPr>
  </w:style>
  <w:style w:type="character" w:styleId="Hyperlink">
    <w:name w:val="Hyperlink"/>
    <w:basedOn w:val="DefaultParagraphFont"/>
    <w:uiPriority w:val="99"/>
    <w:rsid w:val="00C16484"/>
    <w:rPr>
      <w:rFonts w:asciiTheme="majorHAnsi" w:hAnsiTheme="majorHAnsi"/>
      <w:color w:val="F79646" w:themeColor="accent6"/>
      <w:u w:val="single"/>
    </w:rPr>
  </w:style>
  <w:style w:type="numbering" w:customStyle="1" w:styleId="LFO29">
    <w:name w:val="LFO29"/>
    <w:basedOn w:val="NoList"/>
    <w:rsid w:val="00C16484"/>
  </w:style>
  <w:style w:type="paragraph" w:styleId="ListBullet2">
    <w:name w:val="List Bullet 2"/>
    <w:basedOn w:val="Normal"/>
    <w:uiPriority w:val="99"/>
    <w:semiHidden/>
    <w:unhideWhenUsed/>
    <w:rsid w:val="00F9249D"/>
    <w:pPr>
      <w:numPr>
        <w:numId w:val="3"/>
      </w:numPr>
      <w:contextualSpacing/>
    </w:pPr>
  </w:style>
  <w:style w:type="paragraph" w:styleId="ListBullet3">
    <w:name w:val="List Bullet 3"/>
    <w:basedOn w:val="Normal"/>
    <w:uiPriority w:val="99"/>
    <w:semiHidden/>
    <w:unhideWhenUsed/>
    <w:rsid w:val="00F9249D"/>
    <w:pPr>
      <w:numPr>
        <w:numId w:val="4"/>
      </w:numPr>
      <w:contextualSpacing/>
    </w:pPr>
  </w:style>
  <w:style w:type="paragraph" w:styleId="ListBullet4">
    <w:name w:val="List Bullet 4"/>
    <w:basedOn w:val="Normal"/>
    <w:uiPriority w:val="99"/>
    <w:semiHidden/>
    <w:unhideWhenUsed/>
    <w:rsid w:val="00F9249D"/>
    <w:pPr>
      <w:numPr>
        <w:numId w:val="5"/>
      </w:numPr>
      <w:contextualSpacing/>
    </w:pPr>
  </w:style>
  <w:style w:type="character" w:styleId="CommentReference">
    <w:name w:val="annotation reference"/>
    <w:basedOn w:val="DefaultParagraphFont"/>
    <w:uiPriority w:val="99"/>
    <w:semiHidden/>
    <w:unhideWhenUsed/>
    <w:rsid w:val="008A3F6C"/>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hu-HU"/>
    </w:rPr>
  </w:style>
  <w:style w:type="paragraph" w:styleId="Revision">
    <w:name w:val="Revision"/>
    <w:hidden/>
    <w:uiPriority w:val="99"/>
    <w:semiHidden/>
    <w:rsid w:val="005929F6"/>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CA7FE1"/>
    <w:rPr>
      <w:b/>
      <w:bCs/>
    </w:rPr>
  </w:style>
  <w:style w:type="character" w:customStyle="1" w:styleId="CommentSubjectChar">
    <w:name w:val="Comment Subject Char"/>
    <w:basedOn w:val="CommentTextChar"/>
    <w:link w:val="CommentSubject"/>
    <w:uiPriority w:val="99"/>
    <w:semiHidden/>
    <w:rsid w:val="00CA7FE1"/>
    <w:rPr>
      <w:rFonts w:ascii="Times New Roman" w:hAnsi="Times New Roman" w:cs="Times New Roman"/>
      <w:b/>
      <w:bCs/>
      <w:sz w:val="20"/>
      <w:szCs w:val="20"/>
      <w:lang w:val="hu-HU"/>
    </w:rPr>
  </w:style>
  <w:style w:type="paragraph" w:styleId="NormalWeb">
    <w:name w:val="Normal (Web)"/>
    <w:basedOn w:val="Normal"/>
    <w:uiPriority w:val="99"/>
    <w:semiHidden/>
    <w:unhideWhenUsed/>
    <w:rsid w:val="00373FC4"/>
    <w:rPr>
      <w:szCs w:val="24"/>
    </w:rPr>
  </w:style>
  <w:style w:type="character" w:styleId="UnresolvedMention">
    <w:name w:val="Unresolved Mention"/>
    <w:basedOn w:val="DefaultParagraphFont"/>
    <w:uiPriority w:val="99"/>
    <w:semiHidden/>
    <w:unhideWhenUsed/>
    <w:rsid w:val="00373FC4"/>
    <w:rPr>
      <w:color w:val="605E5C"/>
      <w:shd w:val="clear" w:color="auto" w:fill="E1DFDD"/>
    </w:rPr>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hu-HU"/>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hu-HU"/>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hu-HU"/>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hu-HU"/>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hu-HU"/>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hu-HU"/>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hu-HU"/>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6"/>
      </w:numPr>
    </w:pPr>
  </w:style>
  <w:style w:type="paragraph" w:customStyle="1" w:styleId="Tiret1">
    <w:name w:val="Tiret 1"/>
    <w:basedOn w:val="Point1"/>
    <w:pPr>
      <w:numPr>
        <w:numId w:val="7"/>
      </w:numPr>
    </w:pPr>
  </w:style>
  <w:style w:type="paragraph" w:customStyle="1" w:styleId="Tiret2">
    <w:name w:val="Tiret 2"/>
    <w:basedOn w:val="Point2"/>
    <w:pPr>
      <w:numPr>
        <w:numId w:val="8"/>
      </w:numPr>
    </w:pPr>
  </w:style>
  <w:style w:type="paragraph" w:customStyle="1" w:styleId="Tiret3">
    <w:name w:val="Tiret 3"/>
    <w:basedOn w:val="Point3"/>
    <w:pPr>
      <w:numPr>
        <w:numId w:val="9"/>
      </w:numPr>
    </w:pPr>
  </w:style>
  <w:style w:type="paragraph" w:customStyle="1" w:styleId="Tiret4">
    <w:name w:val="Tiret 4"/>
    <w:basedOn w:val="Point4"/>
    <w:pPr>
      <w:numPr>
        <w:numId w:val="10"/>
      </w:numPr>
    </w:pPr>
  </w:style>
  <w:style w:type="paragraph" w:customStyle="1" w:styleId="Tiret5">
    <w:name w:val="Tiret 5"/>
    <w:basedOn w:val="Point5"/>
    <w:pPr>
      <w:numPr>
        <w:numId w:val="1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2"/>
      </w:numPr>
    </w:pPr>
  </w:style>
  <w:style w:type="paragraph" w:customStyle="1" w:styleId="NumPar2">
    <w:name w:val="NumPar 2"/>
    <w:basedOn w:val="Normal"/>
    <w:next w:val="Text1"/>
    <w:pPr>
      <w:numPr>
        <w:ilvl w:val="1"/>
        <w:numId w:val="12"/>
      </w:numPr>
    </w:pPr>
  </w:style>
  <w:style w:type="paragraph" w:customStyle="1" w:styleId="NumPar3">
    <w:name w:val="NumPar 3"/>
    <w:basedOn w:val="Normal"/>
    <w:next w:val="Text1"/>
    <w:pPr>
      <w:numPr>
        <w:ilvl w:val="2"/>
        <w:numId w:val="12"/>
      </w:numPr>
    </w:pPr>
  </w:style>
  <w:style w:type="paragraph" w:customStyle="1" w:styleId="NumPar4">
    <w:name w:val="NumPar 4"/>
    <w:basedOn w:val="Normal"/>
    <w:next w:val="Text1"/>
    <w:pPr>
      <w:numPr>
        <w:ilvl w:val="3"/>
        <w:numId w:val="12"/>
      </w:numPr>
    </w:pPr>
  </w:style>
  <w:style w:type="paragraph" w:customStyle="1" w:styleId="NumPar5">
    <w:name w:val="NumPar 5"/>
    <w:basedOn w:val="Normal"/>
    <w:next w:val="Text2"/>
    <w:pPr>
      <w:numPr>
        <w:ilvl w:val="4"/>
        <w:numId w:val="12"/>
      </w:numPr>
    </w:pPr>
  </w:style>
  <w:style w:type="paragraph" w:customStyle="1" w:styleId="NumPar6">
    <w:name w:val="NumPar 6"/>
    <w:basedOn w:val="Normal"/>
    <w:next w:val="Text2"/>
    <w:pPr>
      <w:numPr>
        <w:ilvl w:val="5"/>
        <w:numId w:val="12"/>
      </w:numPr>
    </w:pPr>
  </w:style>
  <w:style w:type="paragraph" w:customStyle="1" w:styleId="NumPar7">
    <w:name w:val="NumPar 7"/>
    <w:basedOn w:val="Normal"/>
    <w:next w:val="Text2"/>
    <w:pPr>
      <w:numPr>
        <w:ilvl w:val="6"/>
        <w:numId w:val="1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4"/>
      </w:numPr>
    </w:pPr>
  </w:style>
  <w:style w:type="paragraph" w:customStyle="1" w:styleId="Point1number">
    <w:name w:val="Point 1 (number)"/>
    <w:basedOn w:val="Normal"/>
    <w:pPr>
      <w:numPr>
        <w:ilvl w:val="2"/>
        <w:numId w:val="14"/>
      </w:numPr>
    </w:pPr>
  </w:style>
  <w:style w:type="paragraph" w:customStyle="1" w:styleId="Point2number">
    <w:name w:val="Point 2 (number)"/>
    <w:basedOn w:val="Normal"/>
    <w:pPr>
      <w:numPr>
        <w:ilvl w:val="4"/>
        <w:numId w:val="14"/>
      </w:numPr>
    </w:pPr>
  </w:style>
  <w:style w:type="paragraph" w:customStyle="1" w:styleId="Point3number">
    <w:name w:val="Point 3 (number)"/>
    <w:basedOn w:val="Normal"/>
    <w:pPr>
      <w:numPr>
        <w:ilvl w:val="6"/>
        <w:numId w:val="14"/>
      </w:numPr>
    </w:pPr>
  </w:style>
  <w:style w:type="paragraph" w:customStyle="1" w:styleId="Point0letter">
    <w:name w:val="Point 0 (letter)"/>
    <w:basedOn w:val="Normal"/>
    <w:pPr>
      <w:numPr>
        <w:ilvl w:val="1"/>
        <w:numId w:val="14"/>
      </w:numPr>
    </w:pPr>
  </w:style>
  <w:style w:type="paragraph" w:customStyle="1" w:styleId="Point1letter">
    <w:name w:val="Point 1 (letter)"/>
    <w:basedOn w:val="Normal"/>
    <w:pPr>
      <w:numPr>
        <w:ilvl w:val="3"/>
        <w:numId w:val="14"/>
      </w:numPr>
    </w:pPr>
  </w:style>
  <w:style w:type="paragraph" w:customStyle="1" w:styleId="Point2letter">
    <w:name w:val="Point 2 (letter)"/>
    <w:basedOn w:val="Normal"/>
    <w:pPr>
      <w:numPr>
        <w:ilvl w:val="5"/>
        <w:numId w:val="14"/>
      </w:numPr>
    </w:pPr>
  </w:style>
  <w:style w:type="paragraph" w:customStyle="1" w:styleId="Point3letter">
    <w:name w:val="Point 3 (letter)"/>
    <w:basedOn w:val="Normal"/>
    <w:pPr>
      <w:numPr>
        <w:ilvl w:val="7"/>
        <w:numId w:val="14"/>
      </w:numPr>
    </w:pPr>
  </w:style>
  <w:style w:type="paragraph" w:customStyle="1" w:styleId="Point4letter">
    <w:name w:val="Point 4 (letter)"/>
    <w:basedOn w:val="Normal"/>
    <w:pPr>
      <w:numPr>
        <w:ilvl w:val="8"/>
        <w:numId w:val="14"/>
      </w:numPr>
    </w:pPr>
  </w:style>
  <w:style w:type="paragraph" w:customStyle="1" w:styleId="Bullet0">
    <w:name w:val="Bullet 0"/>
    <w:basedOn w:val="Normal"/>
    <w:pPr>
      <w:numPr>
        <w:numId w:val="15"/>
      </w:numPr>
    </w:pPr>
  </w:style>
  <w:style w:type="paragraph" w:customStyle="1" w:styleId="Bullet1">
    <w:name w:val="Bullet 1"/>
    <w:basedOn w:val="Normal"/>
    <w:pPr>
      <w:numPr>
        <w:numId w:val="16"/>
      </w:numPr>
    </w:pPr>
  </w:style>
  <w:style w:type="paragraph" w:customStyle="1" w:styleId="Bullet2">
    <w:name w:val="Bullet 2"/>
    <w:basedOn w:val="Normal"/>
    <w:pPr>
      <w:numPr>
        <w:numId w:val="17"/>
      </w:numPr>
    </w:pPr>
  </w:style>
  <w:style w:type="paragraph" w:customStyle="1" w:styleId="Bullet3">
    <w:name w:val="Bullet 3"/>
    <w:basedOn w:val="Normal"/>
    <w:pPr>
      <w:numPr>
        <w:numId w:val="18"/>
      </w:numPr>
    </w:pPr>
  </w:style>
  <w:style w:type="paragraph" w:customStyle="1" w:styleId="Bullet4">
    <w:name w:val="Bullet 4"/>
    <w:basedOn w:val="Normal"/>
    <w:pPr>
      <w:numPr>
        <w:numId w:val="1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2176">
      <w:bodyDiv w:val="1"/>
      <w:marLeft w:val="0"/>
      <w:marRight w:val="0"/>
      <w:marTop w:val="0"/>
      <w:marBottom w:val="0"/>
      <w:divBdr>
        <w:top w:val="none" w:sz="0" w:space="0" w:color="auto"/>
        <w:left w:val="none" w:sz="0" w:space="0" w:color="auto"/>
        <w:bottom w:val="none" w:sz="0" w:space="0" w:color="auto"/>
        <w:right w:val="none" w:sz="0" w:space="0" w:color="auto"/>
      </w:divBdr>
      <w:divsChild>
        <w:div w:id="1504860669">
          <w:marLeft w:val="0"/>
          <w:marRight w:val="0"/>
          <w:marTop w:val="0"/>
          <w:marBottom w:val="0"/>
          <w:divBdr>
            <w:top w:val="none" w:sz="0" w:space="0" w:color="auto"/>
            <w:left w:val="none" w:sz="0" w:space="0" w:color="auto"/>
            <w:bottom w:val="none" w:sz="0" w:space="0" w:color="auto"/>
            <w:right w:val="none" w:sz="0" w:space="0" w:color="auto"/>
          </w:divBdr>
          <w:divsChild>
            <w:div w:id="205091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02523">
      <w:bodyDiv w:val="1"/>
      <w:marLeft w:val="0"/>
      <w:marRight w:val="0"/>
      <w:marTop w:val="0"/>
      <w:marBottom w:val="0"/>
      <w:divBdr>
        <w:top w:val="none" w:sz="0" w:space="0" w:color="auto"/>
        <w:left w:val="none" w:sz="0" w:space="0" w:color="auto"/>
        <w:bottom w:val="none" w:sz="0" w:space="0" w:color="auto"/>
        <w:right w:val="none" w:sz="0" w:space="0" w:color="auto"/>
      </w:divBdr>
    </w:div>
    <w:div w:id="2009358183">
      <w:bodyDiv w:val="1"/>
      <w:marLeft w:val="0"/>
      <w:marRight w:val="0"/>
      <w:marTop w:val="0"/>
      <w:marBottom w:val="0"/>
      <w:divBdr>
        <w:top w:val="none" w:sz="0" w:space="0" w:color="auto"/>
        <w:left w:val="none" w:sz="0" w:space="0" w:color="auto"/>
        <w:bottom w:val="none" w:sz="0" w:space="0" w:color="auto"/>
        <w:right w:val="none" w:sz="0" w:space="0" w:color="auto"/>
      </w:divBdr>
    </w:div>
    <w:div w:id="2089576247">
      <w:bodyDiv w:val="1"/>
      <w:marLeft w:val="0"/>
      <w:marRight w:val="0"/>
      <w:marTop w:val="0"/>
      <w:marBottom w:val="0"/>
      <w:divBdr>
        <w:top w:val="none" w:sz="0" w:space="0" w:color="auto"/>
        <w:left w:val="none" w:sz="0" w:space="0" w:color="auto"/>
        <w:bottom w:val="none" w:sz="0" w:space="0" w:color="auto"/>
        <w:right w:val="none" w:sz="0" w:space="0" w:color="auto"/>
      </w:divBdr>
      <w:divsChild>
        <w:div w:id="1220244498">
          <w:marLeft w:val="0"/>
          <w:marRight w:val="0"/>
          <w:marTop w:val="0"/>
          <w:marBottom w:val="0"/>
          <w:divBdr>
            <w:top w:val="none" w:sz="0" w:space="0" w:color="auto"/>
            <w:left w:val="none" w:sz="0" w:space="0" w:color="auto"/>
            <w:bottom w:val="none" w:sz="0" w:space="0" w:color="auto"/>
            <w:right w:val="none" w:sz="0" w:space="0" w:color="auto"/>
          </w:divBdr>
          <w:divsChild>
            <w:div w:id="8614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_impl/2021/622/oj" TargetMode="External"/><Relationship Id="rId2" Type="http://schemas.openxmlformats.org/officeDocument/2006/relationships/hyperlink" Target="http://data.europa.eu/eli/dir/2024/1174/oj" TargetMode="External"/><Relationship Id="rId1" Type="http://schemas.openxmlformats.org/officeDocument/2006/relationships/hyperlink" Target="http://data.europa.eu/eli/dir/2014/59/oj" TargetMode="External"/><Relationship Id="rId5" Type="http://schemas.openxmlformats.org/officeDocument/2006/relationships/hyperlink" Target="http://data.europa.eu/eli/reg/2010/1093/oj" TargetMode="External"/><Relationship Id="rId4" Type="http://schemas.openxmlformats.org/officeDocument/2006/relationships/hyperlink" Target="http://data.europa.eu/eli/reg_impl/2021/763/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b8f93157aac40d6a7319473491243df0">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c8488e7b63ff9a6a107f3024ce322df4"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BD7AB-07EA-4D67-A4B9-4D33FF7955F7}">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2.xml><?xml version="1.0" encoding="utf-8"?>
<ds:datastoreItem xmlns:ds="http://schemas.openxmlformats.org/officeDocument/2006/customXml" ds:itemID="{F14AF581-33E3-408E-95CD-709B93E99837}">
  <ds:schemaRefs>
    <ds:schemaRef ds:uri="http://schemas.openxmlformats.org/officeDocument/2006/bibliography"/>
  </ds:schemaRefs>
</ds:datastoreItem>
</file>

<file path=customXml/itemProps3.xml><?xml version="1.0" encoding="utf-8"?>
<ds:datastoreItem xmlns:ds="http://schemas.openxmlformats.org/officeDocument/2006/customXml" ds:itemID="{9FB74AB9-05CF-4E22-8B2B-667D523C417F}">
  <ds:schemaRefs>
    <ds:schemaRef ds:uri="http://schemas.microsoft.com/sharepoint/v3/contenttype/forms"/>
  </ds:schemaRefs>
</ds:datastoreItem>
</file>

<file path=customXml/itemProps4.xml><?xml version="1.0" encoding="utf-8"?>
<ds:datastoreItem xmlns:ds="http://schemas.openxmlformats.org/officeDocument/2006/customXml" ds:itemID="{3789B0AD-1837-436D-8ABC-63303F7E4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COM.dotm</Template>
  <TotalTime>51</TotalTime>
  <Pages>2</Pages>
  <Words>774</Words>
  <Characters>5336</Characters>
  <Application>Microsoft Office Word</Application>
  <DocSecurity>0</DocSecurity>
  <Lines>99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CharactersWithSpaces>
  <SharedDoc>false</SharedDoc>
  <HLinks>
    <vt:vector size="12" baseType="variant">
      <vt:variant>
        <vt:i4>6291564</vt:i4>
      </vt:variant>
      <vt:variant>
        <vt:i4>3</vt:i4>
      </vt:variant>
      <vt:variant>
        <vt:i4>0</vt:i4>
      </vt:variant>
      <vt:variant>
        <vt:i4>5</vt:i4>
      </vt:variant>
      <vt:variant>
        <vt:lpwstr>http://data.europa.eu/eli/reg/2010/1093/oj</vt:lpwstr>
      </vt:variant>
      <vt:variant>
        <vt:lpwstr/>
      </vt:variant>
      <vt:variant>
        <vt:i4>5570645</vt:i4>
      </vt:variant>
      <vt:variant>
        <vt:i4>0</vt:i4>
      </vt:variant>
      <vt:variant>
        <vt:i4>0</vt:i4>
      </vt:variant>
      <vt:variant>
        <vt:i4>5</vt:i4>
      </vt:variant>
      <vt:variant>
        <vt:lpwstr>http://data.europa.eu/eli/dir/2014/59/oj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DQC</dc:creator>
  <cp:keywords/>
  <dc:description/>
  <cp:lastModifiedBy>BOROS Attila Peter (DGT)</cp:lastModifiedBy>
  <cp:revision>34</cp:revision>
  <dcterms:created xsi:type="dcterms:W3CDTF">2025-12-05T16:19:00Z</dcterms:created>
  <dcterms:modified xsi:type="dcterms:W3CDTF">2026-02-02T07:54:00Z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8.0.19.5</vt:lpwstr>
  </property>
  <property fmtid="{D5CDD505-2E9C-101B-9397-08002B2CF9AE}" pid="4" name="Last edited using">
    <vt:lpwstr>LW 9.2, Build 20250828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GrammarlyDocumentId">
    <vt:lpwstr>45e7adda-2841-4732-9409-07daf4dd17e0</vt:lpwstr>
  </property>
  <property fmtid="{D5CDD505-2E9C-101B-9397-08002B2CF9AE}" pid="11" name="ClassificationContentMarkingHeaderShapeIds">
    <vt:lpwstr>5bd6ffca,36e22233,44991716</vt:lpwstr>
  </property>
  <property fmtid="{D5CDD505-2E9C-101B-9397-08002B2CF9AE}" pid="12" name="ClassificationContentMarkingHeaderFontProps">
    <vt:lpwstr>#000000,12,Aptos</vt:lpwstr>
  </property>
  <property fmtid="{D5CDD505-2E9C-101B-9397-08002B2CF9AE}" pid="13" name="ClassificationContentMarkingHeaderText">
    <vt:lpwstr>EBA Regular Use</vt:lpwstr>
  </property>
  <property fmtid="{D5CDD505-2E9C-101B-9397-08002B2CF9AE}" pid="14" name="MSIP_Label_6bd9ddd1-4d20-43f6-abfa-fc3c07406f94_Enabled">
    <vt:lpwstr>true</vt:lpwstr>
  </property>
  <property fmtid="{D5CDD505-2E9C-101B-9397-08002B2CF9AE}" pid="15" name="MSIP_Label_6bd9ddd1-4d20-43f6-abfa-fc3c07406f94_SetDate">
    <vt:lpwstr>2025-09-22T07:42:43Z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0c5e0d5a-b50c-4aad-8ac2-d3eb4c37e92e</vt:lpwstr>
  </property>
  <property fmtid="{D5CDD505-2E9C-101B-9397-08002B2CF9AE}" pid="20" name="MSIP_Label_6bd9ddd1-4d20-43f6-abfa-fc3c07406f94_ContentBits">
    <vt:lpwstr>0</vt:lpwstr>
  </property>
  <property fmtid="{D5CDD505-2E9C-101B-9397-08002B2CF9AE}" pid="21" name="MSIP_Label_6bd9ddd1-4d20-43f6-abfa-fc3c07406f94_Tag">
    <vt:lpwstr>10, 3, 0, 1</vt:lpwstr>
  </property>
  <property fmtid="{D5CDD505-2E9C-101B-9397-08002B2CF9AE}" pid="22" name="ContentTypeId">
    <vt:lpwstr>0x010100BAD999D84E12C74482EA5120F5227F6F00217DECAAC21D6B43958DFE68658C192E</vt:lpwstr>
  </property>
  <property fmtid="{D5CDD505-2E9C-101B-9397-08002B2CF9AE}" pid="23" name="MediaServiceImageTags">
    <vt:lpwstr/>
  </property>
  <property fmtid="{D5CDD505-2E9C-101B-9397-08002B2CF9AE}" pid="24" name="DQCStatus">
    <vt:lpwstr>Green (DQC version 03)</vt:lpwstr>
  </property>
</Properties>
</file>