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39A82569" w:rsidR="004E763F" w:rsidRPr="0056149E" w:rsidRDefault="00061B0A" w:rsidP="0056149E">
      <w:pPr>
        <w:pStyle w:val="Pagedecouverture"/>
      </w:pPr>
      <w:r>
        <w:pict w14:anchorId="55CAEB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D11FF2D-161C-4A07-A030-562C2B1A0681" style="width:455.25pt;height:330.75pt">
            <v:imagedata r:id="rId11" o:title=""/>
          </v:shape>
        </w:pict>
      </w:r>
    </w:p>
    <w:p w14:paraId="1986B6EA" w14:textId="77777777" w:rsidR="00CE1382" w:rsidRPr="0056149E" w:rsidRDefault="00CE1382" w:rsidP="003838B9">
      <w:pPr>
        <w:sectPr w:rsidR="00CE1382" w:rsidRPr="0056149E" w:rsidSect="0056149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6EE3AE68" w:rsidR="00C16484" w:rsidRPr="0056149E" w:rsidRDefault="0056149E" w:rsidP="0056149E">
      <w:pPr>
        <w:pStyle w:val="Typedudocument"/>
      </w:pPr>
      <w:r w:rsidRPr="0056149E">
        <w:lastRenderedPageBreak/>
        <w:t>PROVEDBENA UREDBA KOMISIJE (EU) …/...</w:t>
      </w:r>
    </w:p>
    <w:p w14:paraId="6819E66E" w14:textId="081836A8" w:rsidR="00C16484" w:rsidRPr="0056149E" w:rsidRDefault="0056149E" w:rsidP="0056149E">
      <w:pPr>
        <w:pStyle w:val="Datedadoption"/>
      </w:pPr>
      <w:r w:rsidRPr="0056149E">
        <w:t xml:space="preserve">оd </w:t>
      </w:r>
      <w:r w:rsidRPr="0056149E">
        <w:rPr>
          <w:rStyle w:val="Marker2"/>
        </w:rPr>
        <w:t>XXX</w:t>
      </w:r>
    </w:p>
    <w:p w14:paraId="44AA08D1" w14:textId="1984EF9D" w:rsidR="00C16484" w:rsidRPr="0056149E" w:rsidRDefault="0056149E" w:rsidP="0056149E">
      <w:pPr>
        <w:pStyle w:val="Titreobjet"/>
      </w:pPr>
      <w:r w:rsidRPr="0056149E">
        <w:t>o izmjeni provedbenih tehničkih standarda iz Provedbene uredbe (EU) 2021/622 u pogledu učestalosti izvješćivanja i informacija koje se dostavljaju</w:t>
      </w:r>
    </w:p>
    <w:p w14:paraId="4A210142" w14:textId="55C6B720" w:rsidR="00C16484" w:rsidRPr="0056149E" w:rsidRDefault="0056149E" w:rsidP="0056149E">
      <w:pPr>
        <w:pStyle w:val="IntrtEEE"/>
      </w:pPr>
      <w:r w:rsidRPr="0056149E">
        <w:t>(Tekst značajan za EGP)</w:t>
      </w:r>
    </w:p>
    <w:p w14:paraId="6F3A17D1" w14:textId="77777777" w:rsidR="00C16484" w:rsidRPr="0056149E" w:rsidRDefault="00C16484">
      <w:pPr>
        <w:pStyle w:val="Institutionquiagit"/>
      </w:pPr>
      <w:r w:rsidRPr="0056149E">
        <w:t>EUROPSKA KOMISIJA,</w:t>
      </w:r>
    </w:p>
    <w:p w14:paraId="22B09AC6" w14:textId="77777777" w:rsidR="00C16484" w:rsidRPr="0056149E" w:rsidRDefault="00C16484">
      <w:r w:rsidRPr="0056149E">
        <w:t>uzimajući u obzir Ugovor o funkcioniranju Europske unije,</w:t>
      </w:r>
    </w:p>
    <w:p w14:paraId="6C2E5C7E" w14:textId="77777777" w:rsidR="00C16484" w:rsidRPr="0056149E" w:rsidRDefault="00C16484">
      <w:r w:rsidRPr="0056149E">
        <w:t>uzimajući u obzir Direktivu 2014/59/EU Europskog parlamenta i Vijeća od 15. svibnja 2014. o uspostavi okvira za oporavak i sanaciju kreditnih institucija i investicijskih društava te o izmjeni Direktive Vijeća 82/891/EEZ i direktiva 2001/24/EZ, 2002/47/EZ, 2004/25/EZ, 2005/56/EZ, 2007/36/EZ, 2011/35/EU, 2012/30/EU i 2013/36/EU te uredbi (EU) br. 1093/2010 i (EU) br. 648/2012 Europskog parlamenta i Vijeća</w:t>
      </w:r>
      <w:r w:rsidRPr="0056149E">
        <w:rPr>
          <w:rStyle w:val="FootnoteReference"/>
        </w:rPr>
        <w:footnoteReference w:id="2"/>
      </w:r>
      <w:r w:rsidRPr="0056149E">
        <w:t>, a posebno njezin članak 45.j stavak 2. treći podstavak,</w:t>
      </w:r>
    </w:p>
    <w:p w14:paraId="499F4150" w14:textId="77777777" w:rsidR="00C16484" w:rsidRPr="0056149E" w:rsidRDefault="00C16484">
      <w:r w:rsidRPr="0056149E">
        <w:t>budući da:</w:t>
      </w:r>
    </w:p>
    <w:p w14:paraId="7D99777F" w14:textId="77777777" w:rsidR="003428AE" w:rsidRPr="0056149E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56149E">
        <w:t>Direktivom (EU) 2024/1174 Europskog parlamenta i Vijeća</w:t>
      </w:r>
      <w:r w:rsidRPr="0056149E">
        <w:rPr>
          <w:rStyle w:val="FootnoteReference"/>
          <w:iCs/>
          <w:noProof/>
        </w:rPr>
        <w:footnoteReference w:id="3"/>
      </w:r>
      <w:r w:rsidRPr="0056149E">
        <w:t xml:space="preserve"> izmijenjeni su određeni aspekti minimalnog zahtjeva za regulatorni kapital i prihvatljive obveze („MREL”), koji je utvrđen u Direktivi 2014/59/EU. U skladu s tim izmjenama sanacijska tijela ne bi trebala određivati MREL za subjekte planirane za likvidaciju, osim ako je određivanje MREL-a koji je viši od iznosa dostatnog za pokrivanje gubitaka potrebno da bi se zaštitila financijska stabilnost ili odgovorilo na rizik od širenja negativnih učinaka na financijski sustav, među ostalim u pogledu kapaciteta financiranja sustavâ osiguranja depozita. Osim toga, Direktivom (EU) 2024/1174 povećan je broj situacija u kojima sanacijska tijela mogu na konsolidiranoj osnovi odrediti MREL. Provedbenu uredbu Komisije (EU) 2021/622</w:t>
      </w:r>
      <w:r w:rsidRPr="0056149E">
        <w:rPr>
          <w:rStyle w:val="FootnoteReference"/>
          <w:iCs/>
          <w:noProof/>
        </w:rPr>
        <w:footnoteReference w:id="4"/>
      </w:r>
      <w:r w:rsidRPr="0056149E">
        <w:t xml:space="preserve"> trebalo bi izmijeniti kako bi se te promjene okvira MREL-a uzele u obzir u informacijama koje treba dostaviti Europskom nadzornom tijelu za bankarstvo (EBA).</w:t>
      </w:r>
    </w:p>
    <w:p w14:paraId="038A3063" w14:textId="77777777" w:rsidR="00C16484" w:rsidRPr="0056149E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56149E">
        <w:t>Trenutačno je Provedbenom uredbom (EU) 2021/622 propisano da sanacijska tijela jednom godišnje EBA-i dostavljaju informacije povezane s određivanjem MREL-a. Osim tih informacija EBA pri izradi izvješća o MREL-u, u skladu s člankom 45.l Direktive 2014/59/EU, koje sastavlja dvaput godišnje, u obzir uzima i informacije o sastavu regulatornog kapitala i prihvatljivih obveza prikupljene u skladu s Provedbenom uredbom Komisije (EU) 2021/763</w:t>
      </w:r>
      <w:r w:rsidRPr="0056149E">
        <w:rPr>
          <w:rStyle w:val="FootnoteReference"/>
          <w:noProof/>
        </w:rPr>
        <w:footnoteReference w:id="5"/>
      </w:r>
      <w:r w:rsidRPr="0056149E">
        <w:t>. Budući da se o određivanju MREL-a trenutačno izvješćuje na godišnjoj osnovi EBA ne dostavlja niti procjenjuje odluke o MREL-u koje sanacijska tijela donesu nakon relevantnog referentnog datuma te se one do sljedeće godine ne uključuju u njezinim izvješćima, što dovodi do neusklađenosti s ažuriranim informacijama o sastavu regulatornog kapitala i prihvatljivih obveza.</w:t>
      </w:r>
    </w:p>
    <w:p w14:paraId="676EF325" w14:textId="77777777" w:rsidR="00C16484" w:rsidRPr="0056149E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56149E">
        <w:t xml:space="preserve">Kako bi EBA mogla bolje pratiti i procijeniti MREL koji su odredila sanacijska tijela i usklađenost institucija sa zahtjevima MREL-a, sanacijska tijela trebalo bi obvezati da češće izvješćuju EBA-u o odlukama o MREL-u. Kako bi se osigurala usklađenost s EBA-inim izvješćima o MREL-u, sanacijska tijela bi te informacije trebala dostavljati dvaput godišnje. </w:t>
      </w:r>
    </w:p>
    <w:p w14:paraId="2672C096" w14:textId="77777777" w:rsidR="00C16484" w:rsidRPr="0056149E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56149E">
        <w:t>Kako bi se EBA-i olakšala procjena načina na koji su sanacijska tijela iskoristila diskrecijsko pravo pri određivanju MREL-a, posebno u pogledu mogućnosti dostupne na temelju članka 45.b stavka 4. prvog podstavka Direktive 2014/59/EU, obrazac M 20.00 – Izvješćivanje o odlukama o MREL-u (Prilog I. Uredbi (EU) 2021/622) i odgovarajuće upute trebalo bi prilagoditi kako bi se propisalo uključivanje informacija o korištenju te mogućnosti.</w:t>
      </w:r>
    </w:p>
    <w:p w14:paraId="1B5314C9" w14:textId="77777777" w:rsidR="00C16484" w:rsidRPr="0056149E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56149E">
        <w:t>EBA je zatražila savjet Interesne skupine za bankarstvo, osnovane u skladu s člankom 37. Uredbe (EU) br. 1093/2010 Europskog parlamenta i Vijeća</w:t>
      </w:r>
      <w:r w:rsidRPr="0056149E">
        <w:rPr>
          <w:rStyle w:val="FootnoteReference"/>
          <w:noProof/>
        </w:rPr>
        <w:footnoteReference w:id="6"/>
      </w:r>
      <w:r w:rsidRPr="0056149E">
        <w:t xml:space="preserve">. </w:t>
      </w:r>
    </w:p>
    <w:p w14:paraId="5D5111C6" w14:textId="77777777" w:rsidR="00C16484" w:rsidRPr="0056149E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56149E">
        <w:t xml:space="preserve">Izmjene Uredbe (EU) 2021/622 upućene su sanacijskim tijelima i ne uključuju znatne materijalne promjene. Stoga u skladu s člankom 15. stavkom 1. drugim podstavkom Uredbe (EU) br. 1093/2010 EBA nije provela otvorena javna savjetovanja niti je analizirala moguće povezane troškove i koristi jer bi to bilo neproporcionalno u odnosu na područje primjene i učinak predmetnog nacrta provedbenih tehničkih standarda. </w:t>
      </w:r>
    </w:p>
    <w:p w14:paraId="0A23BFF6" w14:textId="77777777" w:rsidR="00C16484" w:rsidRPr="0056149E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56149E">
        <w:t>Provedbenu uredbu (EU) 2021/622 trebalo bi stoga na odgovarajući način izmijeniti.</w:t>
      </w:r>
    </w:p>
    <w:p w14:paraId="1887EA7B" w14:textId="77777777" w:rsidR="00C16484" w:rsidRPr="0056149E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56149E">
        <w:t>Ova se Uredba temelji na nacrtu provedbenih tehničkih standarda koji je EBA dostavila Komisiji,</w:t>
      </w:r>
    </w:p>
    <w:p w14:paraId="313B274F" w14:textId="77777777" w:rsidR="00C16484" w:rsidRPr="0056149E" w:rsidRDefault="00C16484">
      <w:pPr>
        <w:pStyle w:val="Formuledadoption"/>
      </w:pPr>
      <w:r w:rsidRPr="0056149E">
        <w:t>DONIJELA JE OVU UREDBU:</w:t>
      </w:r>
    </w:p>
    <w:p w14:paraId="455FC522" w14:textId="77777777" w:rsidR="00C16484" w:rsidRPr="0056149E" w:rsidRDefault="00C16484">
      <w:pPr>
        <w:pStyle w:val="Titrearticle"/>
      </w:pPr>
      <w:r w:rsidRPr="0056149E">
        <w:t>Članak 1.</w:t>
      </w:r>
    </w:p>
    <w:p w14:paraId="061A957A" w14:textId="77777777" w:rsidR="00C16484" w:rsidRPr="0056149E" w:rsidRDefault="00C16484" w:rsidP="00C16484">
      <w:pPr>
        <w:rPr>
          <w:noProof/>
        </w:rPr>
      </w:pPr>
      <w:r w:rsidRPr="0056149E">
        <w:t>Provedbena uredba (EU) 2021/622 mijenja se kako slijedi:</w:t>
      </w:r>
    </w:p>
    <w:p w14:paraId="44E520EB" w14:textId="77777777" w:rsidR="00C16484" w:rsidRPr="0056149E" w:rsidRDefault="00C16484" w:rsidP="00783A3B">
      <w:pPr>
        <w:pStyle w:val="Point0number"/>
        <w:numPr>
          <w:ilvl w:val="0"/>
          <w:numId w:val="6"/>
        </w:numPr>
        <w:rPr>
          <w:noProof/>
        </w:rPr>
      </w:pPr>
      <w:r w:rsidRPr="0056149E">
        <w:t>članak 2. mijenja se kako slijedi:</w:t>
      </w:r>
    </w:p>
    <w:p w14:paraId="252CA8AC" w14:textId="77777777" w:rsidR="00C16484" w:rsidRPr="0056149E" w:rsidRDefault="00C16484" w:rsidP="00783A3B">
      <w:pPr>
        <w:pStyle w:val="Point1letter"/>
        <w:rPr>
          <w:noProof/>
        </w:rPr>
      </w:pPr>
      <w:r w:rsidRPr="0056149E">
        <w:t>naslov se zamjenjuje sljedećim:</w:t>
      </w:r>
    </w:p>
    <w:p w14:paraId="3D4F8508" w14:textId="77777777" w:rsidR="00C16484" w:rsidRPr="0056149E" w:rsidRDefault="00C16484" w:rsidP="00783A3B">
      <w:pPr>
        <w:jc w:val="center"/>
        <w:rPr>
          <w:noProof/>
        </w:rPr>
      </w:pPr>
      <w:r w:rsidRPr="0056149E">
        <w:t>„</w:t>
      </w:r>
      <w:r w:rsidRPr="0056149E">
        <w:rPr>
          <w:b/>
        </w:rPr>
        <w:t>Pojednostavnjeni zahtjev za izvješćivanje za institucije na koje se primjenjuju izuzeća</w:t>
      </w:r>
      <w:r w:rsidRPr="0056149E">
        <w:t>”;</w:t>
      </w:r>
    </w:p>
    <w:p w14:paraId="2EAF66BD" w14:textId="77777777" w:rsidR="00C16484" w:rsidRPr="0056149E" w:rsidRDefault="00C16484" w:rsidP="00783A3B">
      <w:pPr>
        <w:pStyle w:val="Point1letter"/>
        <w:rPr>
          <w:noProof/>
        </w:rPr>
      </w:pPr>
      <w:r w:rsidRPr="0056149E">
        <w:t>stavak 2. briše se;</w:t>
      </w:r>
    </w:p>
    <w:p w14:paraId="1A052A8B" w14:textId="77777777" w:rsidR="00C16484" w:rsidRPr="0056149E" w:rsidRDefault="00C16484" w:rsidP="00783A3B">
      <w:pPr>
        <w:pStyle w:val="Point0number"/>
        <w:rPr>
          <w:noProof/>
        </w:rPr>
      </w:pPr>
      <w:r w:rsidRPr="0056149E">
        <w:t>u članku 3. uvodna rečenica zamjenjuje se sljedećim:</w:t>
      </w:r>
    </w:p>
    <w:p w14:paraId="533DCDB8" w14:textId="77777777" w:rsidR="00C16484" w:rsidRPr="0056149E" w:rsidRDefault="00C16484" w:rsidP="00783A3B">
      <w:pPr>
        <w:rPr>
          <w:noProof/>
        </w:rPr>
      </w:pPr>
      <w:r w:rsidRPr="0056149E">
        <w:t>„Za grupe na koje se primjenjuje MREL na konsolidiranoj osnovi u skladu s člankom 45.e, člankom 45.f stavkom 1. trećim i četvrtim podstavkom i člankom 45.f stavkom 4. točkom (b) Direktive 2014/59/EU, informacije iz članaka 1. i 2. sljedeća tijela dostavljaju na sljedeći način:”;</w:t>
      </w:r>
    </w:p>
    <w:p w14:paraId="0509E0AB" w14:textId="77777777" w:rsidR="00C16484" w:rsidRPr="0056149E" w:rsidRDefault="00C16484" w:rsidP="00783A3B">
      <w:pPr>
        <w:pStyle w:val="Point0number"/>
        <w:rPr>
          <w:noProof/>
        </w:rPr>
      </w:pPr>
      <w:r w:rsidRPr="0056149E">
        <w:t>članak 4. zamjenjuje se sljedećim:</w:t>
      </w:r>
    </w:p>
    <w:p w14:paraId="66FCA4E9" w14:textId="77777777" w:rsidR="00C16484" w:rsidRPr="0056149E" w:rsidRDefault="00D47F83" w:rsidP="00783A3B">
      <w:pPr>
        <w:pStyle w:val="Titrearticle"/>
        <w:rPr>
          <w:i w:val="0"/>
          <w:iCs/>
          <w:noProof/>
        </w:rPr>
      </w:pPr>
      <w:r w:rsidRPr="0056149E">
        <w:t xml:space="preserve">„Članak 4. </w:t>
      </w:r>
      <w:r w:rsidRPr="0056149E">
        <w:br/>
      </w:r>
      <w:r w:rsidRPr="0056149E">
        <w:rPr>
          <w:b/>
          <w:i w:val="0"/>
        </w:rPr>
        <w:t>Izvještajna razdoblja i datumi za dostavu podataka</w:t>
      </w:r>
    </w:p>
    <w:p w14:paraId="054F5F9B" w14:textId="77777777" w:rsidR="00C16484" w:rsidRPr="0056149E" w:rsidRDefault="00C16484" w:rsidP="00783A3B">
      <w:pPr>
        <w:rPr>
          <w:noProof/>
        </w:rPr>
      </w:pPr>
      <w:r w:rsidRPr="0056149E">
        <w:t>Sanacijska tijela dostavljaju informacije iz članaka 1. i 2. kako slijedi:</w:t>
      </w:r>
    </w:p>
    <w:p w14:paraId="5113726F" w14:textId="77777777" w:rsidR="00C16484" w:rsidRPr="0056149E" w:rsidRDefault="00C16484" w:rsidP="00783A3B">
      <w:pPr>
        <w:pStyle w:val="Point1letter"/>
        <w:rPr>
          <w:noProof/>
        </w:rPr>
      </w:pPr>
      <w:r w:rsidRPr="0056149E">
        <w:t>do 16. rujna te godine za MREL koji se primjenjuje od 30. lipnja;</w:t>
      </w:r>
    </w:p>
    <w:p w14:paraId="7219DDD8" w14:textId="77777777" w:rsidR="00C16484" w:rsidRPr="0056149E" w:rsidRDefault="00C16484" w:rsidP="00783A3B">
      <w:pPr>
        <w:pStyle w:val="Point1letter"/>
        <w:rPr>
          <w:noProof/>
        </w:rPr>
      </w:pPr>
      <w:r w:rsidRPr="0056149E">
        <w:t>do 18. ožujka sljedeće godine za MREL koji se primjenjuje od 31. prosinca.”;</w:t>
      </w:r>
    </w:p>
    <w:p w14:paraId="65609948" w14:textId="77777777" w:rsidR="00C16484" w:rsidRPr="0056149E" w:rsidRDefault="00C16484" w:rsidP="00783A3B">
      <w:pPr>
        <w:pStyle w:val="Point0number"/>
        <w:rPr>
          <w:noProof/>
        </w:rPr>
      </w:pPr>
      <w:r w:rsidRPr="0056149E">
        <w:t>Prilog I. zamjenjuje se tekstom u Prilogu I. ovoj Uredbi;</w:t>
      </w:r>
    </w:p>
    <w:p w14:paraId="45E55C10" w14:textId="77777777" w:rsidR="00C16484" w:rsidRPr="0056149E" w:rsidRDefault="00C16484" w:rsidP="00783A3B">
      <w:pPr>
        <w:pStyle w:val="Point0number"/>
        <w:rPr>
          <w:noProof/>
        </w:rPr>
      </w:pPr>
      <w:r w:rsidRPr="0056149E">
        <w:t>Prilog II. zamjenjuje se tekstom iz Priloga II. ovoj Uredbi.</w:t>
      </w:r>
    </w:p>
    <w:p w14:paraId="0B09A3CA" w14:textId="77777777" w:rsidR="00C16484" w:rsidRPr="0056149E" w:rsidRDefault="00C16484">
      <w:pPr>
        <w:pStyle w:val="Titrearticle"/>
      </w:pPr>
      <w:r w:rsidRPr="0056149E">
        <w:t>Članak 2.</w:t>
      </w:r>
    </w:p>
    <w:p w14:paraId="0BDD24EC" w14:textId="77777777" w:rsidR="00C16484" w:rsidRPr="0056149E" w:rsidRDefault="00C16484" w:rsidP="00830365">
      <w:r w:rsidRPr="0056149E">
        <w:t xml:space="preserve">Ova Uredba stupa na snagu dvadesetog dana od dana objave u </w:t>
      </w:r>
      <w:r w:rsidRPr="0056149E">
        <w:rPr>
          <w:i/>
        </w:rPr>
        <w:t>Službenom listu Europske unije</w:t>
      </w:r>
      <w:r w:rsidRPr="0056149E">
        <w:t>.</w:t>
      </w:r>
    </w:p>
    <w:p w14:paraId="3DDE2F7A" w14:textId="77777777" w:rsidR="00C16484" w:rsidRPr="0056149E" w:rsidRDefault="00C16484">
      <w:pPr>
        <w:pStyle w:val="Applicationdirecte"/>
      </w:pPr>
      <w:r w:rsidRPr="0056149E">
        <w:t>Ova je Uredba u cijelosti obvezujuća i izravno se primjenjuje u svim državama članicama.</w:t>
      </w:r>
    </w:p>
    <w:p w14:paraId="0FD02893" w14:textId="754ABA87" w:rsidR="00C16484" w:rsidRPr="0056149E" w:rsidRDefault="0056149E" w:rsidP="0056149E">
      <w:pPr>
        <w:pStyle w:val="Fait"/>
      </w:pPr>
      <w:r w:rsidRPr="0056149E">
        <w:t>Sastavljeno u Bruxellesu</w:t>
      </w:r>
    </w:p>
    <w:p w14:paraId="3FB14D4B" w14:textId="77777777" w:rsidR="00C16484" w:rsidRPr="0056149E" w:rsidRDefault="00C16484" w:rsidP="00C16484">
      <w:pPr>
        <w:pStyle w:val="Institutionquisigne"/>
      </w:pPr>
      <w:r w:rsidRPr="0056149E">
        <w:tab/>
        <w:t>Za Komisiju</w:t>
      </w:r>
    </w:p>
    <w:p w14:paraId="0FEF1170" w14:textId="0CD182DE" w:rsidR="00C16484" w:rsidRPr="0056149E" w:rsidRDefault="00C16484" w:rsidP="00C16484">
      <w:pPr>
        <w:pStyle w:val="Personnequisigne"/>
      </w:pPr>
      <w:r w:rsidRPr="0056149E">
        <w:tab/>
        <w:t xml:space="preserve">Predsjednica </w:t>
      </w:r>
      <w:r w:rsidRPr="0056149E">
        <w:br/>
      </w:r>
      <w:r w:rsidRPr="0056149E">
        <w:tab/>
        <w:t xml:space="preserve">Ursula von der Leyen </w:t>
      </w:r>
      <w:r w:rsidRPr="0056149E">
        <w:br/>
      </w:r>
      <w:r w:rsidRPr="0056149E">
        <w:tab/>
      </w:r>
    </w:p>
    <w:sectPr w:rsidR="00C16484" w:rsidRPr="0056149E" w:rsidSect="0056149E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Default="00F07F26" w:rsidP="00C16484">
      <w:pPr>
        <w:spacing w:before="0" w:after="0"/>
      </w:pPr>
      <w:r>
        <w:separator/>
      </w:r>
    </w:p>
  </w:endnote>
  <w:endnote w:type="continuationSeparator" w:id="0">
    <w:p w14:paraId="61DF8EAB" w14:textId="77777777" w:rsidR="00F07F26" w:rsidRDefault="00F07F26" w:rsidP="00C16484">
      <w:pPr>
        <w:spacing w:before="0" w:after="0"/>
      </w:pPr>
      <w:r>
        <w:continuationSeparator/>
      </w:r>
    </w:p>
  </w:endnote>
  <w:endnote w:type="continuationNotice" w:id="1">
    <w:p w14:paraId="04F6DC9C" w14:textId="77777777" w:rsidR="00F07F26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DF19" w14:textId="3D72F280" w:rsidR="00AE4482" w:rsidRPr="0056149E" w:rsidRDefault="0056149E" w:rsidP="0056149E">
    <w:pPr>
      <w:pStyle w:val="Footer"/>
      <w:rPr>
        <w:rFonts w:ascii="Arial" w:hAnsi="Arial" w:cs="Arial"/>
        <w:b/>
        <w:sz w:val="48"/>
      </w:rPr>
    </w:pPr>
    <w:r w:rsidRPr="0056149E">
      <w:rPr>
        <w:rFonts w:ascii="Arial" w:hAnsi="Arial" w:cs="Arial"/>
        <w:b/>
        <w:sz w:val="48"/>
      </w:rPr>
      <w:t>HR</w:t>
    </w:r>
    <w:r w:rsidRPr="0056149E">
      <w:rPr>
        <w:rFonts w:ascii="Arial" w:hAnsi="Arial" w:cs="Arial"/>
        <w:b/>
        <w:sz w:val="48"/>
      </w:rPr>
      <w:tab/>
    </w:r>
    <w:r w:rsidRPr="0056149E">
      <w:rPr>
        <w:rFonts w:ascii="Arial" w:hAnsi="Arial" w:cs="Arial"/>
        <w:b/>
        <w:sz w:val="48"/>
      </w:rPr>
      <w:tab/>
    </w:r>
    <w:r w:rsidRPr="0056149E">
      <w:tab/>
    </w:r>
    <w:r w:rsidRPr="0056149E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2038" w14:textId="7FC32AB6" w:rsidR="00AE4482" w:rsidRPr="0056149E" w:rsidRDefault="0056149E" w:rsidP="0056149E">
    <w:pPr>
      <w:pStyle w:val="Footer"/>
      <w:rPr>
        <w:rFonts w:ascii="Arial" w:hAnsi="Arial" w:cs="Arial"/>
        <w:b/>
        <w:sz w:val="48"/>
      </w:rPr>
    </w:pPr>
    <w:r w:rsidRPr="0056149E">
      <w:rPr>
        <w:rFonts w:ascii="Arial" w:hAnsi="Arial" w:cs="Arial"/>
        <w:b/>
        <w:sz w:val="48"/>
      </w:rPr>
      <w:t>HR</w:t>
    </w:r>
    <w:r w:rsidRPr="0056149E">
      <w:rPr>
        <w:rFonts w:ascii="Arial" w:hAnsi="Arial" w:cs="Arial"/>
        <w:b/>
        <w:sz w:val="48"/>
      </w:rPr>
      <w:tab/>
    </w:r>
    <w:r w:rsidRPr="0056149E">
      <w:rPr>
        <w:rFonts w:ascii="Arial" w:hAnsi="Arial" w:cs="Arial"/>
        <w:b/>
        <w:sz w:val="48"/>
      </w:rPr>
      <w:tab/>
    </w:r>
    <w:r w:rsidRPr="0056149E">
      <w:tab/>
    </w:r>
    <w:r w:rsidRPr="0056149E"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79BD" w14:textId="77777777" w:rsidR="0056149E" w:rsidRPr="0056149E" w:rsidRDefault="0056149E" w:rsidP="005614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D095" w14:textId="183BF4D6" w:rsidR="0056149E" w:rsidRPr="0056149E" w:rsidRDefault="0056149E" w:rsidP="0056149E">
    <w:pPr>
      <w:pStyle w:val="Footer"/>
      <w:rPr>
        <w:rFonts w:ascii="Arial" w:hAnsi="Arial" w:cs="Arial"/>
        <w:b/>
        <w:sz w:val="48"/>
      </w:rPr>
    </w:pPr>
    <w:r w:rsidRPr="0056149E">
      <w:rPr>
        <w:rFonts w:ascii="Arial" w:hAnsi="Arial" w:cs="Arial"/>
        <w:b/>
        <w:sz w:val="48"/>
      </w:rPr>
      <w:t>HR</w:t>
    </w:r>
    <w:r w:rsidRPr="0056149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6149E">
      <w:tab/>
    </w:r>
    <w:r w:rsidRPr="0056149E">
      <w:rPr>
        <w:rFonts w:ascii="Arial" w:hAnsi="Arial" w:cs="Arial"/>
        <w:b/>
        <w:sz w:val="48"/>
      </w:rPr>
      <w:t>HR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56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Default="00F07F26" w:rsidP="00C16484">
      <w:pPr>
        <w:spacing w:before="0" w:after="0"/>
      </w:pPr>
      <w:r>
        <w:separator/>
      </w:r>
    </w:p>
  </w:footnote>
  <w:footnote w:type="continuationSeparator" w:id="0">
    <w:p w14:paraId="298144EA" w14:textId="77777777" w:rsidR="00F07F26" w:rsidRDefault="00F07F26" w:rsidP="00C16484">
      <w:pPr>
        <w:spacing w:before="0" w:after="0"/>
      </w:pPr>
      <w:r>
        <w:continuationSeparator/>
      </w:r>
    </w:p>
  </w:footnote>
  <w:footnote w:type="continuationNotice" w:id="1">
    <w:p w14:paraId="57F8940A" w14:textId="77777777" w:rsidR="00F07F26" w:rsidRDefault="00F07F26">
      <w:pPr>
        <w:spacing w:before="0" w:after="0"/>
      </w:pPr>
    </w:p>
  </w:footnote>
  <w:footnote w:id="2">
    <w:p w14:paraId="33763137" w14:textId="77777777" w:rsidR="00C16484" w:rsidRPr="002A43D8" w:rsidRDefault="00C16484" w:rsidP="00C16484">
      <w:pPr>
        <w:pStyle w:val="FootnoteText"/>
      </w:pPr>
      <w:r>
        <w:rPr>
          <w:rStyle w:val="FootnoteReference"/>
        </w:rPr>
        <w:footnoteRef/>
      </w:r>
      <w:r>
        <w:tab/>
        <w:t>SL L 173, 12.6.2014., str. 190., ELI: </w:t>
      </w:r>
      <w:hyperlink r:id="rId1" w:tooltip="ELI URI za pristup dokumentu." w:history="1">
        <w:r>
          <w:rPr>
            <w:rStyle w:val="Hyperlink"/>
            <w:rFonts w:ascii="Times New Roman" w:hAnsi="Times New Roman"/>
          </w:rPr>
          <w:t>http://data.europa.eu/eli/dir/2014/59/oj</w:t>
        </w:r>
      </w:hyperlink>
      <w:r>
        <w:t xml:space="preserve">. </w:t>
      </w:r>
    </w:p>
  </w:footnote>
  <w:footnote w:id="3">
    <w:p w14:paraId="584AEAAA" w14:textId="78F88551" w:rsidR="003428AE" w:rsidRPr="009B0295" w:rsidRDefault="003428AE">
      <w:pPr>
        <w:pStyle w:val="FootnoteText"/>
      </w:pPr>
      <w:r>
        <w:rPr>
          <w:rStyle w:val="FootnoteReference"/>
        </w:rPr>
        <w:footnoteRef/>
      </w:r>
      <w:r>
        <w:tab/>
        <w:t xml:space="preserve">Direktiva (EU) 2024/1174 Europskog parlamenta i Vijeća od 11. travnja 2024. o izmjeni Direktive 2014/59/EU i Uredbe (EU) br. 806/2014 u pogledu određenih aspekata minimalnog zahtjeva za regulatorni kapital i prihvatljive obveze (SL L, 2024/1174, 22.4.2024., ELI: </w:t>
      </w:r>
      <w:hyperlink r:id="rId2" w:history="1">
        <w:r>
          <w:rPr>
            <w:rStyle w:val="Hyperlink"/>
            <w:rFonts w:ascii="Times New Roman" w:hAnsi="Times New Roman"/>
          </w:rPr>
          <w:t>http://data.europa.eu/eli/dir/2024/1174/oj</w:t>
        </w:r>
      </w:hyperlink>
      <w:r>
        <w:t xml:space="preserve">). </w:t>
      </w:r>
    </w:p>
  </w:footnote>
  <w:footnote w:id="4">
    <w:p w14:paraId="4D1953DF" w14:textId="607C22C8" w:rsidR="001F4496" w:rsidRPr="009B0295" w:rsidRDefault="001F4496">
      <w:pPr>
        <w:pStyle w:val="FootnoteText"/>
      </w:pPr>
      <w:r>
        <w:rPr>
          <w:rStyle w:val="FootnoteReference"/>
        </w:rPr>
        <w:footnoteRef/>
      </w:r>
      <w:r>
        <w:tab/>
        <w:t xml:space="preserve">Provedbena uredba Komisije (EU) 2021/622 оd 15. travnja 2021. o utvrđivanju provedbenih tehničkih standarda za primjenu Direktive 2014/59/EU Europskog parlamenta i Vijeća u pogledu jedinstvenih obrazaca, uputa i metodologije za izvješćivanje o minimalnom zahtjevu za regulatorni kapital i prihvatljive obveze (SL L 131, 16.4.2021., str. 123., ELI: </w:t>
      </w:r>
      <w:hyperlink r:id="rId3" w:history="1">
        <w:r>
          <w:rPr>
            <w:rStyle w:val="Hyperlink"/>
            <w:rFonts w:ascii="Times New Roman" w:hAnsi="Times New Roman"/>
          </w:rPr>
          <w:t>http://data.europa.eu/eli/reg_impl/2021/622/oj</w:t>
        </w:r>
      </w:hyperlink>
      <w:r>
        <w:t>).</w:t>
      </w:r>
    </w:p>
  </w:footnote>
  <w:footnote w:id="5">
    <w:p w14:paraId="5FB3833A" w14:textId="77777777" w:rsidR="000B5B60" w:rsidRPr="000B5B60" w:rsidRDefault="000B5B60">
      <w:pPr>
        <w:pStyle w:val="FootnoteText"/>
      </w:pPr>
      <w:r>
        <w:rPr>
          <w:rStyle w:val="FootnoteReference"/>
        </w:rPr>
        <w:footnoteRef/>
      </w:r>
      <w:r>
        <w:tab/>
        <w:t xml:space="preserve">Provedbena uredba Komisije (EU) 2021/763 оd 23. travnja 2021. o utvrđivanju provedbenih tehničkih standarda za primjenu Uredbe (EU) br. 575/2013 Europskog parlamenta i Vijeća i Direktive 2014/59/EU Europskog parlamenta i Vijeća u pogledu nadzornog izvješćivanja i javne objave minimalnog zahtjeva za regulatorni kapital i prihvatljive obveze (SL L 168, 12.5.2021., ELI: </w:t>
      </w:r>
      <w:hyperlink r:id="rId4" w:history="1">
        <w:r>
          <w:rPr>
            <w:rStyle w:val="Hyperlink"/>
            <w:rFonts w:ascii="Times New Roman" w:hAnsi="Times New Roman"/>
          </w:rPr>
          <w:t>http://data.europa.eu/eli/reg_impl/2021/763/oj</w:t>
        </w:r>
      </w:hyperlink>
      <w:r>
        <w:t>).</w:t>
      </w:r>
    </w:p>
  </w:footnote>
  <w:footnote w:id="6">
    <w:p w14:paraId="04BE3385" w14:textId="77777777" w:rsidR="00401F3A" w:rsidRPr="00FE7BD1" w:rsidRDefault="00401F3A" w:rsidP="00F35BD7">
      <w:pPr>
        <w:pStyle w:val="FootnoteText"/>
      </w:pPr>
      <w:r>
        <w:rPr>
          <w:rStyle w:val="FootnoteReference"/>
        </w:rPr>
        <w:footnoteRef/>
      </w:r>
      <w:r>
        <w:tab/>
        <w:t>Uredba (EU) br. 1093/2010 Europskog parlamenta i Vijeća od 24. studenog 2010. o osnivanju europskog nadzornog tijela (Europskog nadzornog tijela za bankarstvo), kojom se izmjenjuje Odluka br. 716/2009/EZ i stavlja izvan snage Odluka Komisije 2009/78/EZ (SL L 331, 15.12.2010., str. 12., ELI: </w:t>
      </w:r>
      <w:hyperlink r:id="rId5" w:tooltip="ELI URI za pristup dokumentu." w:history="1">
        <w:r>
          <w:rPr>
            <w:rStyle w:val="Hyperlink"/>
            <w:rFonts w:ascii="Times New Roman" w:hAnsi="Times New Roman"/>
          </w:rPr>
          <w:t>http://data.europa.eu/eli/reg/2010/1093/oj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3B67" w14:textId="77777777" w:rsidR="0056149E" w:rsidRPr="0056149E" w:rsidRDefault="0056149E" w:rsidP="0056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BF9C" w14:textId="77777777" w:rsidR="0056149E" w:rsidRPr="0056149E" w:rsidRDefault="0056149E" w:rsidP="00561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993B" w14:textId="77777777" w:rsidR="0056149E" w:rsidRPr="0056149E" w:rsidRDefault="0056149E" w:rsidP="005614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 w:numId="22" w16cid:durableId="2089693441">
    <w:abstractNumId w:val="15"/>
  </w:num>
  <w:num w:numId="23" w16cid:durableId="1693998065">
    <w:abstractNumId w:val="8"/>
  </w:num>
  <w:num w:numId="24" w16cid:durableId="788817884">
    <w:abstractNumId w:val="17"/>
  </w:num>
  <w:num w:numId="25" w16cid:durableId="1535464848">
    <w:abstractNumId w:val="7"/>
  </w:num>
  <w:num w:numId="26" w16cid:durableId="639657071">
    <w:abstractNumId w:val="9"/>
  </w:num>
  <w:num w:numId="27" w16cid:durableId="361050661">
    <w:abstractNumId w:val="10"/>
  </w:num>
  <w:num w:numId="28" w16cid:durableId="472790552">
    <w:abstractNumId w:val="5"/>
  </w:num>
  <w:num w:numId="29" w16cid:durableId="384646725">
    <w:abstractNumId w:val="16"/>
  </w:num>
  <w:num w:numId="30" w16cid:durableId="2031682509">
    <w:abstractNumId w:val="4"/>
  </w:num>
  <w:num w:numId="31" w16cid:durableId="150604668">
    <w:abstractNumId w:val="11"/>
  </w:num>
  <w:num w:numId="32" w16cid:durableId="472332852">
    <w:abstractNumId w:val="13"/>
  </w:num>
  <w:num w:numId="33" w16cid:durableId="1298296966">
    <w:abstractNumId w:val="14"/>
  </w:num>
  <w:num w:numId="34" w16cid:durableId="1306230484">
    <w:abstractNumId w:val="6"/>
  </w:num>
  <w:num w:numId="35" w16cid:durableId="24066917">
    <w:abstractNumId w:val="12"/>
  </w:num>
  <w:num w:numId="36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4:01:2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DD11FF2D-161C-4A07-A030-562C2B1A0681"/>
    <w:docVar w:name="LW_COVERPAGE_TYPE" w:val="1"/>
    <w:docVar w:name="LW_CreatedUtc" w:val="2025-09-04T16:00:38.0896335Z"/>
    <w:docVar w:name="LW_CROSSREFERENCE" w:val="&lt;UNUSED&gt;"/>
    <w:docVar w:name="LW_DATE.ADOPT.CP" w:val="\u1086?d XXX"/>
    <w:docVar w:name="LW_DATE.ADOPT.CP_DATEFORMAT" w:val="\u1086?d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kst zna\u269?ajan za EGP)"/>
    <w:docVar w:name="LW_LANGUE" w:val="HR"/>
    <w:docVar w:name="LW_LANGUESFAISANTFOI.CP" w:val="&lt;UNUSED&gt;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o izmjeni provedbenih tehni\u269?kih standarda iz Provedbene uredbe (EU) 2021/622 u pogledu u\u269?estalosti izvje\u353?\u263?ivanja i informacija koje se dostavljaju"/>
    <w:docVar w:name="LW_TYPE.DOC.CP" w:val="PROVEDBENA UREDBA KOMISIJE (EU) \u8230?/..."/>
  </w:docVars>
  <w:rsids>
    <w:rsidRoot w:val="00C16484"/>
    <w:rsid w:val="00000BE0"/>
    <w:rsid w:val="00016399"/>
    <w:rsid w:val="000417C4"/>
    <w:rsid w:val="0004227D"/>
    <w:rsid w:val="00045B9F"/>
    <w:rsid w:val="00061B0A"/>
    <w:rsid w:val="000625FB"/>
    <w:rsid w:val="00075947"/>
    <w:rsid w:val="000A663E"/>
    <w:rsid w:val="000B5B60"/>
    <w:rsid w:val="000B7A7D"/>
    <w:rsid w:val="000C320E"/>
    <w:rsid w:val="000C5911"/>
    <w:rsid w:val="000D3BC2"/>
    <w:rsid w:val="000E5499"/>
    <w:rsid w:val="00115188"/>
    <w:rsid w:val="001151E7"/>
    <w:rsid w:val="00125199"/>
    <w:rsid w:val="0013305B"/>
    <w:rsid w:val="00143ED4"/>
    <w:rsid w:val="00152894"/>
    <w:rsid w:val="0017762B"/>
    <w:rsid w:val="0018141D"/>
    <w:rsid w:val="001A25E7"/>
    <w:rsid w:val="001A6BDC"/>
    <w:rsid w:val="001E3098"/>
    <w:rsid w:val="001E39BF"/>
    <w:rsid w:val="001F2AC0"/>
    <w:rsid w:val="001F4496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9415E"/>
    <w:rsid w:val="002A43D8"/>
    <w:rsid w:val="002A753D"/>
    <w:rsid w:val="002B37B6"/>
    <w:rsid w:val="002D6B17"/>
    <w:rsid w:val="002F1710"/>
    <w:rsid w:val="0030490D"/>
    <w:rsid w:val="00313AC1"/>
    <w:rsid w:val="00325B37"/>
    <w:rsid w:val="00331377"/>
    <w:rsid w:val="003428AE"/>
    <w:rsid w:val="00353536"/>
    <w:rsid w:val="00364262"/>
    <w:rsid w:val="00373FC4"/>
    <w:rsid w:val="0038290C"/>
    <w:rsid w:val="003838B9"/>
    <w:rsid w:val="00396ACD"/>
    <w:rsid w:val="003B10ED"/>
    <w:rsid w:val="003E05B8"/>
    <w:rsid w:val="003E3FC7"/>
    <w:rsid w:val="003E7D8F"/>
    <w:rsid w:val="003F2A70"/>
    <w:rsid w:val="00401F3A"/>
    <w:rsid w:val="00406CBA"/>
    <w:rsid w:val="004138D9"/>
    <w:rsid w:val="004211F5"/>
    <w:rsid w:val="0042702A"/>
    <w:rsid w:val="00437AA5"/>
    <w:rsid w:val="004518ED"/>
    <w:rsid w:val="00485F6A"/>
    <w:rsid w:val="004918DE"/>
    <w:rsid w:val="00492396"/>
    <w:rsid w:val="004B4C38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6149E"/>
    <w:rsid w:val="00582810"/>
    <w:rsid w:val="0058683E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D6AA6"/>
    <w:rsid w:val="005E2634"/>
    <w:rsid w:val="005F2B9A"/>
    <w:rsid w:val="00603E01"/>
    <w:rsid w:val="0061453F"/>
    <w:rsid w:val="00642760"/>
    <w:rsid w:val="00643DEF"/>
    <w:rsid w:val="006654AB"/>
    <w:rsid w:val="00667F1D"/>
    <w:rsid w:val="006700C7"/>
    <w:rsid w:val="00685D33"/>
    <w:rsid w:val="006D3FD5"/>
    <w:rsid w:val="006D6949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D0861"/>
    <w:rsid w:val="007D3D95"/>
    <w:rsid w:val="007E010B"/>
    <w:rsid w:val="007F5C7C"/>
    <w:rsid w:val="00801EB4"/>
    <w:rsid w:val="00802FC2"/>
    <w:rsid w:val="00817121"/>
    <w:rsid w:val="00830365"/>
    <w:rsid w:val="00833B73"/>
    <w:rsid w:val="008407BE"/>
    <w:rsid w:val="00843817"/>
    <w:rsid w:val="008460B7"/>
    <w:rsid w:val="00847915"/>
    <w:rsid w:val="008601F7"/>
    <w:rsid w:val="00861270"/>
    <w:rsid w:val="00874305"/>
    <w:rsid w:val="00880A77"/>
    <w:rsid w:val="00897749"/>
    <w:rsid w:val="008A3F6C"/>
    <w:rsid w:val="008B07C8"/>
    <w:rsid w:val="008B3C68"/>
    <w:rsid w:val="008B6AF9"/>
    <w:rsid w:val="008D3EC5"/>
    <w:rsid w:val="008D4062"/>
    <w:rsid w:val="008E2694"/>
    <w:rsid w:val="008E2E76"/>
    <w:rsid w:val="008F234A"/>
    <w:rsid w:val="00902ADE"/>
    <w:rsid w:val="00910118"/>
    <w:rsid w:val="00917A1D"/>
    <w:rsid w:val="0093069E"/>
    <w:rsid w:val="00940731"/>
    <w:rsid w:val="009430FB"/>
    <w:rsid w:val="00943538"/>
    <w:rsid w:val="00947310"/>
    <w:rsid w:val="009526D5"/>
    <w:rsid w:val="0095347B"/>
    <w:rsid w:val="00962953"/>
    <w:rsid w:val="00964D55"/>
    <w:rsid w:val="00980CC9"/>
    <w:rsid w:val="009957C5"/>
    <w:rsid w:val="009A4095"/>
    <w:rsid w:val="009B0295"/>
    <w:rsid w:val="009C1E02"/>
    <w:rsid w:val="009D2368"/>
    <w:rsid w:val="009D5F8B"/>
    <w:rsid w:val="009F3A7A"/>
    <w:rsid w:val="00A03DA8"/>
    <w:rsid w:val="00A05FAB"/>
    <w:rsid w:val="00A24E3D"/>
    <w:rsid w:val="00A37D2E"/>
    <w:rsid w:val="00A4162C"/>
    <w:rsid w:val="00A41677"/>
    <w:rsid w:val="00A54A8C"/>
    <w:rsid w:val="00A564DC"/>
    <w:rsid w:val="00A565C7"/>
    <w:rsid w:val="00A719DF"/>
    <w:rsid w:val="00A7647B"/>
    <w:rsid w:val="00AA038B"/>
    <w:rsid w:val="00AB034D"/>
    <w:rsid w:val="00AC6B16"/>
    <w:rsid w:val="00AD5257"/>
    <w:rsid w:val="00AE4482"/>
    <w:rsid w:val="00B01072"/>
    <w:rsid w:val="00B136EC"/>
    <w:rsid w:val="00B14B01"/>
    <w:rsid w:val="00B43EBD"/>
    <w:rsid w:val="00B65FB3"/>
    <w:rsid w:val="00B66E09"/>
    <w:rsid w:val="00B95D78"/>
    <w:rsid w:val="00B97308"/>
    <w:rsid w:val="00BB3BEC"/>
    <w:rsid w:val="00BD02BB"/>
    <w:rsid w:val="00BD3885"/>
    <w:rsid w:val="00BD66E4"/>
    <w:rsid w:val="00C059B6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D4285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50E5B"/>
    <w:rsid w:val="00E667BA"/>
    <w:rsid w:val="00E7044F"/>
    <w:rsid w:val="00E82B0B"/>
    <w:rsid w:val="00E873DD"/>
    <w:rsid w:val="00E932C3"/>
    <w:rsid w:val="00E979AB"/>
    <w:rsid w:val="00EB3279"/>
    <w:rsid w:val="00EC332E"/>
    <w:rsid w:val="00EC39BC"/>
    <w:rsid w:val="00EE0749"/>
    <w:rsid w:val="00EE140B"/>
    <w:rsid w:val="00EE441C"/>
    <w:rsid w:val="00EE54B9"/>
    <w:rsid w:val="00EF728E"/>
    <w:rsid w:val="00F07F26"/>
    <w:rsid w:val="00F35BD7"/>
    <w:rsid w:val="00F36982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r-H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Props1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40</TotalTime>
  <Pages>2</Pages>
  <Words>793</Words>
  <Characters>4628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TESLA Nikolina (DGT)</cp:lastModifiedBy>
  <cp:revision>29</cp:revision>
  <dcterms:created xsi:type="dcterms:W3CDTF">2025-12-05T16:19:00Z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