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1BF8" w14:textId="65FBDF14" w:rsidR="004E763F" w:rsidRPr="007B1352" w:rsidRDefault="00141EA1" w:rsidP="007B1352">
      <w:pPr>
        <w:pStyle w:val="Pagedecouverture"/>
      </w:pPr>
      <w:r>
        <w:pict w14:anchorId="415E20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484A0349-BCAE-421D-BF09-926429B3407E" style="width:455.1pt;height:345.8pt">
            <v:imagedata r:id="rId11" o:title=""/>
          </v:shape>
        </w:pict>
      </w:r>
    </w:p>
    <w:p w14:paraId="1986B6EA" w14:textId="77777777" w:rsidR="00CE1382" w:rsidRPr="007B1352" w:rsidRDefault="00CE1382" w:rsidP="003838B9">
      <w:pPr>
        <w:sectPr w:rsidR="00CE1382" w:rsidRPr="007B1352" w:rsidSect="00B15D9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5ADCEA6B" w14:textId="457F8B39" w:rsidR="00C16484" w:rsidRPr="007B1352" w:rsidRDefault="007B1352" w:rsidP="007B1352">
      <w:pPr>
        <w:pStyle w:val="Typedudocument"/>
      </w:pPr>
      <w:r w:rsidRPr="007B1352">
        <w:lastRenderedPageBreak/>
        <w:t>RIALACHÁN CUR CHUN FEIDHME (AE) .../... ÓN gCOIMISIÚN</w:t>
      </w:r>
    </w:p>
    <w:p w14:paraId="6819E66E" w14:textId="6DF5AC9D" w:rsidR="00C16484" w:rsidRPr="007B1352" w:rsidRDefault="007B1352" w:rsidP="007B1352">
      <w:pPr>
        <w:pStyle w:val="Datedadoption"/>
      </w:pPr>
      <w:r w:rsidRPr="007B1352">
        <w:t xml:space="preserve">an </w:t>
      </w:r>
      <w:r w:rsidRPr="007B1352">
        <w:rPr>
          <w:rStyle w:val="Marker2"/>
        </w:rPr>
        <w:t>XXX</w:t>
      </w:r>
    </w:p>
    <w:p w14:paraId="44AA08D1" w14:textId="6A486F4E" w:rsidR="00C16484" w:rsidRPr="007B1352" w:rsidRDefault="007B1352" w:rsidP="007B1352">
      <w:pPr>
        <w:pStyle w:val="Titreobjet"/>
      </w:pPr>
      <w:r w:rsidRPr="007B1352">
        <w:t>lena leasaítear na caighdeáin theicniúla cur chun feidhme a leagtar síos i Rialachán Cur Chun Feidhme (AE) 2021/622 a mhéid a bhaineann le minicíocht an tuairiscithe agus leis an bhfaisnéis atá le tuairisciú</w:t>
      </w:r>
    </w:p>
    <w:p w14:paraId="4A210142" w14:textId="599307BF" w:rsidR="00C16484" w:rsidRPr="007B1352" w:rsidRDefault="007B1352" w:rsidP="007B1352">
      <w:pPr>
        <w:pStyle w:val="IntrtEEE"/>
      </w:pPr>
      <w:r w:rsidRPr="007B1352">
        <w:t>(Téacs atá ábhartha maidir le LEE)</w:t>
      </w:r>
    </w:p>
    <w:p w14:paraId="6F3A17D1" w14:textId="77777777" w:rsidR="00C16484" w:rsidRPr="007B1352" w:rsidRDefault="00C16484">
      <w:pPr>
        <w:pStyle w:val="Institutionquiagit"/>
      </w:pPr>
      <w:r w:rsidRPr="007B1352">
        <w:t>TÁ AN COIMISIÚN EORPACH,</w:t>
      </w:r>
    </w:p>
    <w:p w14:paraId="22B09AC6" w14:textId="77777777" w:rsidR="00C16484" w:rsidRPr="007B1352" w:rsidRDefault="00C16484">
      <w:r w:rsidRPr="007B1352">
        <w:rPr>
          <w:color w:val="000000"/>
        </w:rPr>
        <w:t>Ag féachaint don Chonradh ar Fheidhmiú an Aontais Eorpaigh</w:t>
      </w:r>
      <w:r w:rsidRPr="007B1352">
        <w:t>,</w:t>
      </w:r>
    </w:p>
    <w:p w14:paraId="6C2E5C7E" w14:textId="77777777" w:rsidR="00C16484" w:rsidRPr="007B1352" w:rsidRDefault="00C16484">
      <w:r w:rsidRPr="007B1352">
        <w:t>Ag féachaint do Threoir 2014/59/AE ó Pharlaimint na hEorpa agus ón gComhairle an 15 Bealtaine 2014 lena mbunaítear creat um théarnamh agus réiteach institiúidí creidmheasa agus gnólachtaí infheistíochta agus lena leasaítear Treoir 82/891/CEE ón gComhairle, agus Treoracha 2001/24/CE, 2002/47/CE, 2004/25/CE, 2005/56/CE, 2007/36/CE, 2011/35/AE, 2012/30/AE agus 2013/36/AE, agus Rialacháin (AE) Uimh. 1093/2010 agus (AE) Uimh. 648/2012, ó Pharlaimint na hEorpa agus ón gComhairle</w:t>
      </w:r>
      <w:r w:rsidRPr="007B1352">
        <w:rPr>
          <w:rStyle w:val="FootnoteReference"/>
        </w:rPr>
        <w:footnoteReference w:id="2"/>
      </w:r>
      <w:r w:rsidRPr="007B1352">
        <w:t>, agus go háirithe Airteagal 45j(2), an tríú fomhír, di,</w:t>
      </w:r>
    </w:p>
    <w:p w14:paraId="499F4150" w14:textId="77777777" w:rsidR="00C16484" w:rsidRPr="007B1352" w:rsidRDefault="00C16484">
      <w:r w:rsidRPr="007B1352">
        <w:t>De bharr an mhéid seo a leanas:</w:t>
      </w:r>
    </w:p>
    <w:p w14:paraId="7D99777F" w14:textId="4FA995EF" w:rsidR="003428AE" w:rsidRPr="007B1352" w:rsidRDefault="003428AE" w:rsidP="004B4C38">
      <w:pPr>
        <w:pStyle w:val="Considrant"/>
        <w:numPr>
          <w:ilvl w:val="0"/>
          <w:numId w:val="2"/>
        </w:numPr>
        <w:rPr>
          <w:iCs/>
          <w:noProof/>
        </w:rPr>
      </w:pPr>
      <w:r w:rsidRPr="007B1352">
        <w:t>Le Treoir (AE) 2024/1174 ó Pharlaimint na hEorpa agus ón gComhairle</w:t>
      </w:r>
      <w:r w:rsidRPr="007B1352">
        <w:rPr>
          <w:rStyle w:val="FootnoteReference"/>
          <w:iCs/>
          <w:noProof/>
        </w:rPr>
        <w:footnoteReference w:id="3"/>
      </w:r>
      <w:r w:rsidRPr="007B1352">
        <w:t>, leasaíodh gnéithe áirithe den íoscheanglas le haghaidh cistí dílse agus dliteanais incháilithe (‘ICDI’/‘MREL’) a leagtar síos i dTreoir 2014/59/AE. De bhun na leasuithe sin, níor cheart do na húdaráis réitigh an ICDI/MREL a chinneadh d’eintitis leachtaithe, ach amháin i gcás inar gá ICDI/MREL a shocrú ar mó é ná méid ar leor é chun caillteanais a ionsú chun an chobhsaíocht airgeadais a chosaint nó chun aghaidh a thabhairt ar an riosca tógálachta don chóras airgeadais, lena</w:t>
      </w:r>
      <w:r w:rsidR="00BC0CF3" w:rsidRPr="007B1352">
        <w:t xml:space="preserve"> n</w:t>
      </w:r>
      <w:r w:rsidR="00BC0CF3" w:rsidRPr="007B1352">
        <w:noBreakHyphen/>
      </w:r>
      <w:r w:rsidRPr="007B1352">
        <w:t>áirítear maidir le hacmhainn mhaoiniúcháin scéimeanna ráthaithe taiscí. Ina theannta sin, le Treoir (AE) 2024/1174 méadaíodh an líon cásanna lena gceadaítear d’údaráis réitigh an ICDI/MREL a chinneadh ar bhonn comhdhlúite. Ba cheart Rialachán Cur Chun Feidhme (AE) 2021/622 ón gCoimisiún</w:t>
      </w:r>
      <w:r w:rsidRPr="007B1352">
        <w:rPr>
          <w:rStyle w:val="FootnoteReference"/>
          <w:iCs/>
          <w:noProof/>
        </w:rPr>
        <w:footnoteReference w:id="4"/>
      </w:r>
      <w:r w:rsidRPr="007B1352">
        <w:t xml:space="preserve"> a leasú chun go mbeidh an fhaisnéis atá le tarchur chuig an Údarás Baincéireachta Eorpach (ÚBE) ag teacht leis na hathruithe sin ar an gcreat ICDI/MREL.</w:t>
      </w:r>
    </w:p>
    <w:p w14:paraId="038A3063" w14:textId="77777777" w:rsidR="00C16484" w:rsidRPr="007B1352" w:rsidRDefault="00A05FAB" w:rsidP="008B6AF9">
      <w:pPr>
        <w:pStyle w:val="Considrant"/>
        <w:numPr>
          <w:ilvl w:val="0"/>
          <w:numId w:val="2"/>
        </w:numPr>
        <w:rPr>
          <w:iCs/>
          <w:noProof/>
        </w:rPr>
      </w:pPr>
      <w:r w:rsidRPr="007B1352">
        <w:lastRenderedPageBreak/>
        <w:t>Faoi láthair, le Rialachán Cur Chun Feidhme (AE) 2021/622, ceanglaítear ar údaráis réitigh faisnéis a bhaineann le socrú ICDI/MREL a tharchur chuig ÚBE ar bhonn bliantúil. Ina dhiaidh sin, cuireann ÚBE an fhaisnéis sin le faisnéis maidir le comhdhéanamh na gcistí dílse agus na ndliteanas incháilithe a fuarthas de bhun Rialachán Cur Chun Feidhme (AE) 2021/763 ón gCoimisiún</w:t>
      </w:r>
      <w:r w:rsidRPr="007B1352">
        <w:rPr>
          <w:rStyle w:val="FootnoteReference"/>
          <w:noProof/>
        </w:rPr>
        <w:footnoteReference w:id="5"/>
      </w:r>
      <w:r w:rsidRPr="007B1352">
        <w:t xml:space="preserve"> chun a thuarascáil maidir le ICDI/MREL a chur ar fáil i gcomhréir le hAirteagal 45l de Threoir 2014/59/AE, tuarascáil a bhfuil minicíocht leathbhliantúil aici faoi láthair. I gcás cinntí ICDI/MREL a ghlacann údaráis réitigh tar éis an dáta tagartha ábhartha, fágann tuairisciú bliantúil na faisnéise a dhéantar faoi láthair maidir le ICDI/MREL a shocrú nach ndéanann ÚBE na cinntí sin a tharchur ná a mheasúnú, agus nach léirítear iad ina thuarascálacha, go dtí an bhliain dár gcionn, rud a chruthaíonn mí-ailíniú leis an bhfaisnéis níos nuashonraithe maidir le comhdhéanamh na gcistí dílse agus na ndliteanas incháilithe.</w:t>
      </w:r>
    </w:p>
    <w:p w14:paraId="676EF325" w14:textId="60B44D38" w:rsidR="00C16484" w:rsidRPr="007B1352" w:rsidRDefault="00C16484" w:rsidP="004B4C38">
      <w:pPr>
        <w:pStyle w:val="Considrant"/>
        <w:numPr>
          <w:ilvl w:val="0"/>
          <w:numId w:val="2"/>
        </w:numPr>
        <w:rPr>
          <w:iCs/>
          <w:noProof/>
        </w:rPr>
      </w:pPr>
      <w:r w:rsidRPr="007B1352">
        <w:t>Chun feabhas a chur ar chumas ÚBE faireachán agus measúnú a dhéanamh ar an ICDI/MREL arna shocrú ag na húdaráis réitigh agus ar chomhlíontacht na</w:t>
      </w:r>
      <w:r w:rsidR="00BC0CF3" w:rsidRPr="007B1352">
        <w:t xml:space="preserve"> n</w:t>
      </w:r>
      <w:r w:rsidR="00BC0CF3" w:rsidRPr="007B1352">
        <w:noBreakHyphen/>
      </w:r>
      <w:r w:rsidRPr="007B1352">
        <w:t>institiúidí i dtaca leis na ceanglais ICDI/MREL, ba cheart a cheangal ar na húdaráis réitigh tuairisciú do ÚBE níos minice maidir le cinntí ICDI/MREL. Chun ailíniú a áirithiú leis na tuarascálacha maidir le ICDI/MREL arna</w:t>
      </w:r>
      <w:r w:rsidR="00BC0CF3" w:rsidRPr="007B1352">
        <w:t xml:space="preserve"> n</w:t>
      </w:r>
      <w:r w:rsidR="00BC0CF3" w:rsidRPr="007B1352">
        <w:noBreakHyphen/>
      </w:r>
      <w:r w:rsidRPr="007B1352">
        <w:t xml:space="preserve">ullmhú ag ÚBE, ba cheart do na húdaráis réitigh an fhaisnéis sin a thuairisciú 2 uair sa bhliain. </w:t>
      </w:r>
    </w:p>
    <w:p w14:paraId="2672C096" w14:textId="184BC206" w:rsidR="00C16484" w:rsidRPr="007B1352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7B1352">
        <w:t>Chun measúnú ÚBE a éascú ar an gcaoi ar iompair údaráis réitigh iad féin le teann discréide agus an ICDI/MREL á shocrú acu, go háirithe maidir leis an rogha atá ar fáil faoi Airteagal 45b(4), an chéad fhomhír, de Threoir 2014/59/AE, ba cheart teimpléad M 20.00 – Tuairisciú maidir le cinntí ICDI/MREL (Iarscríbhinn I a ghabhann le Rialachán (AE) 2021/622) agus na treoracha comhfhreagracha a choigeartú chun a cheangal go</w:t>
      </w:r>
      <w:r w:rsidR="00BC0CF3" w:rsidRPr="007B1352">
        <w:t xml:space="preserve"> n</w:t>
      </w:r>
      <w:r w:rsidR="00BC0CF3" w:rsidRPr="007B1352">
        <w:noBreakHyphen/>
      </w:r>
      <w:r w:rsidRPr="007B1352">
        <w:t>áireofar an fhaisnéis sin maidir le feidhmiú na rogha sin.</w:t>
      </w:r>
    </w:p>
    <w:p w14:paraId="1B5314C9" w14:textId="77777777" w:rsidR="00C16484" w:rsidRPr="007B1352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7B1352">
        <w:t>D’iarr ÚBE comhairle ar an nGrúpa Geallsealbhóirí Baincéireachta arna bhunú i gcomhréir le hAirteagal 37 de Rialachán (AE) Uimh. 1093/2010 ó Pharlaimint na hEorpa agus ón gComhairle</w:t>
      </w:r>
      <w:r w:rsidRPr="007B1352">
        <w:rPr>
          <w:rStyle w:val="FootnoteReference"/>
          <w:noProof/>
        </w:rPr>
        <w:footnoteReference w:id="6"/>
      </w:r>
      <w:r w:rsidRPr="007B1352">
        <w:t xml:space="preserve">. </w:t>
      </w:r>
    </w:p>
    <w:p w14:paraId="5D5111C6" w14:textId="77777777" w:rsidR="00C16484" w:rsidRPr="007B1352" w:rsidRDefault="00373FC4" w:rsidP="004B4C38">
      <w:pPr>
        <w:pStyle w:val="Considrant"/>
        <w:numPr>
          <w:ilvl w:val="0"/>
          <w:numId w:val="2"/>
        </w:numPr>
        <w:rPr>
          <w:noProof/>
        </w:rPr>
      </w:pPr>
      <w:r w:rsidRPr="007B1352">
        <w:t xml:space="preserve">Is chuig údaráis réitigh a dhírítear na leasuithe ar Rialachán (AE) 2021/622 agus níl athruithe móra i dtéarmaí substainteacha i gceist leo. Dá bhrí sin, i gcomhréir le hAirteagal 15(1), an dara fomhír, de Rialachán (AE) Uimh. 1093/2010, ní dhearna ÚBE comhairliúcháin phoiblí oscailte ná ní dhearna sé anailís ar na costais agus ar na tairbhí a d’fhéadfadh a bheith ann, ós rud é go mbeadh sé díréireach i ndáil le raon feidhme agus tionchar na ndréachtchaighdeán teicniúil cur chun feidhme lena mbaineann. </w:t>
      </w:r>
    </w:p>
    <w:p w14:paraId="0A23BFF6" w14:textId="77777777" w:rsidR="00C16484" w:rsidRPr="007B1352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7B1352">
        <w:t>Dá bhrí sin, ba cheart Rialachán Cur Chun Feidhme (AE) 2021/622 a leasú dá réir sin.</w:t>
      </w:r>
    </w:p>
    <w:p w14:paraId="1887EA7B" w14:textId="77777777" w:rsidR="00C16484" w:rsidRPr="007B1352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7B1352">
        <w:t>Tá an Rialachán seo bunaithe ar na dréachtchaighdeáin theicniúla cur chun feidhme a chuir ÚBE faoi bhráid an Choimisiúin,</w:t>
      </w:r>
    </w:p>
    <w:p w14:paraId="313B274F" w14:textId="77777777" w:rsidR="00C16484" w:rsidRPr="007B1352" w:rsidRDefault="00C16484">
      <w:pPr>
        <w:pStyle w:val="Formuledadoption"/>
      </w:pPr>
      <w:r w:rsidRPr="007B1352">
        <w:lastRenderedPageBreak/>
        <w:t>TAR ÉIS AN RIALACHÁN SEO A GHLACADH:</w:t>
      </w:r>
    </w:p>
    <w:p w14:paraId="455FC522" w14:textId="77777777" w:rsidR="00C16484" w:rsidRPr="007B1352" w:rsidRDefault="00C16484">
      <w:pPr>
        <w:pStyle w:val="Titrearticle"/>
      </w:pPr>
      <w:r w:rsidRPr="007B1352">
        <w:t>Airteagal 1</w:t>
      </w:r>
    </w:p>
    <w:p w14:paraId="061A957A" w14:textId="77777777" w:rsidR="00C16484" w:rsidRPr="007B1352" w:rsidRDefault="00C16484" w:rsidP="00C16484">
      <w:pPr>
        <w:rPr>
          <w:noProof/>
        </w:rPr>
      </w:pPr>
      <w:r w:rsidRPr="007B1352">
        <w:t>Leasaítear Rialachán Cur Chun Feidhme (AE) 2021/622 mar a leanas:</w:t>
      </w:r>
    </w:p>
    <w:p w14:paraId="44E520EB" w14:textId="77777777" w:rsidR="00C16484" w:rsidRPr="007B1352" w:rsidRDefault="00C16484" w:rsidP="00783A3B">
      <w:pPr>
        <w:pStyle w:val="Point0number"/>
        <w:numPr>
          <w:ilvl w:val="0"/>
          <w:numId w:val="6"/>
        </w:numPr>
        <w:rPr>
          <w:noProof/>
        </w:rPr>
      </w:pPr>
      <w:r w:rsidRPr="007B1352">
        <w:t>leasaítear Airteagal 2 mar a leanas:</w:t>
      </w:r>
    </w:p>
    <w:p w14:paraId="252CA8AC" w14:textId="77777777" w:rsidR="00C16484" w:rsidRPr="007B1352" w:rsidRDefault="00C16484" w:rsidP="00783A3B">
      <w:pPr>
        <w:pStyle w:val="Point1letter"/>
        <w:rPr>
          <w:noProof/>
        </w:rPr>
      </w:pPr>
      <w:r w:rsidRPr="007B1352">
        <w:t>cuirtear an méid seo a leanas in ionad an teidil:</w:t>
      </w:r>
    </w:p>
    <w:p w14:paraId="3D4F8508" w14:textId="77777777" w:rsidR="00C16484" w:rsidRPr="007B1352" w:rsidRDefault="00C16484" w:rsidP="00783A3B">
      <w:pPr>
        <w:jc w:val="center"/>
        <w:rPr>
          <w:noProof/>
        </w:rPr>
      </w:pPr>
      <w:r w:rsidRPr="007B1352">
        <w:t>‘</w:t>
      </w:r>
      <w:r w:rsidRPr="007B1352">
        <w:rPr>
          <w:b/>
        </w:rPr>
        <w:t>Ceanglas tuairiscithe simplithe le haghaidh institiúidí atá faoi réir tarscaoiltí</w:t>
      </w:r>
      <w:r w:rsidRPr="007B1352">
        <w:t>’;</w:t>
      </w:r>
    </w:p>
    <w:p w14:paraId="2EAF66BD" w14:textId="77777777" w:rsidR="00C16484" w:rsidRPr="007B1352" w:rsidRDefault="00C16484" w:rsidP="00783A3B">
      <w:pPr>
        <w:pStyle w:val="Point1letter"/>
        <w:rPr>
          <w:noProof/>
        </w:rPr>
      </w:pPr>
      <w:r w:rsidRPr="007B1352">
        <w:t>scriostar mír 2;</w:t>
      </w:r>
    </w:p>
    <w:p w14:paraId="1A052A8B" w14:textId="77777777" w:rsidR="00C16484" w:rsidRPr="007B1352" w:rsidRDefault="00C16484" w:rsidP="00783A3B">
      <w:pPr>
        <w:pStyle w:val="Point0number"/>
        <w:rPr>
          <w:noProof/>
        </w:rPr>
      </w:pPr>
      <w:r w:rsidRPr="007B1352">
        <w:t>in Airteagal 3, cuirtear an méid seo a leanas in ionad na foclaíochta réamhráití:</w:t>
      </w:r>
    </w:p>
    <w:p w14:paraId="533DCDB8" w14:textId="77777777" w:rsidR="00C16484" w:rsidRPr="007B1352" w:rsidRDefault="00C16484" w:rsidP="00783A3B">
      <w:pPr>
        <w:rPr>
          <w:noProof/>
        </w:rPr>
      </w:pPr>
      <w:r w:rsidRPr="007B1352">
        <w:t>‘I gcás grúpaí atá faoi réir ICDI/MREL ar bhonn comhdhlúite de bhun Airteagal 45e, Airteagal 45f(1), an tríú fomhír agus an ceathrú fomhír, agus Airteagal 45f(4), pointe (b), de Threoir 2014/59/AE, tíolacfaidh na húdaráis seo a leanas an fhaisnéis dá dtagraítear in Airteagail 1 agus 2 ar an mbealach seo a leanas:’;</w:t>
      </w:r>
    </w:p>
    <w:p w14:paraId="0509E0AB" w14:textId="77777777" w:rsidR="00C16484" w:rsidRPr="007B1352" w:rsidRDefault="00C16484" w:rsidP="00783A3B">
      <w:pPr>
        <w:pStyle w:val="Point0number"/>
        <w:rPr>
          <w:noProof/>
        </w:rPr>
      </w:pPr>
      <w:r w:rsidRPr="007B1352">
        <w:t>cuirtear an méid seo a leanas in ionad Airteagal 4:</w:t>
      </w:r>
    </w:p>
    <w:p w14:paraId="66FCA4E9" w14:textId="77777777" w:rsidR="00C16484" w:rsidRPr="007B1352" w:rsidRDefault="00D47F83" w:rsidP="00783A3B">
      <w:pPr>
        <w:pStyle w:val="Titrearticle"/>
        <w:rPr>
          <w:i w:val="0"/>
          <w:iCs/>
          <w:noProof/>
        </w:rPr>
      </w:pPr>
      <w:r w:rsidRPr="007B1352">
        <w:rPr>
          <w:i w:val="0"/>
        </w:rPr>
        <w:t>‘</w:t>
      </w:r>
      <w:r w:rsidRPr="007B1352">
        <w:t xml:space="preserve">Airteagal 4 </w:t>
      </w:r>
      <w:r w:rsidRPr="007B1352">
        <w:br/>
      </w:r>
      <w:r w:rsidRPr="007B1352">
        <w:rPr>
          <w:b/>
          <w:i w:val="0"/>
        </w:rPr>
        <w:t>Tréimhsí tuairisciúcháin agus dátaí tíolactha</w:t>
      </w:r>
    </w:p>
    <w:p w14:paraId="054F5F9B" w14:textId="77777777" w:rsidR="00C16484" w:rsidRPr="007B1352" w:rsidRDefault="00C16484" w:rsidP="00783A3B">
      <w:pPr>
        <w:rPr>
          <w:noProof/>
        </w:rPr>
      </w:pPr>
      <w:r w:rsidRPr="007B1352">
        <w:t>Déanfaidh na húdaráis réitigh an fhaisnéis dá dtagraítear in Airteagail 1 agus 2 a tharchur mar a leanas:</w:t>
      </w:r>
    </w:p>
    <w:p w14:paraId="5113726F" w14:textId="77777777" w:rsidR="00C16484" w:rsidRPr="007B1352" w:rsidRDefault="00C16484" w:rsidP="00783A3B">
      <w:pPr>
        <w:pStyle w:val="Point1letter"/>
        <w:rPr>
          <w:noProof/>
        </w:rPr>
      </w:pPr>
      <w:r w:rsidRPr="007B1352">
        <w:t>i gcás an ICDI/MREL is infheidhme ón 30 Meitheamh, faoin 16 Meán Fómhair den bhliain sin;</w:t>
      </w:r>
    </w:p>
    <w:p w14:paraId="7219DDD8" w14:textId="77777777" w:rsidR="00C16484" w:rsidRPr="007B1352" w:rsidRDefault="00C16484" w:rsidP="00783A3B">
      <w:pPr>
        <w:pStyle w:val="Point1letter"/>
        <w:rPr>
          <w:noProof/>
        </w:rPr>
      </w:pPr>
      <w:r w:rsidRPr="007B1352">
        <w:t>i gcás an ICDI/MREL is infheidhme ón 31 Nollaig, faoin 18 Márta den bhliain dár gcionn.’;</w:t>
      </w:r>
    </w:p>
    <w:p w14:paraId="65609948" w14:textId="77777777" w:rsidR="00C16484" w:rsidRPr="007B1352" w:rsidRDefault="00C16484" w:rsidP="00783A3B">
      <w:pPr>
        <w:pStyle w:val="Point0number"/>
        <w:rPr>
          <w:noProof/>
        </w:rPr>
      </w:pPr>
      <w:r w:rsidRPr="007B1352">
        <w:t>cuirtear an téacs in Iarscríbhinn I a ghabhann leis an Rialachán seo in ionad Iarscríbhinn I;</w:t>
      </w:r>
    </w:p>
    <w:p w14:paraId="45E55C10" w14:textId="77777777" w:rsidR="00C16484" w:rsidRPr="007B1352" w:rsidRDefault="00C16484" w:rsidP="00783A3B">
      <w:pPr>
        <w:pStyle w:val="Point0number"/>
        <w:rPr>
          <w:noProof/>
        </w:rPr>
      </w:pPr>
      <w:r w:rsidRPr="007B1352">
        <w:t>cuirtear an téacs in Iarscríbhinn II a ghabhann leis an Rialachán seo in ionad Iarscríbhinn II.</w:t>
      </w:r>
    </w:p>
    <w:p w14:paraId="0B09A3CA" w14:textId="77777777" w:rsidR="00C16484" w:rsidRPr="007B1352" w:rsidRDefault="00C16484">
      <w:pPr>
        <w:pStyle w:val="Titrearticle"/>
      </w:pPr>
      <w:r w:rsidRPr="007B1352">
        <w:t>Airteagal 2</w:t>
      </w:r>
    </w:p>
    <w:p w14:paraId="0BDD24EC" w14:textId="77777777" w:rsidR="00C16484" w:rsidRPr="007B1352" w:rsidRDefault="00C16484" w:rsidP="00830365">
      <w:r w:rsidRPr="007B1352">
        <w:t xml:space="preserve">Tiocfaidh an Rialachán seo i bhfeidhm an </w:t>
      </w:r>
      <w:r w:rsidRPr="007B1352">
        <w:rPr>
          <w:color w:val="000000"/>
        </w:rPr>
        <w:t xml:space="preserve">fichiú lá </w:t>
      </w:r>
      <w:r w:rsidRPr="007B1352">
        <w:t xml:space="preserve">tar éis lá a fhoilsithe in </w:t>
      </w:r>
      <w:r w:rsidRPr="007B1352">
        <w:rPr>
          <w:i/>
        </w:rPr>
        <w:t>Iris Oifigiúil an Aontais Eorpaigh</w:t>
      </w:r>
      <w:r w:rsidRPr="007B1352">
        <w:t>.</w:t>
      </w:r>
    </w:p>
    <w:p w14:paraId="3DDE2F7A" w14:textId="77777777" w:rsidR="00C16484" w:rsidRPr="007B1352" w:rsidRDefault="00C16484">
      <w:pPr>
        <w:pStyle w:val="Applicationdirecte"/>
      </w:pPr>
      <w:r w:rsidRPr="007B1352">
        <w:t>Beidh an Rialachán seo ina cheangal go huile agus go hiomlán agus beidh sé infheidhme go díreach i ngach Ballstát.</w:t>
      </w:r>
    </w:p>
    <w:p w14:paraId="0FD02893" w14:textId="07D9C23C" w:rsidR="00C16484" w:rsidRPr="007B1352" w:rsidRDefault="007B1352" w:rsidP="007B1352">
      <w:pPr>
        <w:pStyle w:val="Fait"/>
      </w:pPr>
      <w:r w:rsidRPr="007B1352">
        <w:t>Arna dhéanamh sa Bhruiséil,</w:t>
      </w:r>
    </w:p>
    <w:p w14:paraId="3FB14D4B" w14:textId="77777777" w:rsidR="00C16484" w:rsidRPr="007B1352" w:rsidRDefault="00C16484" w:rsidP="00C16484">
      <w:pPr>
        <w:pStyle w:val="Institutionquisigne"/>
      </w:pPr>
      <w:r w:rsidRPr="007B1352">
        <w:tab/>
        <w:t>Thar ceann an Choimisiúin</w:t>
      </w:r>
    </w:p>
    <w:p w14:paraId="0FEF1170" w14:textId="0CD182DE" w:rsidR="00C16484" w:rsidRPr="007B1352" w:rsidRDefault="00C16484" w:rsidP="00C16484">
      <w:pPr>
        <w:pStyle w:val="Personnequisigne"/>
      </w:pPr>
      <w:r w:rsidRPr="007B1352">
        <w:tab/>
        <w:t xml:space="preserve">An tUachtarán </w:t>
      </w:r>
      <w:r w:rsidRPr="007B1352">
        <w:br/>
      </w:r>
      <w:r w:rsidRPr="007B1352">
        <w:tab/>
        <w:t xml:space="preserve">Ursula von der Leyen </w:t>
      </w:r>
      <w:r w:rsidRPr="007B1352">
        <w:br/>
      </w:r>
      <w:r w:rsidRPr="007B1352">
        <w:tab/>
      </w:r>
    </w:p>
    <w:sectPr w:rsidR="00C16484" w:rsidRPr="007B1352" w:rsidSect="00B15D9F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D8F0" w14:textId="77777777" w:rsidR="00F07F26" w:rsidRDefault="00F07F26" w:rsidP="00C16484">
      <w:pPr>
        <w:spacing w:before="0" w:after="0"/>
      </w:pPr>
      <w:r>
        <w:separator/>
      </w:r>
    </w:p>
  </w:endnote>
  <w:endnote w:type="continuationSeparator" w:id="0">
    <w:p w14:paraId="61DF8EAB" w14:textId="77777777" w:rsidR="00F07F26" w:rsidRDefault="00F07F26" w:rsidP="00C16484">
      <w:pPr>
        <w:spacing w:before="0" w:after="0"/>
      </w:pPr>
      <w:r>
        <w:continuationSeparator/>
      </w:r>
    </w:p>
  </w:endnote>
  <w:endnote w:type="continuationNotice" w:id="1">
    <w:p w14:paraId="04F6DC9C" w14:textId="77777777" w:rsidR="00F07F26" w:rsidRDefault="00F07F2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BB58" w14:textId="3234249E" w:rsidR="007B1352" w:rsidRPr="00B15D9F" w:rsidRDefault="00B15D9F" w:rsidP="00B15D9F">
    <w:pPr>
      <w:pStyle w:val="Footer"/>
      <w:rPr>
        <w:rFonts w:ascii="Arial" w:hAnsi="Arial" w:cs="Arial"/>
        <w:b/>
        <w:sz w:val="48"/>
      </w:rPr>
    </w:pPr>
    <w:r w:rsidRPr="00B15D9F">
      <w:rPr>
        <w:rFonts w:ascii="Arial" w:hAnsi="Arial" w:cs="Arial"/>
        <w:b/>
        <w:sz w:val="48"/>
      </w:rPr>
      <w:t>GA</w:t>
    </w:r>
    <w:r w:rsidRPr="00B15D9F">
      <w:rPr>
        <w:rFonts w:ascii="Arial" w:hAnsi="Arial" w:cs="Arial"/>
        <w:b/>
        <w:sz w:val="48"/>
      </w:rPr>
      <w:tab/>
    </w:r>
    <w:r w:rsidRPr="00B15D9F">
      <w:rPr>
        <w:rFonts w:ascii="Arial" w:hAnsi="Arial" w:cs="Arial"/>
        <w:b/>
        <w:sz w:val="48"/>
      </w:rPr>
      <w:tab/>
    </w:r>
    <w:r w:rsidRPr="00B15D9F">
      <w:tab/>
    </w:r>
    <w:r w:rsidRPr="00B15D9F">
      <w:rPr>
        <w:rFonts w:ascii="Arial" w:hAnsi="Arial" w:cs="Arial"/>
        <w:b/>
        <w:sz w:val="48"/>
      </w:rPr>
      <w:t>GA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94A3" w14:textId="71D89E5D" w:rsidR="007B1352" w:rsidRPr="00B15D9F" w:rsidRDefault="00B15D9F" w:rsidP="00B15D9F">
    <w:pPr>
      <w:pStyle w:val="Footer"/>
      <w:rPr>
        <w:rFonts w:ascii="Arial" w:hAnsi="Arial" w:cs="Arial"/>
        <w:b/>
        <w:sz w:val="48"/>
      </w:rPr>
    </w:pPr>
    <w:r w:rsidRPr="00B15D9F">
      <w:rPr>
        <w:rFonts w:ascii="Arial" w:hAnsi="Arial" w:cs="Arial"/>
        <w:b/>
        <w:sz w:val="48"/>
      </w:rPr>
      <w:t>GA</w:t>
    </w:r>
    <w:r w:rsidRPr="00B15D9F">
      <w:rPr>
        <w:rFonts w:ascii="Arial" w:hAnsi="Arial" w:cs="Arial"/>
        <w:b/>
        <w:sz w:val="48"/>
      </w:rPr>
      <w:tab/>
    </w:r>
    <w:r w:rsidRPr="00B15D9F">
      <w:rPr>
        <w:rFonts w:ascii="Arial" w:hAnsi="Arial" w:cs="Arial"/>
        <w:b/>
        <w:sz w:val="48"/>
      </w:rPr>
      <w:tab/>
    </w:r>
    <w:r w:rsidRPr="00B15D9F">
      <w:tab/>
    </w:r>
    <w:r w:rsidRPr="00B15D9F">
      <w:rPr>
        <w:rFonts w:ascii="Arial" w:hAnsi="Arial" w:cs="Arial"/>
        <w:b/>
        <w:sz w:val="48"/>
      </w:rPr>
      <w:t>GA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4473" w14:textId="77777777" w:rsidR="00B15D9F" w:rsidRPr="00B15D9F" w:rsidRDefault="00B15D9F" w:rsidP="00B15D9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2728" w14:textId="77777777" w:rsidR="000C320E" w:rsidRPr="00DC5E29" w:rsidRDefault="000C320E" w:rsidP="00DC5E29">
    <w:pPr>
      <w:pStyle w:val="Footer"/>
      <w:rPr>
        <w:rFonts w:ascii="Arial" w:hAnsi="Arial" w:cs="Arial"/>
        <w:b/>
        <w:sz w:val="4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FB14" w14:textId="239DC76F" w:rsidR="00B15D9F" w:rsidRPr="00B15D9F" w:rsidRDefault="00B15D9F" w:rsidP="00B15D9F">
    <w:pPr>
      <w:pStyle w:val="Footer"/>
      <w:rPr>
        <w:rFonts w:ascii="Arial" w:hAnsi="Arial" w:cs="Arial"/>
        <w:b/>
        <w:sz w:val="48"/>
      </w:rPr>
    </w:pPr>
    <w:r w:rsidRPr="00B15D9F">
      <w:rPr>
        <w:rFonts w:ascii="Arial" w:hAnsi="Arial" w:cs="Arial"/>
        <w:b/>
        <w:sz w:val="48"/>
      </w:rPr>
      <w:t>GA</w:t>
    </w:r>
    <w:r w:rsidRPr="00B15D9F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B15D9F">
      <w:tab/>
    </w:r>
    <w:r w:rsidRPr="00B15D9F">
      <w:rPr>
        <w:rFonts w:ascii="Arial" w:hAnsi="Arial" w:cs="Arial"/>
        <w:b/>
        <w:sz w:val="48"/>
      </w:rPr>
      <w:t>GA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2C19" w14:textId="77777777" w:rsidR="000C320E" w:rsidRDefault="000C320E" w:rsidP="00B15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4942" w14:textId="77777777" w:rsidR="00F07F26" w:rsidRDefault="00F07F26" w:rsidP="00C16484">
      <w:pPr>
        <w:spacing w:before="0" w:after="0"/>
      </w:pPr>
      <w:r>
        <w:separator/>
      </w:r>
    </w:p>
  </w:footnote>
  <w:footnote w:type="continuationSeparator" w:id="0">
    <w:p w14:paraId="298144EA" w14:textId="77777777" w:rsidR="00F07F26" w:rsidRDefault="00F07F26" w:rsidP="00C16484">
      <w:pPr>
        <w:spacing w:before="0" w:after="0"/>
      </w:pPr>
      <w:r>
        <w:continuationSeparator/>
      </w:r>
    </w:p>
  </w:footnote>
  <w:footnote w:type="continuationNotice" w:id="1">
    <w:p w14:paraId="57F8940A" w14:textId="77777777" w:rsidR="00F07F26" w:rsidRDefault="00F07F26">
      <w:pPr>
        <w:spacing w:before="0" w:after="0"/>
      </w:pPr>
    </w:p>
  </w:footnote>
  <w:footnote w:id="2">
    <w:p w14:paraId="33763137" w14:textId="77777777" w:rsidR="00C16484" w:rsidRPr="007B1352" w:rsidRDefault="00C16484" w:rsidP="00C16484">
      <w:pPr>
        <w:pStyle w:val="FootnoteText"/>
      </w:pPr>
      <w:r w:rsidRPr="007B1352">
        <w:rPr>
          <w:rStyle w:val="FootnoteReference"/>
        </w:rPr>
        <w:footnoteRef/>
      </w:r>
      <w:r w:rsidRPr="007B1352">
        <w:tab/>
        <w:t>IO L 173, 12.6.2014, lch. 190, ELI: </w:t>
      </w:r>
      <w:hyperlink r:id="rId1" w:tooltip="Tabharfaidh seo rochtain ar an doiciméad seo trí URI an ELI a ghabhann leis." w:history="1">
        <w:r w:rsidRPr="007B1352">
          <w:rPr>
            <w:rStyle w:val="Hyperlink"/>
            <w:rFonts w:ascii="Times New Roman" w:hAnsi="Times New Roman"/>
          </w:rPr>
          <w:t>http://data.europa.eu/eli/dir/2014/59/oj</w:t>
        </w:r>
      </w:hyperlink>
      <w:r w:rsidRPr="007B1352">
        <w:t xml:space="preserve">. </w:t>
      </w:r>
    </w:p>
  </w:footnote>
  <w:footnote w:id="3">
    <w:p w14:paraId="584AEAAA" w14:textId="78F88551" w:rsidR="003428AE" w:rsidRPr="007B1352" w:rsidRDefault="003428AE">
      <w:pPr>
        <w:pStyle w:val="FootnoteText"/>
      </w:pPr>
      <w:r w:rsidRPr="007B1352">
        <w:rPr>
          <w:rStyle w:val="FootnoteReference"/>
        </w:rPr>
        <w:footnoteRef/>
      </w:r>
      <w:r w:rsidRPr="007B1352">
        <w:tab/>
        <w:t xml:space="preserve">Treoir (AE) 2024/1174 ó Pharlaimint na hEorpa agus ón gComhairle an 11 Aibreán 2024 lena leasaítear Treoir 2014/59/AE agus Rialachán (AE) Uimh. 806/2014 a mhéid a bhaineann le gnéithe áirithe den íoscheanglas le haghaidh cistí dílse agus dliteanais incháilithe (IO L, 2024/1174, 22.4.2024, ELI: </w:t>
      </w:r>
      <w:hyperlink r:id="rId2" w:history="1">
        <w:r w:rsidRPr="007B1352">
          <w:rPr>
            <w:rStyle w:val="Hyperlink"/>
            <w:rFonts w:ascii="Times New Roman" w:hAnsi="Times New Roman"/>
          </w:rPr>
          <w:t>http://data.europa.eu/eli/dir/2024/1174/oj</w:t>
        </w:r>
      </w:hyperlink>
      <w:r w:rsidRPr="007B1352">
        <w:t xml:space="preserve">). </w:t>
      </w:r>
    </w:p>
  </w:footnote>
  <w:footnote w:id="4">
    <w:p w14:paraId="4D1953DF" w14:textId="607C22C8" w:rsidR="001F4496" w:rsidRPr="007B1352" w:rsidRDefault="001F4496">
      <w:pPr>
        <w:pStyle w:val="FootnoteText"/>
      </w:pPr>
      <w:r w:rsidRPr="007B1352">
        <w:rPr>
          <w:rStyle w:val="FootnoteReference"/>
        </w:rPr>
        <w:footnoteRef/>
      </w:r>
      <w:r w:rsidRPr="007B1352">
        <w:tab/>
        <w:t xml:space="preserve">Rialachán Cur Chun Feidhme (AE) 2021/622 ón gCoimisiún an 15 Aibreán 2021 lena leagtar síos caighdeáin theicniúla cur chun feidhme le haghaidh chur i bhfeidhm Threoir 2014/59/AE ó Pharlaimint na hEorpa agus ón gComhairle maidir le teimpléid aonfhoirmeacha don tuairisciú, treoracha agus modheolaíocht chun tuairisciú a dhéanamh ar an íoscheanglas maidir le cistí dílse agus dliteanais incháilithe a thuairisciú (IO L 131, 16.4.2021, lch. 123-136, ELI: </w:t>
      </w:r>
      <w:hyperlink r:id="rId3" w:history="1">
        <w:r w:rsidRPr="007B1352">
          <w:rPr>
            <w:rStyle w:val="Hyperlink"/>
            <w:rFonts w:ascii="Times New Roman" w:hAnsi="Times New Roman"/>
          </w:rPr>
          <w:t>http://data.europa.eu/eli/reg_impl/2021/622/oj</w:t>
        </w:r>
      </w:hyperlink>
      <w:r w:rsidRPr="007B1352">
        <w:t>).</w:t>
      </w:r>
    </w:p>
  </w:footnote>
  <w:footnote w:id="5">
    <w:p w14:paraId="5FB3833A" w14:textId="77777777" w:rsidR="000B5B60" w:rsidRPr="007B1352" w:rsidRDefault="000B5B60">
      <w:pPr>
        <w:pStyle w:val="FootnoteText"/>
      </w:pPr>
      <w:r w:rsidRPr="007B1352">
        <w:rPr>
          <w:rStyle w:val="FootnoteReference"/>
        </w:rPr>
        <w:footnoteRef/>
      </w:r>
      <w:r w:rsidRPr="007B1352">
        <w:tab/>
        <w:t xml:space="preserve">Rialachán Cur Chun Feidhme (AE) 2021/763 ón gCoimisiún an 23 Aibreán 2021 lena leagtar síos caighdeáin theicniúla cur chun feidhme maidir le cur chun feidhme Rialachán (AE) Uimh. 575/2013 ó Pharlaimint na hEorpa agus ón gComhairle agus Treoir 2014/59/AE ó Pharlaimint na hEorpa agus ón gComhairle a mhéid a bhaineann le tuairisciú maoirseachta agus nochtadh poiblí an íoscheanglais le haghaidh cistí dílse agus dliteanais incháilithe (IO L 168, 12.5.2021, ELI: </w:t>
      </w:r>
      <w:hyperlink r:id="rId4" w:history="1">
        <w:r w:rsidRPr="007B1352">
          <w:rPr>
            <w:rStyle w:val="Hyperlink"/>
            <w:rFonts w:ascii="Times New Roman" w:hAnsi="Times New Roman"/>
          </w:rPr>
          <w:t>http://data.europa.eu/eli/reg_impl/2021/763/oj</w:t>
        </w:r>
      </w:hyperlink>
      <w:r w:rsidRPr="007B1352">
        <w:t>).</w:t>
      </w:r>
    </w:p>
  </w:footnote>
  <w:footnote w:id="6">
    <w:p w14:paraId="04BE3385" w14:textId="2AA9C8A1" w:rsidR="00401F3A" w:rsidRPr="007B1352" w:rsidRDefault="00401F3A" w:rsidP="00F35BD7">
      <w:pPr>
        <w:pStyle w:val="FootnoteText"/>
      </w:pPr>
      <w:r w:rsidRPr="007B1352">
        <w:rPr>
          <w:rStyle w:val="FootnoteReference"/>
        </w:rPr>
        <w:footnoteRef/>
      </w:r>
      <w:r w:rsidRPr="007B1352">
        <w:tab/>
        <w:t>Rialachán (AE) Uimh. 1093/2010 ó Pharlaimint na hEorpa agus ón gComhairle an 24 Samhain 2010 lena mbunaítear Údarás Maoirseachta Eorpach (An tÚdarás Baincéireachta Eorpach), lena leasaítear Cinneadh Uimh. 716/2009/CE agus lena</w:t>
      </w:r>
      <w:r w:rsidR="00BC0CF3" w:rsidRPr="007B1352">
        <w:t xml:space="preserve"> n</w:t>
      </w:r>
      <w:r w:rsidR="00BC0CF3" w:rsidRPr="007B1352">
        <w:noBreakHyphen/>
      </w:r>
      <w:r w:rsidRPr="007B1352">
        <w:t>aisghairtear Cinneadh 2009/78/CE ón gCoimisiún (IO L 331, 15.12.2010, lch. 12, ELI: </w:t>
      </w:r>
      <w:hyperlink r:id="rId5" w:tooltip="Tabharfaidh seo rochtain ar an doiciméad seo trí URI an ELI a ghabhann leis." w:history="1">
        <w:r w:rsidRPr="007B1352">
          <w:rPr>
            <w:rStyle w:val="Hyperlink"/>
            <w:rFonts w:ascii="Times New Roman" w:hAnsi="Times New Roman"/>
          </w:rPr>
          <w:t>http://data.europa.eu/eli/reg/2010/1093/oj</w:t>
        </w:r>
      </w:hyperlink>
      <w:r w:rsidRPr="007B1352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E4AD" w14:textId="77777777" w:rsidR="00B15D9F" w:rsidRPr="00B15D9F" w:rsidRDefault="00B15D9F" w:rsidP="00B15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9385" w14:textId="77777777" w:rsidR="00B15D9F" w:rsidRPr="00B15D9F" w:rsidRDefault="00B15D9F" w:rsidP="00B15D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3819" w14:textId="77777777" w:rsidR="00B15D9F" w:rsidRPr="00B15D9F" w:rsidRDefault="00B15D9F" w:rsidP="00B15D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C1D2" w14:textId="77777777" w:rsidR="000C320E" w:rsidRDefault="000C32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10A3" w14:textId="77777777" w:rsidR="000C320E" w:rsidRDefault="000C3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1B8BE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E568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CAC290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B7A92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25511920">
    <w:abstractNumId w:val="3"/>
  </w:num>
  <w:num w:numId="2" w16cid:durableId="784347441">
    <w:abstractNumId w:val="18"/>
    <w:lvlOverride w:ilvl="0">
      <w:startOverride w:val="1"/>
    </w:lvlOverride>
  </w:num>
  <w:num w:numId="3" w16cid:durableId="2119445392">
    <w:abstractNumId w:val="2"/>
  </w:num>
  <w:num w:numId="4" w16cid:durableId="1881360427">
    <w:abstractNumId w:val="1"/>
  </w:num>
  <w:num w:numId="5" w16cid:durableId="309334442">
    <w:abstractNumId w:val="0"/>
  </w:num>
  <w:num w:numId="6" w16cid:durableId="86109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9693441">
    <w:abstractNumId w:val="15"/>
  </w:num>
  <w:num w:numId="8" w16cid:durableId="1693998065">
    <w:abstractNumId w:val="8"/>
  </w:num>
  <w:num w:numId="9" w16cid:durableId="788817884">
    <w:abstractNumId w:val="17"/>
  </w:num>
  <w:num w:numId="10" w16cid:durableId="1535464848">
    <w:abstractNumId w:val="7"/>
  </w:num>
  <w:num w:numId="11" w16cid:durableId="639657071">
    <w:abstractNumId w:val="9"/>
  </w:num>
  <w:num w:numId="12" w16cid:durableId="361050661">
    <w:abstractNumId w:val="10"/>
  </w:num>
  <w:num w:numId="13" w16cid:durableId="472790552">
    <w:abstractNumId w:val="5"/>
  </w:num>
  <w:num w:numId="14" w16cid:durableId="384646725">
    <w:abstractNumId w:val="16"/>
  </w:num>
  <w:num w:numId="15" w16cid:durableId="2031682509">
    <w:abstractNumId w:val="4"/>
  </w:num>
  <w:num w:numId="16" w16cid:durableId="150604668">
    <w:abstractNumId w:val="11"/>
  </w:num>
  <w:num w:numId="17" w16cid:durableId="472332852">
    <w:abstractNumId w:val="13"/>
  </w:num>
  <w:num w:numId="18" w16cid:durableId="1298296966">
    <w:abstractNumId w:val="14"/>
  </w:num>
  <w:num w:numId="19" w16cid:durableId="1306230484">
    <w:abstractNumId w:val="6"/>
  </w:num>
  <w:num w:numId="20" w16cid:durableId="24066917">
    <w:abstractNumId w:val="12"/>
  </w:num>
  <w:num w:numId="21" w16cid:durableId="485436588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QCDateTime" w:val="2026-02-02 12:21:42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484A0349-BCAE-421D-BF09-926429B3407E"/>
    <w:docVar w:name="LW_COVERPAGE_TYPE" w:val="1"/>
    <w:docVar w:name="LW_CreatedUtc" w:val="2025-09-04T16:00:38.0896335Z"/>
    <w:docVar w:name="LW_CROSSREFERENCE" w:val="&lt;UNUSED&gt;"/>
    <w:docVar w:name="LW_DATE.ADOPT.CP" w:val="an XXX"/>
    <w:docVar w:name="LW_DATE.ADOPT.CP_DATEFORMAT" w:val="an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An Bhruiséil,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éacs atá ábhartha maidir le LEE)"/>
    <w:docVar w:name="LW_LANGUE" w:val="GA"/>
    <w:docVar w:name="LW_LANGUESFAISANTFOI.CP" w:val="&lt;UNUSED&gt;"/>
    <w:docVar w:name="LW_LEVEL_OF_SENSITIVITY" w:val="Standard treatment"/>
    <w:docVar w:name="LW_NOM.INST" w:val="AN COIMISIÚN EORPACH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6) XXX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lena leasaítear na caighdeáin theicniúla cur chun feidhme a leagtar síos i Rialachán Cur Chun Feidhme (AE) 2021/622 a mhéid a bhaineann le minicíocht an tuairiscithe agus leis an bhfaisnéis atá le tuairisciú"/>
    <w:docVar w:name="LW_TYPE.DOC.CP" w:val="RIALACHÁN CUR CHUN FEIDHME (AE) .../... ÓN gCOIMISIÚN"/>
  </w:docVars>
  <w:rsids>
    <w:rsidRoot w:val="00C16484"/>
    <w:rsid w:val="00000BE0"/>
    <w:rsid w:val="00016399"/>
    <w:rsid w:val="000417C4"/>
    <w:rsid w:val="00045B9F"/>
    <w:rsid w:val="000625FB"/>
    <w:rsid w:val="00071455"/>
    <w:rsid w:val="00075947"/>
    <w:rsid w:val="000A663E"/>
    <w:rsid w:val="000B5B60"/>
    <w:rsid w:val="000B7515"/>
    <w:rsid w:val="000B7A7D"/>
    <w:rsid w:val="000C320E"/>
    <w:rsid w:val="000D3BC2"/>
    <w:rsid w:val="000E5499"/>
    <w:rsid w:val="00115188"/>
    <w:rsid w:val="001151E7"/>
    <w:rsid w:val="00125199"/>
    <w:rsid w:val="0013305B"/>
    <w:rsid w:val="00141EA1"/>
    <w:rsid w:val="00143ED4"/>
    <w:rsid w:val="00152894"/>
    <w:rsid w:val="0017762B"/>
    <w:rsid w:val="0018141D"/>
    <w:rsid w:val="001A25E7"/>
    <w:rsid w:val="001A6BDC"/>
    <w:rsid w:val="001E3098"/>
    <w:rsid w:val="001E39BF"/>
    <w:rsid w:val="001F2AC0"/>
    <w:rsid w:val="001F4496"/>
    <w:rsid w:val="001F6629"/>
    <w:rsid w:val="00214607"/>
    <w:rsid w:val="002259CF"/>
    <w:rsid w:val="002266B1"/>
    <w:rsid w:val="00235A60"/>
    <w:rsid w:val="00244085"/>
    <w:rsid w:val="00244C17"/>
    <w:rsid w:val="00244DFD"/>
    <w:rsid w:val="00246E59"/>
    <w:rsid w:val="00264589"/>
    <w:rsid w:val="0028250A"/>
    <w:rsid w:val="0029415E"/>
    <w:rsid w:val="002A43D8"/>
    <w:rsid w:val="002A753D"/>
    <w:rsid w:val="002B37B6"/>
    <w:rsid w:val="002D6B17"/>
    <w:rsid w:val="002F1710"/>
    <w:rsid w:val="0030490D"/>
    <w:rsid w:val="00313AC1"/>
    <w:rsid w:val="00325B37"/>
    <w:rsid w:val="00331377"/>
    <w:rsid w:val="003428AE"/>
    <w:rsid w:val="00353536"/>
    <w:rsid w:val="00364262"/>
    <w:rsid w:val="00373FC4"/>
    <w:rsid w:val="0038290C"/>
    <w:rsid w:val="003838B9"/>
    <w:rsid w:val="00396ACD"/>
    <w:rsid w:val="003B10ED"/>
    <w:rsid w:val="003E05B8"/>
    <w:rsid w:val="003E3FC7"/>
    <w:rsid w:val="003E7D8F"/>
    <w:rsid w:val="003F2A70"/>
    <w:rsid w:val="00401F3A"/>
    <w:rsid w:val="00406CBA"/>
    <w:rsid w:val="004138D9"/>
    <w:rsid w:val="004211F5"/>
    <w:rsid w:val="0042702A"/>
    <w:rsid w:val="00437AA5"/>
    <w:rsid w:val="004518ED"/>
    <w:rsid w:val="00485F6A"/>
    <w:rsid w:val="004918DE"/>
    <w:rsid w:val="00492396"/>
    <w:rsid w:val="004B4C38"/>
    <w:rsid w:val="004D7D54"/>
    <w:rsid w:val="004E19F9"/>
    <w:rsid w:val="004E763F"/>
    <w:rsid w:val="004F04FA"/>
    <w:rsid w:val="004F588A"/>
    <w:rsid w:val="004F6513"/>
    <w:rsid w:val="00506B49"/>
    <w:rsid w:val="00507FF2"/>
    <w:rsid w:val="00517205"/>
    <w:rsid w:val="0052508D"/>
    <w:rsid w:val="00534D3A"/>
    <w:rsid w:val="0054013D"/>
    <w:rsid w:val="00542487"/>
    <w:rsid w:val="00557EAF"/>
    <w:rsid w:val="00582810"/>
    <w:rsid w:val="0058422C"/>
    <w:rsid w:val="0058683E"/>
    <w:rsid w:val="005929F6"/>
    <w:rsid w:val="00593EEC"/>
    <w:rsid w:val="00595540"/>
    <w:rsid w:val="005A5382"/>
    <w:rsid w:val="005A55F3"/>
    <w:rsid w:val="005B5FA6"/>
    <w:rsid w:val="005C1F43"/>
    <w:rsid w:val="005D1478"/>
    <w:rsid w:val="005D2C73"/>
    <w:rsid w:val="005D6AA6"/>
    <w:rsid w:val="005E2634"/>
    <w:rsid w:val="005F2B9A"/>
    <w:rsid w:val="00603E01"/>
    <w:rsid w:val="0061453F"/>
    <w:rsid w:val="00642760"/>
    <w:rsid w:val="00643DEF"/>
    <w:rsid w:val="006575C5"/>
    <w:rsid w:val="006654AB"/>
    <w:rsid w:val="00667F1D"/>
    <w:rsid w:val="006700C7"/>
    <w:rsid w:val="00685D33"/>
    <w:rsid w:val="006D3FD5"/>
    <w:rsid w:val="006D6949"/>
    <w:rsid w:val="006F20E7"/>
    <w:rsid w:val="006F7EFE"/>
    <w:rsid w:val="007142D9"/>
    <w:rsid w:val="00752552"/>
    <w:rsid w:val="007638EF"/>
    <w:rsid w:val="00763F6E"/>
    <w:rsid w:val="00781585"/>
    <w:rsid w:val="00783A3B"/>
    <w:rsid w:val="007878CB"/>
    <w:rsid w:val="00787E7C"/>
    <w:rsid w:val="0079599D"/>
    <w:rsid w:val="007A7287"/>
    <w:rsid w:val="007B1352"/>
    <w:rsid w:val="007D0861"/>
    <w:rsid w:val="007D3D95"/>
    <w:rsid w:val="007E010B"/>
    <w:rsid w:val="007F5C7C"/>
    <w:rsid w:val="00801EB4"/>
    <w:rsid w:val="00802FC2"/>
    <w:rsid w:val="00817121"/>
    <w:rsid w:val="00830365"/>
    <w:rsid w:val="00833B73"/>
    <w:rsid w:val="00843817"/>
    <w:rsid w:val="008460B7"/>
    <w:rsid w:val="00847915"/>
    <w:rsid w:val="008601F7"/>
    <w:rsid w:val="00861270"/>
    <w:rsid w:val="00874305"/>
    <w:rsid w:val="00880A77"/>
    <w:rsid w:val="00897749"/>
    <w:rsid w:val="008A3F6C"/>
    <w:rsid w:val="008B07C8"/>
    <w:rsid w:val="008B3C68"/>
    <w:rsid w:val="008B6AF9"/>
    <w:rsid w:val="008D3EC5"/>
    <w:rsid w:val="008D4062"/>
    <w:rsid w:val="008E2694"/>
    <w:rsid w:val="008E2E76"/>
    <w:rsid w:val="008F234A"/>
    <w:rsid w:val="00902ADE"/>
    <w:rsid w:val="00910118"/>
    <w:rsid w:val="00917A1D"/>
    <w:rsid w:val="00931BC9"/>
    <w:rsid w:val="00940731"/>
    <w:rsid w:val="009430FB"/>
    <w:rsid w:val="00943538"/>
    <w:rsid w:val="009526D5"/>
    <w:rsid w:val="0095347B"/>
    <w:rsid w:val="00962953"/>
    <w:rsid w:val="00964D55"/>
    <w:rsid w:val="00980CC9"/>
    <w:rsid w:val="009957C5"/>
    <w:rsid w:val="00996AA8"/>
    <w:rsid w:val="009A4095"/>
    <w:rsid w:val="009B0295"/>
    <w:rsid w:val="009C1E02"/>
    <w:rsid w:val="009D2368"/>
    <w:rsid w:val="009D5F8B"/>
    <w:rsid w:val="009F3A7A"/>
    <w:rsid w:val="00A03DA8"/>
    <w:rsid w:val="00A05FAB"/>
    <w:rsid w:val="00A24E3D"/>
    <w:rsid w:val="00A37D2E"/>
    <w:rsid w:val="00A4162C"/>
    <w:rsid w:val="00A41677"/>
    <w:rsid w:val="00A42883"/>
    <w:rsid w:val="00A54A8C"/>
    <w:rsid w:val="00A564DC"/>
    <w:rsid w:val="00A565C7"/>
    <w:rsid w:val="00A719DF"/>
    <w:rsid w:val="00A7647B"/>
    <w:rsid w:val="00AA038B"/>
    <w:rsid w:val="00AB034D"/>
    <w:rsid w:val="00AC6B16"/>
    <w:rsid w:val="00AD5257"/>
    <w:rsid w:val="00AE4482"/>
    <w:rsid w:val="00B01072"/>
    <w:rsid w:val="00B02FF0"/>
    <w:rsid w:val="00B136EC"/>
    <w:rsid w:val="00B14B01"/>
    <w:rsid w:val="00B15D9F"/>
    <w:rsid w:val="00B43EBD"/>
    <w:rsid w:val="00B65FB3"/>
    <w:rsid w:val="00B66E09"/>
    <w:rsid w:val="00B91284"/>
    <w:rsid w:val="00B95D78"/>
    <w:rsid w:val="00B97308"/>
    <w:rsid w:val="00BB3BEC"/>
    <w:rsid w:val="00BC0CF3"/>
    <w:rsid w:val="00BD02BB"/>
    <w:rsid w:val="00BD3885"/>
    <w:rsid w:val="00BD66E4"/>
    <w:rsid w:val="00C059B6"/>
    <w:rsid w:val="00C10CA6"/>
    <w:rsid w:val="00C11798"/>
    <w:rsid w:val="00C16484"/>
    <w:rsid w:val="00C21AB2"/>
    <w:rsid w:val="00C27976"/>
    <w:rsid w:val="00C3731F"/>
    <w:rsid w:val="00C62388"/>
    <w:rsid w:val="00C63550"/>
    <w:rsid w:val="00C637B0"/>
    <w:rsid w:val="00C64CCC"/>
    <w:rsid w:val="00C87FB3"/>
    <w:rsid w:val="00C9384A"/>
    <w:rsid w:val="00C9629C"/>
    <w:rsid w:val="00C96395"/>
    <w:rsid w:val="00C96A56"/>
    <w:rsid w:val="00CA156D"/>
    <w:rsid w:val="00CA57DA"/>
    <w:rsid w:val="00CA7FE1"/>
    <w:rsid w:val="00CC58EB"/>
    <w:rsid w:val="00CE1382"/>
    <w:rsid w:val="00D02FAD"/>
    <w:rsid w:val="00D0530E"/>
    <w:rsid w:val="00D05DED"/>
    <w:rsid w:val="00D206AC"/>
    <w:rsid w:val="00D47F83"/>
    <w:rsid w:val="00D5454C"/>
    <w:rsid w:val="00D55CE9"/>
    <w:rsid w:val="00D564F7"/>
    <w:rsid w:val="00D72038"/>
    <w:rsid w:val="00D763BC"/>
    <w:rsid w:val="00D872A1"/>
    <w:rsid w:val="00D93F2F"/>
    <w:rsid w:val="00D966E8"/>
    <w:rsid w:val="00DB4B20"/>
    <w:rsid w:val="00DC3AD5"/>
    <w:rsid w:val="00DC5E29"/>
    <w:rsid w:val="00DD4285"/>
    <w:rsid w:val="00DF1FB9"/>
    <w:rsid w:val="00DF36A6"/>
    <w:rsid w:val="00E07235"/>
    <w:rsid w:val="00E23B80"/>
    <w:rsid w:val="00E25A5F"/>
    <w:rsid w:val="00E32BAC"/>
    <w:rsid w:val="00E33C9F"/>
    <w:rsid w:val="00E36D1F"/>
    <w:rsid w:val="00E42E7E"/>
    <w:rsid w:val="00E43152"/>
    <w:rsid w:val="00E50E5B"/>
    <w:rsid w:val="00E667BA"/>
    <w:rsid w:val="00E7044F"/>
    <w:rsid w:val="00E82B0B"/>
    <w:rsid w:val="00E873DD"/>
    <w:rsid w:val="00E932C3"/>
    <w:rsid w:val="00E979AB"/>
    <w:rsid w:val="00EA0D60"/>
    <w:rsid w:val="00EB3279"/>
    <w:rsid w:val="00EC332E"/>
    <w:rsid w:val="00EC39BC"/>
    <w:rsid w:val="00EE0749"/>
    <w:rsid w:val="00EE140B"/>
    <w:rsid w:val="00EE441C"/>
    <w:rsid w:val="00EE54B9"/>
    <w:rsid w:val="00F07F26"/>
    <w:rsid w:val="00F35BD7"/>
    <w:rsid w:val="00F36982"/>
    <w:rsid w:val="00F41DDB"/>
    <w:rsid w:val="00F629AC"/>
    <w:rsid w:val="00F9249D"/>
    <w:rsid w:val="00F95ED9"/>
    <w:rsid w:val="00FA0BAF"/>
    <w:rsid w:val="00FA382E"/>
    <w:rsid w:val="00FA715C"/>
    <w:rsid w:val="00FB22DB"/>
    <w:rsid w:val="00FC2396"/>
    <w:rsid w:val="00FC5252"/>
    <w:rsid w:val="00FD060F"/>
    <w:rsid w:val="00FD1723"/>
    <w:rsid w:val="00FD5032"/>
    <w:rsid w:val="00FE65CB"/>
    <w:rsid w:val="00F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8EC4F20"/>
  <w15:docId w15:val="{EDD646E4-8E0C-487A-842A-DA74770F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ga-IE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4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4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4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4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4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4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4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C16484"/>
    <w:pPr>
      <w:numPr>
        <w:numId w:val="1"/>
      </w:numPr>
      <w:tabs>
        <w:tab w:val="clear" w:pos="360"/>
      </w:tabs>
      <w:ind w:left="0" w:firstLine="0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rsid w:val="00C16484"/>
    <w:rPr>
      <w:rFonts w:asciiTheme="majorHAnsi" w:hAnsiTheme="majorHAnsi"/>
      <w:color w:val="F79646" w:themeColor="accent6"/>
      <w:u w:val="single"/>
    </w:rPr>
  </w:style>
  <w:style w:type="numbering" w:customStyle="1" w:styleId="LFO29">
    <w:name w:val="LFO29"/>
    <w:basedOn w:val="NoList"/>
    <w:rsid w:val="00C16484"/>
  </w:style>
  <w:style w:type="paragraph" w:styleId="ListBullet2">
    <w:name w:val="List Bullet 2"/>
    <w:basedOn w:val="Normal"/>
    <w:uiPriority w:val="99"/>
    <w:semiHidden/>
    <w:unhideWhenUsed/>
    <w:rsid w:val="00F9249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249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249D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3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ga-IE"/>
    </w:rPr>
  </w:style>
  <w:style w:type="paragraph" w:styleId="Revision">
    <w:name w:val="Revision"/>
    <w:hidden/>
    <w:uiPriority w:val="99"/>
    <w:semiHidden/>
    <w:rsid w:val="005929F6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FE1"/>
    <w:rPr>
      <w:rFonts w:ascii="Times New Roman" w:hAnsi="Times New Roman" w:cs="Times New Roman"/>
      <w:b/>
      <w:bCs/>
      <w:sz w:val="20"/>
      <w:szCs w:val="20"/>
      <w:lang w:val="ga-IE"/>
    </w:rPr>
  </w:style>
  <w:style w:type="paragraph" w:styleId="NormalWeb">
    <w:name w:val="Normal (Web)"/>
    <w:basedOn w:val="Normal"/>
    <w:uiPriority w:val="99"/>
    <w:semiHidden/>
    <w:unhideWhenUsed/>
    <w:rsid w:val="00373FC4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3F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ga-I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ga-I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ga-IE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ga-IE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ga-I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ga-IE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ga-IE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7"/>
      </w:numPr>
    </w:pPr>
  </w:style>
  <w:style w:type="paragraph" w:customStyle="1" w:styleId="Tiret1">
    <w:name w:val="Tiret 1"/>
    <w:basedOn w:val="Point1"/>
    <w:pPr>
      <w:numPr>
        <w:numId w:val="8"/>
      </w:numPr>
    </w:pPr>
  </w:style>
  <w:style w:type="paragraph" w:customStyle="1" w:styleId="Tiret2">
    <w:name w:val="Tiret 2"/>
    <w:basedOn w:val="Point2"/>
    <w:pPr>
      <w:numPr>
        <w:numId w:val="9"/>
      </w:numPr>
    </w:pPr>
  </w:style>
  <w:style w:type="paragraph" w:customStyle="1" w:styleId="Tiret3">
    <w:name w:val="Tiret 3"/>
    <w:basedOn w:val="Point3"/>
    <w:pPr>
      <w:numPr>
        <w:numId w:val="10"/>
      </w:numPr>
    </w:pPr>
  </w:style>
  <w:style w:type="paragraph" w:customStyle="1" w:styleId="Tiret4">
    <w:name w:val="Tiret 4"/>
    <w:basedOn w:val="Point4"/>
    <w:pPr>
      <w:numPr>
        <w:numId w:val="11"/>
      </w:numPr>
    </w:pPr>
  </w:style>
  <w:style w:type="paragraph" w:customStyle="1" w:styleId="Tiret5">
    <w:name w:val="Tiret 5"/>
    <w:basedOn w:val="Point5"/>
    <w:pPr>
      <w:numPr>
        <w:numId w:val="12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3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3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3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3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3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3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3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5"/>
      </w:numPr>
    </w:pPr>
  </w:style>
  <w:style w:type="paragraph" w:customStyle="1" w:styleId="Point1number">
    <w:name w:val="Point 1 (number)"/>
    <w:basedOn w:val="Normal"/>
    <w:pPr>
      <w:numPr>
        <w:ilvl w:val="2"/>
        <w:numId w:val="15"/>
      </w:numPr>
    </w:pPr>
  </w:style>
  <w:style w:type="paragraph" w:customStyle="1" w:styleId="Point2number">
    <w:name w:val="Point 2 (number)"/>
    <w:basedOn w:val="Normal"/>
    <w:pPr>
      <w:numPr>
        <w:ilvl w:val="4"/>
        <w:numId w:val="15"/>
      </w:numPr>
    </w:pPr>
  </w:style>
  <w:style w:type="paragraph" w:customStyle="1" w:styleId="Point3number">
    <w:name w:val="Point 3 (number)"/>
    <w:basedOn w:val="Normal"/>
    <w:pPr>
      <w:numPr>
        <w:ilvl w:val="6"/>
        <w:numId w:val="15"/>
      </w:numPr>
    </w:pPr>
  </w:style>
  <w:style w:type="paragraph" w:customStyle="1" w:styleId="Point0letter">
    <w:name w:val="Point 0 (letter)"/>
    <w:basedOn w:val="Normal"/>
    <w:pPr>
      <w:numPr>
        <w:ilvl w:val="1"/>
        <w:numId w:val="15"/>
      </w:numPr>
    </w:pPr>
  </w:style>
  <w:style w:type="paragraph" w:customStyle="1" w:styleId="Point1letter">
    <w:name w:val="Point 1 (letter)"/>
    <w:basedOn w:val="Normal"/>
    <w:pPr>
      <w:numPr>
        <w:ilvl w:val="3"/>
        <w:numId w:val="15"/>
      </w:numPr>
    </w:pPr>
  </w:style>
  <w:style w:type="paragraph" w:customStyle="1" w:styleId="Point2letter">
    <w:name w:val="Point 2 (letter)"/>
    <w:basedOn w:val="Normal"/>
    <w:pPr>
      <w:numPr>
        <w:ilvl w:val="5"/>
        <w:numId w:val="15"/>
      </w:numPr>
    </w:pPr>
  </w:style>
  <w:style w:type="paragraph" w:customStyle="1" w:styleId="Point3letter">
    <w:name w:val="Point 3 (letter)"/>
    <w:basedOn w:val="Normal"/>
    <w:pPr>
      <w:numPr>
        <w:ilvl w:val="7"/>
        <w:numId w:val="15"/>
      </w:numPr>
    </w:pPr>
  </w:style>
  <w:style w:type="paragraph" w:customStyle="1" w:styleId="Point4letter">
    <w:name w:val="Point 4 (letter)"/>
    <w:basedOn w:val="Normal"/>
    <w:pPr>
      <w:numPr>
        <w:ilvl w:val="8"/>
        <w:numId w:val="15"/>
      </w:numPr>
    </w:pPr>
  </w:style>
  <w:style w:type="paragraph" w:customStyle="1" w:styleId="Bullet0">
    <w:name w:val="Bullet 0"/>
    <w:basedOn w:val="Normal"/>
    <w:pPr>
      <w:numPr>
        <w:numId w:val="16"/>
      </w:numPr>
    </w:pPr>
  </w:style>
  <w:style w:type="paragraph" w:customStyle="1" w:styleId="Bullet1">
    <w:name w:val="Bullet 1"/>
    <w:basedOn w:val="Normal"/>
    <w:pPr>
      <w:numPr>
        <w:numId w:val="17"/>
      </w:numPr>
    </w:pPr>
  </w:style>
  <w:style w:type="paragraph" w:customStyle="1" w:styleId="Bullet2">
    <w:name w:val="Bullet 2"/>
    <w:basedOn w:val="Normal"/>
    <w:pPr>
      <w:numPr>
        <w:numId w:val="18"/>
      </w:numPr>
    </w:pPr>
  </w:style>
  <w:style w:type="paragraph" w:customStyle="1" w:styleId="Bullet3">
    <w:name w:val="Bullet 3"/>
    <w:basedOn w:val="Normal"/>
    <w:pPr>
      <w:numPr>
        <w:numId w:val="19"/>
      </w:numPr>
    </w:pPr>
  </w:style>
  <w:style w:type="paragraph" w:customStyle="1" w:styleId="Bullet4">
    <w:name w:val="Bullet 4"/>
    <w:basedOn w:val="Normal"/>
    <w:pPr>
      <w:numPr>
        <w:numId w:val="20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1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ata.europa.eu/eli/reg_impl/2021/622/oj" TargetMode="External"/><Relationship Id="rId2" Type="http://schemas.openxmlformats.org/officeDocument/2006/relationships/hyperlink" Target="http://data.europa.eu/eli/dir/2024/1174/oj" TargetMode="External"/><Relationship Id="rId1" Type="http://schemas.openxmlformats.org/officeDocument/2006/relationships/hyperlink" Target="http://data.europa.eu/eli/dir/2014/59/oj" TargetMode="External"/><Relationship Id="rId5" Type="http://schemas.openxmlformats.org/officeDocument/2006/relationships/hyperlink" Target="http://data.europa.eu/eli/reg/2010/1093/oj" TargetMode="External"/><Relationship Id="rId4" Type="http://schemas.openxmlformats.org/officeDocument/2006/relationships/hyperlink" Target="http://data.europa.eu/eli/reg_impl/2021/763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BAD999D84E12C74482EA5120F5227F6F00217DECAAC21D6B43958DFE68658C192E" ma:contentTypeVersion="27" ma:contentTypeDescription="Create a new document in this library." ma:contentTypeScope="" ma:versionID="b8f93157aac40d6a7319473491243df0">
  <xsd:schema xmlns:xsd="http://www.w3.org/2001/XMLSchema" xmlns:xs="http://www.w3.org/2001/XMLSchema" xmlns:p="http://schemas.microsoft.com/office/2006/metadata/properties" xmlns:ns2="http://schemas.microsoft.com/sharepoint/v3/fields" xmlns:ns3="144c03d0-0f03-451f-9d46-5279004462a4" xmlns:ns4="f7bb8512-91eb-4bfd-be42-d6f021407e9a" targetNamespace="http://schemas.microsoft.com/office/2006/metadata/properties" ma:root="true" ma:fieldsID="c8488e7b63ff9a6a107f3024ce322df4" ns2:_="" ns3:_="" ns4:_="">
    <xsd:import namespace="http://schemas.microsoft.com/sharepoint/v3/fields"/>
    <xsd:import namespace="144c03d0-0f03-451f-9d46-5279004462a4"/>
    <xsd:import namespace="f7bb8512-91eb-4bfd-be42-d6f021407e9a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SharedWithUsers" minOccurs="0"/>
                <xsd:element ref="ns3:SharedWithDetails" minOccurs="0"/>
                <xsd:element ref="ns3:EC_Collab_Status" minOccurs="0"/>
                <xsd:element ref="ns4:MediaServiceSearchPropertie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c03d0-0f03-451f-9d46-5279004462a4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 ma:readOnly="false">
      <xsd:simpleType>
        <xsd:restriction base="dms:Text"/>
      </xsd:simpleType>
    </xsd:element>
    <xsd:element name="EC_Collab_DocumentLanguage" ma:index="14" ma:displayName="Language" ma:default="EN" ma:format="Dropdown" ma:internalName="EC_Collab_DocumentLanguage" ma:readOnly="fals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EC_Collab_Status" ma:index="17" nillable="true" ma:displayName="EC Status" ma:default="Not Started" ma:format="Dropdown" ma:internalName="EC_Collab_Status" ma:readOnly="false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TaxCatchAll" ma:index="21" nillable="true" ma:displayName="Taxonomy Catch All Column" ma:hidden="true" ma:list="{51513471-611d-4aba-ae12-e8d0e877eea6}" ma:internalName="TaxCatchAll" ma:showField="CatchAllData" ma:web="144c03d0-0f03-451f-9d46-527900446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b8512-91eb-4bfd-be42-d6f021407e9a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Reference xmlns="144c03d0-0f03-451f-9d46-5279004462a4" xsi:nil="true"/>
    <EC_Collab_Status xmlns="144c03d0-0f03-451f-9d46-5279004462a4">Not Started</EC_Collab_Status>
    <_Status xmlns="http://schemas.microsoft.com/sharepoint/v3/fields">Not Started</_Status>
    <EC_Collab_DocumentLanguage xmlns="144c03d0-0f03-451f-9d46-5279004462a4">EN</EC_Collab_DocumentLanguage>
    <lcf76f155ced4ddcb4097134ff3c332f xmlns="f7bb8512-91eb-4bfd-be42-d6f021407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144c03d0-0f03-451f-9d46-5279004462a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9B0AD-1837-436D-8ABC-63303F7E4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44c03d0-0f03-451f-9d46-5279004462a4"/>
    <ds:schemaRef ds:uri="f7bb8512-91eb-4bfd-be42-d6f02140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BD7AB-07EA-4D67-A4B9-4D33FF7955F7}">
  <ds:schemaRefs>
    <ds:schemaRef ds:uri="http://schemas.microsoft.com/office/2006/metadata/properties"/>
    <ds:schemaRef ds:uri="http://schemas.microsoft.com/office/infopath/2007/PartnerControls"/>
    <ds:schemaRef ds:uri="144c03d0-0f03-451f-9d46-5279004462a4"/>
    <ds:schemaRef ds:uri="http://schemas.microsoft.com/sharepoint/v3/fields"/>
    <ds:schemaRef ds:uri="f7bb8512-91eb-4bfd-be42-d6f021407e9a"/>
  </ds:schemaRefs>
</ds:datastoreItem>
</file>

<file path=customXml/itemProps3.xml><?xml version="1.0" encoding="utf-8"?>
<ds:datastoreItem xmlns:ds="http://schemas.openxmlformats.org/officeDocument/2006/customXml" ds:itemID="{F14AF581-33E3-408E-95CD-709B93E998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B74AB9-05CF-4E22-8B2B-667D523C41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47</TotalTime>
  <Pages>4</Pages>
  <Words>1038</Words>
  <Characters>5451</Characters>
  <Application>Microsoft Office Word</Application>
  <DocSecurity>0</DocSecurity>
  <Lines>104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http://data.europa.eu/eli/reg/2010/1093/oj</vt:lpwstr>
      </vt:variant>
      <vt:variant>
        <vt:lpwstr/>
      </vt:variant>
      <vt:variant>
        <vt:i4>5570645</vt:i4>
      </vt:variant>
      <vt:variant>
        <vt:i4>0</vt:i4>
      </vt:variant>
      <vt:variant>
        <vt:i4>0</vt:i4>
      </vt:variant>
      <vt:variant>
        <vt:i4>5</vt:i4>
      </vt:variant>
      <vt:variant>
        <vt:lpwstr>http://data.europa.eu/eli/dir/2014/59/oj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DQC</dc:creator>
  <cp:keywords/>
  <dc:description/>
  <cp:lastModifiedBy>COYLE Cliodhna (DGT)</cp:lastModifiedBy>
  <cp:revision>32</cp:revision>
  <dcterms:created xsi:type="dcterms:W3CDTF">2025-12-05T16:19:00Z</dcterms:created>
  <dcterms:modified xsi:type="dcterms:W3CDTF">2026-02-02T11:21:00Z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8.0.19.5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GrammarlyDocumentId">
    <vt:lpwstr>45e7adda-2841-4732-9409-07daf4dd17e0</vt:lpwstr>
  </property>
  <property fmtid="{D5CDD505-2E9C-101B-9397-08002B2CF9AE}" pid="11" name="ClassificationContentMarkingHeaderShapeIds">
    <vt:lpwstr>5bd6ffca,36e22233,44991716</vt:lpwstr>
  </property>
  <property fmtid="{D5CDD505-2E9C-101B-9397-08002B2CF9AE}" pid="12" name="ClassificationContentMarkingHeaderFontProps">
    <vt:lpwstr>#000000,12,Aptos</vt:lpwstr>
  </property>
  <property fmtid="{D5CDD505-2E9C-101B-9397-08002B2CF9AE}" pid="13" name="ClassificationContentMarkingHeaderText">
    <vt:lpwstr>EBA Regular Use</vt:lpwstr>
  </property>
  <property fmtid="{D5CDD505-2E9C-101B-9397-08002B2CF9AE}" pid="14" name="MSIP_Label_6bd9ddd1-4d20-43f6-abfa-fc3c07406f94_Enabled">
    <vt:lpwstr>true</vt:lpwstr>
  </property>
  <property fmtid="{D5CDD505-2E9C-101B-9397-08002B2CF9AE}" pid="15" name="MSIP_Label_6bd9ddd1-4d20-43f6-abfa-fc3c07406f94_SetDate">
    <vt:lpwstr>2025-09-22T07:42:43Z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iteId">
    <vt:lpwstr>b24c8b06-522c-46fe-9080-70926f8dddb1</vt:lpwstr>
  </property>
  <property fmtid="{D5CDD505-2E9C-101B-9397-08002B2CF9AE}" pid="19" name="MSIP_Label_6bd9ddd1-4d20-43f6-abfa-fc3c07406f94_ActionId">
    <vt:lpwstr>0c5e0d5a-b50c-4aad-8ac2-d3eb4c37e92e</vt:lpwstr>
  </property>
  <property fmtid="{D5CDD505-2E9C-101B-9397-08002B2CF9AE}" pid="20" name="MSIP_Label_6bd9ddd1-4d20-43f6-abfa-fc3c07406f94_ContentBits">
    <vt:lpwstr>0</vt:lpwstr>
  </property>
  <property fmtid="{D5CDD505-2E9C-101B-9397-08002B2CF9AE}" pid="21" name="MSIP_Label_6bd9ddd1-4d20-43f6-abfa-fc3c07406f94_Tag">
    <vt:lpwstr>10, 3, 0, 1</vt:lpwstr>
  </property>
  <property fmtid="{D5CDD505-2E9C-101B-9397-08002B2CF9AE}" pid="22" name="ContentTypeId">
    <vt:lpwstr>0x010100BAD999D84E12C74482EA5120F5227F6F00217DECAAC21D6B43958DFE68658C192E</vt:lpwstr>
  </property>
  <property fmtid="{D5CDD505-2E9C-101B-9397-08002B2CF9AE}" pid="23" name="MediaServiceImageTags">
    <vt:lpwstr/>
  </property>
  <property fmtid="{D5CDD505-2E9C-101B-9397-08002B2CF9AE}" pid="24" name="DQCStatus">
    <vt:lpwstr>Green (DQC version 03)</vt:lpwstr>
  </property>
</Properties>
</file>