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21645EF3" w:rsidR="004E763F" w:rsidRPr="00B507EB" w:rsidRDefault="00270790" w:rsidP="00B507EB">
      <w:pPr>
        <w:pStyle w:val="Pagedecouverture"/>
      </w:pPr>
      <w:r>
        <w:pict w14:anchorId="3083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44ABE24-0C88-4521-9271-9F2122994807" style="width:455.15pt;height:345.6pt">
            <v:imagedata r:id="rId11" o:title=""/>
          </v:shape>
        </w:pict>
      </w:r>
    </w:p>
    <w:p w14:paraId="1986B6EA" w14:textId="77777777" w:rsidR="00CE1382" w:rsidRPr="00B507EB" w:rsidRDefault="00CE1382" w:rsidP="003838B9">
      <w:pPr>
        <w:sectPr w:rsidR="00CE1382" w:rsidRPr="00B507EB" w:rsidSect="0086758A">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A9A598C" w:rsidR="00C16484" w:rsidRPr="00B507EB" w:rsidRDefault="00B507EB" w:rsidP="00B507EB">
      <w:pPr>
        <w:pStyle w:val="Typedudocument"/>
      </w:pPr>
      <w:r w:rsidRPr="00B507EB">
        <w:lastRenderedPageBreak/>
        <w:t>RÈGLEMENT D’EXÉCUTION (UE) …/... DE LA COMMISSION</w:t>
      </w:r>
    </w:p>
    <w:p w14:paraId="6819E66E" w14:textId="4B1847A6" w:rsidR="00C16484" w:rsidRPr="00B507EB" w:rsidRDefault="00B507EB" w:rsidP="00B507EB">
      <w:pPr>
        <w:pStyle w:val="Datedadoption"/>
      </w:pPr>
      <w:r w:rsidRPr="00B507EB">
        <w:t xml:space="preserve">du </w:t>
      </w:r>
      <w:r w:rsidRPr="00B507EB">
        <w:rPr>
          <w:rStyle w:val="Marker2"/>
        </w:rPr>
        <w:t>XXX</w:t>
      </w:r>
    </w:p>
    <w:p w14:paraId="44AA08D1" w14:textId="6C0617CF" w:rsidR="00C16484" w:rsidRPr="00B507EB" w:rsidRDefault="00B507EB" w:rsidP="00B507EB">
      <w:pPr>
        <w:pStyle w:val="Titreobjet"/>
      </w:pPr>
      <w:r w:rsidRPr="00B507EB">
        <w:t>modifiant les normes techniques d’exécution définies par le règlement d’exécution (UE) 2021/622 en ce qui concerne la fréquence des déclarations et les informations à faire figurer dans celles-ci</w:t>
      </w:r>
    </w:p>
    <w:p w14:paraId="4A210142" w14:textId="7BE01E0F" w:rsidR="00C16484" w:rsidRPr="00B507EB" w:rsidRDefault="00B507EB" w:rsidP="00B507EB">
      <w:pPr>
        <w:pStyle w:val="IntrtEEE"/>
      </w:pPr>
      <w:r w:rsidRPr="00B507EB">
        <w:t>(Texte présentant de l’intérêt pour l’EEE)</w:t>
      </w:r>
    </w:p>
    <w:p w14:paraId="6F3A17D1" w14:textId="77777777" w:rsidR="00C16484" w:rsidRPr="00B507EB" w:rsidRDefault="00C16484">
      <w:pPr>
        <w:pStyle w:val="Institutionquiagit"/>
      </w:pPr>
      <w:r w:rsidRPr="00B507EB">
        <w:t>LA COMMISSION EUROPÉENNE,</w:t>
      </w:r>
    </w:p>
    <w:p w14:paraId="22B09AC6" w14:textId="77777777" w:rsidR="00C16484" w:rsidRPr="00B507EB" w:rsidRDefault="00C16484">
      <w:r w:rsidRPr="00B507EB">
        <w:t>vu le traité sur le fonctionnement de l’Union européenne,</w:t>
      </w:r>
    </w:p>
    <w:p w14:paraId="6C2E5C7E" w14:textId="77777777" w:rsidR="00C16484" w:rsidRPr="00B507EB" w:rsidRDefault="00C16484">
      <w:r w:rsidRPr="00B507EB">
        <w:t>vu la directive 2014/59/UE du Parlement européen et du Conseil du 15 mai 2014 établissant un cadre pour le redressement et la résolution des établissements de crédit et des entreprises d’investissement et modifiant la directive 82/891/CEE du Conseil ainsi que les directives du Parlement européen et du Conseil 2001/24/CE, 2002/47/CE, 2004/25/CE, 2005/56/CE, 2007/36/CE, 2011/35/UE, 2012/30/UE et 2013/36/UE et les règlements du Parlement européen et du Conseil (UE) nº 1093/2010 et (UE) nº 648/2012</w:t>
      </w:r>
      <w:r w:rsidRPr="00B507EB">
        <w:rPr>
          <w:rStyle w:val="FootnoteReference"/>
        </w:rPr>
        <w:footnoteReference w:id="2"/>
      </w:r>
      <w:r w:rsidRPr="00B507EB">
        <w:t xml:space="preserve">, et notamment son article 45 </w:t>
      </w:r>
      <w:r w:rsidRPr="00B507EB">
        <w:rPr>
          <w:i/>
        </w:rPr>
        <w:t>undecies</w:t>
      </w:r>
      <w:r w:rsidRPr="00B507EB">
        <w:t>, paragraphe 2, troisième alinéa,</w:t>
      </w:r>
    </w:p>
    <w:p w14:paraId="499F4150" w14:textId="77777777" w:rsidR="00C16484" w:rsidRPr="00B507EB" w:rsidRDefault="00C16484">
      <w:r w:rsidRPr="00B507EB">
        <w:t>considérant ce qui suit:</w:t>
      </w:r>
    </w:p>
    <w:p w14:paraId="7D99777F" w14:textId="77777777" w:rsidR="003428AE" w:rsidRPr="00B507EB" w:rsidRDefault="003428AE" w:rsidP="004B4C38">
      <w:pPr>
        <w:pStyle w:val="Considrant"/>
        <w:numPr>
          <w:ilvl w:val="0"/>
          <w:numId w:val="2"/>
        </w:numPr>
        <w:rPr>
          <w:iCs/>
          <w:noProof/>
        </w:rPr>
      </w:pPr>
      <w:r w:rsidRPr="00B507EB">
        <w:t>La directive (UE) 2024/1174 du Parlement européen et du Conseil</w:t>
      </w:r>
      <w:r w:rsidRPr="00B507EB">
        <w:rPr>
          <w:rStyle w:val="FootnoteReference"/>
          <w:iCs/>
          <w:noProof/>
        </w:rPr>
        <w:footnoteReference w:id="3"/>
      </w:r>
      <w:r w:rsidRPr="00B507EB">
        <w:t xml:space="preserve"> a modifié certains aspects de l’exigence minimale de fonds propres et d’engagements éligibles prévue par la directive 2014/59/UE. Selon ce que prévoient ces modifications, les autorités de résolution ne sont pas tenues de déterminer la MREL pour les entités de liquidation, sauf lorsque la fixation d’une MREL dépassant un montant suffisant pour absorber les pertes est nécessaire pour protéger la stabilité financière ou parer au risque de contagion au système financier, y compris en ce qui concerne la capacité de financement des systèmes de garantie des dépôts. En outre, la directive (UE) 2024/1174 a accru le nombre de cas dans lesquels les autorités de résolution peuvent déterminer la MREL sur une base consolidée. Il y a lieu de modifier le règlement d’exécution (UE) 2021/622 de la Commission</w:t>
      </w:r>
      <w:r w:rsidRPr="00B507EB">
        <w:rPr>
          <w:rStyle w:val="FootnoteReference"/>
          <w:iCs/>
          <w:noProof/>
        </w:rPr>
        <w:footnoteReference w:id="4"/>
      </w:r>
      <w:r w:rsidRPr="00B507EB">
        <w:t xml:space="preserve"> afin de tenir compte de ces modifications du cadre de la MREL dans les exigences relatives aux informations à communiquer à l’Autorité bancaire européenne (ABE).</w:t>
      </w:r>
    </w:p>
    <w:p w14:paraId="038A3063" w14:textId="77777777" w:rsidR="00C16484" w:rsidRPr="00B507EB" w:rsidRDefault="00A05FAB" w:rsidP="008B6AF9">
      <w:pPr>
        <w:pStyle w:val="Considrant"/>
        <w:numPr>
          <w:ilvl w:val="0"/>
          <w:numId w:val="2"/>
        </w:numPr>
        <w:rPr>
          <w:iCs/>
          <w:noProof/>
        </w:rPr>
      </w:pPr>
      <w:r w:rsidRPr="00B507EB">
        <w:t>Le règlement d’exécution (UE) 2021/622 impose actuellement aux autorités de résolution de transmettre à l’ABE des informations relatives à la fixation de la MREL sur une base annuelle. L’ABE combine ensuite ces informations avec les informations sur la composition des fonds propres et des engagements éligibles obtenues en vertu du règlement d’exécution (UE) 2021/763 de la Commission</w:t>
      </w:r>
      <w:r w:rsidRPr="00B507EB">
        <w:rPr>
          <w:rStyle w:val="FootnoteReference"/>
          <w:noProof/>
        </w:rPr>
        <w:footnoteReference w:id="5"/>
      </w:r>
      <w:r w:rsidRPr="00B507EB">
        <w:t>, pour produire son rapport sur la MREL conformément à l’article 45 </w:t>
      </w:r>
      <w:r w:rsidRPr="00B507EB">
        <w:rPr>
          <w:i/>
        </w:rPr>
        <w:t>terdecies</w:t>
      </w:r>
      <w:r w:rsidRPr="00B507EB">
        <w:t xml:space="preserve"> de la directive 2014/59/UE, actuellement de fréquence bisannuelle. L’actuelle base annuelle de transmission des informations sur la fixation de la MREL implique que les décisions relatives à la MREL adoptées par les autorités de résolution après la date de référence pertinente ne sont pas transmises à l’ABE et ne sont pas évaluées par celle-ci ni prises en considération dans ses rapports avant l’année suivante, ce qui crée des défauts de concordance avec les informations plus à jour sur la composition des fonds propres et des engagements éligibles.</w:t>
      </w:r>
    </w:p>
    <w:p w14:paraId="676EF325" w14:textId="77777777" w:rsidR="00C16484" w:rsidRPr="00B507EB" w:rsidRDefault="00C16484" w:rsidP="004B4C38">
      <w:pPr>
        <w:pStyle w:val="Considrant"/>
        <w:numPr>
          <w:ilvl w:val="0"/>
          <w:numId w:val="2"/>
        </w:numPr>
        <w:rPr>
          <w:iCs/>
          <w:noProof/>
        </w:rPr>
      </w:pPr>
      <w:r w:rsidRPr="00B507EB">
        <w:t xml:space="preserve">Afin d’améliorer la capacité de l’ABE à suivre et à évaluer la MREL fixée par les autorités de résolution et le respect des exigences liées à la MREL par les établissements, les autorités de résolution devraient être tenues de communiquer plus fréquemment à ladite Autorité leurs décisions relatives à la MREL. Pour que la concordance avec les rapports sur la MREL élaborés par l’ABE soit garantie, il conviendrait que les autorités de résolution communiquent ces informations deux fois par an. </w:t>
      </w:r>
    </w:p>
    <w:p w14:paraId="2672C096" w14:textId="77777777" w:rsidR="00C16484" w:rsidRPr="00B507EB" w:rsidRDefault="00C16484" w:rsidP="004B4C38">
      <w:pPr>
        <w:pStyle w:val="Considrant"/>
        <w:numPr>
          <w:ilvl w:val="0"/>
          <w:numId w:val="2"/>
        </w:numPr>
        <w:rPr>
          <w:noProof/>
        </w:rPr>
      </w:pPr>
      <w:r w:rsidRPr="00B507EB">
        <w:t>Afin de faciliter l’évaluation, par l’ABE, de la manière dont les autorités de résolution ont utilisé leur marge d’appréciation pour la fixation de la MREL, en particulier en ce qui concerne l’option prévue à l’article 45 </w:t>
      </w:r>
      <w:r w:rsidRPr="00B507EB">
        <w:rPr>
          <w:i/>
        </w:rPr>
        <w:t>ter</w:t>
      </w:r>
      <w:r w:rsidRPr="00B507EB">
        <w:t>, paragraphe 4, premier alinéa, de la directive 2014/59/UE, il y a lieu de modifier le modèle M 20.00 – Déclaration des décisions relatives à la MREL [annexe I du règlement (UE) 2021/622] et les instructions correspondantes, de manière à exiger l'inclusion d’informations relatives à l’exercice de cette option.</w:t>
      </w:r>
    </w:p>
    <w:p w14:paraId="1B5314C9" w14:textId="77777777" w:rsidR="00C16484" w:rsidRPr="00B507EB" w:rsidRDefault="00C16484" w:rsidP="004B4C38">
      <w:pPr>
        <w:pStyle w:val="Considrant"/>
        <w:numPr>
          <w:ilvl w:val="0"/>
          <w:numId w:val="2"/>
        </w:numPr>
        <w:rPr>
          <w:noProof/>
        </w:rPr>
      </w:pPr>
      <w:r w:rsidRPr="00B507EB">
        <w:t>L’ABE a sollicité l’avis du groupe des parties intéressées au secteur financier institué en application de l’article 37 du règlement (UE) nº 1093/2010 du Parlement européen et du Conseil</w:t>
      </w:r>
      <w:r w:rsidRPr="00B507EB">
        <w:rPr>
          <w:rStyle w:val="FootnoteReference"/>
          <w:noProof/>
        </w:rPr>
        <w:footnoteReference w:id="6"/>
      </w:r>
      <w:r w:rsidRPr="00B507EB">
        <w:t xml:space="preserve">. </w:t>
      </w:r>
    </w:p>
    <w:p w14:paraId="5D5111C6" w14:textId="77777777" w:rsidR="00C16484" w:rsidRPr="00B507EB" w:rsidRDefault="00373FC4" w:rsidP="004B4C38">
      <w:pPr>
        <w:pStyle w:val="Considrant"/>
        <w:numPr>
          <w:ilvl w:val="0"/>
          <w:numId w:val="2"/>
        </w:numPr>
        <w:rPr>
          <w:noProof/>
        </w:rPr>
      </w:pPr>
      <w:r w:rsidRPr="00B507EB">
        <w:t xml:space="preserve">Les modifications du règlement (UE) 2021/622 concernent les autorités de résolution et ne sont pas substantielles. Conformément à l’article 15, paragraphe 1, deuxième alinéa, du règlement (UE) nº 1093/2010, l’ABE, estimant que cela serait disproportionné au vu du champ et de l’impact de son projet de normes techniques d’exécution, n’a donc pas procédé à des consultations publiques ouvertes ni analysé les coûts et avantages potentiels que celui-ci implique. </w:t>
      </w:r>
    </w:p>
    <w:p w14:paraId="0A23BFF6" w14:textId="77777777" w:rsidR="00C16484" w:rsidRPr="00B507EB" w:rsidRDefault="00C16484" w:rsidP="004B4C38">
      <w:pPr>
        <w:pStyle w:val="Considrant"/>
        <w:numPr>
          <w:ilvl w:val="0"/>
          <w:numId w:val="2"/>
        </w:numPr>
        <w:rPr>
          <w:noProof/>
        </w:rPr>
      </w:pPr>
      <w:r w:rsidRPr="00B507EB">
        <w:t>Il convient dès lors de modifier le règlement d’exécution (UE) 2021/622 en conséquence.</w:t>
      </w:r>
    </w:p>
    <w:p w14:paraId="1887EA7B" w14:textId="77777777" w:rsidR="00C16484" w:rsidRPr="00B507EB" w:rsidRDefault="00C16484" w:rsidP="004B4C38">
      <w:pPr>
        <w:pStyle w:val="Considrant"/>
        <w:numPr>
          <w:ilvl w:val="0"/>
          <w:numId w:val="2"/>
        </w:numPr>
        <w:rPr>
          <w:noProof/>
        </w:rPr>
      </w:pPr>
      <w:r w:rsidRPr="00B507EB">
        <w:t>Le présent règlement se fonde sur le projet de normes techniques d’exécution soumis à la Commission par l’ABE,</w:t>
      </w:r>
    </w:p>
    <w:p w14:paraId="313B274F" w14:textId="77777777" w:rsidR="00C16484" w:rsidRPr="00B507EB" w:rsidRDefault="00C16484">
      <w:pPr>
        <w:pStyle w:val="Formuledadoption"/>
      </w:pPr>
      <w:r w:rsidRPr="00B507EB">
        <w:t>A ADOPTÉ LE PRÉSENT RÈGLEMENT:</w:t>
      </w:r>
    </w:p>
    <w:p w14:paraId="455FC522" w14:textId="77777777" w:rsidR="00C16484" w:rsidRPr="00B507EB" w:rsidRDefault="00C16484">
      <w:pPr>
        <w:pStyle w:val="Titrearticle"/>
      </w:pPr>
      <w:r w:rsidRPr="00B507EB">
        <w:t>Article premier</w:t>
      </w:r>
    </w:p>
    <w:p w14:paraId="061A957A" w14:textId="77777777" w:rsidR="00C16484" w:rsidRPr="00B507EB" w:rsidRDefault="00C16484" w:rsidP="00C16484">
      <w:pPr>
        <w:rPr>
          <w:noProof/>
        </w:rPr>
      </w:pPr>
      <w:r w:rsidRPr="00B507EB">
        <w:t>Le règlement d’exécution (UE) 2021/622 est modifié comme suit:</w:t>
      </w:r>
    </w:p>
    <w:p w14:paraId="44E520EB" w14:textId="77777777" w:rsidR="00C16484" w:rsidRPr="00B507EB" w:rsidRDefault="00C16484" w:rsidP="00783A3B">
      <w:pPr>
        <w:pStyle w:val="Point0number"/>
        <w:numPr>
          <w:ilvl w:val="0"/>
          <w:numId w:val="6"/>
        </w:numPr>
        <w:rPr>
          <w:noProof/>
        </w:rPr>
      </w:pPr>
      <w:r w:rsidRPr="00B507EB">
        <w:t>L’article 2 est modifié comme suit:</w:t>
      </w:r>
    </w:p>
    <w:p w14:paraId="252CA8AC" w14:textId="77777777" w:rsidR="00C16484" w:rsidRPr="00B507EB" w:rsidRDefault="00C16484" w:rsidP="00783A3B">
      <w:pPr>
        <w:pStyle w:val="Point1letter"/>
        <w:rPr>
          <w:noProof/>
        </w:rPr>
      </w:pPr>
      <w:r w:rsidRPr="00B507EB">
        <w:t>le titre est remplacé par le texte suivant:</w:t>
      </w:r>
    </w:p>
    <w:p w14:paraId="3D4F8508" w14:textId="77777777" w:rsidR="00C16484" w:rsidRPr="00B507EB" w:rsidRDefault="00C16484" w:rsidP="00783A3B">
      <w:pPr>
        <w:jc w:val="center"/>
        <w:rPr>
          <w:noProof/>
        </w:rPr>
      </w:pPr>
      <w:r w:rsidRPr="00B507EB">
        <w:t>«</w:t>
      </w:r>
      <w:r w:rsidRPr="00B507EB">
        <w:rPr>
          <w:b/>
        </w:rPr>
        <w:t>Exigence de déclaration simplifiée pour les établissements bénéficiant d’une exemption</w:t>
      </w:r>
      <w:r w:rsidRPr="00B507EB">
        <w:t>»;</w:t>
      </w:r>
    </w:p>
    <w:p w14:paraId="2EAF66BD" w14:textId="77777777" w:rsidR="00C16484" w:rsidRPr="00B507EB" w:rsidRDefault="00C16484" w:rsidP="00783A3B">
      <w:pPr>
        <w:pStyle w:val="Point1letter"/>
        <w:rPr>
          <w:noProof/>
        </w:rPr>
      </w:pPr>
      <w:r w:rsidRPr="00B507EB">
        <w:t>le paragraphe 2 est supprimé.</w:t>
      </w:r>
    </w:p>
    <w:p w14:paraId="1A052A8B" w14:textId="77777777" w:rsidR="00C16484" w:rsidRPr="00B507EB" w:rsidRDefault="00C16484" w:rsidP="00783A3B">
      <w:pPr>
        <w:pStyle w:val="Point0number"/>
        <w:rPr>
          <w:noProof/>
        </w:rPr>
      </w:pPr>
      <w:r w:rsidRPr="00B507EB">
        <w:t>À l’article 3, la partie introductive est remplacée par le texte suivant:</w:t>
      </w:r>
    </w:p>
    <w:p w14:paraId="533DCDB8" w14:textId="77777777" w:rsidR="00C16484" w:rsidRPr="00B507EB" w:rsidRDefault="00C16484" w:rsidP="00783A3B">
      <w:pPr>
        <w:rPr>
          <w:noProof/>
        </w:rPr>
      </w:pPr>
      <w:r w:rsidRPr="00B507EB">
        <w:t>«Pour les groupes qui sont soumis à la MREL sur base consolidée conformément à l’article 45 </w:t>
      </w:r>
      <w:r w:rsidRPr="00B507EB">
        <w:rPr>
          <w:i/>
        </w:rPr>
        <w:t>sexies</w:t>
      </w:r>
      <w:r w:rsidRPr="00B507EB">
        <w:t>, à l’article 45 </w:t>
      </w:r>
      <w:r w:rsidRPr="00B507EB">
        <w:rPr>
          <w:i/>
        </w:rPr>
        <w:t>septies</w:t>
      </w:r>
      <w:r w:rsidRPr="00B507EB">
        <w:t>, paragraphe 1, troisième et quatrième alinéas, et à l’article 45 </w:t>
      </w:r>
      <w:r w:rsidRPr="00B507EB">
        <w:rPr>
          <w:i/>
        </w:rPr>
        <w:t>septies</w:t>
      </w:r>
      <w:r w:rsidRPr="00B507EB">
        <w:t>, paragraphe 4, point b), de la directive 2014/59/UE, les informations visées à l’article 1</w:t>
      </w:r>
      <w:r w:rsidRPr="00B507EB">
        <w:rPr>
          <w:vertAlign w:val="superscript"/>
        </w:rPr>
        <w:t>er</w:t>
      </w:r>
      <w:r w:rsidRPr="00B507EB">
        <w:t xml:space="preserve"> et à l’article 2 sont communiquées par les autorités suivantes, comme suit:».</w:t>
      </w:r>
    </w:p>
    <w:p w14:paraId="0509E0AB" w14:textId="77777777" w:rsidR="00C16484" w:rsidRPr="00B507EB" w:rsidRDefault="00C16484" w:rsidP="00783A3B">
      <w:pPr>
        <w:pStyle w:val="Point0number"/>
        <w:rPr>
          <w:noProof/>
        </w:rPr>
      </w:pPr>
      <w:r w:rsidRPr="00B507EB">
        <w:t>L'article 4 est remplacé par le texte suivant:</w:t>
      </w:r>
    </w:p>
    <w:p w14:paraId="66FCA4E9" w14:textId="77777777" w:rsidR="00C16484" w:rsidRPr="00B507EB" w:rsidRDefault="00D47F83" w:rsidP="00783A3B">
      <w:pPr>
        <w:pStyle w:val="Titrearticle"/>
        <w:rPr>
          <w:i w:val="0"/>
          <w:iCs/>
          <w:noProof/>
        </w:rPr>
      </w:pPr>
      <w:r w:rsidRPr="00B507EB">
        <w:rPr>
          <w:i w:val="0"/>
        </w:rPr>
        <w:t>«</w:t>
      </w:r>
      <w:r w:rsidRPr="00B507EB">
        <w:t xml:space="preserve">Article 4 </w:t>
      </w:r>
      <w:r w:rsidRPr="00B507EB">
        <w:br/>
      </w:r>
      <w:r w:rsidRPr="00B507EB">
        <w:rPr>
          <w:b/>
          <w:i w:val="0"/>
        </w:rPr>
        <w:t>Périodes de déclaration et dates de transmission</w:t>
      </w:r>
    </w:p>
    <w:p w14:paraId="054F5F9B" w14:textId="77777777" w:rsidR="00C16484" w:rsidRPr="00B507EB" w:rsidRDefault="00C16484" w:rsidP="00783A3B">
      <w:pPr>
        <w:rPr>
          <w:noProof/>
        </w:rPr>
      </w:pPr>
      <w:r w:rsidRPr="00B507EB">
        <w:t>Les autorités de résolution transmettent les informations visées aux articles 1</w:t>
      </w:r>
      <w:r w:rsidRPr="00B507EB">
        <w:rPr>
          <w:vertAlign w:val="superscript"/>
        </w:rPr>
        <w:t>er</w:t>
      </w:r>
      <w:r w:rsidRPr="00B507EB">
        <w:t xml:space="preserve"> et 2 comme suit:</w:t>
      </w:r>
    </w:p>
    <w:p w14:paraId="5113726F" w14:textId="77777777" w:rsidR="00C16484" w:rsidRPr="00B507EB" w:rsidRDefault="00C16484" w:rsidP="00783A3B">
      <w:pPr>
        <w:pStyle w:val="Point1letter"/>
        <w:rPr>
          <w:noProof/>
        </w:rPr>
      </w:pPr>
      <w:r w:rsidRPr="00B507EB">
        <w:t>pour la MREL applicable à partir du 30 juin d’une année donnée, au plus tard le 16 septembre de la même année;</w:t>
      </w:r>
    </w:p>
    <w:p w14:paraId="7219DDD8" w14:textId="77777777" w:rsidR="00C16484" w:rsidRPr="00B507EB" w:rsidRDefault="00C16484" w:rsidP="00783A3B">
      <w:pPr>
        <w:pStyle w:val="Point1letter"/>
        <w:rPr>
          <w:noProof/>
        </w:rPr>
      </w:pPr>
      <w:r w:rsidRPr="00B507EB">
        <w:t>pour la MREL applicable à partir du 31 décembre, au plus tard le 18 mars de l’année suivante.».</w:t>
      </w:r>
    </w:p>
    <w:p w14:paraId="65609948" w14:textId="77777777" w:rsidR="00C16484" w:rsidRPr="00B507EB" w:rsidRDefault="00C16484" w:rsidP="00783A3B">
      <w:pPr>
        <w:pStyle w:val="Point0number"/>
        <w:rPr>
          <w:noProof/>
        </w:rPr>
      </w:pPr>
      <w:r w:rsidRPr="00B507EB">
        <w:t>L’annexe I est remplacée par le texte figurant à l’annexe I du présent règlement.</w:t>
      </w:r>
    </w:p>
    <w:p w14:paraId="45E55C10" w14:textId="77777777" w:rsidR="00C16484" w:rsidRPr="00B507EB" w:rsidRDefault="00C16484" w:rsidP="00783A3B">
      <w:pPr>
        <w:pStyle w:val="Point0number"/>
        <w:rPr>
          <w:noProof/>
        </w:rPr>
      </w:pPr>
      <w:r w:rsidRPr="00B507EB">
        <w:t>L’annexe II est remplacée par le texte figurant à l’annexe II du présent règlement.</w:t>
      </w:r>
    </w:p>
    <w:p w14:paraId="0B09A3CA" w14:textId="77777777" w:rsidR="00C16484" w:rsidRPr="00B507EB" w:rsidRDefault="00C16484">
      <w:pPr>
        <w:pStyle w:val="Titrearticle"/>
      </w:pPr>
      <w:r w:rsidRPr="00B507EB">
        <w:t>Article 2</w:t>
      </w:r>
    </w:p>
    <w:p w14:paraId="0BDD24EC" w14:textId="77777777" w:rsidR="00C16484" w:rsidRPr="00B507EB" w:rsidRDefault="00C16484" w:rsidP="00830365">
      <w:r w:rsidRPr="00B507EB">
        <w:t xml:space="preserve">Le présent règlement entre en vigueur le vingtième jour suivant celui de sa publication au </w:t>
      </w:r>
      <w:r w:rsidRPr="00B507EB">
        <w:rPr>
          <w:i/>
        </w:rPr>
        <w:t>Journal officiel de l’Union européenne</w:t>
      </w:r>
      <w:r w:rsidRPr="00B507EB">
        <w:t>.</w:t>
      </w:r>
    </w:p>
    <w:p w14:paraId="3DDE2F7A" w14:textId="77777777" w:rsidR="00C16484" w:rsidRPr="00B507EB" w:rsidRDefault="00C16484">
      <w:pPr>
        <w:pStyle w:val="Applicationdirecte"/>
      </w:pPr>
      <w:r w:rsidRPr="00B507EB">
        <w:t>Le présent règlement est obligatoire dans tous ses éléments et directement applicable dans tout État membre.</w:t>
      </w:r>
    </w:p>
    <w:p w14:paraId="0FD02893" w14:textId="172C3A0A" w:rsidR="00C16484" w:rsidRPr="00B507EB" w:rsidRDefault="00B507EB" w:rsidP="00B507EB">
      <w:pPr>
        <w:pStyle w:val="Fait"/>
      </w:pPr>
      <w:r w:rsidRPr="00B507EB">
        <w:t>Fait à Bruxelles, le</w:t>
      </w:r>
    </w:p>
    <w:p w14:paraId="3FB14D4B" w14:textId="77777777" w:rsidR="00C16484" w:rsidRPr="00B507EB" w:rsidRDefault="00C16484" w:rsidP="00C16484">
      <w:pPr>
        <w:pStyle w:val="Institutionquisigne"/>
      </w:pPr>
      <w:r w:rsidRPr="00B507EB">
        <w:tab/>
        <w:t>Par la Commission</w:t>
      </w:r>
    </w:p>
    <w:p w14:paraId="0FEF1170" w14:textId="0CD182DE" w:rsidR="00C16484" w:rsidRPr="00B507EB" w:rsidRDefault="00C16484" w:rsidP="00C16484">
      <w:pPr>
        <w:pStyle w:val="Personnequisigne"/>
      </w:pPr>
      <w:r w:rsidRPr="00B507EB">
        <w:tab/>
        <w:t xml:space="preserve">La présidente </w:t>
      </w:r>
      <w:r w:rsidRPr="00B507EB">
        <w:br/>
      </w:r>
      <w:r w:rsidRPr="00B507EB">
        <w:tab/>
        <w:t xml:space="preserve">Ursula von der Leyen </w:t>
      </w:r>
      <w:r w:rsidRPr="00B507EB">
        <w:br/>
      </w:r>
      <w:r w:rsidRPr="00B507EB">
        <w:tab/>
      </w:r>
    </w:p>
    <w:sectPr w:rsidR="00C16484" w:rsidRPr="00B507EB" w:rsidSect="0086758A">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DF19" w14:textId="6BF6A347" w:rsidR="00AE4482" w:rsidRPr="0086758A" w:rsidRDefault="0086758A" w:rsidP="0086758A">
    <w:pPr>
      <w:pStyle w:val="Footer"/>
      <w:rPr>
        <w:rFonts w:ascii="Arial" w:hAnsi="Arial" w:cs="Arial"/>
        <w:b/>
        <w:sz w:val="48"/>
      </w:rPr>
    </w:pPr>
    <w:r w:rsidRPr="0086758A">
      <w:rPr>
        <w:rFonts w:ascii="Arial" w:hAnsi="Arial" w:cs="Arial"/>
        <w:b/>
        <w:sz w:val="48"/>
      </w:rPr>
      <w:t>FR</w:t>
    </w:r>
    <w:r w:rsidRPr="0086758A">
      <w:rPr>
        <w:rFonts w:ascii="Arial" w:hAnsi="Arial" w:cs="Arial"/>
        <w:b/>
        <w:sz w:val="48"/>
      </w:rPr>
      <w:tab/>
    </w:r>
    <w:r w:rsidRPr="0086758A">
      <w:rPr>
        <w:rFonts w:ascii="Arial" w:hAnsi="Arial" w:cs="Arial"/>
        <w:b/>
        <w:sz w:val="48"/>
      </w:rPr>
      <w:tab/>
    </w:r>
    <w:r w:rsidRPr="0086758A">
      <w:tab/>
    </w:r>
    <w:r w:rsidRPr="0086758A">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038" w14:textId="6A028771" w:rsidR="00AE4482" w:rsidRPr="0086758A" w:rsidRDefault="0086758A" w:rsidP="0086758A">
    <w:pPr>
      <w:pStyle w:val="Footer"/>
      <w:rPr>
        <w:rFonts w:ascii="Arial" w:hAnsi="Arial" w:cs="Arial"/>
        <w:b/>
        <w:sz w:val="48"/>
      </w:rPr>
    </w:pPr>
    <w:r w:rsidRPr="0086758A">
      <w:rPr>
        <w:rFonts w:ascii="Arial" w:hAnsi="Arial" w:cs="Arial"/>
        <w:b/>
        <w:sz w:val="48"/>
      </w:rPr>
      <w:t>FR</w:t>
    </w:r>
    <w:r w:rsidRPr="0086758A">
      <w:rPr>
        <w:rFonts w:ascii="Arial" w:hAnsi="Arial" w:cs="Arial"/>
        <w:b/>
        <w:sz w:val="48"/>
      </w:rPr>
      <w:tab/>
    </w:r>
    <w:r w:rsidRPr="0086758A">
      <w:rPr>
        <w:rFonts w:ascii="Arial" w:hAnsi="Arial" w:cs="Arial"/>
        <w:b/>
        <w:sz w:val="48"/>
      </w:rPr>
      <w:tab/>
    </w:r>
    <w:r w:rsidRPr="0086758A">
      <w:tab/>
    </w:r>
    <w:r w:rsidRPr="0086758A">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C8BB" w14:textId="77777777" w:rsidR="0086758A" w:rsidRPr="0086758A" w:rsidRDefault="0086758A" w:rsidP="008675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023C" w14:textId="00F17B1F" w:rsidR="0086758A" w:rsidRPr="0086758A" w:rsidRDefault="0086758A" w:rsidP="0086758A">
    <w:pPr>
      <w:pStyle w:val="Footer"/>
      <w:rPr>
        <w:rFonts w:ascii="Arial" w:hAnsi="Arial" w:cs="Arial"/>
        <w:b/>
        <w:sz w:val="48"/>
      </w:rPr>
    </w:pPr>
    <w:r w:rsidRPr="0086758A">
      <w:rPr>
        <w:rFonts w:ascii="Arial" w:hAnsi="Arial" w:cs="Arial"/>
        <w:b/>
        <w:sz w:val="48"/>
      </w:rPr>
      <w:t>FR</w:t>
    </w:r>
    <w:r w:rsidRPr="0086758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758A">
      <w:tab/>
    </w:r>
    <w:r w:rsidRPr="0086758A">
      <w:rPr>
        <w:rFonts w:ascii="Arial" w:hAnsi="Arial" w:cs="Arial"/>
        <w:b/>
        <w:sz w:val="48"/>
      </w:rPr>
      <w:t>FR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86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B507EB" w:rsidRDefault="00C16484" w:rsidP="00C16484">
      <w:pPr>
        <w:pStyle w:val="FootnoteText"/>
        <w:rPr>
          <w:lang w:val="fr-BE"/>
        </w:rPr>
      </w:pPr>
      <w:r>
        <w:rPr>
          <w:rStyle w:val="FootnoteReference"/>
        </w:rPr>
        <w:footnoteRef/>
      </w:r>
      <w:r w:rsidRPr="00B507EB">
        <w:rPr>
          <w:lang w:val="fr-BE"/>
        </w:rPr>
        <w:tab/>
        <w:t>JO L 173 du 12.6.2014, p. 190, ELI: </w:t>
      </w:r>
      <w:hyperlink r:id="rId1" w:tooltip="Donne accès à ce document via son URI ELI." w:history="1">
        <w:r w:rsidRPr="00B507EB">
          <w:rPr>
            <w:rStyle w:val="Hyperlink"/>
            <w:rFonts w:ascii="Times New Roman" w:hAnsi="Times New Roman"/>
            <w:lang w:val="fr-BE"/>
          </w:rPr>
          <w:t>http://data.europa.eu/eli/dir/2014/59/oj</w:t>
        </w:r>
      </w:hyperlink>
      <w:r w:rsidRPr="00B507EB">
        <w:rPr>
          <w:lang w:val="fr-BE"/>
        </w:rPr>
        <w:t xml:space="preserve">. </w:t>
      </w:r>
    </w:p>
  </w:footnote>
  <w:footnote w:id="3">
    <w:p w14:paraId="584AEAAA" w14:textId="78F88551" w:rsidR="003428AE" w:rsidRPr="00B507EB" w:rsidRDefault="003428AE">
      <w:pPr>
        <w:pStyle w:val="FootnoteText"/>
        <w:rPr>
          <w:lang w:val="fr-BE"/>
        </w:rPr>
      </w:pPr>
      <w:r>
        <w:rPr>
          <w:rStyle w:val="FootnoteReference"/>
        </w:rPr>
        <w:footnoteRef/>
      </w:r>
      <w:r w:rsidRPr="00B507EB">
        <w:rPr>
          <w:lang w:val="fr-BE"/>
        </w:rPr>
        <w:tab/>
        <w:t xml:space="preserve">Directive (UE) 2024/1174 du Parlement européen et du Conseil du 11 avril 2024 modifiant la directive 2014/59/UE et le règlement (UE) nº 806/2014 en ce qui concerne certains aspects de l’exigence minimale de fonds propres et d’engagements éligibles (JO L, 2024/1174, 22.4.2024, ELI: </w:t>
      </w:r>
      <w:hyperlink r:id="rId2" w:history="1">
        <w:r w:rsidRPr="00B507EB">
          <w:rPr>
            <w:rStyle w:val="Hyperlink"/>
            <w:rFonts w:ascii="Times New Roman" w:hAnsi="Times New Roman"/>
            <w:lang w:val="fr-BE"/>
          </w:rPr>
          <w:t>http://data.europa.eu/eli/dir/2024/1174/oj</w:t>
        </w:r>
      </w:hyperlink>
      <w:r w:rsidRPr="00B507EB">
        <w:rPr>
          <w:lang w:val="fr-BE"/>
        </w:rPr>
        <w:t xml:space="preserve">). </w:t>
      </w:r>
    </w:p>
  </w:footnote>
  <w:footnote w:id="4">
    <w:p w14:paraId="4D1953DF" w14:textId="607C22C8" w:rsidR="001F4496" w:rsidRPr="00B507EB" w:rsidRDefault="001F4496">
      <w:pPr>
        <w:pStyle w:val="FootnoteText"/>
        <w:rPr>
          <w:lang w:val="fr-BE"/>
        </w:rPr>
      </w:pPr>
      <w:r>
        <w:rPr>
          <w:rStyle w:val="FootnoteReference"/>
        </w:rPr>
        <w:footnoteRef/>
      </w:r>
      <w:r w:rsidRPr="00B507EB">
        <w:rPr>
          <w:lang w:val="fr-BE"/>
        </w:rPr>
        <w:tab/>
        <w:t xml:space="preserve">Règlement d’exécution (UE) 2021/622 de la Commission du 15 avril 2021 définissant des normes techniques d’exécution pour l’application de la directive 2014/59/UE du Parlement européen et du Conseil en ce qui concerne les modèles, instructions et méthodes uniformes de déclaration relative à l’exigence minimale de fonds propres et d’engagements éligibles (JO L 131 du 16.4.2021, p. 123, ELI: </w:t>
      </w:r>
      <w:hyperlink r:id="rId3" w:history="1">
        <w:r w:rsidRPr="00B507EB">
          <w:rPr>
            <w:rStyle w:val="Hyperlink"/>
            <w:rFonts w:ascii="Times New Roman" w:hAnsi="Times New Roman"/>
            <w:lang w:val="fr-BE"/>
          </w:rPr>
          <w:t>http://data.europa.eu/eli/reg_impl/2021/622/oj</w:t>
        </w:r>
      </w:hyperlink>
      <w:r w:rsidRPr="00B507EB">
        <w:rPr>
          <w:lang w:val="fr-BE"/>
        </w:rPr>
        <w:t>).</w:t>
      </w:r>
    </w:p>
  </w:footnote>
  <w:footnote w:id="5">
    <w:p w14:paraId="5FB3833A" w14:textId="77777777" w:rsidR="000B5B60" w:rsidRPr="00B507EB" w:rsidRDefault="000B5B60">
      <w:pPr>
        <w:pStyle w:val="FootnoteText"/>
        <w:rPr>
          <w:lang w:val="fr-BE"/>
        </w:rPr>
      </w:pPr>
      <w:r>
        <w:rPr>
          <w:rStyle w:val="FootnoteReference"/>
        </w:rPr>
        <w:footnoteRef/>
      </w:r>
      <w:r w:rsidRPr="00B507EB">
        <w:rPr>
          <w:lang w:val="fr-BE"/>
        </w:rPr>
        <w:tab/>
        <w:t xml:space="preserve">Règlement d’exécution (UE) 2021/763 de la Commission du 23 avril 2021 définissant des normes techniques d’exécution pour l’application du règlement (UE) nº 575/2013 du Parlement européen et du Conseil et de la directive 2014/59/UE du Parlement européen et du Conseil en ce qui concerne la déclaration à des fins de surveillance et la publication de l’exigence minimale de fonds propres et d’engagements éligibles (JO L 168 du 12.5.2021, p. 1, ELI: </w:t>
      </w:r>
      <w:hyperlink r:id="rId4" w:history="1">
        <w:r w:rsidRPr="00B507EB">
          <w:rPr>
            <w:rStyle w:val="Hyperlink"/>
            <w:rFonts w:ascii="Times New Roman" w:hAnsi="Times New Roman"/>
            <w:lang w:val="fr-BE"/>
          </w:rPr>
          <w:t>http://data.europa.eu/eli/reg_impl/2021/763/oj</w:t>
        </w:r>
      </w:hyperlink>
      <w:r w:rsidRPr="00B507EB">
        <w:rPr>
          <w:lang w:val="fr-BE"/>
        </w:rPr>
        <w:t>).</w:t>
      </w:r>
    </w:p>
  </w:footnote>
  <w:footnote w:id="6">
    <w:p w14:paraId="04BE3385" w14:textId="77777777" w:rsidR="00401F3A" w:rsidRPr="00B507EB" w:rsidRDefault="00401F3A" w:rsidP="00F35BD7">
      <w:pPr>
        <w:pStyle w:val="FootnoteText"/>
        <w:rPr>
          <w:lang w:val="fr-BE"/>
        </w:rPr>
      </w:pPr>
      <w:r>
        <w:rPr>
          <w:rStyle w:val="FootnoteReference"/>
        </w:rPr>
        <w:footnoteRef/>
      </w:r>
      <w:r w:rsidRPr="00B507EB">
        <w:rPr>
          <w:lang w:val="fr-BE"/>
        </w:rPr>
        <w:tab/>
        <w:t>Règlement (UE) nº 1093/2010 du Parlement européen et du Conseil du 24 novembre 2010 instituant une Autorité européenne de surveillance (Autorité bancaire européenne), modifiant la décision nº 716/2009/CE et abrogeant la décision 2009/78/CE de la Commission (JO L 331 du 15.12.2010, p. 12, ELI: </w:t>
      </w:r>
      <w:hyperlink r:id="rId5" w:tooltip="Donne accès à ce document via son URI ELI." w:history="1">
        <w:r w:rsidRPr="00B507EB">
          <w:rPr>
            <w:rStyle w:val="Hyperlink"/>
            <w:rFonts w:ascii="Times New Roman" w:hAnsi="Times New Roman"/>
            <w:lang w:val="fr-BE"/>
          </w:rPr>
          <w:t>http://data.europa.eu/eli/reg/2010/1093/oj</w:t>
        </w:r>
      </w:hyperlink>
      <w:r w:rsidRPr="00B507EB">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E2AF" w14:textId="77777777" w:rsidR="0086758A" w:rsidRPr="0086758A" w:rsidRDefault="0086758A" w:rsidP="0086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4327" w14:textId="77777777" w:rsidR="0086758A" w:rsidRPr="0086758A" w:rsidRDefault="0086758A" w:rsidP="00867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C092" w14:textId="77777777" w:rsidR="0086758A" w:rsidRPr="0086758A" w:rsidRDefault="0086758A" w:rsidP="008675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26 17:03: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44ABE24-0C88-4521-9271-9F2122994807"/>
    <w:docVar w:name="LW_COVERPAGE_TYPE" w:val="1"/>
    <w:docVar w:name="LW_CreatedUtc" w:val="2025-09-04T16:00:38.0896335Z"/>
    <w:docVar w:name="LW_CROSSREFERENCE" w:val="&lt;UNUSED&gt;"/>
    <w:docVar w:name="LW_DATE.ADOPT.CP" w:val="du XXX"/>
    <w:docVar w:name="LW_DATE.ADOPT.CP_DATEFORMAT" w:val="du %DATE%"/>
    <w:docVar w:name="LW_DATE.ADOPT.CP_ISODATE" w:val="&lt;EMPTY&gt;"/>
    <w:docVar w:name="LW_DocType" w:val="COM"/>
    <w:docVar w:name="LW_EMISSION" w:val="&lt;EMPTY&gt;"/>
    <w:docVar w:name="LW_EMISSION_ISODATE" w:val="&lt;EMPTY&gt;"/>
    <w:docVar w:name="LW_EMISSION_LOCATION" w:val="BRX"/>
    <w:docVar w:name="LW_EMISSION_PREFIX" w:val="Bruxelles, le "/>
    <w:docVar w:name="LW_EMISSION_SUFFIX" w:val=" "/>
    <w:docVar w:name="LW_ID_DOCMODEL" w:val="SJ-004"/>
    <w:docVar w:name="LW_ID_DOCSIGNATURE" w:val="SJ-004"/>
    <w:docVar w:name="LW_ID_DOCSTRUCTURE" w:val="COM/AA"/>
    <w:docVar w:name="LW_ID_DOCTYPE" w:val="SJ-004"/>
    <w:docVar w:name="LW_INTERETEEE.CP" w:val="(Texte présentant de l\u8217?intérêt pour l\u8217?EEE)"/>
    <w:docVar w:name="LW_LANGUE" w:val="FR"/>
    <w:docVar w:name="LW_LANGUESFAISANTFOI.CP" w:val="&lt;UNUSED&gt;"/>
    <w:docVar w:name="LW_LEVEL_OF_SENSITIVITY" w:val="Standard treatment"/>
    <w:docVar w:name="LW_NOM.INST" w:val="COMMISSION EUROPÉENNE"/>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odifiant les normes techniques d\u8217?exécution définies par le règlement d\u8217?exécution (UE) 2021/622 en ce qui concerne la fréquence des déclarations et les informations à faire figurer dans celles-ci"/>
    <w:docVar w:name="LW_TYPE.DOC.CP" w:val="RÈGLEMENT D\u8217?EXÉCUTION (UE) \u8230?/... DE LA COMMISSION"/>
  </w:docVars>
  <w:rsids>
    <w:rsidRoot w:val="00C16484"/>
    <w:rsid w:val="00000BE0"/>
    <w:rsid w:val="00016399"/>
    <w:rsid w:val="000225E5"/>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70790"/>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D43"/>
    <w:rsid w:val="005B5FA6"/>
    <w:rsid w:val="005C1F43"/>
    <w:rsid w:val="005D1478"/>
    <w:rsid w:val="005D2C73"/>
    <w:rsid w:val="005D6AA6"/>
    <w:rsid w:val="005E2634"/>
    <w:rsid w:val="005F2B9A"/>
    <w:rsid w:val="00603E01"/>
    <w:rsid w:val="0061453F"/>
    <w:rsid w:val="00642760"/>
    <w:rsid w:val="00643DEF"/>
    <w:rsid w:val="006654AB"/>
    <w:rsid w:val="00667F1D"/>
    <w:rsid w:val="006700C7"/>
    <w:rsid w:val="00685D33"/>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E11F6"/>
    <w:rsid w:val="007E19F7"/>
    <w:rsid w:val="007F5C7C"/>
    <w:rsid w:val="00801EB4"/>
    <w:rsid w:val="00802FC2"/>
    <w:rsid w:val="00817121"/>
    <w:rsid w:val="00830365"/>
    <w:rsid w:val="00833B73"/>
    <w:rsid w:val="00843817"/>
    <w:rsid w:val="008460B7"/>
    <w:rsid w:val="00847915"/>
    <w:rsid w:val="008601F7"/>
    <w:rsid w:val="00861270"/>
    <w:rsid w:val="0086758A"/>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3BA2"/>
    <w:rsid w:val="00AE4482"/>
    <w:rsid w:val="00B01072"/>
    <w:rsid w:val="00B136EC"/>
    <w:rsid w:val="00B14B01"/>
    <w:rsid w:val="00B43EBD"/>
    <w:rsid w:val="00B507EB"/>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38E8"/>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1A0C"/>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EF24C0"/>
    <w:rsid w:val="00F07F2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fr-FR"/>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2.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37</TotalTime>
  <Pages>2</Pages>
  <Words>1038</Words>
  <Characters>5594</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EL SAYD Wafaa (DGT)</cp:lastModifiedBy>
  <cp:revision>29</cp:revision>
  <dcterms:created xsi:type="dcterms:W3CDTF">2025-12-05T16:19:00Z</dcterms:created>
  <dcterms:modified xsi:type="dcterms:W3CDTF">2026-01-26T16:03:00Z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