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1BF8" w14:textId="4022D29F" w:rsidR="004E763F" w:rsidRPr="008E11A1" w:rsidRDefault="0036057E" w:rsidP="00456021">
      <w:pPr>
        <w:pStyle w:val="Pagedecouverture"/>
      </w:pPr>
      <w:r>
        <w:pict w14:anchorId="7AB80C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4ACBA928-DBA6-4BF2-B453-DD4D605BE412" style="width:454.5pt;height:345.75pt">
            <v:imagedata r:id="rId11" o:title=""/>
          </v:shape>
        </w:pict>
      </w:r>
    </w:p>
    <w:p w14:paraId="1986B6EA" w14:textId="77777777" w:rsidR="00CE1382" w:rsidRPr="008E11A1" w:rsidRDefault="00CE1382" w:rsidP="003838B9">
      <w:pPr>
        <w:sectPr w:rsidR="00CE1382" w:rsidRPr="008E11A1" w:rsidSect="00C04FA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5ADCEA6B" w14:textId="7E35E092" w:rsidR="00C16484" w:rsidRPr="008E11A1" w:rsidRDefault="00456021" w:rsidP="00456021">
      <w:pPr>
        <w:pStyle w:val="Typedudocument"/>
      </w:pPr>
      <w:r w:rsidRPr="00456021">
        <w:lastRenderedPageBreak/>
        <w:t>KOMISSION TÄYTÄNTÖÖNPANOASETUS (EU) …/…,</w:t>
      </w:r>
    </w:p>
    <w:p w14:paraId="6819E66E" w14:textId="35B04A23" w:rsidR="00C16484" w:rsidRPr="008E11A1" w:rsidRDefault="00456021" w:rsidP="00456021">
      <w:pPr>
        <w:pStyle w:val="Datedadoption"/>
      </w:pPr>
      <w:r w:rsidRPr="00456021">
        <w:t xml:space="preserve">annettu </w:t>
      </w:r>
      <w:r w:rsidRPr="00456021">
        <w:rPr>
          <w:rStyle w:val="Marker2"/>
        </w:rPr>
        <w:t>XXX</w:t>
      </w:r>
      <w:r w:rsidRPr="00456021">
        <w:t>,</w:t>
      </w:r>
    </w:p>
    <w:p w14:paraId="44AA08D1" w14:textId="21099106" w:rsidR="00C16484" w:rsidRPr="008E11A1" w:rsidRDefault="00456021" w:rsidP="00456021">
      <w:pPr>
        <w:pStyle w:val="Titreobjet"/>
      </w:pPr>
      <w:r w:rsidRPr="00456021">
        <w:t>täytäntöönpanoasetuksessa (EU) 2021/622 vahvistettujen teknisten täytäntöönpanostandardien muuttamisesta raportointitiheyden ja ilmoitettavien tietojen osalta</w:t>
      </w:r>
    </w:p>
    <w:p w14:paraId="4A210142" w14:textId="2567952B" w:rsidR="00C16484" w:rsidRPr="008E11A1" w:rsidRDefault="00456021" w:rsidP="00456021">
      <w:pPr>
        <w:pStyle w:val="IntrtEEE"/>
      </w:pPr>
      <w:r w:rsidRPr="00456021">
        <w:t>(ETA:n kannalta merkityksellinen teksti)</w:t>
      </w:r>
    </w:p>
    <w:p w14:paraId="6F3A17D1" w14:textId="77777777" w:rsidR="00C16484" w:rsidRPr="008E11A1" w:rsidRDefault="00C16484">
      <w:pPr>
        <w:pStyle w:val="Institutionquiagit"/>
      </w:pPr>
      <w:r w:rsidRPr="008E11A1">
        <w:t>EUROOPAN KOMISSIO, joka</w:t>
      </w:r>
    </w:p>
    <w:p w14:paraId="22B09AC6" w14:textId="77777777" w:rsidR="00C16484" w:rsidRPr="008E11A1" w:rsidRDefault="00C16484">
      <w:r w:rsidRPr="008E11A1">
        <w:t>ottaa huomioon Euroopan unionin toiminnasta tehdyn sopimuksen,</w:t>
      </w:r>
    </w:p>
    <w:p w14:paraId="6C2E5C7E" w14:textId="77777777" w:rsidR="00C16484" w:rsidRPr="008E11A1" w:rsidRDefault="00C16484">
      <w:r w:rsidRPr="008E11A1">
        <w:t>ottaa huomioon luottolaitosten ja sijoituspalveluyritysten elvytys- ja kriisinratkaisukehyksestä sekä neuvoston direktiivin 82/891/ETY, Euroopan parlamentin ja neuvoston direktiivien 2001/24/EY, 2002/47/EY, 2004/25/EY, 2005/56/EY, 2007/36/EY, 2011/35/EU, 2012/30/EU ja 2013/36/EU ja asetusten (EU) N:o 1093/2010 ja (EU) N:o 648/2012 muuttamisesta 15 päivänä toukokuuta 2014 annetun Euroopan parlamentin ja neuvoston direktiivin 2014/59/EU</w:t>
      </w:r>
      <w:r w:rsidRPr="008E11A1">
        <w:rPr>
          <w:rStyle w:val="FootnoteReference"/>
        </w:rPr>
        <w:footnoteReference w:id="2"/>
      </w:r>
      <w:r w:rsidRPr="008E11A1">
        <w:t xml:space="preserve"> ja erityisesti sen 45 j artiklan 2 kohdan kolmannen alakohdan,</w:t>
      </w:r>
    </w:p>
    <w:p w14:paraId="499F4150" w14:textId="77777777" w:rsidR="00C16484" w:rsidRPr="008E11A1" w:rsidRDefault="00C16484">
      <w:r w:rsidRPr="008E11A1">
        <w:t>sekä katsoo seuraavaa:</w:t>
      </w:r>
    </w:p>
    <w:p w14:paraId="7D99777F" w14:textId="77777777" w:rsidR="003428AE" w:rsidRPr="008E11A1" w:rsidRDefault="003428AE" w:rsidP="004B4C38">
      <w:pPr>
        <w:pStyle w:val="Considrant"/>
        <w:numPr>
          <w:ilvl w:val="0"/>
          <w:numId w:val="2"/>
        </w:numPr>
        <w:rPr>
          <w:iCs/>
          <w:noProof/>
        </w:rPr>
      </w:pPr>
      <w:r w:rsidRPr="008E11A1">
        <w:t>Euroopan parlamentin ja neuvoston direktiivillä (EU) 2024/1174</w:t>
      </w:r>
      <w:r w:rsidRPr="008E11A1">
        <w:rPr>
          <w:rStyle w:val="FootnoteReference"/>
          <w:iCs/>
          <w:noProof/>
        </w:rPr>
        <w:footnoteReference w:id="3"/>
      </w:r>
      <w:r w:rsidRPr="008E11A1">
        <w:t xml:space="preserve"> muutettiin tietyiltä osin direktiivissä 2014/59/EU säädettyä omia varoja ja hyväksyttäviä velkoja koskevaa vähimmäisvaatimusta. Kyseisten muutosten mukaan kriisinratkaisuviranomaisten ei pitäisi määrittää MREL-vähimmäisvaatimusta likvidoitaville yhteisöille, paitsi jos on tarpeen asettaa tappionkattamismäärän ylittävä MREL-vähimmäisvaatimus rahoitusvakauden suojaamiseksi tai rahoitusjärjestelmää koskevien häiriöiden leviämisen riskin vähentämiseksi, myös talletussuojajärjestelmien rahoituskapasiteetin osalta. Lisäksi direktiivillä (EU) 2024/1174 lisättiin niiden tilanteiden määrää, joissa kriisinratkaisuviranomaiset voivat määrittää MREL-vähimmäisvaatimuksen konsolidoinnin perusteella. Komission täytäntöönpanoasetusta (EU) 2021/622</w:t>
      </w:r>
      <w:r w:rsidRPr="008E11A1">
        <w:rPr>
          <w:rStyle w:val="FootnoteReference"/>
          <w:iCs/>
          <w:noProof/>
        </w:rPr>
        <w:footnoteReference w:id="4"/>
      </w:r>
      <w:r w:rsidRPr="008E11A1">
        <w:t xml:space="preserve"> olisi muutettava, jotta kyseiset MREL-kehykseen tehdyt muutokset otetaan huomioon Euroopan pankkiviranomaiselle (EPV) toimitettavissa tiedoissa.</w:t>
      </w:r>
    </w:p>
    <w:p w14:paraId="038A3063" w14:textId="77777777" w:rsidR="00C16484" w:rsidRPr="008E11A1" w:rsidRDefault="00A05FAB" w:rsidP="008B6AF9">
      <w:pPr>
        <w:pStyle w:val="Considrant"/>
        <w:numPr>
          <w:ilvl w:val="0"/>
          <w:numId w:val="2"/>
        </w:numPr>
        <w:rPr>
          <w:iCs/>
          <w:noProof/>
        </w:rPr>
      </w:pPr>
      <w:r w:rsidRPr="008E11A1">
        <w:t>Täytäntöönpanoasetuksessa (EU) 2021/622 edellytetään tällä hetkellä, että kriisinratkaisuviranomaiset toimittavat EPV:lle vuosittain MREL-vähimmäisvaatimuksen asettamiseen liittyvät tiedot. Tämän jälkeen EPV yhdistää nämä tiedot komission täytäntöönpanoasetuksen (EU) 2021/763</w:t>
      </w:r>
      <w:r w:rsidRPr="008E11A1">
        <w:rPr>
          <w:rStyle w:val="FootnoteReference"/>
          <w:noProof/>
        </w:rPr>
        <w:footnoteReference w:id="5"/>
      </w:r>
      <w:r w:rsidRPr="008E11A1">
        <w:t xml:space="preserve"> nojalla saatuihin omien varojen ja hyväksyttävien velkojen koostumusta koskeviin tietoihin laatiakseen MREL-vähimmäisvaatimusta koskevan kertomuksensa direktiivin 2014/59/EU 45 l artiklan mukaisesti. Kertomus laaditaan tällä hetkellä puolivuosittain. MREL-vähimmäisvaatimuksen asettamista koskevien tietojen nykyinen vuotuinen raportointi merkitsee sitä, ettei EPV toimita tai arvioi MREL-päätöksiä, jotka kriisinratkaisuviranomaiset ovat tehneet asianomaisen viitepäivän jälkeen, eikä niitä oteta huomioon EPV:n kertomuksissa ennen seuraavaa vuotta, mikä johtaa ristiriitaisuuksiin omien varojen ja hyväksyttävien velkojen koostumusta koskevien ajantasaisempien tietojen kanssa.</w:t>
      </w:r>
    </w:p>
    <w:p w14:paraId="676EF325" w14:textId="77777777" w:rsidR="00C16484" w:rsidRPr="008E11A1" w:rsidRDefault="00C16484" w:rsidP="004B4C38">
      <w:pPr>
        <w:pStyle w:val="Considrant"/>
        <w:numPr>
          <w:ilvl w:val="0"/>
          <w:numId w:val="2"/>
        </w:numPr>
        <w:rPr>
          <w:iCs/>
          <w:noProof/>
        </w:rPr>
      </w:pPr>
      <w:r w:rsidRPr="008E11A1">
        <w:t xml:space="preserve">Jotta voidaan parantaa EPV:n kykyä seurata ja arvioida kriisinratkaisuviranomaisten asettamaa MREL-vähimmäisvaatimusta ja sitä, noudattavatko laitokset MREL-vaatimuksia, kriisinratkaisuviranomaisia olisi vaadittava raportoimaan EPV:lle MREL-päätöksistä useammin. Yhdenmukaisuuden varmistamiseksi MREL-vähimmäisvaatimusta koskevien EPV:n kertomusten kanssa kriisinratkaisuviranomaisten olisi raportoitava kyseiset tiedot kahdesti vuodessa. </w:t>
      </w:r>
    </w:p>
    <w:p w14:paraId="2672C096" w14:textId="77777777" w:rsidR="00C16484" w:rsidRPr="008E11A1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8E11A1">
        <w:t>Jotta EPV:n olisi helpompi arvioida, miten kriisinratkaisuviranomaiset ovat käyttäneet harkintavaltaa MREL-vähimmäisvaatimusta asettaessaan, erityisesti direktiivin 2014/59/EU 45 b artiklan 4 kohdan ensimmäisen alakohdan mukaisen vaihtoehdon osalta, lomaketta M 20.00 – MREL-päätöksiä koskeva raportointi (asetuksen (EU) 2021/622 liite I) ja vastaavia ohjeita olisi mukautettava siten, että edellytetään kyseisen vaihtoehdon käytöstä annettavien tietojen sisällyttämistä.</w:t>
      </w:r>
    </w:p>
    <w:p w14:paraId="1B5314C9" w14:textId="77777777" w:rsidR="00C16484" w:rsidRPr="008E11A1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8E11A1">
        <w:t>EPV on pyytänyt neuvoa Euroopan parlamentin ja neuvoston asetuksen (EU) N:o 1093/2010</w:t>
      </w:r>
      <w:r w:rsidRPr="008E11A1">
        <w:rPr>
          <w:rStyle w:val="FootnoteReference"/>
          <w:noProof/>
        </w:rPr>
        <w:footnoteReference w:id="6"/>
      </w:r>
      <w:r w:rsidRPr="008E11A1">
        <w:t xml:space="preserve"> 37 artiklan mukaisesti perustetulta pankkialan osallisryhmältä. </w:t>
      </w:r>
    </w:p>
    <w:p w14:paraId="5D5111C6" w14:textId="77777777" w:rsidR="00C16484" w:rsidRPr="008E11A1" w:rsidRDefault="00373FC4" w:rsidP="004B4C38">
      <w:pPr>
        <w:pStyle w:val="Considrant"/>
        <w:numPr>
          <w:ilvl w:val="0"/>
          <w:numId w:val="2"/>
        </w:numPr>
        <w:rPr>
          <w:noProof/>
        </w:rPr>
      </w:pPr>
      <w:r w:rsidRPr="008E11A1">
        <w:t xml:space="preserve">Asetuksen (EU) 2021/622 muutokset on osoitettu kriisinratkaisuviranomaisille eikä niihin liity merkittäviä sisällöllisiä muutoksia. EPV ei ole sen vuoksi järjestänyt asetuksen (EU) N:o 1093/2010 15 artiklan 1 kohdan toisen alakohdan mukaisia avoimia julkisia kuulemisia eikä analysoinut mahdollisia kustannuksia ja hyötyjä, koska se olisi suhteetonta kyseisten teknisten täytäntöönpanostandardien luonnosten laajuuteen ja vaikutukseen nähden. </w:t>
      </w:r>
    </w:p>
    <w:p w14:paraId="0A23BFF6" w14:textId="77777777" w:rsidR="00C16484" w:rsidRPr="008E11A1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8E11A1">
        <w:t>Täytäntöönpanoasetus (EU) 2021/622 olisi sen vuoksi muutettava vastaavasti.</w:t>
      </w:r>
    </w:p>
    <w:p w14:paraId="1887EA7B" w14:textId="77777777" w:rsidR="00C16484" w:rsidRPr="008E11A1" w:rsidRDefault="00C16484" w:rsidP="004B4C38">
      <w:pPr>
        <w:pStyle w:val="Considrant"/>
        <w:numPr>
          <w:ilvl w:val="0"/>
          <w:numId w:val="2"/>
        </w:numPr>
        <w:rPr>
          <w:noProof/>
        </w:rPr>
      </w:pPr>
      <w:r w:rsidRPr="008E11A1">
        <w:t>Tämä asetus perustuu teknisten täytäntöönpanostandardien luonnoksiin, jotka EPV on toimittanut komissiolle,</w:t>
      </w:r>
    </w:p>
    <w:p w14:paraId="313B274F" w14:textId="77777777" w:rsidR="00C16484" w:rsidRPr="008E11A1" w:rsidRDefault="00C16484">
      <w:pPr>
        <w:pStyle w:val="Formuledadoption"/>
      </w:pPr>
      <w:r w:rsidRPr="008E11A1">
        <w:t>ON HYVÄKSYNYT TÄMÄN ASETUKSEN:</w:t>
      </w:r>
    </w:p>
    <w:p w14:paraId="455FC522" w14:textId="77777777" w:rsidR="00C16484" w:rsidRPr="008E11A1" w:rsidRDefault="00C16484">
      <w:pPr>
        <w:pStyle w:val="Titrearticle"/>
      </w:pPr>
      <w:r w:rsidRPr="008E11A1">
        <w:t>1 artikla</w:t>
      </w:r>
    </w:p>
    <w:p w14:paraId="061A957A" w14:textId="77777777" w:rsidR="00C16484" w:rsidRPr="008E11A1" w:rsidRDefault="00C16484" w:rsidP="00C16484">
      <w:pPr>
        <w:rPr>
          <w:noProof/>
        </w:rPr>
      </w:pPr>
      <w:r w:rsidRPr="008E11A1">
        <w:t>Muutetaan täytäntöönpanoasetus (EU) 2021/622 seuraavasti:</w:t>
      </w:r>
    </w:p>
    <w:p w14:paraId="44E520EB" w14:textId="23901EED" w:rsidR="00C16484" w:rsidRPr="008E11A1" w:rsidRDefault="00172093" w:rsidP="00172093">
      <w:pPr>
        <w:pStyle w:val="Point0"/>
        <w:rPr>
          <w:noProof/>
        </w:rPr>
      </w:pPr>
      <w:r>
        <w:t>1)</w:t>
      </w:r>
      <w:r>
        <w:tab/>
      </w:r>
      <w:r w:rsidR="00C16484" w:rsidRPr="008E11A1">
        <w:t>Muutetaan 2 artikla seuraavasti:</w:t>
      </w:r>
    </w:p>
    <w:p w14:paraId="252CA8AC" w14:textId="09BC4143" w:rsidR="00C16484" w:rsidRPr="008E11A1" w:rsidRDefault="00172093" w:rsidP="00172093">
      <w:pPr>
        <w:pStyle w:val="Point1"/>
        <w:rPr>
          <w:noProof/>
        </w:rPr>
      </w:pPr>
      <w:r>
        <w:t>a)</w:t>
      </w:r>
      <w:r>
        <w:tab/>
      </w:r>
      <w:r w:rsidR="00C16484" w:rsidRPr="008E11A1">
        <w:t>korvataan otsikko seuraavasti:</w:t>
      </w:r>
    </w:p>
    <w:p w14:paraId="3D4F8508" w14:textId="77777777" w:rsidR="00C16484" w:rsidRPr="008E11A1" w:rsidRDefault="00C16484" w:rsidP="00783A3B">
      <w:pPr>
        <w:jc w:val="center"/>
        <w:rPr>
          <w:noProof/>
        </w:rPr>
      </w:pPr>
      <w:r w:rsidRPr="008E11A1">
        <w:t>”</w:t>
      </w:r>
      <w:r w:rsidRPr="008E11A1">
        <w:rPr>
          <w:b/>
        </w:rPr>
        <w:t>Yksinkertaistettu raportointivelvoite laitoksille, joiden tapauksessa soveltamisesta on luovuttu</w:t>
      </w:r>
      <w:r w:rsidRPr="008E11A1">
        <w:t>”;</w:t>
      </w:r>
    </w:p>
    <w:p w14:paraId="2EAF66BD" w14:textId="1D8F5476" w:rsidR="00C16484" w:rsidRPr="008E11A1" w:rsidRDefault="00172093" w:rsidP="00172093">
      <w:pPr>
        <w:pStyle w:val="Point1"/>
        <w:rPr>
          <w:noProof/>
        </w:rPr>
      </w:pPr>
      <w:r>
        <w:t>b)</w:t>
      </w:r>
      <w:r>
        <w:tab/>
      </w:r>
      <w:r w:rsidR="00C16484" w:rsidRPr="008E11A1">
        <w:t>kumotaan 2 kohta;</w:t>
      </w:r>
    </w:p>
    <w:p w14:paraId="1A052A8B" w14:textId="508E9A79" w:rsidR="00C16484" w:rsidRPr="008E11A1" w:rsidRDefault="00172093" w:rsidP="00172093">
      <w:pPr>
        <w:pStyle w:val="Point0"/>
        <w:rPr>
          <w:noProof/>
        </w:rPr>
      </w:pPr>
      <w:r>
        <w:t>2)</w:t>
      </w:r>
      <w:r>
        <w:tab/>
      </w:r>
      <w:r w:rsidR="00C16484" w:rsidRPr="008E11A1">
        <w:t>korvataan 3 artiklan johdantokappale seuraavasti:</w:t>
      </w:r>
    </w:p>
    <w:p w14:paraId="533DCDB8" w14:textId="77777777" w:rsidR="00C16484" w:rsidRPr="008E11A1" w:rsidRDefault="00C16484" w:rsidP="00783A3B">
      <w:pPr>
        <w:rPr>
          <w:noProof/>
        </w:rPr>
      </w:pPr>
      <w:r w:rsidRPr="008E11A1">
        <w:t>”Niiden konsernien osalta, joihin sovelletaan MREL-vähimmäisvaatimusta konsolidoinnin perusteella direktiivin 2014/59/EU 45 e artiklan, 45 f artiklan 1 kohdan kolmannen ja neljännen alakohdan ja 45 f artiklan 4 kohdan b alakohdan mukaisesti, seuraavien viranomaisten on toimitettava 1 ja 2 artiklassa tarkoitetut tiedot seuraavasti:”;</w:t>
      </w:r>
    </w:p>
    <w:p w14:paraId="0509E0AB" w14:textId="7ADBA2BD" w:rsidR="00C16484" w:rsidRPr="008E11A1" w:rsidRDefault="00172093" w:rsidP="00172093">
      <w:pPr>
        <w:pStyle w:val="Point0"/>
        <w:rPr>
          <w:noProof/>
        </w:rPr>
      </w:pPr>
      <w:r>
        <w:t>3)</w:t>
      </w:r>
      <w:r>
        <w:tab/>
      </w:r>
      <w:r w:rsidR="00C16484" w:rsidRPr="008E11A1">
        <w:t>Korvataan 4 artikla seuraavasti:</w:t>
      </w:r>
    </w:p>
    <w:p w14:paraId="66FCA4E9" w14:textId="77777777" w:rsidR="00C16484" w:rsidRPr="008E11A1" w:rsidRDefault="00D47F83" w:rsidP="00783A3B">
      <w:pPr>
        <w:pStyle w:val="Titrearticle"/>
        <w:rPr>
          <w:i w:val="0"/>
          <w:iCs/>
          <w:noProof/>
        </w:rPr>
      </w:pPr>
      <w:r w:rsidRPr="008E11A1">
        <w:rPr>
          <w:i w:val="0"/>
        </w:rPr>
        <w:t>”</w:t>
      </w:r>
      <w:r w:rsidRPr="008E11A1">
        <w:t xml:space="preserve">4 artikla </w:t>
      </w:r>
      <w:r w:rsidRPr="008E11A1">
        <w:br/>
      </w:r>
      <w:r w:rsidRPr="008E11A1">
        <w:rPr>
          <w:b/>
          <w:i w:val="0"/>
        </w:rPr>
        <w:t>Raportointijaksot ja -määräajat</w:t>
      </w:r>
    </w:p>
    <w:p w14:paraId="054F5F9B" w14:textId="77777777" w:rsidR="00C16484" w:rsidRPr="008E11A1" w:rsidRDefault="00C16484" w:rsidP="00783A3B">
      <w:pPr>
        <w:rPr>
          <w:noProof/>
        </w:rPr>
      </w:pPr>
      <w:r w:rsidRPr="008E11A1">
        <w:t>Kriisinratkaisuviranomaisten on toimitettava 1 ja 2 artiklassa tarkoitetut tiedot seuraavasti:</w:t>
      </w:r>
    </w:p>
    <w:p w14:paraId="5113726F" w14:textId="3B317DEA" w:rsidR="00C16484" w:rsidRPr="008E11A1" w:rsidRDefault="00172093" w:rsidP="00172093">
      <w:pPr>
        <w:pStyle w:val="Point1"/>
        <w:rPr>
          <w:noProof/>
        </w:rPr>
      </w:pPr>
      <w:r>
        <w:t>a)</w:t>
      </w:r>
      <w:r>
        <w:tab/>
      </w:r>
      <w:r w:rsidR="00C16484" w:rsidRPr="008E11A1">
        <w:t>kesäkuun 30 päivästä sovellettavan MREL-vähimmäisvaatimuksen osalta viimeistään kyseisen vuoden syyskuun 16 päivänä;</w:t>
      </w:r>
    </w:p>
    <w:p w14:paraId="7219DDD8" w14:textId="0D2B7DF0" w:rsidR="00C16484" w:rsidRPr="008E11A1" w:rsidRDefault="00172093" w:rsidP="00172093">
      <w:pPr>
        <w:pStyle w:val="Point1"/>
        <w:rPr>
          <w:noProof/>
        </w:rPr>
      </w:pPr>
      <w:r>
        <w:t>b)</w:t>
      </w:r>
      <w:r>
        <w:tab/>
      </w:r>
      <w:r w:rsidR="00C16484" w:rsidRPr="008E11A1">
        <w:t>joulukuun 31 päivästä sovellettavan MREL-vähimmäisvaatimuksen osalta viimeistään seuraavan vuoden maaliskuun 18 päivänä.”;</w:t>
      </w:r>
    </w:p>
    <w:p w14:paraId="65609948" w14:textId="688B2482" w:rsidR="00C16484" w:rsidRPr="008E11A1" w:rsidRDefault="00172093" w:rsidP="00172093">
      <w:pPr>
        <w:pStyle w:val="Point0"/>
        <w:rPr>
          <w:noProof/>
        </w:rPr>
      </w:pPr>
      <w:r>
        <w:t>4)</w:t>
      </w:r>
      <w:r>
        <w:tab/>
      </w:r>
      <w:r w:rsidR="00C16484" w:rsidRPr="008E11A1">
        <w:t>korvataan liite I tämän asetuksen liitteessä I olevalla tekstillä;</w:t>
      </w:r>
    </w:p>
    <w:p w14:paraId="45E55C10" w14:textId="21CBBC51" w:rsidR="00C16484" w:rsidRPr="008E11A1" w:rsidRDefault="00172093" w:rsidP="00172093">
      <w:pPr>
        <w:pStyle w:val="Point0"/>
        <w:rPr>
          <w:noProof/>
        </w:rPr>
      </w:pPr>
      <w:r>
        <w:t>5)</w:t>
      </w:r>
      <w:r>
        <w:tab/>
      </w:r>
      <w:r w:rsidR="00C16484" w:rsidRPr="008E11A1">
        <w:t>korvataan liite II tämän asetuksen liitteessä II olevalla tekstillä.</w:t>
      </w:r>
    </w:p>
    <w:p w14:paraId="0B09A3CA" w14:textId="77777777" w:rsidR="00C16484" w:rsidRPr="008E11A1" w:rsidRDefault="00C16484">
      <w:pPr>
        <w:pStyle w:val="Titrearticle"/>
      </w:pPr>
      <w:r w:rsidRPr="008E11A1">
        <w:t>2 artikla</w:t>
      </w:r>
    </w:p>
    <w:p w14:paraId="0BDD24EC" w14:textId="77777777" w:rsidR="00C16484" w:rsidRPr="008E11A1" w:rsidRDefault="00C16484" w:rsidP="00830365">
      <w:r w:rsidRPr="008E11A1">
        <w:t xml:space="preserve">Tämä asetus tulee voimaan kahdentenakymmenentenä päivänä sen jälkeen, kun se on julkaistu </w:t>
      </w:r>
      <w:r w:rsidRPr="008E11A1">
        <w:rPr>
          <w:i/>
        </w:rPr>
        <w:t>Euroopan unionin virallisessa lehdessä</w:t>
      </w:r>
      <w:r w:rsidRPr="008E11A1">
        <w:t>.</w:t>
      </w:r>
    </w:p>
    <w:p w14:paraId="3DDE2F7A" w14:textId="77777777" w:rsidR="00C16484" w:rsidRPr="008E11A1" w:rsidRDefault="00C16484">
      <w:pPr>
        <w:pStyle w:val="Applicationdirecte"/>
      </w:pPr>
      <w:r w:rsidRPr="008E11A1">
        <w:t>Tämä asetus on kaikilta osiltaan velvoittava, ja sitä sovelletaan sellaisenaan kaikissa jäsenvaltioissa.</w:t>
      </w:r>
    </w:p>
    <w:p w14:paraId="0FD02893" w14:textId="15A926CA" w:rsidR="00C16484" w:rsidRPr="008E11A1" w:rsidRDefault="00456021" w:rsidP="00456021">
      <w:pPr>
        <w:pStyle w:val="Fait"/>
      </w:pPr>
      <w:r w:rsidRPr="00456021">
        <w:t>Tehty Brysselissä</w:t>
      </w:r>
    </w:p>
    <w:p w14:paraId="3FB14D4B" w14:textId="77777777" w:rsidR="00C16484" w:rsidRPr="008E11A1" w:rsidRDefault="00C16484" w:rsidP="00C16484">
      <w:pPr>
        <w:pStyle w:val="Institutionquisigne"/>
      </w:pPr>
      <w:r w:rsidRPr="008E11A1">
        <w:tab/>
        <w:t>Komission puolesta</w:t>
      </w:r>
    </w:p>
    <w:p w14:paraId="0FEF1170" w14:textId="0CD182DE" w:rsidR="00C16484" w:rsidRPr="008E11A1" w:rsidRDefault="00C16484" w:rsidP="00C16484">
      <w:pPr>
        <w:pStyle w:val="Personnequisigne"/>
      </w:pPr>
      <w:r w:rsidRPr="008E11A1">
        <w:tab/>
        <w:t xml:space="preserve">Puheenjohtaja </w:t>
      </w:r>
      <w:r w:rsidRPr="008E11A1">
        <w:br/>
      </w:r>
      <w:r w:rsidRPr="008E11A1">
        <w:tab/>
        <w:t xml:space="preserve">Ursula von der Leyen </w:t>
      </w:r>
      <w:r w:rsidRPr="008E11A1">
        <w:br/>
      </w:r>
      <w:r w:rsidRPr="008E11A1">
        <w:tab/>
      </w:r>
    </w:p>
    <w:sectPr w:rsidR="00C16484" w:rsidRPr="008E11A1" w:rsidSect="00C04FA0">
      <w:headerReference w:type="even" r:id="rId18"/>
      <w:footerReference w:type="even" r:id="rId19"/>
      <w:footerReference w:type="default" r:id="rId20"/>
      <w:headerReference w:type="first" r:id="rId21"/>
      <w:footerReference w:type="first" r:id="rId22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4D8F0" w14:textId="77777777" w:rsidR="00F07F26" w:rsidRDefault="00F07F26" w:rsidP="00C16484">
      <w:pPr>
        <w:spacing w:before="0" w:after="0"/>
      </w:pPr>
      <w:r>
        <w:separator/>
      </w:r>
    </w:p>
  </w:endnote>
  <w:endnote w:type="continuationSeparator" w:id="0">
    <w:p w14:paraId="61DF8EAB" w14:textId="77777777" w:rsidR="00F07F26" w:rsidRDefault="00F07F26" w:rsidP="00C16484">
      <w:pPr>
        <w:spacing w:before="0" w:after="0"/>
      </w:pPr>
      <w:r>
        <w:continuationSeparator/>
      </w:r>
    </w:p>
  </w:endnote>
  <w:endnote w:type="continuationNotice" w:id="1">
    <w:p w14:paraId="04F6DC9C" w14:textId="77777777" w:rsidR="00F07F26" w:rsidRDefault="00F07F2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8958" w14:textId="33CD6FD5" w:rsidR="00456021" w:rsidRPr="00C04FA0" w:rsidRDefault="00C04FA0" w:rsidP="00C04FA0">
    <w:pPr>
      <w:pStyle w:val="Footer"/>
      <w:rPr>
        <w:rFonts w:ascii="Arial" w:hAnsi="Arial" w:cs="Arial"/>
        <w:b/>
        <w:sz w:val="48"/>
      </w:rPr>
    </w:pPr>
    <w:r w:rsidRPr="00C04FA0">
      <w:rPr>
        <w:rFonts w:ascii="Arial" w:hAnsi="Arial" w:cs="Arial"/>
        <w:b/>
        <w:sz w:val="48"/>
      </w:rPr>
      <w:t>FI</w:t>
    </w:r>
    <w:r w:rsidRPr="00C04FA0">
      <w:rPr>
        <w:rFonts w:ascii="Arial" w:hAnsi="Arial" w:cs="Arial"/>
        <w:b/>
        <w:sz w:val="48"/>
      </w:rPr>
      <w:tab/>
    </w:r>
    <w:r w:rsidRPr="00C04FA0">
      <w:rPr>
        <w:rFonts w:ascii="Arial" w:hAnsi="Arial" w:cs="Arial"/>
        <w:b/>
        <w:sz w:val="48"/>
      </w:rPr>
      <w:tab/>
    </w:r>
    <w:r w:rsidRPr="00C04FA0">
      <w:tab/>
    </w:r>
    <w:r w:rsidRPr="00C04FA0">
      <w:rPr>
        <w:rFonts w:ascii="Arial" w:hAnsi="Arial" w:cs="Arial"/>
        <w:b/>
        <w:sz w:val="48"/>
      </w:rPr>
      <w:t>FI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483C" w14:textId="1110F083" w:rsidR="00456021" w:rsidRPr="00C04FA0" w:rsidRDefault="00C04FA0" w:rsidP="00C04FA0">
    <w:pPr>
      <w:pStyle w:val="Footer"/>
      <w:rPr>
        <w:rFonts w:ascii="Arial" w:hAnsi="Arial" w:cs="Arial"/>
        <w:b/>
        <w:sz w:val="48"/>
      </w:rPr>
    </w:pPr>
    <w:r w:rsidRPr="00C04FA0">
      <w:rPr>
        <w:rFonts w:ascii="Arial" w:hAnsi="Arial" w:cs="Arial"/>
        <w:b/>
        <w:sz w:val="48"/>
      </w:rPr>
      <w:t>FI</w:t>
    </w:r>
    <w:r w:rsidRPr="00C04FA0">
      <w:rPr>
        <w:rFonts w:ascii="Arial" w:hAnsi="Arial" w:cs="Arial"/>
        <w:b/>
        <w:sz w:val="48"/>
      </w:rPr>
      <w:tab/>
    </w:r>
    <w:r w:rsidRPr="00C04FA0">
      <w:rPr>
        <w:rFonts w:ascii="Arial" w:hAnsi="Arial" w:cs="Arial"/>
        <w:b/>
        <w:sz w:val="48"/>
      </w:rPr>
      <w:tab/>
    </w:r>
    <w:r w:rsidRPr="00C04FA0">
      <w:tab/>
    </w:r>
    <w:r w:rsidRPr="00C04FA0">
      <w:rPr>
        <w:rFonts w:ascii="Arial" w:hAnsi="Arial" w:cs="Arial"/>
        <w:b/>
        <w:sz w:val="48"/>
      </w:rPr>
      <w:t>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406" w14:textId="77777777" w:rsidR="00C04FA0" w:rsidRPr="00C04FA0" w:rsidRDefault="00C04FA0" w:rsidP="00C04FA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2728" w14:textId="77777777" w:rsidR="000C320E" w:rsidRPr="00DC5E29" w:rsidRDefault="000C320E" w:rsidP="00DC5E29">
    <w:pPr>
      <w:pStyle w:val="Footer"/>
      <w:rPr>
        <w:rFonts w:ascii="Arial" w:hAnsi="Arial" w:cs="Arial"/>
        <w:b/>
        <w:sz w:val="4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D444" w14:textId="6873FE69" w:rsidR="00C04FA0" w:rsidRPr="00C04FA0" w:rsidRDefault="00C04FA0" w:rsidP="00C04FA0">
    <w:pPr>
      <w:pStyle w:val="Footer"/>
      <w:rPr>
        <w:rFonts w:ascii="Arial" w:hAnsi="Arial" w:cs="Arial"/>
        <w:b/>
        <w:sz w:val="48"/>
      </w:rPr>
    </w:pPr>
    <w:r w:rsidRPr="00C04FA0">
      <w:rPr>
        <w:rFonts w:ascii="Arial" w:hAnsi="Arial" w:cs="Arial"/>
        <w:b/>
        <w:sz w:val="48"/>
      </w:rPr>
      <w:t>FI</w:t>
    </w:r>
    <w:r w:rsidRPr="00C04FA0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C04FA0">
      <w:tab/>
    </w:r>
    <w:r w:rsidRPr="00C04FA0">
      <w:rPr>
        <w:rFonts w:ascii="Arial" w:hAnsi="Arial" w:cs="Arial"/>
        <w:b/>
        <w:sz w:val="48"/>
      </w:rPr>
      <w:t>FI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2C19" w14:textId="77777777" w:rsidR="000C320E" w:rsidRDefault="000C320E" w:rsidP="00C0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04942" w14:textId="77777777" w:rsidR="00F07F26" w:rsidRDefault="00F07F26" w:rsidP="00C16484">
      <w:pPr>
        <w:spacing w:before="0" w:after="0"/>
      </w:pPr>
      <w:r>
        <w:separator/>
      </w:r>
    </w:p>
  </w:footnote>
  <w:footnote w:type="continuationSeparator" w:id="0">
    <w:p w14:paraId="298144EA" w14:textId="77777777" w:rsidR="00F07F26" w:rsidRDefault="00F07F26" w:rsidP="00C16484">
      <w:pPr>
        <w:spacing w:before="0" w:after="0"/>
      </w:pPr>
      <w:r>
        <w:continuationSeparator/>
      </w:r>
    </w:p>
  </w:footnote>
  <w:footnote w:type="continuationNotice" w:id="1">
    <w:p w14:paraId="57F8940A" w14:textId="77777777" w:rsidR="00F07F26" w:rsidRDefault="00F07F26">
      <w:pPr>
        <w:spacing w:before="0" w:after="0"/>
      </w:pPr>
    </w:p>
  </w:footnote>
  <w:footnote w:id="2">
    <w:p w14:paraId="33763137" w14:textId="77777777" w:rsidR="00C16484" w:rsidRPr="008E11A1" w:rsidRDefault="00C16484" w:rsidP="00C16484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8E11A1">
        <w:rPr>
          <w:lang w:val="fr-BE"/>
        </w:rPr>
        <w:tab/>
        <w:t>EUVL L 173, 12.6.2014, s. 190, ELI: </w:t>
      </w:r>
      <w:hyperlink r:id="rId1" w:tooltip="Avaa asiakirjan ELI URI -osoitteen kautta." w:history="1">
        <w:r w:rsidRPr="008E11A1">
          <w:rPr>
            <w:rStyle w:val="Hyperlink"/>
            <w:rFonts w:ascii="Times New Roman" w:hAnsi="Times New Roman"/>
            <w:lang w:val="fr-BE"/>
          </w:rPr>
          <w:t>http://data.europa.eu/eli/dir/2014/59/oj</w:t>
        </w:r>
      </w:hyperlink>
      <w:r w:rsidRPr="008E11A1">
        <w:rPr>
          <w:lang w:val="fr-BE"/>
        </w:rPr>
        <w:t xml:space="preserve">. </w:t>
      </w:r>
    </w:p>
  </w:footnote>
  <w:footnote w:id="3">
    <w:p w14:paraId="584AEAAA" w14:textId="78F88551" w:rsidR="003428AE" w:rsidRPr="009B0295" w:rsidRDefault="003428AE">
      <w:pPr>
        <w:pStyle w:val="FootnoteText"/>
      </w:pPr>
      <w:r>
        <w:rPr>
          <w:rStyle w:val="FootnoteReference"/>
        </w:rPr>
        <w:footnoteRef/>
      </w:r>
      <w:r>
        <w:tab/>
        <w:t xml:space="preserve">Euroopan parlamentin ja neuvoston direktiivi (EU) 2024/1174, annettu 11 päivänä huhtikuuta 2024, direktiivin 2014/59/EU ja asetuksen (EU) N:o 806/2014 muuttamisesta omia varoja ja hyväksyttäviä velkoja koskevan vähimmäisvaatimuksen tiettyjen näkökohtien osalta (EUVL L, 2024/1174, 22.4.2024, ELI: </w:t>
      </w:r>
      <w:hyperlink r:id="rId2" w:history="1">
        <w:r>
          <w:rPr>
            <w:rStyle w:val="Hyperlink"/>
            <w:rFonts w:ascii="Times New Roman" w:hAnsi="Times New Roman"/>
          </w:rPr>
          <w:t>http://data.europa.eu/eli/dir/2024/1174/oj</w:t>
        </w:r>
      </w:hyperlink>
      <w:r>
        <w:t xml:space="preserve">). </w:t>
      </w:r>
    </w:p>
  </w:footnote>
  <w:footnote w:id="4">
    <w:p w14:paraId="4D1953DF" w14:textId="607C22C8" w:rsidR="001F4496" w:rsidRPr="009B0295" w:rsidRDefault="001F4496">
      <w:pPr>
        <w:pStyle w:val="FootnoteText"/>
      </w:pPr>
      <w:r>
        <w:rPr>
          <w:rStyle w:val="FootnoteReference"/>
        </w:rPr>
        <w:footnoteRef/>
      </w:r>
      <w:r>
        <w:tab/>
        <w:t xml:space="preserve">Komission täytäntöönpanoasetus (EU) 2021/622, annettu 15 päivänä huhtikuuta 2021, Euroopan parlamentin ja neuvoston direktiivin 2014/59/EU soveltamista koskevista teknisistä täytäntöönpanostandardeista omien varojen ja hyväksyttävien velkojen vähimmäisvaatimusta koskevaan raportointiin liittyvien yhdenmukaisten raportointilomakkeiden, ohjeiden ja menetelmien osalta (EUVL L 131, 16.4.2021, s. 123–136, ELI: </w:t>
      </w:r>
      <w:hyperlink r:id="rId3" w:history="1">
        <w:r>
          <w:rPr>
            <w:rStyle w:val="Hyperlink"/>
            <w:rFonts w:ascii="Times New Roman" w:hAnsi="Times New Roman"/>
          </w:rPr>
          <w:t>http://data.europa.eu/eli/reg_impl/2021/622/oj</w:t>
        </w:r>
      </w:hyperlink>
      <w:r>
        <w:t>).</w:t>
      </w:r>
    </w:p>
  </w:footnote>
  <w:footnote w:id="5">
    <w:p w14:paraId="5FB3833A" w14:textId="77777777" w:rsidR="000B5B60" w:rsidRPr="000B5B60" w:rsidRDefault="000B5B60">
      <w:pPr>
        <w:pStyle w:val="FootnoteText"/>
      </w:pPr>
      <w:r>
        <w:rPr>
          <w:rStyle w:val="FootnoteReference"/>
        </w:rPr>
        <w:footnoteRef/>
      </w:r>
      <w:r>
        <w:tab/>
        <w:t xml:space="preserve">Komission täytäntöönpanoasetus (EU) 2021/763, annettu 23 päivänä huhtikuuta 2021, Euroopan parlamentin ja neuvoston asetuksen (EU) N:o 575/2013 ja Euroopan parlamentin ja neuvoston direktiivin 2014/59/EU soveltamista koskevista teknisistä täytäntöönpanostandardeista valvontaan liittyvän raportoinnin ja omia varoja ja hyväksyttäviä velkoja koskevan vähimmäisvaatimuksen julkistamisen osalta (EUVL L 168, 12.5.2021, ELI: </w:t>
      </w:r>
      <w:hyperlink r:id="rId4" w:history="1">
        <w:r>
          <w:rPr>
            <w:rStyle w:val="Hyperlink"/>
            <w:rFonts w:ascii="Times New Roman" w:hAnsi="Times New Roman"/>
          </w:rPr>
          <w:t>http://data.europa.eu/eli/reg_impl/2021/763/oj</w:t>
        </w:r>
      </w:hyperlink>
      <w:r>
        <w:t>).</w:t>
      </w:r>
    </w:p>
  </w:footnote>
  <w:footnote w:id="6">
    <w:p w14:paraId="04BE3385" w14:textId="77777777" w:rsidR="00401F3A" w:rsidRPr="00FE7BD1" w:rsidRDefault="00401F3A" w:rsidP="00F35BD7">
      <w:pPr>
        <w:pStyle w:val="FootnoteText"/>
      </w:pPr>
      <w:r>
        <w:rPr>
          <w:rStyle w:val="FootnoteReference"/>
        </w:rPr>
        <w:footnoteRef/>
      </w:r>
      <w:r>
        <w:tab/>
        <w:t>Euroopan parlamentin ja neuvoston asetus (EU) N:o 1093/2010, annettu 24 päivänä marraskuuta 2010, Euroopan valvontaviranomaisen (Euroopan pankkiviranomainen) perustamisesta sekä päätöksen N:o 716/2009/EY muuttamisesta ja komission päätöksen 2009/78/EY kumoamisesta (EUVL L 331, 15.12.2010, s. 12, ELI: </w:t>
      </w:r>
      <w:hyperlink r:id="rId5" w:tooltip="Avaa asiakirjan ELI URI -osoitteen kautta." w:history="1">
        <w:r>
          <w:rPr>
            <w:rStyle w:val="Hyperlink"/>
            <w:rFonts w:ascii="Times New Roman" w:hAnsi="Times New Roman"/>
          </w:rPr>
          <w:t>http://data.europa.eu/eli/reg/2010/1093/oj</w:t>
        </w:r>
      </w:hyperlink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AC85" w14:textId="77777777" w:rsidR="00C04FA0" w:rsidRPr="00C04FA0" w:rsidRDefault="00C04FA0" w:rsidP="00C04F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B8C7C" w14:textId="77777777" w:rsidR="00C04FA0" w:rsidRPr="00C04FA0" w:rsidRDefault="00C04FA0" w:rsidP="00C04F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1C368" w14:textId="77777777" w:rsidR="00C04FA0" w:rsidRPr="00C04FA0" w:rsidRDefault="00C04FA0" w:rsidP="00C04FA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AC1D2" w14:textId="77777777" w:rsidR="000C320E" w:rsidRDefault="000C32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10A3" w14:textId="77777777" w:rsidR="000C320E" w:rsidRDefault="000C3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91B8BE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E568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CAC290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7B7A92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7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1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2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3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4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6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8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25511920">
    <w:abstractNumId w:val="3"/>
  </w:num>
  <w:num w:numId="2" w16cid:durableId="784347441">
    <w:abstractNumId w:val="18"/>
    <w:lvlOverride w:ilvl="0">
      <w:startOverride w:val="1"/>
    </w:lvlOverride>
  </w:num>
  <w:num w:numId="3" w16cid:durableId="2119445392">
    <w:abstractNumId w:val="2"/>
  </w:num>
  <w:num w:numId="4" w16cid:durableId="1881360427">
    <w:abstractNumId w:val="1"/>
  </w:num>
  <w:num w:numId="5" w16cid:durableId="309334442">
    <w:abstractNumId w:val="0"/>
  </w:num>
  <w:num w:numId="6" w16cid:durableId="86109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9693441">
    <w:abstractNumId w:val="15"/>
  </w:num>
  <w:num w:numId="8" w16cid:durableId="1693998065">
    <w:abstractNumId w:val="8"/>
  </w:num>
  <w:num w:numId="9" w16cid:durableId="788817884">
    <w:abstractNumId w:val="17"/>
  </w:num>
  <w:num w:numId="10" w16cid:durableId="1535464848">
    <w:abstractNumId w:val="7"/>
  </w:num>
  <w:num w:numId="11" w16cid:durableId="639657071">
    <w:abstractNumId w:val="9"/>
  </w:num>
  <w:num w:numId="12" w16cid:durableId="361050661">
    <w:abstractNumId w:val="10"/>
  </w:num>
  <w:num w:numId="13" w16cid:durableId="472790552">
    <w:abstractNumId w:val="5"/>
  </w:num>
  <w:num w:numId="14" w16cid:durableId="384646725">
    <w:abstractNumId w:val="16"/>
  </w:num>
  <w:num w:numId="15" w16cid:durableId="2031682509">
    <w:abstractNumId w:val="4"/>
  </w:num>
  <w:num w:numId="16" w16cid:durableId="150604668">
    <w:abstractNumId w:val="11"/>
  </w:num>
  <w:num w:numId="17" w16cid:durableId="472332852">
    <w:abstractNumId w:val="13"/>
  </w:num>
  <w:num w:numId="18" w16cid:durableId="1298296966">
    <w:abstractNumId w:val="14"/>
  </w:num>
  <w:num w:numId="19" w16cid:durableId="1306230484">
    <w:abstractNumId w:val="6"/>
  </w:num>
  <w:num w:numId="20" w16cid:durableId="24066917">
    <w:abstractNumId w:val="12"/>
  </w:num>
  <w:num w:numId="21" w16cid:durableId="485436588">
    <w:abstractNumId w:val="18"/>
  </w:num>
  <w:num w:numId="22" w16cid:durableId="2089693441">
    <w:abstractNumId w:val="15"/>
  </w:num>
  <w:num w:numId="23" w16cid:durableId="1693998065">
    <w:abstractNumId w:val="8"/>
  </w:num>
  <w:num w:numId="24" w16cid:durableId="788817884">
    <w:abstractNumId w:val="17"/>
  </w:num>
  <w:num w:numId="25" w16cid:durableId="1535464848">
    <w:abstractNumId w:val="7"/>
  </w:num>
  <w:num w:numId="26" w16cid:durableId="639657071">
    <w:abstractNumId w:val="9"/>
  </w:num>
  <w:num w:numId="27" w16cid:durableId="361050661">
    <w:abstractNumId w:val="10"/>
  </w:num>
  <w:num w:numId="28" w16cid:durableId="472790552">
    <w:abstractNumId w:val="5"/>
  </w:num>
  <w:num w:numId="29" w16cid:durableId="384646725">
    <w:abstractNumId w:val="16"/>
  </w:num>
  <w:num w:numId="30" w16cid:durableId="2031682509">
    <w:abstractNumId w:val="4"/>
  </w:num>
  <w:num w:numId="31" w16cid:durableId="150604668">
    <w:abstractNumId w:val="11"/>
  </w:num>
  <w:num w:numId="32" w16cid:durableId="472332852">
    <w:abstractNumId w:val="13"/>
  </w:num>
  <w:num w:numId="33" w16cid:durableId="1298296966">
    <w:abstractNumId w:val="14"/>
  </w:num>
  <w:num w:numId="34" w16cid:durableId="1306230484">
    <w:abstractNumId w:val="6"/>
  </w:num>
  <w:num w:numId="35" w16cid:durableId="24066917">
    <w:abstractNumId w:val="12"/>
  </w:num>
  <w:num w:numId="36" w16cid:durableId="485436588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QCDateTime" w:val="2026-02-02 10.47.10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4ACBA928-DBA6-4BF2-B453-DD4D605BE412"/>
    <w:docVar w:name="LW_COVERPAGE_TYPE" w:val="1"/>
    <w:docVar w:name="LW_CreatedUtc" w:val="2025-09-04T16:00:38.0896335Z"/>
    <w:docVar w:name="LW_CROSSREFERENCE" w:val="&lt;UNUSED&gt;"/>
    <w:docVar w:name="LW_DATE.ADOPT.CP" w:val="annettu XXX,"/>
    <w:docVar w:name="LW_DATE.ADOPT.CP_DATEFORMAT" w:val="annettu %DATE%,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Bryssel "/>
    <w:docVar w:name="LW_EMISSION_SUFFIX" w:val=" "/>
    <w:docVar w:name="LW_ID_DOCMODEL" w:val="SJ-004"/>
    <w:docVar w:name="LW_ID_DOCSIGNATURE" w:val="SJ-004"/>
    <w:docVar w:name="LW_ID_DOCSTRUCTURE" w:val="COM/AA"/>
    <w:docVar w:name="LW_ID_DOCTYPE" w:val="SJ-004"/>
    <w:docVar w:name="LW_INTERETEEE.CP" w:val="(ETA:n kannalta merkityksellinen teksti)"/>
    <w:docVar w:name="LW_LANGUE" w:val="FI"/>
    <w:docVar w:name="LW_LANGUESFAISANTFOI.CP" w:val="&lt;UNUSED&gt;"/>
    <w:docVar w:name="LW_LEVEL_OF_SENSITIVITY" w:val="Standard treatment"/>
    <w:docVar w:name="LW_NOM.INST" w:val="EUROOPAN KOMISSIO"/>
    <w:docVar w:name="LW_NOM.INST_JOINTDOC" w:val="&lt;EMPTY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6) XXX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täytäntöönpanoasetuksessa (EU) 2021/622 vahvistettujen teknisten täytäntöönpanostandardien muuttamisesta raportointitiheyden ja ilmoitettavien tietojen osalta"/>
    <w:docVar w:name="LW_TYPE.DOC.CP" w:val="KOMISSION TÄYTÄNTÖÖNPANOASETUS (EU) \u8230?/\u8230?,"/>
  </w:docVars>
  <w:rsids>
    <w:rsidRoot w:val="00C16484"/>
    <w:rsid w:val="00000BE0"/>
    <w:rsid w:val="00016399"/>
    <w:rsid w:val="000417C4"/>
    <w:rsid w:val="00045B9F"/>
    <w:rsid w:val="000625FB"/>
    <w:rsid w:val="00075947"/>
    <w:rsid w:val="000A663E"/>
    <w:rsid w:val="000B5B60"/>
    <w:rsid w:val="000B7A7D"/>
    <w:rsid w:val="000C320E"/>
    <w:rsid w:val="000D3BC2"/>
    <w:rsid w:val="000E5499"/>
    <w:rsid w:val="00115188"/>
    <w:rsid w:val="001151E7"/>
    <w:rsid w:val="00125199"/>
    <w:rsid w:val="0013305B"/>
    <w:rsid w:val="00143ED4"/>
    <w:rsid w:val="00152894"/>
    <w:rsid w:val="00172093"/>
    <w:rsid w:val="0017762B"/>
    <w:rsid w:val="0018141D"/>
    <w:rsid w:val="001A25E7"/>
    <w:rsid w:val="001A6BDC"/>
    <w:rsid w:val="001E3098"/>
    <w:rsid w:val="001E39BF"/>
    <w:rsid w:val="001F2AC0"/>
    <w:rsid w:val="001F4496"/>
    <w:rsid w:val="00214607"/>
    <w:rsid w:val="002259CF"/>
    <w:rsid w:val="002266B1"/>
    <w:rsid w:val="00235A60"/>
    <w:rsid w:val="00244085"/>
    <w:rsid w:val="00244C17"/>
    <w:rsid w:val="00244DFD"/>
    <w:rsid w:val="00246E59"/>
    <w:rsid w:val="00264589"/>
    <w:rsid w:val="0029415E"/>
    <w:rsid w:val="002A43D8"/>
    <w:rsid w:val="002A753D"/>
    <w:rsid w:val="002B37B6"/>
    <w:rsid w:val="002C4716"/>
    <w:rsid w:val="002D6B17"/>
    <w:rsid w:val="002F1710"/>
    <w:rsid w:val="0030490D"/>
    <w:rsid w:val="00313AC1"/>
    <w:rsid w:val="00325B37"/>
    <w:rsid w:val="00331377"/>
    <w:rsid w:val="003428AE"/>
    <w:rsid w:val="00353536"/>
    <w:rsid w:val="00356AE8"/>
    <w:rsid w:val="0036057E"/>
    <w:rsid w:val="00364262"/>
    <w:rsid w:val="00373FC4"/>
    <w:rsid w:val="0038290C"/>
    <w:rsid w:val="003838B9"/>
    <w:rsid w:val="00396ACD"/>
    <w:rsid w:val="003B10ED"/>
    <w:rsid w:val="003E05B8"/>
    <w:rsid w:val="003E3FC7"/>
    <w:rsid w:val="003E7D8F"/>
    <w:rsid w:val="003F2A70"/>
    <w:rsid w:val="00401F3A"/>
    <w:rsid w:val="00406CBA"/>
    <w:rsid w:val="004138D9"/>
    <w:rsid w:val="004211F5"/>
    <w:rsid w:val="0042702A"/>
    <w:rsid w:val="00437AA5"/>
    <w:rsid w:val="004518ED"/>
    <w:rsid w:val="00456021"/>
    <w:rsid w:val="00485F6A"/>
    <w:rsid w:val="004918DE"/>
    <w:rsid w:val="00492396"/>
    <w:rsid w:val="004B4C38"/>
    <w:rsid w:val="004D7D54"/>
    <w:rsid w:val="004E19F9"/>
    <w:rsid w:val="004E763F"/>
    <w:rsid w:val="004F04FA"/>
    <w:rsid w:val="004F588A"/>
    <w:rsid w:val="004F6513"/>
    <w:rsid w:val="00506B49"/>
    <w:rsid w:val="00507FF2"/>
    <w:rsid w:val="00517205"/>
    <w:rsid w:val="0052508D"/>
    <w:rsid w:val="00534D3A"/>
    <w:rsid w:val="0054013D"/>
    <w:rsid w:val="00542487"/>
    <w:rsid w:val="00557EAF"/>
    <w:rsid w:val="00582810"/>
    <w:rsid w:val="0058683E"/>
    <w:rsid w:val="005929F6"/>
    <w:rsid w:val="00593EEC"/>
    <w:rsid w:val="00595540"/>
    <w:rsid w:val="005A5382"/>
    <w:rsid w:val="005A55F3"/>
    <w:rsid w:val="005B5FA6"/>
    <w:rsid w:val="005C1F43"/>
    <w:rsid w:val="005D1478"/>
    <w:rsid w:val="005D2C73"/>
    <w:rsid w:val="005D6AA6"/>
    <w:rsid w:val="005E2634"/>
    <w:rsid w:val="005F2B9A"/>
    <w:rsid w:val="00603E01"/>
    <w:rsid w:val="0061453F"/>
    <w:rsid w:val="00642760"/>
    <w:rsid w:val="00643DEF"/>
    <w:rsid w:val="006654AB"/>
    <w:rsid w:val="00667F1D"/>
    <w:rsid w:val="006700C7"/>
    <w:rsid w:val="00685D33"/>
    <w:rsid w:val="006D3FD5"/>
    <w:rsid w:val="006D6949"/>
    <w:rsid w:val="006E1094"/>
    <w:rsid w:val="006F20E7"/>
    <w:rsid w:val="006F7EFE"/>
    <w:rsid w:val="007142D9"/>
    <w:rsid w:val="00752552"/>
    <w:rsid w:val="007638EF"/>
    <w:rsid w:val="00763F6E"/>
    <w:rsid w:val="00781585"/>
    <w:rsid w:val="00783A3B"/>
    <w:rsid w:val="007878CB"/>
    <w:rsid w:val="00787E7C"/>
    <w:rsid w:val="0079599D"/>
    <w:rsid w:val="007A7287"/>
    <w:rsid w:val="007D0861"/>
    <w:rsid w:val="007D3D95"/>
    <w:rsid w:val="007E010B"/>
    <w:rsid w:val="007F5C7C"/>
    <w:rsid w:val="00801EB4"/>
    <w:rsid w:val="00802FC2"/>
    <w:rsid w:val="00817121"/>
    <w:rsid w:val="00830365"/>
    <w:rsid w:val="00833B73"/>
    <w:rsid w:val="00843817"/>
    <w:rsid w:val="008460B7"/>
    <w:rsid w:val="00847915"/>
    <w:rsid w:val="008601F7"/>
    <w:rsid w:val="00861270"/>
    <w:rsid w:val="00874305"/>
    <w:rsid w:val="00877055"/>
    <w:rsid w:val="00880A77"/>
    <w:rsid w:val="00897749"/>
    <w:rsid w:val="008A3F6C"/>
    <w:rsid w:val="008B07C8"/>
    <w:rsid w:val="008B3C68"/>
    <w:rsid w:val="008B6AF9"/>
    <w:rsid w:val="008D3EC5"/>
    <w:rsid w:val="008D4062"/>
    <w:rsid w:val="008E11A1"/>
    <w:rsid w:val="008E2694"/>
    <w:rsid w:val="008E2E76"/>
    <w:rsid w:val="008F234A"/>
    <w:rsid w:val="00902ADE"/>
    <w:rsid w:val="00910118"/>
    <w:rsid w:val="00917A1D"/>
    <w:rsid w:val="00940731"/>
    <w:rsid w:val="009430FB"/>
    <w:rsid w:val="00943538"/>
    <w:rsid w:val="009526D5"/>
    <w:rsid w:val="0095347B"/>
    <w:rsid w:val="00962953"/>
    <w:rsid w:val="00964D55"/>
    <w:rsid w:val="00980CC9"/>
    <w:rsid w:val="009957C5"/>
    <w:rsid w:val="009A4095"/>
    <w:rsid w:val="009B0295"/>
    <w:rsid w:val="009C1E02"/>
    <w:rsid w:val="009D2368"/>
    <w:rsid w:val="009D5F8B"/>
    <w:rsid w:val="009F3A7A"/>
    <w:rsid w:val="00A03DA8"/>
    <w:rsid w:val="00A05FAB"/>
    <w:rsid w:val="00A16AC1"/>
    <w:rsid w:val="00A24E3D"/>
    <w:rsid w:val="00A37D2E"/>
    <w:rsid w:val="00A4162C"/>
    <w:rsid w:val="00A41677"/>
    <w:rsid w:val="00A54A8C"/>
    <w:rsid w:val="00A564DC"/>
    <w:rsid w:val="00A565C7"/>
    <w:rsid w:val="00A719DF"/>
    <w:rsid w:val="00A7647B"/>
    <w:rsid w:val="00AA038B"/>
    <w:rsid w:val="00AB034D"/>
    <w:rsid w:val="00AC6B16"/>
    <w:rsid w:val="00AD5257"/>
    <w:rsid w:val="00AE4482"/>
    <w:rsid w:val="00B01072"/>
    <w:rsid w:val="00B136EC"/>
    <w:rsid w:val="00B14B01"/>
    <w:rsid w:val="00B43EBD"/>
    <w:rsid w:val="00B65FB3"/>
    <w:rsid w:val="00B66E09"/>
    <w:rsid w:val="00B95D78"/>
    <w:rsid w:val="00B97308"/>
    <w:rsid w:val="00BB3BEC"/>
    <w:rsid w:val="00BD02BB"/>
    <w:rsid w:val="00BD3885"/>
    <w:rsid w:val="00BD66E4"/>
    <w:rsid w:val="00C04FA0"/>
    <w:rsid w:val="00C059B6"/>
    <w:rsid w:val="00C10C60"/>
    <w:rsid w:val="00C10CA6"/>
    <w:rsid w:val="00C11798"/>
    <w:rsid w:val="00C16484"/>
    <w:rsid w:val="00C21AB2"/>
    <w:rsid w:val="00C27976"/>
    <w:rsid w:val="00C3731F"/>
    <w:rsid w:val="00C62388"/>
    <w:rsid w:val="00C63550"/>
    <w:rsid w:val="00C637B0"/>
    <w:rsid w:val="00C64CCC"/>
    <w:rsid w:val="00C87FB3"/>
    <w:rsid w:val="00C9384A"/>
    <w:rsid w:val="00C9629C"/>
    <w:rsid w:val="00C96395"/>
    <w:rsid w:val="00C96A56"/>
    <w:rsid w:val="00CA156D"/>
    <w:rsid w:val="00CA57DA"/>
    <w:rsid w:val="00CA7FE1"/>
    <w:rsid w:val="00CC58EB"/>
    <w:rsid w:val="00CE1382"/>
    <w:rsid w:val="00D02FAD"/>
    <w:rsid w:val="00D0530E"/>
    <w:rsid w:val="00D05DED"/>
    <w:rsid w:val="00D206AC"/>
    <w:rsid w:val="00D47F83"/>
    <w:rsid w:val="00D5454C"/>
    <w:rsid w:val="00D55CE9"/>
    <w:rsid w:val="00D564F7"/>
    <w:rsid w:val="00D72038"/>
    <w:rsid w:val="00D763BC"/>
    <w:rsid w:val="00D872A1"/>
    <w:rsid w:val="00D93F2F"/>
    <w:rsid w:val="00D966E8"/>
    <w:rsid w:val="00DB4B20"/>
    <w:rsid w:val="00DC3AD5"/>
    <w:rsid w:val="00DC5E29"/>
    <w:rsid w:val="00DD4285"/>
    <w:rsid w:val="00DF1FB9"/>
    <w:rsid w:val="00DF36A6"/>
    <w:rsid w:val="00E07235"/>
    <w:rsid w:val="00E23B80"/>
    <w:rsid w:val="00E25A5F"/>
    <w:rsid w:val="00E309D5"/>
    <w:rsid w:val="00E32BAC"/>
    <w:rsid w:val="00E33C9F"/>
    <w:rsid w:val="00E36D1F"/>
    <w:rsid w:val="00E42E7E"/>
    <w:rsid w:val="00E43152"/>
    <w:rsid w:val="00E50E5B"/>
    <w:rsid w:val="00E667BA"/>
    <w:rsid w:val="00E7044F"/>
    <w:rsid w:val="00E82B0B"/>
    <w:rsid w:val="00E873DD"/>
    <w:rsid w:val="00E932C3"/>
    <w:rsid w:val="00E979AB"/>
    <w:rsid w:val="00EB3279"/>
    <w:rsid w:val="00EC332E"/>
    <w:rsid w:val="00EC39BC"/>
    <w:rsid w:val="00EE0749"/>
    <w:rsid w:val="00EE140B"/>
    <w:rsid w:val="00EE441C"/>
    <w:rsid w:val="00EE54B9"/>
    <w:rsid w:val="00EF1A3E"/>
    <w:rsid w:val="00F07F26"/>
    <w:rsid w:val="00F35BD7"/>
    <w:rsid w:val="00F36982"/>
    <w:rsid w:val="00F41613"/>
    <w:rsid w:val="00F41DDB"/>
    <w:rsid w:val="00F629AC"/>
    <w:rsid w:val="00F9249D"/>
    <w:rsid w:val="00F95ED9"/>
    <w:rsid w:val="00FA0BAF"/>
    <w:rsid w:val="00FA382E"/>
    <w:rsid w:val="00FA715C"/>
    <w:rsid w:val="00FB22DB"/>
    <w:rsid w:val="00FC2396"/>
    <w:rsid w:val="00FC5252"/>
    <w:rsid w:val="00FD060F"/>
    <w:rsid w:val="00FD1723"/>
    <w:rsid w:val="00FD5032"/>
    <w:rsid w:val="00FE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8EC4F20"/>
  <w15:docId w15:val="{EDD646E4-8E0C-487A-842A-DA74770F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fi-FI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29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29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29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C16484"/>
    <w:pPr>
      <w:numPr>
        <w:numId w:val="1"/>
      </w:numPr>
      <w:tabs>
        <w:tab w:val="clear" w:pos="360"/>
      </w:tabs>
      <w:ind w:left="0" w:firstLine="0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rsid w:val="00C16484"/>
    <w:rPr>
      <w:rFonts w:asciiTheme="majorHAnsi" w:hAnsiTheme="majorHAnsi"/>
      <w:color w:val="F79646" w:themeColor="accent6"/>
      <w:u w:val="single"/>
    </w:rPr>
  </w:style>
  <w:style w:type="numbering" w:customStyle="1" w:styleId="LFO29">
    <w:name w:val="LFO29"/>
    <w:basedOn w:val="NoList"/>
    <w:rsid w:val="00C16484"/>
  </w:style>
  <w:style w:type="paragraph" w:styleId="ListBullet2">
    <w:name w:val="List Bullet 2"/>
    <w:basedOn w:val="Normal"/>
    <w:uiPriority w:val="99"/>
    <w:semiHidden/>
    <w:unhideWhenUsed/>
    <w:rsid w:val="00F9249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9249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9249D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3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fi-FI"/>
    </w:rPr>
  </w:style>
  <w:style w:type="paragraph" w:styleId="Revision">
    <w:name w:val="Revision"/>
    <w:hidden/>
    <w:uiPriority w:val="99"/>
    <w:semiHidden/>
    <w:rsid w:val="005929F6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FE1"/>
    <w:rPr>
      <w:rFonts w:ascii="Times New Roman" w:hAnsi="Times New Roman" w:cs="Times New Roman"/>
      <w:b/>
      <w:bCs/>
      <w:sz w:val="20"/>
      <w:szCs w:val="20"/>
      <w:lang w:val="fi-FI"/>
    </w:rPr>
  </w:style>
  <w:style w:type="paragraph" w:styleId="NormalWeb">
    <w:name w:val="Normal (Web)"/>
    <w:basedOn w:val="Normal"/>
    <w:uiPriority w:val="99"/>
    <w:semiHidden/>
    <w:unhideWhenUsed/>
    <w:rsid w:val="00373FC4"/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3F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2"/>
      </w:numPr>
    </w:pPr>
  </w:style>
  <w:style w:type="paragraph" w:customStyle="1" w:styleId="Tiret1">
    <w:name w:val="Tiret 1"/>
    <w:basedOn w:val="Point1"/>
    <w:pPr>
      <w:numPr>
        <w:numId w:val="23"/>
      </w:numPr>
    </w:pPr>
  </w:style>
  <w:style w:type="paragraph" w:customStyle="1" w:styleId="Tiret2">
    <w:name w:val="Tiret 2"/>
    <w:basedOn w:val="Point2"/>
    <w:pPr>
      <w:numPr>
        <w:numId w:val="24"/>
      </w:numPr>
    </w:pPr>
  </w:style>
  <w:style w:type="paragraph" w:customStyle="1" w:styleId="Tiret3">
    <w:name w:val="Tiret 3"/>
    <w:basedOn w:val="Point3"/>
    <w:pPr>
      <w:numPr>
        <w:numId w:val="25"/>
      </w:numPr>
    </w:pPr>
  </w:style>
  <w:style w:type="paragraph" w:customStyle="1" w:styleId="Tiret4">
    <w:name w:val="Tiret 4"/>
    <w:basedOn w:val="Point4"/>
    <w:pPr>
      <w:numPr>
        <w:numId w:val="26"/>
      </w:numPr>
    </w:pPr>
  </w:style>
  <w:style w:type="paragraph" w:customStyle="1" w:styleId="Tiret5">
    <w:name w:val="Tiret 5"/>
    <w:basedOn w:val="Point5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28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28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E664ED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664ED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664ED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664ED"/>
    <w:pPr>
      <w:spacing w:before="360" w:after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data.europa.eu/eli/reg_impl/2021/622/oj" TargetMode="External"/><Relationship Id="rId2" Type="http://schemas.openxmlformats.org/officeDocument/2006/relationships/hyperlink" Target="http://data.europa.eu/eli/dir/2024/1174/oj" TargetMode="External"/><Relationship Id="rId1" Type="http://schemas.openxmlformats.org/officeDocument/2006/relationships/hyperlink" Target="http://data.europa.eu/eli/dir/2014/59/oj" TargetMode="External"/><Relationship Id="rId5" Type="http://schemas.openxmlformats.org/officeDocument/2006/relationships/hyperlink" Target="http://data.europa.eu/eli/reg/2010/1093/oj" TargetMode="External"/><Relationship Id="rId4" Type="http://schemas.openxmlformats.org/officeDocument/2006/relationships/hyperlink" Target="http://data.europa.eu/eli/reg_impl/2021/763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Reference xmlns="144c03d0-0f03-451f-9d46-5279004462a4" xsi:nil="true"/>
    <EC_Collab_Status xmlns="144c03d0-0f03-451f-9d46-5279004462a4">Not Started</EC_Collab_Status>
    <_Status xmlns="http://schemas.microsoft.com/sharepoint/v3/fields">Not Started</_Status>
    <EC_Collab_DocumentLanguage xmlns="144c03d0-0f03-451f-9d46-5279004462a4">EN</EC_Collab_DocumentLanguage>
    <lcf76f155ced4ddcb4097134ff3c332f xmlns="f7bb8512-91eb-4bfd-be42-d6f021407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144c03d0-0f03-451f-9d46-5279004462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BAD999D84E12C74482EA5120F5227F6F00217DECAAC21D6B43958DFE68658C192E" ma:contentTypeVersion="27" ma:contentTypeDescription="Create a new document in this library." ma:contentTypeScope="" ma:versionID="b8f93157aac40d6a7319473491243df0">
  <xsd:schema xmlns:xsd="http://www.w3.org/2001/XMLSchema" xmlns:xs="http://www.w3.org/2001/XMLSchema" xmlns:p="http://schemas.microsoft.com/office/2006/metadata/properties" xmlns:ns2="http://schemas.microsoft.com/sharepoint/v3/fields" xmlns:ns3="144c03d0-0f03-451f-9d46-5279004462a4" xmlns:ns4="f7bb8512-91eb-4bfd-be42-d6f021407e9a" targetNamespace="http://schemas.microsoft.com/office/2006/metadata/properties" ma:root="true" ma:fieldsID="c8488e7b63ff9a6a107f3024ce322df4" ns2:_="" ns3:_="" ns4:_="">
    <xsd:import namespace="http://schemas.microsoft.com/sharepoint/v3/fields"/>
    <xsd:import namespace="144c03d0-0f03-451f-9d46-5279004462a4"/>
    <xsd:import namespace="f7bb8512-91eb-4bfd-be42-d6f021407e9a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3:SharedWithUsers" minOccurs="0"/>
                <xsd:element ref="ns3:SharedWithDetails" minOccurs="0"/>
                <xsd:element ref="ns3:EC_Collab_Status" minOccurs="0"/>
                <xsd:element ref="ns4:MediaServiceSearchProperties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c03d0-0f03-451f-9d46-5279004462a4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 ma:readOnly="false">
      <xsd:simpleType>
        <xsd:restriction base="dms:Text"/>
      </xsd:simpleType>
    </xsd:element>
    <xsd:element name="EC_Collab_DocumentLanguage" ma:index="14" ma:displayName="Language" ma:default="EN" ma:format="Dropdown" ma:internalName="EC_Collab_DocumentLanguage" ma:readOnly="fals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EC_Collab_Status" ma:index="17" nillable="true" ma:displayName="EC Status" ma:default="Not Started" ma:format="Dropdown" ma:internalName="EC_Collab_Status" ma:readOnly="false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TaxCatchAll" ma:index="21" nillable="true" ma:displayName="Taxonomy Catch All Column" ma:hidden="true" ma:list="{51513471-611d-4aba-ae12-e8d0e877eea6}" ma:internalName="TaxCatchAll" ma:showField="CatchAllData" ma:web="144c03d0-0f03-451f-9d46-527900446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b8512-91eb-4bfd-be42-d6f021407e9a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AF581-33E3-408E-95CD-709B93E998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FBD7AB-07EA-4D67-A4B9-4D33FF7955F7}">
  <ds:schemaRefs>
    <ds:schemaRef ds:uri="http://schemas.microsoft.com/office/2006/metadata/properties"/>
    <ds:schemaRef ds:uri="http://schemas.microsoft.com/office/infopath/2007/PartnerControls"/>
    <ds:schemaRef ds:uri="144c03d0-0f03-451f-9d46-5279004462a4"/>
    <ds:schemaRef ds:uri="http://schemas.microsoft.com/sharepoint/v3/fields"/>
    <ds:schemaRef ds:uri="f7bb8512-91eb-4bfd-be42-d6f021407e9a"/>
  </ds:schemaRefs>
</ds:datastoreItem>
</file>

<file path=customXml/itemProps3.xml><?xml version="1.0" encoding="utf-8"?>
<ds:datastoreItem xmlns:ds="http://schemas.openxmlformats.org/officeDocument/2006/customXml" ds:itemID="{3789B0AD-1837-436D-8ABC-63303F7E4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44c03d0-0f03-451f-9d46-5279004462a4"/>
    <ds:schemaRef ds:uri="f7bb8512-91eb-4bfd-be42-d6f02140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B74AB9-05CF-4E22-8B2B-667D523C417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7eb9de-735b-4a68-8fe4-c9c62709b012}" enabled="1" method="Standard" siteId="{3bacb4ff-f1a2-4c92-b96c-e99fec826b6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44</TotalTime>
  <Pages>2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Links>
    <vt:vector size="12" baseType="variant"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http://data.europa.eu/eli/reg/2010/1093/oj</vt:lpwstr>
      </vt:variant>
      <vt:variant>
        <vt:lpwstr/>
      </vt:variant>
      <vt:variant>
        <vt:i4>5570645</vt:i4>
      </vt:variant>
      <vt:variant>
        <vt:i4>0</vt:i4>
      </vt:variant>
      <vt:variant>
        <vt:i4>0</vt:i4>
      </vt:variant>
      <vt:variant>
        <vt:i4>5</vt:i4>
      </vt:variant>
      <vt:variant>
        <vt:lpwstr>http://data.europa.eu/eli/dir/2014/59/oj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DQC</dc:creator>
  <cp:keywords/>
  <dc:description/>
  <cp:lastModifiedBy>MERILAINEN Anne (DGT)</cp:lastModifiedBy>
  <cp:revision>32</cp:revision>
  <dcterms:created xsi:type="dcterms:W3CDTF">2025-12-05T16:19:00Z</dcterms:created>
  <dcterms:modified xsi:type="dcterms:W3CDTF">2026-02-02T09:47:00Z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8.0.19.5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SJ-004</vt:lpwstr>
  </property>
  <property fmtid="{D5CDD505-2E9C-101B-9397-08002B2CF9AE}" pid="10" name="GrammarlyDocumentId">
    <vt:lpwstr>45e7adda-2841-4732-9409-07daf4dd17e0</vt:lpwstr>
  </property>
  <property fmtid="{D5CDD505-2E9C-101B-9397-08002B2CF9AE}" pid="11" name="ClassificationContentMarkingHeaderShapeIds">
    <vt:lpwstr>5bd6ffca,36e22233,44991716</vt:lpwstr>
  </property>
  <property fmtid="{D5CDD505-2E9C-101B-9397-08002B2CF9AE}" pid="12" name="ClassificationContentMarkingHeaderFontProps">
    <vt:lpwstr>#000000,12,Aptos</vt:lpwstr>
  </property>
  <property fmtid="{D5CDD505-2E9C-101B-9397-08002B2CF9AE}" pid="13" name="ClassificationContentMarkingHeaderText">
    <vt:lpwstr>EBA Regular Use</vt:lpwstr>
  </property>
  <property fmtid="{D5CDD505-2E9C-101B-9397-08002B2CF9AE}" pid="14" name="MSIP_Label_6bd9ddd1-4d20-43f6-abfa-fc3c07406f94_Enabled">
    <vt:lpwstr>true</vt:lpwstr>
  </property>
  <property fmtid="{D5CDD505-2E9C-101B-9397-08002B2CF9AE}" pid="15" name="MSIP_Label_6bd9ddd1-4d20-43f6-abfa-fc3c07406f94_SetDate">
    <vt:lpwstr>2025-09-22T07:42:43Z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iteId">
    <vt:lpwstr>b24c8b06-522c-46fe-9080-70926f8dddb1</vt:lpwstr>
  </property>
  <property fmtid="{D5CDD505-2E9C-101B-9397-08002B2CF9AE}" pid="19" name="MSIP_Label_6bd9ddd1-4d20-43f6-abfa-fc3c07406f94_ActionId">
    <vt:lpwstr>0c5e0d5a-b50c-4aad-8ac2-d3eb4c37e92e</vt:lpwstr>
  </property>
  <property fmtid="{D5CDD505-2E9C-101B-9397-08002B2CF9AE}" pid="20" name="MSIP_Label_6bd9ddd1-4d20-43f6-abfa-fc3c07406f94_ContentBits">
    <vt:lpwstr>0</vt:lpwstr>
  </property>
  <property fmtid="{D5CDD505-2E9C-101B-9397-08002B2CF9AE}" pid="21" name="MSIP_Label_6bd9ddd1-4d20-43f6-abfa-fc3c07406f94_Tag">
    <vt:lpwstr>10, 3, 0, 1</vt:lpwstr>
  </property>
  <property fmtid="{D5CDD505-2E9C-101B-9397-08002B2CF9AE}" pid="22" name="ContentTypeId">
    <vt:lpwstr>0x010100BAD999D84E12C74482EA5120F5227F6F00217DECAAC21D6B43958DFE68658C192E</vt:lpwstr>
  </property>
  <property fmtid="{D5CDD505-2E9C-101B-9397-08002B2CF9AE}" pid="23" name="MediaServiceImageTags">
    <vt:lpwstr/>
  </property>
  <property fmtid="{D5CDD505-2E9C-101B-9397-08002B2CF9AE}" pid="24" name="DQCStatus">
    <vt:lpwstr>Green (DQC version 03)</vt:lpwstr>
  </property>
</Properties>
</file>