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1BF8" w14:textId="34C6B47E" w:rsidR="004E763F" w:rsidRPr="0075173D" w:rsidRDefault="006820F1" w:rsidP="00C65555">
      <w:pPr>
        <w:pStyle w:val="Pagedecouverture"/>
      </w:pPr>
      <w:r>
        <w:pict w14:anchorId="1C0A6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EBB0E35-94CF-43D9-9ACC-8ABD77467CED" style="width:455.25pt;height:345.75pt">
            <v:imagedata r:id="rId11" o:title=""/>
          </v:shape>
        </w:pict>
      </w:r>
    </w:p>
    <w:p w14:paraId="1986B6EA" w14:textId="77777777" w:rsidR="00CE1382" w:rsidRPr="0075173D" w:rsidRDefault="00CE1382" w:rsidP="003838B9">
      <w:pPr>
        <w:sectPr w:rsidR="00CE1382" w:rsidRPr="0075173D" w:rsidSect="00FD420B">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ADCEA6B" w14:textId="5D20DB94" w:rsidR="00C16484" w:rsidRPr="0075173D" w:rsidRDefault="00883117" w:rsidP="00883117">
      <w:pPr>
        <w:pStyle w:val="Typedudocument"/>
      </w:pPr>
      <w:r w:rsidRPr="00883117">
        <w:lastRenderedPageBreak/>
        <w:t>REGLAMENTO DE EJECUCIÓN (UE) …/... DE LA COMISIÓN</w:t>
      </w:r>
    </w:p>
    <w:p w14:paraId="6819E66E" w14:textId="04A3EC66" w:rsidR="00C16484" w:rsidRPr="0075173D" w:rsidRDefault="00883117" w:rsidP="00883117">
      <w:pPr>
        <w:pStyle w:val="Datedadoption"/>
      </w:pPr>
      <w:r w:rsidRPr="00883117">
        <w:t xml:space="preserve">de </w:t>
      </w:r>
      <w:r w:rsidRPr="00883117">
        <w:rPr>
          <w:rStyle w:val="Marker2"/>
        </w:rPr>
        <w:t>XXX</w:t>
      </w:r>
    </w:p>
    <w:p w14:paraId="44AA08D1" w14:textId="5850DA56" w:rsidR="00C16484" w:rsidRPr="0075173D" w:rsidRDefault="00883117" w:rsidP="00883117">
      <w:pPr>
        <w:pStyle w:val="Titreobjet"/>
      </w:pPr>
      <w:r w:rsidRPr="00883117">
        <w:t>por el que se modifican las normas técnicas de ejecución establecidas en el Reglamento de Ejecución (UE) 2021/622 en relación con la frecuencia de la presentación de información y la información que debe comunicarse</w:t>
      </w:r>
    </w:p>
    <w:p w14:paraId="4A210142" w14:textId="77B61E54" w:rsidR="00C16484" w:rsidRPr="0075173D" w:rsidRDefault="00883117" w:rsidP="00883117">
      <w:pPr>
        <w:pStyle w:val="IntrtEEE"/>
      </w:pPr>
      <w:r w:rsidRPr="00883117">
        <w:t>(Texto pertinente a efectos del EEE)</w:t>
      </w:r>
    </w:p>
    <w:p w14:paraId="6F3A17D1" w14:textId="77777777" w:rsidR="00C16484" w:rsidRPr="0075173D" w:rsidRDefault="00C16484">
      <w:pPr>
        <w:pStyle w:val="Institutionquiagit"/>
      </w:pPr>
      <w:r w:rsidRPr="0075173D">
        <w:t>LA COMISIÓN EUROPEA,</w:t>
      </w:r>
    </w:p>
    <w:p w14:paraId="22B09AC6" w14:textId="77777777" w:rsidR="00C16484" w:rsidRPr="0075173D" w:rsidRDefault="00C16484">
      <w:r w:rsidRPr="0075173D">
        <w:rPr>
          <w:color w:val="000000"/>
        </w:rPr>
        <w:t>Visto el Tratado de Funcionamiento de la Unión Europea,</w:t>
      </w:r>
    </w:p>
    <w:p w14:paraId="6C2E5C7E" w14:textId="77777777" w:rsidR="00C16484" w:rsidRPr="0075173D" w:rsidRDefault="00C16484">
      <w:r w:rsidRPr="0075173D">
        <w:t>Vista la Directiva 2014/59/UE del Parlamento Europeo y del Consejo, de 15 de mayo de 2014, por la que se establece un marco para la recuperación y la resolución de entidades de crédito y empresas de servicios de inversión, y por la que se modifican la Directiva 82/891/CEE del Consejo, y las Directivas 2001/24/CE, 2002/47/CE, 2004/25/CE, 2005/56/CE, 2007/36/CE, 2011/35/UE, 2012/30/UE y 2013/36/UE, y los Reglamentos (UE) n.º 1093/2010 y (UE) n.º 648/2012 del Parlamento Europeo y del Consejo</w:t>
      </w:r>
      <w:r w:rsidRPr="0075173D">
        <w:rPr>
          <w:rStyle w:val="FootnoteReference"/>
        </w:rPr>
        <w:footnoteReference w:id="2"/>
      </w:r>
      <w:r w:rsidRPr="0075173D">
        <w:t xml:space="preserve">, y en particular su artículo 45 </w:t>
      </w:r>
      <w:r w:rsidRPr="0075173D">
        <w:rPr>
          <w:i/>
        </w:rPr>
        <w:t>undecies</w:t>
      </w:r>
      <w:r w:rsidRPr="0075173D">
        <w:t>, apartado 2, párrafo tercero,</w:t>
      </w:r>
    </w:p>
    <w:p w14:paraId="499F4150" w14:textId="77777777" w:rsidR="00C16484" w:rsidRPr="0075173D" w:rsidRDefault="00C16484">
      <w:r w:rsidRPr="0075173D">
        <w:t>Considerando lo siguiente:</w:t>
      </w:r>
    </w:p>
    <w:p w14:paraId="7D99777F" w14:textId="77777777" w:rsidR="003428AE" w:rsidRPr="0075173D" w:rsidRDefault="003428AE" w:rsidP="004B4C38">
      <w:pPr>
        <w:pStyle w:val="Considrant"/>
        <w:numPr>
          <w:ilvl w:val="0"/>
          <w:numId w:val="2"/>
        </w:numPr>
        <w:rPr>
          <w:iCs/>
          <w:noProof/>
        </w:rPr>
      </w:pPr>
      <w:r w:rsidRPr="0075173D">
        <w:t>La Directiva (UE) 2024/1174 del Parlamento Europeo y del Consejo</w:t>
      </w:r>
      <w:r w:rsidRPr="0075173D">
        <w:rPr>
          <w:rStyle w:val="FootnoteReference"/>
          <w:iCs/>
          <w:noProof/>
        </w:rPr>
        <w:footnoteReference w:id="3"/>
      </w:r>
      <w:r w:rsidRPr="0075173D">
        <w:t xml:space="preserve"> modificó determinados aspectos del requisito mínimo de fondos propios y pasivos admisibles («MREL») establecido en la Directiva 2014/59/UE. Con arreglo a dichas modificaciones, las autoridades de resolución no deben determinar el MREL para las entidades de liquidación, excepto cuando sea necesario establecer un MREL que supere el importe suficiente para absorber pérdidas a fin de proteger la estabilidad financiera o hacer frente al riesgo de contagio al sistema financiero, también en lo que respecta a la capacidad de financiación de los sistemas de garantía de depósitos. Además, la Directiva (UE) 2024/1174 introdujo un mayor número de situaciones en las que las autoridades de resolución pueden determinar el MREL en base consolidada. Es preciso modificar el Reglamento de Ejecución (UE) 2021/622 de la Comisión</w:t>
      </w:r>
      <w:r w:rsidRPr="0075173D">
        <w:rPr>
          <w:rStyle w:val="FootnoteReference"/>
          <w:iCs/>
          <w:noProof/>
        </w:rPr>
        <w:footnoteReference w:id="4"/>
      </w:r>
      <w:r w:rsidRPr="0075173D">
        <w:t xml:space="preserve"> para que los cambios introducidos en el marco del MREL queden reflejados en la información que debe transmitirse a la Autoridad Bancaria Europea (ABE).</w:t>
      </w:r>
    </w:p>
    <w:p w14:paraId="038A3063" w14:textId="77777777" w:rsidR="00C16484" w:rsidRPr="0075173D" w:rsidRDefault="00A05FAB" w:rsidP="008B6AF9">
      <w:pPr>
        <w:pStyle w:val="Considrant"/>
        <w:numPr>
          <w:ilvl w:val="0"/>
          <w:numId w:val="2"/>
        </w:numPr>
        <w:rPr>
          <w:iCs/>
          <w:noProof/>
        </w:rPr>
      </w:pPr>
      <w:r w:rsidRPr="0075173D">
        <w:t xml:space="preserve">Actualmente, el Reglamento de Ejecución (UE) 2021/622 exige que las autoridades de resolución transmitan a la ABE, una vez al año, información relacionada con el </w:t>
      </w:r>
      <w:r w:rsidRPr="0075173D">
        <w:lastRenderedPageBreak/>
        <w:t>establecimiento del MREL. A continuación, la ABE combina esa información con la información sobre la composición de los fondos propios y los pasivos admisibles obtenida con arreglo al Reglamento de Ejecución (UE) 2021/763 de la Comisión</w:t>
      </w:r>
      <w:r w:rsidRPr="0075173D">
        <w:rPr>
          <w:rStyle w:val="FootnoteReference"/>
          <w:noProof/>
        </w:rPr>
        <w:footnoteReference w:id="5"/>
      </w:r>
      <w:r w:rsidRPr="0075173D">
        <w:t xml:space="preserve"> para elaborar su informe sobre el MREL, que se basa en lo dispuesto en el artículo 45 </w:t>
      </w:r>
      <w:r w:rsidRPr="0075173D">
        <w:rPr>
          <w:i/>
        </w:rPr>
        <w:t>terdecies</w:t>
      </w:r>
      <w:r w:rsidRPr="0075173D">
        <w:t xml:space="preserve"> de la Directiva 2014/59/UE y se presenta actualmente dos veces al año. Dado que la información sobre el establecimiento del MREL se presenta una vez al año, las decisiones sobre el MREL adoptadas por las autoridades de resolución después de la fecha de referencia pertinente ni se transmiten a la ABE ni son evaluadas por ella, y, por tanto, tampoco se reflejan en sus informes, hasta el año siguiente, lo que crea un desfase con respecto a la información más actualizada sobre la composición de los fondos propios y los pasivos admisibles.</w:t>
      </w:r>
    </w:p>
    <w:p w14:paraId="676EF325" w14:textId="77777777" w:rsidR="00C16484" w:rsidRPr="0075173D" w:rsidRDefault="00C16484" w:rsidP="004B4C38">
      <w:pPr>
        <w:pStyle w:val="Considrant"/>
        <w:numPr>
          <w:ilvl w:val="0"/>
          <w:numId w:val="2"/>
        </w:numPr>
        <w:rPr>
          <w:iCs/>
          <w:noProof/>
        </w:rPr>
      </w:pPr>
      <w:r w:rsidRPr="0075173D">
        <w:t xml:space="preserve">A fin de mejorar la capacidad de la ABE para supervisar y evaluar el MREL establecido por las autoridades de resolución y el cumplimiento de los requisitos del MREL por parte de las entidades, debe exigirse a las autoridades de resolución que informen a la ABE sobre las decisiones relativas al MREL con mayor frecuencia. Para garantizar la armonización con los informes sobre el MREL elaborados por la ABE, las autoridades de resolución deben comunicar dicha información dos veces al año. </w:t>
      </w:r>
    </w:p>
    <w:p w14:paraId="2672C096" w14:textId="77777777" w:rsidR="00C16484" w:rsidRPr="0075173D" w:rsidRDefault="00C16484" w:rsidP="004B4C38">
      <w:pPr>
        <w:pStyle w:val="Considrant"/>
        <w:numPr>
          <w:ilvl w:val="0"/>
          <w:numId w:val="2"/>
        </w:numPr>
        <w:rPr>
          <w:noProof/>
        </w:rPr>
      </w:pPr>
      <w:r w:rsidRPr="0075173D">
        <w:t xml:space="preserve">A fin de facilitar a la ABE la evaluación de la forma en que las autoridades de resolución han ejercido su facultad discrecional a la hora de establecer el MREL, en particular en lo que respecta a la opción disponible en virtud del artículo 45 </w:t>
      </w:r>
      <w:r w:rsidRPr="0075173D">
        <w:rPr>
          <w:i/>
        </w:rPr>
        <w:t>ter</w:t>
      </w:r>
      <w:r w:rsidRPr="0075173D">
        <w:t>, apartado 4, párrafo primero, de la Directiva 2014/59/UE, es preciso ajustar la plantilla «M 20.00 — Presentación de información relativa a las decisiones sobre el MREL» [anexo I del Reglamento (UE) 2021/622] y las instrucciones correspondientes para exigir que se incluya información sobre el ejercicio de dicha opción.</w:t>
      </w:r>
    </w:p>
    <w:p w14:paraId="1B5314C9" w14:textId="77777777" w:rsidR="00C16484" w:rsidRPr="0075173D" w:rsidRDefault="00C16484" w:rsidP="004B4C38">
      <w:pPr>
        <w:pStyle w:val="Considrant"/>
        <w:numPr>
          <w:ilvl w:val="0"/>
          <w:numId w:val="2"/>
        </w:numPr>
        <w:rPr>
          <w:noProof/>
        </w:rPr>
      </w:pPr>
      <w:r w:rsidRPr="0075173D">
        <w:t>La ABE ha solicitado el asesoramiento del Grupo de Partes Interesadas del Sector Bancario, establecido de conformidad con el artículo 37 del Reglamento (UE) n.º 1093/2010 del Parlamento Europeo y del Consejo</w:t>
      </w:r>
      <w:r w:rsidRPr="0075173D">
        <w:rPr>
          <w:rStyle w:val="FootnoteReference"/>
          <w:noProof/>
        </w:rPr>
        <w:footnoteReference w:id="6"/>
      </w:r>
      <w:r w:rsidRPr="0075173D">
        <w:t xml:space="preserve">. </w:t>
      </w:r>
    </w:p>
    <w:p w14:paraId="5D5111C6" w14:textId="77777777" w:rsidR="00C16484" w:rsidRPr="0075173D" w:rsidRDefault="00373FC4" w:rsidP="004B4C38">
      <w:pPr>
        <w:pStyle w:val="Considrant"/>
        <w:numPr>
          <w:ilvl w:val="0"/>
          <w:numId w:val="2"/>
        </w:numPr>
        <w:rPr>
          <w:noProof/>
        </w:rPr>
      </w:pPr>
      <w:r w:rsidRPr="0075173D">
        <w:t xml:space="preserve">Las modificaciones del Reglamento (UE) 2021/622 se dirigen a las autoridades de resolución y no implican cambios importantes en cuanto al fondo. Por consiguiente, de conformidad con el artículo 15, apartado 1, párrafo segundo, del Reglamento (UE) n.º 1093/2010, la ABE no ha llevado a cabo consultas públicas abiertas ni ha analizado los costes y beneficios potenciales correspondientes, por considerar que sería desproporcionado con respecto al ámbito y la incidencia de los proyectos de normas técnicas de ejecución de que se trata. </w:t>
      </w:r>
    </w:p>
    <w:p w14:paraId="0A23BFF6" w14:textId="77777777" w:rsidR="00C16484" w:rsidRPr="0075173D" w:rsidRDefault="00C16484" w:rsidP="004B4C38">
      <w:pPr>
        <w:pStyle w:val="Considrant"/>
        <w:numPr>
          <w:ilvl w:val="0"/>
          <w:numId w:val="2"/>
        </w:numPr>
        <w:rPr>
          <w:noProof/>
        </w:rPr>
      </w:pPr>
      <w:r w:rsidRPr="0075173D">
        <w:t>Procede, por tanto, modificar el Reglamento de Ejecución (UE) 2021/622 en consecuencia.</w:t>
      </w:r>
    </w:p>
    <w:p w14:paraId="1887EA7B" w14:textId="77777777" w:rsidR="00C16484" w:rsidRPr="0075173D" w:rsidRDefault="00C16484" w:rsidP="004B4C38">
      <w:pPr>
        <w:pStyle w:val="Considrant"/>
        <w:numPr>
          <w:ilvl w:val="0"/>
          <w:numId w:val="2"/>
        </w:numPr>
        <w:rPr>
          <w:noProof/>
        </w:rPr>
      </w:pPr>
      <w:r w:rsidRPr="0075173D">
        <w:t>El presente Reglamento se basa en los proyectos de normas técnicas de ejecución presentados por la ABE a la Comisión.</w:t>
      </w:r>
    </w:p>
    <w:p w14:paraId="313B274F" w14:textId="77777777" w:rsidR="00C16484" w:rsidRPr="0075173D" w:rsidRDefault="00C16484">
      <w:pPr>
        <w:pStyle w:val="Formuledadoption"/>
      </w:pPr>
      <w:r w:rsidRPr="0075173D">
        <w:lastRenderedPageBreak/>
        <w:t>HA ADOPTADO EL PRESENTE REGLAMENTO:</w:t>
      </w:r>
    </w:p>
    <w:p w14:paraId="455FC522" w14:textId="77777777" w:rsidR="00C16484" w:rsidRPr="0075173D" w:rsidRDefault="00C16484">
      <w:pPr>
        <w:pStyle w:val="Titrearticle"/>
      </w:pPr>
      <w:r w:rsidRPr="0075173D">
        <w:t>Artículo 1</w:t>
      </w:r>
    </w:p>
    <w:p w14:paraId="061A957A" w14:textId="77777777" w:rsidR="00C16484" w:rsidRPr="0075173D" w:rsidRDefault="00C16484" w:rsidP="00C16484">
      <w:pPr>
        <w:rPr>
          <w:noProof/>
        </w:rPr>
      </w:pPr>
      <w:r w:rsidRPr="0075173D">
        <w:t>El Reglamento de Ejecución (UE) 2021/622 se modifica como sigue:</w:t>
      </w:r>
    </w:p>
    <w:p w14:paraId="44E520EB" w14:textId="2046D5FD" w:rsidR="00C16484" w:rsidRPr="0075173D" w:rsidRDefault="00FB7F0A" w:rsidP="00FB7F0A">
      <w:pPr>
        <w:pStyle w:val="Point0"/>
        <w:rPr>
          <w:noProof/>
        </w:rPr>
      </w:pPr>
      <w:r>
        <w:t>1)</w:t>
      </w:r>
      <w:r>
        <w:tab/>
      </w:r>
      <w:r w:rsidR="00C16484" w:rsidRPr="0075173D">
        <w:t>El artículo 2 se modifica como sigue:</w:t>
      </w:r>
    </w:p>
    <w:p w14:paraId="252CA8AC" w14:textId="067C27F6" w:rsidR="00C16484" w:rsidRPr="0075173D" w:rsidRDefault="00FB7F0A" w:rsidP="00FB7F0A">
      <w:pPr>
        <w:pStyle w:val="Point1"/>
        <w:rPr>
          <w:noProof/>
        </w:rPr>
      </w:pPr>
      <w:r>
        <w:t>a)</w:t>
      </w:r>
      <w:r>
        <w:tab/>
      </w:r>
      <w:r w:rsidR="00C16484" w:rsidRPr="0075173D">
        <w:t>el título se sustituye por el texto siguiente:</w:t>
      </w:r>
    </w:p>
    <w:p w14:paraId="3D4F8508" w14:textId="77777777" w:rsidR="00C16484" w:rsidRPr="0075173D" w:rsidRDefault="00C16484" w:rsidP="00783A3B">
      <w:pPr>
        <w:jc w:val="center"/>
        <w:rPr>
          <w:noProof/>
        </w:rPr>
      </w:pPr>
      <w:r w:rsidRPr="0075173D">
        <w:t>«</w:t>
      </w:r>
      <w:r w:rsidRPr="0075173D">
        <w:rPr>
          <w:b/>
        </w:rPr>
        <w:t>Requisito simplificado de información aplicable a las entidades objeto de exenciones</w:t>
      </w:r>
      <w:r w:rsidRPr="0075173D">
        <w:t>»;</w:t>
      </w:r>
    </w:p>
    <w:p w14:paraId="2EAF66BD" w14:textId="4B5C0C67" w:rsidR="00C16484" w:rsidRPr="0075173D" w:rsidRDefault="00FB7F0A" w:rsidP="00FB7F0A">
      <w:pPr>
        <w:pStyle w:val="Point1"/>
        <w:rPr>
          <w:noProof/>
        </w:rPr>
      </w:pPr>
      <w:r>
        <w:t>b)</w:t>
      </w:r>
      <w:r>
        <w:tab/>
      </w:r>
      <w:r w:rsidR="00C16484" w:rsidRPr="0075173D">
        <w:t>se suprime el apartado 2.</w:t>
      </w:r>
    </w:p>
    <w:p w14:paraId="1A052A8B" w14:textId="4786E04F" w:rsidR="00C16484" w:rsidRPr="0075173D" w:rsidRDefault="00FB7F0A" w:rsidP="00FB7F0A">
      <w:pPr>
        <w:pStyle w:val="Point0"/>
        <w:rPr>
          <w:noProof/>
        </w:rPr>
      </w:pPr>
      <w:r>
        <w:t>2)</w:t>
      </w:r>
      <w:r>
        <w:tab/>
      </w:r>
      <w:r w:rsidR="00C16484" w:rsidRPr="0075173D">
        <w:t>En el artículo 3, el texto de la parte introductoria se sustituye por el texto siguiente:</w:t>
      </w:r>
    </w:p>
    <w:p w14:paraId="533DCDB8" w14:textId="77777777" w:rsidR="00C16484" w:rsidRPr="0075173D" w:rsidRDefault="00C16484" w:rsidP="00783A3B">
      <w:pPr>
        <w:rPr>
          <w:noProof/>
        </w:rPr>
      </w:pPr>
      <w:r w:rsidRPr="0075173D">
        <w:t xml:space="preserve">«En el caso de los grupos sujetos al MREL en base consolidada, con arreglo al artículo 45 </w:t>
      </w:r>
      <w:r w:rsidRPr="0075173D">
        <w:rPr>
          <w:i/>
        </w:rPr>
        <w:t>sexies</w:t>
      </w:r>
      <w:r w:rsidRPr="0075173D">
        <w:t xml:space="preserve"> y el artículo 45 </w:t>
      </w:r>
      <w:r w:rsidRPr="0075173D">
        <w:rPr>
          <w:i/>
        </w:rPr>
        <w:t>septies</w:t>
      </w:r>
      <w:r w:rsidRPr="0075173D">
        <w:t>, apartado 1, párrafos tercero y cuarto, y apartado 4, letra b), de la Directiva 2014/59/UE, la información a que se refieren los artículos 1 y 2 será presentada por las autoridades que a continuación se indican de la manera siguiente:».</w:t>
      </w:r>
    </w:p>
    <w:p w14:paraId="0509E0AB" w14:textId="79EBF97C" w:rsidR="00C16484" w:rsidRPr="0075173D" w:rsidRDefault="00FB7F0A" w:rsidP="00FB7F0A">
      <w:pPr>
        <w:pStyle w:val="Point0"/>
        <w:rPr>
          <w:noProof/>
        </w:rPr>
      </w:pPr>
      <w:r>
        <w:t>3)</w:t>
      </w:r>
      <w:r>
        <w:tab/>
      </w:r>
      <w:r w:rsidR="00C16484" w:rsidRPr="0075173D">
        <w:t>El artículo 4 se sustituye por el texto siguiente:</w:t>
      </w:r>
    </w:p>
    <w:p w14:paraId="66FCA4E9" w14:textId="77777777" w:rsidR="00C16484" w:rsidRPr="0075173D" w:rsidRDefault="00D47F83" w:rsidP="00783A3B">
      <w:pPr>
        <w:pStyle w:val="Titrearticle"/>
        <w:rPr>
          <w:i w:val="0"/>
          <w:iCs/>
          <w:noProof/>
        </w:rPr>
      </w:pPr>
      <w:r w:rsidRPr="0075173D">
        <w:rPr>
          <w:i w:val="0"/>
        </w:rPr>
        <w:t>«</w:t>
      </w:r>
      <w:r w:rsidRPr="0075173D">
        <w:t xml:space="preserve">Artículo 4 </w:t>
      </w:r>
      <w:r w:rsidRPr="0075173D">
        <w:br/>
      </w:r>
      <w:r w:rsidRPr="0075173D">
        <w:rPr>
          <w:b/>
          <w:i w:val="0"/>
        </w:rPr>
        <w:t>Períodos de referencia y fechas de presentación de información</w:t>
      </w:r>
    </w:p>
    <w:p w14:paraId="054F5F9B" w14:textId="77777777" w:rsidR="00C16484" w:rsidRPr="0075173D" w:rsidRDefault="00C16484" w:rsidP="00783A3B">
      <w:pPr>
        <w:rPr>
          <w:noProof/>
        </w:rPr>
      </w:pPr>
      <w:r w:rsidRPr="0075173D">
        <w:t>Las autoridades de resolución transmitirán la información a que se refieren los artículos 1 y 2 como sigue:</w:t>
      </w:r>
    </w:p>
    <w:p w14:paraId="5113726F" w14:textId="22E7EC8E" w:rsidR="00C16484" w:rsidRPr="0075173D" w:rsidRDefault="00FB7F0A" w:rsidP="00FB7F0A">
      <w:pPr>
        <w:pStyle w:val="Point1"/>
        <w:rPr>
          <w:noProof/>
        </w:rPr>
      </w:pPr>
      <w:r>
        <w:t>a)</w:t>
      </w:r>
      <w:r>
        <w:tab/>
      </w:r>
      <w:r w:rsidR="00C16484" w:rsidRPr="0075173D">
        <w:t>para el MREL aplicable a partir del 30 de junio, a más tardar el 16 de septiembre de ese año;</w:t>
      </w:r>
    </w:p>
    <w:p w14:paraId="7219DDD8" w14:textId="73F299DD" w:rsidR="00C16484" w:rsidRPr="0075173D" w:rsidRDefault="00FB7F0A" w:rsidP="00FB7F0A">
      <w:pPr>
        <w:pStyle w:val="Point1"/>
        <w:rPr>
          <w:noProof/>
        </w:rPr>
      </w:pPr>
      <w:r>
        <w:t>b)</w:t>
      </w:r>
      <w:r>
        <w:tab/>
      </w:r>
      <w:r w:rsidR="00C16484" w:rsidRPr="0075173D">
        <w:t>para el MREL aplicable a partir del 31 de diciembre, a más tardar el 18 de marzo del año siguiente.».</w:t>
      </w:r>
    </w:p>
    <w:p w14:paraId="65609948" w14:textId="0728FDE5" w:rsidR="00C16484" w:rsidRPr="0075173D" w:rsidRDefault="00FB7F0A" w:rsidP="00FB7F0A">
      <w:pPr>
        <w:pStyle w:val="Point0"/>
        <w:rPr>
          <w:noProof/>
        </w:rPr>
      </w:pPr>
      <w:r>
        <w:t>4)</w:t>
      </w:r>
      <w:r>
        <w:tab/>
      </w:r>
      <w:r w:rsidR="00C16484" w:rsidRPr="0075173D">
        <w:t>El anexo I se sustituye por el texto del anexo I del presente Reglamento.</w:t>
      </w:r>
    </w:p>
    <w:p w14:paraId="45E55C10" w14:textId="27294183" w:rsidR="00C16484" w:rsidRPr="0075173D" w:rsidRDefault="00FB7F0A" w:rsidP="00FB7F0A">
      <w:pPr>
        <w:pStyle w:val="Point0"/>
        <w:rPr>
          <w:noProof/>
        </w:rPr>
      </w:pPr>
      <w:r>
        <w:t>5)</w:t>
      </w:r>
      <w:r>
        <w:tab/>
      </w:r>
      <w:r w:rsidR="00C16484" w:rsidRPr="0075173D">
        <w:t>El anexo II se sustituye por el texto del anexo II del presente Reglamento.</w:t>
      </w:r>
    </w:p>
    <w:p w14:paraId="0B09A3CA" w14:textId="77777777" w:rsidR="00C16484" w:rsidRPr="0075173D" w:rsidRDefault="00C16484">
      <w:pPr>
        <w:pStyle w:val="Titrearticle"/>
      </w:pPr>
      <w:r w:rsidRPr="0075173D">
        <w:t>Artículo 2</w:t>
      </w:r>
    </w:p>
    <w:p w14:paraId="0BDD24EC" w14:textId="77777777" w:rsidR="00C16484" w:rsidRPr="0075173D" w:rsidRDefault="00C16484" w:rsidP="00830365">
      <w:r w:rsidRPr="0075173D">
        <w:t xml:space="preserve">El presente Reglamento entrará en vigor a los veinte días de su publicación en el </w:t>
      </w:r>
      <w:r w:rsidRPr="0075173D">
        <w:rPr>
          <w:i/>
        </w:rPr>
        <w:t>Diario Oficial de la Unión Europea</w:t>
      </w:r>
      <w:r w:rsidRPr="0075173D">
        <w:t>.</w:t>
      </w:r>
    </w:p>
    <w:p w14:paraId="3DDE2F7A" w14:textId="77777777" w:rsidR="00C16484" w:rsidRPr="0075173D" w:rsidRDefault="00C16484">
      <w:pPr>
        <w:pStyle w:val="Applicationdirecte"/>
      </w:pPr>
      <w:r w:rsidRPr="0075173D">
        <w:t>El presente Reglamento será obligatorio en todos sus elementos y directamente aplicable en cada Estado miembro.</w:t>
      </w:r>
    </w:p>
    <w:p w14:paraId="0FD02893" w14:textId="317BA43B" w:rsidR="00C16484" w:rsidRPr="0075173D" w:rsidRDefault="00883117" w:rsidP="00883117">
      <w:pPr>
        <w:pStyle w:val="Fait"/>
      </w:pPr>
      <w:r w:rsidRPr="00883117">
        <w:t>Hecho en Bruselas, el</w:t>
      </w:r>
    </w:p>
    <w:p w14:paraId="3FB14D4B" w14:textId="77777777" w:rsidR="00C16484" w:rsidRPr="0075173D" w:rsidRDefault="00C16484" w:rsidP="00C16484">
      <w:pPr>
        <w:pStyle w:val="Institutionquisigne"/>
      </w:pPr>
      <w:r w:rsidRPr="0075173D">
        <w:tab/>
        <w:t>Por la Comisión</w:t>
      </w:r>
    </w:p>
    <w:p w14:paraId="0FEF1170" w14:textId="0CD182DE" w:rsidR="00C16484" w:rsidRPr="0075173D" w:rsidRDefault="00C16484" w:rsidP="00C16484">
      <w:pPr>
        <w:pStyle w:val="Personnequisigne"/>
      </w:pPr>
      <w:r w:rsidRPr="0075173D">
        <w:tab/>
        <w:t xml:space="preserve">La Presidenta </w:t>
      </w:r>
      <w:r w:rsidRPr="0075173D">
        <w:br/>
      </w:r>
      <w:r w:rsidRPr="0075173D">
        <w:tab/>
        <w:t xml:space="preserve">Ursula von der Leyen </w:t>
      </w:r>
      <w:r w:rsidRPr="0075173D">
        <w:br/>
      </w:r>
      <w:r w:rsidRPr="0075173D">
        <w:tab/>
      </w:r>
    </w:p>
    <w:sectPr w:rsidR="00C16484" w:rsidRPr="0075173D" w:rsidSect="00FD420B">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D8F0" w14:textId="77777777" w:rsidR="00F07F26" w:rsidRDefault="00F07F26" w:rsidP="00C16484">
      <w:pPr>
        <w:spacing w:before="0" w:after="0"/>
      </w:pPr>
      <w:r>
        <w:separator/>
      </w:r>
    </w:p>
  </w:endnote>
  <w:endnote w:type="continuationSeparator" w:id="0">
    <w:p w14:paraId="61DF8EAB" w14:textId="77777777" w:rsidR="00F07F26" w:rsidRDefault="00F07F26" w:rsidP="00C16484">
      <w:pPr>
        <w:spacing w:before="0" w:after="0"/>
      </w:pPr>
      <w:r>
        <w:continuationSeparator/>
      </w:r>
    </w:p>
  </w:endnote>
  <w:endnote w:type="continuationNotice" w:id="1">
    <w:p w14:paraId="04F6DC9C" w14:textId="77777777" w:rsidR="00F07F26" w:rsidRDefault="00F07F2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021C" w14:textId="6F204F77" w:rsidR="00C65555" w:rsidRPr="00FD420B" w:rsidRDefault="00FD420B" w:rsidP="00FD420B">
    <w:pPr>
      <w:pStyle w:val="Footer"/>
      <w:rPr>
        <w:rFonts w:ascii="Arial" w:hAnsi="Arial" w:cs="Arial"/>
        <w:b/>
        <w:sz w:val="48"/>
      </w:rPr>
    </w:pPr>
    <w:r w:rsidRPr="00FD420B">
      <w:rPr>
        <w:rFonts w:ascii="Arial" w:hAnsi="Arial" w:cs="Arial"/>
        <w:b/>
        <w:sz w:val="48"/>
      </w:rPr>
      <w:t>ES</w:t>
    </w:r>
    <w:r w:rsidRPr="00FD420B">
      <w:rPr>
        <w:rFonts w:ascii="Arial" w:hAnsi="Arial" w:cs="Arial"/>
        <w:b/>
        <w:sz w:val="48"/>
      </w:rPr>
      <w:tab/>
    </w:r>
    <w:r w:rsidRPr="00FD420B">
      <w:rPr>
        <w:rFonts w:ascii="Arial" w:hAnsi="Arial" w:cs="Arial"/>
        <w:b/>
        <w:sz w:val="48"/>
      </w:rPr>
      <w:tab/>
    </w:r>
    <w:r w:rsidRPr="00FD420B">
      <w:tab/>
    </w:r>
    <w:r w:rsidRPr="00FD420B">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4248" w14:textId="55DD88A6" w:rsidR="00C65555" w:rsidRPr="00FD420B" w:rsidRDefault="00FD420B" w:rsidP="00FD420B">
    <w:pPr>
      <w:pStyle w:val="Footer"/>
      <w:rPr>
        <w:rFonts w:ascii="Arial" w:hAnsi="Arial" w:cs="Arial"/>
        <w:b/>
        <w:sz w:val="48"/>
      </w:rPr>
    </w:pPr>
    <w:r w:rsidRPr="00FD420B">
      <w:rPr>
        <w:rFonts w:ascii="Arial" w:hAnsi="Arial" w:cs="Arial"/>
        <w:b/>
        <w:sz w:val="48"/>
      </w:rPr>
      <w:t>ES</w:t>
    </w:r>
    <w:r w:rsidRPr="00FD420B">
      <w:rPr>
        <w:rFonts w:ascii="Arial" w:hAnsi="Arial" w:cs="Arial"/>
        <w:b/>
        <w:sz w:val="48"/>
      </w:rPr>
      <w:tab/>
    </w:r>
    <w:r w:rsidRPr="00FD420B">
      <w:rPr>
        <w:rFonts w:ascii="Arial" w:hAnsi="Arial" w:cs="Arial"/>
        <w:b/>
        <w:sz w:val="48"/>
      </w:rPr>
      <w:tab/>
    </w:r>
    <w:r w:rsidRPr="00FD420B">
      <w:tab/>
    </w:r>
    <w:r w:rsidRPr="00FD420B">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1D02" w14:textId="77777777" w:rsidR="00C65555" w:rsidRPr="00FD420B" w:rsidRDefault="00C65555" w:rsidP="00FD42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2728" w14:textId="77777777" w:rsidR="000C320E" w:rsidRPr="00DC5E29" w:rsidRDefault="000C320E" w:rsidP="00DC5E29">
    <w:pPr>
      <w:pStyle w:val="Footer"/>
      <w:rPr>
        <w:rFonts w:ascii="Arial" w:hAnsi="Arial" w:cs="Arial"/>
        <w:b/>
        <w:sz w:val="4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F8530" w14:textId="69D6F5E6" w:rsidR="00FD420B" w:rsidRPr="00FD420B" w:rsidRDefault="00FD420B" w:rsidP="00FD420B">
    <w:pPr>
      <w:pStyle w:val="Footer"/>
      <w:rPr>
        <w:rFonts w:ascii="Arial" w:hAnsi="Arial" w:cs="Arial"/>
        <w:b/>
        <w:sz w:val="48"/>
      </w:rPr>
    </w:pPr>
    <w:r w:rsidRPr="00FD420B">
      <w:rPr>
        <w:rFonts w:ascii="Arial" w:hAnsi="Arial" w:cs="Arial"/>
        <w:b/>
        <w:sz w:val="48"/>
      </w:rPr>
      <w:t>ES</w:t>
    </w:r>
    <w:r w:rsidRPr="00FD420B">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FD420B">
      <w:tab/>
    </w:r>
    <w:r w:rsidRPr="00FD420B">
      <w:rPr>
        <w:rFonts w:ascii="Arial" w:hAnsi="Arial" w:cs="Arial"/>
        <w:b/>
        <w:sz w:val="48"/>
      </w:rPr>
      <w:t>ES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2C19" w14:textId="77777777" w:rsidR="000C320E" w:rsidRDefault="000C320E" w:rsidP="00FD4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4942" w14:textId="77777777" w:rsidR="00F07F26" w:rsidRDefault="00F07F26" w:rsidP="00C16484">
      <w:pPr>
        <w:spacing w:before="0" w:after="0"/>
      </w:pPr>
      <w:r>
        <w:separator/>
      </w:r>
    </w:p>
  </w:footnote>
  <w:footnote w:type="continuationSeparator" w:id="0">
    <w:p w14:paraId="298144EA" w14:textId="77777777" w:rsidR="00F07F26" w:rsidRDefault="00F07F26" w:rsidP="00C16484">
      <w:pPr>
        <w:spacing w:before="0" w:after="0"/>
      </w:pPr>
      <w:r>
        <w:continuationSeparator/>
      </w:r>
    </w:p>
  </w:footnote>
  <w:footnote w:type="continuationNotice" w:id="1">
    <w:p w14:paraId="57F8940A" w14:textId="77777777" w:rsidR="00F07F26" w:rsidRDefault="00F07F26">
      <w:pPr>
        <w:spacing w:before="0" w:after="0"/>
      </w:pPr>
    </w:p>
  </w:footnote>
  <w:footnote w:id="2">
    <w:p w14:paraId="33763137" w14:textId="77777777" w:rsidR="00C16484" w:rsidRPr="0075173D" w:rsidRDefault="00C16484" w:rsidP="00C16484">
      <w:pPr>
        <w:pStyle w:val="FootnoteText"/>
        <w:rPr>
          <w:lang w:val="es-ES"/>
        </w:rPr>
      </w:pPr>
      <w:r>
        <w:rPr>
          <w:rStyle w:val="FootnoteReference"/>
        </w:rPr>
        <w:footnoteRef/>
      </w:r>
      <w:r w:rsidRPr="0075173D">
        <w:rPr>
          <w:lang w:val="es-ES"/>
        </w:rPr>
        <w:tab/>
        <w:t>DO L 173 de 12.6.2014, p. 190, ELI: </w:t>
      </w:r>
      <w:hyperlink r:id="rId1" w:tooltip="Da acceso a este documento a través de su ELI URI." w:history="1">
        <w:r w:rsidRPr="0075173D">
          <w:rPr>
            <w:rStyle w:val="Hyperlink"/>
            <w:rFonts w:ascii="Times New Roman" w:hAnsi="Times New Roman"/>
            <w:lang w:val="es-ES"/>
          </w:rPr>
          <w:t>http://data.europa.eu/eli/dir/2014/59/oj</w:t>
        </w:r>
      </w:hyperlink>
      <w:r w:rsidRPr="0075173D">
        <w:rPr>
          <w:lang w:val="es-ES"/>
        </w:rPr>
        <w:t xml:space="preserve">. </w:t>
      </w:r>
    </w:p>
  </w:footnote>
  <w:footnote w:id="3">
    <w:p w14:paraId="584AEAAA" w14:textId="78F88551" w:rsidR="003428AE" w:rsidRPr="0075173D" w:rsidRDefault="003428AE">
      <w:pPr>
        <w:pStyle w:val="FootnoteText"/>
        <w:rPr>
          <w:lang w:val="es-ES"/>
        </w:rPr>
      </w:pPr>
      <w:r>
        <w:rPr>
          <w:rStyle w:val="FootnoteReference"/>
        </w:rPr>
        <w:footnoteRef/>
      </w:r>
      <w:r w:rsidRPr="0075173D">
        <w:rPr>
          <w:lang w:val="es-ES"/>
        </w:rPr>
        <w:tab/>
        <w:t xml:space="preserve">Directiva (UE) 2024/1174 del Parlamento Europeo y del Consejo, de 11 de abril de 2024, por la que se modifican la Directiva 2014/59/UE y el Reglamento (UE) n.º 806/2014 en lo que respecta a determinados aspectos del requisito mínimo de fondos propios y pasivos admisibles (DO L, 2024/1174, 22.4.2024, ELI: </w:t>
      </w:r>
      <w:hyperlink r:id="rId2" w:history="1">
        <w:r w:rsidRPr="0075173D">
          <w:rPr>
            <w:rStyle w:val="Hyperlink"/>
            <w:rFonts w:ascii="Times New Roman" w:hAnsi="Times New Roman"/>
            <w:lang w:val="es-ES"/>
          </w:rPr>
          <w:t>http://data.europa.eu/eli/dir/2024/1174/oj</w:t>
        </w:r>
      </w:hyperlink>
      <w:r w:rsidRPr="0075173D">
        <w:rPr>
          <w:lang w:val="es-ES"/>
        </w:rPr>
        <w:t xml:space="preserve">). </w:t>
      </w:r>
    </w:p>
  </w:footnote>
  <w:footnote w:id="4">
    <w:p w14:paraId="4D1953DF" w14:textId="607C22C8" w:rsidR="001F4496" w:rsidRPr="0075173D" w:rsidRDefault="001F4496">
      <w:pPr>
        <w:pStyle w:val="FootnoteText"/>
        <w:rPr>
          <w:lang w:val="es-ES"/>
        </w:rPr>
      </w:pPr>
      <w:r>
        <w:rPr>
          <w:rStyle w:val="FootnoteReference"/>
        </w:rPr>
        <w:footnoteRef/>
      </w:r>
      <w:r w:rsidRPr="0075173D">
        <w:rPr>
          <w:lang w:val="es-ES"/>
        </w:rPr>
        <w:tab/>
        <w:t xml:space="preserve">Reglamento de Ejecución (UE) 2021/622 de la Comisión, de 15 de abril de 2021, por el que se establecen normas técnicas de ejecución para la aplicación de la Directiva 2014/59/UE del Parlamento Europeo y del Consejo en lo que respecta a las plantillas uniformes, las instrucciones y el método para la presentación de información relativa al requisito mínimo de fondos propios y pasivos admisibles (DO L 131 de 16.4.2021, p. 123, ELI: </w:t>
      </w:r>
      <w:hyperlink r:id="rId3" w:history="1">
        <w:r w:rsidRPr="0075173D">
          <w:rPr>
            <w:rStyle w:val="Hyperlink"/>
            <w:rFonts w:ascii="Times New Roman" w:hAnsi="Times New Roman"/>
            <w:lang w:val="es-ES"/>
          </w:rPr>
          <w:t>http://data.europa.eu/eli/reg_impl/2021/622/oj</w:t>
        </w:r>
      </w:hyperlink>
      <w:r w:rsidRPr="0075173D">
        <w:rPr>
          <w:lang w:val="es-ES"/>
        </w:rPr>
        <w:t>).</w:t>
      </w:r>
    </w:p>
  </w:footnote>
  <w:footnote w:id="5">
    <w:p w14:paraId="5FB3833A" w14:textId="77777777" w:rsidR="000B5B60" w:rsidRPr="0075173D" w:rsidRDefault="000B5B60">
      <w:pPr>
        <w:pStyle w:val="FootnoteText"/>
        <w:rPr>
          <w:lang w:val="es-ES"/>
        </w:rPr>
      </w:pPr>
      <w:r>
        <w:rPr>
          <w:rStyle w:val="FootnoteReference"/>
        </w:rPr>
        <w:footnoteRef/>
      </w:r>
      <w:r w:rsidRPr="0075173D">
        <w:rPr>
          <w:lang w:val="es-ES"/>
        </w:rPr>
        <w:tab/>
        <w:t xml:space="preserve">Reglamento de Ejecución (UE) 2021/763 de la Comisión, de 23 de abril de 2021, por el que se establecen normas técnicas de ejecución para la aplicación del Reglamento (UE) n.º 575/2013 del Parlamento Europeo y del Consejo y de la Directiva 2014/59/UE del Parlamento Europeo y del Consejo en lo que respecta a la presentación con fines de supervisión y la divulgación pública de información sobre el requisito mínimo de fondos propios y pasivos admisibles (DO L 168 de 12.5.2021, ELI: </w:t>
      </w:r>
      <w:hyperlink r:id="rId4" w:history="1">
        <w:r w:rsidRPr="0075173D">
          <w:rPr>
            <w:rStyle w:val="Hyperlink"/>
            <w:rFonts w:ascii="Times New Roman" w:hAnsi="Times New Roman"/>
            <w:lang w:val="es-ES"/>
          </w:rPr>
          <w:t>http://data.europa.eu/eli/reg_impl/2021/763/oj</w:t>
        </w:r>
      </w:hyperlink>
      <w:r w:rsidRPr="0075173D">
        <w:rPr>
          <w:lang w:val="es-ES"/>
        </w:rPr>
        <w:t>).</w:t>
      </w:r>
    </w:p>
  </w:footnote>
  <w:footnote w:id="6">
    <w:p w14:paraId="04BE3385" w14:textId="77777777" w:rsidR="00401F3A" w:rsidRPr="0075173D" w:rsidRDefault="00401F3A" w:rsidP="00F35BD7">
      <w:pPr>
        <w:pStyle w:val="FootnoteText"/>
        <w:rPr>
          <w:lang w:val="es-ES"/>
        </w:rPr>
      </w:pPr>
      <w:r>
        <w:rPr>
          <w:rStyle w:val="FootnoteReference"/>
        </w:rPr>
        <w:footnoteRef/>
      </w:r>
      <w:r w:rsidRPr="0075173D">
        <w:rPr>
          <w:lang w:val="es-ES"/>
        </w:rPr>
        <w:tab/>
        <w:t>Reglamento (UE) n.º 1093/2010 del Parlamento Europeo y del Consejo, de 24 de noviembre de 2010, por el que se crea una Autoridad Europea de Supervisión (Autoridad Bancaria Europea), se modifica la Decisión no 716/2009/CE y se deroga la Decisión 2009/78/CE de la Comisión (DO L 331 de 15.12.2010, p. 12, ELI: </w:t>
      </w:r>
      <w:hyperlink r:id="rId5" w:tooltip="Da acceso a este documento a través de su ELI URI." w:history="1">
        <w:r w:rsidRPr="0075173D">
          <w:rPr>
            <w:rStyle w:val="Hyperlink"/>
            <w:rFonts w:ascii="Times New Roman" w:hAnsi="Times New Roman"/>
            <w:lang w:val="es-ES"/>
          </w:rPr>
          <w:t>http://data.europa.eu/eli/reg/2010/1093/oj</w:t>
        </w:r>
      </w:hyperlink>
      <w:r w:rsidRPr="0075173D">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5DAA" w14:textId="77777777" w:rsidR="00C65555" w:rsidRPr="00FD420B" w:rsidRDefault="00C65555" w:rsidP="00FD4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F59A" w14:textId="77777777" w:rsidR="00C65555" w:rsidRPr="00FD420B" w:rsidRDefault="00C65555" w:rsidP="00FD42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D953" w14:textId="77777777" w:rsidR="00C65555" w:rsidRPr="00FD420B" w:rsidRDefault="00C65555" w:rsidP="00FD42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C1D2" w14:textId="77777777" w:rsidR="000C320E" w:rsidRDefault="000C32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10A3" w14:textId="77777777" w:rsidR="000C320E" w:rsidRDefault="000C3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1B8BE2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E56832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CAC290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25511920">
    <w:abstractNumId w:val="3"/>
  </w:num>
  <w:num w:numId="2" w16cid:durableId="784347441">
    <w:abstractNumId w:val="18"/>
    <w:lvlOverride w:ilvl="0">
      <w:startOverride w:val="1"/>
    </w:lvlOverride>
  </w:num>
  <w:num w:numId="3" w16cid:durableId="2119445392">
    <w:abstractNumId w:val="2"/>
  </w:num>
  <w:num w:numId="4" w16cid:durableId="1881360427">
    <w:abstractNumId w:val="1"/>
  </w:num>
  <w:num w:numId="5" w16cid:durableId="309334442">
    <w:abstractNumId w:val="0"/>
  </w:num>
  <w:num w:numId="6" w16cid:durableId="2089693441">
    <w:abstractNumId w:val="15"/>
  </w:num>
  <w:num w:numId="7" w16cid:durableId="1693998065">
    <w:abstractNumId w:val="8"/>
  </w:num>
  <w:num w:numId="8" w16cid:durableId="788817884">
    <w:abstractNumId w:val="17"/>
  </w:num>
  <w:num w:numId="9" w16cid:durableId="1535464848">
    <w:abstractNumId w:val="7"/>
  </w:num>
  <w:num w:numId="10" w16cid:durableId="639657071">
    <w:abstractNumId w:val="9"/>
  </w:num>
  <w:num w:numId="11" w16cid:durableId="361050661">
    <w:abstractNumId w:val="10"/>
  </w:num>
  <w:num w:numId="12" w16cid:durableId="472790552">
    <w:abstractNumId w:val="5"/>
  </w:num>
  <w:num w:numId="13" w16cid:durableId="384646725">
    <w:abstractNumId w:val="16"/>
  </w:num>
  <w:num w:numId="14" w16cid:durableId="2031682509">
    <w:abstractNumId w:val="4"/>
  </w:num>
  <w:num w:numId="15" w16cid:durableId="150604668">
    <w:abstractNumId w:val="11"/>
  </w:num>
  <w:num w:numId="16" w16cid:durableId="472332852">
    <w:abstractNumId w:val="13"/>
  </w:num>
  <w:num w:numId="17" w16cid:durableId="1298296966">
    <w:abstractNumId w:val="14"/>
  </w:num>
  <w:num w:numId="18" w16cid:durableId="1306230484">
    <w:abstractNumId w:val="6"/>
  </w:num>
  <w:num w:numId="19" w16cid:durableId="24066917">
    <w:abstractNumId w:val="12"/>
  </w:num>
  <w:num w:numId="20" w16cid:durableId="48543658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26-01-13 13:10:1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EBB0E35-94CF-43D9-9ACC-8ABD77467CED"/>
    <w:docVar w:name="LW_COVERPAGE_TYPE" w:val="1"/>
    <w:docVar w:name="LW_CreatedUtc" w:val="2025-09-04T16:00:38.0896335Z"/>
    <w:docVar w:name="LW_CROSSREFERENCE" w:val="&lt;UNUSED&gt;"/>
    <w:docVar w:name="LW_DATE.ADOPT.CP" w:val="de XXX"/>
    <w:docVar w:name="LW_DATE.ADOPT.CP_DATEFORMAT" w:val="de %DATE%"/>
    <w:docVar w:name="LW_DATE.ADOPT.CP_ISODATE" w:val="&lt;EMPTY&gt;"/>
    <w:docVar w:name="LW_DocType" w:val="COM"/>
    <w:docVar w:name="LW_EMISSION" w:val="&lt;EMPTY&gt;"/>
    <w:docVar w:name="LW_EMISSION_ISODATE" w:val="&lt;EMPTY&gt;"/>
    <w:docVar w:name="LW_EMISSION_LOCATION" w:val="BRX"/>
    <w:docVar w:name="LW_EMISSION_PREFIX" w:val="Bruselas, "/>
    <w:docVar w:name="LW_EMISSION_SUFFIX" w:val=" "/>
    <w:docVar w:name="LW_ID_DOCMODEL" w:val="SJ-004"/>
    <w:docVar w:name="LW_ID_DOCSIGNATURE" w:val="SJ-004"/>
    <w:docVar w:name="LW_ID_DOCSTRUCTURE" w:val="COM/AA"/>
    <w:docVar w:name="LW_ID_DOCTYPE" w:val="SJ-004"/>
    <w:docVar w:name="LW_INTERETEEE" w:val="(Texto pertinente a efectos del EEE)"/>
    <w:docVar w:name="LW_INTERETEEE.CP" w:val="(Texto pertinente a efectos del EEE)"/>
    <w:docVar w:name="LW_LANGUE" w:val="ES"/>
    <w:docVar w:name="LW_LANGUESFAISANTFOI.CP" w:val="&lt;UNUSED&gt;"/>
    <w:docVar w:name="LW_LEVEL_OF_SENSITIVITY" w:val="Standard treatment"/>
    <w:docVar w:name="LW_NOM.INST" w:val="COMISIÓN EUROPEA"/>
    <w:docVar w:name="LW_NOM.INST_JOINTDOC" w:val="&lt;EMPTY&gt;"/>
    <w:docVar w:name="LW_PART_NBR" w:val="1"/>
    <w:docVar w:name="LW_PART_NBR_TOTAL" w:val="1"/>
    <w:docVar w:name="LW_REF.INST.NEW" w:val="&lt;EMPTY&gt;"/>
    <w:docVar w:name="LW_REF.INST.NEW_ADOPTED" w:val="draft"/>
    <w:docVar w:name="LW_REF.INST.NEW_TEXT" w:val="(2026)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 w:val="por el que se modifican las normas técnicas de ejecución establecidas en el Reglamento de Ejecución (UE) 2021/622 en relación con la frecuencia de la presentación de información y la información que debe comunicarse"/>
    <w:docVar w:name="LW_TITRE.OBJ.CP" w:val="por el que se modifican las normas técnicas de ejecución establecidas en el Reglamento de Ejecución (UE) 2021/622 en relación con la frecuencia de la presentación de información y la información que debe comunicarse"/>
    <w:docVar w:name="LW_TYPE.DOC" w:val="REGLAMENTO DE EJECUCIÓN (UE) \u8230?/... DE LA COMISIÓN"/>
    <w:docVar w:name="LW_TYPE.DOC.CP" w:val="REGLAMENTO DE EJECUCIÓN (UE) \u8230?/... DE LA COMISIÓN"/>
  </w:docVars>
  <w:rsids>
    <w:rsidRoot w:val="00C16484"/>
    <w:rsid w:val="00000BE0"/>
    <w:rsid w:val="00016399"/>
    <w:rsid w:val="000417C4"/>
    <w:rsid w:val="00045B9F"/>
    <w:rsid w:val="000625FB"/>
    <w:rsid w:val="00075947"/>
    <w:rsid w:val="000A663E"/>
    <w:rsid w:val="000B5B60"/>
    <w:rsid w:val="000B7A7D"/>
    <w:rsid w:val="000C320E"/>
    <w:rsid w:val="000D3BC2"/>
    <w:rsid w:val="000E5499"/>
    <w:rsid w:val="00115188"/>
    <w:rsid w:val="001151E7"/>
    <w:rsid w:val="00125199"/>
    <w:rsid w:val="0013305B"/>
    <w:rsid w:val="00143ED4"/>
    <w:rsid w:val="00152894"/>
    <w:rsid w:val="00152CAF"/>
    <w:rsid w:val="0017762B"/>
    <w:rsid w:val="0018141D"/>
    <w:rsid w:val="001A25E7"/>
    <w:rsid w:val="001A6BDC"/>
    <w:rsid w:val="001E3098"/>
    <w:rsid w:val="001E39BF"/>
    <w:rsid w:val="001F2AC0"/>
    <w:rsid w:val="001F4496"/>
    <w:rsid w:val="00214607"/>
    <w:rsid w:val="002259CF"/>
    <w:rsid w:val="002266B1"/>
    <w:rsid w:val="00235A60"/>
    <w:rsid w:val="00244085"/>
    <w:rsid w:val="00244C17"/>
    <w:rsid w:val="00244DFD"/>
    <w:rsid w:val="00246E59"/>
    <w:rsid w:val="00264589"/>
    <w:rsid w:val="0029415E"/>
    <w:rsid w:val="002A43D8"/>
    <w:rsid w:val="002A753D"/>
    <w:rsid w:val="002B37B6"/>
    <w:rsid w:val="002D6B17"/>
    <w:rsid w:val="002F1710"/>
    <w:rsid w:val="0030490D"/>
    <w:rsid w:val="00313AC1"/>
    <w:rsid w:val="00325B37"/>
    <w:rsid w:val="00331377"/>
    <w:rsid w:val="003428AE"/>
    <w:rsid w:val="00353536"/>
    <w:rsid w:val="00364262"/>
    <w:rsid w:val="00373FC4"/>
    <w:rsid w:val="0038290C"/>
    <w:rsid w:val="003838B9"/>
    <w:rsid w:val="00396ACD"/>
    <w:rsid w:val="003B10ED"/>
    <w:rsid w:val="003E05B8"/>
    <w:rsid w:val="003E1718"/>
    <w:rsid w:val="003E3FC7"/>
    <w:rsid w:val="003E7D8F"/>
    <w:rsid w:val="003F2A70"/>
    <w:rsid w:val="00401F3A"/>
    <w:rsid w:val="00406CBA"/>
    <w:rsid w:val="004138D9"/>
    <w:rsid w:val="004211F5"/>
    <w:rsid w:val="0042702A"/>
    <w:rsid w:val="00437AA5"/>
    <w:rsid w:val="004518ED"/>
    <w:rsid w:val="00470CF5"/>
    <w:rsid w:val="00485F6A"/>
    <w:rsid w:val="004918DE"/>
    <w:rsid w:val="00492396"/>
    <w:rsid w:val="004B4C38"/>
    <w:rsid w:val="004D7D54"/>
    <w:rsid w:val="004E19F9"/>
    <w:rsid w:val="004E763F"/>
    <w:rsid w:val="004F04FA"/>
    <w:rsid w:val="004F588A"/>
    <w:rsid w:val="004F6513"/>
    <w:rsid w:val="00506B49"/>
    <w:rsid w:val="00507FF2"/>
    <w:rsid w:val="00517205"/>
    <w:rsid w:val="0052508D"/>
    <w:rsid w:val="00534D3A"/>
    <w:rsid w:val="0054013D"/>
    <w:rsid w:val="00542487"/>
    <w:rsid w:val="00557EAF"/>
    <w:rsid w:val="00582810"/>
    <w:rsid w:val="0058683E"/>
    <w:rsid w:val="005929F6"/>
    <w:rsid w:val="00593EEC"/>
    <w:rsid w:val="00595540"/>
    <w:rsid w:val="005A5382"/>
    <w:rsid w:val="005A55F3"/>
    <w:rsid w:val="005B5FA6"/>
    <w:rsid w:val="005C1F43"/>
    <w:rsid w:val="005D1478"/>
    <w:rsid w:val="005D2C73"/>
    <w:rsid w:val="005D6AA6"/>
    <w:rsid w:val="005E2634"/>
    <w:rsid w:val="005F2B9A"/>
    <w:rsid w:val="00603E01"/>
    <w:rsid w:val="0061453F"/>
    <w:rsid w:val="00642760"/>
    <w:rsid w:val="00643DEF"/>
    <w:rsid w:val="006654AB"/>
    <w:rsid w:val="00667F1D"/>
    <w:rsid w:val="006700C7"/>
    <w:rsid w:val="006820F1"/>
    <w:rsid w:val="00685D33"/>
    <w:rsid w:val="006D3FD5"/>
    <w:rsid w:val="006D6949"/>
    <w:rsid w:val="006F20E7"/>
    <w:rsid w:val="006F7EFE"/>
    <w:rsid w:val="007142D9"/>
    <w:rsid w:val="0075173D"/>
    <w:rsid w:val="00752552"/>
    <w:rsid w:val="007638EF"/>
    <w:rsid w:val="00763F6E"/>
    <w:rsid w:val="00781585"/>
    <w:rsid w:val="00783A3B"/>
    <w:rsid w:val="007878CB"/>
    <w:rsid w:val="00787E7C"/>
    <w:rsid w:val="0079599D"/>
    <w:rsid w:val="007A7287"/>
    <w:rsid w:val="007D0861"/>
    <w:rsid w:val="007D3D95"/>
    <w:rsid w:val="007E010B"/>
    <w:rsid w:val="007F5C7C"/>
    <w:rsid w:val="00801EB4"/>
    <w:rsid w:val="00802FC2"/>
    <w:rsid w:val="00817121"/>
    <w:rsid w:val="00830365"/>
    <w:rsid w:val="00833B73"/>
    <w:rsid w:val="00837144"/>
    <w:rsid w:val="00843817"/>
    <w:rsid w:val="008460B7"/>
    <w:rsid w:val="00847915"/>
    <w:rsid w:val="008601F7"/>
    <w:rsid w:val="00861270"/>
    <w:rsid w:val="00873708"/>
    <w:rsid w:val="00874305"/>
    <w:rsid w:val="00880A77"/>
    <w:rsid w:val="00883117"/>
    <w:rsid w:val="00884922"/>
    <w:rsid w:val="00897749"/>
    <w:rsid w:val="008A3F6C"/>
    <w:rsid w:val="008B07C8"/>
    <w:rsid w:val="008B3C68"/>
    <w:rsid w:val="008B6AF9"/>
    <w:rsid w:val="008D3EC5"/>
    <w:rsid w:val="008D4062"/>
    <w:rsid w:val="008E2694"/>
    <w:rsid w:val="008E2E76"/>
    <w:rsid w:val="008F234A"/>
    <w:rsid w:val="00902ADE"/>
    <w:rsid w:val="00910118"/>
    <w:rsid w:val="00912760"/>
    <w:rsid w:val="00917A1D"/>
    <w:rsid w:val="00940731"/>
    <w:rsid w:val="009430FB"/>
    <w:rsid w:val="00943538"/>
    <w:rsid w:val="009526D5"/>
    <w:rsid w:val="0095347B"/>
    <w:rsid w:val="00962953"/>
    <w:rsid w:val="00964D55"/>
    <w:rsid w:val="00980CC9"/>
    <w:rsid w:val="0099485E"/>
    <w:rsid w:val="009957C5"/>
    <w:rsid w:val="009A4095"/>
    <w:rsid w:val="009B0295"/>
    <w:rsid w:val="009C1E02"/>
    <w:rsid w:val="009D2368"/>
    <w:rsid w:val="009D5F8B"/>
    <w:rsid w:val="009F3A7A"/>
    <w:rsid w:val="00A03DA8"/>
    <w:rsid w:val="00A05FAB"/>
    <w:rsid w:val="00A24E3D"/>
    <w:rsid w:val="00A37D2E"/>
    <w:rsid w:val="00A4162C"/>
    <w:rsid w:val="00A41677"/>
    <w:rsid w:val="00A51E2F"/>
    <w:rsid w:val="00A51FF5"/>
    <w:rsid w:val="00A54A8C"/>
    <w:rsid w:val="00A564DC"/>
    <w:rsid w:val="00A565C7"/>
    <w:rsid w:val="00A719DF"/>
    <w:rsid w:val="00A7647B"/>
    <w:rsid w:val="00AA038B"/>
    <w:rsid w:val="00AB034D"/>
    <w:rsid w:val="00AC6B16"/>
    <w:rsid w:val="00AD5257"/>
    <w:rsid w:val="00AE4482"/>
    <w:rsid w:val="00B01072"/>
    <w:rsid w:val="00B136EC"/>
    <w:rsid w:val="00B14B01"/>
    <w:rsid w:val="00B43EBD"/>
    <w:rsid w:val="00B65FB3"/>
    <w:rsid w:val="00B66E09"/>
    <w:rsid w:val="00B95D78"/>
    <w:rsid w:val="00B97308"/>
    <w:rsid w:val="00BB3BEC"/>
    <w:rsid w:val="00BD02BB"/>
    <w:rsid w:val="00BD3885"/>
    <w:rsid w:val="00BD66E4"/>
    <w:rsid w:val="00C059B6"/>
    <w:rsid w:val="00C10CA6"/>
    <w:rsid w:val="00C11798"/>
    <w:rsid w:val="00C16484"/>
    <w:rsid w:val="00C21AB2"/>
    <w:rsid w:val="00C27976"/>
    <w:rsid w:val="00C3731F"/>
    <w:rsid w:val="00C62388"/>
    <w:rsid w:val="00C63550"/>
    <w:rsid w:val="00C637B0"/>
    <w:rsid w:val="00C64CCC"/>
    <w:rsid w:val="00C65555"/>
    <w:rsid w:val="00C87FB3"/>
    <w:rsid w:val="00C9384A"/>
    <w:rsid w:val="00C9629C"/>
    <w:rsid w:val="00C96395"/>
    <w:rsid w:val="00C96A56"/>
    <w:rsid w:val="00CA156D"/>
    <w:rsid w:val="00CA57DA"/>
    <w:rsid w:val="00CA7FE1"/>
    <w:rsid w:val="00CC58EB"/>
    <w:rsid w:val="00CE1382"/>
    <w:rsid w:val="00D02FAD"/>
    <w:rsid w:val="00D0530E"/>
    <w:rsid w:val="00D05DED"/>
    <w:rsid w:val="00D206AC"/>
    <w:rsid w:val="00D47F83"/>
    <w:rsid w:val="00D5454C"/>
    <w:rsid w:val="00D55CE9"/>
    <w:rsid w:val="00D564F7"/>
    <w:rsid w:val="00D72038"/>
    <w:rsid w:val="00D763BC"/>
    <w:rsid w:val="00D872A1"/>
    <w:rsid w:val="00D93F2F"/>
    <w:rsid w:val="00D966E8"/>
    <w:rsid w:val="00DB4B20"/>
    <w:rsid w:val="00DC3AD5"/>
    <w:rsid w:val="00DC5E29"/>
    <w:rsid w:val="00DD4285"/>
    <w:rsid w:val="00DF1FB9"/>
    <w:rsid w:val="00DF36A6"/>
    <w:rsid w:val="00E07235"/>
    <w:rsid w:val="00E23B80"/>
    <w:rsid w:val="00E25A5F"/>
    <w:rsid w:val="00E32BAC"/>
    <w:rsid w:val="00E33C9F"/>
    <w:rsid w:val="00E36D1F"/>
    <w:rsid w:val="00E42E7E"/>
    <w:rsid w:val="00E43152"/>
    <w:rsid w:val="00E50E5B"/>
    <w:rsid w:val="00E667BA"/>
    <w:rsid w:val="00E7044F"/>
    <w:rsid w:val="00E82B0B"/>
    <w:rsid w:val="00E873DD"/>
    <w:rsid w:val="00E932C3"/>
    <w:rsid w:val="00E979AB"/>
    <w:rsid w:val="00EB3279"/>
    <w:rsid w:val="00EC332E"/>
    <w:rsid w:val="00EC39BC"/>
    <w:rsid w:val="00EE0749"/>
    <w:rsid w:val="00EE140B"/>
    <w:rsid w:val="00EE441C"/>
    <w:rsid w:val="00EE54B9"/>
    <w:rsid w:val="00F07F26"/>
    <w:rsid w:val="00F35BD7"/>
    <w:rsid w:val="00F36982"/>
    <w:rsid w:val="00F41DDB"/>
    <w:rsid w:val="00F540D6"/>
    <w:rsid w:val="00F629AC"/>
    <w:rsid w:val="00F9249D"/>
    <w:rsid w:val="00F95ED9"/>
    <w:rsid w:val="00FA0BAF"/>
    <w:rsid w:val="00FA382E"/>
    <w:rsid w:val="00FA715C"/>
    <w:rsid w:val="00FB22DB"/>
    <w:rsid w:val="00FB7F0A"/>
    <w:rsid w:val="00FC2396"/>
    <w:rsid w:val="00FC5252"/>
    <w:rsid w:val="00FD060F"/>
    <w:rsid w:val="00FD1723"/>
    <w:rsid w:val="00FD420B"/>
    <w:rsid w:val="00FD5032"/>
    <w:rsid w:val="00FE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EC4F20"/>
  <w15:docId w15:val="{EDD646E4-8E0C-487A-842A-DA74770F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3"/>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16484"/>
    <w:pPr>
      <w:numPr>
        <w:numId w:val="1"/>
      </w:numPr>
      <w:tabs>
        <w:tab w:val="clear" w:pos="360"/>
      </w:tabs>
      <w:ind w:left="0" w:firstLine="0"/>
    </w:pPr>
    <w:rPr>
      <w:rFonts w:eastAsia="Times New Roman"/>
      <w:lang w:eastAsia="en-GB"/>
    </w:rPr>
  </w:style>
  <w:style w:type="character" w:styleId="Hyperlink">
    <w:name w:val="Hyperlink"/>
    <w:basedOn w:val="DefaultParagraphFont"/>
    <w:uiPriority w:val="99"/>
    <w:rsid w:val="00C16484"/>
    <w:rPr>
      <w:rFonts w:asciiTheme="majorHAnsi" w:hAnsiTheme="majorHAnsi"/>
      <w:color w:val="F79646" w:themeColor="accent6"/>
      <w:u w:val="single"/>
    </w:rPr>
  </w:style>
  <w:style w:type="numbering" w:customStyle="1" w:styleId="LFO29">
    <w:name w:val="LFO29"/>
    <w:basedOn w:val="NoList"/>
    <w:rsid w:val="00C16484"/>
  </w:style>
  <w:style w:type="paragraph" w:styleId="ListBullet2">
    <w:name w:val="List Bullet 2"/>
    <w:basedOn w:val="Normal"/>
    <w:uiPriority w:val="99"/>
    <w:semiHidden/>
    <w:unhideWhenUsed/>
    <w:rsid w:val="00F9249D"/>
    <w:pPr>
      <w:numPr>
        <w:numId w:val="3"/>
      </w:numPr>
      <w:contextualSpacing/>
    </w:pPr>
  </w:style>
  <w:style w:type="paragraph" w:styleId="ListBullet3">
    <w:name w:val="List Bullet 3"/>
    <w:basedOn w:val="Normal"/>
    <w:uiPriority w:val="99"/>
    <w:semiHidden/>
    <w:unhideWhenUsed/>
    <w:rsid w:val="00F9249D"/>
    <w:pPr>
      <w:numPr>
        <w:numId w:val="4"/>
      </w:numPr>
      <w:contextualSpacing/>
    </w:pPr>
  </w:style>
  <w:style w:type="paragraph" w:styleId="ListBullet4">
    <w:name w:val="List Bullet 4"/>
    <w:basedOn w:val="Normal"/>
    <w:uiPriority w:val="99"/>
    <w:semiHidden/>
    <w:unhideWhenUsed/>
    <w:rsid w:val="00F9249D"/>
    <w:pPr>
      <w:numPr>
        <w:numId w:val="5"/>
      </w:numPr>
      <w:contextualSpacing/>
    </w:pPr>
  </w:style>
  <w:style w:type="character" w:styleId="CommentReference">
    <w:name w:val="annotation reference"/>
    <w:basedOn w:val="DefaultParagraphFont"/>
    <w:uiPriority w:val="99"/>
    <w:semiHidden/>
    <w:unhideWhenUsed/>
    <w:rsid w:val="008A3F6C"/>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s-ES"/>
    </w:rPr>
  </w:style>
  <w:style w:type="paragraph" w:styleId="Revision">
    <w:name w:val="Revision"/>
    <w:hidden/>
    <w:uiPriority w:val="99"/>
    <w:semiHidden/>
    <w:rsid w:val="005929F6"/>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CA7FE1"/>
    <w:rPr>
      <w:b/>
      <w:bCs/>
    </w:rPr>
  </w:style>
  <w:style w:type="character" w:customStyle="1" w:styleId="CommentSubjectChar">
    <w:name w:val="Comment Subject Char"/>
    <w:basedOn w:val="CommentTextChar"/>
    <w:link w:val="CommentSubject"/>
    <w:uiPriority w:val="99"/>
    <w:semiHidden/>
    <w:rsid w:val="00CA7FE1"/>
    <w:rPr>
      <w:rFonts w:ascii="Times New Roman" w:hAnsi="Times New Roman" w:cs="Times New Roman"/>
      <w:b/>
      <w:bCs/>
      <w:sz w:val="20"/>
      <w:szCs w:val="20"/>
      <w:lang w:val="es-ES"/>
    </w:rPr>
  </w:style>
  <w:style w:type="paragraph" w:styleId="NormalWeb">
    <w:name w:val="Normal (Web)"/>
    <w:basedOn w:val="Normal"/>
    <w:uiPriority w:val="99"/>
    <w:semiHidden/>
    <w:unhideWhenUsed/>
    <w:rsid w:val="00373FC4"/>
    <w:rPr>
      <w:szCs w:val="24"/>
    </w:rPr>
  </w:style>
  <w:style w:type="character" w:styleId="UnresolvedMention">
    <w:name w:val="Unresolved Mention"/>
    <w:basedOn w:val="DefaultParagraphFont"/>
    <w:uiPriority w:val="99"/>
    <w:semiHidden/>
    <w:unhideWhenUsed/>
    <w:rsid w:val="00373FC4"/>
    <w:rPr>
      <w:color w:val="605E5C"/>
      <w:shd w:val="clear" w:color="auto" w:fill="E1DFDD"/>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s-ES_trad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s-ES_trad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s-ES_trad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s-ES_tradn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s-ES_tradn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s-ES_tradn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s-ES_trad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6"/>
      </w:numPr>
    </w:pPr>
  </w:style>
  <w:style w:type="paragraph" w:customStyle="1" w:styleId="Tiret1">
    <w:name w:val="Tiret 1"/>
    <w:basedOn w:val="Point1"/>
    <w:pPr>
      <w:numPr>
        <w:numId w:val="7"/>
      </w:numPr>
    </w:pPr>
  </w:style>
  <w:style w:type="paragraph" w:customStyle="1" w:styleId="Tiret2">
    <w:name w:val="Tiret 2"/>
    <w:basedOn w:val="Point2"/>
    <w:pPr>
      <w:numPr>
        <w:numId w:val="8"/>
      </w:numPr>
    </w:pPr>
  </w:style>
  <w:style w:type="paragraph" w:customStyle="1" w:styleId="Tiret3">
    <w:name w:val="Tiret 3"/>
    <w:basedOn w:val="Point3"/>
    <w:pPr>
      <w:numPr>
        <w:numId w:val="9"/>
      </w:numPr>
    </w:pPr>
  </w:style>
  <w:style w:type="paragraph" w:customStyle="1" w:styleId="Tiret4">
    <w:name w:val="Tiret 4"/>
    <w:basedOn w:val="Point4"/>
    <w:pPr>
      <w:numPr>
        <w:numId w:val="10"/>
      </w:numPr>
    </w:pPr>
  </w:style>
  <w:style w:type="paragraph" w:customStyle="1" w:styleId="Tiret5">
    <w:name w:val="Tiret 5"/>
    <w:basedOn w:val="Point5"/>
    <w:pPr>
      <w:numPr>
        <w:numId w:val="1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2"/>
      </w:numPr>
    </w:pPr>
  </w:style>
  <w:style w:type="paragraph" w:customStyle="1" w:styleId="NumPar2">
    <w:name w:val="NumPar 2"/>
    <w:basedOn w:val="Normal"/>
    <w:next w:val="Text1"/>
    <w:pPr>
      <w:numPr>
        <w:ilvl w:val="1"/>
        <w:numId w:val="12"/>
      </w:numPr>
    </w:pPr>
  </w:style>
  <w:style w:type="paragraph" w:customStyle="1" w:styleId="NumPar3">
    <w:name w:val="NumPar 3"/>
    <w:basedOn w:val="Normal"/>
    <w:next w:val="Text1"/>
    <w:pPr>
      <w:numPr>
        <w:ilvl w:val="2"/>
        <w:numId w:val="12"/>
      </w:numPr>
    </w:pPr>
  </w:style>
  <w:style w:type="paragraph" w:customStyle="1" w:styleId="NumPar4">
    <w:name w:val="NumPar 4"/>
    <w:basedOn w:val="Normal"/>
    <w:next w:val="Text1"/>
    <w:pPr>
      <w:numPr>
        <w:ilvl w:val="3"/>
        <w:numId w:val="12"/>
      </w:numPr>
    </w:pPr>
  </w:style>
  <w:style w:type="paragraph" w:customStyle="1" w:styleId="NumPar5">
    <w:name w:val="NumPar 5"/>
    <w:basedOn w:val="Normal"/>
    <w:next w:val="Text2"/>
    <w:pPr>
      <w:numPr>
        <w:ilvl w:val="4"/>
        <w:numId w:val="12"/>
      </w:numPr>
    </w:pPr>
  </w:style>
  <w:style w:type="paragraph" w:customStyle="1" w:styleId="NumPar6">
    <w:name w:val="NumPar 6"/>
    <w:basedOn w:val="Normal"/>
    <w:next w:val="Text2"/>
    <w:pPr>
      <w:numPr>
        <w:ilvl w:val="5"/>
        <w:numId w:val="12"/>
      </w:numPr>
    </w:pPr>
  </w:style>
  <w:style w:type="paragraph" w:customStyle="1" w:styleId="NumPar7">
    <w:name w:val="NumPar 7"/>
    <w:basedOn w:val="Normal"/>
    <w:next w:val="Text2"/>
    <w:pPr>
      <w:numPr>
        <w:ilvl w:val="6"/>
        <w:numId w:val="1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4"/>
      </w:numPr>
    </w:pPr>
  </w:style>
  <w:style w:type="paragraph" w:customStyle="1" w:styleId="Point1number">
    <w:name w:val="Point 1 (number)"/>
    <w:basedOn w:val="Normal"/>
    <w:pPr>
      <w:numPr>
        <w:ilvl w:val="2"/>
        <w:numId w:val="14"/>
      </w:numPr>
    </w:pPr>
  </w:style>
  <w:style w:type="paragraph" w:customStyle="1" w:styleId="Point2number">
    <w:name w:val="Point 2 (number)"/>
    <w:basedOn w:val="Normal"/>
    <w:pPr>
      <w:numPr>
        <w:ilvl w:val="4"/>
        <w:numId w:val="14"/>
      </w:numPr>
    </w:pPr>
  </w:style>
  <w:style w:type="paragraph" w:customStyle="1" w:styleId="Point3number">
    <w:name w:val="Point 3 (number)"/>
    <w:basedOn w:val="Normal"/>
    <w:pPr>
      <w:numPr>
        <w:ilvl w:val="6"/>
        <w:numId w:val="14"/>
      </w:numPr>
    </w:pPr>
  </w:style>
  <w:style w:type="paragraph" w:customStyle="1" w:styleId="Point0letter">
    <w:name w:val="Point 0 (letter)"/>
    <w:basedOn w:val="Normal"/>
    <w:pPr>
      <w:numPr>
        <w:ilvl w:val="1"/>
        <w:numId w:val="14"/>
      </w:numPr>
    </w:pPr>
  </w:style>
  <w:style w:type="paragraph" w:customStyle="1" w:styleId="Point1letter">
    <w:name w:val="Point 1 (letter)"/>
    <w:basedOn w:val="Normal"/>
    <w:pPr>
      <w:numPr>
        <w:ilvl w:val="3"/>
        <w:numId w:val="14"/>
      </w:numPr>
    </w:pPr>
  </w:style>
  <w:style w:type="paragraph" w:customStyle="1" w:styleId="Point2letter">
    <w:name w:val="Point 2 (letter)"/>
    <w:basedOn w:val="Normal"/>
    <w:pPr>
      <w:numPr>
        <w:ilvl w:val="5"/>
        <w:numId w:val="14"/>
      </w:numPr>
    </w:pPr>
  </w:style>
  <w:style w:type="paragraph" w:customStyle="1" w:styleId="Point3letter">
    <w:name w:val="Point 3 (letter)"/>
    <w:basedOn w:val="Normal"/>
    <w:pPr>
      <w:numPr>
        <w:ilvl w:val="7"/>
        <w:numId w:val="14"/>
      </w:numPr>
    </w:pPr>
  </w:style>
  <w:style w:type="paragraph" w:customStyle="1" w:styleId="Point4letter">
    <w:name w:val="Point 4 (letter)"/>
    <w:basedOn w:val="Normal"/>
    <w:pPr>
      <w:numPr>
        <w:ilvl w:val="8"/>
        <w:numId w:val="14"/>
      </w:numPr>
    </w:pPr>
  </w:style>
  <w:style w:type="paragraph" w:customStyle="1" w:styleId="Bullet0">
    <w:name w:val="Bullet 0"/>
    <w:basedOn w:val="Normal"/>
    <w:pPr>
      <w:numPr>
        <w:numId w:val="15"/>
      </w:numPr>
    </w:pPr>
  </w:style>
  <w:style w:type="paragraph" w:customStyle="1" w:styleId="Bullet1">
    <w:name w:val="Bullet 1"/>
    <w:basedOn w:val="Normal"/>
    <w:pPr>
      <w:numPr>
        <w:numId w:val="16"/>
      </w:numPr>
    </w:pPr>
  </w:style>
  <w:style w:type="paragraph" w:customStyle="1" w:styleId="Bullet2">
    <w:name w:val="Bullet 2"/>
    <w:basedOn w:val="Normal"/>
    <w:pPr>
      <w:numPr>
        <w:numId w:val="17"/>
      </w:numPr>
    </w:pPr>
  </w:style>
  <w:style w:type="paragraph" w:customStyle="1" w:styleId="Bullet3">
    <w:name w:val="Bullet 3"/>
    <w:basedOn w:val="Normal"/>
    <w:pPr>
      <w:numPr>
        <w:numId w:val="18"/>
      </w:numPr>
    </w:pPr>
  </w:style>
  <w:style w:type="paragraph" w:customStyle="1" w:styleId="Bullet4">
    <w:name w:val="Bullet 4"/>
    <w:basedOn w:val="Normal"/>
    <w:pPr>
      <w:numPr>
        <w:numId w:val="1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2176">
      <w:bodyDiv w:val="1"/>
      <w:marLeft w:val="0"/>
      <w:marRight w:val="0"/>
      <w:marTop w:val="0"/>
      <w:marBottom w:val="0"/>
      <w:divBdr>
        <w:top w:val="none" w:sz="0" w:space="0" w:color="auto"/>
        <w:left w:val="none" w:sz="0" w:space="0" w:color="auto"/>
        <w:bottom w:val="none" w:sz="0" w:space="0" w:color="auto"/>
        <w:right w:val="none" w:sz="0" w:space="0" w:color="auto"/>
      </w:divBdr>
      <w:divsChild>
        <w:div w:id="1504860669">
          <w:marLeft w:val="0"/>
          <w:marRight w:val="0"/>
          <w:marTop w:val="0"/>
          <w:marBottom w:val="0"/>
          <w:divBdr>
            <w:top w:val="none" w:sz="0" w:space="0" w:color="auto"/>
            <w:left w:val="none" w:sz="0" w:space="0" w:color="auto"/>
            <w:bottom w:val="none" w:sz="0" w:space="0" w:color="auto"/>
            <w:right w:val="none" w:sz="0" w:space="0" w:color="auto"/>
          </w:divBdr>
          <w:divsChild>
            <w:div w:id="20509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2523">
      <w:bodyDiv w:val="1"/>
      <w:marLeft w:val="0"/>
      <w:marRight w:val="0"/>
      <w:marTop w:val="0"/>
      <w:marBottom w:val="0"/>
      <w:divBdr>
        <w:top w:val="none" w:sz="0" w:space="0" w:color="auto"/>
        <w:left w:val="none" w:sz="0" w:space="0" w:color="auto"/>
        <w:bottom w:val="none" w:sz="0" w:space="0" w:color="auto"/>
        <w:right w:val="none" w:sz="0" w:space="0" w:color="auto"/>
      </w:divBdr>
    </w:div>
    <w:div w:id="2009358183">
      <w:bodyDiv w:val="1"/>
      <w:marLeft w:val="0"/>
      <w:marRight w:val="0"/>
      <w:marTop w:val="0"/>
      <w:marBottom w:val="0"/>
      <w:divBdr>
        <w:top w:val="none" w:sz="0" w:space="0" w:color="auto"/>
        <w:left w:val="none" w:sz="0" w:space="0" w:color="auto"/>
        <w:bottom w:val="none" w:sz="0" w:space="0" w:color="auto"/>
        <w:right w:val="none" w:sz="0" w:space="0" w:color="auto"/>
      </w:divBdr>
    </w:div>
    <w:div w:id="2089576247">
      <w:bodyDiv w:val="1"/>
      <w:marLeft w:val="0"/>
      <w:marRight w:val="0"/>
      <w:marTop w:val="0"/>
      <w:marBottom w:val="0"/>
      <w:divBdr>
        <w:top w:val="none" w:sz="0" w:space="0" w:color="auto"/>
        <w:left w:val="none" w:sz="0" w:space="0" w:color="auto"/>
        <w:bottom w:val="none" w:sz="0" w:space="0" w:color="auto"/>
        <w:right w:val="none" w:sz="0" w:space="0" w:color="auto"/>
      </w:divBdr>
      <w:divsChild>
        <w:div w:id="1220244498">
          <w:marLeft w:val="0"/>
          <w:marRight w:val="0"/>
          <w:marTop w:val="0"/>
          <w:marBottom w:val="0"/>
          <w:divBdr>
            <w:top w:val="none" w:sz="0" w:space="0" w:color="auto"/>
            <w:left w:val="none" w:sz="0" w:space="0" w:color="auto"/>
            <w:bottom w:val="none" w:sz="0" w:space="0" w:color="auto"/>
            <w:right w:val="none" w:sz="0" w:space="0" w:color="auto"/>
          </w:divBdr>
          <w:divsChild>
            <w:div w:id="861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_impl/2021/622/oj" TargetMode="External"/><Relationship Id="rId2" Type="http://schemas.openxmlformats.org/officeDocument/2006/relationships/hyperlink" Target="http://data.europa.eu/eli/dir/2024/1174/oj" TargetMode="External"/><Relationship Id="rId1" Type="http://schemas.openxmlformats.org/officeDocument/2006/relationships/hyperlink" Target="http://data.europa.eu/eli/dir/2014/59/oj" TargetMode="External"/><Relationship Id="rId5" Type="http://schemas.openxmlformats.org/officeDocument/2006/relationships/hyperlink" Target="http://data.europa.eu/eli/reg/2010/1093/oj" TargetMode="External"/><Relationship Id="rId4" Type="http://schemas.openxmlformats.org/officeDocument/2006/relationships/hyperlink" Target="http://data.europa.eu/eli/reg_impl/2021/76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b8f93157aac40d6a7319473491243df0">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c8488e7b63ff9a6a107f3024ce322df4"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B74AB9-05CF-4E22-8B2B-667D523C417F}">
  <ds:schemaRefs>
    <ds:schemaRef ds:uri="http://schemas.microsoft.com/sharepoint/v3/contenttype/forms"/>
  </ds:schemaRefs>
</ds:datastoreItem>
</file>

<file path=customXml/itemProps2.xml><?xml version="1.0" encoding="utf-8"?>
<ds:datastoreItem xmlns:ds="http://schemas.openxmlformats.org/officeDocument/2006/customXml" ds:itemID="{F14AF581-33E3-408E-95CD-709B93E99837}">
  <ds:schemaRefs>
    <ds:schemaRef ds:uri="http://schemas.openxmlformats.org/officeDocument/2006/bibliography"/>
  </ds:schemaRefs>
</ds:datastoreItem>
</file>

<file path=customXml/itemProps3.xml><?xml version="1.0" encoding="utf-8"?>
<ds:datastoreItem xmlns:ds="http://schemas.openxmlformats.org/officeDocument/2006/customXml" ds:itemID="{85FBD7AB-07EA-4D67-A4B9-4D33FF7955F7}">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4.xml><?xml version="1.0" encoding="utf-8"?>
<ds:datastoreItem xmlns:ds="http://schemas.openxmlformats.org/officeDocument/2006/customXml" ds:itemID="{3789B0AD-1837-436D-8ABC-63303F7E4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COM.dotm</Template>
  <TotalTime>42</TotalTime>
  <Pages>4</Pages>
  <Words>1106</Words>
  <Characters>5674</Characters>
  <Application>Microsoft Office Word</Application>
  <DocSecurity>0</DocSecurity>
  <Lines>104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Links>
    <vt:vector size="12" baseType="variant">
      <vt:variant>
        <vt:i4>6291564</vt:i4>
      </vt:variant>
      <vt:variant>
        <vt:i4>3</vt:i4>
      </vt:variant>
      <vt:variant>
        <vt:i4>0</vt:i4>
      </vt:variant>
      <vt:variant>
        <vt:i4>5</vt:i4>
      </vt:variant>
      <vt:variant>
        <vt:lpwstr>http://data.europa.eu/eli/reg/2010/1093/oj</vt:lpwstr>
      </vt:variant>
      <vt:variant>
        <vt:lpwstr/>
      </vt:variant>
      <vt:variant>
        <vt:i4>5570645</vt:i4>
      </vt:variant>
      <vt:variant>
        <vt:i4>0</vt:i4>
      </vt:variant>
      <vt:variant>
        <vt:i4>0</vt:i4>
      </vt:variant>
      <vt:variant>
        <vt:i4>5</vt:i4>
      </vt:variant>
      <vt:variant>
        <vt:lpwstr>http://data.europa.eu/eli/dir/2014/59/oj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DQC</dc:creator>
  <cp:keywords/>
  <dc:description/>
  <cp:lastModifiedBy>MARTINEZ MARTOS Dolores (DGT)</cp:lastModifiedBy>
  <cp:revision>37</cp:revision>
  <dcterms:created xsi:type="dcterms:W3CDTF">2025-12-05T16:19:00Z</dcterms:created>
  <dcterms:modified xsi:type="dcterms:W3CDTF">2026-01-13T12:10:00Z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8.0.19.5</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GrammarlyDocumentId">
    <vt:lpwstr>45e7adda-2841-4732-9409-07daf4dd17e0</vt:lpwstr>
  </property>
  <property fmtid="{D5CDD505-2E9C-101B-9397-08002B2CF9AE}" pid="11" name="ClassificationContentMarkingHeaderShapeIds">
    <vt:lpwstr>5bd6ffca,36e22233,44991716</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MSIP_Label_6bd9ddd1-4d20-43f6-abfa-fc3c07406f94_Enabled">
    <vt:lpwstr>true</vt:lpwstr>
  </property>
  <property fmtid="{D5CDD505-2E9C-101B-9397-08002B2CF9AE}" pid="15" name="MSIP_Label_6bd9ddd1-4d20-43f6-abfa-fc3c07406f94_SetDate">
    <vt:lpwstr>2025-09-22T07:42:43Z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0c5e0d5a-b50c-4aad-8ac2-d3eb4c37e92e</vt:lpwstr>
  </property>
  <property fmtid="{D5CDD505-2E9C-101B-9397-08002B2CF9AE}" pid="20" name="MSIP_Label_6bd9ddd1-4d20-43f6-abfa-fc3c07406f94_ContentBits">
    <vt:lpwstr>0</vt:lpwstr>
  </property>
  <property fmtid="{D5CDD505-2E9C-101B-9397-08002B2CF9AE}" pid="21" name="MSIP_Label_6bd9ddd1-4d20-43f6-abfa-fc3c07406f94_Tag">
    <vt:lpwstr>10, 3, 0, 1</vt:lpwstr>
  </property>
  <property fmtid="{D5CDD505-2E9C-101B-9397-08002B2CF9AE}" pid="22" name="ContentTypeId">
    <vt:lpwstr>0x010100BAD999D84E12C74482EA5120F5227F6F00217DECAAC21D6B43958DFE68658C192E</vt:lpwstr>
  </property>
  <property fmtid="{D5CDD505-2E9C-101B-9397-08002B2CF9AE}" pid="23" name="MediaServiceImageTags">
    <vt:lpwstr/>
  </property>
  <property fmtid="{D5CDD505-2E9C-101B-9397-08002B2CF9AE}" pid="24" name="DQCStatus">
    <vt:lpwstr>Green (DQC version 03)</vt:lpwstr>
  </property>
</Properties>
</file>