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20E39479" w:rsidR="004E763F" w:rsidRPr="002D5765" w:rsidRDefault="00500E39" w:rsidP="002D5765">
      <w:pPr>
        <w:pStyle w:val="Pagedecouverture"/>
      </w:pPr>
      <w:r>
        <w:pict w14:anchorId="727F3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F8E9F62-5DDB-44C6-B089-69FF66C8ED9C" style="width:455.25pt;height:345.75pt">
            <v:imagedata r:id="rId11" o:title=""/>
          </v:shape>
        </w:pict>
      </w:r>
    </w:p>
    <w:p w14:paraId="1986B6EA" w14:textId="77777777" w:rsidR="00CE1382" w:rsidRPr="002D5765" w:rsidRDefault="00CE1382" w:rsidP="003838B9">
      <w:pPr>
        <w:sectPr w:rsidR="00CE1382" w:rsidRPr="002D5765" w:rsidSect="005B72B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228BB1F5" w:rsidR="00C16484" w:rsidRPr="002D5765" w:rsidRDefault="002D5765" w:rsidP="002D5765">
      <w:pPr>
        <w:pStyle w:val="Typedudocument"/>
      </w:pPr>
      <w:r w:rsidRPr="002D5765">
        <w:lastRenderedPageBreak/>
        <w:t>ΕΚΤΕΛΕΣΤΙΚΟΣ ΚΑΝΟΝΙΣΜΟΣ (ΕΕ) …/... ΤΗΣ ΕΠΙΤΡΟΠΗΣ</w:t>
      </w:r>
    </w:p>
    <w:p w14:paraId="6819E66E" w14:textId="23CF60EA" w:rsidR="00C16484" w:rsidRPr="002D5765" w:rsidRDefault="002D5765" w:rsidP="002D5765">
      <w:pPr>
        <w:pStyle w:val="Datedadoption"/>
      </w:pPr>
      <w:r w:rsidRPr="002D5765">
        <w:t xml:space="preserve">της </w:t>
      </w:r>
      <w:r w:rsidRPr="002D5765">
        <w:rPr>
          <w:rStyle w:val="Marker2"/>
        </w:rPr>
        <w:t>XXX</w:t>
      </w:r>
    </w:p>
    <w:p w14:paraId="44AA08D1" w14:textId="6BAE2A6C" w:rsidR="00C16484" w:rsidRPr="002D5765" w:rsidRDefault="002D5765" w:rsidP="002D5765">
      <w:pPr>
        <w:pStyle w:val="Titreobjet"/>
      </w:pPr>
      <w:r w:rsidRPr="002D5765">
        <w:t>για την τροποποίηση των εκτελεστικών τεχνικών προτύπων που καθορίζονται στον εκτελεστικό κανονισμό (ΕΕ) 2021/622 όσον αφορά τη συχνότητα υποβολής αναφορών και τις πληροφορίες που πρέπει να υποβάλλονται</w:t>
      </w:r>
    </w:p>
    <w:p w14:paraId="4A210142" w14:textId="3D4DCBA5" w:rsidR="00C16484" w:rsidRPr="002D5765" w:rsidRDefault="002D5765" w:rsidP="002D5765">
      <w:pPr>
        <w:pStyle w:val="IntrtEEE"/>
      </w:pPr>
      <w:r w:rsidRPr="002D5765">
        <w:t>(Κείμενο που παρουσιάζει ενδιαφέρον για τον ΕΟΧ)</w:t>
      </w:r>
    </w:p>
    <w:p w14:paraId="6F3A17D1" w14:textId="77777777" w:rsidR="00C16484" w:rsidRPr="002D5765" w:rsidRDefault="00C16484">
      <w:pPr>
        <w:pStyle w:val="Institutionquiagit"/>
      </w:pPr>
      <w:r w:rsidRPr="002D5765">
        <w:t>Η ΕΥΡΩΠΑΪΚΗ ΕΠΙΤΡΟΠΗ,</w:t>
      </w:r>
    </w:p>
    <w:p w14:paraId="22B09AC6" w14:textId="77777777" w:rsidR="00C16484" w:rsidRPr="002D5765" w:rsidRDefault="00C16484">
      <w:r w:rsidRPr="002D5765">
        <w:rPr>
          <w:color w:val="000000"/>
        </w:rPr>
        <w:t>Έχοντας υπόψη τη Συνθήκη για τη λειτουργία της Ευρωπαϊκής Ένωσης</w:t>
      </w:r>
      <w:r w:rsidRPr="002D5765">
        <w:t>,</w:t>
      </w:r>
    </w:p>
    <w:p w14:paraId="6C2E5C7E" w14:textId="77777777" w:rsidR="00C16484" w:rsidRPr="002D5765" w:rsidRDefault="00C16484">
      <w:r w:rsidRPr="002D5765">
        <w:t>Έχοντας υπόψη την 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 1093/2010 και (ΕΕ) αριθ. 648/2012</w:t>
      </w:r>
      <w:r w:rsidRPr="002D5765">
        <w:rPr>
          <w:rStyle w:val="FootnoteReference"/>
        </w:rPr>
        <w:footnoteReference w:id="2"/>
      </w:r>
      <w:r w:rsidRPr="002D5765">
        <w:t>, και ιδίως το άρθρο 45ι παράγραφος 2 τρίτο εδάφιο,</w:t>
      </w:r>
    </w:p>
    <w:p w14:paraId="499F4150" w14:textId="77777777" w:rsidR="00C16484" w:rsidRPr="002D5765" w:rsidRDefault="00C16484">
      <w:r w:rsidRPr="002D5765">
        <w:t>Εκτιμώντας τα ακόλουθα:</w:t>
      </w:r>
    </w:p>
    <w:p w14:paraId="7D99777F" w14:textId="77777777" w:rsidR="003428AE" w:rsidRPr="002D5765" w:rsidRDefault="003428AE" w:rsidP="004B4C38">
      <w:pPr>
        <w:pStyle w:val="Considrant"/>
        <w:numPr>
          <w:ilvl w:val="0"/>
          <w:numId w:val="2"/>
        </w:numPr>
        <w:rPr>
          <w:iCs/>
          <w:noProof/>
        </w:rPr>
      </w:pPr>
      <w:r w:rsidRPr="002D5765">
        <w:t>Η οδηγία (ΕΕ) 2024/1174 του Ευρωπαϊκού Κοινοβουλίου και του Συμβουλίου</w:t>
      </w:r>
      <w:r w:rsidRPr="002D5765">
        <w:rPr>
          <w:rStyle w:val="FootnoteReference"/>
          <w:iCs/>
          <w:noProof/>
        </w:rPr>
        <w:footnoteReference w:id="3"/>
      </w:r>
      <w:r w:rsidRPr="002D5765">
        <w:t xml:space="preserve"> τροποποίησε ορισμένες πτυχές της ελάχιστης απαίτησης ιδίων κεφαλαίων και επιλέξιμων υποχρεώσεων (στο εξής: MREL) που προβλέπεται στην οδηγία 2014/59/ΕΕ. Σύμφωνα με τις εν λόγω τροποποιήσεις, οι αρχές εξυγίανσης δεν θα πρέπει να καθορίζουν την MREL για τις οντότητες εκκαθάρισης, εκτός εάν ο καθορισμός μιας MREL που υπερβαίνει κάποιο ποσό το οποίο επαρκεί για την απορρόφηση ζημιών κρίνεται αναγκαίος για την προστασία της χρηματοπιστωτικής σταθερότητας ή για την αντιμετώπιση του κινδύνου μετάδοσης στο χρηματοπιστωτικό σύστημα, μεταξύ άλλων όσον αφορά τη χρηματοδοτική ικανότητα των συστημάτων εγγύησης των καταθέσεων. Επιπλέον, με την οδηγία (ΕΕ) 2024/1174 αυξήθηκε ο αριθμός των καταστάσεων που επιτρέπουν στις αρχές εξυγίανσης να καθορίζουν την MREL σε ενοποιημένη βάση. Ο εκτελεστικός κανονισμός (ΕΕ) 2021/622 της Επιτροπής</w:t>
      </w:r>
      <w:r w:rsidRPr="002D5765">
        <w:rPr>
          <w:rStyle w:val="FootnoteReference"/>
          <w:iCs/>
          <w:noProof/>
        </w:rPr>
        <w:footnoteReference w:id="4"/>
      </w:r>
      <w:r w:rsidRPr="002D5765">
        <w:t xml:space="preserve"> θα πρέπει να τροποποιηθεί ώστε οι εν λόγω αλλαγές που επήλθαν στο πλαίσιο της MREL να αντικατοπτρίζονται στις πληροφορίες που πρέπει να διαβιβάζονται στην Ευρωπαϊκή Αρχή Τραπεζών (ΕΑΤ).</w:t>
      </w:r>
    </w:p>
    <w:p w14:paraId="038A3063" w14:textId="77777777" w:rsidR="00C16484" w:rsidRPr="002D5765" w:rsidRDefault="00A05FAB" w:rsidP="008B6AF9">
      <w:pPr>
        <w:pStyle w:val="Considrant"/>
        <w:numPr>
          <w:ilvl w:val="0"/>
          <w:numId w:val="2"/>
        </w:numPr>
        <w:rPr>
          <w:iCs/>
          <w:noProof/>
        </w:rPr>
      </w:pPr>
      <w:r w:rsidRPr="002D5765">
        <w:t>Ο εκτελεστικός κανονισμός (ΕΕ) 2021/622 απαιτεί επί του παρόντος από τις αρχές εξυγίανσης να διαβιβάζουν στην ΕΑΤ, σε ετήσια βάση, πληροφορίες σχετικά με τον καθορισμό της MREL. Στη συνέχεια, η ΕΑΤ συνδυάζει τις εν λόγω πληροφορίες με πληροφορίες σχετικά με τη σύνθεση των ιδίων κεφαλαίων και επιλέξιμων υποχρεώσεων που λαμβάνονται δυνάμει του εκτελεστικού κανονισμού (ΕΕ) 2021/763 της Επιτροπής</w:t>
      </w:r>
      <w:r w:rsidRPr="002D5765">
        <w:rPr>
          <w:rStyle w:val="FootnoteReference"/>
          <w:noProof/>
        </w:rPr>
        <w:footnoteReference w:id="5"/>
      </w:r>
      <w:r w:rsidRPr="002D5765">
        <w:t xml:space="preserve"> ώστε να καταρτίσει την έκθεσή της σχετικά με την MREL σύμφωνα με το άρθρο 45ιβ της οδηγίας 2014/59/ΕΕ, η οποία επί του παρόντος καταρτίζεται δύο φορές το έτος. Η τρέχουσα ετήσια υποβολή πληροφοριών σχετικά με τον καθορισμό της MREL σημαίνει ότι οι αποφάσεις MREL που εκδίδονται από τις αρχές εξυγίανσης μετά τη σχετική ημερομηνία αναφοράς δεν διαβιβάζονται ούτε αξιολογούνται από την ΕΑΤ και δεν αντικατοπτρίζονται στις εκθέσεις της, έως το επόμενο έτος, με αποτέλεσμα να δημιουργούνται έτσι αναντιστοιχίες με τις πιο επικαιροποιημένες πληροφορίες σχετικά με τη σύνθεση των ιδίων κεφαλαίων και των επιλέξιμων υποχρεώσεων.</w:t>
      </w:r>
    </w:p>
    <w:p w14:paraId="676EF325" w14:textId="77777777" w:rsidR="00C16484" w:rsidRPr="002D5765" w:rsidRDefault="00C16484" w:rsidP="004B4C38">
      <w:pPr>
        <w:pStyle w:val="Considrant"/>
        <w:numPr>
          <w:ilvl w:val="0"/>
          <w:numId w:val="2"/>
        </w:numPr>
        <w:rPr>
          <w:iCs/>
          <w:noProof/>
        </w:rPr>
      </w:pPr>
      <w:r w:rsidRPr="002D5765">
        <w:t xml:space="preserve">Για να βελτιωθεί η ικανότητα της ΕΑΤ να παρακολουθεί και να αξιολογεί τη MREL που καθορίζουν οι αρχές εξυγίανσης. καθώς και τη συμμόρφωση των ιδρυμάτων με τις απαιτήσεις MREL, οι αρχές εξυγίανσης θα πρέπει να υποχρεούνται να υποβάλλουν συχνότερα εκθέσεις στην ΕΑΤ σχετικά με τις αποφάσεις MREL. Για να διασφαλιστεί η ευθυγράμμιση με τις εκθέσεις σχετικά με την MREL τις οποίες καταρτίζει η ΕΑΤ, οι αρχές εξυγίανσης θα πρέπει να υποβάλλουν τις εν λόγω πληροφορίες δύο φορές ετησίως. </w:t>
      </w:r>
    </w:p>
    <w:p w14:paraId="2672C096" w14:textId="77777777" w:rsidR="00C16484" w:rsidRPr="002D5765" w:rsidRDefault="00C16484" w:rsidP="004B4C38">
      <w:pPr>
        <w:pStyle w:val="Considrant"/>
        <w:numPr>
          <w:ilvl w:val="0"/>
          <w:numId w:val="2"/>
        </w:numPr>
        <w:rPr>
          <w:noProof/>
        </w:rPr>
      </w:pPr>
      <w:r w:rsidRPr="002D5765">
        <w:t>Για να διευκολυνθεί η αξιολόγηση από την ΕΑΤ του τρόπου με τον οποίο οι αρχές εξυγίανσης έχουν ασκήσει τη διακριτική τους ευχέρεια κατά τον καθορισμό της MREL, ιδίως όσον αφορά την επιλογή που είναι διαθέσιμη βάσει του άρθρου 45β παράγραφος 4 πρώτο εδάφιο της οδηγίας 2014/59/ΕΕ, το υπόδειγμα M 20.00 — Υποβολή εκθέσεων σχετικά με τις αποφάσεις MREL [παράρτημα I του κανονισμού (ΕΕ) 2021/622] και οι αντίστοιχες οδηγίες θα πρέπει να προσαρμοστούν ώστε να απαιτείται η συμπερίληψη πληροφοριών σχετικά με την άσκηση της εν λόγω επιλογής.</w:t>
      </w:r>
    </w:p>
    <w:p w14:paraId="1B5314C9" w14:textId="77777777" w:rsidR="00C16484" w:rsidRPr="002D5765" w:rsidRDefault="00C16484" w:rsidP="004B4C38">
      <w:pPr>
        <w:pStyle w:val="Considrant"/>
        <w:numPr>
          <w:ilvl w:val="0"/>
          <w:numId w:val="2"/>
        </w:numPr>
        <w:rPr>
          <w:noProof/>
        </w:rPr>
      </w:pPr>
      <w:r w:rsidRPr="002D5765">
        <w:t>Η ΕΑΤ ζήτησε τις συμβουλές της ομάδας τραπεζικών συμφεροντούχων, η οποία συστάθηκε σύμφωνα με το άρθρο 37 του κανονισμού (ΕΕ) αριθ. 1093/2010 του Ευρωπαϊκού Κοινοβουλίου και του Συμβουλίου</w:t>
      </w:r>
      <w:r w:rsidRPr="002D5765">
        <w:rPr>
          <w:rStyle w:val="FootnoteReference"/>
          <w:noProof/>
        </w:rPr>
        <w:footnoteReference w:id="6"/>
      </w:r>
      <w:r w:rsidRPr="002D5765">
        <w:t xml:space="preserve">. </w:t>
      </w:r>
    </w:p>
    <w:p w14:paraId="5D5111C6" w14:textId="77777777" w:rsidR="00C16484" w:rsidRPr="002D5765" w:rsidRDefault="00373FC4" w:rsidP="004B4C38">
      <w:pPr>
        <w:pStyle w:val="Considrant"/>
        <w:numPr>
          <w:ilvl w:val="0"/>
          <w:numId w:val="2"/>
        </w:numPr>
        <w:rPr>
          <w:noProof/>
        </w:rPr>
      </w:pPr>
      <w:r w:rsidRPr="002D5765">
        <w:t xml:space="preserve">Οι τροποποιήσεις του κανονισμού (ΕΕ) 2021/622 απευθύνονται στις αρχές εξυγίανσης και δεν συνεπάγονται σημαντικές αλλαγές επί της ουσίας. Ως εκ τούτου, σύμφωνα με το άρθρο 15 παράγραφος 1 δεύτερο εδάφιο του κανονισμού (ΕΕ) αριθ. 1093/2010, η ΕΑΤ δεν διενήργησε ανοικτές δημόσιες διαβουλεύσεις ούτε ανέλυσε τα ενδεχόμενα συναφή κόστη και τις ωφέλειες, θεωρώντας ότι κάτι τέτοιο θα ήταν δυσανάλογο σε σχέση με το πεδίο εφαρμογής και τον αντίκτυπο των σχετικών σχεδίων εκτελεστικών τεχνικών προτύπων. </w:t>
      </w:r>
    </w:p>
    <w:p w14:paraId="0A23BFF6" w14:textId="77777777" w:rsidR="00C16484" w:rsidRPr="002D5765" w:rsidRDefault="00C16484" w:rsidP="004B4C38">
      <w:pPr>
        <w:pStyle w:val="Considrant"/>
        <w:numPr>
          <w:ilvl w:val="0"/>
          <w:numId w:val="2"/>
        </w:numPr>
        <w:rPr>
          <w:noProof/>
        </w:rPr>
      </w:pPr>
      <w:r w:rsidRPr="002D5765">
        <w:t>Επομένως, ο εκτελεστικός κανονισμός (ΕΕ) 2021/622 θα πρέπει να τροποποιηθεί αναλόγως.</w:t>
      </w:r>
    </w:p>
    <w:p w14:paraId="1887EA7B" w14:textId="77777777" w:rsidR="00C16484" w:rsidRPr="002D5765" w:rsidRDefault="00C16484" w:rsidP="004B4C38">
      <w:pPr>
        <w:pStyle w:val="Considrant"/>
        <w:numPr>
          <w:ilvl w:val="0"/>
          <w:numId w:val="2"/>
        </w:numPr>
        <w:rPr>
          <w:noProof/>
        </w:rPr>
      </w:pPr>
      <w:r w:rsidRPr="002D5765">
        <w:t>Ο παρών κανονισμός βασίζεται στα σχέδια εκτελεστικών τεχνικών προτύπων που υπέβαλε η ΕΑΤ στην Επιτροπή,</w:t>
      </w:r>
    </w:p>
    <w:p w14:paraId="313B274F" w14:textId="77777777" w:rsidR="00C16484" w:rsidRPr="002D5765" w:rsidRDefault="00C16484">
      <w:pPr>
        <w:pStyle w:val="Formuledadoption"/>
      </w:pPr>
      <w:r w:rsidRPr="002D5765">
        <w:t>ΕΞΕΔΩΣΕ ΤΟΝ ΠΑΡΟΝΤΑ ΚΑΝΟΝΙΣΜΟ:</w:t>
      </w:r>
    </w:p>
    <w:p w14:paraId="455FC522" w14:textId="77777777" w:rsidR="00C16484" w:rsidRPr="002D5765" w:rsidRDefault="00C16484">
      <w:pPr>
        <w:pStyle w:val="Titrearticle"/>
      </w:pPr>
      <w:r w:rsidRPr="002D5765">
        <w:t>Άρθρο 1</w:t>
      </w:r>
    </w:p>
    <w:p w14:paraId="061A957A" w14:textId="77777777" w:rsidR="00C16484" w:rsidRPr="002D5765" w:rsidRDefault="00C16484" w:rsidP="00C16484">
      <w:pPr>
        <w:rPr>
          <w:noProof/>
        </w:rPr>
      </w:pPr>
      <w:r w:rsidRPr="002D5765">
        <w:t>Ο εκτελεστικός κανονισμός (ΕΕ) 2021/622 τροποποιείται ως εξής:</w:t>
      </w:r>
    </w:p>
    <w:p w14:paraId="44E520EB" w14:textId="0A07B81F" w:rsidR="00C16484" w:rsidRPr="002D5765" w:rsidRDefault="005B72B8" w:rsidP="005B72B8">
      <w:pPr>
        <w:pStyle w:val="Point0"/>
        <w:rPr>
          <w:noProof/>
        </w:rPr>
      </w:pPr>
      <w:r>
        <w:t>1)</w:t>
      </w:r>
      <w:r>
        <w:tab/>
      </w:r>
      <w:r w:rsidR="00C16484" w:rsidRPr="002D5765">
        <w:t>Το άρθρο 2 τροποποιείται ως εξής:</w:t>
      </w:r>
    </w:p>
    <w:p w14:paraId="252CA8AC" w14:textId="62BBEF05" w:rsidR="00C16484" w:rsidRPr="002D5765" w:rsidRDefault="005B72B8" w:rsidP="005B72B8">
      <w:pPr>
        <w:pStyle w:val="Point1"/>
        <w:rPr>
          <w:noProof/>
        </w:rPr>
      </w:pPr>
      <w:r>
        <w:t>α)</w:t>
      </w:r>
      <w:r>
        <w:tab/>
      </w:r>
      <w:r w:rsidR="00C16484" w:rsidRPr="002D5765">
        <w:t>ο τίτλος αντικαθίσταται από το ακόλουθο κείμενο:</w:t>
      </w:r>
    </w:p>
    <w:p w14:paraId="3D4F8508" w14:textId="77777777" w:rsidR="00C16484" w:rsidRPr="002D5765" w:rsidRDefault="00C16484" w:rsidP="00783A3B">
      <w:pPr>
        <w:jc w:val="center"/>
        <w:rPr>
          <w:noProof/>
        </w:rPr>
      </w:pPr>
      <w:r w:rsidRPr="002D5765">
        <w:t>«</w:t>
      </w:r>
      <w:r w:rsidRPr="002D5765">
        <w:rPr>
          <w:b/>
        </w:rPr>
        <w:t>Απαίτηση απλουστευμένης αναφοράς για ιδρύματα που υπόκεινται σε απαλλαγές</w:t>
      </w:r>
      <w:r w:rsidRPr="002D5765">
        <w:t>»·</w:t>
      </w:r>
    </w:p>
    <w:p w14:paraId="2EAF66BD" w14:textId="156D75B5" w:rsidR="00C16484" w:rsidRPr="002D5765" w:rsidRDefault="005B72B8" w:rsidP="005B72B8">
      <w:pPr>
        <w:pStyle w:val="Point1"/>
        <w:rPr>
          <w:noProof/>
        </w:rPr>
      </w:pPr>
      <w:r>
        <w:t>β)</w:t>
      </w:r>
      <w:r>
        <w:tab/>
      </w:r>
      <w:r w:rsidR="00C16484" w:rsidRPr="002D5765">
        <w:t>η παράγραφος 2 απαλείφεται.</w:t>
      </w:r>
    </w:p>
    <w:p w14:paraId="1A052A8B" w14:textId="3AA43CD4" w:rsidR="00C16484" w:rsidRPr="002D5765" w:rsidRDefault="005B72B8" w:rsidP="005B72B8">
      <w:pPr>
        <w:pStyle w:val="Point0"/>
        <w:rPr>
          <w:noProof/>
        </w:rPr>
      </w:pPr>
      <w:r>
        <w:t>2)</w:t>
      </w:r>
      <w:r>
        <w:tab/>
      </w:r>
      <w:r w:rsidR="00C16484" w:rsidRPr="002D5765">
        <w:t>Στο άρθρο 3, η εισαγωγική φράση αντικαθίσταται από το ακόλουθο κείμενο:</w:t>
      </w:r>
    </w:p>
    <w:p w14:paraId="533DCDB8" w14:textId="77777777" w:rsidR="00C16484" w:rsidRPr="002D5765" w:rsidRDefault="00C16484" w:rsidP="00783A3B">
      <w:pPr>
        <w:rPr>
          <w:noProof/>
        </w:rPr>
      </w:pPr>
      <w:r w:rsidRPr="002D5765">
        <w:t>«Για ομίλους που υπόκεινται σε MREL σε ενοποιημένη βάση δυνάμει του άρθρου 45ε, του άρθρου 45στ παράγραφος 1 τρίτο και τέταρτο εδάφιο και του άρθρου 45στ παράγραφος 4 στοιχείο β) της οδηγίας 2014/59/ΕΕ, οι πληροφορίες που αναφέρονται στα άρθρα 1 και 2 υποβάλλονται από τις ακόλουθες αρχές και με τον ακόλουθο τρόπο:».</w:t>
      </w:r>
    </w:p>
    <w:p w14:paraId="0509E0AB" w14:textId="7F192798" w:rsidR="00C16484" w:rsidRPr="002D5765" w:rsidRDefault="005B72B8" w:rsidP="005B72B8">
      <w:pPr>
        <w:pStyle w:val="Point0"/>
        <w:rPr>
          <w:noProof/>
        </w:rPr>
      </w:pPr>
      <w:r>
        <w:t>3)</w:t>
      </w:r>
      <w:r>
        <w:tab/>
      </w:r>
      <w:r w:rsidR="00C16484" w:rsidRPr="002D5765">
        <w:t>Το άρθρο 4 αντικαθίσταται από το ακόλουθο κείμενο:</w:t>
      </w:r>
    </w:p>
    <w:p w14:paraId="66FCA4E9" w14:textId="77777777" w:rsidR="00C16484" w:rsidRPr="002D5765" w:rsidRDefault="00D47F83" w:rsidP="00783A3B">
      <w:pPr>
        <w:pStyle w:val="Titrearticle"/>
        <w:rPr>
          <w:i w:val="0"/>
          <w:iCs/>
          <w:noProof/>
        </w:rPr>
      </w:pPr>
      <w:r w:rsidRPr="002D5765">
        <w:rPr>
          <w:i w:val="0"/>
        </w:rPr>
        <w:t>«</w:t>
      </w:r>
      <w:r w:rsidRPr="002D5765">
        <w:t xml:space="preserve">Άρθρο 4 </w:t>
      </w:r>
      <w:r w:rsidRPr="002D5765">
        <w:br/>
      </w:r>
      <w:r w:rsidRPr="002D5765">
        <w:rPr>
          <w:b/>
          <w:i w:val="0"/>
        </w:rPr>
        <w:t>Περίοδοι αναφοράς και ημερομηνίες υποβολής</w:t>
      </w:r>
    </w:p>
    <w:p w14:paraId="054F5F9B" w14:textId="77777777" w:rsidR="00C16484" w:rsidRPr="002D5765" w:rsidRDefault="00C16484" w:rsidP="00783A3B">
      <w:pPr>
        <w:rPr>
          <w:noProof/>
        </w:rPr>
      </w:pPr>
      <w:r w:rsidRPr="002D5765">
        <w:t>Οι αρχές εξυγίανσης διαβιβάζουν τις πληροφορίες που αναφέρονται στα άρθρα 1 και 2 ως εξής:</w:t>
      </w:r>
    </w:p>
    <w:p w14:paraId="5113726F" w14:textId="4C1284D4" w:rsidR="00C16484" w:rsidRPr="002D5765" w:rsidRDefault="005B72B8" w:rsidP="005B72B8">
      <w:pPr>
        <w:pStyle w:val="Point1"/>
        <w:rPr>
          <w:noProof/>
        </w:rPr>
      </w:pPr>
      <w:r>
        <w:t>α)</w:t>
      </w:r>
      <w:r>
        <w:tab/>
      </w:r>
      <w:r w:rsidR="00C16484" w:rsidRPr="002D5765">
        <w:t>για την MREL που ισχύει από τις 30 Ιουνίου, έως τις 16 Σεπτεμβρίου του επόμενου έτους·</w:t>
      </w:r>
    </w:p>
    <w:p w14:paraId="7219DDD8" w14:textId="10DCE2CD" w:rsidR="00C16484" w:rsidRPr="002D5765" w:rsidRDefault="005B72B8" w:rsidP="005B72B8">
      <w:pPr>
        <w:pStyle w:val="Point1"/>
        <w:rPr>
          <w:noProof/>
        </w:rPr>
      </w:pPr>
      <w:r>
        <w:t>β)</w:t>
      </w:r>
      <w:r>
        <w:tab/>
      </w:r>
      <w:r w:rsidR="00C16484" w:rsidRPr="002D5765">
        <w:t>για την MREL που ισχύει από τις 31 Δεκεμβρίου, έως τις 18 Μαρτίου του επόμενου έτους.».</w:t>
      </w:r>
    </w:p>
    <w:p w14:paraId="65609948" w14:textId="2F25551B" w:rsidR="00C16484" w:rsidRPr="002D5765" w:rsidRDefault="005B72B8" w:rsidP="005B72B8">
      <w:pPr>
        <w:pStyle w:val="Point0"/>
        <w:rPr>
          <w:noProof/>
        </w:rPr>
      </w:pPr>
      <w:r>
        <w:t>4)</w:t>
      </w:r>
      <w:r>
        <w:tab/>
      </w:r>
      <w:r w:rsidR="00C16484" w:rsidRPr="002D5765">
        <w:t>Το παράρτημα I αντικαθίσταται από το κείμενο του παραρτήματος I του παρόντος κανονισμού.</w:t>
      </w:r>
    </w:p>
    <w:p w14:paraId="45E55C10" w14:textId="4F6E16EB" w:rsidR="00C16484" w:rsidRPr="002D5765" w:rsidRDefault="005B72B8" w:rsidP="005B72B8">
      <w:pPr>
        <w:pStyle w:val="Point0"/>
        <w:rPr>
          <w:noProof/>
        </w:rPr>
      </w:pPr>
      <w:r>
        <w:t>5)</w:t>
      </w:r>
      <w:r>
        <w:tab/>
      </w:r>
      <w:r w:rsidR="00C16484" w:rsidRPr="002D5765">
        <w:t>Το παράρτημα II αντικαθίσταται από το κείμενο του παραρτήματος II του παρόντος κανονισμού.</w:t>
      </w:r>
    </w:p>
    <w:p w14:paraId="0B09A3CA" w14:textId="77777777" w:rsidR="00C16484" w:rsidRPr="002D5765" w:rsidRDefault="00C16484">
      <w:pPr>
        <w:pStyle w:val="Titrearticle"/>
      </w:pPr>
      <w:r w:rsidRPr="002D5765">
        <w:t>Άρθρο 2</w:t>
      </w:r>
    </w:p>
    <w:p w14:paraId="0BDD24EC" w14:textId="77777777" w:rsidR="00C16484" w:rsidRPr="002D5765" w:rsidRDefault="00C16484" w:rsidP="00830365">
      <w:r w:rsidRPr="002D5765">
        <w:t xml:space="preserve">Ο παρών κανονισμός αρχίζει να ισχύει την </w:t>
      </w:r>
      <w:r w:rsidRPr="002D5765">
        <w:rPr>
          <w:color w:val="000000"/>
        </w:rPr>
        <w:t>εικοστή ημέρα</w:t>
      </w:r>
      <w:r w:rsidRPr="002D5765">
        <w:t xml:space="preserve"> από τη δημοσίευσή του στην </w:t>
      </w:r>
      <w:r w:rsidRPr="002D5765">
        <w:rPr>
          <w:i/>
        </w:rPr>
        <w:t>Επίσημη Εφημερίδα της Ευρωπαϊκής Ένωσης</w:t>
      </w:r>
      <w:r w:rsidRPr="002D5765">
        <w:t>.</w:t>
      </w:r>
    </w:p>
    <w:p w14:paraId="3DDE2F7A" w14:textId="77777777" w:rsidR="00C16484" w:rsidRPr="002D5765" w:rsidRDefault="00C16484">
      <w:pPr>
        <w:pStyle w:val="Applicationdirecte"/>
      </w:pPr>
      <w:r w:rsidRPr="002D5765">
        <w:t>Ο παρών κανονισμός είναι δεσμευτικός ως προς όλα τα μέρη του και ισχύει άμεσα σε κάθε κράτος μέλος.</w:t>
      </w:r>
    </w:p>
    <w:p w14:paraId="0FD02893" w14:textId="21682D9E" w:rsidR="00C16484" w:rsidRPr="002D5765" w:rsidRDefault="002D5765" w:rsidP="002D5765">
      <w:pPr>
        <w:pStyle w:val="Fait"/>
      </w:pPr>
      <w:r w:rsidRPr="002D5765">
        <w:t>Βρυξέλλες,</w:t>
      </w:r>
    </w:p>
    <w:p w14:paraId="3FB14D4B" w14:textId="77777777" w:rsidR="00C16484" w:rsidRPr="002D5765" w:rsidRDefault="00C16484" w:rsidP="00C16484">
      <w:pPr>
        <w:pStyle w:val="Institutionquisigne"/>
      </w:pPr>
      <w:r w:rsidRPr="002D5765">
        <w:tab/>
        <w:t>Για την Επιτροπή</w:t>
      </w:r>
    </w:p>
    <w:p w14:paraId="0FEF1170" w14:textId="0CD182DE" w:rsidR="00C16484" w:rsidRPr="002D5765" w:rsidRDefault="00C16484" w:rsidP="00C16484">
      <w:pPr>
        <w:pStyle w:val="Personnequisigne"/>
      </w:pPr>
      <w:r w:rsidRPr="002D5765">
        <w:tab/>
        <w:t xml:space="preserve">Η Πρόεδρος </w:t>
      </w:r>
      <w:r w:rsidRPr="002D5765">
        <w:br/>
      </w:r>
      <w:r w:rsidRPr="002D5765">
        <w:tab/>
        <w:t xml:space="preserve">Ursula von der Leyen </w:t>
      </w:r>
      <w:r w:rsidRPr="002D5765">
        <w:br/>
      </w:r>
      <w:r w:rsidRPr="002D5765">
        <w:tab/>
      </w:r>
    </w:p>
    <w:sectPr w:rsidR="00C16484" w:rsidRPr="002D5765" w:rsidSect="005B72B8">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CE79" w14:textId="6FBD9911" w:rsidR="002D5765" w:rsidRPr="005B72B8" w:rsidRDefault="005B72B8" w:rsidP="005B72B8">
    <w:pPr>
      <w:pStyle w:val="Footer"/>
      <w:rPr>
        <w:rFonts w:ascii="Arial" w:hAnsi="Arial" w:cs="Arial"/>
        <w:b/>
        <w:sz w:val="48"/>
      </w:rPr>
    </w:pPr>
    <w:r w:rsidRPr="005B72B8">
      <w:rPr>
        <w:rFonts w:ascii="Arial" w:hAnsi="Arial" w:cs="Arial"/>
        <w:b/>
        <w:sz w:val="48"/>
      </w:rPr>
      <w:t>EL</w:t>
    </w:r>
    <w:r w:rsidRPr="005B72B8">
      <w:rPr>
        <w:rFonts w:ascii="Arial" w:hAnsi="Arial" w:cs="Arial"/>
        <w:b/>
        <w:sz w:val="48"/>
      </w:rPr>
      <w:tab/>
    </w:r>
    <w:r w:rsidRPr="005B72B8">
      <w:rPr>
        <w:rFonts w:ascii="Arial" w:hAnsi="Arial" w:cs="Arial"/>
        <w:b/>
        <w:sz w:val="48"/>
      </w:rPr>
      <w:tab/>
    </w:r>
    <w:r w:rsidRPr="005B72B8">
      <w:tab/>
    </w:r>
    <w:r w:rsidRPr="005B72B8">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697F" w14:textId="4F541C37" w:rsidR="002D5765" w:rsidRPr="005B72B8" w:rsidRDefault="005B72B8" w:rsidP="005B72B8">
    <w:pPr>
      <w:pStyle w:val="Footer"/>
      <w:rPr>
        <w:rFonts w:ascii="Arial" w:hAnsi="Arial" w:cs="Arial"/>
        <w:b/>
        <w:sz w:val="48"/>
      </w:rPr>
    </w:pPr>
    <w:r w:rsidRPr="005B72B8">
      <w:rPr>
        <w:rFonts w:ascii="Arial" w:hAnsi="Arial" w:cs="Arial"/>
        <w:b/>
        <w:sz w:val="48"/>
      </w:rPr>
      <w:t>EL</w:t>
    </w:r>
    <w:r w:rsidRPr="005B72B8">
      <w:rPr>
        <w:rFonts w:ascii="Arial" w:hAnsi="Arial" w:cs="Arial"/>
        <w:b/>
        <w:sz w:val="48"/>
      </w:rPr>
      <w:tab/>
    </w:r>
    <w:r w:rsidRPr="005B72B8">
      <w:rPr>
        <w:rFonts w:ascii="Arial" w:hAnsi="Arial" w:cs="Arial"/>
        <w:b/>
        <w:sz w:val="48"/>
      </w:rPr>
      <w:tab/>
    </w:r>
    <w:r w:rsidRPr="005B72B8">
      <w:tab/>
    </w:r>
    <w:r w:rsidRPr="005B72B8">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B50C" w14:textId="77777777" w:rsidR="002D5765" w:rsidRPr="005B72B8" w:rsidRDefault="002D5765" w:rsidP="005B72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057C" w14:textId="27365256" w:rsidR="005B72B8" w:rsidRPr="005B72B8" w:rsidRDefault="005B72B8" w:rsidP="005B72B8">
    <w:pPr>
      <w:pStyle w:val="Footer"/>
      <w:rPr>
        <w:rFonts w:ascii="Arial" w:hAnsi="Arial" w:cs="Arial"/>
        <w:b/>
        <w:sz w:val="48"/>
      </w:rPr>
    </w:pPr>
    <w:r w:rsidRPr="005B72B8">
      <w:rPr>
        <w:rFonts w:ascii="Arial" w:hAnsi="Arial" w:cs="Arial"/>
        <w:b/>
        <w:sz w:val="48"/>
      </w:rPr>
      <w:t>EL</w:t>
    </w:r>
    <w:r w:rsidRPr="005B72B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B72B8">
      <w:tab/>
    </w:r>
    <w:r w:rsidRPr="005B72B8">
      <w:rPr>
        <w:rFonts w:ascii="Arial" w:hAnsi="Arial" w:cs="Arial"/>
        <w:b/>
        <w:sz w:val="48"/>
      </w:rPr>
      <w:t>EL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5B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D5765" w:rsidRDefault="00C16484" w:rsidP="00C16484">
      <w:pPr>
        <w:pStyle w:val="FootnoteText"/>
      </w:pPr>
      <w:r>
        <w:rPr>
          <w:rStyle w:val="FootnoteReference"/>
        </w:rPr>
        <w:footnoteRef/>
      </w:r>
      <w:r w:rsidRPr="002D5765">
        <w:tab/>
      </w:r>
      <w:r>
        <w:t>EE</w:t>
      </w:r>
      <w:r w:rsidRPr="002D5765">
        <w:t xml:space="preserve"> </w:t>
      </w:r>
      <w:r>
        <w:t>L</w:t>
      </w:r>
      <w:r w:rsidRPr="002D5765">
        <w:t xml:space="preserve"> 173 της 12.6.2014, σ. 190, </w:t>
      </w:r>
      <w:r>
        <w:t>ELI</w:t>
      </w:r>
      <w:r w:rsidRPr="002D5765">
        <w:t>:</w:t>
      </w:r>
      <w:r>
        <w:t> </w:t>
      </w:r>
      <w:hyperlink r:id="rId1" w:tooltip="Πρόσβαση στο έγγραφο μέσω URI τύπου ELI." w:history="1">
        <w:r>
          <w:rPr>
            <w:rStyle w:val="Hyperlink"/>
            <w:rFonts w:ascii="Times New Roman" w:hAnsi="Times New Roman"/>
          </w:rPr>
          <w:t>http</w:t>
        </w:r>
        <w:r w:rsidRPr="002D5765">
          <w:rPr>
            <w:rStyle w:val="Hyperlink"/>
            <w:rFonts w:ascii="Times New Roman" w:hAnsi="Times New Roman"/>
          </w:rPr>
          <w:t>://</w:t>
        </w:r>
        <w:r>
          <w:rPr>
            <w:rStyle w:val="Hyperlink"/>
            <w:rFonts w:ascii="Times New Roman" w:hAnsi="Times New Roman"/>
          </w:rPr>
          <w:t>data</w:t>
        </w:r>
        <w:r w:rsidRPr="002D5765">
          <w:rPr>
            <w:rStyle w:val="Hyperlink"/>
            <w:rFonts w:ascii="Times New Roman" w:hAnsi="Times New Roman"/>
          </w:rPr>
          <w:t>.</w:t>
        </w:r>
        <w:r>
          <w:rPr>
            <w:rStyle w:val="Hyperlink"/>
            <w:rFonts w:ascii="Times New Roman" w:hAnsi="Times New Roman"/>
          </w:rPr>
          <w:t>europa</w:t>
        </w:r>
        <w:r w:rsidRPr="002D5765">
          <w:rPr>
            <w:rStyle w:val="Hyperlink"/>
            <w:rFonts w:ascii="Times New Roman" w:hAnsi="Times New Roman"/>
          </w:rPr>
          <w:t>.</w:t>
        </w:r>
        <w:r>
          <w:rPr>
            <w:rStyle w:val="Hyperlink"/>
            <w:rFonts w:ascii="Times New Roman" w:hAnsi="Times New Roman"/>
          </w:rPr>
          <w:t>eu</w:t>
        </w:r>
        <w:r w:rsidRPr="002D5765">
          <w:rPr>
            <w:rStyle w:val="Hyperlink"/>
            <w:rFonts w:ascii="Times New Roman" w:hAnsi="Times New Roman"/>
          </w:rPr>
          <w:t>/</w:t>
        </w:r>
        <w:r>
          <w:rPr>
            <w:rStyle w:val="Hyperlink"/>
            <w:rFonts w:ascii="Times New Roman" w:hAnsi="Times New Roman"/>
          </w:rPr>
          <w:t>eli</w:t>
        </w:r>
        <w:r w:rsidRPr="002D5765">
          <w:rPr>
            <w:rStyle w:val="Hyperlink"/>
            <w:rFonts w:ascii="Times New Roman" w:hAnsi="Times New Roman"/>
          </w:rPr>
          <w:t>/</w:t>
        </w:r>
        <w:r>
          <w:rPr>
            <w:rStyle w:val="Hyperlink"/>
            <w:rFonts w:ascii="Times New Roman" w:hAnsi="Times New Roman"/>
          </w:rPr>
          <w:t>dir</w:t>
        </w:r>
        <w:r w:rsidRPr="002D5765">
          <w:rPr>
            <w:rStyle w:val="Hyperlink"/>
            <w:rFonts w:ascii="Times New Roman" w:hAnsi="Times New Roman"/>
          </w:rPr>
          <w:t>/2014/59/</w:t>
        </w:r>
        <w:r>
          <w:rPr>
            <w:rStyle w:val="Hyperlink"/>
            <w:rFonts w:ascii="Times New Roman" w:hAnsi="Times New Roman"/>
          </w:rPr>
          <w:t>oj</w:t>
        </w:r>
      </w:hyperlink>
      <w:r w:rsidRPr="002D5765">
        <w:t xml:space="preserve">. </w:t>
      </w:r>
    </w:p>
  </w:footnote>
  <w:footnote w:id="3">
    <w:p w14:paraId="584AEAAA" w14:textId="78F88551" w:rsidR="003428AE" w:rsidRPr="002D5765" w:rsidRDefault="003428AE">
      <w:pPr>
        <w:pStyle w:val="FootnoteText"/>
      </w:pPr>
      <w:r>
        <w:rPr>
          <w:rStyle w:val="FootnoteReference"/>
        </w:rPr>
        <w:footnoteRef/>
      </w:r>
      <w:r w:rsidRPr="002D5765">
        <w:tab/>
        <w:t>Οδηγία (ΕΕ)</w:t>
      </w:r>
      <w:r>
        <w:t> </w:t>
      </w:r>
      <w:r w:rsidRPr="002D5765">
        <w:t>2024/1174 του Ευρωπαϊκού Κοινοβουλίου και του Συμβουλίου, της 11ης Απριλίου 2024, για την τροποποίηση της οδηγίας</w:t>
      </w:r>
      <w:r>
        <w:t> </w:t>
      </w:r>
      <w:r w:rsidRPr="002D5765">
        <w:t>2014/59/ΕΕ και του κανονισμού (ΕΕ) αριθ.</w:t>
      </w:r>
      <w:r>
        <w:t> </w:t>
      </w:r>
      <w:r w:rsidRPr="002D5765">
        <w:t xml:space="preserve">806/2014 όσον αφορά ορισμένες πτυχές της ελάχιστης απαίτησης ιδίων κεφαλαίων και επιλέξιμων υποχρεώσεων (ΕΕ </w:t>
      </w:r>
      <w:r>
        <w:t>L</w:t>
      </w:r>
      <w:r w:rsidRPr="002D5765">
        <w:t xml:space="preserve">, 2024/1174, 22.4.2024, </w:t>
      </w:r>
      <w:r>
        <w:t>ELI</w:t>
      </w:r>
      <w:r w:rsidRPr="002D5765">
        <w:t xml:space="preserve">: </w:t>
      </w:r>
      <w:hyperlink r:id="rId2" w:history="1">
        <w:r>
          <w:rPr>
            <w:rStyle w:val="Hyperlink"/>
            <w:rFonts w:ascii="Times New Roman" w:hAnsi="Times New Roman"/>
          </w:rPr>
          <w:t>http</w:t>
        </w:r>
        <w:r w:rsidRPr="002D5765">
          <w:rPr>
            <w:rStyle w:val="Hyperlink"/>
            <w:rFonts w:ascii="Times New Roman" w:hAnsi="Times New Roman"/>
          </w:rPr>
          <w:t>://</w:t>
        </w:r>
        <w:r>
          <w:rPr>
            <w:rStyle w:val="Hyperlink"/>
            <w:rFonts w:ascii="Times New Roman" w:hAnsi="Times New Roman"/>
          </w:rPr>
          <w:t>data</w:t>
        </w:r>
        <w:r w:rsidRPr="002D5765">
          <w:rPr>
            <w:rStyle w:val="Hyperlink"/>
            <w:rFonts w:ascii="Times New Roman" w:hAnsi="Times New Roman"/>
          </w:rPr>
          <w:t>.</w:t>
        </w:r>
        <w:r>
          <w:rPr>
            <w:rStyle w:val="Hyperlink"/>
            <w:rFonts w:ascii="Times New Roman" w:hAnsi="Times New Roman"/>
          </w:rPr>
          <w:t>europa</w:t>
        </w:r>
        <w:r w:rsidRPr="002D5765">
          <w:rPr>
            <w:rStyle w:val="Hyperlink"/>
            <w:rFonts w:ascii="Times New Roman" w:hAnsi="Times New Roman"/>
          </w:rPr>
          <w:t>.</w:t>
        </w:r>
        <w:r>
          <w:rPr>
            <w:rStyle w:val="Hyperlink"/>
            <w:rFonts w:ascii="Times New Roman" w:hAnsi="Times New Roman"/>
          </w:rPr>
          <w:t>eu</w:t>
        </w:r>
        <w:r w:rsidRPr="002D5765">
          <w:rPr>
            <w:rStyle w:val="Hyperlink"/>
            <w:rFonts w:ascii="Times New Roman" w:hAnsi="Times New Roman"/>
          </w:rPr>
          <w:t>/</w:t>
        </w:r>
        <w:r>
          <w:rPr>
            <w:rStyle w:val="Hyperlink"/>
            <w:rFonts w:ascii="Times New Roman" w:hAnsi="Times New Roman"/>
          </w:rPr>
          <w:t>eli</w:t>
        </w:r>
        <w:r w:rsidRPr="002D5765">
          <w:rPr>
            <w:rStyle w:val="Hyperlink"/>
            <w:rFonts w:ascii="Times New Roman" w:hAnsi="Times New Roman"/>
          </w:rPr>
          <w:t>/</w:t>
        </w:r>
        <w:r>
          <w:rPr>
            <w:rStyle w:val="Hyperlink"/>
            <w:rFonts w:ascii="Times New Roman" w:hAnsi="Times New Roman"/>
          </w:rPr>
          <w:t>dir</w:t>
        </w:r>
        <w:r w:rsidRPr="002D5765">
          <w:rPr>
            <w:rStyle w:val="Hyperlink"/>
            <w:rFonts w:ascii="Times New Roman" w:hAnsi="Times New Roman"/>
          </w:rPr>
          <w:t>/2024/1174/</w:t>
        </w:r>
        <w:r>
          <w:rPr>
            <w:rStyle w:val="Hyperlink"/>
            <w:rFonts w:ascii="Times New Roman" w:hAnsi="Times New Roman"/>
          </w:rPr>
          <w:t>oj</w:t>
        </w:r>
      </w:hyperlink>
      <w:r w:rsidRPr="002D5765">
        <w:t xml:space="preserve">). </w:t>
      </w:r>
    </w:p>
  </w:footnote>
  <w:footnote w:id="4">
    <w:p w14:paraId="4D1953DF" w14:textId="607C22C8" w:rsidR="001F4496" w:rsidRPr="002D5765" w:rsidRDefault="001F4496">
      <w:pPr>
        <w:pStyle w:val="FootnoteText"/>
      </w:pPr>
      <w:r>
        <w:rPr>
          <w:rStyle w:val="FootnoteReference"/>
        </w:rPr>
        <w:footnoteRef/>
      </w:r>
      <w:r w:rsidRPr="002D5765">
        <w:tab/>
        <w:t>Ο εκτελεστικός κανονισμός (ΕΕ)</w:t>
      </w:r>
      <w:r>
        <w:t> </w:t>
      </w:r>
      <w:r w:rsidRPr="002D5765">
        <w:t>2021/622 της Επιτροπής, της 15ης</w:t>
      </w:r>
      <w:r>
        <w:t> </w:t>
      </w:r>
      <w:r w:rsidRPr="002D5765">
        <w:t>Απριλίου 2021, για τη θέσπιση εκτελεστικών τεχνικών προτύπων για την εφαρμογή της οδηγίας</w:t>
      </w:r>
      <w:r>
        <w:t> </w:t>
      </w:r>
      <w:r w:rsidRPr="002D5765">
        <w:t xml:space="preserve">2014/59/ΕΕ του Ευρωπαϊκού Κοινοβουλίου και του Συμβουλίου όσον αφορά τα ενιαία υποδείγματα, τις οδηγίες και τη μεθοδολογία για την υποβολή εκθέσεων σχετικά με την ελάχιστη απαίτηση ίδιων κεφαλαίων και επιλέξιμων υποχρεώσεων (ΕΕ </w:t>
      </w:r>
      <w:r>
        <w:t>L</w:t>
      </w:r>
      <w:r w:rsidRPr="002D5765">
        <w:t xml:space="preserve"> 131, 16.4.2021, σ. 123, </w:t>
      </w:r>
      <w:r>
        <w:t>ELI</w:t>
      </w:r>
      <w:r w:rsidRPr="002D5765">
        <w:t xml:space="preserve">: </w:t>
      </w:r>
      <w:hyperlink r:id="rId3" w:history="1">
        <w:r>
          <w:rPr>
            <w:rStyle w:val="Hyperlink"/>
            <w:rFonts w:ascii="Times New Roman" w:hAnsi="Times New Roman"/>
          </w:rPr>
          <w:t>http</w:t>
        </w:r>
        <w:r w:rsidRPr="002D5765">
          <w:rPr>
            <w:rStyle w:val="Hyperlink"/>
            <w:rFonts w:ascii="Times New Roman" w:hAnsi="Times New Roman"/>
          </w:rPr>
          <w:t>://</w:t>
        </w:r>
        <w:r>
          <w:rPr>
            <w:rStyle w:val="Hyperlink"/>
            <w:rFonts w:ascii="Times New Roman" w:hAnsi="Times New Roman"/>
          </w:rPr>
          <w:t>data</w:t>
        </w:r>
        <w:r w:rsidRPr="002D5765">
          <w:rPr>
            <w:rStyle w:val="Hyperlink"/>
            <w:rFonts w:ascii="Times New Roman" w:hAnsi="Times New Roman"/>
          </w:rPr>
          <w:t>.</w:t>
        </w:r>
        <w:r>
          <w:rPr>
            <w:rStyle w:val="Hyperlink"/>
            <w:rFonts w:ascii="Times New Roman" w:hAnsi="Times New Roman"/>
          </w:rPr>
          <w:t>europa</w:t>
        </w:r>
        <w:r w:rsidRPr="002D5765">
          <w:rPr>
            <w:rStyle w:val="Hyperlink"/>
            <w:rFonts w:ascii="Times New Roman" w:hAnsi="Times New Roman"/>
          </w:rPr>
          <w:t>.</w:t>
        </w:r>
        <w:r>
          <w:rPr>
            <w:rStyle w:val="Hyperlink"/>
            <w:rFonts w:ascii="Times New Roman" w:hAnsi="Times New Roman"/>
          </w:rPr>
          <w:t>eu</w:t>
        </w:r>
        <w:r w:rsidRPr="002D5765">
          <w:rPr>
            <w:rStyle w:val="Hyperlink"/>
            <w:rFonts w:ascii="Times New Roman" w:hAnsi="Times New Roman"/>
          </w:rPr>
          <w:t>/</w:t>
        </w:r>
        <w:r>
          <w:rPr>
            <w:rStyle w:val="Hyperlink"/>
            <w:rFonts w:ascii="Times New Roman" w:hAnsi="Times New Roman"/>
          </w:rPr>
          <w:t>eli</w:t>
        </w:r>
        <w:r w:rsidRPr="002D5765">
          <w:rPr>
            <w:rStyle w:val="Hyperlink"/>
            <w:rFonts w:ascii="Times New Roman" w:hAnsi="Times New Roman"/>
          </w:rPr>
          <w:t>/</w:t>
        </w:r>
        <w:r>
          <w:rPr>
            <w:rStyle w:val="Hyperlink"/>
            <w:rFonts w:ascii="Times New Roman" w:hAnsi="Times New Roman"/>
          </w:rPr>
          <w:t>reg</w:t>
        </w:r>
        <w:r w:rsidRPr="002D5765">
          <w:rPr>
            <w:rStyle w:val="Hyperlink"/>
            <w:rFonts w:ascii="Times New Roman" w:hAnsi="Times New Roman"/>
          </w:rPr>
          <w:t>_</w:t>
        </w:r>
        <w:r>
          <w:rPr>
            <w:rStyle w:val="Hyperlink"/>
            <w:rFonts w:ascii="Times New Roman" w:hAnsi="Times New Roman"/>
          </w:rPr>
          <w:t>impl</w:t>
        </w:r>
        <w:r w:rsidRPr="002D5765">
          <w:rPr>
            <w:rStyle w:val="Hyperlink"/>
            <w:rFonts w:ascii="Times New Roman" w:hAnsi="Times New Roman"/>
          </w:rPr>
          <w:t>/2021/622/</w:t>
        </w:r>
        <w:r>
          <w:rPr>
            <w:rStyle w:val="Hyperlink"/>
            <w:rFonts w:ascii="Times New Roman" w:hAnsi="Times New Roman"/>
          </w:rPr>
          <w:t>oj</w:t>
        </w:r>
      </w:hyperlink>
      <w:r w:rsidRPr="002D5765">
        <w:t>).</w:t>
      </w:r>
    </w:p>
  </w:footnote>
  <w:footnote w:id="5">
    <w:p w14:paraId="5FB3833A" w14:textId="77777777" w:rsidR="000B5B60" w:rsidRPr="002D5765" w:rsidRDefault="000B5B60">
      <w:pPr>
        <w:pStyle w:val="FootnoteText"/>
      </w:pPr>
      <w:r>
        <w:rPr>
          <w:rStyle w:val="FootnoteReference"/>
        </w:rPr>
        <w:footnoteRef/>
      </w:r>
      <w:r w:rsidRPr="002D5765">
        <w:tab/>
        <w:t xml:space="preserve">Εκτελεστικός κανονισμός (ΕΕ) 2021/763, της 23ης Απριλίου 2021, σχετικά με τη θέσπιση εκτελεστικών τεχνικών προτύπων για την εφαρμογή του κανονισμού (ΕΕ) αριθ. 575/2013 του Ευρωπαϊκού Κοινοβουλίου και του Συμβουλίου και της οδηγίας 2014/59/ΕΕ του Ευρωπαϊκού Κοινοβουλίου και του Συμβουλίου όσον αφορά την υποβολή εποπτικών αναφορών και τη δημοσιοποίηση της ελάχιστης απαίτησης ιδίων κεφαλαίων και επιλέξιμων υποχρεώσεων (ΕΕ </w:t>
      </w:r>
      <w:r>
        <w:t>L </w:t>
      </w:r>
      <w:r w:rsidRPr="002D5765">
        <w:t xml:space="preserve">168 της 12.5.2021, </w:t>
      </w:r>
      <w:r>
        <w:t>ELI</w:t>
      </w:r>
      <w:r w:rsidRPr="002D5765">
        <w:t xml:space="preserve">: </w:t>
      </w:r>
      <w:hyperlink r:id="rId4" w:history="1">
        <w:r>
          <w:rPr>
            <w:rStyle w:val="Hyperlink"/>
            <w:rFonts w:ascii="Times New Roman" w:hAnsi="Times New Roman"/>
          </w:rPr>
          <w:t>http</w:t>
        </w:r>
        <w:r w:rsidRPr="002D5765">
          <w:rPr>
            <w:rStyle w:val="Hyperlink"/>
            <w:rFonts w:ascii="Times New Roman" w:hAnsi="Times New Roman"/>
          </w:rPr>
          <w:t>://</w:t>
        </w:r>
        <w:r>
          <w:rPr>
            <w:rStyle w:val="Hyperlink"/>
            <w:rFonts w:ascii="Times New Roman" w:hAnsi="Times New Roman"/>
          </w:rPr>
          <w:t>data</w:t>
        </w:r>
        <w:r w:rsidRPr="002D5765">
          <w:rPr>
            <w:rStyle w:val="Hyperlink"/>
            <w:rFonts w:ascii="Times New Roman" w:hAnsi="Times New Roman"/>
          </w:rPr>
          <w:t>.</w:t>
        </w:r>
        <w:r>
          <w:rPr>
            <w:rStyle w:val="Hyperlink"/>
            <w:rFonts w:ascii="Times New Roman" w:hAnsi="Times New Roman"/>
          </w:rPr>
          <w:t>europa</w:t>
        </w:r>
        <w:r w:rsidRPr="002D5765">
          <w:rPr>
            <w:rStyle w:val="Hyperlink"/>
            <w:rFonts w:ascii="Times New Roman" w:hAnsi="Times New Roman"/>
          </w:rPr>
          <w:t>.</w:t>
        </w:r>
        <w:r>
          <w:rPr>
            <w:rStyle w:val="Hyperlink"/>
            <w:rFonts w:ascii="Times New Roman" w:hAnsi="Times New Roman"/>
          </w:rPr>
          <w:t>eu</w:t>
        </w:r>
        <w:r w:rsidRPr="002D5765">
          <w:rPr>
            <w:rStyle w:val="Hyperlink"/>
            <w:rFonts w:ascii="Times New Roman" w:hAnsi="Times New Roman"/>
          </w:rPr>
          <w:t>/</w:t>
        </w:r>
        <w:r>
          <w:rPr>
            <w:rStyle w:val="Hyperlink"/>
            <w:rFonts w:ascii="Times New Roman" w:hAnsi="Times New Roman"/>
          </w:rPr>
          <w:t>eli</w:t>
        </w:r>
        <w:r w:rsidRPr="002D5765">
          <w:rPr>
            <w:rStyle w:val="Hyperlink"/>
            <w:rFonts w:ascii="Times New Roman" w:hAnsi="Times New Roman"/>
          </w:rPr>
          <w:t>/</w:t>
        </w:r>
        <w:r>
          <w:rPr>
            <w:rStyle w:val="Hyperlink"/>
            <w:rFonts w:ascii="Times New Roman" w:hAnsi="Times New Roman"/>
          </w:rPr>
          <w:t>reg</w:t>
        </w:r>
        <w:r w:rsidRPr="002D5765">
          <w:rPr>
            <w:rStyle w:val="Hyperlink"/>
            <w:rFonts w:ascii="Times New Roman" w:hAnsi="Times New Roman"/>
          </w:rPr>
          <w:t>_</w:t>
        </w:r>
        <w:r>
          <w:rPr>
            <w:rStyle w:val="Hyperlink"/>
            <w:rFonts w:ascii="Times New Roman" w:hAnsi="Times New Roman"/>
          </w:rPr>
          <w:t>impl</w:t>
        </w:r>
        <w:r w:rsidRPr="002D5765">
          <w:rPr>
            <w:rStyle w:val="Hyperlink"/>
            <w:rFonts w:ascii="Times New Roman" w:hAnsi="Times New Roman"/>
          </w:rPr>
          <w:t>/2021/763/</w:t>
        </w:r>
        <w:r>
          <w:rPr>
            <w:rStyle w:val="Hyperlink"/>
            <w:rFonts w:ascii="Times New Roman" w:hAnsi="Times New Roman"/>
          </w:rPr>
          <w:t>oj</w:t>
        </w:r>
      </w:hyperlink>
      <w:r w:rsidRPr="002D5765">
        <w:t>).</w:t>
      </w:r>
    </w:p>
  </w:footnote>
  <w:footnote w:id="6">
    <w:p w14:paraId="04BE3385" w14:textId="77777777" w:rsidR="00401F3A" w:rsidRPr="002D5765" w:rsidRDefault="00401F3A" w:rsidP="00F35BD7">
      <w:pPr>
        <w:pStyle w:val="FootnoteText"/>
      </w:pPr>
      <w:r>
        <w:rPr>
          <w:rStyle w:val="FootnoteReference"/>
        </w:rPr>
        <w:footnoteRef/>
      </w:r>
      <w:r w:rsidRPr="002D5765">
        <w:tab/>
        <w:t xml:space="preserve">Κανονισμός (ΕΕ) αριθ.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απόφασης αριθ. 716/2009/ΕΚ και την κατάργηση της απόφασης 2009/78/ΕΚ της Επιτροπής (ΕΕ </w:t>
      </w:r>
      <w:r>
        <w:t>L </w:t>
      </w:r>
      <w:r w:rsidRPr="002D5765">
        <w:t>331 της 15.12.2010, σ.</w:t>
      </w:r>
      <w:r>
        <w:t> </w:t>
      </w:r>
      <w:r w:rsidRPr="002D5765">
        <w:t xml:space="preserve">12, </w:t>
      </w:r>
      <w:r>
        <w:t>ELI</w:t>
      </w:r>
      <w:r w:rsidRPr="002D5765">
        <w:t>:</w:t>
      </w:r>
      <w:r>
        <w:t> </w:t>
      </w:r>
      <w:hyperlink r:id="rId5" w:tooltip="Πρόσβαση στο έγγραφο μέσω URI τύπου ELI." w:history="1">
        <w:r>
          <w:rPr>
            <w:rStyle w:val="Hyperlink"/>
            <w:rFonts w:ascii="Times New Roman" w:hAnsi="Times New Roman"/>
          </w:rPr>
          <w:t>http</w:t>
        </w:r>
        <w:r w:rsidRPr="002D5765">
          <w:rPr>
            <w:rStyle w:val="Hyperlink"/>
            <w:rFonts w:ascii="Times New Roman" w:hAnsi="Times New Roman"/>
          </w:rPr>
          <w:t>://</w:t>
        </w:r>
        <w:r>
          <w:rPr>
            <w:rStyle w:val="Hyperlink"/>
            <w:rFonts w:ascii="Times New Roman" w:hAnsi="Times New Roman"/>
          </w:rPr>
          <w:t>data</w:t>
        </w:r>
        <w:r w:rsidRPr="002D5765">
          <w:rPr>
            <w:rStyle w:val="Hyperlink"/>
            <w:rFonts w:ascii="Times New Roman" w:hAnsi="Times New Roman"/>
          </w:rPr>
          <w:t>.</w:t>
        </w:r>
        <w:r>
          <w:rPr>
            <w:rStyle w:val="Hyperlink"/>
            <w:rFonts w:ascii="Times New Roman" w:hAnsi="Times New Roman"/>
          </w:rPr>
          <w:t>europa</w:t>
        </w:r>
        <w:r w:rsidRPr="002D5765">
          <w:rPr>
            <w:rStyle w:val="Hyperlink"/>
            <w:rFonts w:ascii="Times New Roman" w:hAnsi="Times New Roman"/>
          </w:rPr>
          <w:t>.</w:t>
        </w:r>
        <w:r>
          <w:rPr>
            <w:rStyle w:val="Hyperlink"/>
            <w:rFonts w:ascii="Times New Roman" w:hAnsi="Times New Roman"/>
          </w:rPr>
          <w:t>eu</w:t>
        </w:r>
        <w:r w:rsidRPr="002D5765">
          <w:rPr>
            <w:rStyle w:val="Hyperlink"/>
            <w:rFonts w:ascii="Times New Roman" w:hAnsi="Times New Roman"/>
          </w:rPr>
          <w:t>/</w:t>
        </w:r>
        <w:r>
          <w:rPr>
            <w:rStyle w:val="Hyperlink"/>
            <w:rFonts w:ascii="Times New Roman" w:hAnsi="Times New Roman"/>
          </w:rPr>
          <w:t>eli</w:t>
        </w:r>
        <w:r w:rsidRPr="002D5765">
          <w:rPr>
            <w:rStyle w:val="Hyperlink"/>
            <w:rFonts w:ascii="Times New Roman" w:hAnsi="Times New Roman"/>
          </w:rPr>
          <w:t>/</w:t>
        </w:r>
        <w:r>
          <w:rPr>
            <w:rStyle w:val="Hyperlink"/>
            <w:rFonts w:ascii="Times New Roman" w:hAnsi="Times New Roman"/>
          </w:rPr>
          <w:t>reg</w:t>
        </w:r>
        <w:r w:rsidRPr="002D5765">
          <w:rPr>
            <w:rStyle w:val="Hyperlink"/>
            <w:rFonts w:ascii="Times New Roman" w:hAnsi="Times New Roman"/>
          </w:rPr>
          <w:t>/2010/1093/</w:t>
        </w:r>
        <w:r>
          <w:rPr>
            <w:rStyle w:val="Hyperlink"/>
            <w:rFonts w:ascii="Times New Roman" w:hAnsi="Times New Roman"/>
          </w:rPr>
          <w:t>oj</w:t>
        </w:r>
      </w:hyperlink>
      <w:r w:rsidRPr="002D57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4108" w14:textId="77777777" w:rsidR="002D5765" w:rsidRPr="005B72B8" w:rsidRDefault="002D5765" w:rsidP="005B7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A111" w14:textId="77777777" w:rsidR="002D5765" w:rsidRPr="005B72B8" w:rsidRDefault="002D5765" w:rsidP="005B7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97E" w14:textId="77777777" w:rsidR="002D5765" w:rsidRPr="005B72B8" w:rsidRDefault="002D5765" w:rsidP="005B72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2089693441">
    <w:abstractNumId w:val="15"/>
  </w:num>
  <w:num w:numId="7" w16cid:durableId="1693998065">
    <w:abstractNumId w:val="8"/>
  </w:num>
  <w:num w:numId="8" w16cid:durableId="788817884">
    <w:abstractNumId w:val="17"/>
  </w:num>
  <w:num w:numId="9" w16cid:durableId="1535464848">
    <w:abstractNumId w:val="7"/>
  </w:num>
  <w:num w:numId="10" w16cid:durableId="639657071">
    <w:abstractNumId w:val="9"/>
  </w:num>
  <w:num w:numId="11" w16cid:durableId="361050661">
    <w:abstractNumId w:val="10"/>
  </w:num>
  <w:num w:numId="12" w16cid:durableId="472790552">
    <w:abstractNumId w:val="5"/>
  </w:num>
  <w:num w:numId="13" w16cid:durableId="384646725">
    <w:abstractNumId w:val="16"/>
  </w:num>
  <w:num w:numId="14" w16cid:durableId="2031682509">
    <w:abstractNumId w:val="4"/>
  </w:num>
  <w:num w:numId="15" w16cid:durableId="150604668">
    <w:abstractNumId w:val="11"/>
  </w:num>
  <w:num w:numId="16" w16cid:durableId="472332852">
    <w:abstractNumId w:val="13"/>
  </w:num>
  <w:num w:numId="17" w16cid:durableId="1298296966">
    <w:abstractNumId w:val="14"/>
  </w:num>
  <w:num w:numId="18" w16cid:durableId="1306230484">
    <w:abstractNumId w:val="6"/>
  </w:num>
  <w:num w:numId="19" w16cid:durableId="24066917">
    <w:abstractNumId w:val="12"/>
  </w:num>
  <w:num w:numId="20" w16cid:durableId="4854365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2-02 11:16:0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F8E9F62-5DDB-44C6-B089-69FF66C8ED9C"/>
    <w:docVar w:name="LW_COVERPAGE_TYPE" w:val="1"/>
    <w:docVar w:name="LW_CreatedUtc" w:val="2025-09-04T16:00:38.0896335Z"/>
    <w:docVar w:name="LW_CROSSREFERENCE" w:val="&lt;UNUSED&gt;"/>
    <w:docVar w:name="LW_DATE.ADOPT.CP" w:val="\u964?\u951?\u962? XXX"/>
    <w:docVar w:name="LW_DATE.ADOPT.CP_DATEFORMAT" w:val="\u964?\u951?\u962? %DATE%"/>
    <w:docVar w:name="LW_DATE.ADOPT.CP_ISODATE" w:val="&lt;EMPTY&gt;"/>
    <w:docVar w:name="LW_DocType" w:val="COM"/>
    <w:docVar w:name="LW_EMISSION" w:val="&lt;EMPTY&gt;"/>
    <w:docVar w:name="LW_EMISSION_ISODATE" w:val="&lt;EMPTY&gt;"/>
    <w:docVar w:name="LW_EMISSION_LOCATION" w:val="BRX"/>
    <w:docVar w:name="LW_EMISSION_PREFIX" w:val="\u914?\u961?\u965?\u958?\u941?\u955?\u955?\u949?\u962?, "/>
    <w:docVar w:name="LW_EMISSION_SUFFIX" w:val=" "/>
    <w:docVar w:name="LW_ID_DOCMODEL" w:val="SJ-004"/>
    <w:docVar w:name="LW_ID_DOCSIGNATURE" w:val="SJ-004"/>
    <w:docVar w:name="LW_ID_DOCSTRUCTURE" w:val="COM/AA"/>
    <w:docVar w:name="LW_ID_DOCTYPE" w:val="SJ-004"/>
    <w:docVar w:name="LW_INTERETEEE.CP" w:val="(\u922?\u949?\u943?\u956?\u949?\u957?\u959? \u960?\u959?\u965? \u960?\u945?\u961?\u959?\u965?\u963?\u953?\u940?\u950?\u949?\u953? \u949?\u957?\u948?\u953?\u945?\u966?\u941?\u961?\u959?\u957? \u947?\u953?\u945? \u964?\u959?\u957? \u917?\u927?\u935?)"/>
    <w:docVar w:name="LW_LANGUE" w:val="EL"/>
    <w:docVar w:name="LW_LANGUESFAISANTFOI.CP" w:val="&lt;UNUSED&gt;"/>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47?\u953?\u945? \u964?\u951?\u957? \u964?\u961?\u959?\u960?\u959?\u960?\u959?\u943?\u951?\u963?\u951? \u964?\u969?\u957? \u949?\u954?\u964?\u949?\u955?\u949?\u963?\u964?\u953?\u954?\u974?\u957? \u964?\u949?\u967?\u957?\u953?\u954?\u974?\u957? \u960?\u961?\u959?\u964?\u973?\u960?\u969?\u957? \u960?\u959?\u965? \u954?\u945?\u952?\u959?\u961?\u943?\u950?\u959?\u957?\u964?\u945?\u953? \u963?\u964?\u959?\u957? \u949?\u954?\u964?\u949?\u955?\u949?\u963?\u964?\u953?\u954?\u972? \u954?\u945?\u957?\u959?\u957?\u953?\u963?\u956?\u972? (\u917?\u917?) 2021/622 \u972?\u963?\u959?\u957? \u945?\u966?\u959?\u961?\u940? \u964?\u951? \u963?\u965?\u967?\u957?\u972?\u964?\u951?\u964?\u945? \u965?\u960?\u959?\u946?\u959?\u955?\u942?\u962? \u945?\u957?\u945?\u966?\u959?\u961?\u974?\u957? \u954?\u945?\u953? \u964?\u953?\u962? \u960?\u955?\u951?\u961?\u959?\u966?\u959?\u961?\u943?\u949?\u962? \u960?\u959?\u965? \u960?\u961?\u941?\u960?\u949?\u953? \u957?\u945? \u965?\u960?\u959?\u946?\u940?\u955?\u955?\u959?\u957?\u964?\u945?\u953?"/>
    <w:docVar w:name="LW_TYPE.DOC.CP" w:val="\u917?\u922?\u932?\u917?\u923?\u917?\u931?\u932?\u921?\u922?\u927?\u931? \u922?\u913?\u925?\u927?\u925?\u921?\u931?\u924?\u927?\u931? (\u917?\u917?) \u8230?/... \u932?\u919?\u931? \u917?\u928?\u921?\u932?\u929?\u927?\u928?\u919?\u931?"/>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328"/>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5765"/>
    <w:rsid w:val="002D6B17"/>
    <w:rsid w:val="002F1710"/>
    <w:rsid w:val="0030490D"/>
    <w:rsid w:val="00313AC1"/>
    <w:rsid w:val="00325B37"/>
    <w:rsid w:val="00330292"/>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4FB2"/>
    <w:rsid w:val="004E763F"/>
    <w:rsid w:val="004F04FA"/>
    <w:rsid w:val="004F588A"/>
    <w:rsid w:val="004F6513"/>
    <w:rsid w:val="00500E39"/>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B72B8"/>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B0416"/>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3398"/>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E47F3"/>
    <w:rsid w:val="008F234A"/>
    <w:rsid w:val="00902ADE"/>
    <w:rsid w:val="00910118"/>
    <w:rsid w:val="00917A1D"/>
    <w:rsid w:val="00940731"/>
    <w:rsid w:val="009430FB"/>
    <w:rsid w:val="00943538"/>
    <w:rsid w:val="009526D5"/>
    <w:rsid w:val="0095347B"/>
    <w:rsid w:val="009571D6"/>
    <w:rsid w:val="00962953"/>
    <w:rsid w:val="00964D55"/>
    <w:rsid w:val="00980CC9"/>
    <w:rsid w:val="009957C5"/>
    <w:rsid w:val="009A4095"/>
    <w:rsid w:val="009B0295"/>
    <w:rsid w:val="009C0BB1"/>
    <w:rsid w:val="009C1E02"/>
    <w:rsid w:val="009D2368"/>
    <w:rsid w:val="009D5F8B"/>
    <w:rsid w:val="009F3A7A"/>
    <w:rsid w:val="00A03DA8"/>
    <w:rsid w:val="00A05FAB"/>
    <w:rsid w:val="00A24E3D"/>
    <w:rsid w:val="00A33BC9"/>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110A"/>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el-GR"/>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2.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74AB9-05CF-4E22-8B2B-667D523C417F}">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38</TotalTime>
  <Pages>2</Pages>
  <Words>990</Words>
  <Characters>5574</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KARAKOULIS Georgios (DGT)</cp:lastModifiedBy>
  <cp:revision>33</cp:revision>
  <dcterms:created xsi:type="dcterms:W3CDTF">2025-12-05T16:19:00Z</dcterms:created>
  <dcterms:modified xsi:type="dcterms:W3CDTF">2026-02-02T10:16:00Z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