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09E8241A" w:rsidR="004E763F" w:rsidRPr="00633D81" w:rsidRDefault="007459DB" w:rsidP="00633D81">
      <w:pPr>
        <w:pStyle w:val="Pagedecouverture"/>
      </w:pPr>
      <w:r>
        <w:pict w14:anchorId="464B5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696E935-B9C2-4B2B-9B73-9DB4237919AA" style="width:455.4pt;height:345.6pt">
            <v:imagedata r:id="rId11" o:title=""/>
          </v:shape>
        </w:pict>
      </w:r>
    </w:p>
    <w:p w14:paraId="1986B6EA" w14:textId="77777777" w:rsidR="00CE1382" w:rsidRPr="00633D81" w:rsidRDefault="00CE1382" w:rsidP="003838B9">
      <w:pPr>
        <w:sectPr w:rsidR="00CE1382" w:rsidRPr="00633D81" w:rsidSect="00633D81">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02C463FD" w:rsidR="00C16484" w:rsidRPr="00633D81" w:rsidRDefault="00633D81" w:rsidP="00633D81">
      <w:pPr>
        <w:pStyle w:val="Typedudocument"/>
      </w:pPr>
      <w:r w:rsidRPr="00633D81">
        <w:lastRenderedPageBreak/>
        <w:t>KOMMISSIONENS GENNEMFØRELSESFORORDNING (EU) …/…</w:t>
      </w:r>
    </w:p>
    <w:p w14:paraId="6819E66E" w14:textId="1A2A6425" w:rsidR="00C16484" w:rsidRPr="00633D81" w:rsidRDefault="00633D81" w:rsidP="00633D81">
      <w:pPr>
        <w:pStyle w:val="Datedadoption"/>
      </w:pPr>
      <w:r w:rsidRPr="00633D81">
        <w:t xml:space="preserve">af </w:t>
      </w:r>
      <w:r w:rsidRPr="00633D81">
        <w:rPr>
          <w:rStyle w:val="Marker2"/>
        </w:rPr>
        <w:t>XXX</w:t>
      </w:r>
    </w:p>
    <w:p w14:paraId="44AA08D1" w14:textId="1C6E2D06" w:rsidR="00C16484" w:rsidRPr="00633D81" w:rsidRDefault="00633D81" w:rsidP="00633D81">
      <w:pPr>
        <w:pStyle w:val="Titreobjet"/>
      </w:pPr>
      <w:r w:rsidRPr="00633D81">
        <w:t>om ændring af de gennemførelsesmæssige tekniske standarder i gennemførelsesforordning (EU) 2021/622 for så vidt angår indberetningshyppighed og de oplysninger, der skal indberettes</w:t>
      </w:r>
    </w:p>
    <w:p w14:paraId="4A210142" w14:textId="32DCCDCE" w:rsidR="00C16484" w:rsidRPr="00633D81" w:rsidRDefault="00633D81" w:rsidP="00633D81">
      <w:pPr>
        <w:pStyle w:val="IntrtEEE"/>
      </w:pPr>
      <w:r w:rsidRPr="00633D81">
        <w:t>(EØS-relevant tekst)</w:t>
      </w:r>
    </w:p>
    <w:p w14:paraId="6F3A17D1" w14:textId="77777777" w:rsidR="00C16484" w:rsidRPr="00633D81" w:rsidRDefault="00C16484">
      <w:pPr>
        <w:pStyle w:val="Institutionquiagit"/>
      </w:pPr>
      <w:r w:rsidRPr="00633D81">
        <w:t>EUROPA-KOMMISSIONEN HAR –</w:t>
      </w:r>
    </w:p>
    <w:p w14:paraId="22B09AC6" w14:textId="77777777" w:rsidR="00C16484" w:rsidRPr="00633D81" w:rsidRDefault="00C16484">
      <w:r w:rsidRPr="00633D81">
        <w:t>under henvisning til traktaten om Den Europæiske Unions funktionsmåde,</w:t>
      </w:r>
    </w:p>
    <w:p w14:paraId="6C2E5C7E" w14:textId="77777777" w:rsidR="00C16484" w:rsidRPr="00633D81" w:rsidRDefault="00C16484">
      <w:r w:rsidRPr="00633D81">
        <w:t>under henvisning til Europa-Parlamentets og Rådets direktiv 2014/59/EU af 15. maj 2014 om et regelsæt for genopretning og afvikling af kreditinstitutter og investeringsselskaber og om ændring af Rådets direktiv 82/891/EØF og Europa-Parlamentets og Rådets direktiv 2001/24/EF, 2002/47/EF, 2004/25/EF, 2005/56/EF, 2007/36/EF, 2011/35/EU, 2012/30/EU og 2013/36/EU samt forordning (EU) nr. 1093/2010 og (EU) nr. 648/2012</w:t>
      </w:r>
      <w:r w:rsidRPr="00633D81">
        <w:rPr>
          <w:rStyle w:val="FootnoteReference"/>
        </w:rPr>
        <w:footnoteReference w:id="2"/>
      </w:r>
      <w:r w:rsidRPr="00633D81">
        <w:t>, særlig artikel 45j, stk. 2, tredje afsnit, og</w:t>
      </w:r>
    </w:p>
    <w:p w14:paraId="499F4150" w14:textId="77777777" w:rsidR="00C16484" w:rsidRPr="00633D81" w:rsidRDefault="00C16484">
      <w:r w:rsidRPr="00633D81">
        <w:t>ud fra følgende betragtninger:</w:t>
      </w:r>
    </w:p>
    <w:p w14:paraId="7D99777F" w14:textId="77777777" w:rsidR="003428AE" w:rsidRPr="00633D81" w:rsidRDefault="003428AE" w:rsidP="004B4C38">
      <w:pPr>
        <w:pStyle w:val="Considrant"/>
        <w:numPr>
          <w:ilvl w:val="0"/>
          <w:numId w:val="2"/>
        </w:numPr>
        <w:rPr>
          <w:iCs/>
          <w:noProof/>
        </w:rPr>
      </w:pPr>
      <w:r w:rsidRPr="00633D81">
        <w:t>Ved Europa-Parlamentets og Rådets direktiv (EU) 2024/1174</w:t>
      </w:r>
      <w:r w:rsidRPr="00633D81">
        <w:rPr>
          <w:rStyle w:val="FootnoteReference"/>
          <w:iCs/>
          <w:noProof/>
        </w:rPr>
        <w:footnoteReference w:id="3"/>
      </w:r>
      <w:r w:rsidRPr="00633D81">
        <w:t xml:space="preserve"> blev der indført visse ændringer af minimumskravet til kapitalgrundlag og nedskrivningsegnede passiver ("MREL") som fastsat i direktiv 2014/59/EU. I henhold til disse ændringer bør afviklingsmyndighederne ikke fastsætte MREL for likvidationsenheder, medmindre det er nødvendigt at fastsætte et MREL, der overstiger et beløb, der er tilstrækkeligt til at absorbere tab, for at beskytte den finansielle stabilitet eller imødegå risikoen for afsmitning på det finansielle system, herunder med hensyn til indskudsgarantiordningers finansieringskapacitet. Desuden øgede direktiv (EU) 2024/1174 antallet af situationer, der gør det muligt for afviklingsmyndighederne at fastsætte MREL på et konsolideret grundlag. Kommissionens gennemførelsesforordning (EU) 2021/622</w:t>
      </w:r>
      <w:r w:rsidRPr="00633D81">
        <w:rPr>
          <w:rStyle w:val="FootnoteReference"/>
          <w:iCs/>
          <w:noProof/>
        </w:rPr>
        <w:footnoteReference w:id="4"/>
      </w:r>
      <w:r w:rsidRPr="00633D81">
        <w:t xml:space="preserve"> bør ændres for at afspejle disse ændringer af MREL-rammen i de oplysninger, der skal videregives til Den Europæiske Banktilsynsmyndighed (EBA).</w:t>
      </w:r>
    </w:p>
    <w:p w14:paraId="038A3063" w14:textId="77777777" w:rsidR="00C16484" w:rsidRPr="00633D81" w:rsidRDefault="00A05FAB" w:rsidP="008B6AF9">
      <w:pPr>
        <w:pStyle w:val="Considrant"/>
        <w:numPr>
          <w:ilvl w:val="0"/>
          <w:numId w:val="2"/>
        </w:numPr>
        <w:rPr>
          <w:iCs/>
          <w:noProof/>
        </w:rPr>
      </w:pPr>
      <w:r w:rsidRPr="00633D81">
        <w:t>I henhold til gennemførelsesforordning (EU) 2021/622 skal afviklingsmyndighederne på nuværende tidspunkt hvert år videregive oplysninger til EBA vedrørende fastsættelsen af MREL. Efterfølgende sammenholder EBA disse oplysninger med oplysninger om sammensætningen af kapitalgrundlaget og nedskrivningsrelevante passiver, der er opnået i henhold til Kommissionens gennemførelsesforordning (EU) 2021/763</w:t>
      </w:r>
      <w:r w:rsidRPr="00633D81">
        <w:rPr>
          <w:rStyle w:val="FootnoteReference"/>
          <w:noProof/>
        </w:rPr>
        <w:footnoteReference w:id="5"/>
      </w:r>
      <w:r w:rsidRPr="00633D81">
        <w:t>, med henblik på at udarbejde sin rapport om MREL i overensstemmelse med artikel 45l i direktiv 2014/59/EU, hvilket i øjeblikket sker hvert andet år. Den nuværende årlige indberetning af oplysninger om fastsættelse af MREL betyder, at MREL-afgørelser, der vedtages af afviklingsmyndighederne efter den relevante referencedato, ikke videregives til eller vurderes af EBA og ikke afspejles i dens rapporter før det følgende år, hvilket skaber uoverensstemmelser med de mere ajourførte oplysninger om sammensætningen af kapitalgrundlaget og de nedskrivningsrelevante passiver.</w:t>
      </w:r>
    </w:p>
    <w:p w14:paraId="676EF325" w14:textId="77777777" w:rsidR="00C16484" w:rsidRPr="00633D81" w:rsidRDefault="00C16484" w:rsidP="004B4C38">
      <w:pPr>
        <w:pStyle w:val="Considrant"/>
        <w:numPr>
          <w:ilvl w:val="0"/>
          <w:numId w:val="2"/>
        </w:numPr>
        <w:rPr>
          <w:iCs/>
          <w:noProof/>
        </w:rPr>
      </w:pPr>
      <w:r w:rsidRPr="00633D81">
        <w:t xml:space="preserve">For at forbedre EBA's evne til at overvåge og vurdere det MREL, der er fastsat af afviklingsmyndighederne, og institutternes overholdelse af MREL-kravene bør afviklingsmyndighederne være forpligtet til oftere at aflægge rapport til EBA om MREL-afgørelser. For at sikre overensstemmelse med de rapporter om MREL, som EBA udarbejder, bør afviklingsmyndighederne indberette disse oplysninger to gange om året. </w:t>
      </w:r>
    </w:p>
    <w:p w14:paraId="2672C096" w14:textId="77777777" w:rsidR="00C16484" w:rsidRPr="00633D81" w:rsidRDefault="00C16484" w:rsidP="004B4C38">
      <w:pPr>
        <w:pStyle w:val="Considrant"/>
        <w:numPr>
          <w:ilvl w:val="0"/>
          <w:numId w:val="2"/>
        </w:numPr>
        <w:rPr>
          <w:noProof/>
        </w:rPr>
      </w:pPr>
      <w:r w:rsidRPr="00633D81">
        <w:t>For at lette EBA's vurdering af, hvordan afviklingsmyndighederne har udøvet skøn ved fastsættelsen af MREL, navnlig med hensyn til den mulighed, der er til rådighed i henhold til artikel 45b, stk. 4, første afsnit, i direktiv 2014/59/EU, bør skema M 20.00 — Indberetning om MREL-afgørelser (bilag I til forordning (EU) 2021/622) og de tilsvarende instrukser tilpasses, så det kræves, at der medtages oplysninger om udøvelsen af denne mulighed.</w:t>
      </w:r>
    </w:p>
    <w:p w14:paraId="1B5314C9" w14:textId="77777777" w:rsidR="00C16484" w:rsidRPr="00633D81" w:rsidRDefault="00C16484" w:rsidP="004B4C38">
      <w:pPr>
        <w:pStyle w:val="Considrant"/>
        <w:numPr>
          <w:ilvl w:val="0"/>
          <w:numId w:val="2"/>
        </w:numPr>
        <w:rPr>
          <w:noProof/>
        </w:rPr>
      </w:pPr>
      <w:r w:rsidRPr="00633D81">
        <w:t>EBA har anmodet interessentgruppen for banker, der er nedsat i henhold til artikel 37 i Europa-Parlamentets og Rådets forordning (EU) nr. 1093/2010, om rådgivning</w:t>
      </w:r>
      <w:r w:rsidRPr="00633D81">
        <w:rPr>
          <w:rStyle w:val="FootnoteReference"/>
          <w:noProof/>
        </w:rPr>
        <w:footnoteReference w:id="6"/>
      </w:r>
      <w:r w:rsidRPr="00633D81">
        <w:t xml:space="preserve"> </w:t>
      </w:r>
    </w:p>
    <w:p w14:paraId="5D5111C6" w14:textId="77777777" w:rsidR="00C16484" w:rsidRPr="00633D81" w:rsidRDefault="00373FC4" w:rsidP="004B4C38">
      <w:pPr>
        <w:pStyle w:val="Considrant"/>
        <w:numPr>
          <w:ilvl w:val="0"/>
          <w:numId w:val="2"/>
        </w:numPr>
        <w:rPr>
          <w:noProof/>
        </w:rPr>
      </w:pPr>
      <w:r w:rsidRPr="00633D81">
        <w:t xml:space="preserve">Ændringerne af forordning (EU) 2021/622 er rettet til afviklingsmyndighederne og indebærer ikke væsentlige indholdsmæssige ændringer. EBA har derfor i overensstemmelse med artikel 15, stk. 1, andet afsnit, i forordning (EU) nr. 1093/2010 hverken gennemført åbne offentlige høringer eller analyseret de potentielle omkostninger og fordele herved, da det ville være uforholdsmæssigt i forhold til omfanget og virkningen af de pågældende udkast til gennemførelsesmæssige tekniske standarder. </w:t>
      </w:r>
    </w:p>
    <w:p w14:paraId="0A23BFF6" w14:textId="77777777" w:rsidR="00C16484" w:rsidRPr="00633D81" w:rsidRDefault="00C16484" w:rsidP="004B4C38">
      <w:pPr>
        <w:pStyle w:val="Considrant"/>
        <w:numPr>
          <w:ilvl w:val="0"/>
          <w:numId w:val="2"/>
        </w:numPr>
        <w:rPr>
          <w:noProof/>
        </w:rPr>
      </w:pPr>
      <w:r w:rsidRPr="00633D81">
        <w:t>Gennemførelsesforordning (EU) 2021/622 bør derfor ændres.</w:t>
      </w:r>
    </w:p>
    <w:p w14:paraId="1887EA7B" w14:textId="77777777" w:rsidR="00C16484" w:rsidRPr="00633D81" w:rsidRDefault="00C16484" w:rsidP="004B4C38">
      <w:pPr>
        <w:pStyle w:val="Considrant"/>
        <w:numPr>
          <w:ilvl w:val="0"/>
          <w:numId w:val="2"/>
        </w:numPr>
        <w:rPr>
          <w:noProof/>
        </w:rPr>
      </w:pPr>
      <w:r w:rsidRPr="00633D81">
        <w:t>Denne forordning er baseret på det udkast til gennemførelsesmæssige tekniske standarder, som EBA har forelagt Kommissionen —</w:t>
      </w:r>
    </w:p>
    <w:p w14:paraId="313B274F" w14:textId="77777777" w:rsidR="00C16484" w:rsidRPr="00633D81" w:rsidRDefault="00C16484">
      <w:pPr>
        <w:pStyle w:val="Formuledadoption"/>
      </w:pPr>
      <w:r w:rsidRPr="00633D81">
        <w:t>VEDTAGET DENNE FORORDNING:</w:t>
      </w:r>
    </w:p>
    <w:p w14:paraId="455FC522" w14:textId="77777777" w:rsidR="00C16484" w:rsidRPr="00633D81" w:rsidRDefault="00C16484">
      <w:pPr>
        <w:pStyle w:val="Titrearticle"/>
      </w:pPr>
      <w:r w:rsidRPr="00633D81">
        <w:t>Artikel 1</w:t>
      </w:r>
    </w:p>
    <w:p w14:paraId="061A957A" w14:textId="77777777" w:rsidR="00C16484" w:rsidRPr="00633D81" w:rsidRDefault="00C16484" w:rsidP="00C16484">
      <w:pPr>
        <w:rPr>
          <w:noProof/>
        </w:rPr>
      </w:pPr>
      <w:r w:rsidRPr="00633D81">
        <w:t>I gennemførelsesforordning (EU) 2021/622 foretages følgende ændringer:</w:t>
      </w:r>
    </w:p>
    <w:p w14:paraId="44E520EB" w14:textId="0F394C76" w:rsidR="00C16484" w:rsidRPr="00633D81" w:rsidRDefault="00633D81" w:rsidP="00633D81">
      <w:pPr>
        <w:pStyle w:val="Point0"/>
        <w:rPr>
          <w:noProof/>
        </w:rPr>
      </w:pPr>
      <w:r>
        <w:t>1)</w:t>
      </w:r>
      <w:r>
        <w:tab/>
      </w:r>
      <w:r w:rsidR="00C16484" w:rsidRPr="00633D81">
        <w:t>I artikel 2 foretages følgende ændringer:</w:t>
      </w:r>
    </w:p>
    <w:p w14:paraId="252CA8AC" w14:textId="72098C60" w:rsidR="00C16484" w:rsidRPr="00633D81" w:rsidRDefault="00633D81" w:rsidP="00633D81">
      <w:pPr>
        <w:pStyle w:val="Point1"/>
        <w:rPr>
          <w:noProof/>
        </w:rPr>
      </w:pPr>
      <w:r>
        <w:t>a)</w:t>
      </w:r>
      <w:r>
        <w:tab/>
      </w:r>
      <w:r w:rsidR="00C16484" w:rsidRPr="00633D81">
        <w:t>Titlen affattes således:</w:t>
      </w:r>
    </w:p>
    <w:p w14:paraId="3D4F8508" w14:textId="77777777" w:rsidR="00C16484" w:rsidRPr="00633D81" w:rsidRDefault="00C16484" w:rsidP="00783A3B">
      <w:pPr>
        <w:jc w:val="center"/>
        <w:rPr>
          <w:noProof/>
        </w:rPr>
      </w:pPr>
      <w:r w:rsidRPr="00633D81">
        <w:t>"</w:t>
      </w:r>
      <w:r w:rsidRPr="00633D81">
        <w:rPr>
          <w:b/>
          <w:bCs/>
        </w:rPr>
        <w:t>Forenklet indberetningskrav for institutter med dispensation</w:t>
      </w:r>
      <w:r w:rsidRPr="00633D81">
        <w:t>"</w:t>
      </w:r>
    </w:p>
    <w:p w14:paraId="2EAF66BD" w14:textId="4DE9F0CF" w:rsidR="00C16484" w:rsidRPr="00633D81" w:rsidRDefault="00633D81" w:rsidP="00633D81">
      <w:pPr>
        <w:pStyle w:val="Point1"/>
        <w:rPr>
          <w:noProof/>
        </w:rPr>
      </w:pPr>
      <w:r>
        <w:t>b)</w:t>
      </w:r>
      <w:r>
        <w:tab/>
      </w:r>
      <w:r w:rsidR="00C16484" w:rsidRPr="00633D81">
        <w:t>stk. 2 udgår</w:t>
      </w:r>
    </w:p>
    <w:p w14:paraId="1A052A8B" w14:textId="4DBA70FF" w:rsidR="00C16484" w:rsidRPr="00633D81" w:rsidRDefault="00633D81" w:rsidP="00633D81">
      <w:pPr>
        <w:pStyle w:val="Point0"/>
        <w:rPr>
          <w:noProof/>
        </w:rPr>
      </w:pPr>
      <w:r>
        <w:t>2)</w:t>
      </w:r>
      <w:r>
        <w:tab/>
      </w:r>
      <w:r w:rsidR="00C16484" w:rsidRPr="00633D81">
        <w:t>Indledningen i artikel 3 affattes således:</w:t>
      </w:r>
    </w:p>
    <w:p w14:paraId="533DCDB8" w14:textId="77777777" w:rsidR="00C16484" w:rsidRPr="00633D81" w:rsidRDefault="00C16484" w:rsidP="00783A3B">
      <w:pPr>
        <w:rPr>
          <w:noProof/>
        </w:rPr>
      </w:pPr>
      <w:r w:rsidRPr="00633D81">
        <w:t>"For koncerner, der er underlagt MREL på konsolideret grundlag i henhold til artikel 45e, artikel 45f, stk. 1, tredje og fjerde afsnit, og artikel 45f, stk. 4, litra b), i direktiv 2014/59/EU, indgives de oplysninger, der er omhandlet i artikel 1 og 2, af følgende myndigheder og på følgende måde:"</w:t>
      </w:r>
    </w:p>
    <w:p w14:paraId="0509E0AB" w14:textId="65FE4908" w:rsidR="00C16484" w:rsidRPr="00633D81" w:rsidRDefault="00633D81" w:rsidP="00633D81">
      <w:pPr>
        <w:pStyle w:val="Point0"/>
        <w:rPr>
          <w:noProof/>
        </w:rPr>
      </w:pPr>
      <w:r>
        <w:t>3)</w:t>
      </w:r>
      <w:r>
        <w:tab/>
      </w:r>
      <w:r w:rsidR="00C16484" w:rsidRPr="00633D81">
        <w:t>Artikel 4 affattes således:</w:t>
      </w:r>
    </w:p>
    <w:p w14:paraId="66FCA4E9" w14:textId="77777777" w:rsidR="00C16484" w:rsidRPr="00633D81" w:rsidRDefault="00D47F83" w:rsidP="00783A3B">
      <w:pPr>
        <w:pStyle w:val="Titrearticle"/>
        <w:rPr>
          <w:i w:val="0"/>
          <w:iCs/>
          <w:noProof/>
        </w:rPr>
      </w:pPr>
      <w:r w:rsidRPr="00633D81">
        <w:rPr>
          <w:i w:val="0"/>
        </w:rPr>
        <w:t>"</w:t>
      </w:r>
      <w:r w:rsidRPr="00633D81">
        <w:t xml:space="preserve">Artikel 4 </w:t>
      </w:r>
      <w:r w:rsidRPr="00633D81">
        <w:br/>
      </w:r>
      <w:r w:rsidRPr="00633D81">
        <w:rPr>
          <w:b/>
          <w:i w:val="0"/>
        </w:rPr>
        <w:t>Indberetningsperioder og frister</w:t>
      </w:r>
    </w:p>
    <w:p w14:paraId="054F5F9B" w14:textId="77777777" w:rsidR="00C16484" w:rsidRPr="00633D81" w:rsidRDefault="00C16484" w:rsidP="00783A3B">
      <w:pPr>
        <w:rPr>
          <w:noProof/>
        </w:rPr>
      </w:pPr>
      <w:r w:rsidRPr="00633D81">
        <w:t>Afviklingsmyndighederne videregiver de oplysninger, der er omhandlet i artikel 1 og 2, som følger:</w:t>
      </w:r>
    </w:p>
    <w:p w14:paraId="5113726F" w14:textId="34CC4525" w:rsidR="00C16484" w:rsidRPr="00633D81" w:rsidRDefault="00633D81" w:rsidP="00633D81">
      <w:pPr>
        <w:pStyle w:val="Point1"/>
        <w:rPr>
          <w:noProof/>
        </w:rPr>
      </w:pPr>
      <w:r>
        <w:t>a)</w:t>
      </w:r>
      <w:r>
        <w:tab/>
      </w:r>
      <w:r w:rsidR="00C16484" w:rsidRPr="00633D81">
        <w:t>for MREL, der finder anvendelse fra den 30. juni, senest den 16. september i det pågældende år</w:t>
      </w:r>
    </w:p>
    <w:p w14:paraId="7219DDD8" w14:textId="7623B8AF" w:rsidR="00C16484" w:rsidRPr="00633D81" w:rsidRDefault="00633D81" w:rsidP="00633D81">
      <w:pPr>
        <w:pStyle w:val="Point1"/>
        <w:rPr>
          <w:noProof/>
        </w:rPr>
      </w:pPr>
      <w:r>
        <w:t>b)</w:t>
      </w:r>
      <w:r>
        <w:tab/>
      </w:r>
      <w:r w:rsidR="00C16484" w:rsidRPr="00633D81">
        <w:t>for MREL, der finder anvendelse fra den 31. december, senest den 18. marts det følgende år."</w:t>
      </w:r>
    </w:p>
    <w:p w14:paraId="65609948" w14:textId="3C35D778" w:rsidR="00C16484" w:rsidRPr="00633D81" w:rsidRDefault="00633D81" w:rsidP="00633D81">
      <w:pPr>
        <w:pStyle w:val="Point0"/>
        <w:rPr>
          <w:noProof/>
        </w:rPr>
      </w:pPr>
      <w:r>
        <w:t>4)</w:t>
      </w:r>
      <w:r>
        <w:tab/>
      </w:r>
      <w:r w:rsidR="00C16484" w:rsidRPr="00633D81">
        <w:t>Bilag I erstattes af teksten i bilag I til nærværende forordning.</w:t>
      </w:r>
    </w:p>
    <w:p w14:paraId="45E55C10" w14:textId="2577839D" w:rsidR="00C16484" w:rsidRPr="00633D81" w:rsidRDefault="00633D81" w:rsidP="00633D81">
      <w:pPr>
        <w:pStyle w:val="Point0"/>
        <w:rPr>
          <w:noProof/>
        </w:rPr>
      </w:pPr>
      <w:r>
        <w:t>5)</w:t>
      </w:r>
      <w:r>
        <w:tab/>
      </w:r>
      <w:r w:rsidR="00C16484" w:rsidRPr="00633D81">
        <w:t>Bilag II erstattes af teksten i bilag II til nærværende forordning.</w:t>
      </w:r>
    </w:p>
    <w:p w14:paraId="0B09A3CA" w14:textId="77777777" w:rsidR="00C16484" w:rsidRPr="00633D81" w:rsidRDefault="00C16484">
      <w:pPr>
        <w:pStyle w:val="Titrearticle"/>
      </w:pPr>
      <w:r w:rsidRPr="00633D81">
        <w:t>Artikel 2</w:t>
      </w:r>
    </w:p>
    <w:p w14:paraId="0BDD24EC" w14:textId="77777777" w:rsidR="00C16484" w:rsidRPr="00633D81" w:rsidRDefault="00C16484" w:rsidP="00830365">
      <w:r w:rsidRPr="00633D81">
        <w:t xml:space="preserve">Denne forordning træder i kraft på tyvendedagen efter offentliggørelsen i </w:t>
      </w:r>
      <w:r w:rsidRPr="00633D81">
        <w:rPr>
          <w:i/>
          <w:iCs/>
        </w:rPr>
        <w:t>Den Europæiske Unions Tidende</w:t>
      </w:r>
      <w:r w:rsidRPr="00633D81">
        <w:t>.</w:t>
      </w:r>
    </w:p>
    <w:p w14:paraId="3DDE2F7A" w14:textId="77777777" w:rsidR="00C16484" w:rsidRPr="00633D81" w:rsidRDefault="00C16484">
      <w:pPr>
        <w:pStyle w:val="Applicationdirecte"/>
      </w:pPr>
      <w:r w:rsidRPr="00633D81">
        <w:t>Denne forordning er bindende i alle enkeltheder og gælder umiddelbart i hver medlemsstat.</w:t>
      </w:r>
    </w:p>
    <w:p w14:paraId="0FD02893" w14:textId="2A7C1FB6" w:rsidR="00C16484" w:rsidRPr="00633D81" w:rsidRDefault="00633D81" w:rsidP="00633D81">
      <w:pPr>
        <w:pStyle w:val="Fait"/>
      </w:pPr>
      <w:r w:rsidRPr="00633D81">
        <w:t xml:space="preserve">Udfærdiget i Bruxelles, den </w:t>
      </w:r>
      <w:r w:rsidRPr="00633D81">
        <w:rPr>
          <w:rStyle w:val="Marker"/>
        </w:rPr>
        <w:t>[…]</w:t>
      </w:r>
      <w:r w:rsidRPr="00633D81">
        <w:t>.</w:t>
      </w:r>
    </w:p>
    <w:p w14:paraId="3FB14D4B" w14:textId="77777777" w:rsidR="00C16484" w:rsidRPr="00633D81" w:rsidRDefault="00C16484" w:rsidP="00C16484">
      <w:pPr>
        <w:pStyle w:val="Institutionquisigne"/>
      </w:pPr>
      <w:r w:rsidRPr="00633D81">
        <w:tab/>
        <w:t>På Kommissionens vegne</w:t>
      </w:r>
    </w:p>
    <w:p w14:paraId="0FEF1170" w14:textId="0CD182DE" w:rsidR="00C16484" w:rsidRPr="00633D81" w:rsidRDefault="00C16484" w:rsidP="00C16484">
      <w:pPr>
        <w:pStyle w:val="Personnequisigne"/>
      </w:pPr>
      <w:r w:rsidRPr="00633D81">
        <w:tab/>
        <w:t xml:space="preserve">Ursula VON DER LEYEN </w:t>
      </w:r>
      <w:r w:rsidRPr="00633D81">
        <w:br/>
      </w:r>
      <w:r w:rsidRPr="00633D81">
        <w:tab/>
        <w:t xml:space="preserve">Formand </w:t>
      </w:r>
      <w:r w:rsidRPr="00633D81">
        <w:br/>
      </w:r>
      <w:r w:rsidRPr="00633D81">
        <w:tab/>
      </w:r>
    </w:p>
    <w:sectPr w:rsidR="00C16484" w:rsidRPr="00633D81" w:rsidSect="00633D81">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DF19" w14:textId="48E20E68" w:rsidR="00AE4482" w:rsidRPr="00633D81" w:rsidRDefault="00633D81" w:rsidP="00633D81">
    <w:pPr>
      <w:pStyle w:val="Footer"/>
      <w:rPr>
        <w:rFonts w:ascii="Arial" w:hAnsi="Arial" w:cs="Arial"/>
        <w:b/>
        <w:sz w:val="48"/>
      </w:rPr>
    </w:pPr>
    <w:r w:rsidRPr="00633D81">
      <w:rPr>
        <w:rFonts w:ascii="Arial" w:hAnsi="Arial" w:cs="Arial"/>
        <w:b/>
        <w:sz w:val="48"/>
      </w:rPr>
      <w:t>DA</w:t>
    </w:r>
    <w:r w:rsidRPr="00633D81">
      <w:rPr>
        <w:rFonts w:ascii="Arial" w:hAnsi="Arial" w:cs="Arial"/>
        <w:b/>
        <w:sz w:val="48"/>
      </w:rPr>
      <w:tab/>
    </w:r>
    <w:r w:rsidRPr="00633D81">
      <w:rPr>
        <w:rFonts w:ascii="Arial" w:hAnsi="Arial" w:cs="Arial"/>
        <w:b/>
        <w:sz w:val="48"/>
      </w:rPr>
      <w:tab/>
    </w:r>
    <w:r w:rsidRPr="00633D81">
      <w:tab/>
    </w:r>
    <w:r w:rsidRPr="00633D81">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2038" w14:textId="0383B048" w:rsidR="00AE4482" w:rsidRPr="00633D81" w:rsidRDefault="00633D81" w:rsidP="00633D81">
    <w:pPr>
      <w:pStyle w:val="Footer"/>
      <w:rPr>
        <w:rFonts w:ascii="Arial" w:hAnsi="Arial" w:cs="Arial"/>
        <w:b/>
        <w:sz w:val="48"/>
      </w:rPr>
    </w:pPr>
    <w:r w:rsidRPr="00633D81">
      <w:rPr>
        <w:rFonts w:ascii="Arial" w:hAnsi="Arial" w:cs="Arial"/>
        <w:b/>
        <w:sz w:val="48"/>
      </w:rPr>
      <w:t>DA</w:t>
    </w:r>
    <w:r w:rsidRPr="00633D81">
      <w:rPr>
        <w:rFonts w:ascii="Arial" w:hAnsi="Arial" w:cs="Arial"/>
        <w:b/>
        <w:sz w:val="48"/>
      </w:rPr>
      <w:tab/>
    </w:r>
    <w:r w:rsidRPr="00633D81">
      <w:rPr>
        <w:rFonts w:ascii="Arial" w:hAnsi="Arial" w:cs="Arial"/>
        <w:b/>
        <w:sz w:val="48"/>
      </w:rPr>
      <w:tab/>
    </w:r>
    <w:r w:rsidRPr="00633D81">
      <w:tab/>
    </w:r>
    <w:r w:rsidRPr="00633D81">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CEE3" w14:textId="77777777" w:rsidR="00633D81" w:rsidRPr="00633D81" w:rsidRDefault="00633D81" w:rsidP="00633D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EFDA" w14:textId="48B8BFC1" w:rsidR="00633D81" w:rsidRPr="00633D81" w:rsidRDefault="00633D81" w:rsidP="00633D81">
    <w:pPr>
      <w:pStyle w:val="Footer"/>
      <w:rPr>
        <w:rFonts w:ascii="Arial" w:hAnsi="Arial" w:cs="Arial"/>
        <w:b/>
        <w:sz w:val="48"/>
      </w:rPr>
    </w:pPr>
    <w:r w:rsidRPr="00633D81">
      <w:rPr>
        <w:rFonts w:ascii="Arial" w:hAnsi="Arial" w:cs="Arial"/>
        <w:b/>
        <w:sz w:val="48"/>
      </w:rPr>
      <w:t>DA</w:t>
    </w:r>
    <w:r w:rsidRPr="00633D8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633D81">
      <w:tab/>
    </w:r>
    <w:r w:rsidRPr="00633D81">
      <w:rPr>
        <w:rFonts w:ascii="Arial" w:hAnsi="Arial" w:cs="Arial"/>
        <w:b/>
        <w:sz w:val="48"/>
      </w:rPr>
      <w:t>DA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633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77777777" w:rsidR="00C16484" w:rsidRPr="002A43D8" w:rsidRDefault="00C16484" w:rsidP="00C16484">
      <w:pPr>
        <w:pStyle w:val="FootnoteText"/>
      </w:pPr>
      <w:r>
        <w:rPr>
          <w:rStyle w:val="FootnoteReference"/>
        </w:rPr>
        <w:footnoteRef/>
      </w:r>
      <w:r>
        <w:tab/>
        <w:t>EUT L 173 af 12.6.2014, s. 190, ELI: </w:t>
      </w:r>
      <w:hyperlink r:id="rId1" w:tooltip="Giver adgang til dokumentet via dets ELI-URI." w:history="1">
        <w:r>
          <w:rPr>
            <w:rStyle w:val="Hyperlink"/>
            <w:rFonts w:ascii="Times New Roman" w:hAnsi="Times New Roman"/>
          </w:rPr>
          <w:t>http://data.europa.eu/eli/dir/2014/59/oj</w:t>
        </w:r>
      </w:hyperlink>
      <w:r>
        <w:t xml:space="preserve">. </w:t>
      </w:r>
    </w:p>
  </w:footnote>
  <w:footnote w:id="3">
    <w:p w14:paraId="584AEAAA" w14:textId="78F88551" w:rsidR="003428AE" w:rsidRPr="009B0295" w:rsidRDefault="003428AE">
      <w:pPr>
        <w:pStyle w:val="FootnoteText"/>
      </w:pPr>
      <w:r>
        <w:rPr>
          <w:rStyle w:val="FootnoteReference"/>
        </w:rPr>
        <w:footnoteRef/>
      </w:r>
      <w:r>
        <w:tab/>
        <w:t xml:space="preserve">Europa-Parlamentets og Rådets direktiv (EU) 2024/1174 af 11. april 2024 om ændring af direktiv 2014/59/EU og forordning (EU) nr. 806/2014 for så vidt angår visse aspekter af minimumskravet til kapitalgrundlag og nedskrivningsrelevante passiver (EUT L, 2024/1174, 22.4.2024, ELI: </w:t>
      </w:r>
      <w:hyperlink r:id="rId2" w:history="1">
        <w:r>
          <w:rPr>
            <w:rStyle w:val="Hyperlink"/>
            <w:rFonts w:ascii="Times New Roman" w:hAnsi="Times New Roman"/>
          </w:rPr>
          <w:t>http://data.europa.eu/eli/dir/2024/1174/oj</w:t>
        </w:r>
      </w:hyperlink>
      <w:r>
        <w:t xml:space="preserve">). </w:t>
      </w:r>
    </w:p>
  </w:footnote>
  <w:footnote w:id="4">
    <w:p w14:paraId="4D1953DF" w14:textId="607C22C8" w:rsidR="001F4496" w:rsidRPr="009B0295" w:rsidRDefault="001F4496">
      <w:pPr>
        <w:pStyle w:val="FootnoteText"/>
      </w:pPr>
      <w:r>
        <w:rPr>
          <w:rStyle w:val="FootnoteReference"/>
        </w:rPr>
        <w:footnoteRef/>
      </w:r>
      <w:r>
        <w:tab/>
        <w:t xml:space="preserve">Kommissionens gennemførelsesforordning (EU) 2021/622 af 15. april 2021 om gennemførelsesmæssige tekniske standarder for anvendelsen af Europa-Parlamentets og Rådets direktiv 2014/59/EU for så vidt angår ensartede indberetningsskemaer, vejledning i og metode for indberetning af minimumskravet til kapitalgrundlag og nedskrivningsrelevante passiver (EUT L 131 af 16.4.2021, s. 123, ELI: </w:t>
      </w:r>
      <w:hyperlink r:id="rId3" w:history="1">
        <w:r>
          <w:rPr>
            <w:rStyle w:val="Hyperlink"/>
            <w:rFonts w:ascii="Times New Roman" w:hAnsi="Times New Roman"/>
          </w:rPr>
          <w:t>http://data.europa.eu/eli/reg_impl/2021/622/oj</w:t>
        </w:r>
      </w:hyperlink>
      <w:r>
        <w:t>).</w:t>
      </w:r>
    </w:p>
  </w:footnote>
  <w:footnote w:id="5">
    <w:p w14:paraId="5FB3833A" w14:textId="77777777" w:rsidR="000B5B60" w:rsidRPr="000B5B60" w:rsidRDefault="000B5B60">
      <w:pPr>
        <w:pStyle w:val="FootnoteText"/>
      </w:pPr>
      <w:r>
        <w:rPr>
          <w:rStyle w:val="FootnoteReference"/>
        </w:rPr>
        <w:footnoteRef/>
      </w:r>
      <w:r>
        <w:tab/>
        <w:t xml:space="preserve">Kommissionens gennemførelsesforordning (EU) 2021/763 af 23. april 2021 om gennemførelsesmæssige tekniske standarder for anvendelsen af Europa-Parlamentets og Rådets forordning (EU) nr. 575/2013 og Europa-Parlamentets og Rådets direktiv 2014/59/EU for så vidt angår indberetning med henblik på tilsyn og offentliggørelse af minimumskravet til kapitalgrundlag og nedskrivningsrelevante passiver (EUT L 168 af 12.5.2021, s. 1, ELI: </w:t>
      </w:r>
      <w:hyperlink r:id="rId4" w:history="1">
        <w:r>
          <w:rPr>
            <w:rStyle w:val="Hyperlink"/>
            <w:rFonts w:ascii="Times New Roman" w:hAnsi="Times New Roman"/>
          </w:rPr>
          <w:t>http://data.europa.eu/eli/reg_impl/2021/763/oj</w:t>
        </w:r>
      </w:hyperlink>
      <w:r>
        <w:t>).</w:t>
      </w:r>
    </w:p>
  </w:footnote>
  <w:footnote w:id="6">
    <w:p w14:paraId="04BE3385" w14:textId="77777777" w:rsidR="00401F3A" w:rsidRPr="00FE7BD1" w:rsidRDefault="00401F3A" w:rsidP="00F35BD7">
      <w:pPr>
        <w:pStyle w:val="FootnoteText"/>
      </w:pPr>
      <w:r>
        <w:rPr>
          <w:rStyle w:val="FootnoteReference"/>
        </w:rPr>
        <w:footnoteRef/>
      </w:r>
      <w:r>
        <w:tab/>
        <w:t>Europa-Parlamentets og Rådets forordning (EU) nr. 1093/2010 af 24. november 2010 om oprettelse af en europæisk tilsynsmyndighed (Den Europæiske Banktilsynsmyndighed), om ændring af afgørelse nr. 716/2009/EF og om ophævelse af Kommissionens afgørelse 2009/78/EF (EUT L 331 af 15.12.2010, s. 12, ELI: </w:t>
      </w:r>
      <w:hyperlink r:id="rId5" w:tooltip="Giver adgang til dokumentet via dets ELI-URI." w:history="1">
        <w:r>
          <w:rPr>
            <w:rStyle w:val="Hyperlink"/>
            <w:rFonts w:ascii="Times New Roman" w:hAnsi="Times New Roman"/>
          </w:rPr>
          <w:t>http://data.europa.eu/eli/reg/2010/1093/oj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1623" w14:textId="77777777" w:rsidR="00633D81" w:rsidRPr="00633D81" w:rsidRDefault="00633D81" w:rsidP="00633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FB87" w14:textId="77777777" w:rsidR="00633D81" w:rsidRPr="00633D81" w:rsidRDefault="00633D81" w:rsidP="00633D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7E0A" w14:textId="77777777" w:rsidR="00633D81" w:rsidRPr="00633D81" w:rsidRDefault="00633D81" w:rsidP="00633D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86109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693441">
    <w:abstractNumId w:val="15"/>
  </w:num>
  <w:num w:numId="8" w16cid:durableId="1693998065">
    <w:abstractNumId w:val="8"/>
  </w:num>
  <w:num w:numId="9" w16cid:durableId="788817884">
    <w:abstractNumId w:val="17"/>
  </w:num>
  <w:num w:numId="10" w16cid:durableId="1535464848">
    <w:abstractNumId w:val="7"/>
  </w:num>
  <w:num w:numId="11" w16cid:durableId="639657071">
    <w:abstractNumId w:val="9"/>
  </w:num>
  <w:num w:numId="12" w16cid:durableId="361050661">
    <w:abstractNumId w:val="10"/>
  </w:num>
  <w:num w:numId="13" w16cid:durableId="472790552">
    <w:abstractNumId w:val="5"/>
  </w:num>
  <w:num w:numId="14" w16cid:durableId="384646725">
    <w:abstractNumId w:val="16"/>
  </w:num>
  <w:num w:numId="15" w16cid:durableId="2031682509">
    <w:abstractNumId w:val="4"/>
  </w:num>
  <w:num w:numId="16" w16cid:durableId="150604668">
    <w:abstractNumId w:val="11"/>
  </w:num>
  <w:num w:numId="17" w16cid:durableId="472332852">
    <w:abstractNumId w:val="13"/>
  </w:num>
  <w:num w:numId="18" w16cid:durableId="1298296966">
    <w:abstractNumId w:val="14"/>
  </w:num>
  <w:num w:numId="19" w16cid:durableId="1306230484">
    <w:abstractNumId w:val="6"/>
  </w:num>
  <w:num w:numId="20" w16cid:durableId="24066917">
    <w:abstractNumId w:val="12"/>
  </w:num>
  <w:num w:numId="21" w16cid:durableId="485436588">
    <w:abstractNumId w:val="18"/>
  </w:num>
  <w:num w:numId="22" w16cid:durableId="2089693441">
    <w:abstractNumId w:val="15"/>
  </w:num>
  <w:num w:numId="23" w16cid:durableId="1693998065">
    <w:abstractNumId w:val="8"/>
  </w:num>
  <w:num w:numId="24" w16cid:durableId="788817884">
    <w:abstractNumId w:val="17"/>
  </w:num>
  <w:num w:numId="25" w16cid:durableId="1535464848">
    <w:abstractNumId w:val="7"/>
  </w:num>
  <w:num w:numId="26" w16cid:durableId="639657071">
    <w:abstractNumId w:val="9"/>
  </w:num>
  <w:num w:numId="27" w16cid:durableId="361050661">
    <w:abstractNumId w:val="10"/>
  </w:num>
  <w:num w:numId="28" w16cid:durableId="472790552">
    <w:abstractNumId w:val="5"/>
  </w:num>
  <w:num w:numId="29" w16cid:durableId="384646725">
    <w:abstractNumId w:val="16"/>
  </w:num>
  <w:num w:numId="30" w16cid:durableId="2031682509">
    <w:abstractNumId w:val="4"/>
  </w:num>
  <w:num w:numId="31" w16cid:durableId="150604668">
    <w:abstractNumId w:val="11"/>
  </w:num>
  <w:num w:numId="32" w16cid:durableId="472332852">
    <w:abstractNumId w:val="13"/>
  </w:num>
  <w:num w:numId="33" w16cid:durableId="1298296966">
    <w:abstractNumId w:val="14"/>
  </w:num>
  <w:num w:numId="34" w16cid:durableId="1306230484">
    <w:abstractNumId w:val="6"/>
  </w:num>
  <w:num w:numId="35" w16cid:durableId="24066917">
    <w:abstractNumId w:val="12"/>
  </w:num>
  <w:num w:numId="36" w16cid:durableId="4854365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1-30 15:41:3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696E935-B9C2-4B2B-9B73-9DB4237919AA"/>
    <w:docVar w:name="LW_COVERPAGE_TYPE" w:val="1"/>
    <w:docVar w:name="LW_CreatedUtc" w:val="2025-09-04T16:00:38.0896335Z"/>
    <w:docVar w:name="LW_CROSSREFERENCE" w:val="&lt;UNUSED&gt;"/>
    <w:docVar w:name="LW_DATE.ADOPT.CP" w:val="af XXX"/>
    <w:docVar w:name="LW_DATE.ADOPT.CP_DATEFORMAT" w:val="af %DATE%"/>
    <w:docVar w:name="LW_DATE.ADOPT.CP_ISODATE" w:val="&lt;EMPTY&gt;"/>
    <w:docVar w:name="LW_DocType" w:val="COM"/>
    <w:docVar w:name="LW_EMISSION" w:val="&lt;EMPTY&gt;"/>
    <w:docVar w:name="LW_EMISSION_ISODATE" w:val="&lt;EMPTY&gt;"/>
    <w:docVar w:name="LW_EMISSION_LOCATION" w:val="BRX"/>
    <w:docVar w:name="LW_EMISSION_PREFIX" w:val="Bruxelles, den "/>
    <w:docVar w:name="LW_EMISSION_SUFFIX" w:val=" "/>
    <w:docVar w:name="LW_ID_DOCMODEL" w:val="SJ-004"/>
    <w:docVar w:name="LW_ID_DOCSIGNATURE" w:val="SJ-004"/>
    <w:docVar w:name="LW_ID_DOCSTRUCTURE" w:val="COM/AA"/>
    <w:docVar w:name="LW_ID_DOCTYPE" w:val="SJ-004"/>
    <w:docVar w:name="LW_INTERETEEE.CP" w:val="(EØS-relevant tekst)"/>
    <w:docVar w:name="LW_LANGUE" w:val="DA"/>
    <w:docVar w:name="LW_LANGUESFAISANTFOI.CP" w:val="&lt;UNUSED&gt;"/>
    <w:docVar w:name="LW_LEVEL_OF_SENSITIVITY" w:val="Standard treatment"/>
    <w:docVar w:name="LW_NOM.INST" w:val="EUROPA-KOMMISSIONEN"/>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ændring af de gennemførelsesmæssige tekniske standarder i gennemførelsesforordning (EU) 2021/622 for så vidt angår indberetningshyppighed og de oplysninger, der skal indberettes"/>
    <w:docVar w:name="LW_TYPE.DOC.CP" w:val="KOMMISSIONENS GENNEMFØRELSESFORORDNING (EU) \u8230?/\u8230?"/>
  </w:docVars>
  <w:rsids>
    <w:rsidRoot w:val="00C16484"/>
    <w:rsid w:val="00000BE0"/>
    <w:rsid w:val="00016399"/>
    <w:rsid w:val="000417C4"/>
    <w:rsid w:val="00045B9F"/>
    <w:rsid w:val="000625FB"/>
    <w:rsid w:val="00075947"/>
    <w:rsid w:val="00094FCC"/>
    <w:rsid w:val="000A663E"/>
    <w:rsid w:val="000B5B60"/>
    <w:rsid w:val="000B7A7D"/>
    <w:rsid w:val="000C320E"/>
    <w:rsid w:val="000D3BC2"/>
    <w:rsid w:val="000E5499"/>
    <w:rsid w:val="00115188"/>
    <w:rsid w:val="001151E7"/>
    <w:rsid w:val="00125199"/>
    <w:rsid w:val="0013305B"/>
    <w:rsid w:val="00143ED4"/>
    <w:rsid w:val="00152894"/>
    <w:rsid w:val="0017762B"/>
    <w:rsid w:val="0018141D"/>
    <w:rsid w:val="00184F42"/>
    <w:rsid w:val="001A25E7"/>
    <w:rsid w:val="001A6BDC"/>
    <w:rsid w:val="001E3098"/>
    <w:rsid w:val="001E39BF"/>
    <w:rsid w:val="001F2AC0"/>
    <w:rsid w:val="001F4496"/>
    <w:rsid w:val="00214607"/>
    <w:rsid w:val="002259CF"/>
    <w:rsid w:val="002266B1"/>
    <w:rsid w:val="00235A60"/>
    <w:rsid w:val="00244085"/>
    <w:rsid w:val="00244C17"/>
    <w:rsid w:val="00244DFD"/>
    <w:rsid w:val="00246E59"/>
    <w:rsid w:val="00264589"/>
    <w:rsid w:val="0029415E"/>
    <w:rsid w:val="002A43D8"/>
    <w:rsid w:val="002A753D"/>
    <w:rsid w:val="002B37B6"/>
    <w:rsid w:val="002D6B17"/>
    <w:rsid w:val="002F1710"/>
    <w:rsid w:val="0030490D"/>
    <w:rsid w:val="00313AC1"/>
    <w:rsid w:val="00325B37"/>
    <w:rsid w:val="00331377"/>
    <w:rsid w:val="003428AE"/>
    <w:rsid w:val="00353536"/>
    <w:rsid w:val="00364262"/>
    <w:rsid w:val="00373FC4"/>
    <w:rsid w:val="0038290C"/>
    <w:rsid w:val="003838B9"/>
    <w:rsid w:val="00396ACD"/>
    <w:rsid w:val="003B10ED"/>
    <w:rsid w:val="003E05B8"/>
    <w:rsid w:val="003E3FC7"/>
    <w:rsid w:val="003E7D8F"/>
    <w:rsid w:val="003F11EB"/>
    <w:rsid w:val="003F2A70"/>
    <w:rsid w:val="00401F3A"/>
    <w:rsid w:val="00406CBA"/>
    <w:rsid w:val="004138D9"/>
    <w:rsid w:val="004211F5"/>
    <w:rsid w:val="0042702A"/>
    <w:rsid w:val="00437AA5"/>
    <w:rsid w:val="004518ED"/>
    <w:rsid w:val="00485F6A"/>
    <w:rsid w:val="004918DE"/>
    <w:rsid w:val="00492396"/>
    <w:rsid w:val="004B4C38"/>
    <w:rsid w:val="004D7D54"/>
    <w:rsid w:val="004E19F9"/>
    <w:rsid w:val="004E763F"/>
    <w:rsid w:val="004F04FA"/>
    <w:rsid w:val="004F588A"/>
    <w:rsid w:val="004F6513"/>
    <w:rsid w:val="00506B49"/>
    <w:rsid w:val="00507FF2"/>
    <w:rsid w:val="00517205"/>
    <w:rsid w:val="0052508D"/>
    <w:rsid w:val="00534D3A"/>
    <w:rsid w:val="00536CA5"/>
    <w:rsid w:val="0054013D"/>
    <w:rsid w:val="00542487"/>
    <w:rsid w:val="00557EAF"/>
    <w:rsid w:val="00582810"/>
    <w:rsid w:val="0058683E"/>
    <w:rsid w:val="005929F6"/>
    <w:rsid w:val="00593EEC"/>
    <w:rsid w:val="00595540"/>
    <w:rsid w:val="005A5382"/>
    <w:rsid w:val="005A55F3"/>
    <w:rsid w:val="005B5FA6"/>
    <w:rsid w:val="005C1F43"/>
    <w:rsid w:val="005D1478"/>
    <w:rsid w:val="005D2C73"/>
    <w:rsid w:val="005D6AA6"/>
    <w:rsid w:val="005E2634"/>
    <w:rsid w:val="005F2B9A"/>
    <w:rsid w:val="00603E01"/>
    <w:rsid w:val="0061453F"/>
    <w:rsid w:val="00633D81"/>
    <w:rsid w:val="00642760"/>
    <w:rsid w:val="00643DEF"/>
    <w:rsid w:val="006654AB"/>
    <w:rsid w:val="00667F1D"/>
    <w:rsid w:val="006700C7"/>
    <w:rsid w:val="00685D33"/>
    <w:rsid w:val="006A1AB6"/>
    <w:rsid w:val="006D3FD5"/>
    <w:rsid w:val="006D6949"/>
    <w:rsid w:val="006F20E7"/>
    <w:rsid w:val="006F7EFE"/>
    <w:rsid w:val="007142D9"/>
    <w:rsid w:val="007459DB"/>
    <w:rsid w:val="00752552"/>
    <w:rsid w:val="007638EF"/>
    <w:rsid w:val="00763F6E"/>
    <w:rsid w:val="00781585"/>
    <w:rsid w:val="00783A3B"/>
    <w:rsid w:val="007878CB"/>
    <w:rsid w:val="00787E7C"/>
    <w:rsid w:val="0079599D"/>
    <w:rsid w:val="007A7287"/>
    <w:rsid w:val="007D0861"/>
    <w:rsid w:val="007D3D95"/>
    <w:rsid w:val="007E010B"/>
    <w:rsid w:val="007F5C7C"/>
    <w:rsid w:val="00801EB4"/>
    <w:rsid w:val="00802FC2"/>
    <w:rsid w:val="00817121"/>
    <w:rsid w:val="00830365"/>
    <w:rsid w:val="00833B73"/>
    <w:rsid w:val="00843817"/>
    <w:rsid w:val="008460B7"/>
    <w:rsid w:val="00847915"/>
    <w:rsid w:val="008601F7"/>
    <w:rsid w:val="00861270"/>
    <w:rsid w:val="00874305"/>
    <w:rsid w:val="00880A77"/>
    <w:rsid w:val="00897749"/>
    <w:rsid w:val="008A3F6C"/>
    <w:rsid w:val="008B07C8"/>
    <w:rsid w:val="008B3C68"/>
    <w:rsid w:val="008B6AF9"/>
    <w:rsid w:val="008D3EC5"/>
    <w:rsid w:val="008D4062"/>
    <w:rsid w:val="008E2694"/>
    <w:rsid w:val="008E2E76"/>
    <w:rsid w:val="008F234A"/>
    <w:rsid w:val="00902ADE"/>
    <w:rsid w:val="00910118"/>
    <w:rsid w:val="00917A1D"/>
    <w:rsid w:val="00940731"/>
    <w:rsid w:val="009430FB"/>
    <w:rsid w:val="00943538"/>
    <w:rsid w:val="009526D5"/>
    <w:rsid w:val="0095347B"/>
    <w:rsid w:val="00962953"/>
    <w:rsid w:val="00964D55"/>
    <w:rsid w:val="00980CC9"/>
    <w:rsid w:val="009957C5"/>
    <w:rsid w:val="009A4095"/>
    <w:rsid w:val="009B0295"/>
    <w:rsid w:val="009C1E02"/>
    <w:rsid w:val="009D2368"/>
    <w:rsid w:val="009D5F8B"/>
    <w:rsid w:val="009F3A7A"/>
    <w:rsid w:val="00A03DA8"/>
    <w:rsid w:val="00A05FAB"/>
    <w:rsid w:val="00A24E3D"/>
    <w:rsid w:val="00A37D2E"/>
    <w:rsid w:val="00A4162C"/>
    <w:rsid w:val="00A41677"/>
    <w:rsid w:val="00A54A8C"/>
    <w:rsid w:val="00A564DC"/>
    <w:rsid w:val="00A565C7"/>
    <w:rsid w:val="00A719DF"/>
    <w:rsid w:val="00A7647B"/>
    <w:rsid w:val="00AA038B"/>
    <w:rsid w:val="00AB034D"/>
    <w:rsid w:val="00AC6B16"/>
    <w:rsid w:val="00AD5257"/>
    <w:rsid w:val="00AE4482"/>
    <w:rsid w:val="00B01072"/>
    <w:rsid w:val="00B136EC"/>
    <w:rsid w:val="00B14B01"/>
    <w:rsid w:val="00B43EBD"/>
    <w:rsid w:val="00B65FB3"/>
    <w:rsid w:val="00B66E09"/>
    <w:rsid w:val="00B95D78"/>
    <w:rsid w:val="00B97308"/>
    <w:rsid w:val="00BB3BEC"/>
    <w:rsid w:val="00BD02BB"/>
    <w:rsid w:val="00BD3885"/>
    <w:rsid w:val="00BD66E4"/>
    <w:rsid w:val="00BF69C6"/>
    <w:rsid w:val="00C059B6"/>
    <w:rsid w:val="00C10CA6"/>
    <w:rsid w:val="00C11798"/>
    <w:rsid w:val="00C16484"/>
    <w:rsid w:val="00C21AB2"/>
    <w:rsid w:val="00C27976"/>
    <w:rsid w:val="00C3731F"/>
    <w:rsid w:val="00C62388"/>
    <w:rsid w:val="00C63550"/>
    <w:rsid w:val="00C637B0"/>
    <w:rsid w:val="00C64CCC"/>
    <w:rsid w:val="00C87FB3"/>
    <w:rsid w:val="00C9384A"/>
    <w:rsid w:val="00C9629C"/>
    <w:rsid w:val="00C96395"/>
    <w:rsid w:val="00C96A56"/>
    <w:rsid w:val="00CA156D"/>
    <w:rsid w:val="00CA57DA"/>
    <w:rsid w:val="00CA7FE1"/>
    <w:rsid w:val="00CC58EB"/>
    <w:rsid w:val="00CE1382"/>
    <w:rsid w:val="00D02FAD"/>
    <w:rsid w:val="00D0530E"/>
    <w:rsid w:val="00D05DED"/>
    <w:rsid w:val="00D206AC"/>
    <w:rsid w:val="00D47F83"/>
    <w:rsid w:val="00D5454C"/>
    <w:rsid w:val="00D55CE9"/>
    <w:rsid w:val="00D564F7"/>
    <w:rsid w:val="00D72038"/>
    <w:rsid w:val="00D763BC"/>
    <w:rsid w:val="00D872A1"/>
    <w:rsid w:val="00D93F2F"/>
    <w:rsid w:val="00D966E8"/>
    <w:rsid w:val="00DB4B20"/>
    <w:rsid w:val="00DC3AD5"/>
    <w:rsid w:val="00DC5E29"/>
    <w:rsid w:val="00DD4285"/>
    <w:rsid w:val="00DF1FB9"/>
    <w:rsid w:val="00DF36A6"/>
    <w:rsid w:val="00E07235"/>
    <w:rsid w:val="00E23B80"/>
    <w:rsid w:val="00E25A5F"/>
    <w:rsid w:val="00E32BAC"/>
    <w:rsid w:val="00E33C9F"/>
    <w:rsid w:val="00E36D1F"/>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F07F26"/>
    <w:rsid w:val="00F35BD7"/>
    <w:rsid w:val="00F36982"/>
    <w:rsid w:val="00F41DDB"/>
    <w:rsid w:val="00F629AC"/>
    <w:rsid w:val="00F9249D"/>
    <w:rsid w:val="00F95ED9"/>
    <w:rsid w:val="00FA0BAF"/>
    <w:rsid w:val="00FA382E"/>
    <w:rsid w:val="00FA715C"/>
    <w:rsid w:val="00FB22DB"/>
    <w:rsid w:val="00FC2396"/>
    <w:rsid w:val="00FC525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da-DK"/>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74AB9-05CF-4E22-8B2B-667D523C417F}">
  <ds:schemaRefs>
    <ds:schemaRef ds:uri="http://schemas.microsoft.com/sharepoint/v3/contenttype/forms"/>
  </ds:schemaRefs>
</ds:datastoreItem>
</file>

<file path=customXml/itemProps4.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39</TotalTime>
  <Pages>2</Pages>
  <Words>809</Words>
  <Characters>5102</Characters>
  <Application>Microsoft Office Word</Application>
  <DocSecurity>0</DocSecurity>
  <Lines>99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MCLELLAN Fiona (DGT)</cp:lastModifiedBy>
  <cp:revision>29</cp:revision>
  <dcterms:created xsi:type="dcterms:W3CDTF">2025-12-05T16:19:00Z</dcterms:created>
  <dcterms:modified xsi:type="dcterms:W3CDTF">2026-01-30T14:41:00Z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